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>
      <w:pPr>
        <w:jc w:val="both"/>
      </w:pPr>
      <w:r>
        <w:t>В соответствии с Федеральным законом от 13.07.2015 № 218-ФЗ «О государственной регистрации недвижимости»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