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соответствии с Федеральным законом № 218-ФЗ «О государственной регистрации недвижимости» направляем информацию.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