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/>
      <w:permStart w:displacedbyCustomXml="next" w:edGrp="everyone" w:id="1566013166"/>
      <w:r/>
      <w:permStart w:displacedbyCustomXml="next" w:edGrp="everyone" w:id="undefined"/>
      <w:r>
        <w:rPr>
          <w:rFonts w:ascii="Tinos" w:hAnsi="Tinos" w:eastAsia="Tinos" w:cs="Tinos"/>
          <w:sz w:val="26"/>
          <w:szCs w:val="26"/>
        </w:rPr>
        <w:t xml:space="preserve">Управление</w:t>
      </w:r>
      <w:r>
        <w:rPr>
          <w:rFonts w:ascii="Tinos" w:hAnsi="Tinos" w:eastAsia="Tinos" w:cs="Tinos"/>
          <w:sz w:val="26"/>
          <w:szCs w:val="26"/>
        </w:rPr>
        <w:t xml:space="preserve">м</w:t>
      </w:r>
      <w:r>
        <w:rPr>
          <w:rFonts w:ascii="Tinos" w:hAnsi="Tinos" w:eastAsia="Tinos" w:cs="Tinos"/>
          <w:sz w:val="26"/>
          <w:szCs w:val="26"/>
        </w:rPr>
        <w:t xml:space="preserve"> Росреестра по Пермскому краю в соответствии с Дорожной картой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 реализации мероприятий проекта «Наполнение Единого государственного реестра недвижимости необх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одимыми сведениями» на 2024-2025 годы, утвержденной 27.06.2024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проводится мониторинг внесения в Единый государственный реестр недвиж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имости (далее – ЕГРН) сведений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о территориальных зонах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/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2026-02-16T11:51:33Z</dcterms:modified>
</cp:coreProperties>
</file>