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16" w:rsidRDefault="00D52416">
      <w:pPr>
        <w:rPr>
          <w:sz w:val="32"/>
          <w:szCs w:val="32"/>
        </w:rPr>
      </w:pPr>
      <w:r>
        <w:rPr>
          <w:sz w:val="32"/>
          <w:szCs w:val="32"/>
        </w:rPr>
        <w:t xml:space="preserve">Pierwsza różnica polega na docelowym „źródle” – SRP określa pewien standard dla klas a ISP dla </w:t>
      </w:r>
      <w:proofErr w:type="spellStart"/>
      <w:r>
        <w:rPr>
          <w:sz w:val="32"/>
          <w:szCs w:val="32"/>
        </w:rPr>
        <w:t>dla</w:t>
      </w:r>
      <w:proofErr w:type="spellEnd"/>
      <w:r>
        <w:rPr>
          <w:sz w:val="32"/>
          <w:szCs w:val="32"/>
        </w:rPr>
        <w:t xml:space="preserve"> interfejsów.</w:t>
      </w:r>
    </w:p>
    <w:p w:rsidR="00D52416" w:rsidRDefault="00D52416">
      <w:pPr>
        <w:rPr>
          <w:sz w:val="32"/>
          <w:szCs w:val="32"/>
        </w:rPr>
      </w:pPr>
    </w:p>
    <w:p w:rsidR="00EF4447" w:rsidRDefault="00D52416">
      <w:pPr>
        <w:rPr>
          <w:sz w:val="32"/>
          <w:szCs w:val="32"/>
        </w:rPr>
      </w:pPr>
      <w:r w:rsidRPr="00D52416">
        <w:rPr>
          <w:sz w:val="32"/>
          <w:szCs w:val="32"/>
        </w:rPr>
        <w:t>SRP  jest skoncentrowane na tym aby kl</w:t>
      </w:r>
      <w:r>
        <w:rPr>
          <w:sz w:val="32"/>
          <w:szCs w:val="32"/>
        </w:rPr>
        <w:t>asa miała jedną odpowiedzialność. W żaden sposób nie ograniczona to ilości jej metod – tak długo jak te metody nie dodają kolejnej odpowiedzialności to zasada nie zostaje złamana.</w:t>
      </w:r>
    </w:p>
    <w:p w:rsidR="00D52416" w:rsidRDefault="00D52416">
      <w:pPr>
        <w:rPr>
          <w:sz w:val="32"/>
          <w:szCs w:val="32"/>
        </w:rPr>
      </w:pPr>
    </w:p>
    <w:p w:rsidR="00D52416" w:rsidRPr="00D52416" w:rsidRDefault="00D52416">
      <w:pPr>
        <w:rPr>
          <w:sz w:val="32"/>
          <w:szCs w:val="32"/>
        </w:rPr>
      </w:pPr>
      <w:r>
        <w:rPr>
          <w:sz w:val="32"/>
          <w:szCs w:val="32"/>
        </w:rPr>
        <w:t xml:space="preserve">ISP natomiast mówi nam jak budować interfejsy – wróćmy do przykładu kolekcji z poprzedniego zadania. Wydaje się, że chcemy móc dodawać, wyrzucać i sprawdzać czy jakiś element jest w zbiorze. Wyodrębnienie tych metod do interfejsu to dobry pomysł. W momencie jednak jak zrobimy 15 wersji metody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w interfejsie – dodaj 1 element, dodaj wszystkie z listy, mapy itp. to interfejs zaczyna być niepotrzebnie wielki – wiele kolekcji może nawet nie potrzebować tych metod więc powinny one zostawać po stronie twórcy danej klasy a nie być narzucane z góry dla każdej kolekcji. </w:t>
      </w:r>
      <w:bookmarkStart w:id="0" w:name="_GoBack"/>
      <w:bookmarkEnd w:id="0"/>
    </w:p>
    <w:sectPr w:rsidR="00D52416" w:rsidRPr="00D52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A4"/>
    <w:rsid w:val="009D24A4"/>
    <w:rsid w:val="00D52416"/>
    <w:rsid w:val="00E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2D2F"/>
  <w15:chartTrackingRefBased/>
  <w15:docId w15:val="{7059BB44-AB55-4C47-ADB4-64873B78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775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2021-03-26T11:27:00Z</dcterms:created>
  <dcterms:modified xsi:type="dcterms:W3CDTF">2021-03-26T11:33:00Z</dcterms:modified>
</cp:coreProperties>
</file>