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color w:val="2E74B5"/>
          <w:sz w:val="20"/>
        </w:rPr>
        <w:t>BUYER'S GUIDE  |  2026</w:t>
      </w:r>
    </w:p>
    <w:p>
      <w:pPr>
        <w:spacing w:after="160"/>
      </w:pPr>
      <w:r>
        <w:rPr>
          <w:rFonts w:ascii="Calibri" w:hAnsi="Calibri"/>
          <w:b/>
          <w:color w:val="1F4D78"/>
          <w:sz w:val="54"/>
        </w:rPr>
        <w:t>Best AI Visibility Tools for the Chinese Market</w:t>
      </w:r>
    </w:p>
    <w:p>
      <w:pPr>
        <w:spacing w:after="320"/>
      </w:pPr>
      <w:r>
        <w:rPr>
          <w:rFonts w:ascii="Calibri" w:hAnsi="Calibri"/>
          <w:color w:val="667085"/>
          <w:sz w:val="26"/>
        </w:rPr>
        <w:t>A verification-first buyer’s guide to monitoring brands across China’s AI answer engines</w:t>
      </w:r>
    </w:p>
    <w:p>
      <w:pPr>
        <w:spacing w:before="0" w:after="60" w:line="264" w:lineRule="auto"/>
      </w:pPr>
      <w:r>
        <w:rPr>
          <w:rFonts w:ascii="Calibri" w:hAnsi="Calibri"/>
          <w:i/>
          <w:color w:val="667085"/>
          <w:sz w:val="22"/>
        </w:rPr>
        <w:t>Meta description: Compare AI visibility tools for China by engine coverage, evidence quality, source tracing, cross-market reporting and execution support.</w:t>
      </w:r>
    </w:p>
    <w:p>
      <w:pPr>
        <w:spacing w:before="0" w:after="280" w:line="264" w:lineRule="auto"/>
      </w:pPr>
      <w:r>
        <w:rPr>
          <w:rFonts w:ascii="Calibri" w:hAnsi="Calibri"/>
          <w:i/>
          <w:color w:val="667085"/>
          <w:sz w:val="22"/>
        </w:rPr>
        <w:t>Suggested slug: /blog/best-ai-visibility-tools-china</w:t>
      </w:r>
    </w:p>
    <w:p>
      <w:pPr>
        <w:pStyle w:val="Heading1"/>
      </w:pPr>
      <w:r>
        <w:t>The short answer</w:t>
      </w:r>
    </w:p>
    <w:p>
      <w:pPr>
        <w:spacing w:before="0" w:after="120" w:line="264" w:lineRule="auto"/>
      </w:pPr>
      <w:r>
        <w:rPr>
          <w:rFonts w:ascii="Calibri" w:hAnsi="Calibri"/>
          <w:i w:val="0"/>
          <w:color w:val="233142"/>
          <w:sz w:val="22"/>
        </w:rPr>
        <w:t>The best AI visibility tool for China depends on the job. Geolix.AI is a strong fit for brands that need Chinese and Western AI engines in one reporting and execution workflow. GEOAhead offers broad China-focused monitoring with a self-serve entry point. Soujian is designed for China-only diagnosis and agency-ready reports. GeoAIVO emphasizes a documented China scoring methodology. Querent is best treated as an observation-data layer. Visibility Atlas is a consulting-led option for companies that need source repair and market-entry guidance rather than another dashboard.</w:t>
      </w:r>
    </w:p>
    <w:p>
      <w:pPr>
        <w:spacing w:before="0" w:after="120" w:line="264" w:lineRule="auto"/>
      </w:pPr>
      <w:r>
        <w:rPr>
          <w:rFonts w:ascii="Calibri" w:hAnsi="Calibri"/>
          <w:b/>
          <w:color w:val="233142"/>
          <w:sz w:val="22"/>
        </w:rPr>
        <w:t>No buyer should choose on an “AI visibility score” alone.</w:t>
      </w:r>
      <w:r>
        <w:rPr>
          <w:rFonts w:ascii="Calibri" w:hAnsi="Calibri"/>
          <w:i w:val="0"/>
          <w:color w:val="233142"/>
          <w:sz w:val="22"/>
        </w:rPr>
        <w:t xml:space="preserve"> The tool should show which prompt was asked, which account and region produced the answer, when it was captured, the full answer or screenshot, and the source links behind the result. Without that evidence, a polished score is difficult to audit or reproduce.</w:t>
      </w:r>
    </w:p>
    <w:p>
      <w:r>
        <w:br w:type="page"/>
      </w:r>
    </w:p>
    <w:p>
      <w:pPr>
        <w:pStyle w:val="Heading1"/>
      </w:pPr>
      <w:r>
        <w:t>How to choose an AI visibility tool for China</w:t>
      </w:r>
    </w:p>
    <w:p>
      <w:pPr>
        <w:pStyle w:val="Heading2"/>
      </w:pPr>
      <w:r>
        <w:t>1. Verify the engine coverage, not just the logo strip</w:t>
      </w:r>
    </w:p>
    <w:p>
      <w:pPr>
        <w:spacing w:before="0" w:after="120" w:line="264" w:lineRule="auto"/>
      </w:pPr>
      <w:r>
        <w:rPr>
          <w:rFonts w:ascii="Calibri" w:hAnsi="Calibri"/>
          <w:i w:val="0"/>
          <w:color w:val="233142"/>
          <w:sz w:val="22"/>
        </w:rPr>
        <w:t>A China-capable tool should identify the exact products it queries, such as DeepSeek, Doubao, Qwen, Kimi, Tencent Yuanbao and Baidu AI. Ask whether the system records user-facing answers from those products or substitutes an API, a model simulation or an English-language endpoint. Those methods can produce materially different observations.</w:t>
      </w:r>
    </w:p>
    <w:p>
      <w:pPr>
        <w:pStyle w:val="Heading2"/>
      </w:pPr>
      <w:r>
        <w:t>2. Demand an answer-level evidence trail</w:t>
      </w:r>
    </w:p>
    <w:p>
      <w:pPr>
        <w:spacing w:before="0" w:after="120" w:line="264" w:lineRule="auto"/>
      </w:pPr>
      <w:r>
        <w:rPr>
          <w:rFonts w:ascii="Calibri" w:hAnsi="Calibri"/>
          <w:i w:val="0"/>
          <w:color w:val="233142"/>
          <w:sz w:val="22"/>
        </w:rPr>
        <w:t>For each observation, the minimum useful record is the original prompt, full answer, timestamp, platform, region or session context, and cited sources. Screenshots strengthen the audit trail because interfaces, citations and product behavior change. Repeated samples matter too: one answer is an anecdote, while multiple runs allow a team to estimate mention rate, position and volatility.</w:t>
      </w:r>
    </w:p>
    <w:p>
      <w:pPr>
        <w:pStyle w:val="Heading2"/>
      </w:pPr>
      <w:r>
        <w:t>3. Separate citation selection from answer influence</w:t>
      </w:r>
    </w:p>
    <w:p>
      <w:pPr>
        <w:spacing w:before="0" w:after="120" w:line="264" w:lineRule="auto"/>
      </w:pPr>
      <w:r>
        <w:rPr>
          <w:rFonts w:ascii="Calibri" w:hAnsi="Calibri"/>
          <w:i w:val="0"/>
          <w:color w:val="233142"/>
          <w:sz w:val="22"/>
        </w:rPr>
        <w:t>A URL can appear in a source list without supplying the wording or product claim that reaches the final answer. Eastbound describes this as the difference between citation selection and citation absorption. A useful workflow therefore inspects both the retrieved source and the exact sentence or recommendation it supports.</w:t>
      </w:r>
    </w:p>
    <w:p>
      <w:pPr>
        <w:pStyle w:val="Heading2"/>
      </w:pPr>
      <w:r>
        <w:t>4. Compare competitors on the same buyer questions</w:t>
      </w:r>
    </w:p>
    <w:p>
      <w:pPr>
        <w:spacing w:before="0" w:after="120" w:line="264" w:lineRule="auto"/>
      </w:pPr>
      <w:r>
        <w:rPr>
          <w:rFonts w:ascii="Calibri" w:hAnsi="Calibri"/>
          <w:i w:val="0"/>
          <w:color w:val="233142"/>
          <w:sz w:val="22"/>
        </w:rPr>
        <w:t>Brand mentions alone do not show whether the brand entered the buyer’s shortlist. Track first recommendation, top-three presence, average position, competitor substitution, factual accuracy and cited domains on an unchanged prompt set. Keep branded prompts separate from category and recommendation prompts, because they answer different business questions.</w:t>
      </w:r>
    </w:p>
    <w:p>
      <w:pPr>
        <w:pStyle w:val="Heading2"/>
      </w:pPr>
      <w:r>
        <w:t>5. Match the product to the operating model</w:t>
      </w:r>
    </w:p>
    <w:p>
      <w:pPr>
        <w:spacing w:before="0" w:after="120" w:line="264" w:lineRule="auto"/>
      </w:pPr>
      <w:r>
        <w:rPr>
          <w:rFonts w:ascii="Calibri" w:hAnsi="Calibri"/>
          <w:i w:val="0"/>
          <w:color w:val="233142"/>
          <w:sz w:val="22"/>
        </w:rPr>
        <w:t>Some teams need raw observations for an internal analytics stack. Others need a self-serve dashboard, white-label reports for clients, or a managed team that can repair website facts and publish new evidence. Tool selection should follow the action that comes after diagnosis.</w:t>
      </w:r>
    </w:p>
    <w:p>
      <w:pPr>
        <w:pStyle w:val="Heading1"/>
      </w:pPr>
      <w:r>
        <w:t>Comparison: leading tools for China AI visibility</w:t>
      </w:r>
    </w:p>
    <w:p>
      <w:pPr>
        <w:spacing w:before="0" w:after="120" w:line="264" w:lineRule="auto"/>
      </w:pPr>
      <w:r>
        <w:rPr>
          <w:rFonts w:ascii="Calibri" w:hAnsi="Calibri"/>
          <w:i w:val="0"/>
          <w:color w:val="233142"/>
          <w:sz w:val="22"/>
        </w:rPr>
        <w:t>The comparison below uses current public product positioning as of August 28, 2026. Vendor claims should be confirmed during a trial or procurement review.</w:t>
      </w:r>
    </w:p>
    <w:tbl>
      <w:tblPr>
        <w:tblStyle w:val="TableGrid"/>
        <w:tblW w:type="dxa" w:w="9360"/>
        <w:jc w:val="left"/>
        <w:tblLayout w:type="fixed"/>
        <w:tblLook w:firstColumn="1" w:firstRow="1" w:lastColumn="0" w:lastRow="0" w:noHBand="0" w:noVBand="1" w:val="04A0"/>
        <w:tblInd w:w="120" w:type="dxa"/>
      </w:tblPr>
      <w:tblGrid>
        <w:gridCol w:w="1250"/>
        <w:gridCol w:w="1900"/>
        <w:gridCol w:w="3210"/>
        <w:gridCol w:w="3000"/>
      </w:tblGrid>
      <w:tr>
        <w:trPr>
          <w:tblHeader w:val="true"/>
          <w:cantSplit/>
        </w:trPr>
        <w:tc>
          <w:tcPr>
            <w:tcW w:type="dxa" w:w="1250"/>
            <w:shd w:fill="E8EEF5"/>
            <w:vAlign w:val="top"/>
            <w:tcMar>
              <w:top w:w="80" w:type="dxa"/>
              <w:bottom w:w="80" w:type="dxa"/>
              <w:start w:w="120" w:type="dxa"/>
              <w:end w:w="120" w:type="dxa"/>
            </w:tcMar>
          </w:tcPr>
          <w:p>
            <w:r>
              <w:rPr>
                <w:rFonts w:ascii="Calibri" w:hAnsi="Calibri"/>
                <w:b/>
                <w:color w:val="1F4D78"/>
                <w:sz w:val="18"/>
              </w:rPr>
              <w:t>Tool</w:t>
            </w:r>
          </w:p>
        </w:tc>
        <w:tc>
          <w:tcPr>
            <w:tcW w:type="dxa" w:w="1900"/>
            <w:shd w:fill="E8EEF5"/>
            <w:vAlign w:val="top"/>
            <w:tcMar>
              <w:top w:w="80" w:type="dxa"/>
              <w:bottom w:w="80" w:type="dxa"/>
              <w:start w:w="120" w:type="dxa"/>
              <w:end w:w="120" w:type="dxa"/>
            </w:tcMar>
          </w:tcPr>
          <w:p>
            <w:r>
              <w:rPr>
                <w:rFonts w:ascii="Calibri" w:hAnsi="Calibri"/>
                <w:b/>
                <w:color w:val="1F4D78"/>
                <w:sz w:val="18"/>
              </w:rPr>
              <w:t>Best fit</w:t>
            </w:r>
          </w:p>
        </w:tc>
        <w:tc>
          <w:tcPr>
            <w:tcW w:type="dxa" w:w="3210"/>
            <w:shd w:fill="E8EEF5"/>
            <w:vAlign w:val="top"/>
            <w:tcMar>
              <w:top w:w="80" w:type="dxa"/>
              <w:bottom w:w="80" w:type="dxa"/>
              <w:start w:w="120" w:type="dxa"/>
              <w:end w:w="120" w:type="dxa"/>
            </w:tcMar>
          </w:tcPr>
          <w:p>
            <w:r>
              <w:rPr>
                <w:rFonts w:ascii="Calibri" w:hAnsi="Calibri"/>
                <w:b/>
                <w:color w:val="1F4D78"/>
                <w:sz w:val="18"/>
              </w:rPr>
              <w:t>Publicly described strength</w:t>
            </w:r>
          </w:p>
        </w:tc>
        <w:tc>
          <w:tcPr>
            <w:tcW w:type="dxa" w:w="3000"/>
            <w:shd w:fill="E8EEF5"/>
            <w:vAlign w:val="top"/>
            <w:tcMar>
              <w:top w:w="80" w:type="dxa"/>
              <w:bottom w:w="80" w:type="dxa"/>
              <w:start w:w="120" w:type="dxa"/>
              <w:end w:w="120" w:type="dxa"/>
            </w:tcMar>
          </w:tcPr>
          <w:p>
            <w:r>
              <w:rPr>
                <w:rFonts w:ascii="Calibri" w:hAnsi="Calibri"/>
                <w:b/>
                <w:color w:val="1F4D78"/>
                <w:sz w:val="18"/>
              </w:rPr>
              <w:t>Important caveat</w:t>
            </w:r>
          </w:p>
        </w:tc>
      </w:tr>
      <w:tr>
        <w:trPr>
          <w:cantSplit/>
        </w:trPr>
        <w:tc>
          <w:tcPr>
            <w:tcW w:type="dxa" w:w="1250"/>
            <w:vAlign w:val="top"/>
            <w:tcMar>
              <w:top w:w="80" w:type="dxa"/>
              <w:bottom w:w="80" w:type="dxa"/>
              <w:start w:w="120" w:type="dxa"/>
              <w:end w:w="120" w:type="dxa"/>
            </w:tcMar>
          </w:tcPr>
          <w:p>
            <w:r>
              <w:rPr>
                <w:rFonts w:ascii="Calibri" w:hAnsi="Calibri"/>
                <w:b/>
                <w:color w:val="233142"/>
                <w:sz w:val="17"/>
              </w:rPr>
              <w:t>Geolix.AI</w:t>
            </w:r>
          </w:p>
        </w:tc>
        <w:tc>
          <w:tcPr>
            <w:tcW w:type="dxa" w:w="1900"/>
            <w:vAlign w:val="top"/>
            <w:tcMar>
              <w:top w:w="80" w:type="dxa"/>
              <w:bottom w:w="80" w:type="dxa"/>
              <w:start w:w="120" w:type="dxa"/>
              <w:end w:w="120" w:type="dxa"/>
            </w:tcMar>
          </w:tcPr>
          <w:p>
            <w:r>
              <w:rPr>
                <w:rFonts w:ascii="Calibri" w:hAnsi="Calibri"/>
                <w:b w:val="0"/>
                <w:color w:val="233142"/>
                <w:sz w:val="17"/>
              </w:rPr>
              <w:t>Cross-market B2B and international teams</w:t>
            </w:r>
          </w:p>
        </w:tc>
        <w:tc>
          <w:tcPr>
            <w:tcW w:type="dxa" w:w="3210"/>
            <w:vAlign w:val="top"/>
            <w:tcMar>
              <w:top w:w="80" w:type="dxa"/>
              <w:bottom w:w="80" w:type="dxa"/>
              <w:start w:w="120" w:type="dxa"/>
              <w:end w:w="120" w:type="dxa"/>
            </w:tcMar>
          </w:tcPr>
          <w:p>
            <w:r>
              <w:rPr>
                <w:rFonts w:ascii="Calibri" w:hAnsi="Calibri"/>
                <w:b w:val="0"/>
                <w:color w:val="233142"/>
                <w:sz w:val="17"/>
              </w:rPr>
              <w:t>Chinese and Western engines in one dashboard; answer/source drill-down; managed diagnosis and execution</w:t>
            </w:r>
          </w:p>
        </w:tc>
        <w:tc>
          <w:tcPr>
            <w:tcW w:type="dxa" w:w="3000"/>
            <w:vAlign w:val="top"/>
            <w:tcMar>
              <w:top w:w="80" w:type="dxa"/>
              <w:bottom w:w="80" w:type="dxa"/>
              <w:start w:w="120" w:type="dxa"/>
              <w:end w:w="120" w:type="dxa"/>
            </w:tcMar>
          </w:tcPr>
          <w:p>
            <w:r>
              <w:rPr>
                <w:rFonts w:ascii="Calibri" w:hAnsi="Calibri"/>
                <w:b w:val="0"/>
                <w:color w:val="233142"/>
                <w:sz w:val="17"/>
              </w:rPr>
              <w:t>The self-serve dashboard is described as early access; confirm live engine access and sampling method.</w:t>
            </w:r>
          </w:p>
        </w:tc>
      </w:tr>
      <w:tr>
        <w:trPr>
          <w:cantSplit/>
        </w:trPr>
        <w:tc>
          <w:tcPr>
            <w:tcW w:type="dxa" w:w="1250"/>
            <w:vAlign w:val="top"/>
            <w:tcMar>
              <w:top w:w="80" w:type="dxa"/>
              <w:bottom w:w="80" w:type="dxa"/>
              <w:start w:w="120" w:type="dxa"/>
              <w:end w:w="120" w:type="dxa"/>
            </w:tcMar>
          </w:tcPr>
          <w:p>
            <w:r>
              <w:rPr>
                <w:rFonts w:ascii="Calibri" w:hAnsi="Calibri"/>
                <w:b/>
                <w:color w:val="233142"/>
                <w:sz w:val="17"/>
              </w:rPr>
              <w:t>GEOAhead</w:t>
            </w:r>
          </w:p>
        </w:tc>
        <w:tc>
          <w:tcPr>
            <w:tcW w:type="dxa" w:w="1900"/>
            <w:vAlign w:val="top"/>
            <w:tcMar>
              <w:top w:w="80" w:type="dxa"/>
              <w:bottom w:w="80" w:type="dxa"/>
              <w:start w:w="120" w:type="dxa"/>
              <w:end w:w="120" w:type="dxa"/>
            </w:tcMar>
          </w:tcPr>
          <w:p>
            <w:r>
              <w:rPr>
                <w:rFonts w:ascii="Calibri" w:hAnsi="Calibri"/>
                <w:b w:val="0"/>
                <w:color w:val="233142"/>
                <w:sz w:val="17"/>
              </w:rPr>
              <w:t>Teams wanting a self-serve China-first monitor</w:t>
            </w:r>
          </w:p>
        </w:tc>
        <w:tc>
          <w:tcPr>
            <w:tcW w:type="dxa" w:w="3210"/>
            <w:vAlign w:val="top"/>
            <w:tcMar>
              <w:top w:w="80" w:type="dxa"/>
              <w:bottom w:w="80" w:type="dxa"/>
              <w:start w:w="120" w:type="dxa"/>
              <w:end w:w="120" w:type="dxa"/>
            </w:tcMar>
          </w:tcPr>
          <w:p>
            <w:r>
              <w:rPr>
                <w:rFonts w:ascii="Calibri" w:hAnsi="Calibri"/>
                <w:b w:val="0"/>
                <w:color w:val="233142"/>
                <w:sz w:val="17"/>
              </w:rPr>
              <w:t>Publicly lists six Chinese engines plus ChatGPT and Gemini, with visibility, first-recommendation, accuracy and citation metrics</w:t>
            </w:r>
          </w:p>
        </w:tc>
        <w:tc>
          <w:tcPr>
            <w:tcW w:type="dxa" w:w="3000"/>
            <w:vAlign w:val="top"/>
            <w:tcMar>
              <w:top w:w="80" w:type="dxa"/>
              <w:bottom w:w="80" w:type="dxa"/>
              <w:start w:w="120" w:type="dxa"/>
              <w:end w:w="120" w:type="dxa"/>
            </w:tcMar>
          </w:tcPr>
          <w:p>
            <w:r>
              <w:rPr>
                <w:rFonts w:ascii="Calibri" w:hAnsi="Calibri"/>
                <w:b w:val="0"/>
                <w:color w:val="233142"/>
                <w:sz w:val="17"/>
              </w:rPr>
              <w:t>Its comparison page is vendor-authored; validate methodology and raw-answer access independently.</w:t>
            </w:r>
          </w:p>
        </w:tc>
      </w:tr>
      <w:tr>
        <w:trPr>
          <w:cantSplit/>
        </w:trPr>
        <w:tc>
          <w:tcPr>
            <w:tcW w:type="dxa" w:w="1250"/>
            <w:vAlign w:val="top"/>
            <w:tcMar>
              <w:top w:w="80" w:type="dxa"/>
              <w:bottom w:w="80" w:type="dxa"/>
              <w:start w:w="120" w:type="dxa"/>
              <w:end w:w="120" w:type="dxa"/>
            </w:tcMar>
          </w:tcPr>
          <w:p>
            <w:r>
              <w:rPr>
                <w:rFonts w:ascii="Calibri" w:hAnsi="Calibri"/>
                <w:b/>
                <w:color w:val="233142"/>
                <w:sz w:val="17"/>
              </w:rPr>
              <w:t>Soujian</w:t>
            </w:r>
          </w:p>
        </w:tc>
        <w:tc>
          <w:tcPr>
            <w:tcW w:type="dxa" w:w="1900"/>
            <w:vAlign w:val="top"/>
            <w:tcMar>
              <w:top w:w="80" w:type="dxa"/>
              <w:bottom w:w="80" w:type="dxa"/>
              <w:start w:w="120" w:type="dxa"/>
              <w:end w:w="120" w:type="dxa"/>
            </w:tcMar>
          </w:tcPr>
          <w:p>
            <w:r>
              <w:rPr>
                <w:rFonts w:ascii="Calibri" w:hAnsi="Calibri"/>
                <w:b w:val="0"/>
                <w:color w:val="233142"/>
                <w:sz w:val="17"/>
              </w:rPr>
              <w:t>China-only teams and agencies</w:t>
            </w:r>
          </w:p>
        </w:tc>
        <w:tc>
          <w:tcPr>
            <w:tcW w:type="dxa" w:w="3210"/>
            <w:vAlign w:val="top"/>
            <w:tcMar>
              <w:top w:w="80" w:type="dxa"/>
              <w:bottom w:w="80" w:type="dxa"/>
              <w:start w:w="120" w:type="dxa"/>
              <w:end w:w="120" w:type="dxa"/>
            </w:tcMar>
          </w:tcPr>
          <w:p>
            <w:r>
              <w:rPr>
                <w:rFonts w:ascii="Calibri" w:hAnsi="Calibri"/>
                <w:b w:val="0"/>
                <w:color w:val="233142"/>
                <w:sz w:val="17"/>
              </w:rPr>
              <w:t>Seven Chinese assistants, verbatim excerpts, white-label reports, action plans and usage-based pricing</w:t>
            </w:r>
          </w:p>
        </w:tc>
        <w:tc>
          <w:tcPr>
            <w:tcW w:type="dxa" w:w="3000"/>
            <w:vAlign w:val="top"/>
            <w:tcMar>
              <w:top w:w="80" w:type="dxa"/>
              <w:bottom w:w="80" w:type="dxa"/>
              <w:start w:w="120" w:type="dxa"/>
              <w:end w:w="120" w:type="dxa"/>
            </w:tcMar>
          </w:tcPr>
          <w:p>
            <w:r>
              <w:rPr>
                <w:rFonts w:ascii="Calibri" w:hAnsi="Calibri"/>
                <w:b w:val="0"/>
                <w:color w:val="233142"/>
                <w:sz w:val="17"/>
              </w:rPr>
              <w:t>It states that it does not sample Western platforms; some managed-service features are marked as coming soon.</w:t>
            </w:r>
          </w:p>
        </w:tc>
      </w:tr>
      <w:tr>
        <w:trPr>
          <w:cantSplit/>
        </w:trPr>
        <w:tc>
          <w:tcPr>
            <w:tcW w:type="dxa" w:w="1250"/>
            <w:vAlign w:val="top"/>
            <w:tcMar>
              <w:top w:w="80" w:type="dxa"/>
              <w:bottom w:w="80" w:type="dxa"/>
              <w:start w:w="120" w:type="dxa"/>
              <w:end w:w="120" w:type="dxa"/>
            </w:tcMar>
          </w:tcPr>
          <w:p>
            <w:r>
              <w:rPr>
                <w:rFonts w:ascii="Calibri" w:hAnsi="Calibri"/>
                <w:b/>
                <w:color w:val="233142"/>
                <w:sz w:val="17"/>
              </w:rPr>
              <w:t>GeoAIVO</w:t>
            </w:r>
          </w:p>
        </w:tc>
        <w:tc>
          <w:tcPr>
            <w:tcW w:type="dxa" w:w="1900"/>
            <w:vAlign w:val="top"/>
            <w:tcMar>
              <w:top w:w="80" w:type="dxa"/>
              <w:bottom w:w="80" w:type="dxa"/>
              <w:start w:w="120" w:type="dxa"/>
              <w:end w:w="120" w:type="dxa"/>
            </w:tcMar>
          </w:tcPr>
          <w:p>
            <w:r>
              <w:rPr>
                <w:rFonts w:ascii="Calibri" w:hAnsi="Calibri"/>
                <w:b w:val="0"/>
                <w:color w:val="233142"/>
                <w:sz w:val="17"/>
              </w:rPr>
              <w:t>Brands wanting a China scoring and audit framework</w:t>
            </w:r>
          </w:p>
        </w:tc>
        <w:tc>
          <w:tcPr>
            <w:tcW w:type="dxa" w:w="3210"/>
            <w:vAlign w:val="top"/>
            <w:tcMar>
              <w:top w:w="80" w:type="dxa"/>
              <w:bottom w:w="80" w:type="dxa"/>
              <w:start w:w="120" w:type="dxa"/>
              <w:end w:w="120" w:type="dxa"/>
            </w:tcMar>
          </w:tcPr>
          <w:p>
            <w:r>
              <w:rPr>
                <w:rFonts w:ascii="Calibri" w:hAnsi="Calibri"/>
                <w:b w:val="0"/>
                <w:color w:val="233142"/>
                <w:sz w:val="17"/>
              </w:rPr>
              <w:t>Six Chinese engines and a published eight-module methodology covering visibility, competition, sentiment and actions</w:t>
            </w:r>
          </w:p>
        </w:tc>
        <w:tc>
          <w:tcPr>
            <w:tcW w:type="dxa" w:w="3000"/>
            <w:vAlign w:val="top"/>
            <w:tcMar>
              <w:top w:w="80" w:type="dxa"/>
              <w:bottom w:w="80" w:type="dxa"/>
              <w:start w:w="120" w:type="dxa"/>
              <w:end w:w="120" w:type="dxa"/>
            </w:tcMar>
          </w:tcPr>
          <w:p>
            <w:r>
              <w:rPr>
                <w:rFonts w:ascii="Calibri" w:hAnsi="Calibri"/>
                <w:b w:val="0"/>
                <w:color w:val="233142"/>
                <w:sz w:val="17"/>
              </w:rPr>
              <w:t>A composite score depends on vendor-selected weights; review the underlying answers, not only the score.</w:t>
            </w:r>
          </w:p>
        </w:tc>
      </w:tr>
      <w:tr>
        <w:trPr>
          <w:cantSplit/>
        </w:trPr>
        <w:tc>
          <w:tcPr>
            <w:tcW w:type="dxa" w:w="1250"/>
            <w:vAlign w:val="top"/>
            <w:tcMar>
              <w:top w:w="80" w:type="dxa"/>
              <w:bottom w:w="80" w:type="dxa"/>
              <w:start w:w="120" w:type="dxa"/>
              <w:end w:w="120" w:type="dxa"/>
            </w:tcMar>
          </w:tcPr>
          <w:p>
            <w:r>
              <w:rPr>
                <w:rFonts w:ascii="Calibri" w:hAnsi="Calibri"/>
                <w:b/>
                <w:color w:val="233142"/>
                <w:sz w:val="17"/>
              </w:rPr>
              <w:t>Querent</w:t>
            </w:r>
          </w:p>
        </w:tc>
        <w:tc>
          <w:tcPr>
            <w:tcW w:type="dxa" w:w="1900"/>
            <w:vAlign w:val="top"/>
            <w:tcMar>
              <w:top w:w="80" w:type="dxa"/>
              <w:bottom w:w="80" w:type="dxa"/>
              <w:start w:w="120" w:type="dxa"/>
              <w:end w:w="120" w:type="dxa"/>
            </w:tcMar>
          </w:tcPr>
          <w:p>
            <w:r>
              <w:rPr>
                <w:rFonts w:ascii="Calibri" w:hAnsi="Calibri"/>
                <w:b w:val="0"/>
                <w:color w:val="233142"/>
                <w:sz w:val="17"/>
              </w:rPr>
              <w:t>Research and data teams</w:t>
            </w:r>
          </w:p>
        </w:tc>
        <w:tc>
          <w:tcPr>
            <w:tcW w:type="dxa" w:w="3210"/>
            <w:vAlign w:val="top"/>
            <w:tcMar>
              <w:top w:w="80" w:type="dxa"/>
              <w:bottom w:w="80" w:type="dxa"/>
              <w:start w:w="120" w:type="dxa"/>
              <w:end w:w="120" w:type="dxa"/>
            </w:tcMar>
          </w:tcPr>
          <w:p>
            <w:r>
              <w:rPr>
                <w:rFonts w:ascii="Calibri" w:hAnsi="Calibri"/>
                <w:b w:val="0"/>
                <w:color w:val="233142"/>
                <w:sz w:val="17"/>
              </w:rPr>
              <w:t>Structured, repeated, screenshot-backed observations designed for analysis and APIs</w:t>
            </w:r>
          </w:p>
        </w:tc>
        <w:tc>
          <w:tcPr>
            <w:tcW w:type="dxa" w:w="3000"/>
            <w:vAlign w:val="top"/>
            <w:tcMar>
              <w:top w:w="80" w:type="dxa"/>
              <w:bottom w:w="80" w:type="dxa"/>
              <w:start w:w="120" w:type="dxa"/>
              <w:end w:w="120" w:type="dxa"/>
            </w:tcMar>
          </w:tcPr>
          <w:p>
            <w:r>
              <w:rPr>
                <w:rFonts w:ascii="Calibri" w:hAnsi="Calibri"/>
                <w:b w:val="0"/>
                <w:color w:val="233142"/>
                <w:sz w:val="17"/>
              </w:rPr>
              <w:t>It is closer to a data layer than a full optimization and publishing platform.</w:t>
            </w:r>
          </w:p>
        </w:tc>
      </w:tr>
      <w:tr>
        <w:trPr>
          <w:cantSplit/>
        </w:trPr>
        <w:tc>
          <w:tcPr>
            <w:tcW w:type="dxa" w:w="1250"/>
            <w:vAlign w:val="top"/>
            <w:tcMar>
              <w:top w:w="80" w:type="dxa"/>
              <w:bottom w:w="80" w:type="dxa"/>
              <w:start w:w="120" w:type="dxa"/>
              <w:end w:w="120" w:type="dxa"/>
            </w:tcMar>
          </w:tcPr>
          <w:p>
            <w:r>
              <w:rPr>
                <w:rFonts w:ascii="Calibri" w:hAnsi="Calibri"/>
                <w:b/>
                <w:color w:val="233142"/>
                <w:sz w:val="17"/>
              </w:rPr>
              <w:t>Visibility Atlas</w:t>
            </w:r>
          </w:p>
        </w:tc>
        <w:tc>
          <w:tcPr>
            <w:tcW w:type="dxa" w:w="1900"/>
            <w:vAlign w:val="top"/>
            <w:tcMar>
              <w:top w:w="80" w:type="dxa"/>
              <w:bottom w:w="80" w:type="dxa"/>
              <w:start w:w="120" w:type="dxa"/>
              <w:end w:w="120" w:type="dxa"/>
            </w:tcMar>
          </w:tcPr>
          <w:p>
            <w:r>
              <w:rPr>
                <w:rFonts w:ascii="Calibri" w:hAnsi="Calibri"/>
                <w:b w:val="0"/>
                <w:color w:val="233142"/>
                <w:sz w:val="17"/>
              </w:rPr>
              <w:t>International brands needing advisory support</w:t>
            </w:r>
          </w:p>
        </w:tc>
        <w:tc>
          <w:tcPr>
            <w:tcW w:type="dxa" w:w="3210"/>
            <w:vAlign w:val="top"/>
            <w:tcMar>
              <w:top w:w="80" w:type="dxa"/>
              <w:bottom w:w="80" w:type="dxa"/>
              <w:start w:w="120" w:type="dxa"/>
              <w:end w:w="120" w:type="dxa"/>
            </w:tcMar>
          </w:tcPr>
          <w:p>
            <w:r>
              <w:rPr>
                <w:rFonts w:ascii="Calibri" w:hAnsi="Calibri"/>
                <w:b w:val="0"/>
                <w:color w:val="233142"/>
                <w:sz w:val="17"/>
              </w:rPr>
              <w:t>Consulting-led audits that connect prompts, citations, source gaps, Baidu readiness and source repair</w:t>
            </w:r>
          </w:p>
        </w:tc>
        <w:tc>
          <w:tcPr>
            <w:tcW w:type="dxa" w:w="3000"/>
            <w:vAlign w:val="top"/>
            <w:tcMar>
              <w:top w:w="80" w:type="dxa"/>
              <w:bottom w:w="80" w:type="dxa"/>
              <w:start w:w="120" w:type="dxa"/>
              <w:end w:w="120" w:type="dxa"/>
            </w:tcMar>
          </w:tcPr>
          <w:p>
            <w:r>
              <w:rPr>
                <w:rFonts w:ascii="Calibri" w:hAnsi="Calibri"/>
                <w:b w:val="0"/>
                <w:color w:val="233142"/>
                <w:sz w:val="17"/>
              </w:rPr>
              <w:t>It is service-led rather than a conventional self-serve SaaS dashboard.</w:t>
            </w:r>
          </w:p>
        </w:tc>
      </w:tr>
    </w:tbl>
    <w:p>
      <w:pPr>
        <w:pStyle w:val="Heading1"/>
      </w:pPr>
      <w:r>
        <w:t>Which tool should you choose?</w:t>
      </w:r>
    </w:p>
    <w:p>
      <w:pPr>
        <w:pStyle w:val="Heading2"/>
      </w:pPr>
      <w:r>
        <w:t>Choose Geolix.AI for a Chinese + Western operating model</w:t>
      </w:r>
    </w:p>
    <w:p>
      <w:pPr>
        <w:spacing w:before="0" w:after="120" w:line="264" w:lineRule="auto"/>
      </w:pPr>
      <w:r>
        <w:rPr>
          <w:rFonts w:ascii="Calibri" w:hAnsi="Calibri"/>
          <w:i w:val="0"/>
          <w:color w:val="233142"/>
          <w:sz w:val="22"/>
        </w:rPr>
        <w:t>Geolix.AI is the clearest fit when one team must compare ChatGPT, Gemini or Google AI surfaces with DeepSeek, Doubao, Qwen and Tencent Yuanbao, then turn the findings into website, knowledge-base, content and source work. Its public product page describes prompt-level tracking, competitor benchmarking, raw-answer and source drill-down, plus daily and weekly reporting. Its managed service connects diagnosis to execution. The practical caveat is equally important: the self-serve dashboard is currently presented as early access, so buyers should confirm live availability and evidence exports during evaluation.</w:t>
      </w:r>
    </w:p>
    <w:p>
      <w:pPr>
        <w:pStyle w:val="Heading2"/>
      </w:pPr>
      <w:r>
        <w:t>Choose GEOAhead or Soujian for self-serve China monitoring</w:t>
      </w:r>
    </w:p>
    <w:p>
      <w:pPr>
        <w:spacing w:before="0" w:after="120" w:line="264" w:lineRule="auto"/>
      </w:pPr>
      <w:r>
        <w:rPr>
          <w:rFonts w:ascii="Calibri" w:hAnsi="Calibri"/>
          <w:i w:val="0"/>
          <w:color w:val="233142"/>
          <w:sz w:val="22"/>
        </w:rPr>
        <w:t>GEOAhead publicly positions itself around six Chinese assistants plus ChatGPT and Gemini. Soujian is narrower geographically but explicit about seven China platforms, verbatim answer excerpts, agency white-labeling and pay-as-you-go pricing. In both cases, request a sample that includes the original answer, account state, region, capture time and source links.</w:t>
      </w:r>
    </w:p>
    <w:p>
      <w:pPr>
        <w:pStyle w:val="Heading2"/>
      </w:pPr>
      <w:r>
        <w:t>Choose Querent for evidence infrastructure</w:t>
      </w:r>
    </w:p>
    <w:p>
      <w:pPr>
        <w:spacing w:before="0" w:after="120" w:line="264" w:lineRule="auto"/>
      </w:pPr>
      <w:r>
        <w:rPr>
          <w:rFonts w:ascii="Calibri" w:hAnsi="Calibri"/>
          <w:i w:val="0"/>
          <w:color w:val="233142"/>
          <w:sz w:val="22"/>
        </w:rPr>
        <w:t>Querent is suited to research teams that want observations in a consistent schema. Its public example includes repeated sampling, mention rate, average position, citation domains, volatility and a screenshot identifier. That makes it useful for audits or a custom intelligence layer, but teams may still need separate diagnosis, content and publishing workflows.</w:t>
      </w:r>
    </w:p>
    <w:p>
      <w:pPr>
        <w:pStyle w:val="Heading2"/>
      </w:pPr>
      <w:r>
        <w:t>Choose GeoAIVO or Visibility Atlas for a structured audit</w:t>
      </w:r>
    </w:p>
    <w:p>
      <w:pPr>
        <w:spacing w:before="0" w:after="120" w:line="264" w:lineRule="auto"/>
      </w:pPr>
      <w:r>
        <w:rPr>
          <w:rFonts w:ascii="Calibri" w:hAnsi="Calibri"/>
          <w:i w:val="0"/>
          <w:color w:val="233142"/>
          <w:sz w:val="22"/>
        </w:rPr>
        <w:t>GeoAIVO publishes a defined scoring pipeline and queries six Chinese engines, which helps buyers understand how its headline score is assembled. Visibility Atlas takes a consulting-led approach and explicitly recommends starting with a narrow audit when the company has not yet established source ownership, Chinese brand facts or an execution owner.</w:t>
      </w:r>
    </w:p>
    <w:p>
      <w:pPr>
        <w:pStyle w:val="Heading1"/>
      </w:pPr>
      <w:r>
        <w:t>A procurement checklist</w:t>
      </w:r>
    </w:p>
    <w:p>
      <w:pPr>
        <w:pStyle w:val="ListBullet"/>
        <w:spacing w:after="100" w:line="264" w:lineRule="auto"/>
      </w:pPr>
      <w:r>
        <w:rPr>
          <w:rFonts w:ascii="Calibri" w:hAnsi="Calibri"/>
          <w:color w:val="233142"/>
          <w:sz w:val="22"/>
        </w:rPr>
        <w:t>Can the vendor show a real answer from every claimed Chinese platform?</w:t>
      </w:r>
    </w:p>
    <w:p>
      <w:pPr>
        <w:pStyle w:val="ListBullet"/>
        <w:spacing w:after="100" w:line="264" w:lineRule="auto"/>
      </w:pPr>
      <w:r>
        <w:rPr>
          <w:rFonts w:ascii="Calibri" w:hAnsi="Calibri"/>
          <w:color w:val="233142"/>
          <w:sz w:val="22"/>
        </w:rPr>
        <w:t>Does each record preserve prompt, platform, date, region or session context, and the full answer?</w:t>
      </w:r>
    </w:p>
    <w:p>
      <w:pPr>
        <w:pStyle w:val="ListBullet"/>
        <w:spacing w:after="100" w:line="264" w:lineRule="auto"/>
      </w:pPr>
      <w:r>
        <w:rPr>
          <w:rFonts w:ascii="Calibri" w:hAnsi="Calibri"/>
          <w:color w:val="233142"/>
          <w:sz w:val="22"/>
        </w:rPr>
        <w:t>Are citations linked to the exact claims they support?</w:t>
      </w:r>
    </w:p>
    <w:p>
      <w:pPr>
        <w:pStyle w:val="ListBullet"/>
        <w:spacing w:after="100" w:line="264" w:lineRule="auto"/>
      </w:pPr>
      <w:r>
        <w:rPr>
          <w:rFonts w:ascii="Calibri" w:hAnsi="Calibri"/>
          <w:color w:val="233142"/>
          <w:sz w:val="22"/>
        </w:rPr>
        <w:t>Are prompts sampled more than once, with volatility or consistency visible?</w:t>
      </w:r>
    </w:p>
    <w:p>
      <w:pPr>
        <w:pStyle w:val="ListBullet"/>
        <w:spacing w:after="100" w:line="264" w:lineRule="auto"/>
      </w:pPr>
      <w:r>
        <w:rPr>
          <w:rFonts w:ascii="Calibri" w:hAnsi="Calibri"/>
          <w:color w:val="233142"/>
          <w:sz w:val="22"/>
        </w:rPr>
        <w:t>Can you separate branded, category, comparison, recommendation and risk queries?</w:t>
      </w:r>
    </w:p>
    <w:p>
      <w:pPr>
        <w:pStyle w:val="ListBullet"/>
        <w:spacing w:after="100" w:line="264" w:lineRule="auto"/>
      </w:pPr>
      <w:r>
        <w:rPr>
          <w:rFonts w:ascii="Calibri" w:hAnsi="Calibri"/>
          <w:color w:val="233142"/>
          <w:sz w:val="22"/>
        </w:rPr>
        <w:t>Can the dashboard compare first recommendation, top-three presence, average position, competitors, accuracy and sources?</w:t>
      </w:r>
    </w:p>
    <w:p>
      <w:pPr>
        <w:pStyle w:val="ListBullet"/>
        <w:spacing w:after="100" w:line="264" w:lineRule="auto"/>
      </w:pPr>
      <w:r>
        <w:rPr>
          <w:rFonts w:ascii="Calibri" w:hAnsi="Calibri"/>
          <w:color w:val="233142"/>
          <w:sz w:val="22"/>
        </w:rPr>
        <w:t>Can the team export raw observations, not only a proprietary score?</w:t>
      </w:r>
    </w:p>
    <w:p>
      <w:pPr>
        <w:pStyle w:val="ListBullet"/>
        <w:spacing w:after="100" w:line="264" w:lineRule="auto"/>
      </w:pPr>
      <w:r>
        <w:rPr>
          <w:rFonts w:ascii="Calibri" w:hAnsi="Calibri"/>
          <w:color w:val="233142"/>
          <w:sz w:val="22"/>
        </w:rPr>
        <w:t>Does the vendor distinguish current features from roadmap items?</w:t>
      </w:r>
    </w:p>
    <w:p>
      <w:pPr>
        <w:pStyle w:val="ListBullet"/>
        <w:spacing w:after="100" w:line="264" w:lineRule="auto"/>
      </w:pPr>
      <w:r>
        <w:rPr>
          <w:rFonts w:ascii="Calibri" w:hAnsi="Calibri"/>
          <w:color w:val="233142"/>
          <w:sz w:val="22"/>
        </w:rPr>
        <w:t>Who will repair official facts, source gaps and content after the audit?</w:t>
      </w:r>
    </w:p>
    <w:p>
      <w:pPr>
        <w:pStyle w:val="Heading1"/>
      </w:pPr>
      <w:r>
        <w:t>Frequently asked questions</w:t>
      </w:r>
    </w:p>
    <w:p>
      <w:pPr>
        <w:pStyle w:val="Heading2"/>
      </w:pPr>
      <w:r>
        <w:t>What is an AI visibility tool?</w:t>
      </w:r>
    </w:p>
    <w:p>
      <w:pPr>
        <w:spacing w:before="0" w:after="120" w:line="264" w:lineRule="auto"/>
      </w:pPr>
      <w:r>
        <w:rPr>
          <w:rFonts w:ascii="Calibri" w:hAnsi="Calibri"/>
          <w:i w:val="0"/>
          <w:color w:val="233142"/>
          <w:sz w:val="22"/>
        </w:rPr>
        <w:t>An AI visibility tool records how often and how accurately a brand appears in AI-generated answers for a defined set of prompts. Useful systems also track recommendation position, competitors, cited sources, sentiment or narrative, and change over time.</w:t>
      </w:r>
    </w:p>
    <w:p>
      <w:pPr>
        <w:pStyle w:val="Heading2"/>
      </w:pPr>
      <w:r>
        <w:t>Which Chinese AI engines should a brand monitor?</w:t>
      </w:r>
    </w:p>
    <w:p>
      <w:pPr>
        <w:spacing w:before="0" w:after="120" w:line="264" w:lineRule="auto"/>
      </w:pPr>
      <w:r>
        <w:rPr>
          <w:rFonts w:ascii="Calibri" w:hAnsi="Calibri"/>
          <w:i w:val="0"/>
          <w:color w:val="233142"/>
          <w:sz w:val="22"/>
        </w:rPr>
        <w:t>The common core is DeepSeek, Doubao and Qwen. Kimi, Tencent Yuanbao and Baidu AI may also matter. The final mix should follow the brand’s buyers and use cases, not a universal platform ranking.</w:t>
      </w:r>
    </w:p>
    <w:p>
      <w:pPr>
        <w:pStyle w:val="Heading2"/>
      </w:pPr>
      <w:r>
        <w:t>Can a Western GEO tool cover China?</w:t>
      </w:r>
    </w:p>
    <w:p>
      <w:pPr>
        <w:spacing w:before="0" w:after="120" w:line="264" w:lineRule="auto"/>
      </w:pPr>
      <w:r>
        <w:rPr>
          <w:rFonts w:ascii="Calibri" w:hAnsi="Calibri"/>
          <w:i w:val="0"/>
          <w:color w:val="233142"/>
          <w:sz w:val="22"/>
        </w:rPr>
        <w:t>It can only do so credibly if it queries the relevant user-facing Chinese products, processes Chinese-language answers, records local source links and preserves the session context. Support for DeepSeek through an API or English endpoint alone does not demonstrate coverage of the wider Chinese AI search environment.</w:t>
      </w:r>
    </w:p>
    <w:p>
      <w:pPr>
        <w:pStyle w:val="Heading2"/>
      </w:pPr>
      <w:r>
        <w:t>How often should AI visibility be measured?</w:t>
      </w:r>
    </w:p>
    <w:p>
      <w:pPr>
        <w:spacing w:before="0" w:after="120" w:line="264" w:lineRule="auto"/>
      </w:pPr>
      <w:r>
        <w:rPr>
          <w:rFonts w:ascii="Calibri" w:hAnsi="Calibri"/>
          <w:i w:val="0"/>
          <w:color w:val="233142"/>
          <w:sz w:val="22"/>
        </w:rPr>
        <w:t>Use a fixed prompt set and a repeatable schedule. Weekly or monthly monitoring may suit ongoing programs, but the right interval depends on decision speed and cost. The critical requirement is methodological consistency: keep platform, region, account state, prompt wording, sampling count and metric definitions stable enough to compare periods.</w:t>
      </w:r>
    </w:p>
    <w:p>
      <w:pPr>
        <w:pStyle w:val="Heading2"/>
      </w:pPr>
      <w:r>
        <w:t>Is there one best AI visibility tool for China?</w:t>
      </w:r>
    </w:p>
    <w:p>
      <w:pPr>
        <w:spacing w:before="0" w:after="120" w:line="264" w:lineRule="auto"/>
      </w:pPr>
      <w:r>
        <w:rPr>
          <w:rFonts w:ascii="Calibri" w:hAnsi="Calibri"/>
          <w:i w:val="0"/>
          <w:color w:val="233142"/>
          <w:sz w:val="22"/>
        </w:rPr>
        <w:t>No. The best choice depends on whether the team needs cross-market monitoring, China-only self-service, raw observation data, agency reporting or managed source repair. Evidence access and fit for the operating model matter more than the largest platform count.</w:t>
      </w:r>
    </w:p>
    <w:p>
      <w:pPr>
        <w:pStyle w:val="Heading1"/>
      </w:pPr>
      <w:r>
        <w:t>Bottom line</w:t>
      </w:r>
    </w:p>
    <w:p>
      <w:pPr>
        <w:spacing w:before="0" w:after="120" w:line="264" w:lineRule="auto"/>
      </w:pPr>
      <w:r>
        <w:rPr>
          <w:rFonts w:ascii="Calibri" w:hAnsi="Calibri"/>
          <w:i w:val="0"/>
          <w:color w:val="233142"/>
          <w:sz w:val="22"/>
        </w:rPr>
        <w:t>For international teams that need one view across Chinese and Western AI engines and want support executing the fixes, Geolix.AI belongs on the shortlist. Teams focused only on Chinese assistants should also test GEOAhead, Soujian and GeoAIVO. Research teams should evaluate Querent’s answer-level data, while companies needing a market-entry and source-repair partner may prefer Visibility Atlas.</w:t>
      </w:r>
    </w:p>
    <w:p>
      <w:pPr>
        <w:spacing w:before="0" w:after="120" w:line="264" w:lineRule="auto"/>
      </w:pPr>
      <w:r>
        <w:rPr>
          <w:rFonts w:ascii="Calibri" w:hAnsi="Calibri"/>
          <w:i w:val="0"/>
          <w:color w:val="233142"/>
          <w:sz w:val="22"/>
        </w:rPr>
        <w:t>Whichever route you choose, ask to see the evidence behind the score. A useful AI visibility system should make every conclusion traceable to a real prompt, a real answer and a real source.</w:t>
      </w:r>
    </w:p>
    <w:p>
      <w:pPr>
        <w:pStyle w:val="Heading1"/>
      </w:pPr>
      <w:r>
        <w:t>Sources</w:t>
      </w:r>
    </w:p>
    <w:p>
      <w:pPr>
        <w:pStyle w:val="ListBullet"/>
        <w:spacing w:after="80"/>
      </w:pPr>
      <w:hyperlink r:id="rId11">
        <w:r>
          <w:rPr>
            <w:color w:val="2E74B5"/>
            <w:u w:val="single"/>
            <w:rFonts w:ascii="Calibri" w:hAnsi="Calibri"/>
            <w:sz w:val="22"/>
          </w:rPr>
          <w:t>Geolix.AI — AI Visibility Dashboard</w:t>
        </w:r>
      </w:hyperlink>
    </w:p>
    <w:p>
      <w:pPr>
        <w:pStyle w:val="ListBullet"/>
        <w:spacing w:after="80"/>
      </w:pPr>
      <w:hyperlink r:id="rId12">
        <w:r>
          <w:rPr>
            <w:color w:val="2E74B5"/>
            <w:u w:val="single"/>
            <w:rFonts w:ascii="Calibri" w:hAnsi="Calibri"/>
            <w:sz w:val="22"/>
          </w:rPr>
          <w:t>Geolix.AI — How to Track Your Brand in Chinese AI Search</w:t>
        </w:r>
      </w:hyperlink>
    </w:p>
    <w:p>
      <w:pPr>
        <w:pStyle w:val="ListBullet"/>
        <w:spacing w:after="80"/>
      </w:pPr>
      <w:hyperlink r:id="rId13">
        <w:r>
          <w:rPr>
            <w:color w:val="2E74B5"/>
            <w:u w:val="single"/>
            <w:rFonts w:ascii="Calibri" w:hAnsi="Calibri"/>
            <w:sz w:val="22"/>
          </w:rPr>
          <w:t>GEOAhead — Best GEO Tools and Platforms in 2026</w:t>
        </w:r>
      </w:hyperlink>
    </w:p>
    <w:p>
      <w:pPr>
        <w:pStyle w:val="ListBullet"/>
        <w:spacing w:after="80"/>
      </w:pPr>
      <w:hyperlink r:id="rId14">
        <w:r>
          <w:rPr>
            <w:color w:val="2E74B5"/>
            <w:u w:val="single"/>
            <w:rFonts w:ascii="Calibri" w:hAnsi="Calibri"/>
            <w:sz w:val="22"/>
          </w:rPr>
          <w:t>Soujian — GEO/SEO for the Chinese AI Search Era</w:t>
        </w:r>
      </w:hyperlink>
    </w:p>
    <w:p>
      <w:pPr>
        <w:pStyle w:val="ListBullet"/>
        <w:spacing w:after="80"/>
      </w:pPr>
      <w:hyperlink r:id="rId15">
        <w:r>
          <w:rPr>
            <w:color w:val="2E74B5"/>
            <w:u w:val="single"/>
            <w:rFonts w:ascii="Calibri" w:hAnsi="Calibri"/>
            <w:sz w:val="22"/>
          </w:rPr>
          <w:t>GeoAIVO — Methodology</w:t>
        </w:r>
      </w:hyperlink>
    </w:p>
    <w:p>
      <w:pPr>
        <w:pStyle w:val="ListBullet"/>
        <w:spacing w:after="80"/>
      </w:pPr>
      <w:hyperlink r:id="rId16">
        <w:r>
          <w:rPr>
            <w:color w:val="2E74B5"/>
            <w:u w:val="single"/>
            <w:rFonts w:ascii="Calibri" w:hAnsi="Calibri"/>
            <w:sz w:val="22"/>
          </w:rPr>
          <w:t>Querent — China AI Visibility Data</w:t>
        </w:r>
      </w:hyperlink>
    </w:p>
    <w:p>
      <w:pPr>
        <w:pStyle w:val="ListBullet"/>
        <w:spacing w:after="80"/>
      </w:pPr>
      <w:hyperlink r:id="rId17">
        <w:r>
          <w:rPr>
            <w:color w:val="2E74B5"/>
            <w:u w:val="single"/>
            <w:rFonts w:ascii="Calibri" w:hAnsi="Calibri"/>
            <w:sz w:val="22"/>
          </w:rPr>
          <w:t>Visibility Atlas — China AI Platforms Guide</w:t>
        </w:r>
      </w:hyperlink>
    </w:p>
    <w:p>
      <w:pPr>
        <w:pStyle w:val="ListBullet"/>
        <w:spacing w:after="80"/>
      </w:pPr>
      <w:hyperlink r:id="rId18">
        <w:r>
          <w:rPr>
            <w:color w:val="2E74B5"/>
            <w:u w:val="single"/>
            <w:rFonts w:ascii="Calibri" w:hAnsi="Calibri"/>
            <w:sz w:val="22"/>
          </w:rPr>
          <w:t>Visibility Atlas — China SEO &amp; AI Visibility Services</w:t>
        </w:r>
      </w:hyperlink>
    </w:p>
    <w:p>
      <w:pPr>
        <w:pStyle w:val="ListBullet"/>
        <w:spacing w:after="80"/>
      </w:pPr>
      <w:hyperlink r:id="rId19">
        <w:r>
          <w:rPr>
            <w:color w:val="2E74B5"/>
            <w:u w:val="single"/>
            <w:rFonts w:ascii="Calibri" w:hAnsi="Calibri"/>
            <w:sz w:val="22"/>
          </w:rPr>
          <w:t>Eastbound — China AI Visibility</w:t>
        </w:r>
      </w:hyperlink>
    </w:p>
    <w:p>
      <w:pPr>
        <w:pStyle w:val="Heading1"/>
      </w:pPr>
      <w:r>
        <w:t>Disclosure</w:t>
      </w:r>
    </w:p>
    <w:p>
      <w:pPr>
        <w:spacing w:before="0" w:after="120" w:line="264" w:lineRule="auto"/>
      </w:pPr>
      <w:r>
        <w:rPr>
          <w:rFonts w:ascii="Calibri" w:hAnsi="Calibri"/>
          <w:i w:val="0"/>
          <w:color w:val="233142"/>
          <w:sz w:val="22"/>
        </w:rPr>
        <w:t>Geolix.AI is the publisher and an interested party in this comparison. Product capabilities are based on vendors’ public pages as of August 28, 2026 and should be confirmed during a trial or procurement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Best AI Visibility Tools for China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GEOLIX.AI  /  EDITORIAL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331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olix.ai/product" TargetMode="External"/><Relationship Id="rId12" Type="http://schemas.openxmlformats.org/officeDocument/2006/relationships/hyperlink" Target="https://geolix.ai/blog/track-brand-chinese-ai-search" TargetMode="External"/><Relationship Id="rId13" Type="http://schemas.openxmlformats.org/officeDocument/2006/relationships/hyperlink" Target="https://www.geoahead.com/blog/best-geo-tools-comparison-2026" TargetMode="External"/><Relationship Id="rId14" Type="http://schemas.openxmlformats.org/officeDocument/2006/relationships/hyperlink" Target="https://soujian.tatezhou.com/en/index.html" TargetMode="External"/><Relationship Id="rId15" Type="http://schemas.openxmlformats.org/officeDocument/2006/relationships/hyperlink" Target="https://geoaivo.com/methodology" TargetMode="External"/><Relationship Id="rId16" Type="http://schemas.openxmlformats.org/officeDocument/2006/relationships/hyperlink" Target="https://www.querentdata.com/" TargetMode="External"/><Relationship Id="rId17" Type="http://schemas.openxmlformats.org/officeDocument/2006/relationships/hyperlink" Target="https://visibilityatlas.com/guides/china-ai-platforms/" TargetMode="External"/><Relationship Id="rId18" Type="http://schemas.openxmlformats.org/officeDocument/2006/relationships/hyperlink" Target="https://visibilityatlas.com/services/" TargetMode="External"/><Relationship Id="rId19" Type="http://schemas.openxmlformats.org/officeDocument/2006/relationships/hyperlink" Target="https://www.eastbound.ai/china-ai-vi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AI Visibility Tools for the Chinese Market</dc:title>
  <dc:subject>Verification-first buyer guide based on 76 ChatGPT observations</dc:subject>
  <dc:creator>Geolix.AI</dc:creator>
  <cp:keywords/>
  <dc:description>generated by python-docx</dc:description>
  <cp:lastModifiedBy/>
  <cp:revision>1</cp:revision>
  <dcterms:created xsi:type="dcterms:W3CDTF">2013-12-23T23:15:00Z</dcterms:created>
  <dcterms:modified xsi:type="dcterms:W3CDTF">2013-12-23T23:15:00Z</dcterms:modified>
  <cp:category/>
</cp:coreProperties>
</file>