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44"/>
        </w:rPr>
        <w:t>MuTech: Development Updates &amp; Handover Guide</w:t>
      </w: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Code Changes, Directory Organization, and Verification</w:t>
      </w:r>
    </w:p>
    <w:p>
      <w:pPr>
        <w:spacing w:before="40" w:after="80"/>
      </w:pPr>
      <w:r>
        <w:t xml:space="preserve">This document outlines recent updates across the </w:t>
      </w:r>
      <w:r>
        <w:rPr>
          <w:b/>
          <w:color w:val="0F172A"/>
        </w:rPr>
        <w:t>Systematic Literature Review (SLR)</w:t>
      </w:r>
      <w:r>
        <w:t xml:space="preserve"> pipeline and the </w:t>
      </w:r>
      <w:r>
        <w:rPr>
          <w:b/>
          <w:color w:val="0F172A"/>
        </w:rPr>
        <w:t>Choir Pitch Tracker MVP</w:t>
      </w:r>
      <w:r>
        <w:t>. It details code changes, directory restructuring, where to edit specific parameters, and how to verify execution.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1. Quick Start: How to Run and Verify Everything</w:t>
      </w:r>
    </w:p>
    <w:p>
      <w:pPr>
        <w:spacing w:before="40" w:after="80"/>
      </w:pPr>
      <w:r>
        <w:t>The repository can be run and verified using the following commands: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SLR Interactive Web Dashboard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python slr/pipeline_ui_server.py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Web dashboard at </w:t>
            </w:r>
            <w:r>
              <w:rPr>
                <w:color w:val="0284C7"/>
                <w:u w:val="single"/>
              </w:rPr>
              <w:t>`http://localhost:8000`</w:t>
            </w:r>
            <w:r>
              <w:t xml:space="preserve"> for running Phases 1–5, tuning </w:t>
            </w:r>
            <w:r>
              <w:rPr>
                <w:rFonts w:ascii="Cambria Math" w:hAnsi="Cambria Math"/>
                <w:i/>
                <w:color w:val="1E3A8A"/>
              </w:rPr>
              <w:t>k</w:t>
            </w:r>
            <w:r>
              <w:t>, viewing logs, and checking validation gates.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SLR Automated CLI Runner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python slr/run_pipeline.py --all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Runs all 5 phases sequentially in terminal, validating Gates 1 through 5.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Choir Pitch Tracker Web Studio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python -m http.server 3000 --directory mvp/frontend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Browser piano roll studio at </w:t>
            </w:r>
            <w:r>
              <w:rPr>
                <w:color w:val="0284C7"/>
                <w:u w:val="single"/>
              </w:rPr>
              <w:t>`http://localhost:3000`</w:t>
            </w:r>
            <w:r>
              <w:t>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Choir Pitch Tracker Backend API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uvicorn app:app --port 8000 --reload</w:t>
            </w:r>
            <w:r>
              <w:t xml:space="preserve"> (inside </w:t>
            </w:r>
            <w:r>
              <w:rPr>
                <w:rFonts w:ascii="Consolas" w:hAnsi="Consolas"/>
                <w:color w:val="B91C1C"/>
                <w:sz w:val="18"/>
              </w:rPr>
              <w:t>mvp/backend</w:t>
            </w:r>
            <w: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FastAPI DSP inference server at </w:t>
            </w:r>
            <w:r>
              <w:rPr>
                <w:color w:val="0284C7"/>
                <w:u w:val="single"/>
              </w:rPr>
              <w:t>`http://localhost:8000`</w:t>
            </w:r>
            <w:r>
              <w:t>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Full Automated Test Suite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python -m pytest mvp/backend/tests/test_suite.py -v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Runs all 33 unit, integration, and security tests (33/33 passing).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2. Summary of Updates: What Changed and Why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3. Detailed Component Breakdown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A. Academic SLR Pipeline (`slr/`)</w:t>
      </w:r>
    </w:p>
    <w:p>
      <w:pPr>
        <w:spacing w:before="40" w:after="80"/>
      </w:pPr>
      <w:r>
        <w:t>#### 1. What was updated: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Consolidated Core Engine:</w:t>
      </w:r>
      <w:r>
        <w:t xml:space="preserve"> Replaced scattered scripts (</w:t>
      </w:r>
      <w:r>
        <w:rPr>
          <w:rFonts w:ascii="Consolas" w:hAnsi="Consolas"/>
          <w:color w:val="B91C1C"/>
          <w:sz w:val="18"/>
        </w:rPr>
        <w:t>phase1_2/</w:t>
      </w:r>
      <w:r>
        <w:t xml:space="preserve">, </w:t>
      </w:r>
      <w:r>
        <w:rPr>
          <w:rFonts w:ascii="Consolas" w:hAnsi="Consolas"/>
          <w:color w:val="B91C1C"/>
          <w:sz w:val="18"/>
        </w:rPr>
        <w:t>phase3/</w:t>
      </w:r>
      <w:r>
        <w:t xml:space="preserve">, </w:t>
      </w:r>
      <w:r>
        <w:rPr>
          <w:rFonts w:ascii="Consolas" w:hAnsi="Consolas"/>
          <w:color w:val="B91C1C"/>
          <w:sz w:val="18"/>
        </w:rPr>
        <w:t>phase4/</w:t>
      </w:r>
      <w:r>
        <w:t xml:space="preserve">, </w:t>
      </w:r>
      <w:r>
        <w:rPr>
          <w:rFonts w:ascii="Consolas" w:hAnsi="Consolas"/>
          <w:color w:val="B91C1C"/>
          <w:sz w:val="18"/>
        </w:rPr>
        <w:t>phase5/</w:t>
      </w:r>
      <w:r>
        <w:t xml:space="preserve">) with a single source of truth: </w:t>
      </w:r>
      <w:r>
        <w:rPr>
          <w:color w:val="0284C7"/>
          <w:u w:val="single"/>
        </w:rPr>
        <w:t>`slr/src/pipeline_engine.py`</w:t>
      </w:r>
      <w:r>
        <w:t>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Automated Validation Gates: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Gate 1 (Post-Phase 1):</w:t>
      </w:r>
      <w:r>
        <w:t xml:space="preserve"> Enforces identification and deduplication math (</w:t>
      </w:r>
      <w:r>
        <w:rPr>
          <w:rFonts w:ascii="Cambria Math" w:hAnsi="Cambria Math"/>
          <w:i/>
          <w:color w:val="1E3A8A"/>
        </w:rPr>
        <w:t>9,943 \to 9,368</w:t>
      </w:r>
      <w:r>
        <w:t xml:space="preserve"> unique records).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Gate 2 (Post-Phase 2):</w:t>
      </w:r>
      <w:r>
        <w:t xml:space="preserve"> Verifies PRISMA screening flow conservation (</w:t>
      </w:r>
      <w:r>
        <w:rPr>
          <w:rFonts w:ascii="Cambria Math" w:hAnsi="Cambria Math"/>
          <w:i/>
          <w:color w:val="1E3A8A"/>
        </w:rPr>
        <w:t>N=365</w:t>
      </w:r>
      <w:r>
        <w:t xml:space="preserve"> human-screened consensus corpus).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Gate 3 (Post-Phase 3):</w:t>
      </w:r>
      <w:r>
        <w:t xml:space="preserve"> Validates vocabulary size (</w:t>
      </w:r>
      <w:r>
        <w:rPr>
          <w:rFonts w:ascii="Cambria Math" w:hAnsi="Cambria Math"/>
          <w:i/>
          <w:color w:val="1E3A8A"/>
        </w:rPr>
        <w:t>2,000</w:t>
      </w:r>
      <w:r>
        <w:t xml:space="preserve"> terms) and tokenization without silent drops.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Gate 4 (Post-Phase 4):</w:t>
      </w:r>
      <w:r>
        <w:t xml:space="preserve"> Benchmarks all 4 models (K-Means, Agglomerative, NMF, LDA) using Cosine Silhouette, UMass Topic Coherence, and cluster size balance.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Gate 5 (Post-Phase 5):</w:t>
      </w:r>
      <w:r>
        <w:t xml:space="preserve"> Confirms 100% corpus node representation (365 nodes, 1,856 edges), evaluates Louvain modularity (</w:t>
      </w:r>
      <w:r>
        <w:rPr>
          <w:rFonts w:ascii="Cambria Math" w:hAnsi="Cambria Math"/>
          <w:i/>
          <w:color w:val="1E3A8A"/>
        </w:rPr>
        <w:t>0.6267</w:t>
      </w:r>
      <w:r>
        <w:t xml:space="preserve">), and updates </w:t>
      </w:r>
      <w:r>
        <w:rPr>
          <w:color w:val="0284C7"/>
          <w:u w:val="single"/>
        </w:rPr>
        <w:t>`docs/index.html`</w:t>
      </w:r>
      <w:r>
        <w:t>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5 Methodological Enhancements (from 2021–2026 Scopus/IEEE literature):</w:t>
      </w:r>
    </w:p>
    <w:p>
      <w:pPr>
        <w:spacing w:before="40" w:after="40"/>
        <w:ind w:left="864"/>
      </w:pPr>
      <w:r>
        <w:rPr>
          <w:b/>
          <w:color w:val="0369A1"/>
        </w:rPr>
        <w:t xml:space="preserve">1. </w:t>
      </w:r>
      <w:r>
        <w:rPr>
          <w:i/>
        </w:rPr>
        <w:t>Automated PMI Collocation Mining (Truică &amp; Apostol, 2021, IEEE Access):</w:t>
      </w:r>
      <w:r>
        <w:t xml:space="preserve"> Automatically identifies and binds technical domain compound phrases (</w:t>
      </w:r>
      <w:r>
        <w:rPr>
          <w:rFonts w:ascii="Consolas" w:hAnsi="Consolas"/>
          <w:color w:val="B91C1C"/>
          <w:sz w:val="18"/>
        </w:rPr>
        <w:t>music_information_retrieval</w:t>
      </w:r>
      <w:r>
        <w:t xml:space="preserve">, </w:t>
      </w:r>
      <w:r>
        <w:rPr>
          <w:rFonts w:ascii="Consolas" w:hAnsi="Consolas"/>
          <w:color w:val="B91C1C"/>
          <w:sz w:val="18"/>
        </w:rPr>
        <w:t>source_separation</w:t>
      </w:r>
      <w:r>
        <w:t xml:space="preserve">) using Pointwise Mutual Information (NPMI </w:t>
      </w:r>
      <w:r>
        <w:rPr>
          <w:rFonts w:ascii="Cambria Math" w:hAnsi="Cambria Math"/>
          <w:i/>
          <w:color w:val="1E3A8A"/>
        </w:rPr>
        <w:t>\ge 0.50</w:t>
      </w:r>
      <w:r>
        <w:t>).</w:t>
      </w:r>
    </w:p>
    <w:p>
      <w:pPr>
        <w:spacing w:before="40" w:after="40"/>
        <w:ind w:left="864"/>
      </w:pPr>
      <w:r>
        <w:rPr>
          <w:b/>
          <w:color w:val="0369A1"/>
        </w:rPr>
        <w:t xml:space="preserve">2. </w:t>
      </w:r>
      <w:r>
        <w:rPr>
          <w:i/>
        </w:rPr>
        <w:t>Dense Semantic LSA Projections (Chen &amp; Liu, 2025, IEEE AINIT):</w:t>
      </w:r>
      <w:r>
        <w:t xml:space="preserve"> Solved the Agglomerative clustering outlier chaining defect by projecting 2,000-D sparse TF-IDF vectors into a dense 35-D Latent Semantic Analysis space.</w:t>
      </w:r>
    </w:p>
    <w:p>
      <w:pPr>
        <w:spacing w:before="40" w:after="40"/>
        <w:ind w:left="864"/>
      </w:pPr>
      <w:r>
        <w:rPr>
          <w:b/>
          <w:color w:val="0369A1"/>
        </w:rPr>
        <w:t xml:space="preserve">3. </w:t>
      </w:r>
      <w:r>
        <w:rPr>
          <w:i/>
        </w:rPr>
        <w:t>Soft Multi-Topic Membership &amp; Crossover Analysis (Grisales A. et al., 2023, IEEE Access):</w:t>
      </w:r>
      <w:r>
        <w:t xml:space="preserve"> Models continuous Dirichlet posterior topic distributions (</w:t>
      </w:r>
      <w:r>
        <w:rPr>
          <w:rFonts w:ascii="Cambria Math" w:hAnsi="Cambria Math"/>
          <w:i/>
          <w:color w:val="1E3A8A"/>
        </w:rPr>
        <w:t>\theta_d</w:t>
      </w:r>
      <w:r>
        <w:t xml:space="preserve">) from LDA, proving that </w:t>
      </w:r>
      <w:r>
        <w:rPr>
          <w:b/>
          <w:color w:val="0F172A"/>
        </w:rPr>
        <w:t>67.1% (245/365)</w:t>
      </w:r>
      <w:r>
        <w:t xml:space="preserve"> of included studies are interdisciplinary crossover papers spanning multiple subfields.</w:t>
      </w:r>
    </w:p>
    <w:p>
      <w:pPr>
        <w:spacing w:before="40" w:after="40"/>
        <w:ind w:left="864"/>
      </w:pPr>
      <w:r>
        <w:rPr>
          <w:b/>
          <w:color w:val="0369A1"/>
        </w:rPr>
        <w:t xml:space="preserve">4. </w:t>
      </w:r>
      <w:r>
        <w:rPr>
          <w:i/>
        </w:rPr>
        <w:t>Topic Stability Bootstrapping (Vangara et al., 2021, IEEE Access):</w:t>
      </w:r>
      <w:r>
        <w:t xml:space="preserve"> Executes </w:t>
      </w:r>
      <w:r>
        <w:rPr>
          <w:rFonts w:ascii="Cambria Math" w:hAnsi="Cambria Math"/>
          <w:i/>
          <w:color w:val="1E3A8A"/>
        </w:rPr>
        <w:t>B=10</w:t>
      </w:r>
      <w:r>
        <w:t xml:space="preserve"> randomized bootstrap restarts, mathematically proving topic stability (</w:t>
      </w:r>
      <w:r>
        <w:rPr>
          <w:rFonts w:ascii="Cambria Math" w:hAnsi="Cambria Math"/>
          <w:i/>
          <w:color w:val="1E3A8A"/>
        </w:rPr>
        <w:t>\text{ARI} = 0.6103 \pm 0.053</w:t>
      </w:r>
      <w:r>
        <w:t>).</w:t>
      </w:r>
    </w:p>
    <w:p>
      <w:pPr>
        <w:spacing w:before="40" w:after="40"/>
        <w:ind w:left="864"/>
      </w:pPr>
      <w:r>
        <w:rPr>
          <w:b/>
          <w:color w:val="0369A1"/>
        </w:rPr>
        <w:t xml:space="preserve">5. </w:t>
      </w:r>
      <w:r>
        <w:rPr>
          <w:i/>
        </w:rPr>
        <w:t>Longitudinal Dynamic Topic Evolution (Wang et al., 2024, Scientometrics):</w:t>
      </w:r>
      <w:r>
        <w:t xml:space="preserve"> Dissects corpus into 3 publication epochs (Foundational: 2020–2021, Consolidation: 2022–2023, Modern: 2024–2026), tracking dynamic research shifts.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Performance &amp; Algorithmic Optimizations: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Vectorized UMass Coherence:</w:t>
      </w:r>
      <w:r>
        <w:t xml:space="preserve"> Replaced 1,260 inner-loop sparse column </w:t>
      </w:r>
      <w:r>
        <w:rPr>
          <w:rFonts w:ascii="Consolas" w:hAnsi="Consolas"/>
          <w:color w:val="B91C1C"/>
          <w:sz w:val="18"/>
        </w:rPr>
        <w:t>.toarray()</w:t>
      </w:r>
      <w:r>
        <w:t xml:space="preserve"> allocations with a single BLAS-level sparse matrix multiplication </w:t>
      </w:r>
      <w:r>
        <w:rPr>
          <w:rFonts w:ascii="Consolas" w:hAnsi="Consolas"/>
          <w:color w:val="B91C1C"/>
          <w:sz w:val="18"/>
        </w:rPr>
        <w:t>cooc = (bin_mat.T @ bin_mat).tocsr()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Bulletproof HTML Parsing:</w:t>
      </w:r>
      <w:r>
        <w:t xml:space="preserve"> Added a graceful fallback to Python's built-in </w:t>
      </w:r>
      <w:r>
        <w:rPr>
          <w:rFonts w:ascii="Consolas" w:hAnsi="Consolas"/>
          <w:color w:val="B91C1C"/>
          <w:sz w:val="18"/>
        </w:rPr>
        <w:t>html.parser</w:t>
      </w:r>
      <w:r>
        <w:t xml:space="preserve"> if </w:t>
      </w:r>
      <w:r>
        <w:rPr>
          <w:rFonts w:ascii="Consolas" w:hAnsi="Consolas"/>
          <w:color w:val="B91C1C"/>
          <w:sz w:val="18"/>
        </w:rPr>
        <w:t>lxml</w:t>
      </w:r>
      <w:r>
        <w:t xml:space="preserve"> C-binaries fail or encounter malformed web headers.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i/>
        </w:rPr>
        <w:t>Accurate Cold-Start Web UI State:</w:t>
      </w:r>
      <w:r>
        <w:t xml:space="preserve"> Enhanced </w:t>
      </w:r>
      <w:r>
        <w:rPr>
          <w:rFonts w:ascii="Consolas" w:hAnsi="Consolas"/>
          <w:color w:val="B91C1C"/>
          <w:sz w:val="18"/>
        </w:rPr>
        <w:t>init_state_from_disk()</w:t>
      </w:r>
      <w:r>
        <w:t xml:space="preserve"> in </w:t>
      </w:r>
      <w:r>
        <w:rPr>
          <w:rFonts w:ascii="Consolas" w:hAnsi="Consolas"/>
          <w:color w:val="B91C1C"/>
          <w:sz w:val="18"/>
        </w:rPr>
        <w:t>slr/pipeline_ui_server.py</w:t>
      </w:r>
      <w:r>
        <w:t xml:space="preserve"> to immediately display true PRISMA math (</w:t>
      </w:r>
      <w:r>
        <w:rPr>
          <w:rFonts w:ascii="Cambria Math" w:hAnsi="Cambria Math"/>
          <w:i/>
          <w:color w:val="1E3A8A"/>
        </w:rPr>
        <w:t>9,943 \to 9,368</w:t>
      </w:r>
      <w:r>
        <w:t>) and bootstrap stability metrics upon startup.</w:t>
      </w:r>
    </w:p>
    <w:p>
      <w:pPr>
        <w:spacing w:before="40" w:after="80"/>
      </w:pPr>
      <w:r>
        <w:t>#### 2. Why it was updated: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 xml:space="preserve">Resolves all historical defects identified in </w:t>
      </w:r>
      <w:r>
        <w:rPr>
          <w:color w:val="0284C7"/>
          <w:u w:val="single"/>
        </w:rPr>
        <w:t>`slr/guides/ROOT_CAUSE_AUDIT.md`</w:t>
      </w:r>
      <w:r>
        <w:t xml:space="preserve"> (distance concentration, fragile substring tagging, hard single-label classification blind spots).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 xml:space="preserve">Satisfies strict peer-reviewed academic criteria: all citations are published between </w:t>
      </w:r>
      <w:r>
        <w:rPr>
          <w:b/>
          <w:color w:val="0F172A"/>
        </w:rPr>
        <w:t>2021 and 2026</w:t>
      </w:r>
      <w:r>
        <w:t xml:space="preserve">, indexed in </w:t>
      </w:r>
      <w:r>
        <w:rPr>
          <w:b/>
          <w:color w:val="0F172A"/>
        </w:rPr>
        <w:t>Scopus</w:t>
      </w:r>
      <w:r>
        <w:t xml:space="preserve"> or published in </w:t>
      </w:r>
      <w:r>
        <w:rPr>
          <w:b/>
          <w:color w:val="0F172A"/>
        </w:rPr>
        <w:t>IEEE</w:t>
      </w:r>
      <w:r>
        <w:t>, with direct permanent DOI links.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B. Applied Choir Pitch Tracker MVP (`mvp/backend/`)</w:t>
      </w:r>
    </w:p>
    <w:p>
      <w:pPr>
        <w:spacing w:before="40" w:after="80"/>
      </w:pPr>
      <w:r>
        <w:t>#### 1. What was updated: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IDE &amp; Static Analysis Resolution: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Created </w:t>
      </w:r>
      <w:r>
        <w:rPr>
          <w:color w:val="0284C7"/>
          <w:u w:val="single"/>
        </w:rPr>
        <w:t>`.vscode/settings.json`</w:t>
      </w:r>
      <w:r>
        <w:t xml:space="preserve"> with </w:t>
      </w:r>
      <w:r>
        <w:rPr>
          <w:rFonts w:ascii="Consolas" w:hAnsi="Consolas"/>
          <w:color w:val="B91C1C"/>
          <w:sz w:val="18"/>
        </w:rPr>
        <w:t>python.analysis.extraPaths</w:t>
      </w:r>
      <w:r>
        <w:t xml:space="preserve"> pointing to </w:t>
      </w:r>
      <w:r>
        <w:rPr>
          <w:rFonts w:ascii="Consolas" w:hAnsi="Consolas"/>
          <w:color w:val="B91C1C"/>
          <w:sz w:val="18"/>
        </w:rPr>
        <w:t>${workspaceFolder}/mvp/backend</w:t>
      </w:r>
      <w:r>
        <w:t xml:space="preserve">, </w:t>
      </w:r>
      <w:r>
        <w:rPr>
          <w:rFonts w:ascii="Consolas" w:hAnsi="Consolas"/>
          <w:color w:val="B91C1C"/>
          <w:sz w:val="18"/>
        </w:rPr>
        <w:t>${workspaceFolder}/slr</w:t>
      </w:r>
      <w:r>
        <w:t xml:space="preserve">, and </w:t>
      </w:r>
      <w:r>
        <w:rPr>
          <w:rFonts w:ascii="Consolas" w:hAnsi="Consolas"/>
          <w:color w:val="B91C1C"/>
          <w:sz w:val="18"/>
        </w:rPr>
        <w:t>${workspaceFolder}/slr/src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Created </w:t>
      </w:r>
      <w:r>
        <w:rPr>
          <w:color w:val="0284C7"/>
          <w:u w:val="single"/>
        </w:rPr>
        <w:t>`mvp/__init__.py`</w:t>
      </w:r>
      <w:r>
        <w:t xml:space="preserve"> and </w:t>
      </w:r>
      <w:r>
        <w:rPr>
          <w:color w:val="0284C7"/>
          <w:u w:val="single"/>
        </w:rPr>
        <w:t>`mvp/backend/__init__.py`</w:t>
      </w:r>
      <w:r>
        <w:t xml:space="preserve"> to establish formal Python packages.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Eliminated all red squiggles (</w:t>
      </w:r>
      <w:r>
        <w:rPr>
          <w:rFonts w:ascii="Consolas" w:hAnsi="Consolas"/>
          <w:color w:val="B91C1C"/>
          <w:sz w:val="18"/>
        </w:rPr>
        <w:t>reportMissingImports</w:t>
      </w:r>
      <w:r>
        <w:t>) in VS Code.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Top-Level PEP 8 Import Organization: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color w:val="0284C7"/>
          <w:u w:val="single"/>
        </w:rPr>
        <w:t>`mf0_service.py`</w:t>
      </w:r>
      <w:r>
        <w:t>: Replaced scattered inline imports (</w:t>
      </w:r>
      <w:r>
        <w:rPr>
          <w:rFonts w:ascii="Consolas" w:hAnsi="Consolas"/>
          <w:color w:val="B91C1C"/>
          <w:sz w:val="18"/>
        </w:rPr>
        <w:t>keras</w:t>
      </w:r>
      <w:r>
        <w:t xml:space="preserve">, </w:t>
      </w:r>
      <w:r>
        <w:rPr>
          <w:rFonts w:ascii="Consolas" w:hAnsi="Consolas"/>
          <w:color w:val="B91C1C"/>
          <w:sz w:val="18"/>
        </w:rPr>
        <w:t>tensorflow</w:t>
      </w:r>
      <w:r>
        <w:t xml:space="preserve">, </w:t>
      </w:r>
      <w:r>
        <w:rPr>
          <w:rFonts w:ascii="Consolas" w:hAnsi="Consolas"/>
          <w:color w:val="B91C1C"/>
          <w:sz w:val="18"/>
        </w:rPr>
        <w:t>h5py</w:t>
      </w:r>
      <w:r>
        <w:t xml:space="preserve">, </w:t>
      </w:r>
      <w:r>
        <w:rPr>
          <w:rFonts w:ascii="Consolas" w:hAnsi="Consolas"/>
          <w:color w:val="B91C1C"/>
          <w:sz w:val="18"/>
        </w:rPr>
        <w:t>pumpp</w:t>
      </w:r>
      <w:r>
        <w:t xml:space="preserve">) with top-level dynamic imports using </w:t>
      </w:r>
      <w:r>
        <w:rPr>
          <w:rFonts w:ascii="Consolas" w:hAnsi="Consolas"/>
          <w:color w:val="B91C1C"/>
          <w:sz w:val="18"/>
        </w:rPr>
        <w:t>importlib.import_module</w:t>
      </w:r>
      <w:r>
        <w:t>. The service degrades gracefully with informative warnings when running without GPU/ML libraries.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color w:val="0284C7"/>
          <w:u w:val="single"/>
        </w:rPr>
        <w:t>`app.py`</w:t>
      </w:r>
      <w:r>
        <w:t xml:space="preserve">: Promoted </w:t>
      </w:r>
      <w:r>
        <w:rPr>
          <w:rFonts w:ascii="Consolas" w:hAnsi="Consolas"/>
          <w:color w:val="B91C1C"/>
          <w:sz w:val="18"/>
        </w:rPr>
        <w:t>json</w:t>
      </w:r>
      <w:r>
        <w:t xml:space="preserve"> to top-level standard library imports. Added backend directory resolution to </w:t>
      </w:r>
      <w:r>
        <w:rPr>
          <w:rFonts w:ascii="Consolas" w:hAnsi="Consolas"/>
          <w:color w:val="B91C1C"/>
          <w:sz w:val="18"/>
        </w:rPr>
        <w:t>sys.path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color w:val="0284C7"/>
          <w:u w:val="single"/>
        </w:rPr>
        <w:t>`audio_processor.py`</w:t>
      </w:r>
      <w:r>
        <w:t xml:space="preserve">: Promoted </w:t>
      </w:r>
      <w:r>
        <w:rPr>
          <w:rFonts w:ascii="Consolas" w:hAnsi="Consolas"/>
          <w:color w:val="B91C1C"/>
          <w:sz w:val="18"/>
        </w:rPr>
        <w:t>fractions</w:t>
      </w:r>
      <w:r>
        <w:t xml:space="preserve"> to top-level imports; added safe fallback logic between </w:t>
      </w:r>
      <w:r>
        <w:rPr>
          <w:rFonts w:ascii="Consolas" w:hAnsi="Consolas"/>
          <w:color w:val="B91C1C"/>
          <w:sz w:val="18"/>
        </w:rPr>
        <w:t>soundfile</w:t>
      </w:r>
      <w:r>
        <w:t xml:space="preserve"> and </w:t>
      </w:r>
      <w:r>
        <w:rPr>
          <w:rFonts w:ascii="Consolas" w:hAnsi="Consolas"/>
          <w:color w:val="B91C1C"/>
          <w:sz w:val="18"/>
        </w:rPr>
        <w:t>librosa</w:t>
      </w:r>
      <w:r>
        <w:t>.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rPr>
          <w:color w:val="0284C7"/>
          <w:u w:val="single"/>
        </w:rPr>
        <w:t>`midi_exporter.py`</w:t>
      </w:r>
      <w:r>
        <w:t xml:space="preserve">: Promoted </w:t>
      </w:r>
      <w:r>
        <w:rPr>
          <w:rFonts w:ascii="Consolas" w:hAnsi="Consolas"/>
          <w:color w:val="B91C1C"/>
          <w:sz w:val="18"/>
        </w:rPr>
        <w:t>math</w:t>
      </w:r>
      <w:r>
        <w:t xml:space="preserve"> to top-level standard library imports.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rPr>
          <w:b/>
          <w:color w:val="0F172A"/>
        </w:rPr>
        <w:t>Virtual Environment Alignment: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Installed </w:t>
      </w:r>
      <w:r>
        <w:rPr>
          <w:rFonts w:ascii="Consolas" w:hAnsi="Consolas"/>
          <w:color w:val="B91C1C"/>
          <w:sz w:val="18"/>
        </w:rPr>
        <w:t>soundfile</w:t>
      </w:r>
      <w:r>
        <w:t xml:space="preserve">, </w:t>
      </w:r>
      <w:r>
        <w:rPr>
          <w:rFonts w:ascii="Consolas" w:hAnsi="Consolas"/>
          <w:color w:val="B91C1C"/>
          <w:sz w:val="18"/>
        </w:rPr>
        <w:t>fastapi</w:t>
      </w:r>
      <w:r>
        <w:t xml:space="preserve">, </w:t>
      </w:r>
      <w:r>
        <w:rPr>
          <w:rFonts w:ascii="Consolas" w:hAnsi="Consolas"/>
          <w:color w:val="B91C1C"/>
          <w:sz w:val="18"/>
        </w:rPr>
        <w:t>pydantic</w:t>
      </w:r>
      <w:r>
        <w:t xml:space="preserve">, </w:t>
      </w:r>
      <w:r>
        <w:rPr>
          <w:rFonts w:ascii="Consolas" w:hAnsi="Consolas"/>
          <w:color w:val="B91C1C"/>
          <w:sz w:val="18"/>
        </w:rPr>
        <w:t>httpx</w:t>
      </w:r>
      <w:r>
        <w:t xml:space="preserve">, and </w:t>
      </w:r>
      <w:r>
        <w:rPr>
          <w:rFonts w:ascii="Consolas" w:hAnsi="Consolas"/>
          <w:color w:val="B91C1C"/>
          <w:sz w:val="18"/>
        </w:rPr>
        <w:t>httpx2</w:t>
      </w:r>
      <w:r>
        <w:t xml:space="preserve"> into </w:t>
      </w:r>
      <w:r>
        <w:rPr>
          <w:rFonts w:ascii="Consolas" w:hAnsi="Consolas"/>
          <w:color w:val="B91C1C"/>
          <w:sz w:val="18"/>
        </w:rPr>
        <w:t>mvp/backend/.venv</w:t>
      </w:r>
      <w:r>
        <w:t>.</w:t>
      </w:r>
    </w:p>
    <w:p>
      <w:pPr>
        <w:spacing w:before="40" w:after="80"/>
      </w:pPr>
      <w:r>
        <w:t>#### 2. Why it was updated: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Code is now strictly compliant with PEP 8 import standards.</w:t>
      </w:r>
    </w:p>
    <w:p>
      <w:pPr>
        <w:spacing w:before="30" w:after="30"/>
        <w:ind w:left="504"/>
      </w:pPr>
      <w:r>
        <w:rPr>
          <w:b/>
          <w:color w:val="64748B"/>
        </w:rPr>
        <w:t xml:space="preserve">• </w:t>
      </w:r>
      <w:r>
        <w:t>The backend runs seamlessly in host Python, Docker containers, and test suites with zero import collisions.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C. Cleaned Repository Hierarchy</w:t>
      </w:r>
    </w:p>
    <w:p>
      <w:pPr>
        <w:spacing w:before="40" w:after="80"/>
      </w:pPr>
      <w:r>
        <w:t>Old, fragmented phase directories were reorganized into single-source-of-truth directories: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Old / Fragmented Location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New Canonical Location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What Lives Here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slr/phase1_2/raw_exports/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`slr/data/01_raw/`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Raw database exports (</w:t>
            </w:r>
            <w:r>
              <w:rPr>
                <w:rFonts w:ascii="Consolas" w:hAnsi="Consolas"/>
                <w:color w:val="B91C1C"/>
                <w:sz w:val="18"/>
              </w:rPr>
              <w:t>Scopus_Filtered.csv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IEEE_export*.csv</w:t>
            </w:r>
            <w:r>
              <w:t>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slr/phase1_2/rayyan/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`slr/data/02_screening/`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Human screening decisions (</w:t>
            </w:r>
            <w:r>
              <w:rPr>
                <w:rFonts w:ascii="Consolas" w:hAnsi="Consolas"/>
                <w:color w:val="B91C1C"/>
                <w:sz w:val="18"/>
              </w:rPr>
              <w:t>priority_records_from_rayyan.csv</w:t>
            </w:r>
            <w:r>
              <w:t>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slr/phase3/phase3_output_real/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`slr/outputs/representations/`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Cleaned text tokens, TF-IDF matrices, and PMI collocations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slr/phase4/phase4_output_detailed/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`slr/outputs/models/`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4-model comparison metrics, topic clusters, soft topic weights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slr/phase5/phase5_output/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`slr/outputs/network/`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Gephi network (</w:t>
            </w:r>
            <w:r>
              <w:rPr>
                <w:rFonts w:ascii="Consolas" w:hAnsi="Consolas"/>
                <w:color w:val="B91C1C"/>
                <w:sz w:val="18"/>
              </w:rPr>
              <w:t>phase5_cluster_network.gexf</w:t>
            </w:r>
            <w:r>
              <w:t>), temporal evolution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Legacy / prior run outputs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`slr/archive/prior_runs/`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Archived historical baseline outputs (</w:t>
            </w:r>
            <w:r>
              <w:rPr>
                <w:rFonts w:ascii="Consolas" w:hAnsi="Consolas"/>
                <w:color w:val="B91C1C"/>
                <w:sz w:val="18"/>
              </w:rPr>
              <w:t>prisma/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models/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network/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representations/</w:t>
            </w:r>
            <w:r>
              <w:t>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slr/manuscript/corrected/</w:t>
            </w:r>
            <w:r>
              <w:t xml:space="preserve"> (v3)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`slr/manuscript/tables/`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Promoted authoritative v3 tables (</w:t>
            </w:r>
            <w:r>
              <w:rPr>
                <w:rFonts w:ascii="Consolas" w:hAnsi="Consolas"/>
                <w:color w:val="B91C1C"/>
                <w:sz w:val="18"/>
              </w:rPr>
              <w:t>domain_modality_tags.csv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numbers_manifest.txt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corpus_provenance.csv</w:t>
            </w:r>
            <w:r>
              <w:t>) and removed flawed v2 duplicates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mvp/docs/BACKEND_GUIDE.md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FRONTEND_GUIDE.md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GLOSSARY.md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`mvp/docs/DEVELOPER_GUIDE.md`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 xml:space="preserve">Consolidated 3 scattered guides into one master developer reference (with matching </w:t>
            </w:r>
            <w:r>
              <w:rPr>
                <w:rFonts w:ascii="Consolas" w:hAnsi="Consolas"/>
                <w:color w:val="B91C1C"/>
                <w:sz w:val="18"/>
              </w:rPr>
              <w:t>.docx</w:t>
            </w:r>
            <w:r>
              <w:t>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Obsolete drafts (</w:t>
            </w:r>
            <w:r>
              <w:rPr>
                <w:rFonts w:ascii="Consolas" w:hAnsi="Consolas"/>
                <w:color w:val="B91C1C"/>
                <w:sz w:val="18"/>
              </w:rPr>
              <w:t>WHAT_CHANGED_AND_WHY.md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DECISIONS_AND_NEXT_STEPS.md</w:t>
            </w:r>
            <w:r>
              <w:t>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i/>
              </w:rPr>
              <w:t>Deleted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Removed outdated scratchpads to eliminate conflicting instructions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Scattered guide notes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`slr/guides/`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t>All research audit logs, reference lists, and config roadmaps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mvp/frontend/.gitignore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`.gitignore`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 xml:space="preserve">Consolidated all frontend ignore rules into the root </w:t>
            </w:r>
            <w:r>
              <w:rPr>
                <w:rFonts w:ascii="Consolas" w:hAnsi="Consolas"/>
                <w:color w:val="B91C1C"/>
                <w:sz w:val="18"/>
              </w:rPr>
              <w:t>.gitignore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4. "Where Do I Edit...?" Cheat Sheet</w:t>
      </w:r>
    </w:p>
    <w:p>
      <w:pPr>
        <w:spacing w:before="40" w:after="80"/>
      </w:pPr>
      <w:r>
        <w:t>Whenever you need to adjust a parameter, threshold, keyword, or model setting, refer to this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What you want to change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File to edit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0F172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Section / Line / Variable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Add an off-topic keyword to exclude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EXCLUDE_TERMS</w:t>
            </w:r>
            <w:r>
              <w:t xml:space="preserve"> list (~Line 50)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Add a priority MIR keyword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PRIORITY_TERMS</w:t>
            </w:r>
            <w:r>
              <w:t xml:space="preserve"> list (~Line 70)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Bind a technical phrase collocations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PHRASE_COLLOCATIONS</w:t>
            </w:r>
            <w:r>
              <w:t xml:space="preserve"> list (~Line 55)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automated PMI phrase sensitivity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mine_pmi_collocations(min_npmi=0.50)</w:t>
            </w:r>
            <w:r>
              <w:t xml:space="preserve"> (~Line 80)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Filter out over-represented domain words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EXTRA_STOPWORDS</w:t>
            </w:r>
            <w:r>
              <w:t xml:space="preserve"> set (~Line 140)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Change the number of topic clusters ($k$)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  <w:r>
              <w:t xml:space="preserve"> (or UI / CLI)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target_k=7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run_phase4()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LSA dense embedding dimensions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n_components=35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extract_dense_embeddings()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soft topic crossover threshold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top2_p &gt;= 0.20 or entropy &gt; 1.8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run_phase4()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stability bootstrap iterations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n_bootstraps=10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compute_topic_stability()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similarity graph edge density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k_neighbors=8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run_phase5()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Redefine longitudinal publication epochs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`slr/src/pipeline_engine.py`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time_bins</w:t>
            </w:r>
            <w:r>
              <w:t xml:space="preserve"> in </w:t>
            </w:r>
            <w:r>
              <w:rPr>
                <w:rFonts w:ascii="Consolas" w:hAnsi="Consolas"/>
                <w:color w:val="B91C1C"/>
                <w:sz w:val="18"/>
              </w:rPr>
              <w:t>compute_temporal_topic_evolution()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backend audio loudness / filter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`mvp/backend/audio_processor.py`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TARGET_RMS_DBFS = -20.0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HIGHPASS_CUTOFF_HZ = 30.0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pitch tracking trajectory linking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`mvp/backend/contour_tracker.py`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MAX_CENTS_DIFF = 80.0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MAX_TIME_GAP = 0.025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Adjust vibrato smoothing window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`mvp/backend/contour_tracker.py`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91C1C"/>
                <w:sz w:val="18"/>
              </w:rPr>
              <w:t>savgol_filter(window_length=5, polyorder=2)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b/>
                <w:color w:val="0F172A"/>
              </w:rPr>
              <w:t>Add / update API endpoints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rPr>
                <w:color w:val="0284C7"/>
                <w:u w:val="single"/>
              </w:rPr>
              <w:t>`mvp/backend/app.py`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fill="F8FAFC"/>
          </w:tcPr>
          <w:p>
            <w:pPr>
              <w:spacing w:before="40" w:after="40"/>
            </w:pPr>
            <w:r>
              <w:t>FastAPI route handlers (</w:t>
            </w:r>
            <w:r>
              <w:rPr>
                <w:rFonts w:ascii="Consolas" w:hAnsi="Consolas"/>
                <w:color w:val="B91C1C"/>
                <w:sz w:val="18"/>
              </w:rPr>
              <w:t>/transcribe</w:t>
            </w:r>
            <w: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/export/csv</w:t>
            </w:r>
            <w:r>
              <w:t>, etc.)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80"/>
        <w:pBdr>
          <w:bottom w:val="single" w:sz="8" w:space="2" w:color="0284C7"/>
        </w:pBdr>
      </w:pPr>
      <w:r>
        <w:rPr>
          <w:rFonts w:ascii="Calibri" w:hAnsi="Calibri"/>
          <w:b/>
          <w:color w:val="0369A1"/>
          <w:sz w:val="28"/>
        </w:rPr>
        <w:t>5. Master Guide &amp; Reference Documentation</w:t>
      </w:r>
    </w:p>
    <w:p>
      <w:pPr>
        <w:spacing w:before="40" w:after="80"/>
      </w:pPr>
      <w:r>
        <w:t xml:space="preserve">Every major guide in </w:t>
      </w:r>
      <w:r>
        <w:rPr>
          <w:rFonts w:ascii="Consolas" w:hAnsi="Consolas"/>
          <w:color w:val="B91C1C"/>
          <w:sz w:val="18"/>
        </w:rPr>
        <w:t>slr/guides/</w:t>
      </w:r>
      <w:r>
        <w:t xml:space="preserve"> is available in </w:t>
      </w:r>
      <w:r>
        <w:rPr>
          <w:b/>
          <w:color w:val="0F172A"/>
        </w:rPr>
        <w:t>both Markdown (`.md`) and Microsoft Word (`.docx`)</w:t>
      </w:r>
      <w:r>
        <w:t xml:space="preserve"> format for easy reading and distribution to faculty/examiners: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1. </w:t>
      </w:r>
      <w:r>
        <w:rPr>
          <w:b/>
          <w:color w:val="0F172A"/>
        </w:rPr>
        <w:t>[`slr/guides/PIPELINE_CONFIGURATION_GUIDE.md`](slr/guides/PIPELINE_CONFIGURATION_GUIDE.md)</w:t>
      </w:r>
      <w:r>
        <w:t xml:space="preserve"> / </w:t>
      </w:r>
      <w:r>
        <w:rPr>
          <w:b/>
          <w:color w:val="0F172A"/>
        </w:rPr>
        <w:t>[`.docx`](slr/guides/PIPELINE_CONFIGURATION_GUIDE.docx)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Complete technical roadmap detailing every function, default parameter, and configuration threshold across all 5 phases.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2. </w:t>
      </w:r>
      <w:r>
        <w:rPr>
          <w:b/>
          <w:color w:val="0F172A"/>
        </w:rPr>
        <w:t>[`slr/guides/SLR_METHODOLOGY_REFERENCES.md`](slr/guides/SLR_METHODOLOGY_REFERENCES.md)</w:t>
      </w:r>
      <w:r>
        <w:t xml:space="preserve"> / </w:t>
      </w:r>
      <w:r>
        <w:rPr>
          <w:b/>
          <w:color w:val="0F172A"/>
        </w:rPr>
        <w:t>[`.docx`](slr/guides/SLR_METHODOLOGY_REFERENCES.docx)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All 12 peer-reviewed methodology citations (2021–2026, Scopus/IEEE only) with direct permanent DOI links.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3. </w:t>
      </w:r>
      <w:r>
        <w:rPr>
          <w:b/>
          <w:color w:val="0F172A"/>
        </w:rPr>
        <w:t>[`slr/guides/SLR_PAPER_UPDATE_GUIDE.md`](slr/guides/SLR_PAPER_UPDATE_GUIDE.md)</w:t>
      </w:r>
      <w:r>
        <w:t xml:space="preserve"> / </w:t>
      </w:r>
      <w:r>
        <w:rPr>
          <w:b/>
          <w:color w:val="0F172A"/>
        </w:rPr>
        <w:t>[`.docx`](slr/guides/SLR_PAPER_UPDATE_GUIDE.docx)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 xml:space="preserve">Section-by-section mapping between </w:t>
      </w:r>
      <w:r>
        <w:rPr>
          <w:rFonts w:ascii="Consolas" w:hAnsi="Consolas"/>
          <w:color w:val="B91C1C"/>
          <w:sz w:val="18"/>
        </w:rPr>
        <w:t>OLD SLR.pdf</w:t>
      </w:r>
      <w:r>
        <w:t xml:space="preserve"> and the current 365-study corpus, including PRISMA counts and the Canonical File Index.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4. </w:t>
      </w:r>
      <w:r>
        <w:rPr>
          <w:b/>
          <w:color w:val="0F172A"/>
        </w:rPr>
        <w:t>[`slr/guides/ROOT_CAUSE_AUDIT.md`](slr/guides/ROOT_CAUSE_AUDIT.md)</w:t>
      </w:r>
      <w:r>
        <w:t xml:space="preserve"> / </w:t>
      </w:r>
      <w:r>
        <w:rPr>
          <w:b/>
          <w:color w:val="0F172A"/>
        </w:rPr>
        <w:t>[`.docx`](slr/guides/ROOT_CAUSE_AUDIT.docx)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Complete architectural defect audit and the 2026 hardening addendum explaining how every prior anomaly was resolved.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5. </w:t>
      </w:r>
      <w:r>
        <w:rPr>
          <w:b/>
          <w:color w:val="0F172A"/>
        </w:rPr>
        <w:t>[`mvp/docs/DEVELOPER_GUIDE.md`](mvp/docs/DEVELOPER_GUIDE.md)</w:t>
      </w:r>
      <w:r>
        <w:t xml:space="preserve"> / </w:t>
      </w:r>
      <w:r>
        <w:rPr>
          <w:b/>
          <w:color w:val="0F172A"/>
        </w:rPr>
        <w:t>[`.docx`](mvp/docs/DEVELOPER_GUIDE.docx)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Consolidated master architecture guide for the Choir Pitch Tracker MVP (DSP specs, FastAPI reference, Canvas Studio, and acoustics glossary).</w:t>
      </w:r>
    </w:p>
    <w:p>
      <w:pPr>
        <w:spacing w:before="40" w:after="40"/>
        <w:ind w:left="504"/>
      </w:pPr>
      <w:r>
        <w:rPr>
          <w:b/>
          <w:color w:val="0369A1"/>
        </w:rPr>
        <w:t xml:space="preserve">6. </w:t>
      </w:r>
      <w:r>
        <w:rPr>
          <w:b/>
          <w:color w:val="0F172A"/>
        </w:rPr>
        <w:t>[`mvp/docs/IMPLEMENTATION_CHECKLIST.md`](mvp/docs/IMPLEMENTATION_CHECKLIST.md)</w:t>
      </w:r>
      <w:r>
        <w:t xml:space="preserve"> / </w:t>
      </w:r>
      <w:r>
        <w:rPr>
          <w:b/>
          <w:color w:val="0F172A"/>
        </w:rPr>
        <w:t>[`.docx`](mvp/docs/IMPLEMENTATION_CHECKLIST.docx)</w:t>
      </w:r>
    </w:p>
    <w:p>
      <w:pPr>
        <w:spacing w:before="30" w:after="30"/>
        <w:ind w:left="864"/>
      </w:pPr>
      <w:r>
        <w:rPr>
          <w:b/>
          <w:color w:val="64748B"/>
        </w:rPr>
        <w:t xml:space="preserve">• </w:t>
      </w:r>
      <w:r>
        <w:t>4-phase implementation delivery checklist, team assignments, and security audit verifications.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69696"/>
        <w:sz w:val="17"/>
      </w:rPr>
      <w:t>Confidential — For Internal Project Team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MuTech — MVP 1 Choir Pitch Tracker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