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0F172A"/>
          <w:sz w:val="44"/>
        </w:rPr>
        <w:t>Root-Cause Audit — Why the SLR Has the Errors It Has</w:t>
      </w:r>
    </w:p>
    <w:p>
      <w:pPr>
        <w:spacing w:before="60" w:after="80" w:line="276" w:lineRule="auto"/>
      </w:pPr>
      <w:r>
        <w:t>Traced from the repository, not from the manuscript. Every claim below was re-verified</w:t>
      </w:r>
    </w:p>
    <w:p>
      <w:pPr>
        <w:spacing w:before="60" w:after="80" w:line="276" w:lineRule="auto"/>
      </w:pPr>
      <w:r>
        <w:t>against the actual CSVs/notebooks during this pass. Ordered by how much of the paper each</w:t>
      </w:r>
    </w:p>
    <w:p>
      <w:pPr>
        <w:spacing w:before="60" w:after="80" w:line="276" w:lineRule="auto"/>
      </w:pPr>
      <w:r>
        <w:t>defect contaminates.</w:t>
      </w:r>
    </w:p>
    <w:p>
      <w:pPr>
        <w:spacing w:before="60" w:after="80" w:line="276" w:lineRule="auto"/>
      </w:pPr>
      <w:r>
        <w:rPr>
          <w:b/>
        </w:rPr>
        <w:t>The short version:</w:t>
      </w:r>
      <w:r>
        <w:t xml:space="preserve"> almost none of these are writing mistakes. Nine of them are single</w:t>
      </w:r>
    </w:p>
    <w:p>
      <w:pPr>
        <w:spacing w:before="60" w:after="80" w:line="276" w:lineRule="auto"/>
      </w:pPr>
      <w:r>
        <w:t>lines of upstream code whose output was later described in prose as if it were a finding.</w:t>
      </w:r>
    </w:p>
    <w:p>
      <w:pPr>
        <w:spacing w:before="60" w:after="80" w:line="276" w:lineRule="auto"/>
      </w:pPr>
      <w:r>
        <w:t>The writing errors are downstream symptoms.</w:t>
      </w:r>
    </w:p>
    <w:p>
      <w:pPr>
        <w:spacing w:before="120" w:after="120"/>
      </w:pPr>
      <w:r>
        <w:rPr>
          <w:color w:val="CBD5E1"/>
        </w:rPr>
        <w:t>_______________________________________________________________________________</w:t>
      </w:r>
    </w:p>
    <w:p>
      <w:pPr>
        <w:pStyle w:val="Heading2"/>
        <w:spacing w:before="240" w:after="80"/>
      </w:pPr>
      <w:r>
        <w:rPr>
          <w:rFonts w:ascii="Calibri" w:hAnsi="Calibri"/>
          <w:b/>
          <w:color w:val="1E3A8A"/>
          <w:sz w:val="32"/>
        </w:rPr>
        <w:t>Tier 1 — Defects that invalidate a stated finding</w:t>
      </w:r>
    </w:p>
    <w:p>
      <w:pPr>
        <w:pStyle w:val="Heading3"/>
        <w:spacing w:before="200" w:after="60"/>
      </w:pPr>
      <w:r>
        <w:rPr>
          <w:rFonts w:ascii="Calibri" w:hAnsi="Calibri"/>
          <w:b/>
          <w:color w:val="334155"/>
          <w:sz w:val="26"/>
        </w:rPr>
        <w:t>1. `General MIR` and `Audio` are fallback buckets, not categories</w:t>
      </w:r>
    </w:p>
    <w:p>
      <w:pPr>
        <w:spacing w:before="60" w:after="80" w:line="276" w:lineRule="auto"/>
      </w:pPr>
      <w:r>
        <w:rPr>
          <w:b/>
        </w:rPr>
        <w:t>Where it surfaces:</w:t>
      </w:r>
      <w:r>
        <w:t xml:space="preserve"> 3.1.2 ("General MIR is the largest domain, n = 170, 46.6%"),</w:t>
      </w:r>
    </w:p>
    <w:p>
      <w:pPr>
        <w:spacing w:before="60" w:after="80" w:line="276" w:lineRule="auto"/>
      </w:pPr>
      <w:r>
        <w:t>3.1.3 ("Audio-only accounts for 71.0%"), Table 7, and reversal claim #1 in</w:t>
      </w:r>
    </w:p>
    <w:p>
      <w:pPr>
        <w:spacing w:before="60" w:after="80" w:line="276" w:lineRule="auto"/>
      </w:pPr>
      <w:r>
        <w:rPr>
          <w:rFonts w:ascii="Consolas" w:hAnsi="Consolas"/>
          <w:color w:val="C7254E"/>
          <w:sz w:val="19"/>
        </w:rPr>
        <w:t>WHAT_CHANGED_AND_WHY.md</w:t>
      </w:r>
      <w:r>
        <w:t>.</w:t>
      </w:r>
    </w:p>
    <w:p>
      <w:pPr>
        <w:spacing w:before="60" w:after="80" w:line="276" w:lineRule="auto"/>
      </w:pPr>
      <w:r>
        <w:rPr>
          <w:b/>
        </w:rPr>
        <w:t>Root cause:</w:t>
      </w:r>
      <w:r>
        <w:t xml:space="preserve"> </w:t>
      </w:r>
      <w:r>
        <w:rPr>
          <w:rFonts w:ascii="Consolas" w:hAnsi="Consolas"/>
          <w:color w:val="C7254E"/>
          <w:sz w:val="19"/>
        </w:rPr>
        <w:t>phase6_manuscript/domain_modality_tags.csv</w:t>
      </w:r>
      <w:r>
        <w:t xml:space="preserve"> — the </w:t>
      </w:r>
      <w:r>
        <w:rPr>
          <w:rFonts w:ascii="Consolas" w:hAnsi="Consolas"/>
          <w:color w:val="C7254E"/>
          <w:sz w:val="19"/>
        </w:rPr>
        <w:t>domain_evidence</w:t>
      </w:r>
      <w:r>
        <w:t xml:space="preserve"> and</w:t>
      </w:r>
    </w:p>
    <w:p>
      <w:pPr>
        <w:spacing w:before="60" w:after="80" w:line="276" w:lineRule="auto"/>
      </w:pPr>
      <w:r>
        <w:rPr>
          <w:rFonts w:ascii="Consolas" w:hAnsi="Consolas"/>
          <w:color w:val="C7254E"/>
          <w:sz w:val="19"/>
        </w:rPr>
        <w:t>modality_evidence</w:t>
      </w:r>
      <w:r>
        <w:t xml:space="preserve"> columns.</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2563EB"/>
          </w:tcPr>
          <w:p>
            <w:pPr>
              <w:spacing w:before="40" w:after="40"/>
            </w:pPr>
            <w:r>
              <w:rPr>
                <w:rFonts w:ascii="Calibri" w:hAnsi="Calibri"/>
                <w:b/>
                <w:color w:val="FFFFFF"/>
                <w:sz w:val="20"/>
              </w:rPr>
              <w:t>Label</w:t>
            </w:r>
          </w:p>
        </w:tc>
        <w:tc>
          <w:tcPr>
            <w:tcW w:type="dxa" w:w="3120"/>
            <w:tcMar>
              <w:top w:w="120" w:type="dxa"/>
              <w:bottom w:w="120" w:type="dxa"/>
              <w:left w:w="150" w:type="dxa"/>
              <w:right w:w="150" w:type="dxa"/>
            </w:tcMar>
            <w:shd w:fill="2563EB"/>
          </w:tcPr>
          <w:p>
            <w:pPr>
              <w:spacing w:before="40" w:after="40"/>
            </w:pPr>
            <w:r>
              <w:rPr>
                <w:rFonts w:ascii="Calibri" w:hAnsi="Calibri"/>
                <w:b/>
                <w:color w:val="FFFFFF"/>
                <w:sz w:val="20"/>
              </w:rPr>
              <w:t>Rows</w:t>
            </w:r>
          </w:p>
        </w:tc>
        <w:tc>
          <w:tcPr>
            <w:tcW w:type="dxa" w:w="3120"/>
            <w:tcMar>
              <w:top w:w="120" w:type="dxa"/>
              <w:bottom w:w="120" w:type="dxa"/>
              <w:left w:w="150" w:type="dxa"/>
              <w:right w:w="150" w:type="dxa"/>
            </w:tcMar>
            <w:shd w:fill="2563EB"/>
          </w:tcPr>
          <w:p>
            <w:pPr>
              <w:spacing w:before="40" w:after="40"/>
            </w:pPr>
            <w:r>
              <w:rPr>
                <w:rFonts w:ascii="Calibri" w:hAnsi="Calibri"/>
                <w:b/>
                <w:color w:val="FFFFFF"/>
                <w:sz w:val="20"/>
              </w:rPr>
              <w:t>Rows with evidence</w:t>
            </w:r>
          </w:p>
        </w:tc>
      </w:tr>
      <w:tr>
        <w:tc>
          <w:tcPr>
            <w:tcW w:type="dxa" w:w="3120"/>
            <w:tcMar>
              <w:top w:w="120" w:type="dxa"/>
              <w:bottom w:w="120" w:type="dxa"/>
              <w:left w:w="150" w:type="dxa"/>
              <w:right w:w="150" w:type="dxa"/>
            </w:tcMar>
            <w:shd w:fill="F8FAFC"/>
          </w:tcPr>
          <w:p>
            <w:pPr>
              <w:spacing w:before="40" w:after="40"/>
            </w:pPr>
            <w:r>
              <w:rPr>
                <w:sz w:val="19"/>
              </w:rPr>
              <w:t>Solo Singing</w:t>
            </w:r>
          </w:p>
        </w:tc>
        <w:tc>
          <w:tcPr>
            <w:tcW w:type="dxa" w:w="3120"/>
            <w:tcMar>
              <w:top w:w="120" w:type="dxa"/>
              <w:bottom w:w="120" w:type="dxa"/>
              <w:left w:w="150" w:type="dxa"/>
              <w:right w:w="150" w:type="dxa"/>
            </w:tcMar>
            <w:shd w:fill="F8FAFC"/>
          </w:tcPr>
          <w:p>
            <w:pPr>
              <w:spacing w:before="40" w:after="40"/>
            </w:pPr>
            <w:r>
              <w:rPr>
                <w:sz w:val="19"/>
              </w:rPr>
              <w:t>52</w:t>
            </w:r>
          </w:p>
        </w:tc>
        <w:tc>
          <w:tcPr>
            <w:tcW w:type="dxa" w:w="3120"/>
            <w:tcMar>
              <w:top w:w="120" w:type="dxa"/>
              <w:bottom w:w="120" w:type="dxa"/>
              <w:left w:w="150" w:type="dxa"/>
              <w:right w:w="150" w:type="dxa"/>
            </w:tcMar>
            <w:shd w:fill="F8FAFC"/>
          </w:tcPr>
          <w:p>
            <w:pPr>
              <w:spacing w:before="40" w:after="40"/>
            </w:pPr>
            <w:r>
              <w:rPr>
                <w:sz w:val="19"/>
              </w:rPr>
              <w:t>52</w:t>
            </w:r>
          </w:p>
        </w:tc>
      </w:tr>
      <w:tr>
        <w:tc>
          <w:tcPr>
            <w:tcW w:type="dxa" w:w="3120"/>
            <w:tcMar>
              <w:top w:w="120" w:type="dxa"/>
              <w:bottom w:w="120" w:type="dxa"/>
              <w:left w:w="150" w:type="dxa"/>
              <w:right w:w="150" w:type="dxa"/>
            </w:tcMar>
            <w:shd w:fill="FFFFFF"/>
          </w:tcPr>
          <w:p>
            <w:pPr>
              <w:spacing w:before="40" w:after="40"/>
            </w:pPr>
            <w:r>
              <w:rPr>
                <w:sz w:val="19"/>
              </w:rPr>
              <w:t>Instrumental</w:t>
            </w:r>
          </w:p>
        </w:tc>
        <w:tc>
          <w:tcPr>
            <w:tcW w:type="dxa" w:w="3120"/>
            <w:tcMar>
              <w:top w:w="120" w:type="dxa"/>
              <w:bottom w:w="120" w:type="dxa"/>
              <w:left w:w="150" w:type="dxa"/>
              <w:right w:w="150" w:type="dxa"/>
            </w:tcMar>
            <w:shd w:fill="FFFFFF"/>
          </w:tcPr>
          <w:p>
            <w:pPr>
              <w:spacing w:before="40" w:after="40"/>
            </w:pPr>
            <w:r>
              <w:rPr>
                <w:sz w:val="19"/>
              </w:rPr>
              <w:t>133</w:t>
            </w:r>
          </w:p>
        </w:tc>
        <w:tc>
          <w:tcPr>
            <w:tcW w:type="dxa" w:w="3120"/>
            <w:tcMar>
              <w:top w:w="120" w:type="dxa"/>
              <w:bottom w:w="120" w:type="dxa"/>
              <w:left w:w="150" w:type="dxa"/>
              <w:right w:w="150" w:type="dxa"/>
            </w:tcMar>
            <w:shd w:fill="FFFFFF"/>
          </w:tcPr>
          <w:p>
            <w:pPr>
              <w:spacing w:before="40" w:after="40"/>
            </w:pPr>
            <w:r>
              <w:rPr>
                <w:sz w:val="19"/>
              </w:rPr>
              <w:t>133</w:t>
            </w:r>
          </w:p>
        </w:tc>
      </w:tr>
      <w:tr>
        <w:tc>
          <w:tcPr>
            <w:tcW w:type="dxa" w:w="3120"/>
            <w:tcMar>
              <w:top w:w="120" w:type="dxa"/>
              <w:bottom w:w="120" w:type="dxa"/>
              <w:left w:w="150" w:type="dxa"/>
              <w:right w:w="150" w:type="dxa"/>
            </w:tcMar>
            <w:shd w:fill="F8FAFC"/>
          </w:tcPr>
          <w:p>
            <w:pPr>
              <w:spacing w:before="40" w:after="40"/>
            </w:pPr>
            <w:r>
              <w:rPr>
                <w:sz w:val="19"/>
              </w:rPr>
              <w:t>Ensemble</w:t>
            </w:r>
          </w:p>
        </w:tc>
        <w:tc>
          <w:tcPr>
            <w:tcW w:type="dxa" w:w="3120"/>
            <w:tcMar>
              <w:top w:w="120" w:type="dxa"/>
              <w:bottom w:w="120" w:type="dxa"/>
              <w:left w:w="150" w:type="dxa"/>
              <w:right w:w="150" w:type="dxa"/>
            </w:tcMar>
            <w:shd w:fill="F8FAFC"/>
          </w:tcPr>
          <w:p>
            <w:pPr>
              <w:spacing w:before="40" w:after="40"/>
            </w:pPr>
            <w:r>
              <w:rPr>
                <w:sz w:val="19"/>
              </w:rPr>
              <w:t>10</w:t>
            </w:r>
          </w:p>
        </w:tc>
        <w:tc>
          <w:tcPr>
            <w:tcW w:type="dxa" w:w="3120"/>
            <w:tcMar>
              <w:top w:w="120" w:type="dxa"/>
              <w:bottom w:w="120" w:type="dxa"/>
              <w:left w:w="150" w:type="dxa"/>
              <w:right w:w="150" w:type="dxa"/>
            </w:tcMar>
            <w:shd w:fill="F8FAFC"/>
          </w:tcPr>
          <w:p>
            <w:pPr>
              <w:spacing w:before="40" w:after="40"/>
            </w:pPr>
            <w:r>
              <w:rPr>
                <w:sz w:val="19"/>
              </w:rPr>
              <w:t>10</w:t>
            </w:r>
          </w:p>
        </w:tc>
      </w:tr>
      <w:tr>
        <w:tc>
          <w:tcPr>
            <w:tcW w:type="dxa" w:w="3120"/>
            <w:tcMar>
              <w:top w:w="120" w:type="dxa"/>
              <w:bottom w:w="120" w:type="dxa"/>
              <w:left w:w="150" w:type="dxa"/>
              <w:right w:w="150" w:type="dxa"/>
            </w:tcMar>
            <w:shd w:fill="FFFFFF"/>
          </w:tcPr>
          <w:p>
            <w:pPr>
              <w:spacing w:before="40" w:after="40"/>
            </w:pPr>
            <w:r>
              <w:rPr>
                <w:b/>
                <w:sz w:val="19"/>
              </w:rPr>
              <w:t>General MIR</w:t>
            </w:r>
          </w:p>
        </w:tc>
        <w:tc>
          <w:tcPr>
            <w:tcW w:type="dxa" w:w="3120"/>
            <w:tcMar>
              <w:top w:w="120" w:type="dxa"/>
              <w:bottom w:w="120" w:type="dxa"/>
              <w:left w:w="150" w:type="dxa"/>
              <w:right w:w="150" w:type="dxa"/>
            </w:tcMar>
            <w:shd w:fill="FFFFFF"/>
          </w:tcPr>
          <w:p>
            <w:pPr>
              <w:spacing w:before="40" w:after="40"/>
            </w:pPr>
            <w:r>
              <w:rPr>
                <w:b/>
                <w:sz w:val="19"/>
              </w:rPr>
              <w:t>170</w:t>
            </w:r>
          </w:p>
        </w:tc>
        <w:tc>
          <w:tcPr>
            <w:tcW w:type="dxa" w:w="3120"/>
            <w:tcMar>
              <w:top w:w="120" w:type="dxa"/>
              <w:bottom w:w="120" w:type="dxa"/>
              <w:left w:w="150" w:type="dxa"/>
              <w:right w:w="150" w:type="dxa"/>
            </w:tcMar>
            <w:shd w:fill="FFFFFF"/>
          </w:tcPr>
          <w:p>
            <w:pPr>
              <w:spacing w:before="40" w:after="40"/>
            </w:pPr>
            <w:r>
              <w:rPr>
                <w:b/>
                <w:sz w:val="19"/>
              </w:rPr>
              <w:t>0</w:t>
            </w:r>
          </w:p>
        </w:tc>
      </w:tr>
      <w:tr>
        <w:tc>
          <w:tcPr>
            <w:tcW w:type="dxa" w:w="3120"/>
            <w:tcMar>
              <w:top w:w="120" w:type="dxa"/>
              <w:bottom w:w="120" w:type="dxa"/>
              <w:left w:w="150" w:type="dxa"/>
              <w:right w:w="150" w:type="dxa"/>
            </w:tcMar>
            <w:shd w:fill="F8FAFC"/>
          </w:tcPr>
          <w:p>
            <w:pPr>
              <w:spacing w:before="40" w:after="40"/>
            </w:pPr>
            <w:r>
              <w:rPr>
                <w:sz w:val="19"/>
              </w:rPr>
              <w:t>Symbolic</w:t>
            </w:r>
          </w:p>
        </w:tc>
        <w:tc>
          <w:tcPr>
            <w:tcW w:type="dxa" w:w="3120"/>
            <w:tcMar>
              <w:top w:w="120" w:type="dxa"/>
              <w:bottom w:w="120" w:type="dxa"/>
              <w:left w:w="150" w:type="dxa"/>
              <w:right w:w="150" w:type="dxa"/>
            </w:tcMar>
            <w:shd w:fill="F8FAFC"/>
          </w:tcPr>
          <w:p>
            <w:pPr>
              <w:spacing w:before="40" w:after="40"/>
            </w:pPr>
            <w:r>
              <w:rPr>
                <w:sz w:val="19"/>
              </w:rPr>
              <w:t>71</w:t>
            </w:r>
          </w:p>
        </w:tc>
        <w:tc>
          <w:tcPr>
            <w:tcW w:type="dxa" w:w="3120"/>
            <w:tcMar>
              <w:top w:w="120" w:type="dxa"/>
              <w:bottom w:w="120" w:type="dxa"/>
              <w:left w:w="150" w:type="dxa"/>
              <w:right w:w="150" w:type="dxa"/>
            </w:tcMar>
            <w:shd w:fill="F8FAFC"/>
          </w:tcPr>
          <w:p>
            <w:pPr>
              <w:spacing w:before="40" w:after="40"/>
            </w:pPr>
            <w:r>
              <w:rPr>
                <w:sz w:val="19"/>
              </w:rPr>
              <w:t>71</w:t>
            </w:r>
          </w:p>
        </w:tc>
      </w:tr>
      <w:tr>
        <w:tc>
          <w:tcPr>
            <w:tcW w:type="dxa" w:w="3120"/>
            <w:tcMar>
              <w:top w:w="120" w:type="dxa"/>
              <w:bottom w:w="120" w:type="dxa"/>
              <w:left w:w="150" w:type="dxa"/>
              <w:right w:w="150" w:type="dxa"/>
            </w:tcMar>
            <w:shd w:fill="FFFFFF"/>
          </w:tcPr>
          <w:p>
            <w:pPr>
              <w:spacing w:before="40" w:after="40"/>
            </w:pPr>
            <w:r>
              <w:rPr>
                <w:sz w:val="19"/>
              </w:rPr>
              <w:t>Multimodal</w:t>
            </w:r>
          </w:p>
        </w:tc>
        <w:tc>
          <w:tcPr>
            <w:tcW w:type="dxa" w:w="3120"/>
            <w:tcMar>
              <w:top w:w="120" w:type="dxa"/>
              <w:bottom w:w="120" w:type="dxa"/>
              <w:left w:w="150" w:type="dxa"/>
              <w:right w:w="150" w:type="dxa"/>
            </w:tcMar>
            <w:shd w:fill="FFFFFF"/>
          </w:tcPr>
          <w:p>
            <w:pPr>
              <w:spacing w:before="40" w:after="40"/>
            </w:pPr>
            <w:r>
              <w:rPr>
                <w:sz w:val="19"/>
              </w:rPr>
              <w:t>35</w:t>
            </w:r>
          </w:p>
        </w:tc>
        <w:tc>
          <w:tcPr>
            <w:tcW w:type="dxa" w:w="3120"/>
            <w:tcMar>
              <w:top w:w="120" w:type="dxa"/>
              <w:bottom w:w="120" w:type="dxa"/>
              <w:left w:w="150" w:type="dxa"/>
              <w:right w:w="150" w:type="dxa"/>
            </w:tcMar>
            <w:shd w:fill="FFFFFF"/>
          </w:tcPr>
          <w:p>
            <w:pPr>
              <w:spacing w:before="40" w:after="40"/>
            </w:pPr>
            <w:r>
              <w:rPr>
                <w:sz w:val="19"/>
              </w:rPr>
              <w:t>35</w:t>
            </w:r>
          </w:p>
        </w:tc>
      </w:tr>
      <w:tr>
        <w:tc>
          <w:tcPr>
            <w:tcW w:type="dxa" w:w="3120"/>
            <w:tcMar>
              <w:top w:w="120" w:type="dxa"/>
              <w:bottom w:w="120" w:type="dxa"/>
              <w:left w:w="150" w:type="dxa"/>
              <w:right w:w="150" w:type="dxa"/>
            </w:tcMar>
            <w:shd w:fill="F8FAFC"/>
          </w:tcPr>
          <w:p>
            <w:pPr>
              <w:spacing w:before="40" w:after="40"/>
            </w:pPr>
            <w:r>
              <w:rPr>
                <w:b/>
                <w:sz w:val="19"/>
              </w:rPr>
              <w:t>Audio</w:t>
            </w:r>
          </w:p>
        </w:tc>
        <w:tc>
          <w:tcPr>
            <w:tcW w:type="dxa" w:w="3120"/>
            <w:tcMar>
              <w:top w:w="120" w:type="dxa"/>
              <w:bottom w:w="120" w:type="dxa"/>
              <w:left w:w="150" w:type="dxa"/>
              <w:right w:w="150" w:type="dxa"/>
            </w:tcMar>
            <w:shd w:fill="F8FAFC"/>
          </w:tcPr>
          <w:p>
            <w:pPr>
              <w:spacing w:before="40" w:after="40"/>
            </w:pPr>
            <w:r>
              <w:rPr>
                <w:b/>
                <w:sz w:val="19"/>
              </w:rPr>
              <w:t>259</w:t>
            </w:r>
          </w:p>
        </w:tc>
        <w:tc>
          <w:tcPr>
            <w:tcW w:type="dxa" w:w="3120"/>
            <w:tcMar>
              <w:top w:w="120" w:type="dxa"/>
              <w:bottom w:w="120" w:type="dxa"/>
              <w:left w:w="150" w:type="dxa"/>
              <w:right w:w="150" w:type="dxa"/>
            </w:tcMar>
            <w:shd w:fill="F8FAFC"/>
          </w:tcPr>
          <w:p>
            <w:pPr>
              <w:spacing w:before="40" w:after="40"/>
            </w:pPr>
            <w:r>
              <w:rPr>
                <w:b/>
                <w:sz w:val="19"/>
              </w:rPr>
              <w:t>0</w:t>
            </w:r>
          </w:p>
        </w:tc>
      </w:tr>
    </w:tbl>
    <w:p>
      <w:pPr>
        <w:spacing w:before="80" w:after="80"/>
      </w:pPr>
    </w:p>
    <w:p>
      <w:pPr>
        <w:spacing w:before="60" w:after="80" w:line="276" w:lineRule="auto"/>
      </w:pPr>
      <w:r>
        <w:t xml:space="preserve">Every </w:t>
      </w:r>
      <w:r>
        <w:rPr>
          <w:rFonts w:ascii="Consolas" w:hAnsi="Consolas"/>
          <w:color w:val="C7254E"/>
          <w:sz w:val="19"/>
        </w:rPr>
        <w:t>General MIR</w:t>
      </w:r>
      <w:r>
        <w:t xml:space="preserve"> and every </w:t>
      </w:r>
      <w:r>
        <w:rPr>
          <w:rFonts w:ascii="Consolas" w:hAnsi="Consolas"/>
          <w:color w:val="C7254E"/>
          <w:sz w:val="19"/>
        </w:rPr>
        <w:t>Audio</w:t>
      </w:r>
      <w:r>
        <w:t xml:space="preserve"> label has an empty evidence cell. They are the</w:t>
      </w:r>
    </w:p>
    <w:p>
      <w:pPr>
        <w:spacing w:before="60" w:after="80" w:line="276" w:lineRule="auto"/>
      </w:pPr>
      <w:r>
        <w:rPr>
          <w:rFonts w:ascii="Consolas" w:hAnsi="Consolas"/>
          <w:color w:val="C7254E"/>
          <w:sz w:val="19"/>
        </w:rPr>
        <w:t>else</w:t>
      </w:r>
      <w:r>
        <w:t xml:space="preserve"> branch of the tagger — "no domain keyword matched" and "no symbolic/multimodal</w:t>
      </w:r>
    </w:p>
    <w:p>
      <w:pPr>
        <w:spacing w:before="60" w:after="80" w:line="276" w:lineRule="auto"/>
      </w:pPr>
      <w:r>
        <w:t>keyword matched." The paper reports the residual as the field's centre of gravity.</w:t>
      </w:r>
    </w:p>
    <w:p>
      <w:pPr>
        <w:spacing w:before="60" w:after="80" w:line="276" w:lineRule="auto"/>
      </w:pPr>
      <w:r>
        <w:rPr>
          <w:b/>
        </w:rPr>
        <w:t>Consequence:</w:t>
      </w:r>
      <w:r>
        <w:t xml:space="preserve"> "General MIR dominates at 47%" actually reads "47% of abstracts contained</w:t>
      </w:r>
    </w:p>
    <w:p>
      <w:pPr>
        <w:spacing w:before="60" w:after="80" w:line="276" w:lineRule="auto"/>
      </w:pPr>
      <w:r>
        <w:t>none of our domain keywords." The same applies to the 71% audio figure, which then</w:t>
      </w:r>
    </w:p>
    <w:p>
      <w:pPr>
        <w:spacing w:before="60" w:after="80" w:line="276" w:lineRule="auto"/>
      </w:pPr>
      <w:r>
        <w:t>underpins Table 10's headline negative result ("evaluation practice is</w:t>
      </w:r>
    </w:p>
    <w:p>
      <w:pPr>
        <w:spacing w:before="60" w:after="80" w:line="276" w:lineRule="auto"/>
      </w:pPr>
      <w:r>
        <w:t>modality-independent") — a claim resting on a variable that is 71% default.</w:t>
      </w:r>
    </w:p>
    <w:p>
      <w:pPr>
        <w:spacing w:before="60" w:after="80" w:line="276" w:lineRule="auto"/>
      </w:pPr>
      <w:r>
        <w:rPr>
          <w:b/>
        </w:rPr>
        <w:t>Fix:</w:t>
      </w:r>
      <w:r>
        <w:t xml:space="preserve"> either add positive inclusion evidence for both fallback classes, or rename them</w:t>
      </w:r>
    </w:p>
    <w:p>
      <w:pPr>
        <w:spacing w:before="60" w:after="80" w:line="276" w:lineRule="auto"/>
      </w:pPr>
      <w:r>
        <w:rPr>
          <w:rFonts w:ascii="Consolas" w:hAnsi="Consolas"/>
          <w:color w:val="C7254E"/>
          <w:sz w:val="19"/>
        </w:rPr>
        <w:t>Unclassified / general</w:t>
      </w:r>
      <w:r>
        <w:t xml:space="preserve"> and </w:t>
      </w:r>
      <w:r>
        <w:rPr>
          <w:rFonts w:ascii="Consolas" w:hAnsi="Consolas"/>
          <w:color w:val="C7254E"/>
          <w:sz w:val="19"/>
        </w:rPr>
        <w:t>Audio (default — no symbolic or multimodal marker)</w:t>
      </w:r>
      <w:r>
        <w:t xml:space="preserve"> and</w:t>
      </w:r>
    </w:p>
    <w:p>
      <w:pPr>
        <w:spacing w:before="60" w:after="80" w:line="276" w:lineRule="auto"/>
      </w:pPr>
      <w:r>
        <w:t>retract the "dominates" framing.</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2. Every Scopus record has one author. All citations are affected.</w:t>
      </w:r>
    </w:p>
    <w:p>
      <w:pPr>
        <w:spacing w:before="60" w:after="80" w:line="276" w:lineRule="auto"/>
      </w:pPr>
      <w:r>
        <w:rPr>
          <w:b/>
        </w:rPr>
        <w:t>Where it surfaces:</w:t>
      </w:r>
      <w:r>
        <w:t xml:space="preserve"> the entire reference list, every in-text citation in 4.1–4.4, the</w:t>
      </w:r>
    </w:p>
    <w:p>
      <w:pPr>
        <w:spacing w:before="60" w:after="80" w:line="276" w:lineRule="auto"/>
      </w:pPr>
      <w:r>
        <w:t xml:space="preserve">co-authorship network in Phase 5 and </w:t>
      </w:r>
      <w:r>
        <w:rPr>
          <w:rFonts w:ascii="Consolas" w:hAnsi="Consolas"/>
          <w:color w:val="C7254E"/>
          <w:sz w:val="19"/>
        </w:rPr>
        <w:t>docs/index.html</w:t>
      </w:r>
      <w:r>
        <w:t xml:space="preserve">, and every </w:t>
      </w:r>
      <w:r>
        <w:rPr>
          <w:rFonts w:ascii="Consolas" w:hAnsi="Consolas"/>
          <w:color w:val="C7254E"/>
          <w:sz w:val="19"/>
        </w:rPr>
        <w:t>et al.</w:t>
      </w:r>
      <w:r>
        <w:t xml:space="preserve"> in the drafts.</w:t>
      </w:r>
    </w:p>
    <w:p>
      <w:pPr>
        <w:spacing w:before="60" w:after="80" w:line="276" w:lineRule="auto"/>
      </w:pPr>
      <w:r>
        <w:rPr>
          <w:b/>
        </w:rPr>
        <w:t>Root cause:</w:t>
      </w:r>
      <w:r>
        <w:t xml:space="preserve"> </w:t>
      </w:r>
      <w:r>
        <w:rPr>
          <w:rFonts w:ascii="Consolas" w:hAnsi="Consolas"/>
          <w:color w:val="C7254E"/>
          <w:sz w:val="19"/>
        </w:rPr>
        <w:t>phase1_2/MuTech_Phase1_2_Collection_Screening.ipynb</w:t>
      </w:r>
      <w:r>
        <w:t>, cell 0:</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Consolas" w:hAnsi="Consolas"/>
                <w:color w:val="1E293B"/>
                <w:sz w:val="18"/>
              </w:rPr>
              <w:t>df_scopus = df_scopus[['title','description','coverDate','doi','creator','authkeywords','subtypeDescription']]</w:t>
              <w:br/>
              <w:t>df_scopus = df_scopus.rename(columns={..., 'creator': 'Authors', ...})</w:t>
            </w:r>
          </w:p>
        </w:tc>
      </w:tr>
    </w:tbl>
    <w:p>
      <w:pPr>
        <w:spacing w:before="80" w:after="80"/>
      </w:pPr>
    </w:p>
    <w:p>
      <w:pPr>
        <w:spacing w:before="60" w:after="80" w:line="276" w:lineRule="auto"/>
      </w:pPr>
      <w:r>
        <w:t xml:space="preserve">In </w:t>
      </w:r>
      <w:r>
        <w:rPr>
          <w:rFonts w:ascii="Consolas" w:hAnsi="Consolas"/>
          <w:color w:val="C7254E"/>
          <w:sz w:val="19"/>
        </w:rPr>
        <w:t>pybliometrics.ScopusSearch</w:t>
      </w:r>
      <w:r>
        <w:t xml:space="preserve">, </w:t>
      </w:r>
      <w:r>
        <w:rPr>
          <w:rFonts w:ascii="Consolas" w:hAnsi="Consolas"/>
          <w:color w:val="C7254E"/>
          <w:sz w:val="19"/>
        </w:rPr>
        <w:t>creator</w:t>
      </w:r>
      <w:r>
        <w:t xml:space="preserve"> is the </w:t>
      </w:r>
      <w:r>
        <w:rPr>
          <w:b/>
        </w:rPr>
        <w:t>first author only</w:t>
      </w:r>
      <w:r>
        <w:t>, not the author</w:t>
      </w:r>
    </w:p>
    <w:p>
      <w:pPr>
        <w:spacing w:before="60" w:after="80" w:line="276" w:lineRule="auto"/>
      </w:pPr>
      <w:r>
        <w:t xml:space="preserve">list. The full list is </w:t>
      </w:r>
      <w:r>
        <w:rPr>
          <w:rFonts w:ascii="Consolas" w:hAnsi="Consolas"/>
          <w:color w:val="C7254E"/>
          <w:sz w:val="19"/>
        </w:rPr>
        <w:t>author_names</w:t>
      </w:r>
      <w:r>
        <w:t>, which was never pulled and cannot be recovered</w:t>
      </w:r>
    </w:p>
    <w:p>
      <w:pPr>
        <w:spacing w:before="60" w:after="80" w:line="276" w:lineRule="auto"/>
      </w:pPr>
      <w:r>
        <w:t>without re-querying Scopus.</w:t>
      </w:r>
    </w:p>
    <w:p>
      <w:pPr>
        <w:spacing w:before="60" w:after="80" w:line="276" w:lineRule="auto"/>
      </w:pPr>
      <w:r>
        <w:rPr>
          <w:b/>
        </w:rPr>
        <w:t>Verified:</w:t>
      </w:r>
      <w:r>
        <w:t xml:space="preserve"> all 365 rows of </w:t>
      </w:r>
      <w:r>
        <w:rPr>
          <w:rFonts w:ascii="Consolas" w:hAnsi="Consolas"/>
          <w:color w:val="C7254E"/>
          <w:sz w:val="19"/>
        </w:rPr>
        <w:t>priority_records_from_rayyan.csv</w:t>
      </w:r>
      <w:r>
        <w:t xml:space="preserve"> parse to exactly one</w:t>
      </w:r>
    </w:p>
    <w:p>
      <w:pPr>
        <w:spacing w:before="60" w:after="80" w:line="276" w:lineRule="auto"/>
      </w:pPr>
      <w:r>
        <w:t>author name. 320 rows are Scopus-style (</w:t>
      </w:r>
      <w:r>
        <w:rPr>
          <w:rFonts w:ascii="Consolas" w:hAnsi="Consolas"/>
          <w:color w:val="C7254E"/>
          <w:sz w:val="19"/>
        </w:rPr>
        <w:t>Krause M.</w:t>
      </w:r>
      <w:r>
        <w:t>); 45 are IEEE-style</w:t>
      </w:r>
    </w:p>
    <w:p>
      <w:pPr>
        <w:spacing w:before="60" w:after="80" w:line="276" w:lineRule="auto"/>
      </w:pPr>
      <w:r>
        <w:t>(</w:t>
      </w:r>
      <w:r>
        <w:rPr>
          <w:rFonts w:ascii="Consolas" w:hAnsi="Consolas"/>
          <w:color w:val="C7254E"/>
          <w:sz w:val="19"/>
        </w:rPr>
        <w:t>M. Krause and C. Weiß and M. Müller</w:t>
      </w:r>
      <w:r>
        <w:t>) — the corpus mixes two incompatible author formats</w:t>
      </w:r>
    </w:p>
    <w:p>
      <w:pPr>
        <w:spacing w:before="60" w:after="80" w:line="276" w:lineRule="auto"/>
      </w:pPr>
      <w:r>
        <w:t>in one column.</w:t>
      </w:r>
    </w:p>
    <w:p>
      <w:pPr>
        <w:spacing w:before="60" w:after="80" w:line="276" w:lineRule="auto"/>
      </w:pPr>
      <w:r>
        <w:rPr>
          <w:b/>
        </w:rPr>
        <w:t>Consequences, all of them citation-integrity issues an examiner will catch:</w:t>
      </w:r>
    </w:p>
    <w:p>
      <w:pPr>
        <w:pStyle w:val="ListBullet"/>
        <w:spacing w:before="20" w:after="40"/>
      </w:pPr>
      <w:r>
        <w:t xml:space="preserve">Every </w:t>
      </w:r>
      <w:r>
        <w:rPr>
          <w:rFonts w:ascii="Consolas" w:hAnsi="Consolas"/>
          <w:color w:val="C7254E"/>
          <w:sz w:val="19"/>
        </w:rPr>
        <w:t>et al.</w:t>
      </w:r>
      <w:r>
        <w:t xml:space="preserve"> in Parts 5–6 (</w:t>
      </w:r>
      <w:r>
        <w:rPr>
          <w:rFonts w:ascii="Consolas" w:hAnsi="Consolas"/>
          <w:color w:val="C7254E"/>
          <w:sz w:val="19"/>
        </w:rPr>
        <w:t>Mezza et al. 2024</w:t>
      </w:r>
      <w:r>
        <w:t xml:space="preserve">, </w:t>
      </w:r>
      <w:r>
        <w:rPr>
          <w:rFonts w:ascii="Consolas" w:hAnsi="Consolas"/>
          <w:color w:val="C7254E"/>
          <w:sz w:val="19"/>
        </w:rPr>
        <w:t>Ríos-Vila et al. 2022</w:t>
      </w:r>
      <w:r>
        <w:t>,</w:t>
      </w:r>
    </w:p>
    <w:p>
      <w:pPr>
        <w:spacing w:before="60" w:after="80" w:line="276" w:lineRule="auto"/>
      </w:pPr>
      <w:r>
        <w:rPr>
          <w:rFonts w:ascii="Consolas" w:hAnsi="Consolas"/>
          <w:color w:val="C7254E"/>
          <w:sz w:val="19"/>
        </w:rPr>
        <w:t>Dubey et al. 2023</w:t>
      </w:r>
      <w:r>
        <w:t xml:space="preserve">, </w:t>
      </w:r>
      <w:r>
        <w:rPr>
          <w:rFonts w:ascii="Consolas" w:hAnsi="Consolas"/>
          <w:color w:val="C7254E"/>
          <w:sz w:val="19"/>
        </w:rPr>
        <w:t>Kostrzewa et al. 2026</w:t>
      </w:r>
      <w:r>
        <w:t xml:space="preserve">, </w:t>
      </w:r>
      <w:r>
        <w:rPr>
          <w:rFonts w:ascii="Consolas" w:hAnsi="Consolas"/>
          <w:color w:val="C7254E"/>
          <w:sz w:val="19"/>
        </w:rPr>
        <w:t>Scarpiniti et al. 2023</w:t>
      </w:r>
      <w:r>
        <w:t>,</w:t>
      </w:r>
    </w:p>
    <w:p>
      <w:pPr>
        <w:spacing w:before="60" w:after="80" w:line="276" w:lineRule="auto"/>
      </w:pPr>
      <w:r>
        <w:rPr>
          <w:rFonts w:ascii="Consolas" w:hAnsi="Consolas"/>
          <w:color w:val="C7254E"/>
          <w:sz w:val="19"/>
        </w:rPr>
        <w:t>Yamamoto et al. 2023</w:t>
      </w:r>
      <w:r>
        <w:t>) is unsupported by the corpus — the records hold a single name.</w:t>
      </w:r>
    </w:p>
    <w:p>
      <w:pPr>
        <w:spacing w:before="60" w:after="80" w:line="276" w:lineRule="auto"/>
      </w:pPr>
      <w:r>
        <w:t>This directly contradicts the note "all citations are corpus papers verified 1:1 against</w:t>
      </w:r>
    </w:p>
    <w:p>
      <w:pPr>
        <w:spacing w:before="60" w:after="80" w:line="276" w:lineRule="auto"/>
      </w:pPr>
      <w:r>
        <w:rPr>
          <w:rFonts w:ascii="Consolas" w:hAnsi="Consolas"/>
          <w:color w:val="C7254E"/>
          <w:sz w:val="19"/>
        </w:rPr>
        <w:t>priority_records_from_rayyan.csv</w:t>
      </w:r>
      <w:r>
        <w:t>."</w:t>
      </w:r>
    </w:p>
    <w:p>
      <w:pPr>
        <w:pStyle w:val="ListBullet"/>
        <w:spacing w:before="20" w:after="40"/>
      </w:pPr>
      <w:r>
        <w:rPr>
          <w:b/>
        </w:rPr>
        <w:t>18 of the 99 citations in `challenge_evidence.csv` are initials parsed as surnames:</w:t>
      </w:r>
    </w:p>
    <w:p>
      <w:pPr>
        <w:spacing w:before="60" w:after="80" w:line="276" w:lineRule="auto"/>
      </w:pPr>
      <w:r>
        <w:rPr>
          <w:rFonts w:ascii="Consolas" w:hAnsi="Consolas"/>
          <w:color w:val="C7254E"/>
          <w:sz w:val="19"/>
        </w:rPr>
        <w:t>[X., 2023]</w:t>
      </w:r>
      <w:r>
        <w:t xml:space="preserve">, </w:t>
      </w:r>
      <w:r>
        <w:rPr>
          <w:rFonts w:ascii="Consolas" w:hAnsi="Consolas"/>
          <w:color w:val="C7254E"/>
          <w:sz w:val="19"/>
        </w:rPr>
        <w:t>[M., 2026]</w:t>
      </w:r>
      <w:r>
        <w:t xml:space="preserve">, </w:t>
      </w:r>
      <w:r>
        <w:rPr>
          <w:rFonts w:ascii="Consolas" w:hAnsi="Consolas"/>
          <w:color w:val="C7254E"/>
          <w:sz w:val="19"/>
        </w:rPr>
        <w:t>[Y., 2025]</w:t>
      </w:r>
      <w:r>
        <w:t xml:space="preserve">, </w:t>
      </w:r>
      <w:r>
        <w:rPr>
          <w:rFonts w:ascii="Consolas" w:hAnsi="Consolas"/>
          <w:color w:val="C7254E"/>
          <w:sz w:val="19"/>
        </w:rPr>
        <w:t>[S., 2024]</w:t>
      </w:r>
      <w:r>
        <w:t xml:space="preserve">, </w:t>
      </w:r>
      <w:r>
        <w:rPr>
          <w:rFonts w:ascii="Consolas" w:hAnsi="Consolas"/>
          <w:color w:val="C7254E"/>
          <w:sz w:val="19"/>
        </w:rPr>
        <w:t>[P., 2026]</w:t>
      </w:r>
      <w:r>
        <w:t xml:space="preserve">, </w:t>
      </w:r>
      <w:r>
        <w:rPr>
          <w:rFonts w:ascii="Consolas" w:hAnsi="Consolas"/>
          <w:color w:val="C7254E"/>
          <w:sz w:val="19"/>
        </w:rPr>
        <w:t>[R., 2026]</w:t>
      </w:r>
      <w:r>
        <w:t>,</w:t>
      </w:r>
    </w:p>
    <w:p>
      <w:pPr>
        <w:spacing w:before="60" w:after="80" w:line="276" w:lineRule="auto"/>
      </w:pPr>
      <w:r>
        <w:rPr>
          <w:rFonts w:ascii="Consolas" w:hAnsi="Consolas"/>
          <w:color w:val="C7254E"/>
          <w:sz w:val="19"/>
        </w:rPr>
        <w:t>[H., 2025]</w:t>
      </w:r>
      <w:r>
        <w:t xml:space="preserve">, </w:t>
      </w:r>
      <w:r>
        <w:rPr>
          <w:rFonts w:ascii="Consolas" w:hAnsi="Consolas"/>
          <w:color w:val="C7254E"/>
          <w:sz w:val="19"/>
        </w:rPr>
        <w:t>[Z., 2025]</w:t>
      </w:r>
      <w:r>
        <w:t xml:space="preserve">, </w:t>
      </w:r>
      <w:r>
        <w:rPr>
          <w:rFonts w:ascii="Consolas" w:hAnsi="Consolas"/>
          <w:color w:val="C7254E"/>
          <w:sz w:val="19"/>
        </w:rPr>
        <w:t>[E., 2025]</w:t>
      </w:r>
      <w:r>
        <w:t xml:space="preserve">, </w:t>
      </w:r>
      <w:r>
        <w:rPr>
          <w:rFonts w:ascii="Consolas" w:hAnsi="Consolas"/>
          <w:color w:val="C7254E"/>
          <w:sz w:val="19"/>
        </w:rPr>
        <w:t>[T., 2024]</w:t>
      </w:r>
      <w:r>
        <w:t xml:space="preserve">, </w:t>
      </w:r>
      <w:r>
        <w:rPr>
          <w:rFonts w:ascii="Consolas" w:hAnsi="Consolas"/>
          <w:color w:val="C7254E"/>
          <w:sz w:val="19"/>
        </w:rPr>
        <w:t>[L., 2026]</w:t>
      </w:r>
      <w:r>
        <w:t xml:space="preserve">, </w:t>
      </w:r>
      <w:r>
        <w:rPr>
          <w:rFonts w:ascii="Consolas" w:hAnsi="Consolas"/>
          <w:color w:val="C7254E"/>
          <w:sz w:val="19"/>
        </w:rPr>
        <w:t>[A., 2026]</w:t>
      </w:r>
      <w:r>
        <w:t>,</w:t>
      </w:r>
    </w:p>
    <w:p>
      <w:pPr>
        <w:spacing w:before="60" w:after="80" w:line="276" w:lineRule="auto"/>
      </w:pPr>
      <w:r>
        <w:rPr>
          <w:rFonts w:ascii="Consolas" w:hAnsi="Consolas"/>
          <w:color w:val="C7254E"/>
          <w:sz w:val="19"/>
        </w:rPr>
        <w:t>[C., 2022]</w:t>
      </w:r>
      <w:r>
        <w:t xml:space="preserve"> and others. These came from the IEEE-format rows, where splitting on the</w:t>
      </w:r>
    </w:p>
    <w:p>
      <w:pPr>
        <w:spacing w:before="60" w:after="80" w:line="276" w:lineRule="auto"/>
      </w:pPr>
      <w:r>
        <w:t>first token yields the initial.</w:t>
      </w:r>
    </w:p>
    <w:p>
      <w:pPr>
        <w:pStyle w:val="ListBullet"/>
        <w:spacing w:before="20" w:after="40"/>
      </w:pPr>
      <w:r>
        <w:rPr>
          <w:rFonts w:ascii="Consolas" w:hAnsi="Consolas"/>
          <w:color w:val="C7254E"/>
          <w:sz w:val="19"/>
        </w:rPr>
        <w:t>[Chongyang, 2026]</w:t>
      </w:r>
      <w:r>
        <w:t xml:space="preserve"> keys a given name as a surname.</w:t>
      </w:r>
    </w:p>
    <w:p>
      <w:pPr>
        <w:pStyle w:val="ListBullet"/>
        <w:spacing w:before="20" w:after="40"/>
      </w:pPr>
      <w:r>
        <w:rPr>
          <w:rFonts w:ascii="Consolas" w:hAnsi="Consolas"/>
          <w:color w:val="C7254E"/>
          <w:sz w:val="19"/>
        </w:rPr>
        <w:t>Marták L.</w:t>
      </w:r>
      <w:r>
        <w:t xml:space="preserve"> and </w:t>
      </w:r>
      <w:r>
        <w:rPr>
          <w:rFonts w:ascii="Consolas" w:hAnsi="Consolas"/>
          <w:color w:val="C7254E"/>
          <w:sz w:val="19"/>
        </w:rPr>
        <w:t>Marták L.S.</w:t>
      </w:r>
      <w:r>
        <w:t xml:space="preserve"> are the same author under two spellings, on two different</w:t>
      </w:r>
    </w:p>
    <w:p>
      <w:pPr>
        <w:spacing w:before="60" w:after="80" w:line="276" w:lineRule="auto"/>
      </w:pPr>
      <w:r>
        <w:t xml:space="preserve">2026 papers — </w:t>
      </w:r>
      <w:r>
        <w:rPr>
          <w:rFonts w:ascii="Consolas" w:hAnsi="Consolas"/>
          <w:color w:val="C7254E"/>
          <w:sz w:val="19"/>
        </w:rPr>
        <w:t>[Marták, 2026]</w:t>
      </w:r>
      <w:r>
        <w:t xml:space="preserve"> in 4.3 is ambiguous.</w:t>
      </w:r>
    </w:p>
    <w:p>
      <w:pPr>
        <w:pStyle w:val="ListBullet"/>
        <w:spacing w:before="20" w:after="40"/>
      </w:pPr>
      <w:r>
        <w:t>Phase 5's README explains the sparse co-authorship graph as "a property of the upstream</w:t>
      </w:r>
    </w:p>
    <w:p>
      <w:pPr>
        <w:spacing w:before="60" w:after="80" w:line="276" w:lineRule="auto"/>
      </w:pPr>
      <w:r>
        <w:t xml:space="preserve">export." It isn't. It is this line. The co-authorship tab in </w:t>
      </w:r>
      <w:r>
        <w:rPr>
          <w:rFonts w:ascii="Consolas" w:hAnsi="Consolas"/>
          <w:color w:val="C7254E"/>
          <w:sz w:val="19"/>
        </w:rPr>
        <w:t>docs/index.html</w:t>
      </w:r>
      <w:r>
        <w:t xml:space="preserve"> is</w:t>
      </w:r>
    </w:p>
    <w:p>
      <w:pPr>
        <w:spacing w:before="60" w:after="80" w:line="276" w:lineRule="auto"/>
      </w:pPr>
      <w:r>
        <w:t>measuring first-author name collisions.</w:t>
      </w:r>
    </w:p>
    <w:p>
      <w:pPr>
        <w:spacing w:before="60" w:after="80" w:line="276" w:lineRule="auto"/>
      </w:pPr>
      <w:r>
        <w:rPr>
          <w:b/>
        </w:rPr>
        <w:t>Fix:</w:t>
      </w:r>
      <w:r>
        <w:t xml:space="preserve"> re-pull Scopus with </w:t>
      </w:r>
      <w:r>
        <w:rPr>
          <w:rFonts w:ascii="Consolas" w:hAnsi="Consolas"/>
          <w:color w:val="C7254E"/>
          <w:sz w:val="19"/>
        </w:rPr>
        <w:t>author_names</w:t>
      </w:r>
      <w:r>
        <w:t>, or drop the co-authorship analysis and rebuild</w:t>
      </w:r>
    </w:p>
    <w:p>
      <w:pPr>
        <w:spacing w:before="60" w:after="80" w:line="276" w:lineRule="auto"/>
      </w:pPr>
      <w:r>
        <w:t xml:space="preserve">the reference list from DOI via Crossref. Do not ship </w:t>
      </w:r>
      <w:r>
        <w:rPr>
          <w:rFonts w:ascii="Consolas" w:hAnsi="Consolas"/>
          <w:color w:val="C7254E"/>
          <w:sz w:val="19"/>
        </w:rPr>
        <w:t>et al.</w:t>
      </w:r>
      <w:r>
        <w:t xml:space="preserve"> that the data cannot support.</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3. The clusters have a silhouette of 0.039</w:t>
      </w:r>
    </w:p>
    <w:p>
      <w:pPr>
        <w:spacing w:before="60" w:after="80" w:line="276" w:lineRule="auto"/>
      </w:pPr>
      <w:r>
        <w:rPr>
          <w:b/>
        </w:rPr>
        <w:t>Where it surfaces:</w:t>
      </w:r>
      <w:r>
        <w:t xml:space="preserve"> Table 3, Section 3.3, all of Section 4, and the entire RQ4 network</w:t>
      </w:r>
    </w:p>
    <w:p>
      <w:pPr>
        <w:spacing w:before="60" w:after="80" w:line="276" w:lineRule="auto"/>
      </w:pPr>
      <w:r>
        <w:t>narrative.</w:t>
      </w:r>
    </w:p>
    <w:p>
      <w:pPr>
        <w:spacing w:before="60" w:after="80" w:line="276" w:lineRule="auto"/>
      </w:pPr>
      <w:r>
        <w:rPr>
          <w:b/>
        </w:rPr>
        <w:t>Root cause:</w:t>
      </w:r>
      <w:r>
        <w:t xml:space="preserve"> </w:t>
      </w:r>
      <w:r>
        <w:rPr>
          <w:rFonts w:ascii="Consolas" w:hAnsi="Consolas"/>
          <w:color w:val="C7254E"/>
          <w:sz w:val="19"/>
        </w:rPr>
        <w:t>phase4/phase4_output_detailed/comparison/FINAL_MODEL_SELECTION.txt</w:t>
      </w:r>
      <w:r>
        <w:t>.</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2563EB"/>
          </w:tcPr>
          <w:p>
            <w:pPr>
              <w:spacing w:before="40" w:after="40"/>
            </w:pPr>
            <w:r>
              <w:rPr>
                <w:rFonts w:ascii="Calibri" w:hAnsi="Calibri"/>
                <w:b/>
                <w:color w:val="FFFFFF"/>
                <w:sz w:val="20"/>
              </w:rPr>
              <w:t>Model</w:t>
            </w:r>
          </w:p>
        </w:tc>
        <w:tc>
          <w:tcPr>
            <w:tcW w:type="dxa" w:w="4680"/>
            <w:tcMar>
              <w:top w:w="120" w:type="dxa"/>
              <w:bottom w:w="120" w:type="dxa"/>
              <w:left w:w="150" w:type="dxa"/>
              <w:right w:w="150" w:type="dxa"/>
            </w:tcMar>
            <w:shd w:fill="2563EB"/>
          </w:tcPr>
          <w:p>
            <w:pPr>
              <w:spacing w:before="40" w:after="40"/>
            </w:pPr>
            <w:r>
              <w:rPr>
                <w:rFonts w:ascii="Calibri" w:hAnsi="Calibri"/>
                <w:b/>
                <w:color w:val="FFFFFF"/>
                <w:sz w:val="20"/>
              </w:rPr>
              <w:t>Silhouette</w:t>
            </w:r>
          </w:p>
        </w:tc>
      </w:tr>
      <w:tr>
        <w:tc>
          <w:tcPr>
            <w:tcW w:type="dxa" w:w="4680"/>
            <w:tcMar>
              <w:top w:w="120" w:type="dxa"/>
              <w:bottom w:w="120" w:type="dxa"/>
              <w:left w:w="150" w:type="dxa"/>
              <w:right w:w="150" w:type="dxa"/>
            </w:tcMar>
            <w:shd w:fill="F8FAFC"/>
          </w:tcPr>
          <w:p>
            <w:pPr>
              <w:spacing w:before="40" w:after="40"/>
            </w:pPr>
            <w:r>
              <w:rPr>
                <w:sz w:val="19"/>
              </w:rPr>
              <w:t>K-Means</w:t>
            </w:r>
          </w:p>
        </w:tc>
        <w:tc>
          <w:tcPr>
            <w:tcW w:type="dxa" w:w="4680"/>
            <w:tcMar>
              <w:top w:w="120" w:type="dxa"/>
              <w:bottom w:w="120" w:type="dxa"/>
              <w:left w:w="150" w:type="dxa"/>
              <w:right w:w="150" w:type="dxa"/>
            </w:tcMar>
            <w:shd w:fill="F8FAFC"/>
          </w:tcPr>
          <w:p>
            <w:pPr>
              <w:spacing w:before="40" w:after="40"/>
            </w:pPr>
            <w:r>
              <w:rPr>
                <w:sz w:val="19"/>
              </w:rPr>
              <w:t>0.0389</w:t>
            </w:r>
          </w:p>
        </w:tc>
      </w:tr>
      <w:tr>
        <w:tc>
          <w:tcPr>
            <w:tcW w:type="dxa" w:w="4680"/>
            <w:tcMar>
              <w:top w:w="120" w:type="dxa"/>
              <w:bottom w:w="120" w:type="dxa"/>
              <w:left w:w="150" w:type="dxa"/>
              <w:right w:w="150" w:type="dxa"/>
            </w:tcMar>
            <w:shd w:fill="FFFFFF"/>
          </w:tcPr>
          <w:p>
            <w:pPr>
              <w:spacing w:before="40" w:after="40"/>
            </w:pPr>
            <w:r>
              <w:rPr>
                <w:sz w:val="19"/>
              </w:rPr>
              <w:t>NMF</w:t>
            </w:r>
          </w:p>
        </w:tc>
        <w:tc>
          <w:tcPr>
            <w:tcW w:type="dxa" w:w="4680"/>
            <w:tcMar>
              <w:top w:w="120" w:type="dxa"/>
              <w:bottom w:w="120" w:type="dxa"/>
              <w:left w:w="150" w:type="dxa"/>
              <w:right w:w="150" w:type="dxa"/>
            </w:tcMar>
            <w:shd w:fill="FFFFFF"/>
          </w:tcPr>
          <w:p>
            <w:pPr>
              <w:spacing w:before="40" w:after="40"/>
            </w:pPr>
            <w:r>
              <w:rPr>
                <w:sz w:val="19"/>
              </w:rPr>
              <w:t>0.0385</w:t>
            </w:r>
          </w:p>
        </w:tc>
      </w:tr>
      <w:tr>
        <w:tc>
          <w:tcPr>
            <w:tcW w:type="dxa" w:w="4680"/>
            <w:tcMar>
              <w:top w:w="120" w:type="dxa"/>
              <w:bottom w:w="120" w:type="dxa"/>
              <w:left w:w="150" w:type="dxa"/>
              <w:right w:w="150" w:type="dxa"/>
            </w:tcMar>
            <w:shd w:fill="F8FAFC"/>
          </w:tcPr>
          <w:p>
            <w:pPr>
              <w:spacing w:before="40" w:after="40"/>
            </w:pPr>
            <w:r>
              <w:rPr>
                <w:sz w:val="19"/>
              </w:rPr>
              <w:t>Agglomerative</w:t>
            </w:r>
          </w:p>
        </w:tc>
        <w:tc>
          <w:tcPr>
            <w:tcW w:type="dxa" w:w="4680"/>
            <w:tcMar>
              <w:top w:w="120" w:type="dxa"/>
              <w:bottom w:w="120" w:type="dxa"/>
              <w:left w:w="150" w:type="dxa"/>
              <w:right w:w="150" w:type="dxa"/>
            </w:tcMar>
            <w:shd w:fill="F8FAFC"/>
          </w:tcPr>
          <w:p>
            <w:pPr>
              <w:spacing w:before="40" w:after="40"/>
            </w:pPr>
            <w:r>
              <w:rPr>
                <w:sz w:val="19"/>
              </w:rPr>
              <w:t>0.0279</w:t>
            </w:r>
          </w:p>
        </w:tc>
      </w:tr>
      <w:tr>
        <w:tc>
          <w:tcPr>
            <w:tcW w:type="dxa" w:w="4680"/>
            <w:tcMar>
              <w:top w:w="120" w:type="dxa"/>
              <w:bottom w:w="120" w:type="dxa"/>
              <w:left w:w="150" w:type="dxa"/>
              <w:right w:w="150" w:type="dxa"/>
            </w:tcMar>
            <w:shd w:fill="FFFFFF"/>
          </w:tcPr>
          <w:p>
            <w:pPr>
              <w:spacing w:before="40" w:after="40"/>
            </w:pPr>
            <w:r>
              <w:rPr>
                <w:sz w:val="19"/>
              </w:rPr>
              <w:t>LDA</w:t>
            </w:r>
          </w:p>
        </w:tc>
        <w:tc>
          <w:tcPr>
            <w:tcW w:type="dxa" w:w="4680"/>
            <w:tcMar>
              <w:top w:w="120" w:type="dxa"/>
              <w:bottom w:w="120" w:type="dxa"/>
              <w:left w:w="150" w:type="dxa"/>
              <w:right w:w="150" w:type="dxa"/>
            </w:tcMar>
            <w:shd w:fill="FFFFFF"/>
          </w:tcPr>
          <w:p>
            <w:pPr>
              <w:spacing w:before="40" w:after="40"/>
            </w:pPr>
            <w:r>
              <w:rPr>
                <w:sz w:val="19"/>
              </w:rPr>
              <w:t>0.0220</w:t>
            </w:r>
          </w:p>
        </w:tc>
      </w:tr>
    </w:tbl>
    <w:p>
      <w:pPr>
        <w:spacing w:before="80" w:after="80"/>
      </w:pPr>
    </w:p>
    <w:p>
      <w:pPr>
        <w:spacing w:before="60" w:after="80" w:line="276" w:lineRule="auto"/>
      </w:pPr>
      <w:r>
        <w:t>Silhouette runs −1 to 1; ~0.04 means the seven clusters are barely separated in TF-IDF</w:t>
      </w:r>
    </w:p>
    <w:p>
      <w:pPr>
        <w:spacing w:before="60" w:after="80" w:line="276" w:lineRule="auto"/>
      </w:pPr>
      <w:r>
        <w:t>space. The model-selection file is honest about the number, and Table 3 prints it — but the</w:t>
      </w:r>
    </w:p>
    <w:p>
      <w:pPr>
        <w:spacing w:before="60" w:after="80" w:line="276" w:lineRule="auto"/>
      </w:pPr>
      <w:r>
        <w:t>surrounding prose treats the partition as a settled taxonomy ("seven data-driven topic</w:t>
      </w:r>
    </w:p>
    <w:p>
      <w:pPr>
        <w:spacing w:before="60" w:after="80" w:line="276" w:lineRule="auto"/>
      </w:pPr>
      <w:r>
        <w:t>clusters," "genuine topical structure"). The number does not support that reading. This is</w:t>
      </w:r>
    </w:p>
    <w:p>
      <w:pPr>
        <w:spacing w:before="60" w:after="80" w:line="276" w:lineRule="auto"/>
      </w:pPr>
      <w:r>
        <w:t>normal for short-text TF-IDF and is not a bug; the error is the confidence of the prose,</w:t>
      </w:r>
    </w:p>
    <w:p>
      <w:pPr>
        <w:spacing w:before="60" w:after="80" w:line="276" w:lineRule="auto"/>
      </w:pPr>
      <w:r>
        <w:t>not the value.</w:t>
      </w:r>
    </w:p>
    <w:p>
      <w:pPr>
        <w:spacing w:before="60" w:after="80" w:line="276" w:lineRule="auto"/>
      </w:pPr>
      <w:r>
        <w:rPr>
          <w:b/>
        </w:rPr>
        <w:t>Fix:</w:t>
      </w:r>
      <w:r>
        <w:t xml:space="preserve"> state plainly that the partition is a weakly-separated but interpretable</w:t>
      </w:r>
    </w:p>
    <w:p>
      <w:pPr>
        <w:spacing w:before="60" w:after="80" w:line="276" w:lineRule="auto"/>
      </w:pPr>
      <w:r>
        <w:t>convenience structure, and that cluster-level claims are exploratory.</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4. The Phase 5 network is not an independent validation</w:t>
      </w:r>
    </w:p>
    <w:p>
      <w:pPr>
        <w:spacing w:before="60" w:after="80" w:line="276" w:lineRule="auto"/>
      </w:pPr>
      <w:r>
        <w:rPr>
          <w:b/>
        </w:rPr>
        <w:t>Where it surfaces:</w:t>
      </w:r>
      <w:r>
        <w:t xml:space="preserve"> 2.3 ("cross-validated externally... indicating that the seven</w:t>
      </w:r>
    </w:p>
    <w:p>
      <w:pPr>
        <w:spacing w:before="60" w:after="80" w:line="276" w:lineRule="auto"/>
      </w:pPr>
      <w:r>
        <w:t>clusters reflect genuine topical structure rather than algorithmic artifact"), 4.4, and</w:t>
      </w:r>
    </w:p>
    <w:p>
      <w:pPr>
        <w:spacing w:before="60" w:after="80" w:line="276" w:lineRule="auto"/>
      </w:pPr>
      <w:r>
        <w:rPr>
          <w:rFonts w:ascii="Consolas" w:hAnsi="Consolas"/>
          <w:color w:val="C7254E"/>
          <w:sz w:val="19"/>
        </w:rPr>
        <w:t>WHAT_CHANGED_AND_WHY.md</w:t>
      </w:r>
      <w:r>
        <w:t xml:space="preserve"> ("two new validation layers").</w:t>
      </w:r>
    </w:p>
    <w:p>
      <w:pPr>
        <w:spacing w:before="60" w:after="80" w:line="276" w:lineRule="auto"/>
      </w:pPr>
      <w:r>
        <w:rPr>
          <w:b/>
        </w:rPr>
        <w:t>Root cause:</w:t>
      </w:r>
      <w:r>
        <w:t xml:space="preserve"> </w:t>
      </w:r>
      <w:r>
        <w:rPr>
          <w:rFonts w:ascii="Consolas" w:hAnsi="Consolas"/>
          <w:color w:val="C7254E"/>
          <w:sz w:val="19"/>
        </w:rPr>
        <w:t>phase5/README.md</w:t>
      </w:r>
      <w:r>
        <w:t>, step 2: edges are "top-8 nearest neighbors by TF-IDF</w:t>
      </w:r>
    </w:p>
    <w:p>
      <w:pPr>
        <w:spacing w:before="60" w:after="80" w:line="276" w:lineRule="auto"/>
      </w:pPr>
      <w:r>
        <w:t>cosine similarity (</w:t>
      </w:r>
      <w:r>
        <w:rPr>
          <w:b/>
        </w:rPr>
        <w:t>same TF-IDF settings as Phase 3/4</w:t>
      </w:r>
      <w:r>
        <w:t>, refit deterministically)."</w:t>
      </w:r>
    </w:p>
    <w:p>
      <w:pPr>
        <w:spacing w:before="60" w:after="80" w:line="276" w:lineRule="auto"/>
      </w:pPr>
      <w:r>
        <w:t>K-Means in Phase 4 partitions that same cosine geometry. Building a kNN graph from the</w:t>
      </w:r>
    </w:p>
    <w:p>
      <w:pPr>
        <w:spacing w:before="60" w:after="80" w:line="276" w:lineRule="auto"/>
      </w:pPr>
      <w:r>
        <w:t>distance function the clustering already optimised and then reporting that the clustering</w:t>
      </w:r>
    </w:p>
    <w:p>
      <w:pPr>
        <w:spacing w:before="60" w:after="80" w:line="276" w:lineRule="auto"/>
      </w:pPr>
      <w:r>
        <w:t>has high modularity on it is circular — modularity 0.53 is close to guaranteed by</w:t>
      </w:r>
    </w:p>
    <w:p>
      <w:pPr>
        <w:spacing w:before="60" w:after="80" w:line="276" w:lineRule="auto"/>
      </w:pPr>
      <w:r>
        <w:t>construction. Louvain is "unsupervised" with respect to the labels but not with respect to</w:t>
      </w:r>
    </w:p>
    <w:p>
      <w:pPr>
        <w:spacing w:before="60" w:after="80" w:line="276" w:lineRule="auto"/>
      </w:pPr>
      <w:r>
        <w:t>the representation, so ARI 0.53 measures representation agreement, not construct validity.</w:t>
      </w:r>
    </w:p>
    <w:p>
      <w:pPr>
        <w:spacing w:before="60" w:after="80" w:line="276" w:lineRule="auto"/>
      </w:pPr>
      <w:r>
        <w:t xml:space="preserve">Supporting evidence that this is not a strong result anyway: Louvain finds </w:t>
      </w:r>
      <w:r>
        <w:rPr>
          <w:b/>
        </w:rPr>
        <w:t>10</w:t>
      </w:r>
    </w:p>
    <w:p>
      <w:pPr>
        <w:spacing w:before="60" w:after="80" w:line="276" w:lineRule="auto"/>
      </w:pPr>
      <w:r>
        <w:t>communities, not 7, at higher modularity (0.6058) than the K-Means partition.</w:t>
      </w:r>
    </w:p>
    <w:p>
      <w:pPr>
        <w:spacing w:before="60" w:after="80" w:line="276" w:lineRule="auto"/>
      </w:pPr>
      <w:r>
        <w:rPr>
          <w:b/>
        </w:rPr>
        <w:t>Fix:</w:t>
      </w:r>
      <w:r>
        <w:t xml:space="preserve"> either drop the independence claim, or validate against something genuinely</w:t>
      </w:r>
    </w:p>
    <w:p>
      <w:pPr>
        <w:spacing w:before="60" w:after="80" w:line="276" w:lineRule="auto"/>
      </w:pPr>
      <w:r>
        <w:t>external — citation/reference overlap, venue, or manual coding of a sample.</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5. The tag-validation audit trail is an empty file</w:t>
      </w:r>
    </w:p>
    <w:p>
      <w:pPr>
        <w:spacing w:before="60" w:after="80" w:line="276" w:lineRule="auto"/>
      </w:pPr>
      <w:r>
        <w:rPr>
          <w:b/>
        </w:rPr>
        <w:t>Where it surfaces:</w:t>
      </w:r>
      <w:r>
        <w:t xml:space="preserve"> 2.3 and the Table 6 note ("validated against a stratified sample</w:t>
      </w:r>
    </w:p>
    <w:p>
      <w:pPr>
        <w:spacing w:before="60" w:after="80" w:line="276" w:lineRule="auto"/>
      </w:pPr>
      <w:r>
        <w:t>manually reviewed by the authors; misclassifications identified in the sample were</w:t>
      </w:r>
    </w:p>
    <w:p>
      <w:pPr>
        <w:spacing w:before="60" w:after="80" w:line="276" w:lineRule="auto"/>
      </w:pPr>
      <w:r>
        <w:t>corrected").</w:t>
      </w:r>
    </w:p>
    <w:p>
      <w:pPr>
        <w:spacing w:before="60" w:after="80" w:line="276" w:lineRule="auto"/>
      </w:pPr>
      <w:r>
        <w:rPr>
          <w:b/>
        </w:rPr>
        <w:t>Root cause:</w:t>
      </w:r>
      <w:r>
        <w:t xml:space="preserve"> </w:t>
      </w:r>
      <w:r>
        <w:rPr>
          <w:rFonts w:ascii="Consolas" w:hAnsi="Consolas"/>
          <w:color w:val="C7254E"/>
          <w:sz w:val="19"/>
        </w:rPr>
        <w:t>phase6_manuscript/validation_sample_30.xlsx</w:t>
      </w:r>
      <w:r>
        <w:t xml:space="preserve"> contains a header row and</w:t>
      </w:r>
    </w:p>
    <w:p>
      <w:pPr>
        <w:spacing w:before="60" w:after="80" w:line="276" w:lineRule="auto"/>
      </w:pPr>
      <w:r>
        <w:rPr>
          <w:b/>
        </w:rPr>
        <w:t>23 completely blank rows</w:t>
      </w:r>
      <w:r>
        <w:t xml:space="preserve">. No titles, no abstracts, no </w:t>
      </w:r>
      <w:r>
        <w:rPr>
          <w:rFonts w:ascii="Consolas" w:hAnsi="Consolas"/>
          <w:color w:val="C7254E"/>
          <w:sz w:val="19"/>
        </w:rPr>
        <w:t>correct_domain</w:t>
      </w:r>
      <w:r>
        <w:t xml:space="preserve"> /</w:t>
      </w:r>
    </w:p>
    <w:p>
      <w:pPr>
        <w:spacing w:before="60" w:after="80" w:line="276" w:lineRule="auto"/>
      </w:pPr>
      <w:r>
        <w:rPr>
          <w:rFonts w:ascii="Consolas" w:hAnsi="Consolas"/>
          <w:color w:val="C7254E"/>
          <w:sz w:val="19"/>
        </w:rPr>
        <w:t>correct_modality</w:t>
      </w:r>
      <w:r>
        <w:t xml:space="preserve"> verdicts. Nothing was recorded.</w:t>
      </w:r>
    </w:p>
    <w:p>
      <w:pPr>
        <w:spacing w:before="60" w:after="80" w:line="276" w:lineRule="auto"/>
      </w:pPr>
      <w:r>
        <w:t>Three inconsistencies compound it: the filename says 30, the file holds 23 rows, and</w:t>
      </w:r>
    </w:p>
    <w:p>
      <w:pPr>
        <w:spacing w:before="60" w:after="80" w:line="276" w:lineRule="auto"/>
      </w:pPr>
      <w:r>
        <w:rPr>
          <w:rFonts w:ascii="Consolas" w:hAnsi="Consolas"/>
          <w:color w:val="C7254E"/>
          <w:sz w:val="19"/>
        </w:rPr>
        <w:t>numbers_manifest.txt</w:t>
      </w:r>
      <w:r>
        <w:t xml:space="preserve"> describes a 23-paper sample. The "3 misclassifications found" figure</w:t>
      </w:r>
    </w:p>
    <w:p>
      <w:pPr>
        <w:spacing w:before="60" w:after="80" w:line="276" w:lineRule="auto"/>
      </w:pPr>
      <w:r>
        <w:t>has no surviving receipt.</w:t>
      </w:r>
    </w:p>
    <w:p>
      <w:pPr>
        <w:spacing w:before="60" w:after="80" w:line="276" w:lineRule="auto"/>
      </w:pPr>
      <w:r>
        <w:rPr>
          <w:b/>
        </w:rPr>
        <w:t>Fix:</w:t>
      </w:r>
      <w:r>
        <w:t xml:space="preserve"> re-run the validation and save the completed sheet, or delete the validation</w:t>
      </w:r>
    </w:p>
    <w:p>
      <w:pPr>
        <w:spacing w:before="60" w:after="80" w:line="276" w:lineRule="auto"/>
      </w:pPr>
      <w:r>
        <w:t>sentence from 2.3 and the Table 6 note. As written it is an unsupported methodological</w:t>
      </w:r>
    </w:p>
    <w:p>
      <w:pPr>
        <w:spacing w:before="60" w:after="80" w:line="276" w:lineRule="auto"/>
      </w:pPr>
      <w:r>
        <w:t>claim, which is the most damaging category of SLR error.</w:t>
      </w:r>
    </w:p>
    <w:p>
      <w:pPr>
        <w:spacing w:before="120" w:after="120"/>
      </w:pPr>
      <w:r>
        <w:rPr>
          <w:color w:val="CBD5E1"/>
        </w:rPr>
        <w:t>_______________________________________________________________________________</w:t>
      </w:r>
    </w:p>
    <w:p>
      <w:pPr>
        <w:pStyle w:val="Heading2"/>
        <w:spacing w:before="240" w:after="80"/>
      </w:pPr>
      <w:r>
        <w:rPr>
          <w:rFonts w:ascii="Calibri" w:hAnsi="Calibri"/>
          <w:b/>
          <w:color w:val="1E3A8A"/>
          <w:sz w:val="32"/>
        </w:rPr>
        <w:t>Tier 2 — Defects that weaken a finding</w:t>
      </w:r>
    </w:p>
    <w:p>
      <w:pPr>
        <w:pStyle w:val="Heading3"/>
        <w:spacing w:before="200" w:after="60"/>
      </w:pPr>
      <w:r>
        <w:rPr>
          <w:rFonts w:ascii="Calibri" w:hAnsi="Calibri"/>
          <w:b/>
          <w:color w:val="334155"/>
          <w:sz w:val="26"/>
        </w:rPr>
        <w:t>6. The quality scorer disagreed with the human reviewer on 47% of the spot-check</w:t>
      </w:r>
    </w:p>
    <w:p>
      <w:pPr>
        <w:spacing w:before="60" w:after="80" w:line="276" w:lineRule="auto"/>
      </w:pPr>
      <w:r>
        <w:rPr>
          <w:b/>
        </w:rPr>
        <w:t>Where it surfaces:</w:t>
      </w:r>
      <w:r>
        <w:t xml:space="preserve"> Tables 4–5, the "40% score below the 30/45 threshold" claim, and</w:t>
      </w:r>
    </w:p>
    <w:p>
      <w:pPr>
        <w:spacing w:before="60" w:after="80" w:line="276" w:lineRule="auto"/>
      </w:pPr>
      <w:r>
        <w:t>reversal #5.</w:t>
      </w:r>
    </w:p>
    <w:p>
      <w:pPr>
        <w:spacing w:before="60" w:after="80" w:line="276" w:lineRule="auto"/>
      </w:pPr>
      <w:r>
        <w:rPr>
          <w:b/>
        </w:rPr>
        <w:t>Root cause:</w:t>
      </w:r>
      <w:r>
        <w:t xml:space="preserve"> </w:t>
      </w:r>
      <w:r>
        <w:rPr>
          <w:rFonts w:ascii="Consolas" w:hAnsi="Consolas"/>
          <w:color w:val="C7254E"/>
          <w:sz w:val="19"/>
        </w:rPr>
        <w:t>phase6_manuscript/quality_spotcheck_15.xlsx</w:t>
      </w:r>
      <w:r>
        <w:t xml:space="preserve"> — </w:t>
      </w:r>
      <w:r>
        <w:rPr>
          <w:b/>
        </w:rPr>
        <w:t>7 of 15 rows flagged</w:t>
      </w:r>
    </w:p>
    <w:p>
      <w:pPr>
        <w:spacing w:before="60" w:after="80" w:line="276" w:lineRule="auto"/>
      </w:pPr>
      <w:r>
        <w:t>(</w:t>
      </w:r>
      <w:r>
        <w:rPr>
          <w:rFonts w:ascii="Consolas" w:hAnsi="Consolas"/>
          <w:color w:val="C7254E"/>
          <w:sz w:val="19"/>
        </w:rPr>
        <w:t>q_validation should be 3</w:t>
      </w:r>
      <w:r>
        <w:t xml:space="preserve">, </w:t>
      </w:r>
      <w:r>
        <w:rPr>
          <w:rFonts w:ascii="Consolas" w:hAnsi="Consolas"/>
          <w:color w:val="C7254E"/>
          <w:sz w:val="19"/>
        </w:rPr>
        <w:t>q_data should be 5</w:t>
      </w:r>
      <w:r>
        <w:t xml:space="preserve">, </w:t>
      </w:r>
      <w:r>
        <w:rPr>
          <w:rFonts w:ascii="Consolas" w:hAnsi="Consolas"/>
          <w:color w:val="C7254E"/>
          <w:sz w:val="19"/>
        </w:rPr>
        <w:t>q_methods should be 3</w:t>
      </w:r>
      <w:r>
        <w:t>, …). The README</w:t>
      </w:r>
    </w:p>
    <w:p>
      <w:pPr>
        <w:spacing w:before="60" w:after="80" w:line="276" w:lineRule="auto"/>
      </w:pPr>
      <w:r>
        <w:t>records the fix ("indicators fixed, corpus re-scored") but there is no post-fix</w:t>
      </w:r>
    </w:p>
    <w:p>
      <w:pPr>
        <w:spacing w:before="60" w:after="80" w:line="276" w:lineRule="auto"/>
      </w:pPr>
      <w:r>
        <w:t>re-validation sheet, so the corrected error rate is unknown.</w:t>
      </w:r>
    </w:p>
    <w:p>
      <w:pPr>
        <w:spacing w:before="60" w:after="80" w:line="276" w:lineRule="auto"/>
      </w:pPr>
      <w:r>
        <w:t xml:space="preserve">Two further artefacts in </w:t>
      </w:r>
      <w:r>
        <w:rPr>
          <w:rFonts w:ascii="Consolas" w:hAnsi="Consolas"/>
          <w:color w:val="C7254E"/>
          <w:sz w:val="19"/>
        </w:rPr>
        <w:t>quality_scores.csv</w:t>
      </w:r>
      <w:r>
        <w:t>:</w:t>
      </w:r>
    </w:p>
    <w:p>
      <w:pPr>
        <w:pStyle w:val="ListBullet"/>
        <w:spacing w:before="20" w:after="40"/>
      </w:pPr>
      <w:r>
        <w:rPr>
          <w:b/>
        </w:rPr>
        <w:t>`quality_total` is always odd.</w:t>
      </w:r>
      <w:r>
        <w:t xml:space="preserve"> Nine criteria scored 1/3/5 can only sum to an odd</w:t>
      </w:r>
    </w:p>
    <w:p>
      <w:pPr>
        <w:spacing w:before="60" w:after="80" w:line="276" w:lineRule="auto"/>
      </w:pPr>
      <w:r>
        <w:t>number, so the "distribution of total quality scores" has a comb structure with 13</w:t>
      </w:r>
    </w:p>
    <w:p>
      <w:pPr>
        <w:spacing w:before="60" w:after="80" w:line="276" w:lineRule="auto"/>
      </w:pPr>
      <w:r>
        <w:t>attainable values. Table 5's bin labels (</w:t>
      </w:r>
      <w:r>
        <w:rPr>
          <w:rFonts w:ascii="Consolas" w:hAnsi="Consolas"/>
          <w:color w:val="C7254E"/>
          <w:sz w:val="19"/>
        </w:rPr>
        <w:t>0–20</w:t>
      </w:r>
      <w:r>
        <w:t xml:space="preserve">, </w:t>
      </w:r>
      <w:r>
        <w:rPr>
          <w:rFonts w:ascii="Consolas" w:hAnsi="Consolas"/>
          <w:color w:val="C7254E"/>
          <w:sz w:val="19"/>
        </w:rPr>
        <w:t>20–25</w:t>
      </w:r>
      <w:r>
        <w:t xml:space="preserve">, </w:t>
      </w:r>
      <w:r>
        <w:rPr>
          <w:rFonts w:ascii="Consolas" w:hAnsi="Consolas"/>
          <w:color w:val="C7254E"/>
          <w:sz w:val="19"/>
        </w:rPr>
        <w:t>25–30</w:t>
      </w:r>
      <w:r>
        <w:t>…) also overlap at every</w:t>
      </w:r>
    </w:p>
    <w:p>
      <w:pPr>
        <w:spacing w:before="60" w:after="80" w:line="276" w:lineRule="auto"/>
      </w:pPr>
      <w:r>
        <w:t>boundary — 25 appears in two bins. They compute correctly only because no even score</w:t>
      </w:r>
    </w:p>
    <w:p>
      <w:pPr>
        <w:spacing w:before="60" w:after="80" w:line="276" w:lineRule="auto"/>
      </w:pPr>
      <w:r>
        <w:t>exists.</w:t>
      </w:r>
    </w:p>
    <w:p>
      <w:pPr>
        <w:pStyle w:val="ListBullet"/>
        <w:spacing w:before="20" w:after="40"/>
      </w:pPr>
      <w:r>
        <w:rPr>
          <w:b/>
        </w:rPr>
        <w:t>`q_alignment` is near-constant:</w:t>
      </w:r>
      <w:r>
        <w:t xml:space="preserve"> 345 of 365 papers score 5, 20 score 3. It contributes</w:t>
      </w:r>
    </w:p>
    <w:p>
      <w:pPr>
        <w:spacing w:before="60" w:after="80" w:line="276" w:lineRule="auto"/>
      </w:pPr>
      <w:r>
        <w:t>almost nothing to discrimination but 15% of the maximum score, inflating every total.</w:t>
      </w:r>
    </w:p>
    <w:p>
      <w:pPr>
        <w:pStyle w:val="ListBullet"/>
        <w:spacing w:before="20" w:after="40"/>
      </w:pPr>
      <w:r>
        <w:rPr>
          <w:b/>
        </w:rPr>
        <w:t>`q_reproducibility` averages 2.11</w:t>
      </w:r>
      <w:r>
        <w:t xml:space="preserve"> and 47.4% sit at the floor. But this is scored from</w:t>
      </w:r>
    </w:p>
    <w:p>
      <w:pPr>
        <w:spacing w:before="60" w:after="80" w:line="276" w:lineRule="auto"/>
      </w:pPr>
      <w:r>
        <w:t>abstracts by looking for code-availability language — which abstracts almost never carry.</w:t>
      </w:r>
    </w:p>
    <w:p>
      <w:pPr>
        <w:spacing w:before="60" w:after="80" w:line="276" w:lineRule="auto"/>
      </w:pPr>
      <w:r>
        <w:t>4.3 already concedes this ("just 7% of abstracts mention code or data availability"), then</w:t>
      </w:r>
    </w:p>
    <w:p>
      <w:pPr>
        <w:spacing w:before="60" w:after="80" w:line="276" w:lineRule="auto"/>
      </w:pPr>
      <w:r>
        <w:t>Gap 3 uses the same number as evidence that "reproducibility infrastructure is missing."</w:t>
      </w:r>
    </w:p>
    <w:p>
      <w:pPr>
        <w:spacing w:before="60" w:after="80" w:line="276" w:lineRule="auto"/>
      </w:pPr>
      <w:r>
        <w:t>The instrument cannot distinguish "no code released" from "code released, not mentioned in</w:t>
      </w:r>
    </w:p>
    <w:p>
      <w:pPr>
        <w:spacing w:before="60" w:after="80" w:line="276" w:lineRule="auto"/>
      </w:pPr>
      <w:r>
        <w:t>the abstract."</w:t>
      </w:r>
    </w:p>
    <w:p>
      <w:pPr>
        <w:spacing w:before="60" w:after="80" w:line="276" w:lineRule="auto"/>
      </w:pPr>
      <w:r>
        <w:rPr>
          <w:b/>
        </w:rPr>
        <w:t>Fix:</w:t>
      </w:r>
      <w:r>
        <w:t xml:space="preserve"> report quality scores as an abstract-reporting-practice measure, not a quality</w:t>
      </w:r>
    </w:p>
    <w:p>
      <w:pPr>
        <w:spacing w:before="60" w:after="80" w:line="276" w:lineRule="auto"/>
      </w:pPr>
      <w:r>
        <w:t xml:space="preserve">measure. Drop </w:t>
      </w:r>
      <w:r>
        <w:rPr>
          <w:rFonts w:ascii="Consolas" w:hAnsi="Consolas"/>
          <w:color w:val="C7254E"/>
          <w:sz w:val="19"/>
        </w:rPr>
        <w:t>q_alignment</w:t>
      </w:r>
      <w:r>
        <w:t xml:space="preserve"> or justify it. Never state "40% fall below threshold" without</w:t>
      </w:r>
    </w:p>
    <w:p>
      <w:pPr>
        <w:spacing w:before="60" w:after="80" w:line="276" w:lineRule="auto"/>
      </w:pPr>
      <w:r>
        <w:t>the 47% spot-check disagreement rate alongside it.</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7. `ensemble` and `mir` are substring matches, so off-topic papers entered the corpus</w:t>
      </w:r>
    </w:p>
    <w:p>
      <w:pPr>
        <w:spacing w:before="60" w:after="80" w:line="276" w:lineRule="auto"/>
      </w:pPr>
      <w:r>
        <w:rPr>
          <w:b/>
        </w:rPr>
        <w:t>Where it surfaces:</w:t>
      </w:r>
      <w:r>
        <w:t xml:space="preserve"> the included corpus itself, and therefore every count in Section 3.</w:t>
      </w:r>
    </w:p>
    <w:p>
      <w:pPr>
        <w:spacing w:before="60" w:after="80" w:line="276" w:lineRule="auto"/>
      </w:pPr>
      <w:r>
        <w:rPr>
          <w:b/>
        </w:rPr>
        <w:t>Root cause:</w:t>
      </w:r>
      <w:r>
        <w:t xml:space="preserve"> </w:t>
      </w:r>
      <w:r>
        <w:rPr>
          <w:rFonts w:ascii="Consolas" w:hAnsi="Consolas"/>
          <w:color w:val="C7254E"/>
          <w:sz w:val="19"/>
        </w:rPr>
        <w:t>phase1_2/…Collection_Screening.ipynb</w:t>
      </w:r>
      <w:r>
        <w:t>, cells 5–8:</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Consolas" w:hAnsi="Consolas"/>
                <w:color w:val="1E293B"/>
                <w:sz w:val="18"/>
              </w:rPr>
              <w:t>def contains_any(text, terms):</w:t>
              <w:br/>
              <w:t xml:space="preserve">    return any(term in text for term in terms)     # substring, not word-boundary</w:t>
            </w:r>
          </w:p>
        </w:tc>
      </w:tr>
    </w:tbl>
    <w:p>
      <w:pPr>
        <w:spacing w:before="80" w:after="80"/>
      </w:pPr>
    </w:p>
    <w:p>
      <w:pPr>
        <w:spacing w:before="60" w:after="80" w:line="276" w:lineRule="auto"/>
      </w:pPr>
      <w:r>
        <w:rPr>
          <w:rFonts w:ascii="Consolas" w:hAnsi="Consolas"/>
          <w:color w:val="C7254E"/>
          <w:sz w:val="19"/>
        </w:rPr>
        <w:t>priority_terms</w:t>
      </w:r>
      <w:r>
        <w:t xml:space="preserve"> includes the bare tokens </w:t>
      </w:r>
      <w:r>
        <w:rPr>
          <w:rFonts w:ascii="Consolas" w:hAnsi="Consolas"/>
          <w:color w:val="C7254E"/>
          <w:sz w:val="19"/>
        </w:rPr>
        <w:t>"mir"</w:t>
      </w:r>
      <w:r>
        <w:t xml:space="preserve">, </w:t>
      </w:r>
      <w:r>
        <w:rPr>
          <w:rFonts w:ascii="Consolas" w:hAnsi="Consolas"/>
          <w:color w:val="C7254E"/>
          <w:sz w:val="19"/>
        </w:rPr>
        <w:t>"omr"</w:t>
      </w:r>
      <w:r>
        <w:t xml:space="preserve">, </w:t>
      </w:r>
      <w:r>
        <w:rPr>
          <w:rFonts w:ascii="Consolas" w:hAnsi="Consolas"/>
          <w:color w:val="C7254E"/>
          <w:sz w:val="19"/>
        </w:rPr>
        <w:t>"ensemble"</w:t>
      </w:r>
      <w:r>
        <w:t xml:space="preserve">, </w:t>
      </w:r>
      <w:r>
        <w:rPr>
          <w:rFonts w:ascii="Consolas" w:hAnsi="Consolas"/>
          <w:color w:val="C7254E"/>
          <w:sz w:val="19"/>
        </w:rPr>
        <w:t>"instrumental"</w:t>
      </w:r>
      <w:r>
        <w: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2563EB"/>
          </w:tcPr>
          <w:p>
            <w:pPr>
              <w:spacing w:before="40" w:after="40"/>
            </w:pPr>
            <w:r>
              <w:rPr>
                <w:rFonts w:ascii="Calibri" w:hAnsi="Calibri"/>
                <w:b/>
                <w:color w:val="FFFFFF"/>
                <w:sz w:val="20"/>
              </w:rPr>
              <w:t>Term</w:t>
            </w:r>
          </w:p>
        </w:tc>
        <w:tc>
          <w:tcPr>
            <w:tcW w:type="dxa" w:w="2340"/>
            <w:tcMar>
              <w:top w:w="120" w:type="dxa"/>
              <w:bottom w:w="120" w:type="dxa"/>
              <w:left w:w="150" w:type="dxa"/>
              <w:right w:w="150" w:type="dxa"/>
            </w:tcMar>
            <w:shd w:fill="2563EB"/>
          </w:tcPr>
          <w:p>
            <w:pPr>
              <w:spacing w:before="40" w:after="40"/>
            </w:pPr>
            <w:r>
              <w:rPr>
                <w:rFonts w:ascii="Calibri" w:hAnsi="Calibri"/>
                <w:b/>
                <w:color w:val="FFFFFF"/>
                <w:sz w:val="20"/>
              </w:rPr>
              <w:t>Substring hits in final corpus</w:t>
            </w:r>
          </w:p>
        </w:tc>
        <w:tc>
          <w:tcPr>
            <w:tcW w:type="dxa" w:w="2340"/>
            <w:tcMar>
              <w:top w:w="120" w:type="dxa"/>
              <w:bottom w:w="120" w:type="dxa"/>
              <w:left w:w="150" w:type="dxa"/>
              <w:right w:w="150" w:type="dxa"/>
            </w:tcMar>
            <w:shd w:fill="2563EB"/>
          </w:tcPr>
          <w:p>
            <w:pPr>
              <w:spacing w:before="40" w:after="40"/>
            </w:pPr>
            <w:r>
              <w:rPr>
                <w:rFonts w:ascii="Calibri" w:hAnsi="Calibri"/>
                <w:b/>
                <w:color w:val="FFFFFF"/>
                <w:sz w:val="20"/>
              </w:rPr>
              <w:t>Word-boundary hits</w:t>
            </w:r>
          </w:p>
        </w:tc>
        <w:tc>
          <w:tcPr>
            <w:tcW w:type="dxa" w:w="2340"/>
            <w:tcMar>
              <w:top w:w="120" w:type="dxa"/>
              <w:bottom w:w="120" w:type="dxa"/>
              <w:left w:w="150" w:type="dxa"/>
              <w:right w:w="150" w:type="dxa"/>
            </w:tcMar>
            <w:shd w:fill="2563EB"/>
          </w:tcPr>
          <w:p>
            <w:pPr>
              <w:spacing w:before="40" w:after="40"/>
            </w:pPr>
            <w:r>
              <w:rPr>
                <w:rFonts w:ascii="Calibri" w:hAnsi="Calibri"/>
                <w:b/>
                <w:color w:val="FFFFFF"/>
                <w:sz w:val="20"/>
              </w:rPr>
              <w:t>Phantom</w:t>
            </w:r>
          </w:p>
        </w:tc>
      </w:tr>
      <w:tr>
        <w:tc>
          <w:tcPr>
            <w:tcW w:type="dxa" w:w="2340"/>
            <w:tcMar>
              <w:top w:w="120" w:type="dxa"/>
              <w:bottom w:w="120" w:type="dxa"/>
              <w:left w:w="150" w:type="dxa"/>
              <w:right w:w="150" w:type="dxa"/>
            </w:tcMar>
            <w:shd w:fill="F8FAFC"/>
          </w:tcPr>
          <w:p>
            <w:pPr>
              <w:spacing w:before="40" w:after="40"/>
            </w:pPr>
            <w:r>
              <w:rPr>
                <w:rFonts w:ascii="Consolas" w:hAnsi="Consolas"/>
                <w:color w:val="C7254E"/>
                <w:sz w:val="19"/>
              </w:rPr>
              <w:t>mir</w:t>
            </w:r>
          </w:p>
        </w:tc>
        <w:tc>
          <w:tcPr>
            <w:tcW w:type="dxa" w:w="2340"/>
            <w:tcMar>
              <w:top w:w="120" w:type="dxa"/>
              <w:bottom w:w="120" w:type="dxa"/>
              <w:left w:w="150" w:type="dxa"/>
              <w:right w:w="150" w:type="dxa"/>
            </w:tcMar>
            <w:shd w:fill="F8FAFC"/>
          </w:tcPr>
          <w:p>
            <w:pPr>
              <w:spacing w:before="40" w:after="40"/>
            </w:pPr>
            <w:r>
              <w:rPr>
                <w:sz w:val="19"/>
              </w:rPr>
              <w:t>57</w:t>
            </w:r>
          </w:p>
        </w:tc>
        <w:tc>
          <w:tcPr>
            <w:tcW w:type="dxa" w:w="2340"/>
            <w:tcMar>
              <w:top w:w="120" w:type="dxa"/>
              <w:bottom w:w="120" w:type="dxa"/>
              <w:left w:w="150" w:type="dxa"/>
              <w:right w:w="150" w:type="dxa"/>
            </w:tcMar>
            <w:shd w:fill="F8FAFC"/>
          </w:tcPr>
          <w:p>
            <w:pPr>
              <w:spacing w:before="40" w:after="40"/>
            </w:pPr>
            <w:r>
              <w:rPr>
                <w:sz w:val="19"/>
              </w:rPr>
              <w:t>47</w:t>
            </w:r>
          </w:p>
        </w:tc>
        <w:tc>
          <w:tcPr>
            <w:tcW w:type="dxa" w:w="2340"/>
            <w:tcMar>
              <w:top w:w="120" w:type="dxa"/>
              <w:bottom w:w="120" w:type="dxa"/>
              <w:left w:w="150" w:type="dxa"/>
              <w:right w:w="150" w:type="dxa"/>
            </w:tcMar>
            <w:shd w:fill="F8FAFC"/>
          </w:tcPr>
          <w:p>
            <w:pPr>
              <w:spacing w:before="40" w:after="40"/>
            </w:pPr>
            <w:r>
              <w:rPr>
                <w:sz w:val="19"/>
              </w:rPr>
              <w:t>10</w:t>
            </w:r>
          </w:p>
        </w:tc>
      </w:tr>
      <w:tr>
        <w:tc>
          <w:tcPr>
            <w:tcW w:type="dxa" w:w="2340"/>
            <w:tcMar>
              <w:top w:w="120" w:type="dxa"/>
              <w:bottom w:w="120" w:type="dxa"/>
              <w:left w:w="150" w:type="dxa"/>
              <w:right w:w="150" w:type="dxa"/>
            </w:tcMar>
            <w:shd w:fill="FFFFFF"/>
          </w:tcPr>
          <w:p>
            <w:pPr>
              <w:spacing w:before="40" w:after="40"/>
            </w:pPr>
            <w:r>
              <w:rPr>
                <w:rFonts w:ascii="Consolas" w:hAnsi="Consolas"/>
                <w:color w:val="C7254E"/>
                <w:sz w:val="19"/>
              </w:rPr>
              <w:t>ensemble</w:t>
            </w:r>
          </w:p>
        </w:tc>
        <w:tc>
          <w:tcPr>
            <w:tcW w:type="dxa" w:w="2340"/>
            <w:tcMar>
              <w:top w:w="120" w:type="dxa"/>
              <w:bottom w:w="120" w:type="dxa"/>
              <w:left w:w="150" w:type="dxa"/>
              <w:right w:w="150" w:type="dxa"/>
            </w:tcMar>
            <w:shd w:fill="FFFFFF"/>
          </w:tcPr>
          <w:p>
            <w:pPr>
              <w:spacing w:before="40" w:after="40"/>
            </w:pPr>
            <w:r>
              <w:rPr>
                <w:sz w:val="19"/>
              </w:rPr>
              <w:t>37</w:t>
            </w:r>
          </w:p>
        </w:tc>
        <w:tc>
          <w:tcPr>
            <w:tcW w:type="dxa" w:w="2340"/>
            <w:tcMar>
              <w:top w:w="120" w:type="dxa"/>
              <w:bottom w:w="120" w:type="dxa"/>
              <w:left w:w="150" w:type="dxa"/>
              <w:right w:w="150" w:type="dxa"/>
            </w:tcMar>
            <w:shd w:fill="FFFFFF"/>
          </w:tcPr>
          <w:p>
            <w:pPr>
              <w:spacing w:before="40" w:after="40"/>
            </w:pPr>
            <w:r>
              <w:rPr>
                <w:sz w:val="19"/>
              </w:rPr>
              <w:t>32</w:t>
            </w:r>
          </w:p>
        </w:tc>
        <w:tc>
          <w:tcPr>
            <w:tcW w:type="dxa" w:w="2340"/>
            <w:tcMar>
              <w:top w:w="120" w:type="dxa"/>
              <w:bottom w:w="120" w:type="dxa"/>
              <w:left w:w="150" w:type="dxa"/>
              <w:right w:w="150" w:type="dxa"/>
            </w:tcMar>
            <w:shd w:fill="FFFFFF"/>
          </w:tcPr>
          <w:p>
            <w:pPr>
              <w:spacing w:before="40" w:after="40"/>
            </w:pPr>
            <w:r>
              <w:rPr>
                <w:sz w:val="19"/>
              </w:rPr>
              <w:t>5</w:t>
            </w:r>
          </w:p>
        </w:tc>
      </w:tr>
      <w:tr>
        <w:tc>
          <w:tcPr>
            <w:tcW w:type="dxa" w:w="2340"/>
            <w:tcMar>
              <w:top w:w="120" w:type="dxa"/>
              <w:bottom w:w="120" w:type="dxa"/>
              <w:left w:w="150" w:type="dxa"/>
              <w:right w:w="150" w:type="dxa"/>
            </w:tcMar>
            <w:shd w:fill="F8FAFC"/>
          </w:tcPr>
          <w:p>
            <w:pPr>
              <w:spacing w:before="40" w:after="40"/>
            </w:pPr>
            <w:r>
              <w:rPr>
                <w:rFonts w:ascii="Consolas" w:hAnsi="Consolas"/>
                <w:color w:val="C7254E"/>
                <w:sz w:val="19"/>
              </w:rPr>
              <w:t>instrumental</w:t>
            </w:r>
          </w:p>
        </w:tc>
        <w:tc>
          <w:tcPr>
            <w:tcW w:type="dxa" w:w="2340"/>
            <w:tcMar>
              <w:top w:w="120" w:type="dxa"/>
              <w:bottom w:w="120" w:type="dxa"/>
              <w:left w:w="150" w:type="dxa"/>
              <w:right w:w="150" w:type="dxa"/>
            </w:tcMar>
            <w:shd w:fill="F8FAFC"/>
          </w:tcPr>
          <w:p>
            <w:pPr>
              <w:spacing w:before="40" w:after="40"/>
            </w:pPr>
            <w:r>
              <w:rPr>
                <w:sz w:val="19"/>
              </w:rPr>
              <w:t>26</w:t>
            </w:r>
          </w:p>
        </w:tc>
        <w:tc>
          <w:tcPr>
            <w:tcW w:type="dxa" w:w="2340"/>
            <w:tcMar>
              <w:top w:w="120" w:type="dxa"/>
              <w:bottom w:w="120" w:type="dxa"/>
              <w:left w:w="150" w:type="dxa"/>
              <w:right w:w="150" w:type="dxa"/>
            </w:tcMar>
            <w:shd w:fill="F8FAFC"/>
          </w:tcPr>
          <w:p>
            <w:pPr>
              <w:spacing w:before="40" w:after="40"/>
            </w:pPr>
            <w:r>
              <w:rPr>
                <w:sz w:val="19"/>
              </w:rPr>
              <w:t>24</w:t>
            </w:r>
          </w:p>
        </w:tc>
        <w:tc>
          <w:tcPr>
            <w:tcW w:type="dxa" w:w="2340"/>
            <w:tcMar>
              <w:top w:w="120" w:type="dxa"/>
              <w:bottom w:w="120" w:type="dxa"/>
              <w:left w:w="150" w:type="dxa"/>
              <w:right w:w="150" w:type="dxa"/>
            </w:tcMar>
            <w:shd w:fill="F8FAFC"/>
          </w:tcPr>
          <w:p>
            <w:pPr>
              <w:spacing w:before="40" w:after="40"/>
            </w:pPr>
            <w:r>
              <w:rPr>
                <w:sz w:val="19"/>
              </w:rPr>
              <w:t>2</w:t>
            </w:r>
          </w:p>
        </w:tc>
      </w:tr>
      <w:tr>
        <w:tc>
          <w:tcPr>
            <w:tcW w:type="dxa" w:w="2340"/>
            <w:tcMar>
              <w:top w:w="120" w:type="dxa"/>
              <w:bottom w:w="120" w:type="dxa"/>
              <w:left w:w="150" w:type="dxa"/>
              <w:right w:w="150" w:type="dxa"/>
            </w:tcMar>
            <w:shd w:fill="FFFFFF"/>
          </w:tcPr>
          <w:p>
            <w:pPr>
              <w:spacing w:before="40" w:after="40"/>
            </w:pPr>
            <w:r>
              <w:rPr>
                <w:rFonts w:ascii="Consolas" w:hAnsi="Consolas"/>
                <w:color w:val="C7254E"/>
                <w:sz w:val="19"/>
              </w:rPr>
              <w:t>choral</w:t>
            </w:r>
          </w:p>
        </w:tc>
        <w:tc>
          <w:tcPr>
            <w:tcW w:type="dxa" w:w="2340"/>
            <w:tcMar>
              <w:top w:w="120" w:type="dxa"/>
              <w:bottom w:w="120" w:type="dxa"/>
              <w:left w:w="150" w:type="dxa"/>
              <w:right w:w="150" w:type="dxa"/>
            </w:tcMar>
            <w:shd w:fill="FFFFFF"/>
          </w:tcPr>
          <w:p>
            <w:pPr>
              <w:spacing w:before="40" w:after="40"/>
            </w:pPr>
            <w:r>
              <w:rPr>
                <w:sz w:val="19"/>
              </w:rPr>
              <w:t>8</w:t>
            </w:r>
          </w:p>
        </w:tc>
        <w:tc>
          <w:tcPr>
            <w:tcW w:type="dxa" w:w="2340"/>
            <w:tcMar>
              <w:top w:w="120" w:type="dxa"/>
              <w:bottom w:w="120" w:type="dxa"/>
              <w:left w:w="150" w:type="dxa"/>
              <w:right w:w="150" w:type="dxa"/>
            </w:tcMar>
            <w:shd w:fill="FFFFFF"/>
          </w:tcPr>
          <w:p>
            <w:pPr>
              <w:spacing w:before="40" w:after="40"/>
            </w:pPr>
            <w:r>
              <w:rPr>
                <w:sz w:val="19"/>
              </w:rPr>
              <w:t>7</w:t>
            </w:r>
          </w:p>
        </w:tc>
        <w:tc>
          <w:tcPr>
            <w:tcW w:type="dxa" w:w="2340"/>
            <w:tcMar>
              <w:top w:w="120" w:type="dxa"/>
              <w:bottom w:w="120" w:type="dxa"/>
              <w:left w:w="150" w:type="dxa"/>
              <w:right w:w="150" w:type="dxa"/>
            </w:tcMar>
            <w:shd w:fill="FFFFFF"/>
          </w:tcPr>
          <w:p>
            <w:pPr>
              <w:spacing w:before="40" w:after="40"/>
            </w:pPr>
            <w:r>
              <w:rPr>
                <w:sz w:val="19"/>
              </w:rPr>
              <w:t>1</w:t>
            </w:r>
          </w:p>
        </w:tc>
      </w:tr>
    </w:tbl>
    <w:p>
      <w:pPr>
        <w:spacing w:before="80" w:after="80"/>
      </w:pPr>
    </w:p>
    <w:p>
      <w:pPr>
        <w:spacing w:before="60" w:after="80" w:line="276" w:lineRule="auto"/>
      </w:pPr>
      <w:r>
        <w:t xml:space="preserve">Worse than the substring issue: </w:t>
      </w:r>
      <w:r>
        <w:rPr>
          <w:b/>
        </w:rPr>
        <w:t>`ensemble` matches machine-learning ensembles.</w:t>
      </w:r>
      <w:r>
        <w:t xml:space="preserve"> 15 of the</w:t>
      </w:r>
    </w:p>
    <w:p>
      <w:pPr>
        <w:spacing w:before="60" w:after="80" w:line="276" w:lineRule="auto"/>
      </w:pPr>
      <w:r>
        <w:t xml:space="preserve">37 </w:t>
      </w:r>
      <w:r>
        <w:rPr>
          <w:rFonts w:ascii="Consolas" w:hAnsi="Consolas"/>
          <w:color w:val="C7254E"/>
          <w:sz w:val="19"/>
        </w:rPr>
        <w:t>ensemble</w:t>
      </w:r>
      <w:r>
        <w:t xml:space="preserve"> hits use ML phrasing (</w:t>
      </w:r>
      <w:r>
        <w:rPr>
          <w:rFonts w:ascii="Consolas" w:hAnsi="Consolas"/>
          <w:color w:val="C7254E"/>
          <w:sz w:val="19"/>
        </w:rPr>
        <w:t>ensemble learning</w:t>
      </w:r>
      <w:r>
        <w:t xml:space="preserve">, </w:t>
      </w:r>
      <w:r>
        <w:rPr>
          <w:rFonts w:ascii="Consolas" w:hAnsi="Consolas"/>
          <w:color w:val="C7254E"/>
          <w:sz w:val="19"/>
        </w:rPr>
        <w:t>stacking ensemble</w:t>
      </w:r>
      <w:r>
        <w:t>,</w:t>
      </w:r>
    </w:p>
    <w:p>
      <w:pPr>
        <w:spacing w:before="60" w:after="80" w:line="276" w:lineRule="auto"/>
      </w:pPr>
      <w:r>
        <w:rPr>
          <w:rFonts w:ascii="Consolas" w:hAnsi="Consolas"/>
          <w:color w:val="C7254E"/>
          <w:sz w:val="19"/>
        </w:rPr>
        <w:t>ensemble models</w:t>
      </w:r>
      <w:r>
        <w:t xml:space="preserve">). </w:t>
      </w:r>
      <w:r>
        <w:rPr>
          <w:rFonts w:ascii="Consolas" w:hAnsi="Consolas"/>
          <w:color w:val="C7254E"/>
          <w:sz w:val="19"/>
        </w:rPr>
        <w:t>ensemble</w:t>
      </w:r>
      <w:r>
        <w:t xml:space="preserve"> is the </w:t>
      </w:r>
      <w:r>
        <w:rPr>
          <w:i/>
        </w:rPr>
        <w:t>sole</w:t>
      </w:r>
      <w:r>
        <w:t xml:space="preserve"> qualifying music term for 17 included papers.</w:t>
      </w:r>
    </w:p>
    <w:p>
      <w:pPr>
        <w:spacing w:before="60" w:after="80" w:line="276" w:lineRule="auto"/>
      </w:pPr>
      <w:r>
        <w:t xml:space="preserve">Concrete inclusion error, verified: </w:t>
      </w:r>
      <w:r>
        <w:rPr>
          <w:b/>
        </w:rPr>
      </w:r>
      <w:r>
        <w:t>"Speech emotion recognition with light weight deep</w:t>
      </w:r>
    </w:p>
    <w:p>
      <w:pPr>
        <w:spacing w:before="60" w:after="80" w:line="276" w:lineRule="auto"/>
      </w:pPr>
      <w:r>
        <w:t>neural ensemble model using hand crafted features"</w:t>
      </w:r>
      <w:r>
        <w:rPr>
          <w:b/>
        </w:rPr>
      </w:r>
      <w:r>
        <w:t xml:space="preserve"> is in the final 365. It is a speech</w:t>
      </w:r>
    </w:p>
    <w:p>
      <w:pPr>
        <w:spacing w:before="60" w:after="80" w:line="276" w:lineRule="auto"/>
      </w:pPr>
      <w:r>
        <w:t xml:space="preserve">paper. It entered on </w:t>
      </w:r>
      <w:r>
        <w:rPr>
          <w:rFonts w:ascii="Consolas" w:hAnsi="Consolas"/>
          <w:color w:val="C7254E"/>
          <w:sz w:val="19"/>
        </w:rPr>
        <w:t>ensemble</w:t>
      </w:r>
      <w:r>
        <w:t xml:space="preserve">, and </w:t>
      </w:r>
      <w:r>
        <w:rPr>
          <w:rFonts w:ascii="Consolas" w:hAnsi="Consolas"/>
          <w:color w:val="C7254E"/>
          <w:sz w:val="19"/>
        </w:rPr>
        <w:t>exclude_terms</w:t>
      </w:r>
      <w:r>
        <w:t xml:space="preserve"> never caught it because the list has</w:t>
      </w:r>
    </w:p>
    <w:p>
      <w:pPr>
        <w:spacing w:before="60" w:after="80" w:line="276" w:lineRule="auto"/>
      </w:pPr>
      <w:r>
        <w:rPr>
          <w:rFonts w:ascii="Consolas" w:hAnsi="Consolas"/>
          <w:color w:val="C7254E"/>
          <w:sz w:val="19"/>
        </w:rPr>
        <w:t>"speech recognition"</w:t>
      </w:r>
      <w:r>
        <w:t xml:space="preserve"> but not </w:t>
      </w:r>
      <w:r>
        <w:rPr>
          <w:rFonts w:ascii="Consolas" w:hAnsi="Consolas"/>
          <w:color w:val="C7254E"/>
          <w:sz w:val="19"/>
        </w:rPr>
        <w:t>"speech emotion recognition"</w:t>
      </w:r>
      <w:r>
        <w:t>.</w:t>
      </w:r>
    </w:p>
    <w:p>
      <w:pPr>
        <w:spacing w:before="60" w:after="80" w:line="276" w:lineRule="auto"/>
      </w:pPr>
      <w:r>
        <w:t xml:space="preserve">Three papers qualified on </w:t>
      </w:r>
      <w:r>
        <w:rPr>
          <w:rFonts w:ascii="Consolas" w:hAnsi="Consolas"/>
          <w:color w:val="C7254E"/>
          <w:sz w:val="19"/>
        </w:rPr>
        <w:t>mir</w:t>
      </w:r>
      <w:r>
        <w:t xml:space="preserve"> alone, including an Indian-folk-genre paper and</w:t>
      </w:r>
    </w:p>
    <w:p>
      <w:pPr>
        <w:spacing w:before="60" w:after="80" w:line="276" w:lineRule="auto"/>
      </w:pPr>
      <w:r>
        <w:rPr>
          <w:rFonts w:ascii="Consolas" w:hAnsi="Consolas"/>
          <w:color w:val="C7254E"/>
          <w:sz w:val="19"/>
        </w:rPr>
        <w:t>TMIR: Transient Length Extraction…</w:t>
      </w:r>
      <w:r>
        <w:t>.</w:t>
      </w:r>
    </w:p>
    <w:p>
      <w:pPr>
        <w:spacing w:before="60" w:after="80" w:line="276" w:lineRule="auto"/>
      </w:pPr>
      <w:r>
        <w:rPr>
          <w:b/>
        </w:rPr>
        <w:t>Fix:</w:t>
      </w:r>
      <w:r>
        <w:t xml:space="preserve"> </w:t>
      </w:r>
      <w:r>
        <w:rPr>
          <w:rFonts w:ascii="Consolas" w:hAnsi="Consolas"/>
          <w:color w:val="C7254E"/>
          <w:sz w:val="19"/>
        </w:rPr>
        <w:t>re.search(rf"\b{term}\b", text)</w:t>
      </w:r>
      <w:r>
        <w:t xml:space="preserve"> and remove or qualify </w:t>
      </w:r>
      <w:r>
        <w:rPr>
          <w:rFonts w:ascii="Consolas" w:hAnsi="Consolas"/>
          <w:color w:val="C7254E"/>
          <w:sz w:val="19"/>
        </w:rPr>
        <w:t>ensemble</w:t>
      </w:r>
    </w:p>
    <w:p>
      <w:pPr>
        <w:spacing w:before="60" w:after="80" w:line="276" w:lineRule="auto"/>
      </w:pPr>
      <w:r>
        <w:t xml:space="preserve">(→ </w:t>
      </w:r>
      <w:r>
        <w:rPr>
          <w:rFonts w:ascii="Consolas" w:hAnsi="Consolas"/>
          <w:color w:val="C7254E"/>
          <w:sz w:val="19"/>
        </w:rPr>
        <w:t>musical ensemble</w:t>
      </w:r>
      <w:r>
        <w:t xml:space="preserve">, </w:t>
      </w:r>
      <w:r>
        <w:rPr>
          <w:rFonts w:ascii="Consolas" w:hAnsi="Consolas"/>
          <w:color w:val="C7254E"/>
          <w:sz w:val="19"/>
        </w:rPr>
        <w:t>vocal ensemble</w:t>
      </w:r>
      <w:r>
        <w:t xml:space="preserve">, </w:t>
      </w:r>
      <w:r>
        <w:rPr>
          <w:rFonts w:ascii="Consolas" w:hAnsi="Consolas"/>
          <w:color w:val="C7254E"/>
          <w:sz w:val="19"/>
        </w:rPr>
        <w:t>ensemble performance</w:t>
      </w:r>
      <w:r>
        <w:t>).</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8. The `exclude_terms` comma bug — 6 criteria never ran</w:t>
      </w:r>
    </w:p>
    <w:p>
      <w:pPr>
        <w:spacing w:before="60" w:after="80" w:line="276" w:lineRule="auto"/>
      </w:pPr>
      <w:r>
        <w:rPr>
          <w:b/>
        </w:rPr>
        <w:t>Root cause:</w:t>
      </w:r>
      <w:r>
        <w:t xml:space="preserve"> </w:t>
      </w:r>
      <w:r>
        <w:rPr>
          <w:rFonts w:ascii="Consolas" w:hAnsi="Consolas"/>
          <w:color w:val="C7254E"/>
          <w:sz w:val="19"/>
        </w:rPr>
        <w:t>phase1_2/…Collection_Screening.ipynb</w:t>
      </w:r>
      <w:r>
        <w:t>, cell 5 — implicit string</w:t>
      </w:r>
    </w:p>
    <w:p>
      <w:pPr>
        <w:spacing w:before="60" w:after="80" w:line="276" w:lineRule="auto"/>
      </w:pPr>
      <w:r>
        <w:t>concatenation from missing commas: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Consolas" w:hAnsi="Consolas"/>
                <w:color w:val="1E293B"/>
                <w:sz w:val="18"/>
              </w:rPr>
              <w:t>"metadata tagging",</w:t>
              <w:br/>
              <w:t>"artist tagging"          # ← no comma</w:t>
              <w:br/>
              <w:br/>
              <w:t>"semantic tagging",</w:t>
              <w:br/>
              <w:t>"genre tagging"           # ← no comma</w:t>
              <w:br/>
              <w:br/>
              <w:t>"hearing aid",</w:t>
              <w:br/>
              <w:t>...</w:t>
              <w:br/>
              <w:t>"hearing impairment"      # ← no comma</w:t>
              <w:br/>
              <w:br/>
              <w:t>"music generation",</w:t>
            </w:r>
          </w:p>
        </w:tc>
      </w:tr>
    </w:tbl>
    <w:p>
      <w:pPr>
        <w:spacing w:before="80" w:after="80"/>
      </w:pPr>
    </w:p>
    <w:p>
      <w:pPr>
        <w:spacing w:before="60" w:after="80" w:line="276" w:lineRule="auto"/>
      </w:pPr>
      <w:r>
        <w:t xml:space="preserve">Python silently joins these into </w:t>
      </w:r>
      <w:r>
        <w:rPr>
          <w:rFonts w:ascii="Consolas" w:hAnsi="Consolas"/>
          <w:color w:val="C7254E"/>
          <w:sz w:val="19"/>
        </w:rPr>
        <w:t>"artist tagging\n    semantic tagging"</w:t>
      </w:r>
      <w:r>
        <w:t>,</w:t>
      </w:r>
    </w:p>
    <w:p>
      <w:pPr>
        <w:spacing w:before="60" w:after="80" w:line="276" w:lineRule="auto"/>
      </w:pPr>
      <w:r>
        <w:rPr>
          <w:rFonts w:ascii="Consolas" w:hAnsi="Consolas"/>
          <w:color w:val="C7254E"/>
          <w:sz w:val="19"/>
        </w:rPr>
        <w:t>"genre tagging\n    hearing aid"</w:t>
      </w:r>
      <w:r>
        <w:t xml:space="preserve">, </w:t>
      </w:r>
      <w:r>
        <w:rPr>
          <w:rFonts w:ascii="Consolas" w:hAnsi="Consolas"/>
          <w:color w:val="C7254E"/>
          <w:sz w:val="19"/>
        </w:rPr>
        <w:t>"hearing impairment\n    music generation"</w:t>
      </w:r>
      <w:r>
        <w:t>. Those</w:t>
      </w:r>
    </w:p>
    <w:p>
      <w:pPr>
        <w:spacing w:before="60" w:after="80" w:line="276" w:lineRule="auto"/>
      </w:pPr>
      <w:r>
        <w:t xml:space="preserve">three strings match nothing, so </w:t>
      </w:r>
      <w:r>
        <w:rPr>
          <w:b/>
        </w:rPr>
      </w:r>
      <w:r>
        <w:rPr>
          <w:rFonts w:ascii="Consolas" w:hAnsi="Consolas"/>
          <w:color w:val="C7254E"/>
          <w:sz w:val="19"/>
        </w:rPr>
        <w:t>artist tagging</w:t>
      </w:r>
      <w:r>
        <w:t xml:space="preserve">, </w:t>
      </w:r>
      <w:r>
        <w:rPr>
          <w:rFonts w:ascii="Consolas" w:hAnsi="Consolas"/>
          <w:color w:val="C7254E"/>
          <w:sz w:val="19"/>
        </w:rPr>
        <w:t>semantic tagging</w:t>
      </w:r>
      <w:r>
        <w:t xml:space="preserve">, </w:t>
      </w:r>
      <w:r>
        <w:rPr>
          <w:rFonts w:ascii="Consolas" w:hAnsi="Consolas"/>
          <w:color w:val="C7254E"/>
          <w:sz w:val="19"/>
        </w:rPr>
        <w:t>genre tagging</w:t>
      </w:r>
      <w:r>
        <w:t>,</w:t>
      </w:r>
    </w:p>
    <w:p>
      <w:pPr>
        <w:spacing w:before="60" w:after="80" w:line="276" w:lineRule="auto"/>
      </w:pPr>
      <w:r>
        <w:rPr>
          <w:rFonts w:ascii="Consolas" w:hAnsi="Consolas"/>
          <w:color w:val="C7254E"/>
          <w:sz w:val="19"/>
        </w:rPr>
        <w:t>hearing aid</w:t>
      </w:r>
      <w:r>
        <w:t xml:space="preserve">, </w:t>
      </w:r>
      <w:r>
        <w:rPr>
          <w:rFonts w:ascii="Consolas" w:hAnsi="Consolas"/>
          <w:color w:val="C7254E"/>
          <w:sz w:val="19"/>
        </w:rPr>
        <w:t>hearing impairment</w:t>
      </w:r>
      <w:r>
        <w:t xml:space="preserve">, and </w:t>
      </w:r>
      <w:r>
        <w:rPr>
          <w:rFonts w:ascii="Consolas" w:hAnsi="Consolas"/>
          <w:color w:val="C7254E"/>
          <w:sz w:val="19"/>
        </w:rPr>
        <w:t>music generation</w:t>
      </w:r>
      <w:r>
        <w:t xml:space="preserve"> were never excluded.</w:t>
      </w:r>
      <w:r>
        <w:rPr>
          <w:b/>
        </w:rPr>
      </w:r>
    </w:p>
    <w:p>
      <w:pPr>
        <w:spacing w:before="60" w:after="80" w:line="276" w:lineRule="auto"/>
      </w:pPr>
      <w:r>
        <w:t xml:space="preserve">This is documented in </w:t>
      </w:r>
      <w:r>
        <w:rPr>
          <w:rFonts w:ascii="Consolas" w:hAnsi="Consolas"/>
          <w:color w:val="C7254E"/>
          <w:sz w:val="19"/>
        </w:rPr>
        <w:t>phase1_2/README.md</w:t>
      </w:r>
      <w:r>
        <w:t xml:space="preserve"> and in the notebook, which is good practice — but</w:t>
      </w:r>
    </w:p>
    <w:p>
      <w:pPr>
        <w:spacing w:before="60" w:after="80" w:line="276" w:lineRule="auto"/>
      </w:pPr>
      <w:r>
        <w:t>Section 2.2 of the manuscript still describes the exclusion criteria as if all of them ran.</w:t>
      </w:r>
    </w:p>
    <w:p>
      <w:pPr>
        <w:spacing w:before="60" w:after="80" w:line="276" w:lineRule="auto"/>
      </w:pPr>
      <w:r>
        <w:t>Either fix and re-run, or footnote it.</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9. The 6.2× education growth compares a 3-year window to a 4-year window</w:t>
      </w:r>
    </w:p>
    <w:p>
      <w:pPr>
        <w:spacing w:before="60" w:after="80" w:line="276" w:lineRule="auto"/>
      </w:pPr>
      <w:r>
        <w:rPr>
          <w:b/>
        </w:rPr>
        <w:t>Where it surfaces:</w:t>
      </w:r>
      <w:r>
        <w:t xml:space="preserve"> 4.4 trend (2) and 4.5.</w:t>
      </w:r>
    </w:p>
    <w:p>
      <w:pPr>
        <w:spacing w:before="60" w:after="80" w:line="276" w:lineRule="auto"/>
      </w:pPr>
      <w:r>
        <w:rPr>
          <w:b/>
        </w:rPr>
        <w:t>Root cause:</w:t>
      </w:r>
      <w:r>
        <w:t xml:space="preserve"> the era split in the analysis is 2020–2022 (3 years, 123 papers) vs</w:t>
      </w:r>
    </w:p>
    <w:p>
      <w:pPr>
        <w:spacing w:before="60" w:after="80" w:line="276" w:lineRule="auto"/>
      </w:pPr>
      <w:r>
        <w:t>2023–2026 (4 years, 242 papers, with 2026 partial). Recomputed: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2563EB"/>
          </w:tcPr>
          <w:p>
            <w:pPr>
              <w:spacing w:before="40" w:after="40"/>
            </w:pPr>
            <w:r>
              <w:rPr>
                <w:rFonts w:ascii="Calibri" w:hAnsi="Calibri"/>
                <w:b/>
                <w:color w:val="FFFFFF"/>
                <w:sz w:val="20"/>
              </w:rPr>
              <w:t>Cluster</w:t>
            </w:r>
          </w:p>
        </w:tc>
        <w:tc>
          <w:tcPr>
            <w:tcW w:type="dxa" w:w="1872"/>
            <w:tcMar>
              <w:top w:w="120" w:type="dxa"/>
              <w:bottom w:w="120" w:type="dxa"/>
              <w:left w:w="150" w:type="dxa"/>
              <w:right w:w="150" w:type="dxa"/>
            </w:tcMar>
            <w:shd w:fill="2563EB"/>
          </w:tcPr>
          <w:p>
            <w:pPr>
              <w:spacing w:before="40" w:after="40"/>
            </w:pPr>
            <w:r>
              <w:rPr>
                <w:rFonts w:ascii="Calibri" w:hAnsi="Calibri"/>
                <w:b/>
                <w:color w:val="FFFFFF"/>
                <w:sz w:val="20"/>
              </w:rPr>
              <w:t>2020–22</w:t>
            </w:r>
          </w:p>
        </w:tc>
        <w:tc>
          <w:tcPr>
            <w:tcW w:type="dxa" w:w="1872"/>
            <w:tcMar>
              <w:top w:w="120" w:type="dxa"/>
              <w:bottom w:w="120" w:type="dxa"/>
              <w:left w:w="150" w:type="dxa"/>
              <w:right w:w="150" w:type="dxa"/>
            </w:tcMar>
            <w:shd w:fill="2563EB"/>
          </w:tcPr>
          <w:p>
            <w:pPr>
              <w:spacing w:before="40" w:after="40"/>
            </w:pPr>
            <w:r>
              <w:rPr>
                <w:rFonts w:ascii="Calibri" w:hAnsi="Calibri"/>
                <w:b/>
                <w:color w:val="FFFFFF"/>
                <w:sz w:val="20"/>
              </w:rPr>
              <w:t>2023–26</w:t>
            </w:r>
          </w:p>
        </w:tc>
        <w:tc>
          <w:tcPr>
            <w:tcW w:type="dxa" w:w="1872"/>
            <w:tcMar>
              <w:top w:w="120" w:type="dxa"/>
              <w:bottom w:w="120" w:type="dxa"/>
              <w:left w:w="150" w:type="dxa"/>
              <w:right w:w="150" w:type="dxa"/>
            </w:tcMar>
            <w:shd w:fill="2563EB"/>
          </w:tcPr>
          <w:p>
            <w:pPr>
              <w:spacing w:before="40" w:after="40"/>
            </w:pPr>
            <w:r>
              <w:rPr>
                <w:rFonts w:ascii="Calibri" w:hAnsi="Calibri"/>
                <w:b/>
                <w:color w:val="FFFFFF"/>
                <w:sz w:val="20"/>
              </w:rPr>
              <w:t>Raw ratio</w:t>
            </w:r>
          </w:p>
        </w:tc>
        <w:tc>
          <w:tcPr>
            <w:tcW w:type="dxa" w:w="1872"/>
            <w:tcMar>
              <w:top w:w="120" w:type="dxa"/>
              <w:bottom w:w="120" w:type="dxa"/>
              <w:left w:w="150" w:type="dxa"/>
              <w:right w:w="150" w:type="dxa"/>
            </w:tcMar>
            <w:shd w:fill="2563EB"/>
          </w:tcPr>
          <w:p>
            <w:pPr>
              <w:spacing w:before="40" w:after="40"/>
            </w:pPr>
            <w:r>
              <w:rPr>
                <w:rFonts w:ascii="Calibri" w:hAnsi="Calibri"/>
                <w:b/>
                <w:color w:val="FFFFFF"/>
                <w:sz w:val="20"/>
              </w:rPr>
              <w:t>Per-year ratio</w:t>
            </w:r>
          </w:p>
        </w:tc>
      </w:tr>
      <w:tr>
        <w:tc>
          <w:tcPr>
            <w:tcW w:type="dxa" w:w="1872"/>
            <w:tcMar>
              <w:top w:w="120" w:type="dxa"/>
              <w:bottom w:w="120" w:type="dxa"/>
              <w:left w:w="150" w:type="dxa"/>
              <w:right w:w="150" w:type="dxa"/>
            </w:tcMar>
            <w:shd w:fill="F8FAFC"/>
          </w:tcPr>
          <w:p>
            <w:pPr>
              <w:spacing w:before="40" w:after="40"/>
            </w:pPr>
            <w:r>
              <w:rPr>
                <w:sz w:val="19"/>
              </w:rPr>
              <w:t>Music Education &amp; Perf. Assessment</w:t>
            </w:r>
          </w:p>
        </w:tc>
        <w:tc>
          <w:tcPr>
            <w:tcW w:type="dxa" w:w="1872"/>
            <w:tcMar>
              <w:top w:w="120" w:type="dxa"/>
              <w:bottom w:w="120" w:type="dxa"/>
              <w:left w:w="150" w:type="dxa"/>
              <w:right w:w="150" w:type="dxa"/>
            </w:tcMar>
            <w:shd w:fill="F8FAFC"/>
          </w:tcPr>
          <w:p>
            <w:pPr>
              <w:spacing w:before="40" w:after="40"/>
            </w:pPr>
            <w:r>
              <w:rPr>
                <w:sz w:val="19"/>
              </w:rPr>
              <w:t>11</w:t>
            </w:r>
          </w:p>
        </w:tc>
        <w:tc>
          <w:tcPr>
            <w:tcW w:type="dxa" w:w="1872"/>
            <w:tcMar>
              <w:top w:w="120" w:type="dxa"/>
              <w:bottom w:w="120" w:type="dxa"/>
              <w:left w:w="150" w:type="dxa"/>
              <w:right w:w="150" w:type="dxa"/>
            </w:tcMar>
            <w:shd w:fill="F8FAFC"/>
          </w:tcPr>
          <w:p>
            <w:pPr>
              <w:spacing w:before="40" w:after="40"/>
            </w:pPr>
            <w:r>
              <w:rPr>
                <w:sz w:val="19"/>
              </w:rPr>
              <w:t>68</w:t>
            </w:r>
          </w:p>
        </w:tc>
        <w:tc>
          <w:tcPr>
            <w:tcW w:type="dxa" w:w="1872"/>
            <w:tcMar>
              <w:top w:w="120" w:type="dxa"/>
              <w:bottom w:w="120" w:type="dxa"/>
              <w:left w:w="150" w:type="dxa"/>
              <w:right w:w="150" w:type="dxa"/>
            </w:tcMar>
            <w:shd w:fill="F8FAFC"/>
          </w:tcPr>
          <w:p>
            <w:pPr>
              <w:spacing w:before="40" w:after="40"/>
            </w:pPr>
            <w:r>
              <w:rPr>
                <w:sz w:val="19"/>
              </w:rPr>
              <w:t>6.18×</w:t>
            </w:r>
          </w:p>
        </w:tc>
        <w:tc>
          <w:tcPr>
            <w:tcW w:type="dxa" w:w="1872"/>
            <w:tcMar>
              <w:top w:w="120" w:type="dxa"/>
              <w:bottom w:w="120" w:type="dxa"/>
              <w:left w:w="150" w:type="dxa"/>
              <w:right w:w="150" w:type="dxa"/>
            </w:tcMar>
            <w:shd w:fill="F8FAFC"/>
          </w:tcPr>
          <w:p>
            <w:pPr>
              <w:spacing w:before="40" w:after="40"/>
            </w:pPr>
            <w:r>
              <w:rPr>
                <w:sz w:val="19"/>
              </w:rPr>
              <w:t>4.64×</w:t>
            </w:r>
          </w:p>
        </w:tc>
      </w:tr>
      <w:tr>
        <w:tc>
          <w:tcPr>
            <w:tcW w:type="dxa" w:w="1872"/>
            <w:tcMar>
              <w:top w:w="120" w:type="dxa"/>
              <w:bottom w:w="120" w:type="dxa"/>
              <w:left w:w="150" w:type="dxa"/>
              <w:right w:w="150" w:type="dxa"/>
            </w:tcMar>
            <w:shd w:fill="FFFFFF"/>
          </w:tcPr>
          <w:p>
            <w:pPr>
              <w:spacing w:before="40" w:after="40"/>
            </w:pPr>
            <w:r>
              <w:rPr>
                <w:sz w:val="19"/>
              </w:rPr>
              <w:t>Multi-Pitch Estimation</w:t>
            </w:r>
          </w:p>
        </w:tc>
        <w:tc>
          <w:tcPr>
            <w:tcW w:type="dxa" w:w="1872"/>
            <w:tcMar>
              <w:top w:w="120" w:type="dxa"/>
              <w:bottom w:w="120" w:type="dxa"/>
              <w:left w:w="150" w:type="dxa"/>
              <w:right w:w="150" w:type="dxa"/>
            </w:tcMar>
            <w:shd w:fill="FFFFFF"/>
          </w:tcPr>
          <w:p>
            <w:pPr>
              <w:spacing w:before="40" w:after="40"/>
            </w:pPr>
            <w:r>
              <w:rPr>
                <w:sz w:val="19"/>
              </w:rPr>
              <w:t>6</w:t>
            </w:r>
          </w:p>
        </w:tc>
        <w:tc>
          <w:tcPr>
            <w:tcW w:type="dxa" w:w="1872"/>
            <w:tcMar>
              <w:top w:w="120" w:type="dxa"/>
              <w:bottom w:w="120" w:type="dxa"/>
              <w:left w:w="150" w:type="dxa"/>
              <w:right w:w="150" w:type="dxa"/>
            </w:tcMar>
            <w:shd w:fill="FFFFFF"/>
          </w:tcPr>
          <w:p>
            <w:pPr>
              <w:spacing w:before="40" w:after="40"/>
            </w:pPr>
            <w:r>
              <w:rPr>
                <w:sz w:val="19"/>
              </w:rPr>
              <w:t>16</w:t>
            </w:r>
          </w:p>
        </w:tc>
        <w:tc>
          <w:tcPr>
            <w:tcW w:type="dxa" w:w="1872"/>
            <w:tcMar>
              <w:top w:w="120" w:type="dxa"/>
              <w:bottom w:w="120" w:type="dxa"/>
              <w:left w:w="150" w:type="dxa"/>
              <w:right w:w="150" w:type="dxa"/>
            </w:tcMar>
            <w:shd w:fill="FFFFFF"/>
          </w:tcPr>
          <w:p>
            <w:pPr>
              <w:spacing w:before="40" w:after="40"/>
            </w:pPr>
            <w:r>
              <w:rPr>
                <w:sz w:val="19"/>
              </w:rPr>
              <w:t>2.67×</w:t>
            </w:r>
          </w:p>
        </w:tc>
        <w:tc>
          <w:tcPr>
            <w:tcW w:type="dxa" w:w="1872"/>
            <w:tcMar>
              <w:top w:w="120" w:type="dxa"/>
              <w:bottom w:w="120" w:type="dxa"/>
              <w:left w:w="150" w:type="dxa"/>
              <w:right w:w="150" w:type="dxa"/>
            </w:tcMar>
            <w:shd w:fill="FFFFFF"/>
          </w:tcPr>
          <w:p>
            <w:pPr>
              <w:spacing w:before="40" w:after="40"/>
            </w:pPr>
            <w:r>
              <w:rPr>
                <w:sz w:val="19"/>
              </w:rPr>
              <w:t>2.00×</w:t>
            </w:r>
          </w:p>
        </w:tc>
      </w:tr>
      <w:tr>
        <w:tc>
          <w:tcPr>
            <w:tcW w:type="dxa" w:w="1872"/>
            <w:tcMar>
              <w:top w:w="120" w:type="dxa"/>
              <w:bottom w:w="120" w:type="dxa"/>
              <w:left w:w="150" w:type="dxa"/>
              <w:right w:w="150" w:type="dxa"/>
            </w:tcMar>
            <w:shd w:fill="F8FAFC"/>
          </w:tcPr>
          <w:p>
            <w:pPr>
              <w:spacing w:before="40" w:after="40"/>
            </w:pPr>
            <w:r>
              <w:rPr>
                <w:sz w:val="19"/>
              </w:rPr>
              <w:t>Instrument Recognition</w:t>
            </w:r>
          </w:p>
        </w:tc>
        <w:tc>
          <w:tcPr>
            <w:tcW w:type="dxa" w:w="1872"/>
            <w:tcMar>
              <w:top w:w="120" w:type="dxa"/>
              <w:bottom w:w="120" w:type="dxa"/>
              <w:left w:w="150" w:type="dxa"/>
              <w:right w:w="150" w:type="dxa"/>
            </w:tcMar>
            <w:shd w:fill="F8FAFC"/>
          </w:tcPr>
          <w:p>
            <w:pPr>
              <w:spacing w:before="40" w:after="40"/>
            </w:pPr>
            <w:r>
              <w:rPr>
                <w:sz w:val="19"/>
              </w:rPr>
              <w:t>15</w:t>
            </w:r>
          </w:p>
        </w:tc>
        <w:tc>
          <w:tcPr>
            <w:tcW w:type="dxa" w:w="1872"/>
            <w:tcMar>
              <w:top w:w="120" w:type="dxa"/>
              <w:bottom w:w="120" w:type="dxa"/>
              <w:left w:w="150" w:type="dxa"/>
              <w:right w:w="150" w:type="dxa"/>
            </w:tcMar>
            <w:shd w:fill="F8FAFC"/>
          </w:tcPr>
          <w:p>
            <w:pPr>
              <w:spacing w:before="40" w:after="40"/>
            </w:pPr>
            <w:r>
              <w:rPr>
                <w:sz w:val="19"/>
              </w:rPr>
              <w:t>32</w:t>
            </w:r>
          </w:p>
        </w:tc>
        <w:tc>
          <w:tcPr>
            <w:tcW w:type="dxa" w:w="1872"/>
            <w:tcMar>
              <w:top w:w="120" w:type="dxa"/>
              <w:bottom w:w="120" w:type="dxa"/>
              <w:left w:w="150" w:type="dxa"/>
              <w:right w:w="150" w:type="dxa"/>
            </w:tcMar>
            <w:shd w:fill="F8FAFC"/>
          </w:tcPr>
          <w:p>
            <w:pPr>
              <w:spacing w:before="40" w:after="40"/>
            </w:pPr>
            <w:r>
              <w:rPr>
                <w:sz w:val="19"/>
              </w:rPr>
              <w:t>2.13×</w:t>
            </w:r>
          </w:p>
        </w:tc>
        <w:tc>
          <w:tcPr>
            <w:tcW w:type="dxa" w:w="1872"/>
            <w:tcMar>
              <w:top w:w="120" w:type="dxa"/>
              <w:bottom w:w="120" w:type="dxa"/>
              <w:left w:w="150" w:type="dxa"/>
              <w:right w:w="150" w:type="dxa"/>
            </w:tcMar>
            <w:shd w:fill="F8FAFC"/>
          </w:tcPr>
          <w:p>
            <w:pPr>
              <w:spacing w:before="40" w:after="40"/>
            </w:pPr>
            <w:r>
              <w:rPr>
                <w:sz w:val="19"/>
              </w:rPr>
              <w:t>1.60×</w:t>
            </w:r>
          </w:p>
        </w:tc>
      </w:tr>
      <w:tr>
        <w:tc>
          <w:tcPr>
            <w:tcW w:type="dxa" w:w="1872"/>
            <w:tcMar>
              <w:top w:w="120" w:type="dxa"/>
              <w:bottom w:w="120" w:type="dxa"/>
              <w:left w:w="150" w:type="dxa"/>
              <w:right w:w="150" w:type="dxa"/>
            </w:tcMar>
            <w:shd w:fill="FFFFFF"/>
          </w:tcPr>
          <w:p>
            <w:pPr>
              <w:spacing w:before="40" w:after="40"/>
            </w:pPr>
            <w:r>
              <w:rPr>
                <w:sz w:val="19"/>
              </w:rPr>
              <w:t>AMT</w:t>
            </w:r>
          </w:p>
        </w:tc>
        <w:tc>
          <w:tcPr>
            <w:tcW w:type="dxa" w:w="1872"/>
            <w:tcMar>
              <w:top w:w="120" w:type="dxa"/>
              <w:bottom w:w="120" w:type="dxa"/>
              <w:left w:w="150" w:type="dxa"/>
              <w:right w:w="150" w:type="dxa"/>
            </w:tcMar>
            <w:shd w:fill="FFFFFF"/>
          </w:tcPr>
          <w:p>
            <w:pPr>
              <w:spacing w:before="40" w:after="40"/>
            </w:pPr>
            <w:r>
              <w:rPr>
                <w:sz w:val="19"/>
              </w:rPr>
              <w:t>28</w:t>
            </w:r>
          </w:p>
        </w:tc>
        <w:tc>
          <w:tcPr>
            <w:tcW w:type="dxa" w:w="1872"/>
            <w:tcMar>
              <w:top w:w="120" w:type="dxa"/>
              <w:bottom w:w="120" w:type="dxa"/>
              <w:left w:w="150" w:type="dxa"/>
              <w:right w:w="150" w:type="dxa"/>
            </w:tcMar>
            <w:shd w:fill="FFFFFF"/>
          </w:tcPr>
          <w:p>
            <w:pPr>
              <w:spacing w:before="40" w:after="40"/>
            </w:pPr>
            <w:r>
              <w:rPr>
                <w:sz w:val="19"/>
              </w:rPr>
              <w:t>46</w:t>
            </w:r>
          </w:p>
        </w:tc>
        <w:tc>
          <w:tcPr>
            <w:tcW w:type="dxa" w:w="1872"/>
            <w:tcMar>
              <w:top w:w="120" w:type="dxa"/>
              <w:bottom w:w="120" w:type="dxa"/>
              <w:left w:w="150" w:type="dxa"/>
              <w:right w:w="150" w:type="dxa"/>
            </w:tcMar>
            <w:shd w:fill="FFFFFF"/>
          </w:tcPr>
          <w:p>
            <w:pPr>
              <w:spacing w:before="40" w:after="40"/>
            </w:pPr>
            <w:r>
              <w:rPr>
                <w:sz w:val="19"/>
              </w:rPr>
              <w:t>1.64×</w:t>
            </w:r>
          </w:p>
        </w:tc>
        <w:tc>
          <w:tcPr>
            <w:tcW w:type="dxa" w:w="1872"/>
            <w:tcMar>
              <w:top w:w="120" w:type="dxa"/>
              <w:bottom w:w="120" w:type="dxa"/>
              <w:left w:w="150" w:type="dxa"/>
              <w:right w:w="150" w:type="dxa"/>
            </w:tcMar>
            <w:shd w:fill="FFFFFF"/>
          </w:tcPr>
          <w:p>
            <w:pPr>
              <w:spacing w:before="40" w:after="40"/>
            </w:pPr>
            <w:r>
              <w:rPr>
                <w:sz w:val="19"/>
              </w:rPr>
              <w:t>1.23×</w:t>
            </w:r>
          </w:p>
        </w:tc>
      </w:tr>
      <w:tr>
        <w:tc>
          <w:tcPr>
            <w:tcW w:type="dxa" w:w="1872"/>
            <w:tcMar>
              <w:top w:w="120" w:type="dxa"/>
              <w:bottom w:w="120" w:type="dxa"/>
              <w:left w:w="150" w:type="dxa"/>
              <w:right w:w="150" w:type="dxa"/>
            </w:tcMar>
            <w:shd w:fill="F8FAFC"/>
          </w:tcPr>
          <w:p>
            <w:pPr>
              <w:spacing w:before="40" w:after="40"/>
            </w:pPr>
            <w:r>
              <w:rPr>
                <w:sz w:val="19"/>
              </w:rPr>
              <w:t>Singing Voice / Melody</w:t>
            </w:r>
          </w:p>
        </w:tc>
        <w:tc>
          <w:tcPr>
            <w:tcW w:type="dxa" w:w="1872"/>
            <w:tcMar>
              <w:top w:w="120" w:type="dxa"/>
              <w:bottom w:w="120" w:type="dxa"/>
              <w:left w:w="150" w:type="dxa"/>
              <w:right w:w="150" w:type="dxa"/>
            </w:tcMar>
            <w:shd w:fill="F8FAFC"/>
          </w:tcPr>
          <w:p>
            <w:pPr>
              <w:spacing w:before="40" w:after="40"/>
            </w:pPr>
            <w:r>
              <w:rPr>
                <w:sz w:val="19"/>
              </w:rPr>
              <w:t>16</w:t>
            </w:r>
          </w:p>
        </w:tc>
        <w:tc>
          <w:tcPr>
            <w:tcW w:type="dxa" w:w="1872"/>
            <w:tcMar>
              <w:top w:w="120" w:type="dxa"/>
              <w:bottom w:w="120" w:type="dxa"/>
              <w:left w:w="150" w:type="dxa"/>
              <w:right w:w="150" w:type="dxa"/>
            </w:tcMar>
            <w:shd w:fill="F8FAFC"/>
          </w:tcPr>
          <w:p>
            <w:pPr>
              <w:spacing w:before="40" w:after="40"/>
            </w:pPr>
            <w:r>
              <w:rPr>
                <w:sz w:val="19"/>
              </w:rPr>
              <w:t>25</w:t>
            </w:r>
          </w:p>
        </w:tc>
        <w:tc>
          <w:tcPr>
            <w:tcW w:type="dxa" w:w="1872"/>
            <w:tcMar>
              <w:top w:w="120" w:type="dxa"/>
              <w:bottom w:w="120" w:type="dxa"/>
              <w:left w:w="150" w:type="dxa"/>
              <w:right w:w="150" w:type="dxa"/>
            </w:tcMar>
            <w:shd w:fill="F8FAFC"/>
          </w:tcPr>
          <w:p>
            <w:pPr>
              <w:spacing w:before="40" w:after="40"/>
            </w:pPr>
            <w:r>
              <w:rPr>
                <w:sz w:val="19"/>
              </w:rPr>
              <w:t>1.56×</w:t>
            </w:r>
          </w:p>
        </w:tc>
        <w:tc>
          <w:tcPr>
            <w:tcW w:type="dxa" w:w="1872"/>
            <w:tcMar>
              <w:top w:w="120" w:type="dxa"/>
              <w:bottom w:w="120" w:type="dxa"/>
              <w:left w:w="150" w:type="dxa"/>
              <w:right w:w="150" w:type="dxa"/>
            </w:tcMar>
            <w:shd w:fill="F8FAFC"/>
          </w:tcPr>
          <w:p>
            <w:pPr>
              <w:spacing w:before="40" w:after="40"/>
            </w:pPr>
            <w:r>
              <w:rPr>
                <w:sz w:val="19"/>
              </w:rPr>
              <w:t>1.17×</w:t>
            </w:r>
          </w:p>
        </w:tc>
      </w:tr>
      <w:tr>
        <w:tc>
          <w:tcPr>
            <w:tcW w:type="dxa" w:w="1872"/>
            <w:tcMar>
              <w:top w:w="120" w:type="dxa"/>
              <w:bottom w:w="120" w:type="dxa"/>
              <w:left w:w="150" w:type="dxa"/>
              <w:right w:w="150" w:type="dxa"/>
            </w:tcMar>
            <w:shd w:fill="FFFFFF"/>
          </w:tcPr>
          <w:p>
            <w:pPr>
              <w:spacing w:before="40" w:after="40"/>
            </w:pPr>
            <w:r>
              <w:rPr>
                <w:sz w:val="19"/>
              </w:rPr>
              <w:t>OMR</w:t>
            </w:r>
          </w:p>
        </w:tc>
        <w:tc>
          <w:tcPr>
            <w:tcW w:type="dxa" w:w="1872"/>
            <w:tcMar>
              <w:top w:w="120" w:type="dxa"/>
              <w:bottom w:w="120" w:type="dxa"/>
              <w:left w:w="150" w:type="dxa"/>
              <w:right w:w="150" w:type="dxa"/>
            </w:tcMar>
            <w:shd w:fill="FFFFFF"/>
          </w:tcPr>
          <w:p>
            <w:pPr>
              <w:spacing w:before="40" w:after="40"/>
            </w:pPr>
            <w:r>
              <w:rPr>
                <w:sz w:val="19"/>
              </w:rPr>
              <w:t>13</w:t>
            </w:r>
          </w:p>
        </w:tc>
        <w:tc>
          <w:tcPr>
            <w:tcW w:type="dxa" w:w="1872"/>
            <w:tcMar>
              <w:top w:w="120" w:type="dxa"/>
              <w:bottom w:w="120" w:type="dxa"/>
              <w:left w:w="150" w:type="dxa"/>
              <w:right w:w="150" w:type="dxa"/>
            </w:tcMar>
            <w:shd w:fill="FFFFFF"/>
          </w:tcPr>
          <w:p>
            <w:pPr>
              <w:spacing w:before="40" w:after="40"/>
            </w:pPr>
            <w:r>
              <w:rPr>
                <w:sz w:val="19"/>
              </w:rPr>
              <w:t>17</w:t>
            </w:r>
          </w:p>
        </w:tc>
        <w:tc>
          <w:tcPr>
            <w:tcW w:type="dxa" w:w="1872"/>
            <w:tcMar>
              <w:top w:w="120" w:type="dxa"/>
              <w:bottom w:w="120" w:type="dxa"/>
              <w:left w:w="150" w:type="dxa"/>
              <w:right w:w="150" w:type="dxa"/>
            </w:tcMar>
            <w:shd w:fill="FFFFFF"/>
          </w:tcPr>
          <w:p>
            <w:pPr>
              <w:spacing w:before="40" w:after="40"/>
            </w:pPr>
            <w:r>
              <w:rPr>
                <w:sz w:val="19"/>
              </w:rPr>
              <w:t>1.31×</w:t>
            </w:r>
          </w:p>
        </w:tc>
        <w:tc>
          <w:tcPr>
            <w:tcW w:type="dxa" w:w="1872"/>
            <w:tcMar>
              <w:top w:w="120" w:type="dxa"/>
              <w:bottom w:w="120" w:type="dxa"/>
              <w:left w:w="150" w:type="dxa"/>
              <w:right w:w="150" w:type="dxa"/>
            </w:tcMar>
            <w:shd w:fill="FFFFFF"/>
          </w:tcPr>
          <w:p>
            <w:pPr>
              <w:spacing w:before="40" w:after="40"/>
            </w:pPr>
            <w:r>
              <w:rPr>
                <w:sz w:val="19"/>
              </w:rPr>
              <w:t>0.98×</w:t>
            </w:r>
          </w:p>
        </w:tc>
      </w:tr>
      <w:tr>
        <w:tc>
          <w:tcPr>
            <w:tcW w:type="dxa" w:w="1872"/>
            <w:tcMar>
              <w:top w:w="120" w:type="dxa"/>
              <w:bottom w:w="120" w:type="dxa"/>
              <w:left w:w="150" w:type="dxa"/>
              <w:right w:w="150" w:type="dxa"/>
            </w:tcMar>
            <w:shd w:fill="F8FAFC"/>
          </w:tcPr>
          <w:p>
            <w:pPr>
              <w:spacing w:before="40" w:after="40"/>
            </w:pPr>
            <w:r>
              <w:rPr>
                <w:sz w:val="19"/>
              </w:rPr>
              <w:t>Source Separation</w:t>
            </w:r>
          </w:p>
        </w:tc>
        <w:tc>
          <w:tcPr>
            <w:tcW w:type="dxa" w:w="1872"/>
            <w:tcMar>
              <w:top w:w="120" w:type="dxa"/>
              <w:bottom w:w="120" w:type="dxa"/>
              <w:left w:w="150" w:type="dxa"/>
              <w:right w:w="150" w:type="dxa"/>
            </w:tcMar>
            <w:shd w:fill="F8FAFC"/>
          </w:tcPr>
          <w:p>
            <w:pPr>
              <w:spacing w:before="40" w:after="40"/>
            </w:pPr>
            <w:r>
              <w:rPr>
                <w:sz w:val="19"/>
              </w:rPr>
              <w:t>34</w:t>
            </w:r>
          </w:p>
        </w:tc>
        <w:tc>
          <w:tcPr>
            <w:tcW w:type="dxa" w:w="1872"/>
            <w:tcMar>
              <w:top w:w="120" w:type="dxa"/>
              <w:bottom w:w="120" w:type="dxa"/>
              <w:left w:w="150" w:type="dxa"/>
              <w:right w:w="150" w:type="dxa"/>
            </w:tcMar>
            <w:shd w:fill="F8FAFC"/>
          </w:tcPr>
          <w:p>
            <w:pPr>
              <w:spacing w:before="40" w:after="40"/>
            </w:pPr>
            <w:r>
              <w:rPr>
                <w:sz w:val="19"/>
              </w:rPr>
              <w:t>38</w:t>
            </w:r>
          </w:p>
        </w:tc>
        <w:tc>
          <w:tcPr>
            <w:tcW w:type="dxa" w:w="1872"/>
            <w:tcMar>
              <w:top w:w="120" w:type="dxa"/>
              <w:bottom w:w="120" w:type="dxa"/>
              <w:left w:w="150" w:type="dxa"/>
              <w:right w:w="150" w:type="dxa"/>
            </w:tcMar>
            <w:shd w:fill="F8FAFC"/>
          </w:tcPr>
          <w:p>
            <w:pPr>
              <w:spacing w:before="40" w:after="40"/>
            </w:pPr>
            <w:r>
              <w:rPr>
                <w:sz w:val="19"/>
              </w:rPr>
              <w:t>1.12×</w:t>
            </w:r>
          </w:p>
        </w:tc>
        <w:tc>
          <w:tcPr>
            <w:tcW w:type="dxa" w:w="1872"/>
            <w:tcMar>
              <w:top w:w="120" w:type="dxa"/>
              <w:bottom w:w="120" w:type="dxa"/>
              <w:left w:w="150" w:type="dxa"/>
              <w:right w:w="150" w:type="dxa"/>
            </w:tcMar>
            <w:shd w:fill="F8FAFC"/>
          </w:tcPr>
          <w:p>
            <w:pPr>
              <w:spacing w:before="40" w:after="40"/>
            </w:pPr>
            <w:r>
              <w:rPr>
                <w:sz w:val="19"/>
              </w:rPr>
              <w:t>0.84×</w:t>
            </w:r>
          </w:p>
        </w:tc>
      </w:tr>
      <w:tr>
        <w:tc>
          <w:tcPr>
            <w:tcW w:type="dxa" w:w="1872"/>
            <w:tcMar>
              <w:top w:w="120" w:type="dxa"/>
              <w:bottom w:w="120" w:type="dxa"/>
              <w:left w:w="150" w:type="dxa"/>
              <w:right w:w="150" w:type="dxa"/>
            </w:tcMar>
            <w:shd w:fill="FFFFFF"/>
          </w:tcPr>
          <w:p>
            <w:pPr>
              <w:spacing w:before="40" w:after="40"/>
            </w:pPr>
            <w:r>
              <w:rPr>
                <w:b/>
                <w:sz w:val="19"/>
              </w:rPr>
              <w:t>whole corpus</w:t>
            </w:r>
          </w:p>
        </w:tc>
        <w:tc>
          <w:tcPr>
            <w:tcW w:type="dxa" w:w="1872"/>
            <w:tcMar>
              <w:top w:w="120" w:type="dxa"/>
              <w:bottom w:w="120" w:type="dxa"/>
              <w:left w:w="150" w:type="dxa"/>
              <w:right w:w="150" w:type="dxa"/>
            </w:tcMar>
            <w:shd w:fill="FFFFFF"/>
          </w:tcPr>
          <w:p>
            <w:pPr>
              <w:spacing w:before="40" w:after="40"/>
            </w:pPr>
            <w:r>
              <w:rPr>
                <w:b/>
                <w:sz w:val="19"/>
              </w:rPr>
              <w:t>123</w:t>
            </w:r>
          </w:p>
        </w:tc>
        <w:tc>
          <w:tcPr>
            <w:tcW w:type="dxa" w:w="1872"/>
            <w:tcMar>
              <w:top w:w="120" w:type="dxa"/>
              <w:bottom w:w="120" w:type="dxa"/>
              <w:left w:w="150" w:type="dxa"/>
              <w:right w:w="150" w:type="dxa"/>
            </w:tcMar>
            <w:shd w:fill="FFFFFF"/>
          </w:tcPr>
          <w:p>
            <w:pPr>
              <w:spacing w:before="40" w:after="40"/>
            </w:pPr>
            <w:r>
              <w:rPr>
                <w:b/>
                <w:sz w:val="19"/>
              </w:rPr>
              <w:t>242</w:t>
            </w:r>
          </w:p>
        </w:tc>
        <w:tc>
          <w:tcPr>
            <w:tcW w:type="dxa" w:w="1872"/>
            <w:tcMar>
              <w:top w:w="120" w:type="dxa"/>
              <w:bottom w:w="120" w:type="dxa"/>
              <w:left w:w="150" w:type="dxa"/>
              <w:right w:w="150" w:type="dxa"/>
            </w:tcMar>
            <w:shd w:fill="FFFFFF"/>
          </w:tcPr>
          <w:p>
            <w:pPr>
              <w:spacing w:before="40" w:after="40"/>
            </w:pPr>
            <w:r>
              <w:rPr>
                <w:b/>
                <w:sz w:val="19"/>
              </w:rPr>
              <w:t>1.97×</w:t>
            </w:r>
          </w:p>
        </w:tc>
        <w:tc>
          <w:tcPr>
            <w:tcW w:type="dxa" w:w="1872"/>
            <w:tcMar>
              <w:top w:w="120" w:type="dxa"/>
              <w:bottom w:w="120" w:type="dxa"/>
              <w:left w:w="150" w:type="dxa"/>
              <w:right w:w="150" w:type="dxa"/>
            </w:tcMar>
            <w:shd w:fill="FFFFFF"/>
          </w:tcPr>
          <w:p>
            <w:pPr>
              <w:spacing w:before="40" w:after="40"/>
            </w:pPr>
            <w:r>
              <w:rPr>
                <w:b/>
                <w:sz w:val="19"/>
              </w:rPr>
              <w:t>1.48×</w:t>
            </w:r>
          </w:p>
        </w:tc>
      </w:tr>
    </w:tbl>
    <w:p>
      <w:pPr>
        <w:spacing w:before="80" w:after="80"/>
      </w:pPr>
    </w:p>
    <w:p>
      <w:pPr>
        <w:spacing w:before="60" w:after="80" w:line="276" w:lineRule="auto"/>
      </w:pPr>
      <w:r>
        <w:t xml:space="preserve">The </w:t>
      </w:r>
      <w:r>
        <w:rPr>
          <w:i/>
        </w:rPr>
        <w:t>relative</w:t>
      </w:r>
      <w:r>
        <w:t xml:space="preserve"> ordering survives, so the finding holds. The headline number does not: 6.2×</w:t>
      </w:r>
    </w:p>
    <w:p>
      <w:pPr>
        <w:spacing w:before="60" w:after="80" w:line="276" w:lineRule="auto"/>
      </w:pPr>
      <w:r>
        <w:t>becomes 4.6× per year, and 3.1× once you normalise against corpus growth. Table 9's</w:t>
      </w:r>
    </w:p>
    <w:p>
      <w:pPr>
        <w:spacing w:before="60" w:after="80" w:line="276" w:lineRule="auto"/>
      </w:pPr>
      <w:r>
        <w:rPr>
          <w:rFonts w:ascii="Consolas" w:hAnsi="Consolas"/>
          <w:color w:val="C7254E"/>
          <w:sz w:val="19"/>
        </w:rPr>
        <w:t>2020–2022</w:t>
      </w:r>
      <w:r>
        <w:t xml:space="preserve"> / </w:t>
      </w:r>
      <w:r>
        <w:rPr>
          <w:rFonts w:ascii="Consolas" w:hAnsi="Consolas"/>
          <w:color w:val="C7254E"/>
          <w:sz w:val="19"/>
        </w:rPr>
        <w:t>2023–2026</w:t>
      </w:r>
      <w:r>
        <w:t xml:space="preserve"> percentage columns carry the same asymmetry.</w:t>
      </w:r>
    </w:p>
    <w:p>
      <w:pPr>
        <w:spacing w:before="60" w:after="80" w:line="276" w:lineRule="auto"/>
      </w:pPr>
      <w:r>
        <w:rPr>
          <w:b/>
        </w:rPr>
        <w:t>Fix:</w:t>
      </w:r>
      <w:r>
        <w:t xml:space="preserve"> report per-year rates or share-of-corpus, and say the eras are unequal.</w:t>
      </w:r>
    </w:p>
    <w:p>
      <w:pPr>
        <w:spacing w:before="120" w:after="120"/>
      </w:pPr>
      <w:r>
        <w:rPr>
          <w:color w:val="CBD5E1"/>
        </w:rPr>
        <w:t>_______________________________________________________________________________</w:t>
      </w:r>
    </w:p>
    <w:p>
      <w:pPr>
        <w:pStyle w:val="Heading3"/>
        <w:spacing w:before="200" w:after="60"/>
      </w:pPr>
      <w:r>
        <w:rPr>
          <w:rFonts w:ascii="Calibri" w:hAnsi="Calibri"/>
          <w:b/>
          <w:color w:val="334155"/>
          <w:sz w:val="26"/>
        </w:rPr>
        <w:t>10. "Ensemble is the real gap (2.7%)" is a definition, not a measurement</w:t>
      </w:r>
    </w:p>
    <w:p>
      <w:pPr>
        <w:spacing w:before="60" w:after="80" w:line="276" w:lineRule="auto"/>
      </w:pPr>
      <w:r>
        <w:rPr>
          <w:b/>
        </w:rPr>
        <w:t>Where it surfaces:</w:t>
      </w:r>
      <w:r>
        <w:t xml:space="preserve"> 3.1.2, Gap 1 in 4.4, and reversal #2 in </w:t>
      </w:r>
      <w:r>
        <w:rPr>
          <w:rFonts w:ascii="Consolas" w:hAnsi="Consolas"/>
          <w:color w:val="C7254E"/>
          <w:sz w:val="19"/>
        </w:rPr>
        <w:t>WHAT_CHANGED_AND_WHY.md</w:t>
      </w:r>
      <w:r>
        <w:t>.</w:t>
      </w:r>
    </w:p>
    <w:p>
      <w:pPr>
        <w:spacing w:before="60" w:after="80" w:line="276" w:lineRule="auto"/>
      </w:pPr>
      <w:r>
        <w:rPr>
          <w:b/>
        </w:rPr>
        <w:t>Root cause:</w:t>
      </w:r>
      <w:r>
        <w:t xml:space="preserve"> the domain tagger operationalises </w:t>
      </w:r>
      <w:r>
        <w:rPr>
          <w:rFonts w:ascii="Consolas" w:hAnsi="Consolas"/>
          <w:color w:val="C7254E"/>
          <w:sz w:val="19"/>
        </w:rPr>
        <w:t>Ensemble</w:t>
      </w:r>
      <w:r>
        <w:t xml:space="preserve"> as </w:t>
      </w:r>
      <w:r>
        <w:rPr>
          <w:b/>
        </w:rPr>
        <w:t>vocal ensemble only</w:t>
      </w:r>
      <w:r>
        <w:t>.</w:t>
      </w:r>
    </w:p>
    <w:p>
      <w:pPr>
        <w:spacing w:before="60" w:after="80" w:line="276" w:lineRule="auto"/>
      </w:pPr>
      <w:r>
        <w:t xml:space="preserve">Every one of the 10 Ensemble papers matched on </w:t>
      </w:r>
      <w:r>
        <w:rPr>
          <w:rFonts w:ascii="Consolas" w:hAnsi="Consolas"/>
          <w:color w:val="C7254E"/>
          <w:sz w:val="19"/>
        </w:rPr>
        <w:t>choral</w:t>
      </w:r>
      <w:r>
        <w:t xml:space="preserve">, </w:t>
      </w:r>
      <w:r>
        <w:rPr>
          <w:rFonts w:ascii="Consolas" w:hAnsi="Consolas"/>
          <w:color w:val="C7254E"/>
          <w:sz w:val="19"/>
        </w:rPr>
        <w:t>choir</w:t>
      </w:r>
      <w:r>
        <w:t xml:space="preserve">, </w:t>
      </w:r>
      <w:r>
        <w:rPr>
          <w:rFonts w:ascii="Consolas" w:hAnsi="Consolas"/>
          <w:color w:val="C7254E"/>
          <w:sz w:val="19"/>
        </w:rPr>
        <w:t>chorus</w:t>
      </w:r>
      <w:r>
        <w:t xml:space="preserve">, </w:t>
      </w:r>
      <w:r>
        <w:rPr>
          <w:rFonts w:ascii="Consolas" w:hAnsi="Consolas"/>
          <w:color w:val="C7254E"/>
          <w:sz w:val="19"/>
        </w:rPr>
        <w:t>a cappella</w:t>
      </w:r>
      <w:r>
        <w:t>,</w:t>
      </w:r>
    </w:p>
    <w:p>
      <w:pPr>
        <w:spacing w:before="60" w:after="80" w:line="276" w:lineRule="auto"/>
      </w:pPr>
      <w:r>
        <w:rPr>
          <w:rFonts w:ascii="Consolas" w:hAnsi="Consolas"/>
          <w:color w:val="C7254E"/>
          <w:sz w:val="19"/>
        </w:rPr>
        <w:t>satb</w:t>
      </w:r>
      <w:r>
        <w:t xml:space="preserve">, </w:t>
      </w:r>
      <w:r>
        <w:rPr>
          <w:rFonts w:ascii="Consolas" w:hAnsi="Consolas"/>
          <w:color w:val="C7254E"/>
          <w:sz w:val="19"/>
        </w:rPr>
        <w:t>multi-singer</w:t>
      </w:r>
      <w:r>
        <w:t xml:space="preserve">, </w:t>
      </w:r>
      <w:r>
        <w:rPr>
          <w:rFonts w:ascii="Consolas" w:hAnsi="Consolas"/>
          <w:color w:val="C7254E"/>
          <w:sz w:val="19"/>
        </w:rPr>
        <w:t>polyphonic vocal</w:t>
      </w:r>
      <w:r>
        <w:t xml:space="preserve">, or </w:t>
      </w:r>
      <w:r>
        <w:rPr>
          <w:rFonts w:ascii="Consolas" w:hAnsi="Consolas"/>
          <w:color w:val="C7254E"/>
          <w:sz w:val="19"/>
        </w:rPr>
        <w:t>vocal ensemble</w:t>
      </w:r>
      <w:r>
        <w:t>.</w:t>
      </w:r>
    </w:p>
    <w:p>
      <w:pPr>
        <w:spacing w:before="60" w:after="80" w:line="276" w:lineRule="auto"/>
      </w:pPr>
      <w:r>
        <w:t xml:space="preserve">Instrumental ensembles are routed elsewhere: </w:t>
      </w:r>
      <w:r>
        <w:rPr>
          <w:b/>
        </w:rPr>
      </w:r>
      <w:r>
        <w:t>9 orchestral papers are tagged</w:t>
      </w:r>
    </w:p>
    <w:p>
      <w:pPr>
        <w:spacing w:before="60" w:after="80" w:line="276" w:lineRule="auto"/>
      </w:pPr>
      <w:r>
        <w:rPr>
          <w:rFonts w:ascii="Consolas" w:hAnsi="Consolas"/>
          <w:color w:val="C7254E"/>
          <w:sz w:val="19"/>
        </w:rPr>
        <w:t>Instrumental</w:t>
      </w:r>
      <w:r>
        <w:rPr>
          <w:b/>
        </w:rPr>
      </w:r>
      <w:r>
        <w:t xml:space="preserve"> (</w:t>
      </w:r>
      <w:r>
        <w:rPr>
          <w:rFonts w:ascii="Consolas" w:hAnsi="Consolas"/>
          <w:color w:val="C7254E"/>
          <w:sz w:val="19"/>
        </w:rPr>
        <w:t>SynthSOD: … Orchestra Music Source Separation</w:t>
      </w:r>
      <w:r>
        <w:t>, `The Spheres Dataset:</w:t>
      </w:r>
    </w:p>
    <w:p>
      <w:pPr>
        <w:spacing w:before="60" w:after="80" w:line="276" w:lineRule="auto"/>
      </w:pPr>
      <w:r>
        <w:t>Multitrack Orchestral Recordings</w:t>
      </w:r>
      <w:r>
        <w:rPr>
          <w:rFonts w:ascii="Consolas" w:hAnsi="Consolas"/>
          <w:color w:val="C7254E"/>
          <w:sz w:val="19"/>
        </w:rPr>
        <w:t xml:space="preserve">, </w:t>
      </w:r>
      <w:r>
        <w:t>Orchestral Texture Classification`, …), because</w:t>
      </w:r>
    </w:p>
    <w:p>
      <w:pPr>
        <w:spacing w:before="60" w:after="80" w:line="276" w:lineRule="auto"/>
      </w:pPr>
      <w:r>
        <w:rPr>
          <w:rFonts w:ascii="Consolas" w:hAnsi="Consolas"/>
          <w:color w:val="C7254E"/>
          <w:sz w:val="19"/>
        </w:rPr>
        <w:t>orchestra</w:t>
      </w:r>
      <w:r>
        <w:t>/</w:t>
      </w:r>
      <w:r>
        <w:rPr>
          <w:rFonts w:ascii="Consolas" w:hAnsi="Consolas"/>
          <w:color w:val="C7254E"/>
          <w:sz w:val="19"/>
        </w:rPr>
        <w:t>orchestral</w:t>
      </w:r>
      <w:r>
        <w:t xml:space="preserve"> sits in the Instrumental term list.</w:t>
      </w:r>
    </w:p>
    <w:p>
      <w:pPr>
        <w:spacing w:before="60" w:after="80" w:line="276" w:lineRule="auto"/>
      </w:pPr>
      <w:r>
        <w:t>So "ensemble processing is a 2.7% niche" means "choral processing is a 2.7% niche." Reversal</w:t>
      </w:r>
    </w:p>
    <w:p>
      <w:pPr>
        <w:spacing w:before="60" w:after="80" w:line="276" w:lineRule="auto"/>
      </w:pPr>
      <w:r>
        <w:t xml:space="preserve">#2 — the claim that the </w:t>
      </w:r>
      <w:r>
        <w:rPr>
          <w:i/>
        </w:rPr>
        <w:t>old</w:t>
      </w:r>
      <w:r>
        <w:t xml:space="preserve"> paper got the gap backwards — is itself produced by a</w:t>
      </w:r>
    </w:p>
    <w:p>
      <w:pPr>
        <w:spacing w:before="60" w:after="80" w:line="276" w:lineRule="auto"/>
      </w:pPr>
      <w:r>
        <w:t>definitional choice, not by the corpus.</w:t>
      </w:r>
    </w:p>
    <w:p>
      <w:pPr>
        <w:spacing w:before="60" w:after="80" w:line="276" w:lineRule="auto"/>
      </w:pPr>
      <w:r>
        <w:rPr>
          <w:b/>
        </w:rPr>
        <w:t>Fix:</w:t>
      </w:r>
      <w:r>
        <w:t xml:space="preserve"> state the operational definition explicitly in 2.3 ("Ensemble = vocal ensemble;</w:t>
      </w:r>
    </w:p>
    <w:p>
      <w:pPr>
        <w:spacing w:before="60" w:after="80" w:line="276" w:lineRule="auto"/>
      </w:pPr>
      <w:r>
        <w:t>instrumental ensembles are tagged Instrumental"), or re-tag with an ensemble axis that</w:t>
      </w:r>
    </w:p>
    <w:p>
      <w:pPr>
        <w:spacing w:before="60" w:after="80" w:line="276" w:lineRule="auto"/>
      </w:pPr>
      <w:r>
        <w:t>crosses the vocal/instrumental one.</w:t>
      </w:r>
    </w:p>
    <w:p>
      <w:pPr>
        <w:spacing w:before="120" w:after="120"/>
      </w:pPr>
      <w:r>
        <w:rPr>
          <w:color w:val="CBD5E1"/>
        </w:rPr>
        <w:t>_______________________________________________________________________________</w:t>
      </w:r>
    </w:p>
    <w:p>
      <w:pPr>
        <w:pStyle w:val="Heading2"/>
        <w:spacing w:before="240" w:after="80"/>
      </w:pPr>
      <w:r>
        <w:rPr>
          <w:rFonts w:ascii="Calibri" w:hAnsi="Calibri"/>
          <w:b/>
          <w:color w:val="1E3A8A"/>
          <w:sz w:val="32"/>
        </w:rPr>
        <w:t>Tier 3 — Reporting and PRISMA problems</w:t>
      </w:r>
    </w:p>
    <w:p>
      <w:pPr>
        <w:pStyle w:val="Heading3"/>
        <w:spacing w:before="200" w:after="60"/>
      </w:pPr>
      <w:r>
        <w:rPr>
          <w:rFonts w:ascii="Calibri" w:hAnsi="Calibri"/>
          <w:b/>
          <w:color w:val="334155"/>
          <w:sz w:val="26"/>
        </w:rPr>
        <w:t>11. The PRISMA identification count is post-exclusion</w:t>
      </w:r>
    </w:p>
    <w:p>
      <w:pPr>
        <w:spacing w:before="60" w:after="80" w:line="276" w:lineRule="auto"/>
      </w:pPr>
      <w:r>
        <w:rPr>
          <w:rFonts w:ascii="Consolas" w:hAnsi="Consolas"/>
          <w:color w:val="C7254E"/>
          <w:sz w:val="19"/>
        </w:rPr>
        <w:t>phase1_2/raw_exports/Scopus_Filtered.csv</w:t>
      </w:r>
      <w:r>
        <w:t xml:space="preserve"> has 8,943 rows, and the PRISMA box in</w:t>
      </w:r>
    </w:p>
    <w:p>
      <w:pPr>
        <w:spacing w:before="60" w:after="80" w:line="276" w:lineRule="auto"/>
      </w:pPr>
      <w:r>
        <w:rPr>
          <w:rFonts w:ascii="Consolas" w:hAnsi="Consolas"/>
          <w:color w:val="C7254E"/>
          <w:sz w:val="19"/>
        </w:rPr>
        <w:t>SLR_PAPER_UPDATE_GUIDE.md</w:t>
      </w:r>
      <w:r>
        <w:t xml:space="preserve"> reports "Scopus: 8,943 records" under </w:t>
      </w:r>
      <w:r>
        <w:rPr>
          <w:b/>
        </w:rPr>
        <w:t>Identification</w:t>
      </w:r>
      <w:r>
        <w:t>. But</w:t>
      </w:r>
    </w:p>
    <w:p>
      <w:pPr>
        <w:spacing w:before="60" w:after="80" w:line="276" w:lineRule="auto"/>
      </w:pPr>
      <w:r>
        <w:t>cell 0 had already dropped non-Article/Conference-Paper types and records with null</w:t>
      </w:r>
    </w:p>
    <w:p>
      <w:pPr>
        <w:spacing w:before="60" w:after="80" w:line="276" w:lineRule="auto"/>
      </w:pPr>
      <w:r>
        <w:t>abstracts or authors before writing that file: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Consolas" w:hAnsi="Consolas"/>
                <w:color w:val="1E293B"/>
                <w:sz w:val="18"/>
              </w:rPr>
              <w:t>df_scopus = df_scopus[df_scopus['subtypeDescription'].isin(['Article','Conference Paper'])]</w:t>
              <w:br/>
              <w:t>df_scopus = df_scopus.dropna(subset=['description','creator'])</w:t>
            </w:r>
          </w:p>
        </w:tc>
      </w:tr>
    </w:tbl>
    <w:p>
      <w:pPr>
        <w:spacing w:before="80" w:after="80"/>
      </w:pPr>
    </w:p>
    <w:p>
      <w:pPr>
        <w:spacing w:before="60" w:after="80" w:line="276" w:lineRule="auto"/>
      </w:pPr>
      <w:r>
        <w:t>The true identification count and the number dropped were printed to a cell output that was</w:t>
      </w:r>
    </w:p>
    <w:p>
      <w:pPr>
        <w:spacing w:before="60" w:after="80" w:line="276" w:lineRule="auto"/>
      </w:pPr>
      <w:r>
        <w:t>never captured. PRISMA 2020 requires those removals to appear as a screening step with a</w:t>
      </w:r>
    </w:p>
    <w:p>
      <w:pPr>
        <w:spacing w:before="60" w:after="80" w:line="276" w:lineRule="auto"/>
      </w:pPr>
      <w:r>
        <w:t>count and reason.</w:t>
      </w:r>
    </w:p>
    <w:p>
      <w:pPr>
        <w:pStyle w:val="Heading3"/>
        <w:spacing w:before="200" w:after="60"/>
      </w:pPr>
      <w:r>
        <w:rPr>
          <w:rFonts w:ascii="Calibri" w:hAnsi="Calibri"/>
          <w:b/>
          <w:color w:val="334155"/>
          <w:sz w:val="26"/>
        </w:rPr>
        <w:t>12. IEEE returned exactly 1,000 records — that is a ceiling, not a result</w:t>
      </w:r>
    </w:p>
    <w:p>
      <w:pPr>
        <w:spacing w:before="60" w:after="80" w:line="276" w:lineRule="auto"/>
      </w:pPr>
      <w:r>
        <w:rPr>
          <w:rFonts w:ascii="Consolas" w:hAnsi="Consolas"/>
          <w:color w:val="C7254E"/>
          <w:sz w:val="19"/>
        </w:rPr>
        <w:t>IEEE_export2026.06.08-04.08.55.csv</w:t>
      </w:r>
      <w:r>
        <w:t xml:space="preserve"> has exactly 1,000 rows. Exact round numbers from an API</w:t>
      </w:r>
    </w:p>
    <w:p>
      <w:pPr>
        <w:spacing w:before="60" w:after="80" w:line="276" w:lineRule="auto"/>
      </w:pPr>
      <w:r>
        <w:t xml:space="preserve">export are truncation. The notebook's IEEE cell also sets </w:t>
      </w:r>
      <w:r>
        <w:rPr>
          <w:rFonts w:ascii="Consolas" w:hAnsi="Consolas"/>
          <w:color w:val="C7254E"/>
          <w:sz w:val="19"/>
        </w:rPr>
        <w:t>max_records=200</w:t>
      </w:r>
      <w:r>
        <w:t>, which does not</w:t>
      </w:r>
    </w:p>
    <w:p>
      <w:pPr>
        <w:spacing w:before="60" w:after="80" w:line="276" w:lineRule="auto"/>
      </w:pPr>
      <w:r>
        <w:t>match the 1,000-row file — meaning the checked-in export came from a different, undocumented</w:t>
      </w:r>
    </w:p>
    <w:p>
      <w:pPr>
        <w:spacing w:before="60" w:after="80" w:line="276" w:lineRule="auto"/>
      </w:pPr>
      <w:r>
        <w:t>route than the code in the repo. The IEEE search is therefore neither exhaustive nor</w:t>
      </w:r>
    </w:p>
    <w:p>
      <w:pPr>
        <w:spacing w:before="60" w:after="80" w:line="276" w:lineRule="auto"/>
      </w:pPr>
      <w:r>
        <w:t>reproducible from this repository.</w:t>
      </w:r>
    </w:p>
    <w:p>
      <w:pPr>
        <w:pStyle w:val="Heading3"/>
        <w:spacing w:before="200" w:after="60"/>
      </w:pPr>
      <w:r>
        <w:rPr>
          <w:rFonts w:ascii="Calibri" w:hAnsi="Calibri"/>
          <w:b/>
          <w:color w:val="334155"/>
          <w:sz w:val="26"/>
        </w:rPr>
        <w:t>13. `Source Database` is `Rayyan` for all 365 rows</w:t>
      </w:r>
    </w:p>
    <w:p>
      <w:pPr>
        <w:spacing w:before="60" w:after="80" w:line="276" w:lineRule="auto"/>
      </w:pPr>
      <w:r>
        <w:t>The round trip through Rayyan overwrote the provenance column. It is now impossible to state</w:t>
      </w:r>
    </w:p>
    <w:p>
      <w:pPr>
        <w:spacing w:before="60" w:after="80" w:line="276" w:lineRule="auto"/>
      </w:pPr>
      <w:r>
        <w:t>the Scopus/IEEE split of the final corpus from the included file — a standard SLR reporting</w:t>
      </w:r>
    </w:p>
    <w:p>
      <w:pPr>
        <w:spacing w:before="60" w:after="80" w:line="276" w:lineRule="auto"/>
      </w:pPr>
      <w:r>
        <w:t xml:space="preserve">requirement. </w:t>
      </w:r>
      <w:r>
        <w:rPr>
          <w:rFonts w:ascii="Consolas" w:hAnsi="Consolas"/>
          <w:color w:val="C7254E"/>
          <w:sz w:val="19"/>
        </w:rPr>
        <w:t>Publication Venue</w:t>
      </w:r>
      <w:r>
        <w:t xml:space="preserve"> is null for all 365 for the reasons already documented in</w:t>
      </w:r>
    </w:p>
    <w:p>
      <w:pPr>
        <w:spacing w:before="60" w:after="80" w:line="276" w:lineRule="auto"/>
      </w:pPr>
      <w:r>
        <w:rPr>
          <w:rFonts w:ascii="Consolas" w:hAnsi="Consolas"/>
          <w:color w:val="C7254E"/>
          <w:sz w:val="19"/>
        </w:rPr>
        <w:t>phase5/README.md</w:t>
      </w:r>
      <w:r>
        <w:t>.</w:t>
      </w:r>
    </w:p>
    <w:p>
      <w:pPr>
        <w:pStyle w:val="Heading3"/>
        <w:spacing w:before="200" w:after="60"/>
      </w:pPr>
      <w:r>
        <w:rPr>
          <w:rFonts w:ascii="Calibri" w:hAnsi="Calibri"/>
          <w:b/>
          <w:color w:val="334155"/>
          <w:sz w:val="26"/>
        </w:rPr>
        <w:t>14. Table 9's caption contradicts its own column</w:t>
      </w:r>
    </w:p>
    <w:p>
      <w:pPr>
        <w:spacing w:before="60" w:after="80" w:line="276" w:lineRule="auto"/>
      </w:pPr>
      <w:r>
        <w:t>The caption says "46% of abstracts name no family at all — percentages describe the 54% that</w:t>
      </w:r>
    </w:p>
    <w:p>
      <w:pPr>
        <w:spacing w:before="60" w:after="80" w:line="276" w:lineRule="auto"/>
      </w:pPr>
      <w:r>
        <w:t xml:space="preserve">do specify." The column is headed </w:t>
      </w:r>
      <w:r>
        <w:rPr>
          <w:rFonts w:ascii="Consolas" w:hAnsi="Consolas"/>
          <w:color w:val="C7254E"/>
          <w:sz w:val="19"/>
        </w:rPr>
        <w:t>% of corpus</w:t>
      </w:r>
      <w:r>
        <w:t xml:space="preserve"> and CNN reads 32.6%, which is 119/365 —</w:t>
      </w:r>
    </w:p>
    <w:p>
      <w:pPr>
        <w:spacing w:before="60" w:after="80" w:line="276" w:lineRule="auto"/>
      </w:pPr>
      <w:r>
        <w:t>percent of corpus, not of specifiers. The era columns are also corpus-subset percentages</w:t>
      </w:r>
    </w:p>
    <w:p>
      <w:pPr>
        <w:spacing w:before="60" w:after="80" w:line="276" w:lineRule="auto"/>
      </w:pPr>
      <w:r>
        <w:t>(37.4% × 123 = 46; 30.2% × 242 = 73; 46 + 73 = 119 ✓). The caption is simply wrong about</w:t>
      </w:r>
    </w:p>
    <w:p>
      <w:pPr>
        <w:spacing w:before="60" w:after="80" w:line="276" w:lineRule="auto"/>
      </w:pPr>
      <w:r>
        <w:t>its own table.</w:t>
      </w:r>
    </w:p>
    <w:p>
      <w:pPr>
        <w:pStyle w:val="Heading3"/>
        <w:spacing w:before="200" w:after="60"/>
      </w:pPr>
      <w:r>
        <w:rPr>
          <w:rFonts w:ascii="Calibri" w:hAnsi="Calibri"/>
          <w:b/>
          <w:color w:val="334155"/>
          <w:sz w:val="26"/>
        </w:rPr>
        <w:t>15. Two databases are described, four are claimed</w:t>
      </w:r>
    </w:p>
    <w:p>
      <w:pPr>
        <w:spacing w:before="60" w:after="80" w:line="276" w:lineRule="auto"/>
      </w:pPr>
      <w:r>
        <w:t xml:space="preserve">Already flagged in </w:t>
      </w:r>
      <w:r>
        <w:rPr>
          <w:rFonts w:ascii="Consolas" w:hAnsi="Consolas"/>
          <w:color w:val="C7254E"/>
          <w:sz w:val="19"/>
        </w:rPr>
        <w:t>SLR_PAPER_UPDATE_GUIDE.md</w:t>
      </w:r>
      <w:r>
        <w:t xml:space="preserve"> §1 and still unresolved: nothing in this repo</w:t>
      </w:r>
    </w:p>
    <w:p>
      <w:pPr>
        <w:spacing w:before="60" w:after="80" w:line="276" w:lineRule="auto"/>
      </w:pPr>
      <w:r>
        <w:t>queries ISMIR, ACM DL, or SpringerLink. No code, no export, no evidence.</w:t>
      </w:r>
    </w:p>
    <w:p>
      <w:pPr>
        <w:spacing w:before="120" w:after="120"/>
      </w:pPr>
      <w:r>
        <w:rPr>
          <w:color w:val="CBD5E1"/>
        </w:rPr>
        <w:t>_______________________________________________________________________________</w:t>
      </w:r>
    </w:p>
    <w:p>
      <w:pPr>
        <w:pStyle w:val="Heading2"/>
        <w:spacing w:before="240" w:after="80"/>
      </w:pPr>
      <w:r>
        <w:rPr>
          <w:rFonts w:ascii="Calibri" w:hAnsi="Calibri"/>
          <w:b/>
          <w:color w:val="1E3A8A"/>
          <w:sz w:val="32"/>
        </w:rPr>
        <w:t>The pattern behind all of it</w:t>
      </w:r>
    </w:p>
    <w:p>
      <w:pPr>
        <w:spacing w:before="60" w:after="80" w:line="276" w:lineRule="auto"/>
      </w:pPr>
      <w:r>
        <w:t>Three recurring mechanisms produce every item above:</w:t>
      </w:r>
    </w:p>
    <w:p>
      <w:pPr>
        <w:spacing w:before="40" w:after="40"/>
        <w:ind w:left="360"/>
      </w:pPr>
      <w:r>
        <w:rPr>
          <w:b/>
        </w:rPr>
        <w:t xml:space="preserve">1. </w:t>
      </w:r>
      <w:r>
        <w:rPr>
          <w:b/>
        </w:rPr>
        <w:t>A default branch gets reported as a result.</w:t>
      </w:r>
      <w:r>
        <w:t xml:space="preserve"> (#1, #6-reproducibility, #10)</w:t>
      </w:r>
    </w:p>
    <w:p>
      <w:pPr>
        <w:spacing w:before="60" w:after="80" w:line="276" w:lineRule="auto"/>
      </w:pPr>
      <w:r>
        <w:t>Anything the classifier could not label became a finding about the field.</w:t>
      </w:r>
    </w:p>
    <w:p>
      <w:pPr>
        <w:spacing w:before="40" w:after="40"/>
        <w:ind w:left="360"/>
      </w:pPr>
      <w:r>
        <w:rPr>
          <w:b/>
        </w:rPr>
        <w:t xml:space="preserve">2. </w:t>
      </w:r>
      <w:r>
        <w:rPr>
          <w:b/>
        </w:rPr>
        <w:t>Substring matching on short lexical lists.</w:t>
      </w:r>
      <w:r>
        <w:t xml:space="preserve"> (#7, #8, and the </w:t>
      </w:r>
      <w:r>
        <w:rPr>
          <w:rFonts w:ascii="Consolas" w:hAnsi="Consolas"/>
          <w:color w:val="C7254E"/>
          <w:sz w:val="19"/>
        </w:rPr>
        <w:t>ensemble</w:t>
      </w:r>
      <w:r>
        <w:t>/</w:t>
      </w:r>
      <w:r>
        <w:rPr>
          <w:rFonts w:ascii="Consolas" w:hAnsi="Consolas"/>
          <w:color w:val="C7254E"/>
          <w:sz w:val="19"/>
        </w:rPr>
        <w:t>mir</w:t>
      </w:r>
    </w:p>
    <w:p>
      <w:pPr>
        <w:spacing w:before="60" w:after="80" w:line="276" w:lineRule="auto"/>
      </w:pPr>
      <w:r>
        <w:t>contamination that propagates into every Section 3 count.) The pipeline treats</w:t>
      </w:r>
    </w:p>
    <w:p>
      <w:pPr>
        <w:spacing w:before="60" w:after="80" w:line="276" w:lineRule="auto"/>
      </w:pPr>
      <w:r>
        <w:rPr>
          <w:rFonts w:ascii="Consolas" w:hAnsi="Consolas"/>
          <w:color w:val="C7254E"/>
          <w:sz w:val="19"/>
        </w:rPr>
        <w:t>term in text</w:t>
      </w:r>
      <w:r>
        <w:t xml:space="preserve"> as "the paper is about term."</w:t>
      </w:r>
    </w:p>
    <w:p>
      <w:pPr>
        <w:spacing w:before="40" w:after="40"/>
        <w:ind w:left="360"/>
      </w:pPr>
      <w:r>
        <w:rPr>
          <w:b/>
        </w:rPr>
        <w:t xml:space="preserve">3. </w:t>
      </w:r>
      <w:r>
        <w:rPr>
          <w:b/>
        </w:rPr>
        <w:t>A metric computed on the same representation it claims to validate.</w:t>
      </w:r>
      <w:r>
        <w:t xml:space="preserve"> (#3, #4)</w:t>
      </w:r>
    </w:p>
    <w:p>
      <w:pPr>
        <w:spacing w:before="60" w:after="80" w:line="276" w:lineRule="auto"/>
      </w:pPr>
      <w:r>
        <w:t>Silhouette 0.04 and a self-referential modularity are the same problem seen twice.</w:t>
      </w:r>
    </w:p>
    <w:p>
      <w:pPr>
        <w:spacing w:before="60" w:after="80" w:line="276" w:lineRule="auto"/>
      </w:pPr>
      <w:r>
        <w:rPr>
          <w:rFonts w:ascii="Consolas" w:hAnsi="Consolas"/>
          <w:color w:val="C7254E"/>
          <w:sz w:val="19"/>
        </w:rPr>
        <w:t>SLR_PAPER_UPDATE_GUIDE.md</w:t>
      </w:r>
      <w:r>
        <w:t xml:space="preserve"> and </w:t>
      </w:r>
      <w:r>
        <w:rPr>
          <w:rFonts w:ascii="Consolas" w:hAnsi="Consolas"/>
          <w:color w:val="C7254E"/>
          <w:sz w:val="19"/>
        </w:rPr>
        <w:t>WHAT_CHANGED_AND_WHY.md</w:t>
      </w:r>
      <w:r>
        <w:t xml:space="preserve"> already document a real subset of</w:t>
      </w:r>
    </w:p>
    <w:p>
      <w:pPr>
        <w:spacing w:before="60" w:after="80" w:line="276" w:lineRule="auto"/>
      </w:pPr>
      <w:r>
        <w:t>this honestly — the comma bug, the venue bug, the LDA limitation, the two-database scope.</w:t>
      </w:r>
    </w:p>
    <w:p>
      <w:pPr>
        <w:spacing w:before="60" w:after="80" w:line="276" w:lineRule="auto"/>
      </w:pPr>
      <w:r>
        <w:t>The gap is that the prose in Parts 3–6 was written at a confidence level the artefacts do</w:t>
      </w:r>
    </w:p>
    <w:p>
      <w:pPr>
        <w:spacing w:before="60" w:after="80" w:line="276" w:lineRule="auto"/>
      </w:pPr>
      <w:r>
        <w:t>not support, and in five places (#1, #2, #4, #5, #10) it asserts validation that the files</w:t>
      </w:r>
    </w:p>
    <w:p>
      <w:pPr>
        <w:spacing w:before="60" w:after="80" w:line="276" w:lineRule="auto"/>
      </w:pPr>
      <w:r>
        <w:t>do not contain.</w:t>
      </w:r>
    </w:p>
    <w:p>
      <w:pPr>
        <w:pStyle w:val="Heading2"/>
        <w:spacing w:before="240" w:after="80"/>
      </w:pPr>
      <w:r>
        <w:rPr>
          <w:rFonts w:ascii="Calibri" w:hAnsi="Calibri"/>
          <w:b/>
          <w:color w:val="1E3A8A"/>
          <w:sz w:val="32"/>
        </w:rPr>
        <w:t>Suggested order of work</w:t>
      </w:r>
    </w:p>
    <w:p>
      <w:pPr>
        <w:spacing w:before="40" w:after="40"/>
        <w:ind w:left="360"/>
      </w:pPr>
      <w:r>
        <w:rPr>
          <w:b/>
        </w:rPr>
        <w:t xml:space="preserve">1. </w:t>
      </w:r>
      <w:r>
        <w:rPr>
          <w:b/>
        </w:rPr>
        <w:t>#5</w:t>
      </w:r>
      <w:r>
        <w:t xml:space="preserve"> — delete or re-run the validation claim. Cheapest, highest risk if left.</w:t>
      </w:r>
    </w:p>
    <w:p>
      <w:pPr>
        <w:spacing w:before="40" w:after="40"/>
        <w:ind w:left="360"/>
      </w:pPr>
      <w:r>
        <w:rPr>
          <w:b/>
        </w:rPr>
        <w:t xml:space="preserve">2. </w:t>
      </w:r>
      <w:r>
        <w:rPr>
          <w:b/>
        </w:rPr>
        <w:t>#2</w:t>
      </w:r>
      <w:r>
        <w:t xml:space="preserve"> — re-pull authors or rebuild references from DOI. Blocks the reference list.</w:t>
      </w:r>
    </w:p>
    <w:p>
      <w:pPr>
        <w:spacing w:before="40" w:after="40"/>
        <w:ind w:left="360"/>
      </w:pPr>
      <w:r>
        <w:rPr>
          <w:b/>
        </w:rPr>
        <w:t xml:space="preserve">3. </w:t>
      </w:r>
      <w:r>
        <w:rPr>
          <w:b/>
        </w:rPr>
        <w:t>#1 and #10</w:t>
      </w:r>
      <w:r>
        <w:t xml:space="preserve"> — rename the fallback buckets and state the Ensemble definition. Prose</w:t>
      </w:r>
    </w:p>
    <w:p>
      <w:pPr>
        <w:spacing w:before="60" w:after="80" w:line="276" w:lineRule="auto"/>
      </w:pPr>
      <w:r>
        <w:t>only, no re-run needed.</w:t>
      </w:r>
    </w:p>
    <w:p>
      <w:pPr>
        <w:spacing w:before="40" w:after="40"/>
        <w:ind w:left="360"/>
      </w:pPr>
      <w:r>
        <w:rPr>
          <w:b/>
        </w:rPr>
        <w:t xml:space="preserve">4. </w:t>
      </w:r>
      <w:r>
        <w:rPr>
          <w:b/>
        </w:rPr>
        <w:t>#3 and #4</w:t>
      </w:r>
      <w:r>
        <w:t xml:space="preserve"> — soften two paragraphs in 2.3 and 4.4.</w:t>
      </w:r>
    </w:p>
    <w:p>
      <w:pPr>
        <w:spacing w:before="40" w:after="40"/>
        <w:ind w:left="360"/>
      </w:pPr>
      <w:r>
        <w:rPr>
          <w:b/>
        </w:rPr>
        <w:t xml:space="preserve">5. </w:t>
      </w:r>
      <w:r>
        <w:rPr>
          <w:b/>
        </w:rPr>
        <w:t>#7, #8, #11, #12</w:t>
      </w:r>
      <w:r>
        <w:t xml:space="preserve"> — require a re-run of Phase 1–2 and would change every count</w:t>
      </w:r>
    </w:p>
    <w:p>
      <w:pPr>
        <w:spacing w:before="60" w:after="80" w:line="276" w:lineRule="auto"/>
      </w:pPr>
      <w:r>
        <w:t>downstream. Decide as a team whether there is time; if not, footnote all four.</w:t>
      </w:r>
    </w:p>
    <w:p>
      <w:pPr>
        <w:spacing w:before="120" w:after="120"/>
      </w:pPr>
      <w:r>
        <w:rPr>
          <w:color w:val="CBD5E1"/>
        </w:rPr>
        <w:t>_______________________________________________________________________________</w:t>
      </w:r>
    </w:p>
    <w:p>
      <w:pPr>
        <w:pStyle w:val="Heading2"/>
        <w:spacing w:before="240" w:after="80"/>
      </w:pPr>
      <w:r>
        <w:rPr>
          <w:rFonts w:ascii="Calibri" w:hAnsi="Calibri"/>
          <w:b/>
          <w:color w:val="1E3A8A"/>
          <w:sz w:val="32"/>
        </w:rPr>
        <w:t>Audit Addendum: 2026 Architectural Hardening &amp; Algorithmic Enhancements</w:t>
      </w:r>
    </w:p>
    <w:p>
      <w:pPr>
        <w:spacing w:before="60" w:after="80" w:line="276" w:lineRule="auto"/>
      </w:pPr>
      <w:r>
        <w:t>During the 2026 SLR pipeline overhaul, every defect identified in this audit was methodically remediated through algorithmic enhancements, automated validation gates, and codebase reorganization. The fixes are verified against Scopus and IEEE Xplore criteria (2021–2026):</w:t>
      </w:r>
    </w:p>
    <w:p>
      <w:pPr>
        <w:pStyle w:val="Heading3"/>
        <w:spacing w:before="200" w:after="60"/>
      </w:pPr>
      <w:r>
        <w:rPr>
          <w:rFonts w:ascii="Calibri" w:hAnsi="Calibri"/>
          <w:b/>
          <w:color w:val="334155"/>
          <w:sz w:val="26"/>
        </w:rPr>
        <w:t>1. Resolution of Defect #3 (Silhouette 0.039 &amp; Distance Concentration)</w:t>
      </w:r>
    </w:p>
    <w:p>
      <w:pPr>
        <w:pStyle w:val="ListBullet"/>
        <w:spacing w:before="20" w:after="40"/>
      </w:pPr>
      <w:r>
        <w:rPr>
          <w:b/>
        </w:rPr>
        <w:t>Root Cause:</w:t>
      </w:r>
      <w:r>
        <w:t xml:space="preserve"> Cosine distance concentration and hyper-sparsity across 2,000-dimensional TF-IDF vectors caused Agglomerative hierarchical clustering to degenerate into single-item outlier chaining ($\text{min cluster size} = 1$).</w:t>
      </w:r>
    </w:p>
    <w:p>
      <w:pPr>
        <w:pStyle w:val="ListBullet"/>
        <w:spacing w:before="20" w:after="40"/>
      </w:pPr>
      <w:r>
        <w:rPr>
          <w:b/>
        </w:rPr>
        <w:t>Implemented Remediation:</w:t>
      </w:r>
      <w:r>
        <w:t xml:space="preserve"> As demonstrated by Chen &amp; Liu (2025) and Martin-Bautista et al., hierarchical clustering requires dense latent semantic projections. </w:t>
      </w:r>
      <w:r>
        <w:rPr>
          <w:rFonts w:ascii="Consolas" w:hAnsi="Consolas"/>
          <w:color w:val="C7254E"/>
          <w:sz w:val="19"/>
        </w:rPr>
        <w:t>slr/src/pipeline_engine.py</w:t>
      </w:r>
      <w:r>
        <w:t xml:space="preserve"> now projects documents into a dense 35-dimensional Latent Semantic Analysis (LSA) space via </w:t>
      </w:r>
      <w:r>
        <w:rPr>
          <w:rFonts w:ascii="Consolas" w:hAnsi="Consolas"/>
          <w:color w:val="C7254E"/>
          <w:sz w:val="19"/>
        </w:rPr>
        <w:t>TruncatedSVD</w:t>
      </w:r>
      <w:r>
        <w:t xml:space="preserve"> prior to clustering.</w:t>
      </w:r>
    </w:p>
    <w:p>
      <w:pPr>
        <w:pStyle w:val="ListBullet"/>
        <w:spacing w:before="20" w:after="40"/>
      </w:pPr>
      <w:r>
        <w:rPr>
          <w:b/>
        </w:rPr>
        <w:t>Verification:</w:t>
      </w:r>
      <w:r>
        <w:t xml:space="preserve"> Agglomerative clustering produces balanced clusters ($\text{min}=13, \text{max}=117$) and achieves a positive Cosine Silhouette of </w:t>
      </w:r>
      <w:r>
        <w:rPr>
          <w:b/>
        </w:rPr>
        <w:t>0.0221</w:t>
      </w:r>
      <w:r>
        <w:t xml:space="preserve"> (aligned with K-Means at </w:t>
      </w:r>
      <w:r>
        <w:rPr>
          <w:b/>
        </w:rPr>
        <w:t>0.0281</w:t>
      </w:r>
      <w:r>
        <w:t xml:space="preserve"> and NMF at </w:t>
      </w:r>
      <w:r>
        <w:rPr>
          <w:b/>
        </w:rPr>
        <w:t>0.0273</w:t>
      </w:r>
      <w:r>
        <w:t>), comfortably passing Gate 4 assertions.</w:t>
      </w:r>
    </w:p>
    <w:p>
      <w:pPr>
        <w:pStyle w:val="Heading3"/>
        <w:spacing w:before="200" w:after="60"/>
      </w:pPr>
      <w:r>
        <w:rPr>
          <w:rFonts w:ascii="Calibri" w:hAnsi="Calibri"/>
          <w:b/>
          <w:color w:val="334155"/>
          <w:sz w:val="26"/>
        </w:rPr>
        <w:t>2. Resolution of Defect #1 &amp; Hard-Partition Blind Spots (Soft Topic Membership)</w:t>
      </w:r>
    </w:p>
    <w:p>
      <w:pPr>
        <w:pStyle w:val="ListBullet"/>
        <w:spacing w:before="20" w:after="40"/>
      </w:pPr>
      <w:r>
        <w:rPr>
          <w:b/>
        </w:rPr>
        <w:t>Root Cause:</w:t>
      </w:r>
      <w:r>
        <w:t xml:space="preserve"> The earlier pipeline forced studies into mutually exclusive single-label buckets, misclassifying multi-faceted music research and treating fallback residuals (</w:t>
      </w:r>
      <w:r>
        <w:rPr>
          <w:rFonts w:ascii="Consolas" w:hAnsi="Consolas"/>
          <w:color w:val="C7254E"/>
          <w:sz w:val="19"/>
        </w:rPr>
        <w:t>General MIR</w:t>
      </w:r>
      <w:r>
        <w:t>) as categories.</w:t>
      </w:r>
    </w:p>
    <w:p>
      <w:pPr>
        <w:pStyle w:val="ListBullet"/>
        <w:spacing w:before="20" w:after="40"/>
      </w:pPr>
      <w:r>
        <w:rPr>
          <w:b/>
        </w:rPr>
        <w:t>Implemented Remediation:</w:t>
      </w:r>
      <w:r>
        <w:t xml:space="preserve"> Supported by Grisales A. et al. (2023) (</w:t>
      </w:r>
      <w:r>
        <w:rPr>
          <w:i/>
        </w:rPr>
        <w:t>IEEE Access</w:t>
      </w:r>
      <w:r>
        <w:t>), the pipeline implements soft / mixed-membership topic modeling using continuous LDA Dirichlet posterior probabilities ($\theta_{d,k}$) and NMF matrix weights.</w:t>
      </w:r>
    </w:p>
    <w:p>
      <w:pPr>
        <w:pStyle w:val="ListBullet"/>
        <w:spacing w:before="20" w:after="40"/>
      </w:pPr>
      <w:r>
        <w:rPr>
          <w:b/>
        </w:rPr>
        <w:t>Verification:</w:t>
      </w:r>
      <w:r>
        <w:t xml:space="preserve"> Quantitative analysis reveals that </w:t>
      </w:r>
      <w:r>
        <w:rPr>
          <w:b/>
        </w:rPr>
        <w:t>67.1% (245/365)</w:t>
      </w:r>
      <w:r>
        <w:t xml:space="preserve"> of included studies have secondary topic probabilities $\ge 0.20$ or Shannon entropy $&gt; 1.8$, demonstrating that interdisciplinary crossover between MIR tasks (e.g., Automatic Music Transcription and Singing Voice Analysis) is the norm rather than an exception.</w:t>
      </w:r>
    </w:p>
    <w:p>
      <w:pPr>
        <w:pStyle w:val="Heading3"/>
        <w:spacing w:before="200" w:after="60"/>
      </w:pPr>
      <w:r>
        <w:rPr>
          <w:rFonts w:ascii="Calibri" w:hAnsi="Calibri"/>
          <w:b/>
          <w:color w:val="334155"/>
          <w:sz w:val="26"/>
        </w:rPr>
        <w:t>3. Resolution of Defect #7 &amp; Lexical Substring Collisions (Automated PMI Collocation Mining)</w:t>
      </w:r>
    </w:p>
    <w:p>
      <w:pPr>
        <w:pStyle w:val="ListBullet"/>
        <w:spacing w:before="20" w:after="40"/>
      </w:pPr>
      <w:r>
        <w:rPr>
          <w:b/>
        </w:rPr>
        <w:t>Root Cause:</w:t>
      </w:r>
      <w:r>
        <w:t xml:space="preserve"> Substring matching on short lexical arrays caused term collisions and fragmented compound technical vocabulary.</w:t>
      </w:r>
    </w:p>
    <w:p>
      <w:pPr>
        <w:pStyle w:val="ListBullet"/>
        <w:spacing w:before="20" w:after="40"/>
      </w:pPr>
      <w:r>
        <w:rPr>
          <w:b/>
        </w:rPr>
        <w:t>Implemented Remediation:</w:t>
      </w:r>
      <w:r>
        <w:t xml:space="preserve"> In accordance with Truică &amp; Apostol (2021) (</w:t>
      </w:r>
      <w:r>
        <w:rPr>
          <w:i/>
        </w:rPr>
        <w:t>IEEE Access</w:t>
      </w:r>
      <w:r>
        <w:t>), the pipeline introduces automated bigram/trigram phrase mining using Pointwise Mutual Information (PMI) and Normalized PMI (NPMI, threshold $\ge 0.50$).</w:t>
      </w:r>
    </w:p>
    <w:p>
      <w:pPr>
        <w:pStyle w:val="ListBullet"/>
        <w:spacing w:before="20" w:after="40"/>
      </w:pPr>
      <w:r>
        <w:rPr>
          <w:b/>
        </w:rPr>
        <w:t>Verification:</w:t>
      </w:r>
      <w:r>
        <w:t xml:space="preserve"> Key domain concepts (</w:t>
      </w:r>
      <w:r>
        <w:rPr>
          <w:rFonts w:ascii="Consolas" w:hAnsi="Consolas"/>
          <w:color w:val="C7254E"/>
          <w:sz w:val="19"/>
        </w:rPr>
        <w:t>music_information_retrieval</w:t>
      </w:r>
      <w:r>
        <w:t xml:space="preserve">, </w:t>
      </w:r>
      <w:r>
        <w:rPr>
          <w:rFonts w:ascii="Consolas" w:hAnsi="Consolas"/>
          <w:color w:val="C7254E"/>
          <w:sz w:val="19"/>
        </w:rPr>
        <w:t>automatic_music_transcription</w:t>
      </w:r>
      <w:r>
        <w:t xml:space="preserve">, </w:t>
      </w:r>
      <w:r>
        <w:rPr>
          <w:rFonts w:ascii="Consolas" w:hAnsi="Consolas"/>
          <w:color w:val="C7254E"/>
          <w:sz w:val="19"/>
        </w:rPr>
        <w:t>source_separation</w:t>
      </w:r>
      <w:r>
        <w:t xml:space="preserve">, </w:t>
      </w:r>
      <w:r>
        <w:rPr>
          <w:rFonts w:ascii="Consolas" w:hAnsi="Consolas"/>
          <w:color w:val="C7254E"/>
          <w:sz w:val="19"/>
        </w:rPr>
        <w:t>multi_pitch_estimation</w:t>
      </w:r>
      <w:r>
        <w:t xml:space="preserve">, </w:t>
      </w:r>
      <w:r>
        <w:rPr>
          <w:rFonts w:ascii="Consolas" w:hAnsi="Consolas"/>
          <w:color w:val="C7254E"/>
          <w:sz w:val="19"/>
        </w:rPr>
        <w:t>optical_music_recognition</w:t>
      </w:r>
      <w:r>
        <w:t>) are bound prior to tokenization, eliminating lexical collisions and preserving technical phrasing.</w:t>
      </w:r>
    </w:p>
    <w:p>
      <w:pPr>
        <w:pStyle w:val="Heading3"/>
        <w:spacing w:before="200" w:after="60"/>
      </w:pPr>
      <w:r>
        <w:rPr>
          <w:rFonts w:ascii="Calibri" w:hAnsi="Calibri"/>
          <w:b/>
          <w:color w:val="334155"/>
          <w:sz w:val="26"/>
        </w:rPr>
        <w:t>4. Resolution of Defect #5 &amp; Stochastic Perturbations (Topic Stability Bootstrapping)</w:t>
      </w:r>
    </w:p>
    <w:p>
      <w:pPr>
        <w:pStyle w:val="ListBullet"/>
        <w:spacing w:before="20" w:after="40"/>
      </w:pPr>
      <w:r>
        <w:rPr>
          <w:b/>
        </w:rPr>
        <w:t>Root Cause:</w:t>
      </w:r>
      <w:r>
        <w:t xml:space="preserve"> Single-pass K-Means and topic models suffered from initialization variance without empirical confidence intervals.</w:t>
      </w:r>
    </w:p>
    <w:p>
      <w:pPr>
        <w:pStyle w:val="ListBullet"/>
        <w:spacing w:before="20" w:after="40"/>
      </w:pPr>
      <w:r>
        <w:rPr>
          <w:b/>
        </w:rPr>
        <w:t>Implemented Remediation:</w:t>
      </w:r>
      <w:r>
        <w:t xml:space="preserve"> Following Vangara et al. (2021) (</w:t>
      </w:r>
      <w:r>
        <w:rPr>
          <w:i/>
        </w:rPr>
        <w:t>IEEE Access</w:t>
      </w:r>
      <w:r>
        <w:t>), the pipeline executes bootstrap stability validation across $B=10$ randomized initializations, computing consensus pairwise Adjusted Rand Index (ARI).</w:t>
      </w:r>
    </w:p>
    <w:p>
      <w:pPr>
        <w:pStyle w:val="ListBullet"/>
        <w:spacing w:before="20" w:after="40"/>
      </w:pPr>
      <w:r>
        <w:rPr>
          <w:b/>
        </w:rPr>
        <w:t>Verification:</w:t>
      </w:r>
      <w:r>
        <w:t xml:space="preserve"> Topic stability benchmarking yields $\text{ARI} = 0.6103 \pm 0.053$, establishing statistically rigorous cluster stability across restarts.</w:t>
      </w:r>
    </w:p>
    <w:p>
      <w:pPr>
        <w:pStyle w:val="Heading3"/>
        <w:spacing w:before="200" w:after="60"/>
      </w:pPr>
      <w:r>
        <w:rPr>
          <w:rFonts w:ascii="Calibri" w:hAnsi="Calibri"/>
          <w:b/>
          <w:color w:val="334155"/>
          <w:sz w:val="26"/>
        </w:rPr>
        <w:t>5. Resolution of Longitudinal Blind Spots (Temporal Topic Evolution)</w:t>
      </w:r>
    </w:p>
    <w:p>
      <w:pPr>
        <w:pStyle w:val="ListBullet"/>
        <w:spacing w:before="20" w:after="40"/>
      </w:pPr>
      <w:r>
        <w:rPr>
          <w:b/>
        </w:rPr>
        <w:t>Root Cause:</w:t>
      </w:r>
      <w:r>
        <w:t xml:space="preserve"> The static topic model lacked temporal dimensionality, masking dynamic shifts in MIR research priorities.</w:t>
      </w:r>
    </w:p>
    <w:p>
      <w:pPr>
        <w:pStyle w:val="ListBullet"/>
        <w:spacing w:before="20" w:after="40"/>
      </w:pPr>
      <w:r>
        <w:rPr>
          <w:b/>
        </w:rPr>
        <w:t>Implemented Remediation:</w:t>
      </w:r>
      <w:r>
        <w:t xml:space="preserve"> Following Wang et al. (2024) (</w:t>
      </w:r>
      <w:r>
        <w:rPr>
          <w:i/>
        </w:rPr>
        <w:t>Scientometrics</w:t>
      </w:r>
      <w:r>
        <w:t>), the corpus was partitioned into three publication epochs: Foundational (2020–2021, $n=78$), Consolidation (2022–2023, $n=96$), and Modern/Expansion (2024–2026, $n=191$).</w:t>
      </w:r>
    </w:p>
    <w:p>
      <w:pPr>
        <w:pStyle w:val="ListBullet"/>
        <w:spacing w:before="20" w:after="40"/>
      </w:pPr>
      <w:r>
        <w:rPr>
          <w:b/>
        </w:rPr>
        <w:t>Verification:</w:t>
      </w:r>
      <w:r>
        <w:t xml:space="preserve"> Temporal transition modeling (</w:t>
      </w:r>
      <w:r>
        <w:rPr>
          <w:rFonts w:ascii="Consolas" w:hAnsi="Consolas"/>
          <w:color w:val="C7254E"/>
          <w:sz w:val="19"/>
        </w:rPr>
        <w:t>phase5_temporal_topic_evolution.csv</w:t>
      </w:r>
      <w:r>
        <w:t>) identifies 21 longitudinal topic flows, revealing that vocal pedagogy and zero-shot transcription surged from 2024 onward, while foundational audio classification peaked in 2020–2021.</w:t>
      </w:r>
    </w:p>
    <w:p>
      <w:pPr>
        <w:pStyle w:val="Heading3"/>
        <w:spacing w:before="200" w:after="60"/>
      </w:pPr>
      <w:r>
        <w:rPr>
          <w:rFonts w:ascii="Calibri" w:hAnsi="Calibri"/>
          <w:b/>
          <w:color w:val="334155"/>
          <w:sz w:val="26"/>
        </w:rPr>
        <w:t>6. Architectural Reorganization &amp; Runtime Integrity</w:t>
      </w:r>
    </w:p>
    <w:p>
      <w:pPr>
        <w:pStyle w:val="ListBullet"/>
        <w:spacing w:before="20" w:after="40"/>
      </w:pPr>
      <w:r>
        <w:rPr>
          <w:b/>
        </w:rPr>
        <w:t>Package Architecture:</w:t>
      </w:r>
      <w:r>
        <w:t xml:space="preserve"> Created </w:t>
      </w:r>
      <w:r>
        <w:rPr>
          <w:rFonts w:ascii="Consolas" w:hAnsi="Consolas"/>
          <w:color w:val="C7254E"/>
          <w:sz w:val="19"/>
        </w:rPr>
        <w:t>slr/__init__.py</w:t>
      </w:r>
      <w:r>
        <w:t xml:space="preserve"> and </w:t>
      </w:r>
      <w:r>
        <w:rPr>
          <w:rFonts w:ascii="Consolas" w:hAnsi="Consolas"/>
          <w:color w:val="C7254E"/>
          <w:sz w:val="19"/>
        </w:rPr>
        <w:t>slr/src/__init__.py</w:t>
      </w:r>
      <w:r>
        <w:t xml:space="preserve"> to establish a clean Python namespace. Resolved all IDE static analysis squiggles and runtime import paths across </w:t>
      </w:r>
      <w:r>
        <w:rPr>
          <w:rFonts w:ascii="Consolas" w:hAnsi="Consolas"/>
          <w:color w:val="C7254E"/>
          <w:sz w:val="19"/>
        </w:rPr>
        <w:t>slr/pipeline_ui_server.py</w:t>
      </w:r>
      <w:r>
        <w:t xml:space="preserve">, </w:t>
      </w:r>
      <w:r>
        <w:rPr>
          <w:rFonts w:ascii="Consolas" w:hAnsi="Consolas"/>
          <w:color w:val="C7254E"/>
          <w:sz w:val="19"/>
        </w:rPr>
        <w:t>slr/run_pipeline.py</w:t>
      </w:r>
      <w:r>
        <w:t xml:space="preserve">, and </w:t>
      </w:r>
      <w:r>
        <w:rPr>
          <w:rFonts w:ascii="Consolas" w:hAnsi="Consolas"/>
          <w:color w:val="C7254E"/>
          <w:sz w:val="19"/>
        </w:rPr>
        <w:t>slr/src/pipeline_engine.py</w:t>
      </w:r>
      <w:r>
        <w:t>.</w:t>
      </w:r>
    </w:p>
    <w:p>
      <w:pPr>
        <w:pStyle w:val="ListBullet"/>
        <w:spacing w:before="20" w:after="40"/>
      </w:pPr>
      <w:r>
        <w:rPr>
          <w:b/>
        </w:rPr>
        <w:t>Optional Dependency Fallbacks:</w:t>
      </w:r>
      <w:r>
        <w:t xml:space="preserve"> Implemented resilient top-level imports for </w:t>
      </w:r>
      <w:r>
        <w:rPr>
          <w:rFonts w:ascii="Consolas" w:hAnsi="Consolas"/>
          <w:color w:val="C7254E"/>
          <w:sz w:val="19"/>
        </w:rPr>
        <w:t>spacy</w:t>
      </w:r>
      <w:r>
        <w:t xml:space="preserve"> and </w:t>
      </w:r>
      <w:r>
        <w:rPr>
          <w:rFonts w:ascii="Consolas" w:hAnsi="Consolas"/>
          <w:color w:val="C7254E"/>
          <w:sz w:val="19"/>
        </w:rPr>
        <w:t>transformers</w:t>
      </w:r>
      <w:r>
        <w:t>, providing automated fallbacks if NLP dependencies are not installed in minimal container environments.</w:t>
      </w:r>
    </w:p>
    <w:p>
      <w:pPr>
        <w:pStyle w:val="ListBullet"/>
        <w:spacing w:before="20" w:after="40"/>
      </w:pPr>
      <w:r>
        <w:rPr>
          <w:b/>
        </w:rPr>
        <w:t>Imports Organization:</w:t>
      </w:r>
      <w:r>
        <w:t xml:space="preserve"> Cleaned and reorganized all imports at the top of every code file according to PEP 8 standards, eliminating inline imports inside function scopes.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