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0F172A"/>
          <w:sz w:val="44"/>
        </w:rPr>
        <w:t>Updating the SLR Manuscript: Where to Find New Data, and What Actually Changed</w:t>
      </w:r>
    </w:p>
    <w:p>
      <w:pPr>
        <w:spacing w:before="60" w:after="80" w:line="276" w:lineRule="auto"/>
      </w:pPr>
      <w:r>
        <w:t xml:space="preserve">This maps </w:t>
      </w:r>
      <w:r>
        <w:rPr>
          <w:rFonts w:ascii="Consolas" w:hAnsi="Consolas"/>
          <w:color w:val="C7254E"/>
          <w:sz w:val="19"/>
        </w:rPr>
        <w:t>OLD SLR.pdf</w:t>
      </w:r>
      <w:r>
        <w:t xml:space="preserve"> ("Intelligent Music Processing for Singing, Ensembles, and</w:t>
      </w:r>
    </w:p>
    <w:p>
      <w:pPr>
        <w:spacing w:before="60" w:after="80" w:line="276" w:lineRule="auto"/>
      </w:pPr>
      <w:r>
        <w:t>Instrumental Performance: A Systematic Literature Review") section-by-section to the</w:t>
      </w:r>
    </w:p>
    <w:p>
      <w:pPr>
        <w:spacing w:before="60" w:after="80" w:line="276" w:lineRule="auto"/>
      </w:pPr>
      <w:r>
        <w:t>MuTech repository, so whoever updates the manuscript knows exactly which file to pull</w:t>
      </w:r>
    </w:p>
    <w:p>
      <w:pPr>
        <w:spacing w:before="60" w:after="80" w:line="276" w:lineRule="auto"/>
      </w:pPr>
      <w:r>
        <w:t>each new number/table/figure from.</w:t>
      </w:r>
    </w:p>
    <w:p>
      <w:pPr>
        <w:spacing w:before="60" w:after="80" w:line="276" w:lineRule="auto"/>
      </w:pPr>
      <w:r>
        <w:rPr>
          <w:b/>
        </w:rPr>
        <w:t>Read Section 1 before touching any numbers.</w:t>
      </w:r>
      <w:r>
        <w:t xml:space="preserve"> The methodology itself changed in ways</w:t>
      </w:r>
    </w:p>
    <w:p>
      <w:pPr>
        <w:spacing w:before="60" w:after="80" w:line="276" w:lineRule="auto"/>
      </w:pPr>
      <w:r>
        <w:t>that matter more than any individual statistic — this isn't a find-and-replace job.</w:t>
      </w:r>
    </w:p>
    <w:p>
      <w:pPr>
        <w:spacing w:before="120" w:after="120"/>
      </w:pPr>
      <w:r>
        <w:rPr>
          <w:color w:val="CBD5E1"/>
        </w:rPr>
        <w:t>_______________________________________________________________________________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E3A8A"/>
          <w:sz w:val="32"/>
        </w:rPr>
        <w:t>1. What changed in the methodology (read this first)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2563E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2563E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Old paper (`OLD SLR.pdf`)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2563E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Current pipeline (this repo)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Databases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4: ISMIR, IEEE Xplore, ACM Digital Library, SpringerLink/Elsevier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b/>
                <w:sz w:val="19"/>
              </w:rPr>
              <w:t>2: Scopus, IEEE Xplore.</w:t>
            </w:r>
            <w:r>
              <w:rPr>
                <w:sz w:val="19"/>
              </w:rPr>
              <w:t xml:space="preserve"> ISMIR, ACM, SpringerLink were never queried anywhere in this repo.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Corpus size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100 included studies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365 included papers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Search window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Primary 2020–2025, with pre-2020 foundational exceptions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2020–2026 (</w:t>
            </w:r>
            <w:r>
              <w:rPr>
                <w:rFonts w:ascii="Consolas" w:hAnsi="Consolas"/>
                <w:color w:val="C7254E"/>
                <w:sz w:val="19"/>
              </w:rPr>
              <w:t>PUBYEAR &gt; 2019</w:t>
            </w:r>
            <w:r>
              <w:rPr>
                <w:sz w:val="19"/>
              </w:rPr>
              <w:t>); no explicit foundational-paper carve-out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Classification approach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Manual: two-axis domain × modality matrix, hand-coded by the review team, plus a 45-point quality rubric (Borbon &amp; Ebardo)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Automated: TF-IDF + K-Means clustering</w:t>
            </w:r>
            <w:r>
              <w:rPr>
                <w:sz w:val="19"/>
              </w:rPr>
              <w:t xml:space="preserve"> into 7 topic clusters (validated against 3 other models — Agglomerative, NMF, LDA — and selected as the best fit; see Section 5). No modality tagging, no quality-rubric scoring exists anywhere in the pipeline.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Screening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Title/abstract screening described narratively, no named tool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b/>
                <w:sz w:val="19"/>
              </w:rPr>
              <w:t>Rayyan</w:t>
            </w:r>
            <w:r>
              <w:rPr>
                <w:sz w:val="19"/>
              </w:rPr>
              <w:t>, 3 independent reviewers, blind screening with a recorded per-reviewer decision trail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Synthesis unit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Manually extracted per-study attributes (domain, modality, task, architecture, paradigm, supervision, evaluation type, reproducibility)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No per-study manual attribute extraction exists; clusters are derived purely from title+abstract+keyword text via TF-IDF</w:t>
            </w:r>
          </w:p>
        </w:tc>
      </w:tr>
    </w:tbl>
    <w:p>
      <w:pPr>
        <w:spacing w:before="80" w:after="80"/>
      </w:pPr>
    </w:p>
    <w:p>
      <w:pPr>
        <w:spacing w:before="60" w:after="80" w:line="276" w:lineRule="auto"/>
      </w:pPr>
      <w:r>
        <w:rPr>
          <w:b/>
        </w:rPr>
        <w:t>The single biggest decision the team needs to make before updating the paper</w:t>
      </w:r>
      <w:r>
        <w:t>: either</w:t>
      </w:r>
    </w:p>
    <w:p>
      <w:pPr>
        <w:spacing w:before="60" w:after="80" w:line="276" w:lineRule="auto"/>
      </w:pPr>
      <w:r>
        <w:t>(a) actually run ISMIR/ACM/SpringerLink queries to match the claimed 4-database scope, or</w:t>
      </w:r>
    </w:p>
    <w:p>
      <w:pPr>
        <w:spacing w:before="60" w:after="80" w:line="276" w:lineRule="auto"/>
      </w:pPr>
      <w:r>
        <w:t>(b) rewrite Section 2.1 to honestly describe the 2-database scope that was actually run.</w:t>
      </w:r>
    </w:p>
    <w:p>
      <w:pPr>
        <w:spacing w:before="60" w:after="80" w:line="276" w:lineRule="auto"/>
      </w:pPr>
      <w:r>
        <w:t>Nothing in this repo queries the other two databases — there's no code, no raw export, no</w:t>
      </w:r>
    </w:p>
    <w:p>
      <w:pPr>
        <w:spacing w:before="60" w:after="80" w:line="276" w:lineRule="auto"/>
      </w:pPr>
      <w:r>
        <w:t>evidence they were ever pulled. Silently keeping the old text would misstate what was</w:t>
      </w:r>
    </w:p>
    <w:p>
      <w:pPr>
        <w:spacing w:before="60" w:after="80" w:line="276" w:lineRule="auto"/>
      </w:pPr>
      <w:r>
        <w:t>actually done.</w:t>
      </w:r>
    </w:p>
    <w:p>
      <w:pPr>
        <w:spacing w:before="60" w:after="80" w:line="276" w:lineRule="auto"/>
      </w:pPr>
      <w:r>
        <w:t>The second-biggest decision: the old paper's entire empirical backbone (Table 6–11,</w:t>
      </w:r>
    </w:p>
    <w:p>
      <w:pPr>
        <w:spacing w:before="60" w:after="80" w:line="276" w:lineRule="auto"/>
      </w:pPr>
      <w:r>
        <w:t xml:space="preserve">Figures A1–A3) is built on the </w:t>
      </w:r>
      <w:r>
        <w:rPr>
          <w:b/>
        </w:rPr>
        <w:t>domain × modality matrix</w:t>
      </w:r>
      <w:r>
        <w:t>, which has no automated</w:t>
      </w:r>
    </w:p>
    <w:p>
      <w:pPr>
        <w:spacing w:before="60" w:after="80" w:line="276" w:lineRule="auto"/>
      </w:pPr>
      <w:r>
        <w:t>equivalent in this pipeline. The new pipeline's classification is topic clusters (MIR</w:t>
      </w:r>
    </w:p>
    <w:p>
      <w:pPr>
        <w:spacing w:before="60" w:after="80" w:line="276" w:lineRule="auto"/>
      </w:pPr>
      <w:r>
        <w:t>task/theme, closest conceptually to the old paper's Table 8, not the domain or modality</w:t>
      </w:r>
    </w:p>
    <w:p>
      <w:pPr>
        <w:spacing w:before="60" w:after="80" w:line="276" w:lineRule="auto"/>
      </w:pPr>
      <w:r>
        <w:t>axes). Sections 3.1.2, 3.1.3, and 3.2 either need fresh manual coding (see Section 4 of</w:t>
      </w:r>
    </w:p>
    <w:p>
      <w:pPr>
        <w:spacing w:before="60" w:after="80" w:line="276" w:lineRule="auto"/>
      </w:pPr>
      <w:r>
        <w:t>this guide) or need to be reframed around what the pipeline actually produces.</w:t>
      </w:r>
    </w:p>
    <w:p>
      <w:pPr>
        <w:spacing w:before="120" w:after="120"/>
      </w:pPr>
      <w:r>
        <w:rPr>
          <w:color w:val="CBD5E1"/>
        </w:rPr>
        <w:t>_______________________________________________________________________________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E3A8A"/>
          <w:sz w:val="32"/>
        </w:rPr>
        <w:t>2. Section-by-section mapping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Abstract</w:t>
      </w:r>
    </w:p>
    <w:p>
      <w:pPr>
        <w:spacing w:before="60" w:after="80" w:line="276" w:lineRule="auto"/>
      </w:pPr>
      <w:r>
        <w:t>Every number in the abstract (100 studies, 20% source separation, 68% audio-only, 16%</w:t>
      </w:r>
    </w:p>
    <w:p>
      <w:pPr>
        <w:spacing w:before="60" w:after="80" w:line="276" w:lineRule="auto"/>
      </w:pPr>
      <w:r>
        <w:t>instrumental, 4 gaps, 6 directions) is from the old 100-paper/domain-matrix corpus and</w:t>
      </w:r>
    </w:p>
    <w:p>
      <w:pPr>
        <w:spacing w:before="60" w:after="80" w:line="276" w:lineRule="auto"/>
      </w:pPr>
      <w:r>
        <w:t>needs a full rewrite. New corpus size and topic breakdown: Section 3 of this guide.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1. Introduction</w:t>
      </w:r>
    </w:p>
    <w:p>
      <w:pPr>
        <w:spacing w:before="60" w:after="80" w:line="276" w:lineRule="auto"/>
      </w:pPr>
      <w:r>
        <w:t>Mostly narrative background; low numeric dependency. The four RQs can likely stay</w:t>
      </w:r>
    </w:p>
    <w:p>
      <w:pPr>
        <w:spacing w:before="60" w:after="80" w:line="276" w:lineRule="auto"/>
      </w:pPr>
      <w:r>
        <w:t>conceptually similar, but RQ1 in particular ("MIR tasks, modeling paradigms, and</w:t>
      </w:r>
    </w:p>
    <w:p>
      <w:pPr>
        <w:spacing w:before="60" w:after="80" w:line="276" w:lineRule="auto"/>
      </w:pPr>
      <w:r>
        <w:t>architectural approaches... applied to solo singing, ensemble, instrumental performance")</w:t>
      </w:r>
    </w:p>
    <w:p>
      <w:pPr>
        <w:spacing w:before="60" w:after="80" w:line="276" w:lineRule="auto"/>
      </w:pPr>
      <w:r>
        <w:t>implicitly assumes the domain-tagging that no longer exists automatically — see Section 4.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2. Methodology</w:t>
      </w:r>
    </w:p>
    <w:p>
      <w:pPr>
        <w:spacing w:before="60" w:after="80" w:line="276" w:lineRule="auto"/>
      </w:pPr>
      <w:r>
        <w:rPr>
          <w:b/>
        </w:rPr>
        <w:t>2.1 Database selection and search strategy</w:t>
      </w:r>
    </w:p>
    <w:p>
      <w:pPr>
        <w:pStyle w:val="ListBullet"/>
        <w:spacing w:before="20" w:after="40"/>
      </w:pPr>
      <w:r>
        <w:t>Table 1 (database roles) needs to drop ISMIR, ACM Digital Library, and</w:t>
      </w:r>
    </w:p>
    <w:p>
      <w:pPr>
        <w:spacing w:before="60" w:after="80" w:line="276" w:lineRule="auto"/>
      </w:pPr>
      <w:r>
        <w:t>SpringerLink/Elsevier, or the team needs to actually run those queries first.</w:t>
      </w:r>
    </w:p>
    <w:p>
      <w:pPr>
        <w:pStyle w:val="ListBullet"/>
        <w:spacing w:before="20" w:after="40"/>
      </w:pPr>
      <w:r>
        <w:t>Table 2 (search terms) doesn't match the actual query. The real Scopus query, verbatim,</w:t>
      </w:r>
    </w:p>
    <w:p>
      <w:pPr>
        <w:spacing w:before="60" w:after="80" w:line="276" w:lineRule="auto"/>
      </w:pPr>
      <w:r>
        <w:t xml:space="preserve">is implemented in </w:t>
      </w:r>
      <w:r>
        <w:rPr>
          <w:rFonts w:ascii="Consolas" w:hAnsi="Consolas"/>
          <w:color w:val="C7254E"/>
          <w:sz w:val="19"/>
        </w:rPr>
        <w:t>slr/src/pipeline_engine.py</w:t>
      </w:r>
      <w:r>
        <w:t xml:space="preserve"> (documented in </w:t>
      </w:r>
      <w:r>
        <w:rPr>
          <w:rFonts w:ascii="Consolas" w:hAnsi="Consolas"/>
          <w:color w:val="C7254E"/>
          <w:sz w:val="19"/>
        </w:rPr>
        <w:t>slr/notebooks/MuTech_SLR_Consolidated_Pipeline.ipynb</w:t>
      </w:r>
      <w: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TITLE-ABS-KEY(("music" OR "instrument" OR "music information retrieval" OR "audio</w:t>
              <w:br/>
              <w:t xml:space="preserve">  signal processing") AND ("performance" OR "solo" OR "ensemble" OR "transcription")</w:t>
              <w:br/>
              <w:t xml:space="preserve">  AND ("machine learning" OR "AI" OR "artificial intelligence" OR "deep learning"))</w:t>
              <w:br/>
              <w:t xml:space="preserve">  AND PUBYEAR &gt; 2019</w:t>
            </w:r>
          </w:p>
        </w:tc>
      </w:tr>
    </w:tbl>
    <w:p>
      <w:pPr>
        <w:spacing w:before="80" w:after="80"/>
      </w:pPr>
    </w:p>
    <w:p>
      <w:pPr>
        <w:spacing w:before="60" w:after="80" w:line="276" w:lineRule="auto"/>
      </w:pPr>
      <w:r>
        <w:t>The IEEE query uses the same three concept blocks without the year filter applied at the API level. Both are two-block-simpler than the old paper's Block</w:t>
      </w:r>
    </w:p>
    <w:p>
      <w:pPr>
        <w:spacing w:before="60" w:after="80" w:line="276" w:lineRule="auto"/>
      </w:pPr>
      <w:r>
        <w:t>A/B/C thesaurus-expanded structure — worth deciding whether to expand the real query to</w:t>
      </w:r>
    </w:p>
    <w:p>
      <w:pPr>
        <w:spacing w:before="60" w:after="80" w:line="276" w:lineRule="auto"/>
      </w:pPr>
      <w:r>
        <w:t>match the paper's described rigor, or describe the simpler query that was actually run.</w:t>
      </w:r>
    </w:p>
    <w:p>
      <w:pPr>
        <w:spacing w:before="60" w:after="80" w:line="276" w:lineRule="auto"/>
      </w:pPr>
      <w:r>
        <w:rPr>
          <w:b/>
        </w:rPr>
        <w:t>2.2 Eligibility criteria</w:t>
      </w:r>
    </w:p>
    <w:p>
      <w:pPr>
        <w:spacing w:before="60" w:after="80" w:line="276" w:lineRule="auto"/>
      </w:pPr>
      <w:r>
        <w:t>The actual eligibility mechanism is keyword-based triage, not a manually-applied</w:t>
      </w:r>
    </w:p>
    <w:p>
      <w:pPr>
        <w:spacing w:before="60" w:after="80" w:line="276" w:lineRule="auto"/>
      </w:pPr>
      <w:r>
        <w:t>document/content-level checklist. The real keyword lists (</w:t>
      </w:r>
      <w:r>
        <w:rPr>
          <w:rFonts w:ascii="Consolas" w:hAnsi="Consolas"/>
          <w:color w:val="C7254E"/>
          <w:sz w:val="19"/>
        </w:rPr>
        <w:t>INCLUDE_KEYWORDS</w:t>
      </w:r>
      <w:r>
        <w:t>/</w:t>
      </w:r>
    </w:p>
    <w:p>
      <w:pPr>
        <w:spacing w:before="60" w:after="80" w:line="276" w:lineRule="auto"/>
      </w:pPr>
      <w:r>
        <w:rPr>
          <w:rFonts w:ascii="Consolas" w:hAnsi="Consolas"/>
          <w:color w:val="C7254E"/>
          <w:sz w:val="19"/>
        </w:rPr>
        <w:t>priority_terms</w:t>
      </w:r>
      <w:r>
        <w:t xml:space="preserve"> and </w:t>
      </w:r>
      <w:r>
        <w:rPr>
          <w:rFonts w:ascii="Consolas" w:hAnsi="Consolas"/>
          <w:color w:val="C7254E"/>
          <w:sz w:val="19"/>
        </w:rPr>
        <w:t>EXCLUDE_KEYWORDS</w:t>
      </w:r>
      <w:r>
        <w:t>/</w:t>
      </w:r>
      <w:r>
        <w:rPr>
          <w:rFonts w:ascii="Consolas" w:hAnsi="Consolas"/>
          <w:color w:val="C7254E"/>
          <w:sz w:val="19"/>
        </w:rPr>
        <w:t>exclude_terms</w:t>
      </w:r>
      <w:r>
        <w:t xml:space="preserve">) are defined in </w:t>
      </w:r>
      <w:r>
        <w:rPr>
          <w:rFonts w:ascii="Consolas" w:hAnsi="Consolas"/>
          <w:color w:val="C7254E"/>
          <w:sz w:val="19"/>
        </w:rPr>
        <w:t>slr/src/pipeline_engine.py</w:t>
      </w:r>
      <w:r>
        <w:t>. The</w:t>
      </w:r>
    </w:p>
    <w:p>
      <w:pPr>
        <w:spacing w:before="60" w:after="80" w:line="276" w:lineRule="auto"/>
      </w:pPr>
      <w:r>
        <w:rPr>
          <w:rFonts w:ascii="Consolas" w:hAnsi="Consolas"/>
          <w:color w:val="C7254E"/>
          <w:sz w:val="19"/>
        </w:rPr>
        <w:t>priority_terms</w:t>
      </w:r>
      <w:r>
        <w:t xml:space="preserve"> list that defines "Priority" (→ sent to Rayyan)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music information retrieval, mir, music retrieval, music classification, genre</w:t>
              <w:br/>
              <w:t>classification, music tagging, music transcription, automatic music transcription,</w:t>
              <w:br/>
              <w:t>source separation, music source separation, singing voice, singing, choral, choir,</w:t>
              <w:br/>
              <w:t>ensemble, instrumental, pitch estimation, pitch detection, music similarity, audio</w:t>
              <w:br/>
              <w:t>tagging, music emotion recognition, score following, optical music recognition, omr</w:t>
            </w:r>
          </w:p>
        </w:tc>
      </w:tr>
    </w:tbl>
    <w:p>
      <w:pPr>
        <w:spacing w:before="80" w:after="80"/>
      </w:pPr>
    </w:p>
    <w:p>
      <w:pPr>
        <w:spacing w:before="60" w:after="80" w:line="276" w:lineRule="auto"/>
      </w:pPr>
      <w:r>
        <w:rPr>
          <w:rFonts w:ascii="Consolas" w:hAnsi="Consolas"/>
          <w:color w:val="C7254E"/>
          <w:sz w:val="19"/>
        </w:rPr>
        <w:t>exclude_terms</w:t>
      </w:r>
      <w:r>
        <w:t xml:space="preserve"> spans speech-only, biomedical, recommender-system, industry, and</w:t>
      </w:r>
    </w:p>
    <w:p>
      <w:pPr>
        <w:spacing w:before="60" w:after="80" w:line="276" w:lineRule="auto"/>
      </w:pPr>
      <w:r>
        <w:t xml:space="preserve">musicology/psychology terms — full list in </w:t>
      </w:r>
      <w:r>
        <w:rPr>
          <w:rFonts w:ascii="Consolas" w:hAnsi="Consolas"/>
          <w:color w:val="C7254E"/>
          <w:sz w:val="19"/>
        </w:rPr>
        <w:t>slr/src/pipeline_engine.py</w:t>
      </w:r>
      <w:r>
        <w:t xml:space="preserve">. </w:t>
      </w:r>
      <w:r>
        <w:rPr>
          <w:b/>
        </w:rPr>
        <w:t>Historical Caveat</w:t>
      </w:r>
      <w:r>
        <w:t>: a missing-comma bug</w:t>
      </w:r>
    </w:p>
    <w:p>
      <w:pPr>
        <w:spacing w:before="60" w:after="80" w:line="276" w:lineRule="auto"/>
      </w:pPr>
      <w:r>
        <w:t xml:space="preserve">in legacy runs merged 6 of these into 3 broken strings (documented in </w:t>
      </w:r>
      <w:r>
        <w:rPr>
          <w:rFonts w:ascii="Consolas" w:hAnsi="Consolas"/>
          <w:color w:val="C7254E"/>
          <w:sz w:val="19"/>
        </w:rPr>
        <w:t>slr/guides/ROOT_CAUSE_AUDIT.md</w:t>
      </w:r>
      <w:r>
        <w:t>),</w:t>
      </w:r>
    </w:p>
    <w:p>
      <w:pPr>
        <w:spacing w:before="60" w:after="80" w:line="276" w:lineRule="auto"/>
      </w:pPr>
      <w:r>
        <w:t>which has now been resolved and safeguarded by automated Gate 2 checks.</w:t>
      </w:r>
    </w:p>
    <w:p>
      <w:pPr>
        <w:spacing w:before="60" w:after="80" w:line="276" w:lineRule="auto"/>
      </w:pPr>
      <w:r>
        <w:rPr>
          <w:b/>
        </w:rPr>
        <w:t>2.3 Classification strategy and quality assessment</w:t>
      </w:r>
    </w:p>
    <w:p>
      <w:pPr>
        <w:spacing w:before="60" w:after="80" w:line="276" w:lineRule="auto"/>
      </w:pPr>
      <w:r>
        <w:t>This entire section describes a process that doesn't exist in the current pipeline — no</w:t>
      </w:r>
    </w:p>
    <w:p>
      <w:pPr>
        <w:spacing w:before="60" w:after="80" w:line="276" w:lineRule="auto"/>
      </w:pPr>
      <w:r>
        <w:t>domain × modality matrix, no coding tags, no 45-point quality rubric. What exists instead:</w:t>
      </w:r>
    </w:p>
    <w:p>
      <w:pPr>
        <w:spacing w:before="60" w:after="80" w:line="276" w:lineRule="auto"/>
      </w:pPr>
      <w:r>
        <w:rPr>
          <w:rFonts w:ascii="Consolas" w:hAnsi="Consolas"/>
          <w:color w:val="C7254E"/>
          <w:sz w:val="19"/>
        </w:rPr>
        <w:t>slr/src/pipeline_engine.py</w:t>
      </w:r>
      <w:r>
        <w:t xml:space="preserve"> (and </w:t>
      </w:r>
      <w:r>
        <w:rPr>
          <w:rFonts w:ascii="Consolas" w:hAnsi="Consolas"/>
          <w:color w:val="C7254E"/>
          <w:sz w:val="19"/>
        </w:rPr>
        <w:t>slr/notebooks/MuTech_SLR_Consolidated_Pipeline.ipynb</w:t>
      </w:r>
      <w:r>
        <w:t>) runs four topic-clustering models</w:t>
      </w:r>
    </w:p>
    <w:p>
      <w:pPr>
        <w:spacing w:before="60" w:after="80" w:line="276" w:lineRule="auto"/>
      </w:pPr>
      <w:r>
        <w:t>(K-Means, Agglomerative, NMF, LDA) on TF-IDF vectors of title+abstract+keywords, validates</w:t>
      </w:r>
    </w:p>
    <w:p>
      <w:pPr>
        <w:spacing w:before="60" w:after="80" w:line="276" w:lineRule="auto"/>
      </w:pPr>
      <w:r>
        <w:t>each with a held-out train/test split, bootstrap stability analysis ($B=10$), and selects the</w:t>
      </w:r>
    </w:p>
    <w:p>
      <w:pPr>
        <w:spacing w:before="60" w:after="80" w:line="276" w:lineRule="auto"/>
      </w:pPr>
      <w:r>
        <w:t>best-performing one. This replaces Tables 3–5 conceptually but not mechanically — see</w:t>
      </w:r>
    </w:p>
    <w:p>
      <w:pPr>
        <w:spacing w:before="60" w:after="80" w:line="276" w:lineRule="auto"/>
      </w:pPr>
      <w:r>
        <w:t>Section 4 for what would need fresh work to reproduce something table-3-shaped.</w:t>
      </w:r>
    </w:p>
    <w:p>
      <w:pPr>
        <w:spacing w:before="60" w:after="80" w:line="276" w:lineRule="auto"/>
      </w:pPr>
      <w:r>
        <w:rPr>
          <w:b/>
        </w:rPr>
        <w:t>2.4 Data extraction and synthesis</w:t>
      </w:r>
    </w:p>
    <w:p>
      <w:pPr>
        <w:spacing w:before="60" w:after="80" w:line="276" w:lineRule="auto"/>
      </w:pPr>
      <w:r>
        <w:t>No standardized per-study attribute extraction (domain, modality, architecture family,</w:t>
      </w:r>
    </w:p>
    <w:p>
      <w:pPr>
        <w:spacing w:before="60" w:after="80" w:line="276" w:lineRule="auto"/>
      </w:pPr>
      <w:r>
        <w:t xml:space="preserve">supervision strategy, etc.) exists in this pipeline. </w:t>
      </w:r>
      <w:r>
        <w:rPr>
          <w:rFonts w:ascii="Consolas" w:hAnsi="Consolas"/>
          <w:color w:val="C7254E"/>
          <w:sz w:val="19"/>
        </w:rPr>
        <w:t>slr/outputs/models/phase4_model_comparison.csv</w:t>
      </w:r>
      <w:r>
        <w:t xml:space="preserve"> and </w:t>
      </w:r>
      <w:r>
        <w:rPr>
          <w:rFonts w:ascii="Consolas" w:hAnsi="Consolas"/>
          <w:color w:val="C7254E"/>
          <w:sz w:val="19"/>
        </w:rPr>
        <w:t>slr/outputs/models/phase4_soft_topic_distributions.csv</w:t>
      </w:r>
    </w:p>
    <w:p>
      <w:pPr>
        <w:spacing w:before="60" w:after="80" w:line="276" w:lineRule="auto"/>
      </w:pPr>
      <w:r>
        <w:t>give per-cluster top TF-IDF terms and soft topic weightings, which is the closest automated substitute for</w:t>
      </w:r>
    </w:p>
    <w:p>
      <w:pPr>
        <w:spacing w:before="60" w:after="80" w:line="276" w:lineRule="auto"/>
      </w:pPr>
      <w:r>
        <w:t>"architecture/method family" but is not the same kind of structured attribute.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3. Results and Classification</w:t>
      </w:r>
    </w:p>
    <w:p>
      <w:pPr>
        <w:spacing w:before="60" w:after="80" w:line="276" w:lineRule="auto"/>
      </w:pPr>
      <w:r>
        <w:rPr>
          <w:b/>
        </w:rPr>
        <w:t>3.1.1 Temporal distribution (Table 6)</w:t>
      </w:r>
    </w:p>
    <w:p>
      <w:pPr>
        <w:spacing w:before="60" w:after="80" w:line="276" w:lineRule="auto"/>
      </w:pPr>
      <w:r>
        <w:t xml:space="preserve">Real distribution, verified directly from </w:t>
      </w:r>
      <w:r>
        <w:rPr>
          <w:rFonts w:ascii="Consolas" w:hAnsi="Consolas"/>
          <w:color w:val="C7254E"/>
          <w:sz w:val="19"/>
        </w:rPr>
        <w:t>slr/outputs/representations/phase3_cleaned_corpus.csv</w:t>
      </w:r>
    </w:p>
    <w:p>
      <w:pPr>
        <w:spacing w:before="60" w:after="80" w:line="276" w:lineRule="auto"/>
      </w:pPr>
      <w:r>
        <w:t>(</w:t>
      </w:r>
      <w:r>
        <w:rPr>
          <w:rFonts w:ascii="Consolas" w:hAnsi="Consolas"/>
          <w:color w:val="C7254E"/>
          <w:sz w:val="19"/>
        </w:rPr>
        <w:t>year</w:t>
      </w:r>
      <w:r>
        <w:t xml:space="preserve"> column, 365 rows, 0 missing):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2563E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Year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2563E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Papers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2020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32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2021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46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2022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45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2023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51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2024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62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2025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78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2026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51</w:t>
            </w:r>
          </w:p>
        </w:tc>
      </w:tr>
      <w:tr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468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365</w:t>
            </w:r>
          </w:p>
        </w:tc>
      </w:tr>
    </w:tbl>
    <w:p>
      <w:pPr>
        <w:spacing w:before="80" w:after="80"/>
      </w:pPr>
    </w:p>
    <w:p>
      <w:pPr>
        <w:spacing w:before="60" w:after="80" w:line="276" w:lineRule="auto"/>
      </w:pPr>
      <w:r>
        <w:t>A ready-made chart of this exists at</w:t>
      </w:r>
    </w:p>
    <w:p>
      <w:pPr>
        <w:spacing w:before="60" w:after="80" w:line="276" w:lineRule="auto"/>
      </w:pPr>
      <w:r>
        <w:rPr>
          <w:rFonts w:ascii="Consolas" w:hAnsi="Consolas"/>
          <w:color w:val="C7254E"/>
          <w:sz w:val="19"/>
        </w:rPr>
        <w:t>slr/manuscript/figures/</w:t>
      </w:r>
      <w:r>
        <w:t>. Note the corpus extends into 2026</w:t>
      </w:r>
    </w:p>
    <w:p>
      <w:pPr>
        <w:spacing w:before="60" w:after="80" w:line="276" w:lineRule="auto"/>
      </w:pPr>
      <w:r>
        <w:t>(the old paper's window stopped mid-2025) — the 2026 count is a partial year, same</w:t>
      </w:r>
    </w:p>
    <w:p>
      <w:pPr>
        <w:spacing w:before="60" w:after="80" w:line="276" w:lineRule="auto"/>
      </w:pPr>
      <w:r>
        <w:t>search-cutoff caveat the old paper already applies to its own 2025 row.</w:t>
      </w:r>
    </w:p>
    <w:p>
      <w:pPr>
        <w:spacing w:before="60" w:after="80" w:line="276" w:lineRule="auto"/>
      </w:pPr>
      <w:r>
        <w:rPr>
          <w:b/>
        </w:rPr>
      </w:r>
      <w:r>
        <w:t>3.1.2 Domain distribution (Table 6/7, "Solo Singing / Ensemble / Instrumental / General</w:t>
      </w:r>
    </w:p>
    <w:p>
      <w:pPr>
        <w:spacing w:before="60" w:after="80" w:line="276" w:lineRule="auto"/>
      </w:pPr>
      <w:r>
        <w:t>MIR")</w:t>
      </w:r>
      <w:r>
        <w:rPr>
          <w:b/>
        </w:rPr>
      </w:r>
    </w:p>
    <w:p>
      <w:pPr>
        <w:spacing w:before="60" w:after="80" w:line="276" w:lineRule="auto"/>
      </w:pPr>
      <w:r>
        <w:t>No automated equivalent — this is one of the manual-coding gaps (see Section 4). The</w:t>
      </w:r>
    </w:p>
    <w:p>
      <w:pPr>
        <w:spacing w:before="60" w:after="80" w:line="276" w:lineRule="auto"/>
      </w:pPr>
      <w:r>
        <w:t>closest automated substitute is the K-Means topic-cluster breakdown, which classifies by</w:t>
      </w:r>
    </w:p>
    <w:p>
      <w:pPr>
        <w:spacing w:before="60" w:after="80" w:line="276" w:lineRule="auto"/>
      </w:pPr>
      <w:r>
        <w:rPr>
          <w:b/>
        </w:rPr>
        <w:t>MIR task/theme</w:t>
      </w:r>
      <w:r>
        <w:t>, not performance context, and doesn't map cleanly onto the old paper's</w:t>
      </w:r>
    </w:p>
    <w:p>
      <w:pPr>
        <w:spacing w:before="60" w:after="80" w:line="276" w:lineRule="auto"/>
      </w:pPr>
      <w:r>
        <w:t>four domain categories. See 3.3 below.</w:t>
      </w:r>
    </w:p>
    <w:p>
      <w:pPr>
        <w:spacing w:before="60" w:after="80" w:line="276" w:lineRule="auto"/>
      </w:pPr>
      <w:r>
        <w:rPr>
          <w:b/>
        </w:rPr>
        <w:t>3.1.3 Modality distribution (Table 6/7, "Audio / Symbolic / Multimodal")</w:t>
      </w:r>
    </w:p>
    <w:p>
      <w:pPr>
        <w:spacing w:before="60" w:after="80" w:line="276" w:lineRule="auto"/>
      </w:pPr>
      <w:r>
        <w:t>No automated equivalent exists — see Section 4.</w:t>
      </w:r>
    </w:p>
    <w:p>
      <w:pPr>
        <w:spacing w:before="60" w:after="80" w:line="276" w:lineRule="auto"/>
      </w:pPr>
      <w:r>
        <w:rPr>
          <w:b/>
        </w:rPr>
        <w:t>3.2 Classification matrix (Table 7)</w:t>
      </w:r>
    </w:p>
    <w:p>
      <w:pPr>
        <w:spacing w:before="60" w:after="80" w:line="276" w:lineRule="auto"/>
      </w:pPr>
      <w:r>
        <w:t>Depends on both 3.1.2 and 3.1.3; can't be reproduced without the manual coding described</w:t>
      </w:r>
    </w:p>
    <w:p>
      <w:pPr>
        <w:spacing w:before="60" w:after="80" w:line="276" w:lineRule="auto"/>
      </w:pPr>
      <w:r>
        <w:t>in Section 4.</w:t>
      </w:r>
    </w:p>
    <w:p>
      <w:pPr>
        <w:spacing w:before="60" w:after="80" w:line="276" w:lineRule="auto"/>
      </w:pPr>
      <w:r>
        <w:rPr>
          <w:b/>
        </w:rPr>
        <w:t>3.3 Primary MIR task distribution (Table 8) — closest match to the new pipeline</w:t>
      </w:r>
    </w:p>
    <w:p>
      <w:pPr>
        <w:spacing w:before="60" w:after="80" w:line="276" w:lineRule="auto"/>
      </w:pPr>
      <w:r>
        <w:t>This is conceptually the best-aligned table: the old paper's manually-tagged task clusters</w:t>
      </w:r>
    </w:p>
    <w:p>
      <w:pPr>
        <w:spacing w:before="60" w:after="80" w:line="276" w:lineRule="auto"/>
      </w:pPr>
      <w:r>
        <w:t>and the new pipeline's automatically-discovered K-Means topics are both "what is this</w:t>
      </w:r>
    </w:p>
    <w:p>
      <w:pPr>
        <w:spacing w:before="60" w:after="80" w:line="276" w:lineRule="auto"/>
      </w:pPr>
      <w:r>
        <w:t>paper actually about, computationally." The real numbers, from</w:t>
      </w:r>
    </w:p>
    <w:p>
      <w:pPr>
        <w:spacing w:before="60" w:after="80" w:line="276" w:lineRule="auto"/>
      </w:pPr>
      <w:r>
        <w:rPr>
          <w:rFonts w:ascii="Consolas" w:hAnsi="Consolas"/>
          <w:color w:val="C7254E"/>
          <w:sz w:val="19"/>
        </w:rPr>
        <w:t>slr/outputs/models/phase4_clustered_corpus.csv</w:t>
      </w:r>
      <w:r>
        <w:t xml:space="preserve"> and</w:t>
      </w:r>
    </w:p>
    <w:p>
      <w:pPr>
        <w:spacing w:before="60" w:after="80" w:line="276" w:lineRule="auto"/>
      </w:pPr>
      <w:r>
        <w:rPr>
          <w:rFonts w:ascii="Consolas" w:hAnsi="Consolas"/>
          <w:color w:val="C7254E"/>
          <w:sz w:val="19"/>
        </w:rPr>
        <w:t>slr/outputs/models/phase4_model_comparison.csv</w:t>
      </w:r>
      <w:r>
        <w:t xml:space="preserve"> (K-Means, k=7, selected model — see Section 5):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2563E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2563E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Label (hand-read from top TF-IDF terms)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2563E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Papers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0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Instrument Recognition / Classification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47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Automatic Music Transcription (AMT)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74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Singing Voice / Melody Extraction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41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Source Separation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72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Multi-Pitch Estimation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22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Music Education &amp; Performance Assessment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79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Optical Music Recognition (OMR)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sz w:val="19"/>
              </w:rPr>
              <w:t>30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365</w:t>
            </w:r>
          </w:p>
        </w:tc>
      </w:tr>
    </w:tbl>
    <w:p>
      <w:pPr>
        <w:spacing w:before="80" w:after="80"/>
      </w:pPr>
    </w:p>
    <w:p>
      <w:pPr>
        <w:spacing w:before="60" w:after="80" w:line="276" w:lineRule="auto"/>
      </w:pPr>
      <w:r>
        <w:t>Note this is a flat 7-way partition (every paper in exactly one cluster), unlike the old</w:t>
      </w:r>
    </w:p>
    <w:p>
      <w:pPr>
        <w:spacing w:before="60" w:after="80" w:line="276" w:lineRule="auto"/>
      </w:pPr>
      <w:r>
        <w:t>Table 8's task clusters which could co-occur per paper. However, with the addition of</w:t>
      </w:r>
    </w:p>
    <w:p>
      <w:pPr>
        <w:spacing w:before="60" w:after="80" w:line="276" w:lineRule="auto"/>
      </w:pPr>
      <w:r>
        <w:rPr>
          <w:rFonts w:ascii="Consolas" w:hAnsi="Consolas"/>
          <w:color w:val="C7254E"/>
          <w:sz w:val="19"/>
        </w:rPr>
        <w:t>slr/outputs/models/phase4_soft_topic_distributions.csv</w:t>
      </w:r>
      <w:r>
        <w:t xml:space="preserve"> (Grisales A. et al., 2023),</w:t>
      </w:r>
    </w:p>
    <w:p>
      <w:pPr>
        <w:spacing w:before="60" w:after="80" w:line="276" w:lineRule="auto"/>
      </w:pPr>
      <w:r>
        <w:t>continuous secondary topic memberships and interdisciplinary crossover papers are now fully quantified.</w:t>
      </w:r>
    </w:p>
    <w:p>
      <w:pPr>
        <w:spacing w:before="60" w:after="80" w:line="276" w:lineRule="auto"/>
      </w:pPr>
      <w:r>
        <w:t xml:space="preserve">The full top-terms list is in </w:t>
      </w:r>
      <w:r>
        <w:rPr>
          <w:rFonts w:ascii="Consolas" w:hAnsi="Consolas"/>
          <w:color w:val="C7254E"/>
          <w:sz w:val="19"/>
        </w:rPr>
        <w:t>slr/outputs/models/phase4_model_comparison.csv</w:t>
      </w:r>
      <w:r>
        <w:t>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4. Synthesis of Findings (RQ1–RQ4)</w:t>
      </w:r>
    </w:p>
    <w:p>
      <w:pPr>
        <w:spacing w:before="60" w:after="80" w:line="276" w:lineRule="auto"/>
      </w:pPr>
      <w:r>
        <w:t>This section is narrative and cites specific papers by author/year throughout — it can't</w:t>
      </w:r>
    </w:p>
    <w:p>
      <w:pPr>
        <w:spacing w:before="60" w:after="80" w:line="276" w:lineRule="auto"/>
      </w:pPr>
      <w:r>
        <w:t>be regenerated mechanically. To rewrite it against the new corpus, start from: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slr/outputs/models/phase4_model_comparison.csv</w:t>
      </w:r>
      <w:r>
        <w:t xml:space="preserve"> for what each cluster is actually about.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slr/outputs/models/phase4_clustered_corpus.csv</w:t>
      </w:r>
      <w:r>
        <w:t xml:space="preserve"> for which 365 papers landed in which cluster</w:t>
      </w:r>
    </w:p>
    <w:p>
      <w:pPr>
        <w:spacing w:before="60" w:after="80" w:line="276" w:lineRule="auto"/>
      </w:pPr>
      <w:r>
        <w:t xml:space="preserve">(join on title against </w:t>
      </w:r>
      <w:r>
        <w:rPr>
          <w:rFonts w:ascii="Consolas" w:hAnsi="Consolas"/>
          <w:color w:val="C7254E"/>
          <w:sz w:val="19"/>
        </w:rPr>
        <w:t>slr/outputs/prisma/phase2_screened_corpus.csv</w:t>
      </w:r>
      <w:r>
        <w:t xml:space="preserve"> to get authors/year/DOI for citation).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slr/outputs/models/phase4_soft_topic_distributions.csv</w:t>
      </w:r>
      <w:r>
        <w:t xml:space="preserve"> and </w:t>
      </w:r>
      <w:r>
        <w:rPr>
          <w:rFonts w:ascii="Consolas" w:hAnsi="Consolas"/>
          <w:color w:val="C7254E"/>
          <w:sz w:val="19"/>
        </w:rPr>
        <w:t>slr/outputs/network/phase5_temporal_topic_evolution.csv</w:t>
      </w:r>
    </w:p>
    <w:p>
      <w:pPr>
        <w:spacing w:before="60" w:after="80" w:line="276" w:lineRule="auto"/>
      </w:pPr>
      <w:r>
        <w:t>for RQ4-relevant material specifically — directly measuring which clusters are network-adjacent and how topics</w:t>
      </w:r>
    </w:p>
    <w:p>
      <w:pPr>
        <w:spacing w:before="60" w:after="80" w:line="276" w:lineRule="auto"/>
      </w:pPr>
      <w:r>
        <w:t>evolve longitudinally across epochs.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5. Discussion</w:t>
      </w:r>
    </w:p>
    <w:p>
      <w:pPr>
        <w:spacing w:before="60" w:after="80" w:line="276" w:lineRule="auto"/>
      </w:pPr>
      <w:r>
        <w:rPr>
          <w:b/>
        </w:rPr>
        <w:t>5.2 Limitations</w:t>
      </w:r>
      <w:r>
        <w:t xml:space="preserve"> — this section should absorb the real, found-and-documented</w:t>
      </w:r>
    </w:p>
    <w:p>
      <w:pPr>
        <w:spacing w:before="60" w:after="80" w:line="276" w:lineRule="auto"/>
      </w:pPr>
      <w:r>
        <w:t>limitations of the actual pipeline, which are more specific than the old paper's generic</w:t>
      </w:r>
    </w:p>
    <w:p>
      <w:pPr>
        <w:spacing w:before="60" w:after="80" w:line="276" w:lineRule="auto"/>
      </w:pPr>
      <w:r>
        <w:t>limitations paragraph:</w:t>
      </w:r>
    </w:p>
    <w:p>
      <w:pPr>
        <w:pStyle w:val="ListBullet"/>
        <w:spacing w:before="20" w:after="40"/>
      </w:pPr>
      <w:r>
        <w:t>2-database scope (not 4) — see Section 1 of this guide.</w:t>
      </w:r>
    </w:p>
    <w:p>
      <w:pPr>
        <w:pStyle w:val="ListBullet"/>
        <w:spacing w:before="20" w:after="40"/>
      </w:pPr>
      <w:r>
        <w:t>The historical exclude-keyword comma bug (Section 2.2 above; resolved in the current engine).</w:t>
      </w:r>
    </w:p>
    <w:p>
      <w:pPr>
        <w:pStyle w:val="ListBullet"/>
        <w:spacing w:before="20" w:after="40"/>
      </w:pPr>
      <w:r>
        <w:rPr>
          <w:b/>
        </w:rPr>
        <w:t>`Publication Venue` / journal field is 0% populated for all 365 final papers</w:t>
      </w:r>
      <w:r>
        <w:t xml:space="preserve"> — traced</w:t>
      </w:r>
    </w:p>
    <w:p>
      <w:pPr>
        <w:spacing w:before="60" w:after="80" w:line="276" w:lineRule="auto"/>
      </w:pPr>
      <w:r>
        <w:t>to two separate causes (a Scopus column-mislabeling bug affecting ~90% of the corpus,</w:t>
      </w:r>
    </w:p>
    <w:p>
      <w:pPr>
        <w:spacing w:before="60" w:after="80" w:line="276" w:lineRule="auto"/>
      </w:pPr>
      <w:r>
        <w:t>plus data loss in the Rayyan export/re-import round trip for the rest). Full writeup in</w:t>
      </w:r>
    </w:p>
    <w:p>
      <w:pPr>
        <w:spacing w:before="60" w:after="80" w:line="276" w:lineRule="auto"/>
      </w:pPr>
      <w:r>
        <w:rPr>
          <w:rFonts w:ascii="Consolas" w:hAnsi="Consolas"/>
          <w:color w:val="C7254E"/>
          <w:sz w:val="19"/>
        </w:rPr>
        <w:t>slr/guides/ROOT_CAUSE_AUDIT.md</w:t>
      </w:r>
      <w:r>
        <w:t>. This means no venue-based analysis is currently possible from</w:t>
      </w:r>
    </w:p>
    <w:p>
      <w:pPr>
        <w:spacing w:before="60" w:after="80" w:line="276" w:lineRule="auto"/>
      </w:pPr>
      <w:r>
        <w:t>this corpus without a fresh data pull.</w:t>
      </w:r>
    </w:p>
    <w:p>
      <w:pPr>
        <w:pStyle w:val="ListBullet"/>
        <w:spacing w:before="20" w:after="40"/>
      </w:pPr>
      <w:r>
        <w:t>LDA's known small-corpus limitation, empirically confirmed: it resolved only 3 broad</w:t>
      </w:r>
    </w:p>
    <w:p>
      <w:pPr>
        <w:spacing w:before="60" w:after="80" w:line="276" w:lineRule="auto"/>
      </w:pPr>
      <w:r>
        <w:t>topics (vs. 7 for K-Means/NMF) and showed higher perplexity. Full detail in</w:t>
      </w:r>
    </w:p>
    <w:p>
      <w:pPr>
        <w:spacing w:before="60" w:after="80" w:line="276" w:lineRule="auto"/>
      </w:pPr>
      <w:r>
        <w:rPr>
          <w:rFonts w:ascii="Consolas" w:hAnsi="Consolas"/>
          <w:color w:val="C7254E"/>
          <w:sz w:val="19"/>
        </w:rPr>
        <w:t>slr/outputs/models/phase4_model_comparison.csv</w:t>
      </w:r>
      <w:r>
        <w:t xml:space="preserve"> and </w:t>
      </w:r>
      <w:r>
        <w:rPr>
          <w:rFonts w:ascii="Consolas" w:hAnsi="Consolas"/>
          <w:color w:val="C7254E"/>
          <w:sz w:val="19"/>
        </w:rPr>
        <w:t>slr/guides/ROOT_CAUSE_AUDIT.md</w:t>
      </w:r>
      <w:r>
        <w:t>.</w:t>
      </w:r>
    </w:p>
    <w:p>
      <w:pPr>
        <w:pStyle w:val="ListBullet"/>
        <w:spacing w:before="20" w:after="40"/>
      </w:pPr>
      <w:r>
        <w:t>No modality or domain tagging, no quality-rubric scoring (Section 2.3 above) — worth</w:t>
      </w:r>
    </w:p>
    <w:p>
      <w:pPr>
        <w:spacing w:before="60" w:after="80" w:line="276" w:lineRule="auto"/>
      </w:pPr>
      <w:r>
        <w:t>stating as a scope limitation if that work isn't picked back up before submission.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6. Conclusion</w:t>
      </w:r>
    </w:p>
    <w:p>
      <w:pPr>
        <w:spacing w:before="60" w:after="80" w:line="276" w:lineRule="auto"/>
      </w:pPr>
      <w:r>
        <w:t>Rewrite against the RQ answers produced in Section 4 above; no separate data source.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References</w:t>
      </w:r>
    </w:p>
    <w:p>
      <w:pPr>
        <w:spacing w:before="60" w:after="80" w:line="276" w:lineRule="auto"/>
      </w:pPr>
      <w:r>
        <w:t>The old reference list is for the old 100-paper corpus and doesn't overlap with the new</w:t>
      </w:r>
    </w:p>
    <w:p>
      <w:pPr>
        <w:spacing w:before="60" w:after="80" w:line="276" w:lineRule="auto"/>
      </w:pPr>
      <w:r>
        <w:t>365-paper corpus. The real reference list (title, authors, year, DOI, venue-when-available)</w:t>
      </w:r>
    </w:p>
    <w:p>
      <w:pPr>
        <w:spacing w:before="60" w:after="80" w:line="276" w:lineRule="auto"/>
      </w:pPr>
      <w:r>
        <w:t xml:space="preserve">is in </w:t>
      </w:r>
      <w:r>
        <w:rPr>
          <w:rFonts w:ascii="Consolas" w:hAnsi="Consolas"/>
          <w:color w:val="C7254E"/>
          <w:sz w:val="19"/>
        </w:rPr>
        <w:t>slr/outputs/prisma/phase2_screened_corpus.csv</w:t>
      </w:r>
      <w:r>
        <w:t xml:space="preserve"> (source: </w:t>
      </w:r>
      <w:r>
        <w:rPr>
          <w:rFonts w:ascii="Consolas" w:hAnsi="Consolas"/>
          <w:color w:val="C7254E"/>
          <w:sz w:val="19"/>
        </w:rPr>
        <w:t>slr/data/02_screening/priority_records_from_rayyan.csv</w:t>
      </w:r>
      <w:r>
        <w:t>).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Appendix A: Master Summary Table</w:t>
      </w:r>
    </w:p>
    <w:p>
      <w:pPr>
        <w:spacing w:before="60" w:after="80" w:line="276" w:lineRule="auto"/>
      </w:pPr>
      <w:r>
        <w:t xml:space="preserve">Direct analogue exists, just smaller in structured detail: join </w:t>
      </w:r>
      <w:r>
        <w:rPr>
          <w:rFonts w:ascii="Consolas" w:hAnsi="Consolas"/>
          <w:color w:val="C7254E"/>
          <w:sz w:val="19"/>
        </w:rPr>
        <w:t>slr/outputs/models/phase4_clustered_corpus.csv</w:t>
      </w:r>
      <w:r>
        <w:t xml:space="preserve"> (title, year, cluster)</w:t>
      </w:r>
    </w:p>
    <w:p>
      <w:pPr>
        <w:spacing w:before="60" w:after="80" w:line="276" w:lineRule="auto"/>
      </w:pPr>
      <w:r>
        <w:t xml:space="preserve">against </w:t>
      </w:r>
      <w:r>
        <w:rPr>
          <w:rFonts w:ascii="Consolas" w:hAnsi="Consolas"/>
          <w:color w:val="C7254E"/>
          <w:sz w:val="19"/>
        </w:rPr>
        <w:t>slr/outputs/prisma/phase2_screened_corpus.csv</w:t>
      </w:r>
      <w:r>
        <w:t xml:space="preserve"> (authors, DOI, abstract, keywords) on title,</w:t>
      </w:r>
    </w:p>
    <w:p>
      <w:pPr>
        <w:spacing w:before="60" w:after="80" w:line="276" w:lineRule="auto"/>
      </w:pPr>
      <w:r>
        <w:t xml:space="preserve">and </w:t>
      </w:r>
      <w:r>
        <w:rPr>
          <w:rFonts w:ascii="Consolas" w:hAnsi="Consolas"/>
          <w:color w:val="C7254E"/>
          <w:sz w:val="19"/>
        </w:rPr>
        <w:t>slr/outputs/models/phase4_model_comparison.csv</w:t>
      </w:r>
      <w:r>
        <w:t xml:space="preserve"> for a cluster-level key finding gloss.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Appendix B: Quality Appraisal Rubric</w:t>
      </w:r>
    </w:p>
    <w:p>
      <w:pPr>
        <w:spacing w:before="60" w:after="80" w:line="276" w:lineRule="auto"/>
      </w:pPr>
      <w:r>
        <w:t>No automated equivalent — see Section 4 (manual-coding gaps) if the team wants to keep</w:t>
      </w:r>
    </w:p>
    <w:p>
      <w:pPr>
        <w:spacing w:before="60" w:after="80" w:line="276" w:lineRule="auto"/>
      </w:pPr>
      <w:r>
        <w:t>this in the updated paper.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34155"/>
          <w:sz w:val="26"/>
        </w:rPr>
        <w:t>Appendix C: PRISMA flow diagram + domain/modality figures</w:t>
      </w:r>
    </w:p>
    <w:p>
      <w:pPr>
        <w:spacing w:before="60" w:after="80" w:line="276" w:lineRule="auto"/>
      </w:pPr>
      <w:r>
        <w:rPr>
          <w:b/>
        </w:rPr>
        <w:t>Figure A1 (PRISMA flow) — real, verified numbers to drop in: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Identification</w:t>
              <w:br/>
              <w:t xml:space="preserve">  Scopus:  8,943 records</w:t>
              <w:br/>
              <w:t xml:space="preserve">  IEEE:    1,000 records</w:t>
              <w:br/>
              <w:t xml:space="preserve">  Total:   9,943 records identified</w:t>
              <w:br/>
              <w:t xml:space="preserve">        ↓</w:t>
              <w:br/>
              <w:t>Deduplication</w:t>
              <w:br/>
              <w:t xml:space="preserve">  575 duplicates removed (DOI &amp; normalized-title matching)</w:t>
              <w:br/>
              <w:t xml:space="preserve">  9,368 unique records remaining (slr/outputs/prisma/phase1_merged_deduplicated.csv)</w:t>
              <w:br/>
              <w:t xml:space="preserve">        ↓</w:t>
              <w:br/>
              <w:t>Screening (automated keyword triage &amp; human review)</w:t>
              <w:br/>
              <w:t xml:space="preserve">  1,728 flagged Priority → sent to Rayyan</w:t>
              <w:br/>
              <w:t xml:space="preserve">        ↓</w:t>
              <w:br/>
              <w:t>Eligibility / Screening (Rayyan, 3 independent reviewers, blind)</w:t>
              <w:br/>
              <w:t xml:space="preserve">        ↓</w:t>
              <w:br/>
              <w:t>Included</w:t>
              <w:br/>
              <w:t xml:space="preserve">  365 papers in final synthesis (slr/outputs/prisma/phase2_screened_corpus.csv)</w:t>
              <w:br/>
              <w:t>`</w:t>
              <w:br/>
              <w:t>Source: Verified directly from slr/outputs/prisma/phase1_merged_deduplicated.csv and</w:t>
              <w:br/>
              <w:t>slr/outputs/prisma/phase2_screened_corpus.csv via automated Gate 1 &amp; Gate 2 validation assertions.</w:t>
              <w:br/>
              <w:br/>
              <w:t>**Figures A2/A3 (domain and modality distributions)** — no automated equivalent (Section</w:t>
              <w:br/>
              <w:t>4). The nearest available substitute chart is</w:t>
              <w:br/>
              <w:t>`slr/manuscript/figures/models_2d_final.png` (a 2D projection of all</w:t>
              <w:br/>
              <w:t>four clustering models side by side) or a fresh bar chart of the Section 3.3 cluster-size</w:t>
              <w:br/>
              <w:t>table above.</w:t>
              <w:br/>
              <w:br/>
              <w:t>---</w:t>
              <w:br/>
              <w:br/>
              <w:t>## 4. Gaps: things the old paper reports that have no automated equivalent yet</w:t>
              <w:br/>
              <w:br/>
              <w:t>If any of these are needed for the updated paper, they require new work, not a file</w:t>
              <w:br/>
              <w:t>lookup:</w:t>
              <w:br/>
              <w:br/>
              <w:t>1. **Domain tagging** (Solo Singing / Ensemble / Instrumental / General MIR per paper) —</w:t>
              <w:br/>
              <w:t xml:space="preserve">   would need either manual coding of the 365 papers, or a second automated pass reusing</w:t>
              <w:br/>
              <w:t xml:space="preserve">   the existing keyword-flagging pattern from Phase 1-2 with a domain-specific keyword set.</w:t>
              <w:br/>
              <w:t>2. **Modality tagging** (Audio / Symbolic / Multimodal per paper) — same, no keyword or</w:t>
              <w:br/>
              <w:t xml:space="preserve">   metadata field currently captures this.</w:t>
              <w:br/>
              <w:t>3. **Quality appraisal scoring** (the 45-point rubric) — entirely manual in the old paper;</w:t>
              <w:br/>
              <w:t xml:space="preserve">   nothing in this pipeline evaluates methodological/relevance quality per study.</w:t>
              <w:br/>
              <w:t>4. **Per-study structured attributes** for RQ1–RQ3 narrative (architecture family,</w:t>
              <w:br/>
              <w:t xml:space="preserve">   supervision strategy, evaluation type, reproducibility status) — the closest automated</w:t>
              <w:br/>
              <w:t xml:space="preserve">   signal is each cluster's top TF-IDF terms, which describes a *topic*, not a *study's*</w:t>
              <w:br/>
              <w:t xml:space="preserve">   individual method choices.</w:t>
              <w:br/>
              <w:br/>
              <w:t>---</w:t>
              <w:br/>
              <w:br/>
              <w:t>## 5. What the new pipeline added that the old paper doesn't have at all</w:t>
              <w:br/>
              <w:br/>
              <w:t>Worth considering for a dedicated methodological subsection rather than trying to force into the old structure:</w:t>
              <w:br/>
              <w:br/>
              <w:t>- **Held-out validation and 4-model benchmarking.** K-Means, Agglomerative, NMF, and LDA were comprehensively benchmarked using both Cosine Silhouette and UMass Topic Coherence, with hyperparameter tuning before final model selection. Full details in `slr/outputs/models/phase4_model_comparison.csv`.</w:t>
              <w:br/>
              <w:t>- **Automated PMI Collocation Mining (Phase 3).** Automated extraction of high-association multi-word technical phrases using Pointwise Mutual Information and NPMI ($\ge 0.50$; Truică &amp; Apostol, 2021, *IEEE Access*), removing manual phrase curation bias (`slr/outputs/representations/phase3_pmi_collocations.csv`).</w:t>
              <w:br/>
              <w:t>- **Dense Semantic LSA &amp; SciBERT Embeddings (Phase 3/4).** 35-D LSA projections resolve cosine distance concentration in sparse vectors, with modular SciBERT embedding support (Chen &amp; Liu, 2025, *IEEE AINIT*).</w:t>
              <w:br/>
              <w:t>- **Soft Multi-Topic Membership &amp; Interdisciplinary Crossovers (Phase 4).** Continuous Dirichlet posterior distributions from LDA and weightings from NMF revealing that 67.1% (245/365) of included studies span multiple MIR subfields (Grisales A. et al., 2023, *IEEE Access*; `slr/outputs/models/phase4_soft_topic_distributions.csv`).</w:t>
              <w:br/>
              <w:t>- **Topic Stability Bootstrapping (Phase 4).** Bootstrap consensus stability analysis across $B=10$ randomized initializations, mathematically confirming topic robustness against stochastic noise ($</w:t>
              <w:tab/>
              <w:t>ext{ARI} = 0.6103 \pm 0.053$; Vangara et al., 2021, *IEEE Access*).</w:t>
              <w:br/>
              <w:t>- **Network-Theoretic Louvain Cross-Check (Phase 5).** Independent paper-similarity network (365 nodes, 1,846 edges) with Louvain community detection (Modularity: 0.6267, well above the 0.3 threshold; `slr/outputs/network/phase5_cluster_network.gexf`).</w:t>
              <w:br/>
              <w:t>- **Longitudinal Dynamic Topic Evolution Tracking (Phase 5).** Temporal flow modeling across Foundational (2020–2021), Consolidation (2022–2023), and Modern (2024–2026) epochs (Wang et al., 2024, *Scientometrics*; `slr/outputs/network/phase5_temporal_topic_evolution.csv` &amp; `.json`).</w:t>
              <w:br/>
              <w:t>- **Gephi-Ready Network Export &amp; Live Web Dashboard.** Interactive topic network published at `docs/index.html` (hosted on GitHub Pages) and available in `slr/outputs/network/phase5_cluster_network.gexf`.</w:t>
              <w:br/>
              <w:br/>
              <w:t>---</w:t>
              <w:br/>
              <w:br/>
              <w:t>## 6. Canonical Reorganized File Index</w:t>
              <w:br/>
              <w:br/>
              <w:t>| Need | Current Canonical File | Description |</w:t>
              <w:br/>
              <w:t>|---|---|---|</w:t>
              <w:br/>
              <w:t>| PRISMA funnel deduplicated records | slr/outputs/prisma/phase1_merged_deduplicated.csv | 9,368 unique studies from 9,943 identified (575 duplicates removed) |</w:t>
              <w:br/>
              <w:t>| PRISMA screened corpus (Rayyan N=365) | slr/outputs/prisma/phase2_screened_corpus.csv | 365 included studies with human blind-screening consensus |</w:t>
              <w:br/>
              <w:t>| NLP cleaned corpus &amp; tokens | slr/outputs/representations/phase3_cleaned_corpus.csv | Cleaned and tokenized abstracts |</w:t>
              <w:br/>
              <w:t>| Automated PMI Collocations (N=30) | slr/outputs/representations/phase3_pmi_collocations.csv | Statistically mined domain compound phrases (Truică &amp; Apostol, 2021) |</w:t>
              <w:br/>
              <w:t>| TF-IDF Document-Term Matrix | slr/outputs/representations/phase3_tfidf_matrix.npz | 365 docs × 2,000 terms sparse matrix |</w:t>
              <w:br/>
              <w:t>| 4-Model Suite Benchmark Comparison | slr/outputs/models/phase4_model_comparison.csv | Silhouette, UMass, cluster sizes, and ARI across K-Means, Agglomerative, NMF, LDA |</w:t>
              <w:br/>
              <w:t>| Primary Topic Clustered Corpus | slr/outputs/models/phase4_clustered_corpus.csv | All 365 studies with assigned topic columns for all 4 models |</w:t>
              <w:br/>
              <w:t>| Soft Multi-Topic Distributions &amp; Entropy | slr/outputs/models/phase4_soft_topic_distributions.csv | Primary &amp; secondary topic probabilities, entropy, and interdisciplinary crossover flag |</w:t>
              <w:br/>
              <w:t>| Gephi Social Network File | slr/outputs/network/phase5_cluster_network.gexf | 365 nodes, 1,846 edges with Louvain community attributes (modularity: 0.6267) |</w:t>
              <w:br/>
              <w:t>| Longitudinal Topic Evolution Flow Data | slr/outputs/network/phase5_temporal_topic_evolution.csv | Transition link counts across 3 publication epochs (Wang et al., 2024) |</w:t>
              <w:br/>
              <w:t>| Temporal Topic Evolution JSON Data | slr/outputs/network/phase5_temporal_topic_evolution.json | Complete epoch shares and Sankey node/link specifications |</w:t>
              <w:br/>
              <w:t>| Live Interactive SNA Dashboard | docs/index.html | Published GitHub Pages graph visualization |</w:t>
              <w:br/>
              <w:t>| Peer-Reviewed Methodology Evidence | slr/guides/SLR_METHODOLOGY_REFERENCES.md | Complete 2021–2026 Scopus/IEEE citations with direct permanent DOI links |</w:t>
              <w:br/>
              <w:t>| Pipeline Parameter Configuration Roadmap | slr/guides/PIPELINE_CONFIGURATION_GUIDE.md | Guide on where and how to customize parameters across all phases |</w:t>
            </w:r>
          </w:p>
        </w:tc>
      </w:tr>
    </w:tbl>
    <w:p>
      <w:pPr>
        <w:spacing w:before="8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