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2"/>
      </w:pPr>
      <w:r>
        <w:rPr>
          <w:iCs/>
          <w:i/>
        </w:rPr>
        <w:t xml:space="preserve">Факультет физико-математических и естественных наук</w:t>
      </w:r>
    </w:p>
    <w:bookmarkEnd w:id="20"/>
    <w:bookmarkStart w:id="21" w:name="Xe2000c2120ad436be0fd00f095a9e095407a6a7"/>
    <w:p>
      <w:pPr>
        <w:pStyle w:val="Heading2"/>
      </w:pPr>
      <w:r>
        <w:t xml:space="preserve">направление:</w:t>
      </w:r>
      <w:r>
        <w:t xml:space="preserve"> </w:t>
      </w:r>
      <w:r>
        <w:rPr>
          <w:iCs/>
          <w:i/>
        </w:rPr>
        <w:t xml:space="preserve">Компьютерные и информационные науки</w:t>
      </w:r>
    </w:p>
    <w:bookmarkEnd w:id="21"/>
    <w:bookmarkStart w:id="45" w:name="лабораторная-работа-2"/>
    <w:p>
      <w:pPr>
        <w:pStyle w:val="Heading2"/>
      </w:pPr>
      <w:r>
        <w:t xml:space="preserve">Лабораторная работа №2</w:t>
      </w:r>
    </w:p>
    <w:bookmarkStart w:id="24" w:name="X54dc57df21529791e6af795cdbc31add1d760ed"/>
    <w:p>
      <w:pPr>
        <w:pStyle w:val="Heading3"/>
      </w:pPr>
      <w:r>
        <w:t xml:space="preserve">дисциплина:</w:t>
      </w:r>
      <w:r>
        <w:t xml:space="preserve"> </w:t>
      </w:r>
      <w:r>
        <w:rPr>
          <w:iCs/>
          <w:i/>
        </w:rPr>
        <w:t xml:space="preserve">Архитектура компьютеров и операционные системы</w:t>
      </w:r>
    </w:p>
    <w:bookmarkStart w:id="22" w:name="студент-гробман-александр-евгеньевич"/>
    <w:p>
      <w:pPr>
        <w:pStyle w:val="Heading4"/>
      </w:pPr>
      <w:r>
        <w:t xml:space="preserve">студент: Гробман Александр Евгеньевич</w:t>
      </w:r>
    </w:p>
    <w:bookmarkEnd w:id="22"/>
    <w:bookmarkStart w:id="23" w:name="группа-нкабд-02-23"/>
    <w:p>
      <w:pPr>
        <w:pStyle w:val="Heading4"/>
      </w:pPr>
      <w:r>
        <w:t xml:space="preserve">Группа: НКАбд-02-23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5"/>
    <w:bookmarkStart w:id="26" w:name="задание"/>
    <w:p>
      <w:pPr>
        <w:pStyle w:val="Heading3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</w:t>
      </w:r>
    </w:p>
    <w:bookmarkEnd w:id="26"/>
    <w:bookmarkStart w:id="44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Heading4"/>
      </w:pPr>
      <w:bookmarkStart w:id="27" w:name="установка-markdown."/>
      <w:r>
        <w:t xml:space="preserve">Установка markdown.</w:t>
      </w:r>
      <w:bookmarkEnd w:id="27"/>
    </w:p>
    <w:p>
      <w:pPr>
        <w:numPr>
          <w:ilvl w:val="0"/>
          <w:numId w:val="1000"/>
        </w:numPr>
        <w:pStyle w:val="Compact"/>
      </w:pPr>
      <w:r>
        <w:t xml:space="preserve">Скачиваем образ с оффициального сайта</w:t>
      </w:r>
      <w:r>
        <w:t xml:space="preserve"> </w:t>
      </w:r>
      <w:r>
        <w:rPr>
          <w:iCs/>
          <w:i/>
        </w:rPr>
        <w:t xml:space="preserve">md</w:t>
      </w:r>
      <w:r>
        <w:t xml:space="preserve"> </w:t>
      </w:r>
      <w:r>
        <w:t xml:space="preserve">по адресу</w:t>
      </w:r>
      <w:r>
        <w:t xml:space="preserve"> </w:t>
      </w:r>
      <w:hyperlink r:id="rId28">
        <w:r>
          <w:rPr>
            <w:rStyle w:val="Hyperlink"/>
            <w:iCs/>
            <w:i/>
          </w:rPr>
          <w:t xml:space="preserve">http://markdownpad.com/</w:t>
        </w:r>
      </w:hyperlink>
      <w:r>
        <w:t xml:space="preserve"> </w:t>
      </w:r>
      <w:r>
        <w:t xml:space="preserve">Устанавливаем и запускаем встроенный редактор.</w:t>
      </w:r>
      <w:r>
        <w:t xml:space="preserve"> </w:t>
      </w:r>
      <w:r>
        <w:t xml:space="preserve">(Так выглядят сам редактор в момент написания отчёта)</w:t>
      </w:r>
    </w:p>
    <w:p>
      <w:pPr>
        <w:pStyle w:val="FirstParagraph"/>
      </w:pPr>
      <w:r>
        <w:drawing>
          <wp:inline>
            <wp:extent cx="5334000" cy="215882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3/Resourses/Images/image0.png?raw=true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Heading4"/>
      </w:pPr>
      <w:bookmarkStart w:id="32" w:name="установка-дополнительного-по."/>
      <w:r>
        <w:t xml:space="preserve">Установка дополнительного ПО.</w:t>
      </w:r>
      <w:bookmarkEnd w:id="32"/>
    </w:p>
    <w:p>
      <w:pPr>
        <w:pStyle w:val="FirstParagraph"/>
      </w:pPr>
      <w:r>
        <w:t xml:space="preserve">Скачиваем</w:t>
      </w:r>
      <w:r>
        <w:t xml:space="preserve"> </w:t>
      </w:r>
      <w:r>
        <w:rPr>
          <w:iCs/>
          <w:i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Texlive</w:t>
      </w:r>
    </w:p>
    <w:p>
      <w:pPr>
        <w:pStyle w:val="BodyText"/>
      </w:pPr>
      <w:r>
        <w:t xml:space="preserve">Скачивание будет происходить с оффициальных сайтов:</w:t>
      </w:r>
      <w:r>
        <w:t xml:space="preserve"> </w:t>
      </w:r>
      <w:hyperlink r:id="rId33">
        <w:r>
          <w:rPr>
            <w:rStyle w:val="Hyperlink"/>
          </w:rPr>
          <w:t xml:space="preserve">https://pandoc.org/</w:t>
        </w:r>
      </w:hyperlink>
      <w:r>
        <w:t xml:space="preserve"> </w:t>
      </w:r>
      <w:r>
        <w:t xml:space="preserve">и</w:t>
      </w:r>
      <w:r>
        <w:t xml:space="preserve"> </w:t>
      </w:r>
      <w:hyperlink r:id="rId34">
        <w:r>
          <w:rPr>
            <w:rStyle w:val="Hyperlink"/>
          </w:rPr>
          <w:t xml:space="preserve">https://tug.org/texlive/</w:t>
        </w:r>
      </w:hyperlink>
      <w:r>
        <w:t xml:space="preserve"> </w:t>
      </w:r>
      <w:r>
        <w:t xml:space="preserve">соответсвенно.</w:t>
      </w:r>
    </w:p>
    <w:p>
      <w:pPr>
        <w:pStyle w:val="BodyText"/>
      </w:pPr>
      <w:r>
        <w:rPr>
          <w:iCs/>
          <w:i/>
        </w:rPr>
        <w:t xml:space="preserve">стоит заметить, что установка TexLive занимает довольно долгое время</w:t>
      </w:r>
    </w:p>
    <w:p>
      <w:pPr>
        <w:numPr>
          <w:ilvl w:val="0"/>
          <w:numId w:val="1004"/>
        </w:numPr>
        <w:pStyle w:val="Heading4"/>
      </w:pPr>
      <w:bookmarkStart w:id="35" w:name="изучаем-основы-синтаксиса-markdown"/>
      <w:r>
        <w:t xml:space="preserve">Изучаем основы синтаксиса Markdown</w:t>
      </w:r>
      <w:bookmarkEnd w:id="35"/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</w:p>
    <w:p>
      <w:pPr>
        <w:numPr>
          <w:ilvl w:val="0"/>
          <w:numId w:val="1005"/>
        </w:numPr>
        <w:pStyle w:val="Compact"/>
      </w:pPr>
      <w:r>
        <w:t xml:space="preserve">First instruction</w:t>
      </w:r>
    </w:p>
    <w:p>
      <w:pPr>
        <w:numPr>
          <w:ilvl w:val="0"/>
          <w:numId w:val="1005"/>
        </w:numPr>
        <w:pStyle w:val="Compact"/>
      </w:pPr>
      <w:r>
        <w:t xml:space="preserve">Sub-instruction</w:t>
      </w:r>
    </w:p>
    <w:p>
      <w:pPr>
        <w:numPr>
          <w:ilvl w:val="0"/>
          <w:numId w:val="1005"/>
        </w:numPr>
        <w:pStyle w:val="Compact"/>
      </w:pPr>
      <w:r>
        <w:t xml:space="preserve">Sub-instruction</w:t>
      </w:r>
    </w:p>
    <w:p>
      <w:pPr>
        <w:numPr>
          <w:ilvl w:val="0"/>
          <w:numId w:val="1005"/>
        </w:numPr>
        <w:pStyle w:val="Compact"/>
      </w:pPr>
      <w:r>
        <w:t xml:space="preserve">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5"/>
        </w:numPr>
        <w:pStyle w:val="Compact"/>
      </w:pPr>
      <w:r>
        <w:t xml:space="preserve">First instruction</w:t>
      </w:r>
    </w:p>
    <w:p>
      <w:pPr>
        <w:numPr>
          <w:ilvl w:val="0"/>
          <w:numId w:val="1005"/>
        </w:numPr>
        <w:pStyle w:val="Compact"/>
      </w:pPr>
      <w:r>
        <w:t xml:space="preserve">Second instruction</w:t>
      </w:r>
    </w:p>
    <w:p>
      <w:pPr>
        <w:numPr>
          <w:ilvl w:val="0"/>
          <w:numId w:val="1005"/>
        </w:numPr>
        <w:pStyle w:val="Compact"/>
      </w:pPr>
      <w:r>
        <w:t xml:space="preserve">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0"/>
          <w:numId w:val="1006"/>
        </w:numPr>
        <w:pStyle w:val="Compact"/>
      </w:pPr>
      <w:r>
        <w:t xml:space="preserve">List item 1</w:t>
      </w:r>
    </w:p>
    <w:p>
      <w:pPr>
        <w:numPr>
          <w:ilvl w:val="0"/>
          <w:numId w:val="1006"/>
        </w:numPr>
        <w:pStyle w:val="Compact"/>
      </w:pPr>
      <w:r>
        <w:t xml:space="preserve">List item 2</w:t>
      </w:r>
    </w:p>
    <w:p>
      <w:pPr>
        <w:numPr>
          <w:ilvl w:val="0"/>
          <w:numId w:val="1006"/>
        </w:numPr>
        <w:pStyle w:val="Compact"/>
      </w:pPr>
      <w:r>
        <w:t xml:space="preserve">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6"/>
        </w:numPr>
        <w:pStyle w:val="Compact"/>
      </w:pPr>
      <w:r>
        <w:t xml:space="preserve">List item 1</w:t>
      </w:r>
    </w:p>
    <w:p>
      <w:pPr>
        <w:numPr>
          <w:ilvl w:val="0"/>
          <w:numId w:val="1006"/>
        </w:numPr>
        <w:pStyle w:val="Compact"/>
      </w:pPr>
      <w:r>
        <w:t xml:space="preserve">List item A</w:t>
      </w:r>
    </w:p>
    <w:p>
      <w:pPr>
        <w:numPr>
          <w:ilvl w:val="0"/>
          <w:numId w:val="1006"/>
        </w:numPr>
        <w:pStyle w:val="Compact"/>
      </w:pPr>
      <w:r>
        <w:t xml:space="preserve">List item B</w:t>
      </w:r>
    </w:p>
    <w:p>
      <w:pPr>
        <w:numPr>
          <w:ilvl w:val="0"/>
          <w:numId w:val="1006"/>
        </w:numPr>
        <w:pStyle w:val="Compact"/>
      </w:pPr>
      <w:r>
        <w:t xml:space="preserve">List item 2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w:hyperlink r:id="rId36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37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numPr>
          <w:ilvl w:val="0"/>
          <w:numId w:val="1007"/>
        </w:numPr>
        <w:pStyle w:val="Heading4"/>
      </w:pPr>
      <w:bookmarkStart w:id="38" w:name="X70ab410f2a21f9cc334fc6b073f37fd0a7f81c2"/>
      <w:r>
        <w:t xml:space="preserve">Создаём отчёт на прошлую лабораторную работу, используя</w:t>
      </w:r>
      <w:r>
        <w:t xml:space="preserve"> </w:t>
      </w:r>
      <w:r>
        <w:rPr>
          <w:iCs/>
          <w:i/>
        </w:rPr>
        <w:t xml:space="preserve">md</w:t>
      </w:r>
      <w:r>
        <w:t xml:space="preserve"> </w:t>
      </w:r>
      <w:r>
        <w:t xml:space="preserve">и доп. ПО</w:t>
      </w:r>
      <w:bookmarkEnd w:id="38"/>
    </w:p>
    <w:p>
      <w:pPr>
        <w:pStyle w:val="FirstParagraph"/>
      </w:pPr>
      <w:r>
        <w:t xml:space="preserve">Ссылка на отчёт</w:t>
      </w:r>
      <w:r>
        <w:t xml:space="preserve"> </w:t>
      </w:r>
      <w:hyperlink r:id="rId39">
        <w:r>
          <w:rPr>
            <w:rStyle w:val="Hyperlink"/>
          </w:rPr>
          <w:t xml:space="preserve">https://github.com/DaOneme/AEGrobman_study_2023-2024_arhpc/tree/main/Labs/Lab02</w:t>
        </w:r>
      </w:hyperlink>
    </w:p>
    <w:p>
      <w:pPr>
        <w:pStyle w:val="BodyText"/>
      </w:pPr>
      <w:r>
        <w:t xml:space="preserve">А так же, что бы не тратить время - пользуемся скачанными конверторами и трансформируем наш</w:t>
      </w:r>
      <w:r>
        <w:t xml:space="preserve"> </w:t>
      </w:r>
      <w:r>
        <w:rPr>
          <w:iCs/>
          <w:i/>
        </w:rPr>
        <w:t xml:space="preserve">md</w:t>
      </w:r>
      <w:r>
        <w:t xml:space="preserve"> </w:t>
      </w:r>
      <w:r>
        <w:t xml:space="preserve">файл в</w:t>
      </w:r>
      <w:r>
        <w:t xml:space="preserve"> </w:t>
      </w:r>
      <w:r>
        <w:rPr>
          <w:iCs/>
          <w:i/>
        </w:rPr>
        <w:t xml:space="preserve">docx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pdf</w:t>
      </w:r>
    </w:p>
    <w:p>
      <w:pPr>
        <w:pStyle w:val="BodyText"/>
      </w:pPr>
      <w:r>
        <w:t xml:space="preserve">Вот пример конвертации, а именно отрывок отчётности консоли.</w:t>
      </w:r>
    </w:p>
    <w:p>
      <w:pPr>
        <w:pStyle w:val="BodyText"/>
      </w:pPr>
      <w:r>
        <w:drawing>
          <wp:inline>
            <wp:extent cx="5334000" cy="332823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3/Resourses/Images/image1.pn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Heading4"/>
      </w:pPr>
      <w:bookmarkStart w:id="43" w:name="X7751082ed6127bf61d1411e2378f9b2d7f83467"/>
      <w:r>
        <w:t xml:space="preserve">Повторяем действия выше, для завершения текущего отчёта.</w:t>
      </w:r>
      <w:bookmarkEnd w:id="43"/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0" Target="media/rId40.png" /><Relationship Type="http://schemas.openxmlformats.org/officeDocument/2006/relationships/hyperlink" Id="rId36" Target="file-name.md" TargetMode="External" /><Relationship Type="http://schemas.openxmlformats.org/officeDocument/2006/relationships/hyperlink" Id="rId37" Target="http://example.com/" TargetMode="External" /><Relationship Type="http://schemas.openxmlformats.org/officeDocument/2006/relationships/hyperlink" Id="rId28" Target="http://markdownpad.com/" TargetMode="External" /><Relationship Type="http://schemas.openxmlformats.org/officeDocument/2006/relationships/hyperlink" Id="rId39" Target="https://github.com/DaOneme/AEGrobman_study_2023-2024_arhpc/tree/main/Labs/Lab02" TargetMode="External" /><Relationship Type="http://schemas.openxmlformats.org/officeDocument/2006/relationships/hyperlink" Id="rId33" Target="https://pandoc.org/" TargetMode="External" /><Relationship Type="http://schemas.openxmlformats.org/officeDocument/2006/relationships/hyperlink" Id="rId34" Target="https://tug.org/texliv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file-name.md" TargetMode="External" /><Relationship Type="http://schemas.openxmlformats.org/officeDocument/2006/relationships/hyperlink" Id="rId37" Target="http://example.com/" TargetMode="External" /><Relationship Type="http://schemas.openxmlformats.org/officeDocument/2006/relationships/hyperlink" Id="rId28" Target="http://markdownpad.com/" TargetMode="External" /><Relationship Type="http://schemas.openxmlformats.org/officeDocument/2006/relationships/hyperlink" Id="rId39" Target="https://github.com/DaOneme/AEGrobman_study_2023-2024_arhpc/tree/main/Labs/Lab02" TargetMode="External" /><Relationship Type="http://schemas.openxmlformats.org/officeDocument/2006/relationships/hyperlink" Id="rId33" Target="https://pandoc.org/" TargetMode="External" /><Relationship Type="http://schemas.openxmlformats.org/officeDocument/2006/relationships/hyperlink" Id="rId34" Target="https://tug.org/texliv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2023-10-14T19:44:14Z</dcterms:created>
  <dcterms:modified xsi:type="dcterms:W3CDTF">2023-10-14T19:44:14Z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