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A18" w:rsidRDefault="00F3603F">
      <w:pPr>
        <w:pStyle w:val="1"/>
        <w:spacing w:before="0" w:after="0" w:line="360" w:lineRule="auto"/>
        <w:ind w:firstLineChars="0" w:firstLine="0"/>
        <w:jc w:val="center"/>
      </w:pPr>
      <w:r>
        <w:rPr>
          <w:rFonts w:hint="eastAsia"/>
        </w:rPr>
        <w:t>武汉</w:t>
      </w:r>
      <w:r>
        <w:t>翔明激光科技有限公司</w:t>
      </w:r>
    </w:p>
    <w:p w:rsidR="003D4A18" w:rsidRDefault="00F3603F">
      <w:pPr>
        <w:pStyle w:val="1"/>
        <w:spacing w:before="0" w:after="0" w:line="360" w:lineRule="auto"/>
        <w:ind w:firstLineChars="0" w:firstLine="0"/>
        <w:jc w:val="center"/>
      </w:pPr>
      <w:r>
        <w:rPr>
          <w:rFonts w:hint="eastAsia"/>
        </w:rPr>
        <w:t>采购合同书</w:t>
      </w:r>
    </w:p>
    <w:p w:rsidR="003D4A18" w:rsidRDefault="003D4A18">
      <w:pPr>
        <w:ind w:firstLine="420"/>
      </w:pPr>
    </w:p>
    <w:p w:rsidR="003D4A18" w:rsidRDefault="00F3603F">
      <w:pPr>
        <w:ind w:firstLineChars="0" w:firstLine="0"/>
        <w:rPr>
          <w:sz w:val="24"/>
          <w:szCs w:val="24"/>
        </w:rPr>
      </w:pPr>
      <w:r>
        <w:rPr>
          <w:rFonts w:hint="eastAsia"/>
          <w:sz w:val="24"/>
          <w:szCs w:val="24"/>
        </w:rPr>
        <w:t>购买方</w:t>
      </w:r>
      <w:r>
        <w:rPr>
          <w:sz w:val="24"/>
          <w:szCs w:val="24"/>
        </w:rPr>
        <w:t>：</w:t>
      </w:r>
      <w:r>
        <w:rPr>
          <w:rFonts w:hint="eastAsia"/>
          <w:sz w:val="24"/>
          <w:szCs w:val="24"/>
          <w:u w:val="single"/>
        </w:rPr>
        <w:t xml:space="preserve">  </w:t>
      </w:r>
      <w:r>
        <w:rPr>
          <w:sz w:val="24"/>
          <w:szCs w:val="24"/>
          <w:u w:val="single"/>
        </w:rPr>
        <w:t xml:space="preserve"> </w:t>
      </w:r>
      <w:r>
        <w:rPr>
          <w:sz w:val="24"/>
          <w:szCs w:val="24"/>
          <w:u w:val="single"/>
        </w:rPr>
        <w:t>武汉翔明激光科技有限公司</w:t>
      </w:r>
      <w:r>
        <w:rPr>
          <w:rFonts w:hint="eastAsia"/>
          <w:sz w:val="24"/>
          <w:szCs w:val="24"/>
          <w:u w:val="single"/>
        </w:rPr>
        <w:t xml:space="preserve">   </w:t>
      </w:r>
      <w:r w:rsidR="000D466D">
        <w:rPr>
          <w:sz w:val="24"/>
          <w:szCs w:val="24"/>
        </w:rPr>
        <w:t xml:space="preserve">    </w:t>
      </w:r>
      <w:r>
        <w:rPr>
          <w:rFonts w:hint="eastAsia"/>
          <w:sz w:val="24"/>
          <w:szCs w:val="24"/>
        </w:rPr>
        <w:t>合同</w:t>
      </w:r>
      <w:r>
        <w:rPr>
          <w:sz w:val="24"/>
          <w:szCs w:val="24"/>
        </w:rPr>
        <w:t>编号：</w:t>
      </w:r>
      <w:r>
        <w:rPr>
          <w:rFonts w:hint="eastAsia"/>
          <w:sz w:val="24"/>
          <w:szCs w:val="24"/>
          <w:u w:val="single"/>
        </w:rPr>
        <w:t xml:space="preserve">         </w:t>
      </w:r>
    </w:p>
    <w:p w:rsidR="003D4A18" w:rsidRDefault="00F3603F">
      <w:pPr>
        <w:ind w:firstLineChars="0" w:firstLine="0"/>
        <w:rPr>
          <w:sz w:val="24"/>
          <w:szCs w:val="24"/>
          <w:u w:val="single"/>
        </w:rPr>
      </w:pPr>
      <w:r>
        <w:rPr>
          <w:rFonts w:hint="eastAsia"/>
          <w:sz w:val="24"/>
          <w:szCs w:val="24"/>
        </w:rPr>
        <w:t>销售方</w:t>
      </w:r>
      <w:r>
        <w:rPr>
          <w:sz w:val="24"/>
          <w:szCs w:val="24"/>
        </w:rPr>
        <w:t>：</w:t>
      </w:r>
      <w:r w:rsidR="000D466D">
        <w:rPr>
          <w:rFonts w:hint="eastAsia"/>
          <w:sz w:val="24"/>
          <w:szCs w:val="24"/>
          <w:u w:val="single"/>
        </w:rPr>
        <w:t xml:space="preserve">  </w:t>
      </w:r>
      <w:r w:rsidR="00E84B95">
        <w:rPr>
          <w:sz w:val="24"/>
          <w:szCs w:val="24"/>
          <w:u w:val="single"/>
        </w:rPr>
        <w:t xml:space="preserve"> </w:t>
      </w:r>
      <w:r w:rsidR="00E4498E">
        <w:rPr>
          <w:rFonts w:hint="eastAsia"/>
          <w:sz w:val="24"/>
          <w:szCs w:val="24"/>
          <w:u w:val="single"/>
        </w:rPr>
        <w:t xml:space="preserve">                          </w:t>
      </w:r>
      <w:r>
        <w:rPr>
          <w:rFonts w:hint="eastAsia"/>
          <w:sz w:val="24"/>
          <w:szCs w:val="24"/>
          <w:u w:val="single"/>
        </w:rPr>
        <w:t xml:space="preserve"> </w:t>
      </w:r>
      <w:r w:rsidR="000D466D">
        <w:rPr>
          <w:sz w:val="24"/>
          <w:szCs w:val="24"/>
        </w:rPr>
        <w:t xml:space="preserve">  </w:t>
      </w:r>
      <w:r w:rsidR="005B647E">
        <w:rPr>
          <w:sz w:val="24"/>
          <w:szCs w:val="24"/>
        </w:rPr>
        <w:t xml:space="preserve"> </w:t>
      </w:r>
      <w:r>
        <w:rPr>
          <w:sz w:val="24"/>
          <w:szCs w:val="24"/>
        </w:rPr>
        <w:t xml:space="preserve"> </w:t>
      </w:r>
      <w:r>
        <w:rPr>
          <w:rFonts w:hint="eastAsia"/>
          <w:sz w:val="24"/>
          <w:szCs w:val="24"/>
        </w:rPr>
        <w:t>签订日期：</w:t>
      </w:r>
      <w:r w:rsidR="000D466D">
        <w:rPr>
          <w:rFonts w:hint="eastAsia"/>
          <w:sz w:val="24"/>
          <w:szCs w:val="24"/>
        </w:rPr>
        <w:t>2017</w:t>
      </w:r>
      <w:r w:rsidR="000D466D">
        <w:rPr>
          <w:rFonts w:hint="eastAsia"/>
          <w:sz w:val="24"/>
          <w:szCs w:val="24"/>
        </w:rPr>
        <w:t>年</w:t>
      </w:r>
      <w:r w:rsidR="004B7C78">
        <w:rPr>
          <w:sz w:val="24"/>
          <w:szCs w:val="24"/>
        </w:rPr>
        <w:t>7</w:t>
      </w:r>
      <w:r w:rsidR="000D466D">
        <w:rPr>
          <w:rFonts w:hint="eastAsia"/>
          <w:sz w:val="24"/>
          <w:szCs w:val="24"/>
        </w:rPr>
        <w:t>月</w:t>
      </w:r>
      <w:r w:rsidR="004B7C78">
        <w:rPr>
          <w:sz w:val="24"/>
          <w:szCs w:val="24"/>
        </w:rPr>
        <w:t>4</w:t>
      </w:r>
      <w:r w:rsidR="000D466D">
        <w:rPr>
          <w:rFonts w:hint="eastAsia"/>
          <w:sz w:val="24"/>
          <w:szCs w:val="24"/>
        </w:rPr>
        <w:t>日</w:t>
      </w:r>
      <w:r>
        <w:rPr>
          <w:sz w:val="24"/>
          <w:szCs w:val="24"/>
          <w:u w:val="single"/>
        </w:rPr>
        <w:t xml:space="preserve">          </w:t>
      </w:r>
    </w:p>
    <w:p w:rsidR="003D4A18" w:rsidRDefault="003D4A18">
      <w:pPr>
        <w:ind w:firstLine="480"/>
        <w:rPr>
          <w:sz w:val="24"/>
          <w:szCs w:val="24"/>
          <w:u w:val="single"/>
        </w:rPr>
      </w:pPr>
    </w:p>
    <w:p w:rsidR="003D4A18" w:rsidRDefault="00F3603F">
      <w:pPr>
        <w:widowControl/>
        <w:spacing w:afterLines="50" w:after="156"/>
        <w:ind w:firstLineChars="0"/>
        <w:rPr>
          <w:rFonts w:ascii="宋体" w:eastAsia="宋体" w:hAnsi="宋体" w:cs="宋体"/>
          <w:b/>
          <w:kern w:val="0"/>
          <w:szCs w:val="24"/>
        </w:rPr>
      </w:pPr>
      <w:r>
        <w:rPr>
          <w:rFonts w:hint="eastAsia"/>
          <w:b/>
          <w:szCs w:val="24"/>
        </w:rPr>
        <w:t>一</w:t>
      </w:r>
      <w:r>
        <w:rPr>
          <w:b/>
          <w:szCs w:val="24"/>
        </w:rPr>
        <w:t>、</w:t>
      </w:r>
      <w:r>
        <w:rPr>
          <w:rFonts w:ascii="宋体" w:eastAsia="宋体" w:hAnsi="宋体" w:cs="宋体" w:hint="eastAsia"/>
          <w:b/>
          <w:kern w:val="0"/>
          <w:szCs w:val="24"/>
        </w:rPr>
        <w:t>双方购销</w:t>
      </w:r>
      <w:r>
        <w:rPr>
          <w:rFonts w:ascii="宋体" w:eastAsia="宋体" w:hAnsi="宋体" w:cs="宋体"/>
          <w:b/>
          <w:kern w:val="0"/>
          <w:szCs w:val="24"/>
        </w:rPr>
        <w:t>产品明细</w:t>
      </w:r>
      <w:r>
        <w:rPr>
          <w:rFonts w:ascii="宋体" w:eastAsia="宋体" w:hAnsi="宋体" w:cs="宋体" w:hint="eastAsia"/>
          <w:b/>
          <w:kern w:val="0"/>
          <w:szCs w:val="24"/>
        </w:rPr>
        <w:t>（产品名称、型号规格、数量、单价等）：</w:t>
      </w:r>
    </w:p>
    <w:tbl>
      <w:tblPr>
        <w:tblStyle w:val="a7"/>
        <w:tblW w:w="8232" w:type="dxa"/>
        <w:jc w:val="center"/>
        <w:tblLayout w:type="fixed"/>
        <w:tblLook w:val="04A0" w:firstRow="1" w:lastRow="0" w:firstColumn="1" w:lastColumn="0" w:noHBand="0" w:noVBand="1"/>
      </w:tblPr>
      <w:tblGrid>
        <w:gridCol w:w="704"/>
        <w:gridCol w:w="851"/>
        <w:gridCol w:w="425"/>
        <w:gridCol w:w="2283"/>
        <w:gridCol w:w="708"/>
        <w:gridCol w:w="709"/>
        <w:gridCol w:w="1084"/>
        <w:gridCol w:w="1468"/>
      </w:tblGrid>
      <w:tr w:rsidR="003D4A18">
        <w:trPr>
          <w:jc w:val="center"/>
        </w:trPr>
        <w:tc>
          <w:tcPr>
            <w:tcW w:w="704" w:type="dxa"/>
          </w:tcPr>
          <w:p w:rsidR="003D4A18" w:rsidRDefault="00F3603F">
            <w:pPr>
              <w:pStyle w:val="12"/>
              <w:jc w:val="center"/>
            </w:pPr>
            <w:r>
              <w:rPr>
                <w:rFonts w:hint="eastAsia"/>
              </w:rPr>
              <w:t>序号</w:t>
            </w:r>
          </w:p>
        </w:tc>
        <w:tc>
          <w:tcPr>
            <w:tcW w:w="1276" w:type="dxa"/>
            <w:gridSpan w:val="2"/>
          </w:tcPr>
          <w:p w:rsidR="003D4A18" w:rsidRDefault="00F3603F">
            <w:pPr>
              <w:pStyle w:val="12"/>
              <w:jc w:val="center"/>
            </w:pPr>
            <w:r>
              <w:rPr>
                <w:rFonts w:hint="eastAsia"/>
              </w:rPr>
              <w:t>产品</w:t>
            </w:r>
            <w:r>
              <w:t>名称</w:t>
            </w:r>
          </w:p>
        </w:tc>
        <w:tc>
          <w:tcPr>
            <w:tcW w:w="2283" w:type="dxa"/>
          </w:tcPr>
          <w:p w:rsidR="003D4A18" w:rsidRDefault="00F3603F">
            <w:pPr>
              <w:pStyle w:val="12"/>
              <w:jc w:val="center"/>
            </w:pPr>
            <w:r>
              <w:rPr>
                <w:rFonts w:hint="eastAsia"/>
              </w:rPr>
              <w:t>型号</w:t>
            </w:r>
            <w:r>
              <w:t>规格</w:t>
            </w:r>
          </w:p>
        </w:tc>
        <w:tc>
          <w:tcPr>
            <w:tcW w:w="708" w:type="dxa"/>
          </w:tcPr>
          <w:p w:rsidR="003D4A18" w:rsidRDefault="00F3603F">
            <w:pPr>
              <w:pStyle w:val="12"/>
              <w:jc w:val="center"/>
            </w:pPr>
            <w:r>
              <w:rPr>
                <w:rFonts w:hint="eastAsia"/>
              </w:rPr>
              <w:t>单位</w:t>
            </w:r>
          </w:p>
        </w:tc>
        <w:tc>
          <w:tcPr>
            <w:tcW w:w="709" w:type="dxa"/>
          </w:tcPr>
          <w:p w:rsidR="003D4A18" w:rsidRDefault="00F3603F">
            <w:pPr>
              <w:pStyle w:val="12"/>
              <w:jc w:val="center"/>
            </w:pPr>
            <w:r>
              <w:rPr>
                <w:rFonts w:hint="eastAsia"/>
              </w:rPr>
              <w:t>数量</w:t>
            </w:r>
          </w:p>
        </w:tc>
        <w:tc>
          <w:tcPr>
            <w:tcW w:w="1084" w:type="dxa"/>
          </w:tcPr>
          <w:p w:rsidR="003D4A18" w:rsidRDefault="00F3603F">
            <w:pPr>
              <w:pStyle w:val="12"/>
              <w:jc w:val="center"/>
            </w:pPr>
            <w:r>
              <w:rPr>
                <w:rFonts w:hint="eastAsia"/>
              </w:rPr>
              <w:t>单价</w:t>
            </w:r>
          </w:p>
        </w:tc>
        <w:tc>
          <w:tcPr>
            <w:tcW w:w="1468" w:type="dxa"/>
          </w:tcPr>
          <w:p w:rsidR="003D4A18" w:rsidRDefault="00F3603F">
            <w:pPr>
              <w:pStyle w:val="12"/>
              <w:jc w:val="center"/>
            </w:pPr>
            <w:r>
              <w:rPr>
                <w:rFonts w:hint="eastAsia"/>
              </w:rPr>
              <w:t>总额</w:t>
            </w:r>
          </w:p>
        </w:tc>
      </w:tr>
      <w:tr w:rsidR="003D4A18">
        <w:trPr>
          <w:jc w:val="center"/>
        </w:trPr>
        <w:tc>
          <w:tcPr>
            <w:tcW w:w="704" w:type="dxa"/>
          </w:tcPr>
          <w:p w:rsidR="003D4A18" w:rsidRDefault="000D466D">
            <w:pPr>
              <w:pStyle w:val="12"/>
              <w:jc w:val="center"/>
            </w:pPr>
            <w:r>
              <w:rPr>
                <w:rFonts w:hint="eastAsia"/>
              </w:rPr>
              <w:t>1</w:t>
            </w:r>
          </w:p>
        </w:tc>
        <w:tc>
          <w:tcPr>
            <w:tcW w:w="1276" w:type="dxa"/>
            <w:gridSpan w:val="2"/>
          </w:tcPr>
          <w:p w:rsidR="003D4A18" w:rsidRDefault="003D4A18">
            <w:pPr>
              <w:pStyle w:val="12"/>
              <w:jc w:val="center"/>
            </w:pPr>
          </w:p>
        </w:tc>
        <w:tc>
          <w:tcPr>
            <w:tcW w:w="2283" w:type="dxa"/>
          </w:tcPr>
          <w:p w:rsidR="003D4A18" w:rsidRDefault="003D4A18">
            <w:pPr>
              <w:pStyle w:val="12"/>
              <w:jc w:val="center"/>
            </w:pPr>
          </w:p>
        </w:tc>
        <w:tc>
          <w:tcPr>
            <w:tcW w:w="708" w:type="dxa"/>
          </w:tcPr>
          <w:p w:rsidR="003D4A18" w:rsidRDefault="003D4A18">
            <w:pPr>
              <w:pStyle w:val="12"/>
              <w:jc w:val="center"/>
            </w:pPr>
          </w:p>
        </w:tc>
        <w:tc>
          <w:tcPr>
            <w:tcW w:w="709" w:type="dxa"/>
          </w:tcPr>
          <w:p w:rsidR="003D4A18" w:rsidRDefault="003D4A18">
            <w:pPr>
              <w:pStyle w:val="12"/>
              <w:jc w:val="center"/>
            </w:pPr>
          </w:p>
        </w:tc>
        <w:tc>
          <w:tcPr>
            <w:tcW w:w="1084" w:type="dxa"/>
          </w:tcPr>
          <w:p w:rsidR="003D4A18" w:rsidRDefault="003D4A18">
            <w:pPr>
              <w:pStyle w:val="12"/>
              <w:jc w:val="center"/>
            </w:pPr>
          </w:p>
        </w:tc>
        <w:tc>
          <w:tcPr>
            <w:tcW w:w="1468" w:type="dxa"/>
          </w:tcPr>
          <w:p w:rsidR="003D4A18" w:rsidRDefault="003D4A18">
            <w:pPr>
              <w:pStyle w:val="12"/>
              <w:jc w:val="center"/>
            </w:pPr>
          </w:p>
        </w:tc>
      </w:tr>
      <w:tr w:rsidR="003D4A18">
        <w:trPr>
          <w:jc w:val="center"/>
        </w:trPr>
        <w:tc>
          <w:tcPr>
            <w:tcW w:w="704" w:type="dxa"/>
          </w:tcPr>
          <w:p w:rsidR="003D4A18" w:rsidRDefault="004B7C78">
            <w:pPr>
              <w:pStyle w:val="12"/>
              <w:jc w:val="center"/>
            </w:pPr>
            <w:r>
              <w:rPr>
                <w:rFonts w:hint="eastAsia"/>
              </w:rPr>
              <w:t>2</w:t>
            </w:r>
          </w:p>
        </w:tc>
        <w:tc>
          <w:tcPr>
            <w:tcW w:w="1276" w:type="dxa"/>
            <w:gridSpan w:val="2"/>
          </w:tcPr>
          <w:p w:rsidR="003D4A18" w:rsidRDefault="003D4A18">
            <w:pPr>
              <w:pStyle w:val="12"/>
              <w:jc w:val="center"/>
            </w:pPr>
          </w:p>
        </w:tc>
        <w:tc>
          <w:tcPr>
            <w:tcW w:w="2283" w:type="dxa"/>
          </w:tcPr>
          <w:p w:rsidR="003D4A18" w:rsidRDefault="003D4A18">
            <w:pPr>
              <w:pStyle w:val="12"/>
              <w:jc w:val="center"/>
            </w:pPr>
          </w:p>
        </w:tc>
        <w:tc>
          <w:tcPr>
            <w:tcW w:w="708" w:type="dxa"/>
          </w:tcPr>
          <w:p w:rsidR="003D4A18" w:rsidRDefault="003D4A18">
            <w:pPr>
              <w:pStyle w:val="12"/>
              <w:jc w:val="center"/>
            </w:pPr>
          </w:p>
        </w:tc>
        <w:tc>
          <w:tcPr>
            <w:tcW w:w="709" w:type="dxa"/>
          </w:tcPr>
          <w:p w:rsidR="003D4A18" w:rsidRDefault="003D4A18">
            <w:pPr>
              <w:pStyle w:val="12"/>
              <w:jc w:val="center"/>
            </w:pPr>
          </w:p>
        </w:tc>
        <w:tc>
          <w:tcPr>
            <w:tcW w:w="1084" w:type="dxa"/>
          </w:tcPr>
          <w:p w:rsidR="003D4A18" w:rsidRDefault="003D4A18">
            <w:pPr>
              <w:pStyle w:val="12"/>
              <w:jc w:val="center"/>
            </w:pPr>
          </w:p>
        </w:tc>
        <w:tc>
          <w:tcPr>
            <w:tcW w:w="1468" w:type="dxa"/>
          </w:tcPr>
          <w:p w:rsidR="003D4A18" w:rsidRDefault="003D4A18">
            <w:pPr>
              <w:pStyle w:val="12"/>
              <w:jc w:val="center"/>
            </w:pPr>
          </w:p>
        </w:tc>
      </w:tr>
      <w:tr w:rsidR="003D4A18">
        <w:trPr>
          <w:jc w:val="center"/>
        </w:trPr>
        <w:tc>
          <w:tcPr>
            <w:tcW w:w="704" w:type="dxa"/>
          </w:tcPr>
          <w:p w:rsidR="003D4A18" w:rsidRDefault="003D4A18">
            <w:pPr>
              <w:pStyle w:val="12"/>
              <w:jc w:val="center"/>
            </w:pPr>
          </w:p>
        </w:tc>
        <w:tc>
          <w:tcPr>
            <w:tcW w:w="1276" w:type="dxa"/>
            <w:gridSpan w:val="2"/>
          </w:tcPr>
          <w:p w:rsidR="003D4A18" w:rsidRDefault="003D4A18">
            <w:pPr>
              <w:pStyle w:val="12"/>
              <w:jc w:val="center"/>
            </w:pPr>
          </w:p>
        </w:tc>
        <w:tc>
          <w:tcPr>
            <w:tcW w:w="2283" w:type="dxa"/>
          </w:tcPr>
          <w:p w:rsidR="003D4A18" w:rsidRDefault="003D4A18">
            <w:pPr>
              <w:pStyle w:val="12"/>
              <w:jc w:val="center"/>
            </w:pPr>
          </w:p>
        </w:tc>
        <w:tc>
          <w:tcPr>
            <w:tcW w:w="708" w:type="dxa"/>
          </w:tcPr>
          <w:p w:rsidR="003D4A18" w:rsidRDefault="003D4A18">
            <w:pPr>
              <w:pStyle w:val="12"/>
              <w:jc w:val="center"/>
            </w:pPr>
          </w:p>
        </w:tc>
        <w:tc>
          <w:tcPr>
            <w:tcW w:w="709" w:type="dxa"/>
          </w:tcPr>
          <w:p w:rsidR="003D4A18" w:rsidRDefault="003D4A18">
            <w:pPr>
              <w:pStyle w:val="12"/>
              <w:jc w:val="center"/>
            </w:pPr>
          </w:p>
        </w:tc>
        <w:tc>
          <w:tcPr>
            <w:tcW w:w="1084" w:type="dxa"/>
          </w:tcPr>
          <w:p w:rsidR="003D4A18" w:rsidRDefault="003D4A18">
            <w:pPr>
              <w:pStyle w:val="12"/>
              <w:jc w:val="center"/>
            </w:pPr>
          </w:p>
        </w:tc>
        <w:tc>
          <w:tcPr>
            <w:tcW w:w="1468" w:type="dxa"/>
          </w:tcPr>
          <w:p w:rsidR="003D4A18" w:rsidRDefault="003D4A18">
            <w:pPr>
              <w:pStyle w:val="12"/>
              <w:jc w:val="center"/>
            </w:pPr>
          </w:p>
        </w:tc>
      </w:tr>
      <w:tr w:rsidR="003D4A18">
        <w:trPr>
          <w:jc w:val="center"/>
        </w:trPr>
        <w:tc>
          <w:tcPr>
            <w:tcW w:w="704" w:type="dxa"/>
          </w:tcPr>
          <w:p w:rsidR="003D4A18" w:rsidRDefault="003D4A18">
            <w:pPr>
              <w:pStyle w:val="12"/>
              <w:jc w:val="center"/>
            </w:pPr>
          </w:p>
        </w:tc>
        <w:tc>
          <w:tcPr>
            <w:tcW w:w="1276" w:type="dxa"/>
            <w:gridSpan w:val="2"/>
          </w:tcPr>
          <w:p w:rsidR="003D4A18" w:rsidRDefault="003D4A18">
            <w:pPr>
              <w:pStyle w:val="12"/>
              <w:jc w:val="center"/>
            </w:pPr>
          </w:p>
        </w:tc>
        <w:tc>
          <w:tcPr>
            <w:tcW w:w="2283" w:type="dxa"/>
          </w:tcPr>
          <w:p w:rsidR="003D4A18" w:rsidRDefault="003D4A18">
            <w:pPr>
              <w:pStyle w:val="12"/>
              <w:jc w:val="center"/>
            </w:pPr>
          </w:p>
        </w:tc>
        <w:tc>
          <w:tcPr>
            <w:tcW w:w="708" w:type="dxa"/>
          </w:tcPr>
          <w:p w:rsidR="003D4A18" w:rsidRDefault="003D4A18">
            <w:pPr>
              <w:pStyle w:val="12"/>
              <w:jc w:val="center"/>
            </w:pPr>
          </w:p>
        </w:tc>
        <w:tc>
          <w:tcPr>
            <w:tcW w:w="709" w:type="dxa"/>
          </w:tcPr>
          <w:p w:rsidR="003D4A18" w:rsidRDefault="003D4A18">
            <w:pPr>
              <w:pStyle w:val="12"/>
              <w:jc w:val="center"/>
            </w:pPr>
          </w:p>
        </w:tc>
        <w:tc>
          <w:tcPr>
            <w:tcW w:w="1084" w:type="dxa"/>
          </w:tcPr>
          <w:p w:rsidR="003D4A18" w:rsidRDefault="003D4A18">
            <w:pPr>
              <w:pStyle w:val="12"/>
              <w:jc w:val="center"/>
            </w:pPr>
          </w:p>
        </w:tc>
        <w:tc>
          <w:tcPr>
            <w:tcW w:w="1468" w:type="dxa"/>
          </w:tcPr>
          <w:p w:rsidR="003D4A18" w:rsidRDefault="003D4A18">
            <w:pPr>
              <w:pStyle w:val="12"/>
              <w:jc w:val="center"/>
            </w:pPr>
          </w:p>
        </w:tc>
      </w:tr>
      <w:tr w:rsidR="003D4A18">
        <w:trPr>
          <w:jc w:val="center"/>
        </w:trPr>
        <w:tc>
          <w:tcPr>
            <w:tcW w:w="6764" w:type="dxa"/>
            <w:gridSpan w:val="7"/>
          </w:tcPr>
          <w:p w:rsidR="003D4A18" w:rsidRDefault="00F3603F">
            <w:pPr>
              <w:pStyle w:val="12"/>
              <w:jc w:val="right"/>
            </w:pPr>
            <w:r>
              <w:rPr>
                <w:rFonts w:hint="eastAsia"/>
              </w:rPr>
              <w:t>合计</w:t>
            </w:r>
            <w:r>
              <w:t>（</w:t>
            </w:r>
            <w:r>
              <w:rPr>
                <w:rFonts w:hint="eastAsia"/>
              </w:rPr>
              <w:t>RMB</w:t>
            </w:r>
            <w:r>
              <w:t>）</w:t>
            </w:r>
            <w:r>
              <w:rPr>
                <w:rFonts w:hint="eastAsia"/>
              </w:rPr>
              <w:t>：</w:t>
            </w:r>
          </w:p>
        </w:tc>
        <w:tc>
          <w:tcPr>
            <w:tcW w:w="1468" w:type="dxa"/>
          </w:tcPr>
          <w:p w:rsidR="003D4A18" w:rsidRDefault="003D4A18">
            <w:pPr>
              <w:pStyle w:val="12"/>
            </w:pPr>
          </w:p>
        </w:tc>
      </w:tr>
      <w:tr w:rsidR="003D4A18">
        <w:trPr>
          <w:jc w:val="center"/>
        </w:trPr>
        <w:tc>
          <w:tcPr>
            <w:tcW w:w="1555" w:type="dxa"/>
            <w:gridSpan w:val="2"/>
          </w:tcPr>
          <w:p w:rsidR="003D4A18" w:rsidRDefault="00F3603F">
            <w:pPr>
              <w:pStyle w:val="12"/>
            </w:pPr>
            <w:r>
              <w:rPr>
                <w:rFonts w:hint="eastAsia"/>
              </w:rPr>
              <w:t>合计</w:t>
            </w:r>
            <w:r>
              <w:t>金额大写</w:t>
            </w:r>
          </w:p>
        </w:tc>
        <w:tc>
          <w:tcPr>
            <w:tcW w:w="6677" w:type="dxa"/>
            <w:gridSpan w:val="6"/>
          </w:tcPr>
          <w:p w:rsidR="003D4A18" w:rsidRDefault="000D466D">
            <w:pPr>
              <w:pStyle w:val="12"/>
            </w:pPr>
            <w:r>
              <w:rPr>
                <w:rFonts w:hint="eastAsia"/>
              </w:rPr>
              <w:t>（含税）</w:t>
            </w:r>
          </w:p>
        </w:tc>
      </w:tr>
      <w:tr w:rsidR="003D4A18">
        <w:trPr>
          <w:jc w:val="center"/>
        </w:trPr>
        <w:tc>
          <w:tcPr>
            <w:tcW w:w="8232" w:type="dxa"/>
            <w:gridSpan w:val="8"/>
          </w:tcPr>
          <w:p w:rsidR="003D4A18" w:rsidRDefault="00F3603F">
            <w:pPr>
              <w:pStyle w:val="12"/>
            </w:pPr>
            <w:r>
              <w:rPr>
                <w:rFonts w:hint="eastAsia"/>
              </w:rPr>
              <w:t>以上</w:t>
            </w:r>
            <w:r>
              <w:t>价格为人民币含</w:t>
            </w:r>
            <w:r w:rsidRPr="00E4498E">
              <w:rPr>
                <w:color w:val="FF0000"/>
              </w:rPr>
              <w:t>17%</w:t>
            </w:r>
            <w:r>
              <w:t>增值税</w:t>
            </w:r>
            <w:r>
              <w:rPr>
                <w:rFonts w:hint="eastAsia"/>
              </w:rPr>
              <w:t>，发票</w:t>
            </w:r>
            <w:r>
              <w:t>随货</w:t>
            </w:r>
            <w:r>
              <w:rPr>
                <w:rFonts w:hint="eastAsia"/>
              </w:rPr>
              <w:t>。</w:t>
            </w:r>
          </w:p>
        </w:tc>
      </w:tr>
    </w:tbl>
    <w:p w:rsidR="003D4A18" w:rsidRDefault="003D4A18">
      <w:pPr>
        <w:widowControl/>
        <w:spacing w:afterLines="50" w:after="156"/>
        <w:ind w:firstLineChars="0" w:firstLine="0"/>
        <w:rPr>
          <w:b/>
          <w:szCs w:val="24"/>
        </w:rPr>
      </w:pPr>
    </w:p>
    <w:p w:rsidR="003D4A18" w:rsidRDefault="00F3603F">
      <w:pPr>
        <w:widowControl/>
        <w:spacing w:afterLines="50" w:after="156"/>
        <w:ind w:firstLineChars="0" w:firstLine="0"/>
        <w:rPr>
          <w:rFonts w:ascii="宋体" w:eastAsia="宋体" w:hAnsi="宋体" w:cs="宋体"/>
          <w:b/>
          <w:kern w:val="0"/>
          <w:szCs w:val="24"/>
        </w:rPr>
      </w:pPr>
      <w:r>
        <w:rPr>
          <w:rFonts w:hint="eastAsia"/>
          <w:b/>
          <w:szCs w:val="24"/>
        </w:rPr>
        <w:t>二</w:t>
      </w:r>
      <w:r>
        <w:rPr>
          <w:b/>
          <w:szCs w:val="24"/>
        </w:rPr>
        <w:t>、</w:t>
      </w:r>
      <w:r>
        <w:rPr>
          <w:rFonts w:ascii="宋体" w:eastAsia="宋体" w:hAnsi="宋体" w:cs="宋体" w:hint="eastAsia"/>
          <w:b/>
          <w:kern w:val="0"/>
          <w:szCs w:val="24"/>
        </w:rPr>
        <w:t>质量要求与技术标准：</w:t>
      </w:r>
    </w:p>
    <w:p w:rsidR="003D4A18" w:rsidRDefault="00F3603F">
      <w:pPr>
        <w:ind w:firstLine="420"/>
      </w:pPr>
      <w:r>
        <w:rPr>
          <w:rFonts w:hint="eastAsia"/>
        </w:rPr>
        <w:t>销售方保证提供的本合同第一条中所列所有产品为</w:t>
      </w:r>
      <w:r w:rsidR="000D466D">
        <w:rPr>
          <w:rFonts w:hint="eastAsia"/>
        </w:rPr>
        <w:t>北京金海创</w:t>
      </w:r>
      <w:r>
        <w:rPr>
          <w:rFonts w:hint="eastAsia"/>
        </w:rPr>
        <w:t>公司原装产品，并是完全达到该公司所公布的或《用户手册》中载明的技术及质量指标的合格品，并符合以下所列技术要求：</w:t>
      </w:r>
    </w:p>
    <w:p w:rsidR="00E4498E" w:rsidRDefault="00E4498E" w:rsidP="00E4498E">
      <w:pPr>
        <w:widowControl/>
        <w:spacing w:afterLines="50" w:after="156"/>
        <w:ind w:firstLineChars="0" w:firstLine="420"/>
        <w:rPr>
          <w:rFonts w:ascii="宋体" w:eastAsia="宋体" w:hAnsi="宋体" w:cs="宋体"/>
          <w:b/>
          <w:kern w:val="0"/>
          <w:szCs w:val="24"/>
        </w:rPr>
      </w:pPr>
      <w:r>
        <w:rPr>
          <w:rFonts w:ascii="宋体" w:eastAsia="宋体" w:hAnsi="宋体" w:cs="宋体" w:hint="eastAsia"/>
          <w:b/>
          <w:kern w:val="0"/>
          <w:szCs w:val="24"/>
        </w:rPr>
        <w:t>1、</w:t>
      </w:r>
    </w:p>
    <w:p w:rsidR="00E4498E" w:rsidRDefault="00E4498E" w:rsidP="00E4498E">
      <w:pPr>
        <w:widowControl/>
        <w:spacing w:afterLines="50" w:after="156"/>
        <w:ind w:firstLineChars="0" w:firstLine="420"/>
        <w:rPr>
          <w:rFonts w:ascii="宋体" w:eastAsia="宋体" w:hAnsi="宋体" w:cs="宋体" w:hint="eastAsia"/>
          <w:b/>
          <w:kern w:val="0"/>
          <w:szCs w:val="24"/>
        </w:rPr>
      </w:pPr>
      <w:r>
        <w:rPr>
          <w:rFonts w:ascii="宋体" w:eastAsia="宋体" w:hAnsi="宋体" w:cs="宋体" w:hint="eastAsia"/>
          <w:b/>
          <w:kern w:val="0"/>
          <w:szCs w:val="24"/>
        </w:rPr>
        <w:t>2、</w:t>
      </w:r>
    </w:p>
    <w:p w:rsidR="003D4A18" w:rsidRDefault="00F3603F">
      <w:pPr>
        <w:widowControl/>
        <w:spacing w:afterLines="50" w:after="156"/>
        <w:ind w:firstLineChars="0" w:firstLine="0"/>
        <w:rPr>
          <w:rFonts w:ascii="宋体" w:eastAsia="宋体" w:hAnsi="宋体" w:cs="宋体"/>
          <w:b/>
          <w:kern w:val="0"/>
          <w:sz w:val="24"/>
          <w:szCs w:val="24"/>
        </w:rPr>
      </w:pPr>
      <w:r>
        <w:rPr>
          <w:rFonts w:ascii="宋体" w:eastAsia="宋体" w:hAnsi="宋体" w:cs="宋体" w:hint="eastAsia"/>
          <w:b/>
          <w:kern w:val="0"/>
          <w:szCs w:val="24"/>
        </w:rPr>
        <w:t>三</w:t>
      </w:r>
      <w:r>
        <w:rPr>
          <w:rFonts w:ascii="宋体" w:eastAsia="宋体" w:hAnsi="宋体" w:cs="宋体"/>
          <w:b/>
          <w:kern w:val="0"/>
          <w:szCs w:val="24"/>
        </w:rPr>
        <w:t>、发货时间：</w:t>
      </w:r>
      <w:r>
        <w:rPr>
          <w:rFonts w:hint="eastAsia"/>
        </w:rPr>
        <w:t>收到</w:t>
      </w:r>
      <w:r>
        <w:t>预付款后</w:t>
      </w:r>
      <w:r w:rsidR="00832356">
        <w:rPr>
          <w:rFonts w:hint="eastAsia"/>
        </w:rPr>
        <w:t>三个</w:t>
      </w:r>
      <w:r>
        <w:t>工作日内发货</w:t>
      </w:r>
      <w:r>
        <w:rPr>
          <w:rFonts w:hint="eastAsia"/>
        </w:rPr>
        <w:t>。</w:t>
      </w:r>
    </w:p>
    <w:p w:rsidR="003D4A18" w:rsidRDefault="00F3603F">
      <w:pPr>
        <w:widowControl/>
        <w:spacing w:afterLines="50" w:after="156"/>
        <w:ind w:firstLineChars="0" w:firstLine="0"/>
        <w:rPr>
          <w:rFonts w:ascii="宋体" w:eastAsia="宋体" w:hAnsi="宋体" w:cs="宋体"/>
          <w:kern w:val="0"/>
          <w:szCs w:val="24"/>
        </w:rPr>
      </w:pPr>
      <w:r>
        <w:rPr>
          <w:rFonts w:ascii="宋体" w:eastAsia="宋体" w:hAnsi="宋体" w:cs="宋体" w:hint="eastAsia"/>
          <w:b/>
          <w:kern w:val="0"/>
          <w:szCs w:val="24"/>
        </w:rPr>
        <w:t>四</w:t>
      </w:r>
      <w:r>
        <w:rPr>
          <w:rFonts w:ascii="宋体" w:eastAsia="宋体" w:hAnsi="宋体" w:cs="宋体"/>
          <w:b/>
          <w:kern w:val="0"/>
          <w:szCs w:val="24"/>
        </w:rPr>
        <w:t>、</w:t>
      </w:r>
      <w:r>
        <w:rPr>
          <w:rFonts w:ascii="宋体" w:eastAsia="宋体" w:hAnsi="宋体" w:cs="宋体" w:hint="eastAsia"/>
          <w:b/>
          <w:kern w:val="0"/>
          <w:szCs w:val="24"/>
        </w:rPr>
        <w:t>到货地点和接货单位：</w:t>
      </w:r>
      <w:r>
        <w:rPr>
          <w:rFonts w:ascii="宋体" w:eastAsia="宋体" w:hAnsi="宋体" w:cs="宋体" w:hint="eastAsia"/>
          <w:kern w:val="0"/>
          <w:szCs w:val="24"/>
        </w:rPr>
        <w:t>湖北</w:t>
      </w:r>
      <w:r>
        <w:rPr>
          <w:rFonts w:ascii="宋体" w:eastAsia="宋体" w:hAnsi="宋体" w:cs="宋体"/>
          <w:kern w:val="0"/>
          <w:szCs w:val="24"/>
        </w:rPr>
        <w:t>省武汉市</w:t>
      </w:r>
      <w:r w:rsidR="004B7C78">
        <w:rPr>
          <w:rFonts w:ascii="宋体" w:eastAsia="宋体" w:hAnsi="宋体" w:cs="宋体" w:hint="eastAsia"/>
          <w:kern w:val="0"/>
          <w:szCs w:val="24"/>
        </w:rPr>
        <w:t>东湖新技术开发区高新大道</w:t>
      </w:r>
      <w:r w:rsidR="00F16800">
        <w:rPr>
          <w:rFonts w:ascii="宋体" w:eastAsia="宋体" w:hAnsi="宋体" w:cs="宋体" w:hint="eastAsia"/>
          <w:kern w:val="0"/>
          <w:szCs w:val="24"/>
        </w:rPr>
        <w:t>999号海外人才大楼c</w:t>
      </w:r>
      <w:r w:rsidR="00F16800">
        <w:rPr>
          <w:rFonts w:ascii="宋体" w:eastAsia="宋体" w:hAnsi="宋体" w:cs="宋体"/>
          <w:kern w:val="0"/>
          <w:szCs w:val="24"/>
        </w:rPr>
        <w:t>1</w:t>
      </w:r>
      <w:r w:rsidR="00F16800">
        <w:rPr>
          <w:rFonts w:ascii="宋体" w:eastAsia="宋体" w:hAnsi="宋体" w:cs="宋体" w:hint="eastAsia"/>
          <w:kern w:val="0"/>
          <w:szCs w:val="24"/>
        </w:rPr>
        <w:t>座1001室</w:t>
      </w:r>
      <w:r>
        <w:rPr>
          <w:rFonts w:ascii="宋体" w:eastAsia="宋体" w:hAnsi="宋体" w:cs="宋体" w:hint="eastAsia"/>
          <w:kern w:val="0"/>
          <w:szCs w:val="24"/>
        </w:rPr>
        <w:t>；</w:t>
      </w:r>
      <w:proofErr w:type="gramStart"/>
      <w:r>
        <w:rPr>
          <w:rFonts w:ascii="宋体" w:eastAsia="宋体" w:hAnsi="宋体" w:cs="宋体" w:hint="eastAsia"/>
          <w:kern w:val="0"/>
          <w:szCs w:val="24"/>
        </w:rPr>
        <w:t>武汉</w:t>
      </w:r>
      <w:r>
        <w:rPr>
          <w:rFonts w:ascii="宋体" w:eastAsia="宋体" w:hAnsi="宋体" w:cs="宋体"/>
          <w:kern w:val="0"/>
          <w:szCs w:val="24"/>
        </w:rPr>
        <w:t>翔明激光</w:t>
      </w:r>
      <w:proofErr w:type="gramEnd"/>
      <w:r>
        <w:rPr>
          <w:rFonts w:ascii="宋体" w:eastAsia="宋体" w:hAnsi="宋体" w:cs="宋体"/>
          <w:kern w:val="0"/>
          <w:szCs w:val="24"/>
        </w:rPr>
        <w:t>科技有限公司</w:t>
      </w:r>
      <w:r w:rsidR="00832356">
        <w:rPr>
          <w:rFonts w:ascii="宋体" w:eastAsia="宋体" w:hAnsi="宋体" w:cs="宋体" w:hint="eastAsia"/>
          <w:kern w:val="0"/>
          <w:szCs w:val="24"/>
        </w:rPr>
        <w:t>。</w:t>
      </w:r>
    </w:p>
    <w:p w:rsidR="003D4A18" w:rsidRDefault="00F3603F">
      <w:pPr>
        <w:widowControl/>
        <w:spacing w:afterLines="50" w:after="156"/>
        <w:ind w:firstLineChars="0" w:firstLine="0"/>
        <w:rPr>
          <w:rFonts w:ascii="宋体" w:eastAsia="宋体" w:hAnsi="宋体" w:cs="宋体"/>
          <w:b/>
          <w:kern w:val="0"/>
          <w:szCs w:val="24"/>
        </w:rPr>
      </w:pPr>
      <w:r>
        <w:rPr>
          <w:rFonts w:ascii="宋体" w:eastAsia="宋体" w:hAnsi="宋体" w:cs="宋体" w:hint="eastAsia"/>
          <w:b/>
          <w:kern w:val="0"/>
          <w:szCs w:val="24"/>
        </w:rPr>
        <w:t>五</w:t>
      </w:r>
      <w:r>
        <w:rPr>
          <w:rFonts w:ascii="宋体" w:eastAsia="宋体" w:hAnsi="宋体" w:cs="宋体"/>
          <w:b/>
          <w:kern w:val="0"/>
          <w:szCs w:val="24"/>
        </w:rPr>
        <w:t>、</w:t>
      </w:r>
      <w:r>
        <w:rPr>
          <w:rFonts w:ascii="宋体" w:eastAsia="宋体" w:hAnsi="宋体" w:cs="宋体" w:hint="eastAsia"/>
          <w:b/>
          <w:kern w:val="0"/>
          <w:szCs w:val="24"/>
        </w:rPr>
        <w:t>运输方式费用负担：</w:t>
      </w:r>
      <w:r>
        <w:rPr>
          <w:rFonts w:ascii="宋体" w:eastAsia="宋体" w:hAnsi="宋体" w:cs="宋体" w:hint="eastAsia"/>
          <w:kern w:val="0"/>
          <w:szCs w:val="24"/>
        </w:rPr>
        <w:t>销售</w:t>
      </w:r>
      <w:r>
        <w:rPr>
          <w:rFonts w:ascii="宋体" w:eastAsia="宋体" w:hAnsi="宋体" w:cs="宋体"/>
          <w:kern w:val="0"/>
          <w:szCs w:val="24"/>
        </w:rPr>
        <w:t>方</w:t>
      </w:r>
      <w:r>
        <w:rPr>
          <w:rFonts w:ascii="宋体" w:eastAsia="宋体" w:hAnsi="宋体" w:cs="宋体" w:hint="eastAsia"/>
          <w:kern w:val="0"/>
          <w:szCs w:val="24"/>
        </w:rPr>
        <w:t>负责</w:t>
      </w:r>
      <w:r>
        <w:rPr>
          <w:rFonts w:ascii="宋体" w:eastAsia="宋体" w:hAnsi="宋体" w:cs="宋体"/>
          <w:kern w:val="0"/>
          <w:szCs w:val="24"/>
        </w:rPr>
        <w:t>将产品运送至</w:t>
      </w:r>
      <w:r>
        <w:rPr>
          <w:rFonts w:ascii="宋体" w:eastAsia="宋体" w:hAnsi="宋体" w:cs="宋体" w:hint="eastAsia"/>
          <w:kern w:val="0"/>
          <w:szCs w:val="24"/>
        </w:rPr>
        <w:t>购买方单位，费用由销售方承担。</w:t>
      </w:r>
    </w:p>
    <w:p w:rsidR="003D4A18" w:rsidRDefault="00F3603F">
      <w:pPr>
        <w:widowControl/>
        <w:spacing w:afterLines="50" w:after="156"/>
        <w:ind w:firstLineChars="0" w:firstLine="0"/>
        <w:rPr>
          <w:rFonts w:ascii="宋体" w:eastAsia="宋体" w:hAnsi="宋体" w:cs="宋体"/>
          <w:bCs/>
          <w:kern w:val="0"/>
          <w:szCs w:val="24"/>
        </w:rPr>
      </w:pPr>
      <w:r>
        <w:rPr>
          <w:rFonts w:ascii="宋体" w:eastAsia="宋体" w:hAnsi="宋体" w:cs="宋体" w:hint="eastAsia"/>
          <w:b/>
          <w:kern w:val="0"/>
          <w:szCs w:val="24"/>
        </w:rPr>
        <w:lastRenderedPageBreak/>
        <w:t>六、包装标准、包装物的供应与回收：</w:t>
      </w:r>
      <w:r>
        <w:rPr>
          <w:rFonts w:ascii="宋体" w:eastAsia="宋体" w:hAnsi="宋体" w:cs="宋体" w:hint="eastAsia"/>
          <w:bCs/>
          <w:kern w:val="0"/>
          <w:szCs w:val="24"/>
        </w:rPr>
        <w:t>原厂家出厂包装，包装物不回收</w:t>
      </w:r>
    </w:p>
    <w:p w:rsidR="003D4A18" w:rsidRDefault="00F3603F">
      <w:pPr>
        <w:widowControl/>
        <w:spacing w:afterLines="50" w:after="156"/>
        <w:ind w:firstLineChars="0" w:firstLine="0"/>
        <w:rPr>
          <w:rFonts w:ascii="宋体" w:eastAsia="宋体" w:hAnsi="宋体" w:cs="宋体"/>
          <w:bCs/>
          <w:kern w:val="0"/>
          <w:szCs w:val="24"/>
        </w:rPr>
      </w:pPr>
      <w:r>
        <w:rPr>
          <w:rFonts w:ascii="宋体" w:eastAsia="宋体" w:hAnsi="宋体" w:cs="宋体" w:hint="eastAsia"/>
          <w:b/>
          <w:kern w:val="0"/>
          <w:szCs w:val="24"/>
        </w:rPr>
        <w:t>七、产品运输损坏，灭失的责任转移：</w:t>
      </w:r>
      <w:r>
        <w:rPr>
          <w:rFonts w:ascii="宋体" w:eastAsia="宋体" w:hAnsi="宋体" w:cs="宋体" w:hint="eastAsia"/>
          <w:bCs/>
          <w:kern w:val="0"/>
          <w:szCs w:val="24"/>
        </w:rPr>
        <w:t>若产品在运输途中出现损坏、灭失，销售方应在核实后2个工作日内更换产品或补发产品，由此造成的损失由销售方与承运方协商解决。</w:t>
      </w:r>
    </w:p>
    <w:p w:rsidR="003D4A18" w:rsidRDefault="00F3603F">
      <w:pPr>
        <w:widowControl/>
        <w:spacing w:afterLines="50" w:after="156"/>
        <w:ind w:firstLineChars="0" w:firstLine="0"/>
        <w:rPr>
          <w:rFonts w:ascii="宋体" w:eastAsia="宋体" w:hAnsi="宋体" w:cs="宋体"/>
          <w:b/>
          <w:kern w:val="0"/>
          <w:szCs w:val="24"/>
        </w:rPr>
      </w:pPr>
      <w:r>
        <w:rPr>
          <w:rFonts w:ascii="宋体" w:eastAsia="宋体" w:hAnsi="宋体" w:cs="宋体" w:hint="eastAsia"/>
          <w:b/>
          <w:kern w:val="0"/>
          <w:szCs w:val="24"/>
        </w:rPr>
        <w:t>八、安装、调试及验收：</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1.销售方应在产品发货前告知购买方该产品安装、调试与使用所需外部配套条件。如逾期未告之造成安装、调试、验收延误的责任在销售方。</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2.购买方收到产品后组织人员依据本合同第</w:t>
      </w:r>
      <w:r w:rsidR="004A0B11">
        <w:rPr>
          <w:rFonts w:ascii="宋体" w:eastAsia="宋体" w:hAnsi="宋体" w:cs="宋体" w:hint="eastAsia"/>
          <w:bCs/>
          <w:kern w:val="0"/>
          <w:szCs w:val="24"/>
        </w:rPr>
        <w:t>二</w:t>
      </w:r>
      <w:r>
        <w:rPr>
          <w:rFonts w:ascii="宋体" w:eastAsia="宋体" w:hAnsi="宋体" w:cs="宋体" w:hint="eastAsia"/>
          <w:bCs/>
          <w:kern w:val="0"/>
          <w:szCs w:val="24"/>
        </w:rPr>
        <w:t>条（质量要求与技术标准）进行验收。产品不能正常工作、技术指标达不到合同要求等造成验收不合格，购买方有权要求销售方换货。</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3.购买方在收到产品后</w:t>
      </w:r>
      <w:r w:rsidR="00832356">
        <w:rPr>
          <w:rFonts w:ascii="宋体" w:eastAsia="宋体" w:hAnsi="宋体" w:cs="宋体" w:hint="eastAsia"/>
          <w:bCs/>
          <w:kern w:val="0"/>
          <w:szCs w:val="24"/>
        </w:rPr>
        <w:t>三</w:t>
      </w:r>
      <w:r>
        <w:rPr>
          <w:rFonts w:ascii="宋体" w:eastAsia="宋体" w:hAnsi="宋体" w:cs="宋体" w:hint="eastAsia"/>
          <w:bCs/>
          <w:kern w:val="0"/>
          <w:szCs w:val="24"/>
        </w:rPr>
        <w:t>个工作日内完成产品安装、调试与验收，购买方有权要求销售方提供产品安装、调试与使用相关的技术支持。</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4.因销售方责任导致验收逾期并造成购买方或销售方损失的，由销售方承担，不可抗力情况除外。</w:t>
      </w:r>
    </w:p>
    <w:p w:rsidR="003D4A18" w:rsidRDefault="00F3603F">
      <w:pPr>
        <w:widowControl/>
        <w:spacing w:afterLines="50" w:after="156"/>
        <w:ind w:firstLineChars="0" w:firstLine="0"/>
        <w:rPr>
          <w:rFonts w:ascii="宋体" w:eastAsia="宋体" w:hAnsi="宋体" w:cs="宋体"/>
          <w:b/>
          <w:kern w:val="0"/>
          <w:szCs w:val="24"/>
        </w:rPr>
      </w:pPr>
      <w:r>
        <w:rPr>
          <w:rFonts w:ascii="宋体" w:eastAsia="宋体" w:hAnsi="宋体" w:cs="宋体" w:hint="eastAsia"/>
          <w:b/>
          <w:kern w:val="0"/>
          <w:szCs w:val="24"/>
        </w:rPr>
        <w:t>九、售后服务：</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1.销售方应无偿为购买方提供产品安装、调试与使用相关技术支持。</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2.自</w:t>
      </w:r>
      <w:r w:rsidR="004A0B11">
        <w:rPr>
          <w:rFonts w:ascii="宋体" w:eastAsia="宋体" w:hAnsi="宋体" w:cs="宋体" w:hint="eastAsia"/>
          <w:bCs/>
          <w:kern w:val="0"/>
          <w:szCs w:val="24"/>
        </w:rPr>
        <w:t>验收合格</w:t>
      </w:r>
      <w:r>
        <w:rPr>
          <w:rFonts w:ascii="宋体" w:eastAsia="宋体" w:hAnsi="宋体" w:cs="宋体" w:hint="eastAsia"/>
          <w:bCs/>
          <w:kern w:val="0"/>
          <w:szCs w:val="24"/>
        </w:rPr>
        <w:t>之日算起，本合同第一条所列产品在正常使用下免费保修</w:t>
      </w:r>
      <w:r w:rsidR="00832356" w:rsidRPr="00832356">
        <w:rPr>
          <w:rFonts w:ascii="宋体" w:eastAsia="宋体" w:hAnsi="宋体" w:cs="宋体"/>
          <w:bCs/>
          <w:kern w:val="0"/>
          <w:szCs w:val="24"/>
        </w:rPr>
        <w:t>24</w:t>
      </w:r>
      <w:r>
        <w:rPr>
          <w:rFonts w:ascii="宋体" w:eastAsia="宋体" w:hAnsi="宋体" w:cs="宋体" w:hint="eastAsia"/>
          <w:bCs/>
          <w:kern w:val="0"/>
          <w:szCs w:val="24"/>
        </w:rPr>
        <w:t>个月。</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3.质保期内，如果由于产品本身质量问题造成产品无法正常工作，销售方将免费负责维修，并承担服务费和更换零件费；如因购买方违反操作规程或不可抗力因素等非产品本身质量问题引起的产品故障，销售方有权要求购买方支付维修的材料费。</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4.质保期外,不论由于产品本身故障、最终用户方认为因素还是外部客观因素等导致产品无法正常工作，销售方均需负责维修，并有权酌情收取服务费和材料费。</w:t>
      </w:r>
    </w:p>
    <w:p w:rsidR="003D4A18" w:rsidRDefault="00F3603F">
      <w:pPr>
        <w:widowControl/>
        <w:spacing w:afterLines="50" w:after="156"/>
        <w:ind w:firstLine="420"/>
        <w:rPr>
          <w:rFonts w:ascii="宋体" w:eastAsia="宋体" w:hAnsi="宋体" w:cs="宋体"/>
          <w:bCs/>
          <w:kern w:val="0"/>
          <w:szCs w:val="24"/>
        </w:rPr>
      </w:pPr>
      <w:r>
        <w:rPr>
          <w:rFonts w:ascii="宋体" w:eastAsia="宋体" w:hAnsi="宋体" w:cs="宋体" w:hint="eastAsia"/>
          <w:bCs/>
          <w:kern w:val="0"/>
          <w:szCs w:val="24"/>
        </w:rPr>
        <w:t>5.销售方保证设有专职的技术及维护人员，并在接到购买方电话后24小时内做出反应。</w:t>
      </w:r>
    </w:p>
    <w:p w:rsidR="003D4A18" w:rsidRDefault="00F3603F">
      <w:pPr>
        <w:widowControl/>
        <w:spacing w:afterLines="50" w:after="156"/>
        <w:ind w:firstLineChars="0" w:firstLine="0"/>
        <w:rPr>
          <w:rFonts w:ascii="宋体" w:eastAsia="宋体" w:hAnsi="宋体" w:cs="宋体"/>
          <w:bCs/>
          <w:kern w:val="0"/>
          <w:szCs w:val="24"/>
        </w:rPr>
      </w:pPr>
      <w:r>
        <w:rPr>
          <w:rFonts w:ascii="宋体" w:eastAsia="宋体" w:hAnsi="宋体" w:cs="宋体" w:hint="eastAsia"/>
          <w:b/>
          <w:kern w:val="0"/>
          <w:szCs w:val="24"/>
        </w:rPr>
        <w:t>十、结算方式及期限：</w:t>
      </w:r>
      <w:r>
        <w:rPr>
          <w:rFonts w:ascii="宋体" w:eastAsia="宋体" w:hAnsi="宋体" w:cs="宋体" w:hint="eastAsia"/>
          <w:bCs/>
          <w:kern w:val="0"/>
          <w:szCs w:val="24"/>
        </w:rPr>
        <w:t>合同签订后3个工作日内购买方向销售方付</w:t>
      </w:r>
      <w:r w:rsidR="00831549">
        <w:rPr>
          <w:rFonts w:ascii="宋体" w:eastAsia="宋体" w:hAnsi="宋体" w:cs="宋体" w:hint="eastAsia"/>
          <w:bCs/>
          <w:kern w:val="0"/>
          <w:szCs w:val="24"/>
        </w:rPr>
        <w:t>全部</w:t>
      </w:r>
      <w:r>
        <w:rPr>
          <w:rFonts w:ascii="宋体" w:eastAsia="宋体" w:hAnsi="宋体" w:cs="宋体" w:hint="eastAsia"/>
          <w:bCs/>
          <w:kern w:val="0"/>
          <w:szCs w:val="24"/>
        </w:rPr>
        <w:t>合同款</w:t>
      </w:r>
      <w:r w:rsidR="00831549">
        <w:rPr>
          <w:rFonts w:ascii="宋体" w:eastAsia="宋体" w:hAnsi="宋体" w:cs="宋体" w:hint="eastAsia"/>
          <w:bCs/>
          <w:kern w:val="0"/>
          <w:szCs w:val="24"/>
        </w:rPr>
        <w:t>。</w:t>
      </w:r>
      <w:bookmarkStart w:id="0" w:name="_GoBack"/>
      <w:bookmarkEnd w:id="0"/>
    </w:p>
    <w:p w:rsidR="003D4A18" w:rsidRDefault="00F3603F">
      <w:pPr>
        <w:widowControl/>
        <w:spacing w:afterLines="50" w:after="156"/>
        <w:ind w:firstLineChars="0" w:firstLine="0"/>
        <w:rPr>
          <w:rFonts w:ascii="宋体" w:eastAsia="宋体" w:hAnsi="宋体" w:cs="宋体"/>
          <w:b/>
          <w:kern w:val="0"/>
          <w:szCs w:val="24"/>
        </w:rPr>
      </w:pPr>
      <w:r>
        <w:rPr>
          <w:rFonts w:ascii="宋体" w:eastAsia="宋体" w:hAnsi="宋体" w:cs="宋体" w:hint="eastAsia"/>
          <w:b/>
          <w:kern w:val="0"/>
          <w:szCs w:val="24"/>
        </w:rPr>
        <w:t>十一、如需提供担保，另立合同担保书，作为本合同附件</w:t>
      </w:r>
    </w:p>
    <w:p w:rsidR="004A0B11" w:rsidRDefault="00F3603F">
      <w:pPr>
        <w:widowControl/>
        <w:spacing w:afterLines="50" w:after="156"/>
        <w:ind w:firstLineChars="0" w:firstLine="0"/>
        <w:rPr>
          <w:rFonts w:ascii="宋体" w:eastAsia="宋体" w:hAnsi="宋体" w:cs="宋体"/>
          <w:b/>
          <w:kern w:val="0"/>
          <w:szCs w:val="24"/>
        </w:rPr>
      </w:pPr>
      <w:r>
        <w:rPr>
          <w:rFonts w:ascii="宋体" w:eastAsia="宋体" w:hAnsi="宋体" w:cs="宋体" w:hint="eastAsia"/>
          <w:b/>
          <w:kern w:val="0"/>
          <w:szCs w:val="24"/>
        </w:rPr>
        <w:t>十二、违约责任:</w:t>
      </w:r>
    </w:p>
    <w:p w:rsidR="005B647E" w:rsidRDefault="005B647E" w:rsidP="005B647E">
      <w:pPr>
        <w:pStyle w:val="a8"/>
        <w:widowControl/>
        <w:spacing w:afterLines="50" w:after="156"/>
        <w:rPr>
          <w:rFonts w:ascii="宋体" w:hAnsi="宋体"/>
          <w:szCs w:val="21"/>
        </w:rPr>
      </w:pPr>
      <w:r>
        <w:rPr>
          <w:rFonts w:ascii="宋体" w:hAnsi="宋体" w:hint="eastAsia"/>
          <w:szCs w:val="21"/>
        </w:rPr>
        <w:lastRenderedPageBreak/>
        <w:t>1.</w:t>
      </w:r>
      <w:r w:rsidRPr="005B647E">
        <w:rPr>
          <w:rFonts w:ascii="宋体" w:hAnsi="宋体" w:hint="eastAsia"/>
          <w:szCs w:val="21"/>
        </w:rPr>
        <w:t>无本合同约定和法定的事由，双方均不得单方解除本合同，否则应按合同总价的30</w:t>
      </w:r>
      <w:r w:rsidRPr="005B647E">
        <w:rPr>
          <w:rFonts w:ascii="宋体" w:hAnsi="宋体"/>
          <w:szCs w:val="21"/>
        </w:rPr>
        <w:t>%</w:t>
      </w:r>
      <w:r w:rsidRPr="005B647E">
        <w:rPr>
          <w:rFonts w:ascii="宋体" w:hAnsi="宋体" w:hint="eastAsia"/>
          <w:szCs w:val="21"/>
        </w:rPr>
        <w:t>向</w:t>
      </w:r>
      <w:r w:rsidR="00DA7497">
        <w:rPr>
          <w:rFonts w:ascii="宋体" w:hAnsi="宋体" w:hint="eastAsia"/>
          <w:szCs w:val="21"/>
        </w:rPr>
        <w:t>对方</w:t>
      </w:r>
      <w:r w:rsidRPr="005B647E">
        <w:rPr>
          <w:rFonts w:ascii="宋体" w:hAnsi="宋体" w:hint="eastAsia"/>
          <w:szCs w:val="21"/>
        </w:rPr>
        <w:t>支付违约金。</w:t>
      </w:r>
    </w:p>
    <w:p w:rsidR="005B647E" w:rsidRPr="005B647E" w:rsidRDefault="005B647E" w:rsidP="005B647E">
      <w:pPr>
        <w:pStyle w:val="a8"/>
        <w:widowControl/>
        <w:spacing w:afterLines="50" w:after="156"/>
        <w:rPr>
          <w:rFonts w:ascii="宋体" w:hAnsi="宋体"/>
          <w:szCs w:val="21"/>
        </w:rPr>
      </w:pPr>
      <w:r>
        <w:rPr>
          <w:rFonts w:ascii="宋体" w:hAnsi="宋体"/>
          <w:szCs w:val="21"/>
        </w:rPr>
        <w:t>2.</w:t>
      </w:r>
      <w:r w:rsidR="000F189C">
        <w:rPr>
          <w:rFonts w:ascii="宋体" w:hAnsi="宋体" w:hint="eastAsia"/>
          <w:szCs w:val="21"/>
        </w:rPr>
        <w:t>自</w:t>
      </w:r>
      <w:r w:rsidR="000F189C">
        <w:rPr>
          <w:rFonts w:ascii="宋体" w:hAnsi="宋体"/>
          <w:szCs w:val="21"/>
        </w:rPr>
        <w:t>发货</w:t>
      </w:r>
      <w:r w:rsidR="000F189C">
        <w:rPr>
          <w:rFonts w:ascii="宋体" w:hAnsi="宋体" w:hint="eastAsia"/>
          <w:szCs w:val="21"/>
        </w:rPr>
        <w:t>期限届满之次日起，每迟延1日发货，销售方应向购买方支付本合同对应产品总额5‰的违约金。</w:t>
      </w:r>
    </w:p>
    <w:p w:rsidR="003D4A18" w:rsidRDefault="000F189C" w:rsidP="004A0B11">
      <w:pPr>
        <w:widowControl/>
        <w:spacing w:afterLines="50" w:after="156"/>
        <w:ind w:firstLine="420"/>
        <w:rPr>
          <w:rFonts w:ascii="宋体" w:eastAsia="宋体" w:hAnsi="宋体" w:cs="宋体"/>
          <w:bCs/>
          <w:kern w:val="0"/>
          <w:szCs w:val="24"/>
        </w:rPr>
      </w:pPr>
      <w:r>
        <w:rPr>
          <w:rFonts w:ascii="宋体" w:eastAsia="宋体" w:hAnsi="宋体" w:cs="宋体"/>
          <w:bCs/>
          <w:kern w:val="0"/>
          <w:szCs w:val="24"/>
        </w:rPr>
        <w:t>3</w:t>
      </w:r>
      <w:r w:rsidR="004A0B11" w:rsidRPr="004A0B11">
        <w:rPr>
          <w:rFonts w:ascii="宋体" w:eastAsia="宋体" w:hAnsi="宋体" w:cs="宋体"/>
          <w:bCs/>
          <w:kern w:val="0"/>
          <w:szCs w:val="24"/>
        </w:rPr>
        <w:t>.</w:t>
      </w:r>
      <w:r w:rsidR="004A0B11" w:rsidRPr="004A0B11">
        <w:rPr>
          <w:rFonts w:ascii="宋体" w:eastAsia="宋体" w:hAnsi="宋体" w:cs="宋体" w:hint="eastAsia"/>
          <w:bCs/>
          <w:kern w:val="0"/>
          <w:szCs w:val="24"/>
        </w:rPr>
        <w:t>其他</w:t>
      </w:r>
      <w:r w:rsidR="004A0B11" w:rsidRPr="004A0B11">
        <w:rPr>
          <w:rFonts w:ascii="宋体" w:eastAsia="宋体" w:hAnsi="宋体" w:cs="宋体"/>
          <w:bCs/>
          <w:kern w:val="0"/>
          <w:szCs w:val="24"/>
        </w:rPr>
        <w:t>违约</w:t>
      </w:r>
      <w:r w:rsidR="004A0B11" w:rsidRPr="004A0B11">
        <w:rPr>
          <w:rFonts w:ascii="宋体" w:eastAsia="宋体" w:hAnsi="宋体" w:cs="宋体" w:hint="eastAsia"/>
          <w:bCs/>
          <w:kern w:val="0"/>
          <w:szCs w:val="24"/>
        </w:rPr>
        <w:t>情况</w:t>
      </w:r>
      <w:r w:rsidR="00F3603F">
        <w:rPr>
          <w:rFonts w:ascii="宋体" w:eastAsia="宋体" w:hAnsi="宋体" w:cs="宋体" w:hint="eastAsia"/>
          <w:bCs/>
          <w:kern w:val="0"/>
          <w:szCs w:val="24"/>
        </w:rPr>
        <w:t>依据中华人民共和国合同法有关条款执行。</w:t>
      </w:r>
    </w:p>
    <w:p w:rsidR="003D4A18" w:rsidRDefault="00F3603F">
      <w:pPr>
        <w:widowControl/>
        <w:spacing w:afterLines="50" w:after="156"/>
        <w:ind w:firstLineChars="0" w:firstLine="0"/>
        <w:rPr>
          <w:rFonts w:ascii="宋体" w:eastAsia="宋体" w:hAnsi="宋体" w:cs="宋体"/>
          <w:bCs/>
          <w:kern w:val="0"/>
          <w:szCs w:val="24"/>
        </w:rPr>
      </w:pPr>
      <w:r>
        <w:rPr>
          <w:rFonts w:ascii="宋体" w:eastAsia="宋体" w:hAnsi="宋体" w:cs="宋体" w:hint="eastAsia"/>
          <w:b/>
          <w:kern w:val="0"/>
          <w:szCs w:val="24"/>
        </w:rPr>
        <w:t>十三、解决合同纠纷的方式：</w:t>
      </w:r>
      <w:r>
        <w:rPr>
          <w:rFonts w:ascii="宋体" w:eastAsia="宋体" w:hAnsi="宋体" w:cs="宋体" w:hint="eastAsia"/>
          <w:bCs/>
          <w:kern w:val="0"/>
          <w:szCs w:val="24"/>
        </w:rPr>
        <w:t>合同发生争议时，双方应协商解决；协商不成时，由购买方所在地人民法院诉讼解决。</w:t>
      </w:r>
    </w:p>
    <w:p w:rsidR="003D4A18" w:rsidRDefault="00F3603F">
      <w:pPr>
        <w:widowControl/>
        <w:spacing w:afterLines="50" w:after="156"/>
        <w:ind w:firstLineChars="0" w:firstLine="0"/>
        <w:rPr>
          <w:rFonts w:ascii="宋体" w:eastAsia="宋体" w:hAnsi="宋体" w:cs="宋体"/>
          <w:bCs/>
          <w:kern w:val="0"/>
          <w:szCs w:val="24"/>
        </w:rPr>
      </w:pPr>
      <w:r>
        <w:rPr>
          <w:rFonts w:ascii="宋体" w:eastAsia="宋体" w:hAnsi="宋体" w:cs="宋体" w:hint="eastAsia"/>
          <w:b/>
          <w:kern w:val="0"/>
          <w:szCs w:val="24"/>
        </w:rPr>
        <w:t>十四、本合同双方签字、盖章生效，本合同壹式贰份，双方各执壹份，本合同传真件有效。</w:t>
      </w:r>
    </w:p>
    <w:tbl>
      <w:tblPr>
        <w:tblStyle w:val="a7"/>
        <w:tblW w:w="8522" w:type="dxa"/>
        <w:tblLayout w:type="fixed"/>
        <w:tblLook w:val="04A0" w:firstRow="1" w:lastRow="0" w:firstColumn="1" w:lastColumn="0" w:noHBand="0" w:noVBand="1"/>
      </w:tblPr>
      <w:tblGrid>
        <w:gridCol w:w="4261"/>
        <w:gridCol w:w="4261"/>
      </w:tblGrid>
      <w:tr w:rsidR="003D4A18">
        <w:tc>
          <w:tcPr>
            <w:tcW w:w="4261" w:type="dxa"/>
          </w:tcPr>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购买方</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单位名称(章)：武汉翔明激光科技有限公司</w:t>
            </w:r>
          </w:p>
          <w:p w:rsidR="003D4A18" w:rsidRDefault="00F3603F">
            <w:pPr>
              <w:widowControl/>
              <w:spacing w:afterLines="50" w:after="156" w:line="240" w:lineRule="auto"/>
              <w:ind w:left="1050" w:hangingChars="500" w:hanging="1050"/>
              <w:rPr>
                <w:rFonts w:ascii="宋体" w:eastAsia="宋体" w:hAnsi="宋体" w:cs="宋体"/>
                <w:bCs/>
                <w:kern w:val="0"/>
                <w:szCs w:val="24"/>
              </w:rPr>
            </w:pPr>
            <w:r>
              <w:rPr>
                <w:rFonts w:ascii="宋体" w:eastAsia="宋体" w:hAnsi="宋体" w:cs="宋体" w:hint="eastAsia"/>
                <w:bCs/>
                <w:kern w:val="0"/>
                <w:szCs w:val="24"/>
              </w:rPr>
              <w:t>单位地址：湖北省武汉市东湖新技术开发区高新大道999号海外人才大楼</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法定代表人：王春明</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委托代理人：</w:t>
            </w:r>
            <w:r w:rsidR="00612BA6">
              <w:rPr>
                <w:rFonts w:ascii="宋体" w:eastAsia="宋体" w:hAnsi="宋体" w:cs="宋体" w:hint="eastAsia"/>
                <w:bCs/>
                <w:kern w:val="0"/>
                <w:szCs w:val="24"/>
              </w:rPr>
              <w:t>陈一鸣</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电话：</w:t>
            </w:r>
            <w:r w:rsidR="00612BA6">
              <w:rPr>
                <w:rFonts w:ascii="宋体" w:eastAsia="宋体" w:hAnsi="宋体" w:cs="宋体" w:hint="eastAsia"/>
                <w:bCs/>
                <w:kern w:val="0"/>
                <w:szCs w:val="24"/>
              </w:rPr>
              <w:t>13036106330</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传真：</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开户银行：中国农业银行武汉华工支行</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账号：17039701040002998</w:t>
            </w:r>
          </w:p>
        </w:tc>
        <w:tc>
          <w:tcPr>
            <w:tcW w:w="4261" w:type="dxa"/>
          </w:tcPr>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销售方</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单位名称(章)：</w:t>
            </w:r>
            <w:r w:rsidR="00E4498E">
              <w:rPr>
                <w:rFonts w:ascii="宋体" w:eastAsia="宋体" w:hAnsi="宋体" w:cs="宋体"/>
                <w:bCs/>
                <w:kern w:val="0"/>
                <w:szCs w:val="24"/>
              </w:rPr>
              <w:t xml:space="preserve"> </w:t>
            </w:r>
          </w:p>
          <w:p w:rsidR="003D4A18" w:rsidRDefault="00F3603F">
            <w:pPr>
              <w:widowControl/>
              <w:spacing w:afterLines="50" w:after="156" w:line="240" w:lineRule="auto"/>
              <w:ind w:left="1050" w:hangingChars="500" w:hanging="1050"/>
              <w:rPr>
                <w:rFonts w:ascii="宋体" w:eastAsia="宋体" w:hAnsi="宋体" w:cs="宋体"/>
                <w:bCs/>
                <w:strike/>
                <w:kern w:val="0"/>
                <w:szCs w:val="24"/>
              </w:rPr>
            </w:pPr>
            <w:r>
              <w:rPr>
                <w:rFonts w:ascii="宋体" w:eastAsia="宋体" w:hAnsi="宋体" w:cs="宋体" w:hint="eastAsia"/>
                <w:bCs/>
                <w:kern w:val="0"/>
                <w:szCs w:val="24"/>
              </w:rPr>
              <w:t>单位地址：</w:t>
            </w:r>
            <w:r>
              <w:rPr>
                <w:rFonts w:ascii="宋体" w:eastAsia="宋体" w:hAnsi="宋体" w:cs="宋体" w:hint="eastAsia"/>
                <w:bCs/>
                <w:strike/>
                <w:color w:val="FF0000"/>
                <w:kern w:val="0"/>
                <w:szCs w:val="24"/>
              </w:rPr>
              <w:t xml:space="preserve">      </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法定代表人：</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委托代理人：</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电话：</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传真：</w:t>
            </w:r>
          </w:p>
          <w:p w:rsidR="003D4A18" w:rsidRDefault="00F3603F">
            <w:pPr>
              <w:widowControl/>
              <w:spacing w:afterLines="50" w:after="156" w:line="240" w:lineRule="auto"/>
              <w:ind w:firstLineChars="0" w:firstLine="0"/>
              <w:rPr>
                <w:rFonts w:ascii="宋体" w:eastAsia="宋体" w:hAnsi="宋体" w:cs="宋体"/>
                <w:bCs/>
                <w:kern w:val="0"/>
                <w:szCs w:val="24"/>
              </w:rPr>
            </w:pPr>
            <w:r>
              <w:rPr>
                <w:rFonts w:ascii="宋体" w:eastAsia="宋体" w:hAnsi="宋体" w:cs="宋体" w:hint="eastAsia"/>
                <w:bCs/>
                <w:kern w:val="0"/>
                <w:szCs w:val="24"/>
              </w:rPr>
              <w:t>开户银行：</w:t>
            </w:r>
            <w:r w:rsidR="00E4498E">
              <w:rPr>
                <w:rFonts w:ascii="宋体" w:eastAsia="宋体" w:hAnsi="宋体" w:cs="宋体"/>
                <w:bCs/>
                <w:kern w:val="0"/>
                <w:szCs w:val="24"/>
              </w:rPr>
              <w:t xml:space="preserve"> </w:t>
            </w:r>
          </w:p>
          <w:p w:rsidR="003D4A18" w:rsidRDefault="00F3603F">
            <w:pPr>
              <w:widowControl/>
              <w:spacing w:afterLines="50" w:after="156" w:line="240" w:lineRule="auto"/>
              <w:ind w:left="1050" w:hangingChars="500" w:hanging="1050"/>
              <w:rPr>
                <w:rFonts w:ascii="宋体" w:eastAsia="宋体" w:hAnsi="宋体" w:cs="宋体"/>
                <w:bCs/>
                <w:kern w:val="0"/>
                <w:szCs w:val="24"/>
              </w:rPr>
            </w:pPr>
            <w:r>
              <w:rPr>
                <w:rFonts w:ascii="宋体" w:eastAsia="宋体" w:hAnsi="宋体" w:cs="宋体" w:hint="eastAsia"/>
                <w:bCs/>
                <w:kern w:val="0"/>
                <w:szCs w:val="24"/>
              </w:rPr>
              <w:t>账号：</w:t>
            </w:r>
          </w:p>
        </w:tc>
      </w:tr>
    </w:tbl>
    <w:p w:rsidR="003D4A18" w:rsidRDefault="003D4A18">
      <w:pPr>
        <w:widowControl/>
        <w:spacing w:afterLines="50" w:after="156"/>
        <w:ind w:firstLineChars="0" w:firstLine="0"/>
        <w:rPr>
          <w:rFonts w:ascii="宋体" w:eastAsia="宋体" w:hAnsi="宋体" w:cs="宋体"/>
          <w:bCs/>
          <w:kern w:val="0"/>
          <w:szCs w:val="24"/>
        </w:rPr>
      </w:pPr>
    </w:p>
    <w:sectPr w:rsidR="003D4A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9A1" w:rsidRDefault="003469A1" w:rsidP="004A0B11">
      <w:pPr>
        <w:spacing w:line="240" w:lineRule="auto"/>
        <w:ind w:firstLine="420"/>
      </w:pPr>
      <w:r>
        <w:separator/>
      </w:r>
    </w:p>
  </w:endnote>
  <w:endnote w:type="continuationSeparator" w:id="0">
    <w:p w:rsidR="003469A1" w:rsidRDefault="003469A1" w:rsidP="004A0B1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B11" w:rsidRDefault="004A0B1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B11" w:rsidRDefault="004A0B11">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B11" w:rsidRDefault="004A0B1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9A1" w:rsidRDefault="003469A1" w:rsidP="004A0B11">
      <w:pPr>
        <w:spacing w:line="240" w:lineRule="auto"/>
        <w:ind w:firstLine="420"/>
      </w:pPr>
      <w:r>
        <w:separator/>
      </w:r>
    </w:p>
  </w:footnote>
  <w:footnote w:type="continuationSeparator" w:id="0">
    <w:p w:rsidR="003469A1" w:rsidRDefault="003469A1" w:rsidP="004A0B1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B11" w:rsidRDefault="004A0B1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B11" w:rsidRDefault="004A0B1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B11" w:rsidRDefault="004A0B1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B6266"/>
    <w:multiLevelType w:val="hybridMultilevel"/>
    <w:tmpl w:val="CDBE6BD6"/>
    <w:lvl w:ilvl="0" w:tplc="CD2C8A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FB41EE"/>
    <w:multiLevelType w:val="hybridMultilevel"/>
    <w:tmpl w:val="F67451D6"/>
    <w:lvl w:ilvl="0" w:tplc="794CFC7E">
      <w:start w:val="1"/>
      <w:numFmt w:val="decimal"/>
      <w:lvlText w:val="%1."/>
      <w:lvlJc w:val="left"/>
      <w:pPr>
        <w:ind w:left="780" w:hanging="360"/>
      </w:pPr>
      <w:rPr>
        <w:rFonts w:eastAsia="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BC"/>
    <w:rsid w:val="0005678D"/>
    <w:rsid w:val="00084E66"/>
    <w:rsid w:val="000D466D"/>
    <w:rsid w:val="000E0418"/>
    <w:rsid w:val="000F189C"/>
    <w:rsid w:val="00232890"/>
    <w:rsid w:val="002940DA"/>
    <w:rsid w:val="00337B77"/>
    <w:rsid w:val="003469A1"/>
    <w:rsid w:val="003D4A18"/>
    <w:rsid w:val="00462508"/>
    <w:rsid w:val="004A0B11"/>
    <w:rsid w:val="004B7C78"/>
    <w:rsid w:val="005B647E"/>
    <w:rsid w:val="00612BA6"/>
    <w:rsid w:val="00634BD4"/>
    <w:rsid w:val="006F591A"/>
    <w:rsid w:val="00701112"/>
    <w:rsid w:val="00800816"/>
    <w:rsid w:val="00831549"/>
    <w:rsid w:val="00832356"/>
    <w:rsid w:val="00A628BC"/>
    <w:rsid w:val="00B25DCE"/>
    <w:rsid w:val="00BA6F43"/>
    <w:rsid w:val="00C7780E"/>
    <w:rsid w:val="00D27717"/>
    <w:rsid w:val="00DA7497"/>
    <w:rsid w:val="00E4498E"/>
    <w:rsid w:val="00E84B95"/>
    <w:rsid w:val="00F16800"/>
    <w:rsid w:val="00F3603F"/>
    <w:rsid w:val="03FD1EF1"/>
    <w:rsid w:val="07186430"/>
    <w:rsid w:val="0B1A1E43"/>
    <w:rsid w:val="11705B65"/>
    <w:rsid w:val="3A5B3032"/>
    <w:rsid w:val="4DBA09D3"/>
    <w:rsid w:val="5E6D6FA7"/>
    <w:rsid w:val="711C5F9F"/>
    <w:rsid w:val="79BC647A"/>
    <w:rsid w:val="7EDF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29DB"/>
  <w15:docId w15:val="{D6F1A50E-03A3-43F6-8502-19F007B8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11">
    <w:name w:val="列出段落1"/>
    <w:basedOn w:val="a"/>
    <w:uiPriority w:val="34"/>
    <w:qFormat/>
    <w:pPr>
      <w:ind w:firstLine="420"/>
    </w:pPr>
  </w:style>
  <w:style w:type="paragraph" w:customStyle="1" w:styleId="12">
    <w:name w:val="无间隔1"/>
    <w:uiPriority w:val="1"/>
    <w:qFormat/>
    <w:pPr>
      <w:widowControl w:val="0"/>
      <w:spacing w:line="360" w:lineRule="auto"/>
      <w:jc w:val="both"/>
    </w:pPr>
    <w:rPr>
      <w:rFonts w:asciiTheme="minorHAnsi" w:eastAsiaTheme="minorEastAsia" w:hAnsiTheme="minorHAnsi" w:cstheme="minorBidi"/>
      <w:kern w:val="2"/>
      <w:sz w:val="21"/>
      <w:szCs w:val="22"/>
    </w:rPr>
  </w:style>
  <w:style w:type="paragraph" w:styleId="a8">
    <w:name w:val="List Paragraph"/>
    <w:basedOn w:val="a"/>
    <w:uiPriority w:val="99"/>
    <w:rsid w:val="005B647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8</cp:revision>
  <dcterms:created xsi:type="dcterms:W3CDTF">2017-05-15T02:30:00Z</dcterms:created>
  <dcterms:modified xsi:type="dcterms:W3CDTF">2017-07-07T01:36:00Z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