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2F79" w:rsidRPr="00542F79" w:rsidRDefault="00542F79" w:rsidP="00542F79">
      <w:pPr>
        <w:rPr>
          <w:b/>
          <w:bCs/>
          <w:sz w:val="32"/>
          <w:szCs w:val="32"/>
        </w:rPr>
      </w:pPr>
      <w:r w:rsidRPr="00542F79">
        <w:rPr>
          <w:b/>
          <w:bCs/>
          <w:sz w:val="32"/>
          <w:szCs w:val="32"/>
        </w:rPr>
        <w:t>Methods</w:t>
      </w:r>
    </w:p>
    <w:p w:rsidR="00542F79" w:rsidRPr="00542F79" w:rsidRDefault="00542F79" w:rsidP="00542F79">
      <w:pPr>
        <w:rPr>
          <w:b/>
          <w:bCs/>
        </w:rPr>
      </w:pPr>
    </w:p>
    <w:p w:rsidR="00542F79" w:rsidRPr="00542F79" w:rsidRDefault="00542F79" w:rsidP="00542F79">
      <w:pPr>
        <w:rPr>
          <w:b/>
          <w:bCs/>
        </w:rPr>
      </w:pPr>
      <w:r w:rsidRPr="00542F79">
        <w:rPr>
          <w:b/>
          <w:bCs/>
        </w:rPr>
        <w:t>Sequence Processing and Quality Control</w:t>
      </w:r>
    </w:p>
    <w:p w:rsidR="00542F79" w:rsidRDefault="00542F79" w:rsidP="00542F79">
      <w:pPr>
        <w:jc w:val="both"/>
      </w:pPr>
      <w:r w:rsidRPr="00542F79">
        <w:t xml:space="preserve">Sequencing reads were first processed using the </w:t>
      </w:r>
      <w:proofErr w:type="spellStart"/>
      <w:r w:rsidRPr="00542F79">
        <w:t>nf</w:t>
      </w:r>
      <w:proofErr w:type="spellEnd"/>
      <w:r w:rsidRPr="00542F79">
        <w:t xml:space="preserve">-core </w:t>
      </w:r>
      <w:proofErr w:type="spellStart"/>
      <w:r w:rsidRPr="00542F79">
        <w:t>sarek</w:t>
      </w:r>
      <w:proofErr w:type="spellEnd"/>
      <w:r w:rsidRPr="00542F79">
        <w:t xml:space="preserve"> pipeline (</w:t>
      </w:r>
      <w:proofErr w:type="spellStart"/>
      <w:r w:rsidRPr="00542F79">
        <w:t>Ewels</w:t>
      </w:r>
      <w:proofErr w:type="spellEnd"/>
      <w:r w:rsidRPr="00542F79">
        <w:t xml:space="preserve"> et al., 2020</w:t>
      </w:r>
      <w:r>
        <w:t xml:space="preserve">, </w:t>
      </w:r>
      <w:r w:rsidRPr="00542F79">
        <w:t xml:space="preserve">Di Tommaso et al., 2017), which included steps for trimming, mapping, and marking duplicates. </w:t>
      </w:r>
      <w:r>
        <w:t>T</w:t>
      </w:r>
      <w:r w:rsidRPr="00542F79">
        <w:t>wo individuals were excluded from further analysis due to not meeting our quality control standards</w:t>
      </w:r>
      <w:r>
        <w:t>: number and quality of sequencing reads</w:t>
      </w:r>
      <w:r w:rsidRPr="00542F79">
        <w:t>.</w:t>
      </w:r>
      <w:r>
        <w:t xml:space="preserve"> </w:t>
      </w:r>
      <w:r w:rsidRPr="00542F79">
        <w:t xml:space="preserve">The </w:t>
      </w:r>
      <w:r>
        <w:t xml:space="preserve">assembly of the </w:t>
      </w:r>
      <w:r w:rsidRPr="00542F79">
        <w:t xml:space="preserve">genome of </w:t>
      </w:r>
      <w:proofErr w:type="spellStart"/>
      <w:r w:rsidRPr="00542F79">
        <w:rPr>
          <w:i/>
          <w:iCs/>
        </w:rPr>
        <w:t>Melitaea</w:t>
      </w:r>
      <w:proofErr w:type="spellEnd"/>
      <w:r w:rsidRPr="00542F79">
        <w:rPr>
          <w:i/>
          <w:iCs/>
        </w:rPr>
        <w:t xml:space="preserve"> </w:t>
      </w:r>
      <w:proofErr w:type="spellStart"/>
      <w:r w:rsidRPr="00542F79">
        <w:rPr>
          <w:i/>
          <w:iCs/>
        </w:rPr>
        <w:t>athalia</w:t>
      </w:r>
      <w:proofErr w:type="spellEnd"/>
      <w:r w:rsidRPr="00542F79">
        <w:t xml:space="preserve"> from the Darwin Tree of Life project was utilized </w:t>
      </w:r>
      <w:r>
        <w:t>as a reference</w:t>
      </w:r>
      <w:r w:rsidRPr="00542F79">
        <w:t xml:space="preserve">. </w:t>
      </w:r>
    </w:p>
    <w:p w:rsidR="00542F79" w:rsidRPr="00542F79" w:rsidRDefault="00542F79" w:rsidP="00542F79"/>
    <w:p w:rsidR="00542F79" w:rsidRPr="00542F79" w:rsidRDefault="00542F79" w:rsidP="00542F79">
      <w:pPr>
        <w:rPr>
          <w:b/>
          <w:bCs/>
        </w:rPr>
      </w:pPr>
      <w:r>
        <w:rPr>
          <w:b/>
          <w:bCs/>
        </w:rPr>
        <w:t>Quality Control and P</w:t>
      </w:r>
      <w:r w:rsidRPr="00542F79">
        <w:rPr>
          <w:b/>
          <w:bCs/>
        </w:rPr>
        <w:t>hylogenetic Analysis</w:t>
      </w:r>
    </w:p>
    <w:p w:rsidR="00542F79" w:rsidRPr="00542F79" w:rsidRDefault="00542F79" w:rsidP="00542F79">
      <w:pPr>
        <w:rPr>
          <w:b/>
          <w:bCs/>
        </w:rPr>
      </w:pPr>
      <w:r w:rsidRPr="00542F79">
        <w:t xml:space="preserve">Variant calling was performed using </w:t>
      </w:r>
      <w:proofErr w:type="spellStart"/>
      <w:r w:rsidRPr="00542F79">
        <w:t>SAMtools</w:t>
      </w:r>
      <w:proofErr w:type="spellEnd"/>
      <w:r w:rsidRPr="00542F79">
        <w:t xml:space="preserve"> </w:t>
      </w:r>
      <w:proofErr w:type="spellStart"/>
      <w:r w:rsidRPr="00542F79">
        <w:t>mpileup</w:t>
      </w:r>
      <w:proofErr w:type="spellEnd"/>
      <w:r w:rsidRPr="00542F79">
        <w:t xml:space="preserve"> (Li et al., 2009), following the settings recommended by the </w:t>
      </w:r>
      <w:proofErr w:type="spellStart"/>
      <w:r w:rsidRPr="00542F79">
        <w:t>GenErode</w:t>
      </w:r>
      <w:proofErr w:type="spellEnd"/>
      <w:r w:rsidRPr="00542F79">
        <w:t xml:space="preserve"> pipeline. The output VCF file was </w:t>
      </w:r>
      <w:r>
        <w:t>used for perform PCA analysis for initial quality control and</w:t>
      </w:r>
      <w:r w:rsidRPr="00542F79">
        <w:t xml:space="preserve"> to extract COI genes.</w:t>
      </w:r>
      <w:r>
        <w:rPr>
          <w:b/>
          <w:bCs/>
        </w:rPr>
        <w:t xml:space="preserve"> </w:t>
      </w:r>
      <w:r w:rsidRPr="00542F79">
        <w:t xml:space="preserve">To ensure species-specific analysis, we constructed a phylogenetic tree using the COI gene sequences. Sequences for </w:t>
      </w:r>
      <w:r w:rsidRPr="00542F79">
        <w:rPr>
          <w:i/>
          <w:iCs/>
        </w:rPr>
        <w:t xml:space="preserve">M. </w:t>
      </w:r>
      <w:proofErr w:type="spellStart"/>
      <w:r w:rsidRPr="00542F79">
        <w:rPr>
          <w:i/>
          <w:iCs/>
        </w:rPr>
        <w:t>athalia</w:t>
      </w:r>
      <w:proofErr w:type="spellEnd"/>
      <w:r>
        <w:t xml:space="preserve">, </w:t>
      </w:r>
      <w:r w:rsidRPr="00542F79">
        <w:rPr>
          <w:i/>
          <w:iCs/>
        </w:rPr>
        <w:t xml:space="preserve">M. </w:t>
      </w:r>
      <w:proofErr w:type="spellStart"/>
      <w:r w:rsidRPr="00542F79">
        <w:rPr>
          <w:i/>
          <w:iCs/>
        </w:rPr>
        <w:t>diamina</w:t>
      </w:r>
      <w:proofErr w:type="spellEnd"/>
      <w:r w:rsidRPr="00542F79">
        <w:t xml:space="preserve"> </w:t>
      </w:r>
      <w:r>
        <w:t xml:space="preserve">and </w:t>
      </w:r>
      <w:proofErr w:type="spellStart"/>
      <w:r w:rsidRPr="00542F79">
        <w:rPr>
          <w:i/>
          <w:iCs/>
        </w:rPr>
        <w:t>M.cinxia</w:t>
      </w:r>
      <w:proofErr w:type="spellEnd"/>
      <w:r w:rsidRPr="00542F79">
        <w:rPr>
          <w:i/>
          <w:iCs/>
        </w:rPr>
        <w:t xml:space="preserve"> </w:t>
      </w:r>
      <w:r w:rsidRPr="00542F79">
        <w:t>were obtained from GenBank. The tree was constructed using MEGA software (Kumar et al., 2018) and visualized with ETE Toolkit (Huerta-</w:t>
      </w:r>
      <w:proofErr w:type="spellStart"/>
      <w:r w:rsidRPr="00542F79">
        <w:t>Cepas</w:t>
      </w:r>
      <w:proofErr w:type="spellEnd"/>
      <w:r w:rsidRPr="00542F79">
        <w:t xml:space="preserve"> et al., 2016).</w:t>
      </w:r>
      <w:r>
        <w:t xml:space="preserve"> Individuals grouping with any of the outgroup species were excluded from the further analysis.</w:t>
      </w:r>
    </w:p>
    <w:p w:rsidR="00542F79" w:rsidRPr="00542F79" w:rsidRDefault="00542F79" w:rsidP="00542F79"/>
    <w:p w:rsidR="00542F79" w:rsidRPr="00542F79" w:rsidRDefault="00542F79" w:rsidP="00542F79">
      <w:pPr>
        <w:rPr>
          <w:b/>
          <w:bCs/>
        </w:rPr>
      </w:pPr>
      <w:r w:rsidRPr="00542F79">
        <w:rPr>
          <w:b/>
          <w:bCs/>
        </w:rPr>
        <w:t>Genomic Analysis Using ANGSD</w:t>
      </w:r>
    </w:p>
    <w:p w:rsidR="00542F79" w:rsidRDefault="00542F79" w:rsidP="001F7E32">
      <w:pPr>
        <w:jc w:val="both"/>
      </w:pPr>
      <w:r w:rsidRPr="00542F79">
        <w:t xml:space="preserve">Due to the low and uneven coverage in </w:t>
      </w:r>
      <w:r>
        <w:t>remaining</w:t>
      </w:r>
      <w:r w:rsidRPr="00542F79">
        <w:t xml:space="preserve"> data, we switched to the ANGSD toolkit (</w:t>
      </w:r>
      <w:proofErr w:type="spellStart"/>
      <w:r w:rsidRPr="00542F79">
        <w:t>Korneliussen</w:t>
      </w:r>
      <w:proofErr w:type="spellEnd"/>
      <w:r w:rsidRPr="00542F79">
        <w:t xml:space="preserve"> et al., 2014) tailored for such scenarios. ANGSD was employed to directly estimate genotype likelihoods from two datasets: the full dataset</w:t>
      </w:r>
      <w:r w:rsidR="001F7E32">
        <w:t xml:space="preserve"> of </w:t>
      </w:r>
      <w:proofErr w:type="spellStart"/>
      <w:r w:rsidR="001F7E32" w:rsidRPr="001F7E32">
        <w:rPr>
          <w:i/>
          <w:iCs/>
        </w:rPr>
        <w:t>Melitaea</w:t>
      </w:r>
      <w:proofErr w:type="spellEnd"/>
      <w:r w:rsidR="001F7E32" w:rsidRPr="001F7E32">
        <w:rPr>
          <w:i/>
          <w:iCs/>
        </w:rPr>
        <w:t xml:space="preserve"> </w:t>
      </w:r>
      <w:proofErr w:type="spellStart"/>
      <w:r w:rsidR="001F7E32" w:rsidRPr="001F7E32">
        <w:rPr>
          <w:i/>
          <w:iCs/>
        </w:rPr>
        <w:t>britomartis</w:t>
      </w:r>
      <w:proofErr w:type="spellEnd"/>
      <w:r w:rsidRPr="001F7E32">
        <w:rPr>
          <w:i/>
          <w:iCs/>
        </w:rPr>
        <w:t xml:space="preserve"> </w:t>
      </w:r>
      <w:r w:rsidRPr="00542F79">
        <w:t xml:space="preserve">and a subset including only individuals from Sweden. </w:t>
      </w:r>
      <w:r w:rsidR="001F7E32">
        <w:t xml:space="preserve">We applied following filters to both sample sets : </w:t>
      </w:r>
      <w:r w:rsidR="001F7E32" w:rsidRPr="001F7E32">
        <w:t>MAF &gt; 0.05</w:t>
      </w:r>
      <w:r w:rsidR="001F7E32">
        <w:t>. m</w:t>
      </w:r>
      <w:r w:rsidR="001F7E32" w:rsidRPr="001F7E32">
        <w:t xml:space="preserve">inimum mapping quality </w:t>
      </w:r>
      <w:r w:rsidR="001F7E32">
        <w:t xml:space="preserve">= </w:t>
      </w:r>
      <w:r w:rsidR="001F7E32" w:rsidRPr="001F7E32">
        <w:t>20</w:t>
      </w:r>
      <w:r w:rsidR="001F7E32">
        <w:t>, b</w:t>
      </w:r>
      <w:r w:rsidR="001F7E32" w:rsidRPr="001F7E32">
        <w:t xml:space="preserve">ase quality score </w:t>
      </w:r>
      <w:r w:rsidR="001F7E32">
        <w:t xml:space="preserve">= </w:t>
      </w:r>
      <w:r w:rsidR="001F7E32" w:rsidRPr="001F7E32">
        <w:t>20</w:t>
      </w:r>
      <w:r w:rsidR="001F7E32">
        <w:t xml:space="preserve">, </w:t>
      </w:r>
      <w:r w:rsidR="001F7E32" w:rsidRPr="001F7E32">
        <w:t>5 &lt; Depth &lt; 30</w:t>
      </w:r>
      <w:r w:rsidR="001F7E32">
        <w:t xml:space="preserve">. We </w:t>
      </w:r>
      <w:proofErr w:type="spellStart"/>
      <w:r w:rsidR="001F7E32">
        <w:t>selectd</w:t>
      </w:r>
      <w:proofErr w:type="spellEnd"/>
      <w:r w:rsidR="001F7E32">
        <w:t xml:space="preserve"> sites covered in at least 20 and 10 individuals for full and Swedish datasets respectively. </w:t>
      </w:r>
      <w:r w:rsidRPr="00542F79">
        <w:t xml:space="preserve">Beagle-format files generated by ANGSD were used as input for </w:t>
      </w:r>
      <w:proofErr w:type="spellStart"/>
      <w:r w:rsidRPr="00542F79">
        <w:t>pcangsd</w:t>
      </w:r>
      <w:proofErr w:type="spellEnd"/>
      <w:r w:rsidRPr="00542F79">
        <w:t xml:space="preserve"> (Meisner &amp; </w:t>
      </w:r>
      <w:proofErr w:type="spellStart"/>
      <w:r w:rsidRPr="00542F79">
        <w:t>Albrechtsen</w:t>
      </w:r>
      <w:proofErr w:type="spellEnd"/>
      <w:r w:rsidRPr="00542F79">
        <w:t>, 2018), which produced a covariance matrix.</w:t>
      </w:r>
      <w:r>
        <w:t xml:space="preserve"> </w:t>
      </w:r>
      <w:r w:rsidRPr="00542F79">
        <w:t xml:space="preserve">Principal Component Analysis (PCA) was then performed </w:t>
      </w:r>
      <w:r>
        <w:t xml:space="preserve">again </w:t>
      </w:r>
      <w:r w:rsidRPr="00542F79">
        <w:t>to explore population structure using Python 3.7 with the scikit-learn library (</w:t>
      </w:r>
      <w:proofErr w:type="spellStart"/>
      <w:r w:rsidRPr="00542F79">
        <w:t>Pedregosa</w:t>
      </w:r>
      <w:proofErr w:type="spellEnd"/>
      <w:r w:rsidRPr="00542F79">
        <w:t xml:space="preserve"> et al., 2011). Additionally, the site frequency spectrum (SFS) was derived from ANGSD output and used to estimate</w:t>
      </w:r>
      <w:r>
        <w:t xml:space="preserve"> nucleotide diversity (</w:t>
      </w:r>
      <w:r w:rsidRPr="00542F79">
        <w:t>theta</w:t>
      </w:r>
      <w:r>
        <w:t>)</w:t>
      </w:r>
      <w:r w:rsidRPr="00542F79">
        <w:t xml:space="preserve"> for the population using the </w:t>
      </w:r>
      <w:proofErr w:type="spellStart"/>
      <w:r w:rsidRPr="00542F79">
        <w:t>realSFS</w:t>
      </w:r>
      <w:proofErr w:type="spellEnd"/>
      <w:r w:rsidRPr="00542F79">
        <w:t xml:space="preserve"> module. All visualizations were created using custom scripts, which are available on our GitHub repository.</w:t>
      </w:r>
    </w:p>
    <w:p w:rsidR="00542F79" w:rsidRPr="00542F79" w:rsidRDefault="00542F79" w:rsidP="00542F79"/>
    <w:p w:rsidR="00542F79" w:rsidRPr="00542F79" w:rsidRDefault="00542F79" w:rsidP="00542F79">
      <w:pPr>
        <w:rPr>
          <w:b/>
          <w:bCs/>
        </w:rPr>
      </w:pPr>
      <w:r w:rsidRPr="00542F79">
        <w:rPr>
          <w:b/>
          <w:bCs/>
        </w:rPr>
        <w:t>References</w:t>
      </w:r>
    </w:p>
    <w:p w:rsidR="00542F79" w:rsidRPr="00542F79" w:rsidRDefault="00542F79" w:rsidP="00542F79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542F79">
        <w:rPr>
          <w:sz w:val="20"/>
          <w:szCs w:val="20"/>
        </w:rPr>
        <w:t>Ewels</w:t>
      </w:r>
      <w:proofErr w:type="spellEnd"/>
      <w:r w:rsidRPr="00542F79">
        <w:rPr>
          <w:sz w:val="20"/>
          <w:szCs w:val="20"/>
        </w:rPr>
        <w:t xml:space="preserve">, P. et al. "The </w:t>
      </w:r>
      <w:proofErr w:type="spellStart"/>
      <w:r w:rsidRPr="00542F79">
        <w:rPr>
          <w:sz w:val="20"/>
          <w:szCs w:val="20"/>
        </w:rPr>
        <w:t>nf</w:t>
      </w:r>
      <w:proofErr w:type="spellEnd"/>
      <w:r w:rsidRPr="00542F79">
        <w:rPr>
          <w:sz w:val="20"/>
          <w:szCs w:val="20"/>
        </w:rPr>
        <w:t xml:space="preserve">-core framework for community-curated bioinformatics pipelines." Nature Biotechnology 38, 276–278 (2020). </w:t>
      </w:r>
      <w:hyperlink r:id="rId5" w:tgtFrame="_new" w:history="1">
        <w:r w:rsidRPr="00542F79">
          <w:rPr>
            <w:rStyle w:val="Hyperlink"/>
            <w:sz w:val="20"/>
            <w:szCs w:val="20"/>
          </w:rPr>
          <w:t>Link to Paper</w:t>
        </w:r>
      </w:hyperlink>
    </w:p>
    <w:p w:rsidR="00542F79" w:rsidRPr="00542F79" w:rsidRDefault="00542F79" w:rsidP="00542F79">
      <w:pPr>
        <w:numPr>
          <w:ilvl w:val="0"/>
          <w:numId w:val="1"/>
        </w:numPr>
        <w:rPr>
          <w:sz w:val="20"/>
          <w:szCs w:val="20"/>
        </w:rPr>
      </w:pPr>
      <w:r w:rsidRPr="00542F79">
        <w:rPr>
          <w:sz w:val="20"/>
          <w:szCs w:val="20"/>
        </w:rPr>
        <w:t>Di Tommaso, P. et al. "</w:t>
      </w:r>
      <w:proofErr w:type="spellStart"/>
      <w:r w:rsidRPr="00542F79">
        <w:rPr>
          <w:sz w:val="20"/>
          <w:szCs w:val="20"/>
        </w:rPr>
        <w:t>Nextflow</w:t>
      </w:r>
      <w:proofErr w:type="spellEnd"/>
      <w:r w:rsidRPr="00542F79">
        <w:rPr>
          <w:sz w:val="20"/>
          <w:szCs w:val="20"/>
        </w:rPr>
        <w:t xml:space="preserve"> enables reproducible computational workflows." Nature Biotechnology 35, 316–319 (2017). </w:t>
      </w:r>
      <w:hyperlink r:id="rId6" w:tgtFrame="_new" w:history="1">
        <w:r w:rsidRPr="00542F79">
          <w:rPr>
            <w:rStyle w:val="Hyperlink"/>
            <w:sz w:val="20"/>
            <w:szCs w:val="20"/>
          </w:rPr>
          <w:t>Link to Paper</w:t>
        </w:r>
      </w:hyperlink>
    </w:p>
    <w:p w:rsidR="00542F79" w:rsidRPr="00542F79" w:rsidRDefault="00542F79" w:rsidP="00542F79">
      <w:pPr>
        <w:numPr>
          <w:ilvl w:val="0"/>
          <w:numId w:val="1"/>
        </w:numPr>
        <w:rPr>
          <w:sz w:val="20"/>
          <w:szCs w:val="20"/>
        </w:rPr>
      </w:pPr>
      <w:r w:rsidRPr="00542F79">
        <w:rPr>
          <w:sz w:val="20"/>
          <w:szCs w:val="20"/>
        </w:rPr>
        <w:t xml:space="preserve">Li, H. et al. "The Sequence Alignment/Map format and </w:t>
      </w:r>
      <w:proofErr w:type="spellStart"/>
      <w:r w:rsidRPr="00542F79">
        <w:rPr>
          <w:sz w:val="20"/>
          <w:szCs w:val="20"/>
        </w:rPr>
        <w:t>SAMtools</w:t>
      </w:r>
      <w:proofErr w:type="spellEnd"/>
      <w:r w:rsidRPr="00542F79">
        <w:rPr>
          <w:sz w:val="20"/>
          <w:szCs w:val="20"/>
        </w:rPr>
        <w:t xml:space="preserve">." Bioinformatics, 25(16), 2078–2079 (2009). </w:t>
      </w:r>
      <w:hyperlink r:id="rId7" w:tgtFrame="_new" w:history="1">
        <w:r w:rsidRPr="00542F79">
          <w:rPr>
            <w:rStyle w:val="Hyperlink"/>
            <w:sz w:val="20"/>
            <w:szCs w:val="20"/>
          </w:rPr>
          <w:t>Link to Paper</w:t>
        </w:r>
      </w:hyperlink>
    </w:p>
    <w:p w:rsidR="00542F79" w:rsidRPr="00542F79" w:rsidRDefault="00542F79" w:rsidP="00542F79">
      <w:pPr>
        <w:numPr>
          <w:ilvl w:val="0"/>
          <w:numId w:val="1"/>
        </w:numPr>
        <w:rPr>
          <w:sz w:val="20"/>
          <w:szCs w:val="20"/>
        </w:rPr>
      </w:pPr>
      <w:r w:rsidRPr="00542F79">
        <w:rPr>
          <w:sz w:val="20"/>
          <w:szCs w:val="20"/>
        </w:rPr>
        <w:t xml:space="preserve">Kumar, S. et al. "MEGA X: Molecular Evolutionary Genetics Analysis across Computing Platforms." Molecular Biology and Evolution, 35(6), 1547–1549 (2018). </w:t>
      </w:r>
      <w:hyperlink r:id="rId8" w:tgtFrame="_new" w:history="1">
        <w:r w:rsidRPr="00542F79">
          <w:rPr>
            <w:rStyle w:val="Hyperlink"/>
            <w:sz w:val="20"/>
            <w:szCs w:val="20"/>
          </w:rPr>
          <w:t>Link to Paper</w:t>
        </w:r>
      </w:hyperlink>
    </w:p>
    <w:p w:rsidR="00542F79" w:rsidRPr="00542F79" w:rsidRDefault="00542F79" w:rsidP="00542F79">
      <w:pPr>
        <w:numPr>
          <w:ilvl w:val="0"/>
          <w:numId w:val="1"/>
        </w:numPr>
        <w:rPr>
          <w:sz w:val="20"/>
          <w:szCs w:val="20"/>
        </w:rPr>
      </w:pPr>
      <w:r w:rsidRPr="00542F79">
        <w:rPr>
          <w:sz w:val="20"/>
          <w:szCs w:val="20"/>
        </w:rPr>
        <w:t>Huerta-</w:t>
      </w:r>
      <w:proofErr w:type="spellStart"/>
      <w:r w:rsidRPr="00542F79">
        <w:rPr>
          <w:sz w:val="20"/>
          <w:szCs w:val="20"/>
        </w:rPr>
        <w:t>Cepas</w:t>
      </w:r>
      <w:proofErr w:type="spellEnd"/>
      <w:r w:rsidRPr="00542F79">
        <w:rPr>
          <w:sz w:val="20"/>
          <w:szCs w:val="20"/>
        </w:rPr>
        <w:t xml:space="preserve">, J. et al. "ETE 3: Reconstruction, Analysis, and Visualization of Phylogenomic Data." Molecular Biology and Evolution, 33(6), 1635–1638 (2016). </w:t>
      </w:r>
      <w:hyperlink r:id="rId9" w:tgtFrame="_new" w:history="1">
        <w:r w:rsidRPr="00542F79">
          <w:rPr>
            <w:rStyle w:val="Hyperlink"/>
            <w:sz w:val="20"/>
            <w:szCs w:val="20"/>
          </w:rPr>
          <w:t>Link to Paper</w:t>
        </w:r>
      </w:hyperlink>
    </w:p>
    <w:p w:rsidR="00542F79" w:rsidRPr="00542F79" w:rsidRDefault="00542F79" w:rsidP="00542F79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542F79">
        <w:rPr>
          <w:sz w:val="20"/>
          <w:szCs w:val="20"/>
        </w:rPr>
        <w:t>Korneliussen</w:t>
      </w:r>
      <w:proofErr w:type="spellEnd"/>
      <w:r w:rsidRPr="00542F79">
        <w:rPr>
          <w:sz w:val="20"/>
          <w:szCs w:val="20"/>
        </w:rPr>
        <w:t xml:space="preserve">, T. S. et al. "ANGSD: Analysis of Next Generation Sequencing Data." BMC Bioinformatics, 15, 356 (2014). </w:t>
      </w:r>
      <w:hyperlink r:id="rId10" w:tgtFrame="_new" w:history="1">
        <w:r w:rsidRPr="00542F79">
          <w:rPr>
            <w:rStyle w:val="Hyperlink"/>
            <w:sz w:val="20"/>
            <w:szCs w:val="20"/>
          </w:rPr>
          <w:t>Link to Paper</w:t>
        </w:r>
      </w:hyperlink>
    </w:p>
    <w:p w:rsidR="00542F79" w:rsidRPr="00542F79" w:rsidRDefault="00542F79" w:rsidP="00542F79">
      <w:pPr>
        <w:numPr>
          <w:ilvl w:val="0"/>
          <w:numId w:val="1"/>
        </w:numPr>
        <w:rPr>
          <w:sz w:val="20"/>
          <w:szCs w:val="20"/>
        </w:rPr>
      </w:pPr>
      <w:r w:rsidRPr="00542F79">
        <w:rPr>
          <w:sz w:val="20"/>
          <w:szCs w:val="20"/>
        </w:rPr>
        <w:lastRenderedPageBreak/>
        <w:t xml:space="preserve">Meisner, J. &amp; </w:t>
      </w:r>
      <w:proofErr w:type="spellStart"/>
      <w:r w:rsidRPr="00542F79">
        <w:rPr>
          <w:sz w:val="20"/>
          <w:szCs w:val="20"/>
        </w:rPr>
        <w:t>Albrechtsen</w:t>
      </w:r>
      <w:proofErr w:type="spellEnd"/>
      <w:r w:rsidRPr="00542F79">
        <w:rPr>
          <w:sz w:val="20"/>
          <w:szCs w:val="20"/>
        </w:rPr>
        <w:t>, A. "</w:t>
      </w:r>
      <w:proofErr w:type="spellStart"/>
      <w:r w:rsidRPr="00542F79">
        <w:rPr>
          <w:sz w:val="20"/>
          <w:szCs w:val="20"/>
        </w:rPr>
        <w:t>pcangsd</w:t>
      </w:r>
      <w:proofErr w:type="spellEnd"/>
      <w:r w:rsidRPr="00542F79">
        <w:rPr>
          <w:sz w:val="20"/>
          <w:szCs w:val="20"/>
        </w:rPr>
        <w:t xml:space="preserve">: principal components analysis on next generation sequencing data." </w:t>
      </w:r>
      <w:proofErr w:type="spellStart"/>
      <w:r w:rsidRPr="00542F79">
        <w:rPr>
          <w:sz w:val="20"/>
          <w:szCs w:val="20"/>
        </w:rPr>
        <w:t>bioRxiv</w:t>
      </w:r>
      <w:proofErr w:type="spellEnd"/>
      <w:r w:rsidRPr="00542F79">
        <w:rPr>
          <w:sz w:val="20"/>
          <w:szCs w:val="20"/>
        </w:rPr>
        <w:t xml:space="preserve"> (2018). </w:t>
      </w:r>
      <w:hyperlink r:id="rId11" w:tgtFrame="_new" w:history="1">
        <w:r w:rsidRPr="00542F79">
          <w:rPr>
            <w:rStyle w:val="Hyperlink"/>
            <w:sz w:val="20"/>
            <w:szCs w:val="20"/>
          </w:rPr>
          <w:t>Link to Preprint</w:t>
        </w:r>
      </w:hyperlink>
    </w:p>
    <w:p w:rsidR="00542F79" w:rsidRPr="00542F79" w:rsidRDefault="00542F79" w:rsidP="00542F79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542F79">
        <w:rPr>
          <w:sz w:val="20"/>
          <w:szCs w:val="20"/>
        </w:rPr>
        <w:t>Pedregosa</w:t>
      </w:r>
      <w:proofErr w:type="spellEnd"/>
      <w:r w:rsidRPr="00542F79">
        <w:rPr>
          <w:sz w:val="20"/>
          <w:szCs w:val="20"/>
        </w:rPr>
        <w:t>, F. et al. "Scikit-learn: Machine Learning in Python." Journal of Machine Learning Research, 12, 2825</w:t>
      </w:r>
    </w:p>
    <w:p w:rsidR="00430216" w:rsidRDefault="00430216"/>
    <w:sectPr w:rsidR="0043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77A26"/>
    <w:multiLevelType w:val="multilevel"/>
    <w:tmpl w:val="9956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79"/>
    <w:rsid w:val="001F7E32"/>
    <w:rsid w:val="00430216"/>
    <w:rsid w:val="00542F79"/>
    <w:rsid w:val="0081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1222A"/>
  <w15:chartTrackingRefBased/>
  <w15:docId w15:val="{8ECB0306-EFFB-8B4D-90CF-3D895B42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mbe/article/35/6/1547/49908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bioinformatics/article/25/16/2078/2046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bt.3820" TargetMode="External"/><Relationship Id="rId11" Type="http://schemas.openxmlformats.org/officeDocument/2006/relationships/hyperlink" Target="https://www.biorxiv.org/content/10.1101/311951v1" TargetMode="External"/><Relationship Id="rId5" Type="http://schemas.openxmlformats.org/officeDocument/2006/relationships/hyperlink" Target="https://www.nature.com/articles/s41587-020-0439-x" TargetMode="External"/><Relationship Id="rId10" Type="http://schemas.openxmlformats.org/officeDocument/2006/relationships/hyperlink" Target="https://bmcbioinformatics.biomedcentral.com/articles/10.1186/s12859-014-0356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mbe/article/33/6/1635/2579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Shipilina</dc:creator>
  <cp:keywords/>
  <dc:description/>
  <cp:lastModifiedBy>Daria Shipilina</cp:lastModifiedBy>
  <cp:revision>2</cp:revision>
  <dcterms:created xsi:type="dcterms:W3CDTF">2023-11-17T12:28:00Z</dcterms:created>
  <dcterms:modified xsi:type="dcterms:W3CDTF">2023-11-20T10:24:00Z</dcterms:modified>
</cp:coreProperties>
</file>