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72de75a56bddabfc23c797e57e3db4f0d6a7cbd"/>
    <w:p>
      <w:pPr>
        <w:pStyle w:val="Heading1"/>
      </w:pPr>
      <w:r>
        <w:t xml:space="preserve">Mobile Application Security Testing Requirements Document</w:t>
      </w:r>
    </w:p>
    <w:p>
      <w:pPr>
        <w:pStyle w:val="FirstParagraph"/>
      </w:pPr>
      <w:r>
        <w:rPr>
          <w:b/>
          <w:bCs/>
        </w:rPr>
        <w:t xml:space="preserve">Prepared By</w:t>
      </w:r>
      <w:r>
        <w:t xml:space="preserve">: Information Network Security Administration (INSA) 2025</w:t>
      </w:r>
      <w:r>
        <w:t xml:space="preserve"> </w:t>
      </w:r>
      <w:r>
        <w:rPr>
          <w:b/>
          <w:bCs/>
        </w:rPr>
        <w:t xml:space="preserve">Submitted by</w:t>
      </w:r>
      <w:r>
        <w:t xml:space="preserve">: [Client’s Name / Organization Placeholder]</w:t>
      </w:r>
      <w:r>
        <w:t xml:space="preserve"> </w:t>
      </w:r>
      <w:r>
        <w:rPr>
          <w:b/>
          <w:bCs/>
        </w:rPr>
        <w:t xml:space="preserve">Submitted to</w:t>
      </w:r>
      <w:r>
        <w:t xml:space="preserve">: Information Network Security Administration (INSA)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1"/>
          <w:numId w:val="1002"/>
        </w:numPr>
      </w:pPr>
      <w:r>
        <w:t xml:space="preserve">Purpose</w:t>
      </w:r>
    </w:p>
    <w:p>
      <w:pPr>
        <w:pStyle w:val="Compact"/>
        <w:numPr>
          <w:ilvl w:val="1"/>
          <w:numId w:val="1002"/>
        </w:numPr>
      </w:pPr>
      <w:r>
        <w:t xml:space="preserve">Ownership</w:t>
      </w:r>
    </w:p>
    <w:p>
      <w:pPr>
        <w:pStyle w:val="Compact"/>
        <w:numPr>
          <w:ilvl w:val="1"/>
          <w:numId w:val="1002"/>
        </w:numPr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Legal and Administrative Documents</w:t>
      </w:r>
    </w:p>
    <w:p>
      <w:pPr>
        <w:pStyle w:val="Compact"/>
        <w:numPr>
          <w:ilvl w:val="0"/>
          <w:numId w:val="1001"/>
        </w:numPr>
      </w:pPr>
      <w:r>
        <w:t xml:space="preserve">Technical Documentation for Web Application Security Testing</w:t>
      </w:r>
    </w:p>
    <w:p>
      <w:pPr>
        <w:pStyle w:val="Compact"/>
        <w:numPr>
          <w:ilvl w:val="1"/>
          <w:numId w:val="1003"/>
        </w:numPr>
      </w:pPr>
      <w:r>
        <w:t xml:space="preserve">Business Architecture and Design</w:t>
      </w:r>
    </w:p>
    <w:p>
      <w:pPr>
        <w:pStyle w:val="Compact"/>
        <w:numPr>
          <w:ilvl w:val="1"/>
          <w:numId w:val="1003"/>
        </w:numPr>
      </w:pPr>
      <w:r>
        <w:t xml:space="preserve">Features of the Web Application</w:t>
      </w:r>
    </w:p>
    <w:p>
      <w:pPr>
        <w:pStyle w:val="Compact"/>
        <w:numPr>
          <w:ilvl w:val="1"/>
          <w:numId w:val="1003"/>
        </w:numPr>
      </w:pPr>
      <w:r>
        <w:t xml:space="preserve">Security Functionality Document</w:t>
      </w:r>
    </w:p>
    <w:p>
      <w:pPr>
        <w:pStyle w:val="Compact"/>
        <w:numPr>
          <w:ilvl w:val="1"/>
          <w:numId w:val="1003"/>
        </w:numPr>
      </w:pPr>
      <w:r>
        <w:t xml:space="preserve">Secure Coding Standard Documentation</w:t>
      </w:r>
    </w:p>
    <w:p>
      <w:pPr>
        <w:pStyle w:val="Compact"/>
        <w:numPr>
          <w:ilvl w:val="1"/>
          <w:numId w:val="1003"/>
        </w:numPr>
      </w:pPr>
      <w:r>
        <w:t xml:space="preserve">Threat Modeling &amp; Risk Management</w:t>
      </w:r>
    </w:p>
    <w:p>
      <w:pPr>
        <w:pStyle w:val="Compact"/>
        <w:numPr>
          <w:ilvl w:val="1"/>
          <w:numId w:val="1003"/>
        </w:numPr>
      </w:pPr>
      <w:r>
        <w:t xml:space="preserve">Previous Security Testing Reports</w:t>
      </w:r>
    </w:p>
    <w:p>
      <w:pPr>
        <w:pStyle w:val="Compact"/>
        <w:numPr>
          <w:ilvl w:val="0"/>
          <w:numId w:val="1001"/>
        </w:numPr>
      </w:pPr>
      <w:r>
        <w:t xml:space="preserve">API Security Audit Requirements</w:t>
      </w:r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provides an overview of the Web and Mobile Application Security Testing Requirements Document, compiled for the Information Network Security Administration (INSA). The application in scope is the</w:t>
      </w:r>
      <w:r>
        <w:t xml:space="preserve"> </w:t>
      </w:r>
      <w:r>
        <w:rPr>
          <w:b/>
          <w:bCs/>
        </w:rPr>
        <w:t xml:space="preserve">Deresegn Point of Sale (POS) and SaaS Application</w:t>
      </w:r>
      <w:r>
        <w:t xml:space="preserve">, which integrates with the Ethiopian Ministry of Revenues (MoR) e-invoicing system.</w:t>
      </w:r>
    </w:p>
    <w:bookmarkEnd w:id="10"/>
    <w:bookmarkStart w:id="11" w:name="ownership"/>
    <w:p>
      <w:pPr>
        <w:pStyle w:val="Heading3"/>
      </w:pPr>
      <w:r>
        <w:t xml:space="preserve">1.2 Ownership</w:t>
      </w:r>
    </w:p>
    <w:p>
      <w:pPr>
        <w:pStyle w:val="FirstParagraph"/>
      </w:pPr>
      <w:r>
        <w:t xml:space="preserve">The owner of this document is the</w:t>
      </w:r>
      <w:r>
        <w:t xml:space="preserve"> </w:t>
      </w:r>
      <w:r>
        <w:rPr>
          <w:b/>
          <w:bCs/>
        </w:rPr>
        <w:t xml:space="preserve">Deresegn Engineering and Compliance Department</w:t>
      </w:r>
      <w:r>
        <w:t xml:space="preserve">.</w:t>
      </w:r>
    </w:p>
    <w:bookmarkEnd w:id="11"/>
    <w:bookmarkStart w:id="12" w:name="scope"/>
    <w:p>
      <w:pPr>
        <w:pStyle w:val="Heading3"/>
      </w:pPr>
      <w:r>
        <w:t xml:space="preserve">1.3 Scope</w:t>
      </w:r>
    </w:p>
    <w:p>
      <w:pPr>
        <w:pStyle w:val="FirstParagraph"/>
      </w:pPr>
      <w:r>
        <w:t xml:space="preserve">The scope encompasses the security mechanisms, architectural layouts, and data flows of the Deresegn POS/SaaS application:</w:t>
      </w:r>
      <w:r>
        <w:t xml:space="preserve"> </w:t>
      </w:r>
      <w:r>
        <w:t xml:space="preserve">- The Flutter-based mobile client interfaces.</w:t>
      </w:r>
      <w:r>
        <w:t xml:space="preserve"> </w:t>
      </w:r>
      <w:r>
        <w:t xml:space="preserve">- The Laravel 8 (PHP) backend REST API.</w:t>
      </w:r>
      <w:r>
        <w:t xml:space="preserve"> </w:t>
      </w:r>
      <w:r>
        <w:t xml:space="preserve">- The local SharedPreferences storage handling offline queuing.</w:t>
      </w:r>
      <w:r>
        <w:t xml:space="preserve"> </w:t>
      </w:r>
      <w:r>
        <w:t xml:space="preserve">- The integration with the Ministry of Revenues (MoR) e-invoicing API.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4220b0fdd661ae7ba3773353967dde9a2e4a016"/>
    <w:p>
      <w:pPr>
        <w:pStyle w:val="Heading2"/>
      </w:pPr>
      <w:r>
        <w:t xml:space="preserve">2. Legal and Administrative Documents (Mandatory)</w:t>
      </w:r>
    </w:p>
    <w:p>
      <w:pPr>
        <w:pStyle w:val="FirstParagraph"/>
      </w:pPr>
      <w:r>
        <w:t xml:space="preserve">The following legal prerequisites and administrative documents are mandatory prior to the finalization of the INSA audit: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Updated Trade License</w:t>
      </w:r>
      <w:r>
        <w:t xml:space="preserve">: [Placeholder for Trade License ID]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TIN Number or National ID</w:t>
      </w:r>
      <w:r>
        <w:t xml:space="preserve">: [Placeholder for TIN Number]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System/Product Patent Certificate (if available)</w:t>
      </w:r>
      <w:r>
        <w:t xml:space="preserve">: [Placeholder for Patent]</w:t>
      </w:r>
    </w:p>
    <w:p>
      <w:r>
        <w:pict>
          <v:rect style="width:0;height:1.5pt" o:hralign="center" o:hrstd="t" o:hr="t"/>
        </w:pict>
      </w:r>
    </w:p>
    <w:bookmarkEnd w:id="14"/>
    <w:bookmarkStart w:id="48" w:name="Xbf7c2fd929072b3c017dca2a852c8bffdf2a9b9"/>
    <w:p>
      <w:pPr>
        <w:pStyle w:val="Heading2"/>
      </w:pPr>
      <w:r>
        <w:t xml:space="preserve">3. Technical Documentation for Web Application Security Testing</w:t>
      </w:r>
    </w:p>
    <w:bookmarkStart w:id="27" w:name="business-architecture-and-design"/>
    <w:p>
      <w:pPr>
        <w:pStyle w:val="Heading3"/>
      </w:pPr>
      <w:r>
        <w:t xml:space="preserve">3.1 Business Architecture and Design</w:t>
      </w:r>
    </w:p>
    <w:bookmarkStart w:id="18" w:name="data-flow-diagram-dfd"/>
    <w:p>
      <w:pPr>
        <w:pStyle w:val="Heading4"/>
      </w:pPr>
      <w:r>
        <w:t xml:space="preserve">3.1.1 Data Flow Diagram (DFD)</w:t>
      </w:r>
    </w:p>
    <w:p>
      <w:pPr>
        <w:pStyle w:val="CaptionedFigure"/>
      </w:pPr>
      <w:r>
        <w:drawing>
          <wp:inline>
            <wp:extent cx="5334000" cy="3385231"/>
            <wp:effectExtent b="0" l="0" r="0" t="0"/>
            <wp:docPr descr="Data Flow Diagram" title="" id="16" name="Picture"/>
            <a:graphic>
              <a:graphicData uri="http://schemas.openxmlformats.org/drawingml/2006/picture">
                <pic:pic>
                  <pic:nvPicPr>
                    <pic:cNvPr descr="df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5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Invoice Initialization</w:t>
      </w:r>
      <w:r>
        <w:t xml:space="preserve">: The cashier (User) selects items and initiates an invoice on the Flutter POS Application.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Validation</w:t>
      </w:r>
      <w:r>
        <w:t xml:space="preserve">: The mobile app validates inventory and necessary fields locally.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Network Check &amp; Queuing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Offline: The transaction is queued securely in local SharedPreferences.</w:t>
      </w:r>
    </w:p>
    <w:p>
      <w:pPr>
        <w:pStyle w:val="Compact"/>
        <w:numPr>
          <w:ilvl w:val="1"/>
          <w:numId w:val="1005"/>
        </w:numPr>
      </w:pPr>
      <w:r>
        <w:t xml:space="preserve">Online: The request is transmitted via HTTPS to the Laravel backend.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Processing &amp; Authentication</w:t>
      </w:r>
      <w:r>
        <w:t xml:space="preserve">: The Laravel API authenticates the user via a JWT token. It checks the specific Branch TIN and fetches the Branch Password to request a temporary MoR token.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Fiscal Registration</w:t>
      </w:r>
      <w:r>
        <w:t xml:space="preserve">: The backend submits the payload to the MoR API. The MoR returns a fiscal receipt number.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Finalization</w:t>
      </w:r>
      <w:r>
        <w:t xml:space="preserve">: The backend updates the database and returns a success response.</w:t>
      </w:r>
    </w:p>
    <w:bookmarkEnd w:id="18"/>
    <w:bookmarkStart w:id="22" w:name="system-architecture-diagram"/>
    <w:p>
      <w:pPr>
        <w:pStyle w:val="Heading4"/>
      </w:pPr>
      <w:r>
        <w:t xml:space="preserve">3.1.2 System Architecture Diagram</w:t>
      </w:r>
    </w:p>
    <w:p>
      <w:pPr>
        <w:pStyle w:val="CaptionedFigure"/>
      </w:pPr>
      <w:r>
        <w:drawing>
          <wp:inline>
            <wp:extent cx="5334000" cy="2464473"/>
            <wp:effectExtent b="0" l="0" r="0" t="0"/>
            <wp:docPr descr="System Architecture Diagram" title="" id="20" name="Picture"/>
            <a:graphic>
              <a:graphicData uri="http://schemas.openxmlformats.org/drawingml/2006/picture">
                <pic:pic>
                  <pic:nvPicPr>
                    <pic:cNvPr descr="sys_arc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 Diagram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Presentation Layer (Frontend)</w:t>
      </w:r>
      <w:r>
        <w:t xml:space="preserve">: Flutter (Dart). Employs GetX for state management and routing, and SharedPreferences for offline queuing.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Application Layer (Backend)</w:t>
      </w:r>
      <w:r>
        <w:t xml:space="preserve">: Built with the Laravel 8 framework.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Layer (Backend)</w:t>
      </w:r>
      <w:r>
        <w:t xml:space="preserve">: Relational MySQL database. Storage for receipts is offloaded to the local server storage.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Layer</w:t>
      </w:r>
      <w:r>
        <w:t xml:space="preserve">: Connects securely with the Ministry of Revenues (MoR) API.</w:t>
      </w:r>
    </w:p>
    <w:bookmarkEnd w:id="22"/>
    <w:bookmarkStart w:id="26" w:name="entity-relationship-diagram-erd"/>
    <w:p>
      <w:pPr>
        <w:pStyle w:val="Heading4"/>
      </w:pPr>
      <w:r>
        <w:t xml:space="preserve">3.1.3 Entity Relationship Diagram (ERD)</w:t>
      </w:r>
    </w:p>
    <w:p>
      <w:pPr>
        <w:pStyle w:val="CaptionedFigure"/>
      </w:pPr>
      <w:r>
        <w:drawing>
          <wp:inline>
            <wp:extent cx="5334000" cy="5690959"/>
            <wp:effectExtent b="0" l="0" r="0" t="0"/>
            <wp:docPr descr="Entity Relationship Diagram" title="" id="24" name="Picture"/>
            <a:graphic>
              <a:graphicData uri="http://schemas.openxmlformats.org/drawingml/2006/picture">
                <pic:pic>
                  <pic:nvPicPr>
                    <pic:cNvPr descr="e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Relationship Diagram</w:t>
      </w:r>
    </w:p>
    <w:p>
      <w:pPr>
        <w:pStyle w:val="BodyText"/>
      </w:pPr>
      <w:r>
        <w:rPr>
          <w:b/>
          <w:bCs/>
        </w:rPr>
        <w:t xml:space="preserve">Key Entities and Definitions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COMPANY &amp; COMPANY_USERS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represents the master tenant.</w:t>
      </w:r>
      <w:r>
        <w:t xml:space="preserve"> </w:t>
      </w:r>
      <w:r>
        <w:rPr>
          <w:rStyle w:val="VerbatimChar"/>
        </w:rPr>
        <w:t xml:space="preserve">COMPANY_USERS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COMPANY_BRANCHES</w:t>
      </w:r>
      <w:r>
        <w:t xml:space="preserve">: Represent the physical stores tied to a company. They contain the critical</w:t>
      </w:r>
      <w:r>
        <w:t xml:space="preserve"> </w:t>
      </w:r>
      <w:r>
        <w:rPr>
          <w:rStyle w:val="VerbatimChar"/>
        </w:rPr>
        <w:t xml:space="preserve">tin_number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(encrypted via model casts).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MOR_INVOICES</w:t>
      </w:r>
      <w:r>
        <w:t xml:space="preserve">: The central fiscal transactional record. Holds</w:t>
      </w:r>
      <w:r>
        <w:t xml:space="preserve"> </w:t>
      </w:r>
      <w:r>
        <w:rPr>
          <w:rStyle w:val="VerbatimChar"/>
        </w:rPr>
        <w:t xml:space="preserve">irn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full_response</w:t>
      </w:r>
      <w:r>
        <w:t xml:space="preserve"> </w:t>
      </w:r>
      <w:r>
        <w:t xml:space="preserve">(JSON). Tied to both a Branch and a Company.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MOR_RECEIPTS</w:t>
      </w:r>
      <w:r>
        <w:t xml:space="preserve">: Represents actual payments synced with the MoR.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SUPPLIES</w:t>
      </w:r>
      <w:r>
        <w:t xml:space="preserve">: Represents inventory items, holding</w:t>
      </w:r>
      <w:r>
        <w:t xml:space="preserve"> </w:t>
      </w:r>
      <w:r>
        <w:rPr>
          <w:rStyle w:val="VerbatimChar"/>
        </w:rPr>
        <w:t xml:space="preserve">item_code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tax_code</w:t>
      </w:r>
      <w:r>
        <w:t xml:space="preserve">.</w:t>
      </w:r>
    </w:p>
    <w:bookmarkEnd w:id="26"/>
    <w:bookmarkEnd w:id="27"/>
    <w:bookmarkStart w:id="28" w:name="features-of-the-web-application"/>
    <w:p>
      <w:pPr>
        <w:pStyle w:val="Heading3"/>
      </w:pPr>
      <w:r>
        <w:t xml:space="preserve">3.2 Features of the Web Application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Development Frameworks</w:t>
      </w:r>
      <w:r>
        <w:t xml:space="preserve">: Flutter (SDK ^3.12.2) and Dart (&gt;=3.0.0) for Frontend; Laravel 8 (PHP) for Backend.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Offline Reliability</w:t>
      </w:r>
      <w:r>
        <w:t xml:space="preserve">: Invoices generated during internet outages are converted to JSON and queued locally in SharedPreferences.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 Types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Super Admin / Owner</w:t>
      </w:r>
      <w:r>
        <w:t xml:space="preserve">: Global oversight, company registration.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Branch Users</w:t>
      </w:r>
      <w:r>
        <w:t xml:space="preserve">: Restricted to specific branch checkout functions.</w:t>
      </w:r>
    </w:p>
    <w:bookmarkEnd w:id="28"/>
    <w:bookmarkStart w:id="41" w:name="security-functionality-document"/>
    <w:p>
      <w:pPr>
        <w:pStyle w:val="Heading3"/>
      </w:pPr>
      <w:r>
        <w:t xml:space="preserve">3.3 Security Functionality Document</w:t>
      </w:r>
    </w:p>
    <w:bookmarkStart w:id="29" w:name="authentication-and-access-control"/>
    <w:p>
      <w:pPr>
        <w:pStyle w:val="Heading4"/>
      </w:pPr>
      <w:r>
        <w:t xml:space="preserve">3.3.1 Authentication and Access Control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Access Allocation</w:t>
      </w:r>
      <w:r>
        <w:t xml:space="preserve">: Users are assigned roles (e.g., owner) upon creation.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Authentication</w:t>
      </w:r>
      <w:r>
        <w:t xml:space="preserve">: Executed via JSON Web Tokens (JWT). The payload is signed with an HS256 cryptographic secret.</w:t>
      </w:r>
    </w:p>
    <w:bookmarkEnd w:id="29"/>
    <w:bookmarkStart w:id="30" w:name="user-id-authentication"/>
    <w:p>
      <w:pPr>
        <w:pStyle w:val="Heading4"/>
      </w:pPr>
      <w:r>
        <w:t xml:space="preserve">3.3.2 User ID Authentication</w:t>
      </w:r>
    </w:p>
    <w:p>
      <w:pPr>
        <w:pStyle w:val="FirstParagraph"/>
      </w:pPr>
      <w:r>
        <w:t xml:space="preserve">Authentication utilizes unique Phone Numbers and Passwords tied to specific Company IDs.</w:t>
      </w:r>
    </w:p>
    <w:bookmarkEnd w:id="30"/>
    <w:bookmarkStart w:id="31" w:name="change-password"/>
    <w:p>
      <w:pPr>
        <w:pStyle w:val="Heading4"/>
      </w:pPr>
      <w:r>
        <w:t xml:space="preserve">3.3.3 Change Password</w:t>
      </w:r>
    </w:p>
    <w:p>
      <w:pPr>
        <w:pStyle w:val="FirstParagraph"/>
      </w:pPr>
      <w:r>
        <w:t xml:space="preserve">The application relies on users to set their password during registration or account creation. There is currently no mechanism that forces a user to change their password upon their first login.</w:t>
      </w:r>
    </w:p>
    <w:bookmarkEnd w:id="31"/>
    <w:bookmarkStart w:id="32" w:name="user-id-password-management"/>
    <w:p>
      <w:pPr>
        <w:pStyle w:val="Heading4"/>
      </w:pPr>
      <w:r>
        <w:t xml:space="preserve">3.3.4 User ID / Password Management</w:t>
      </w:r>
    </w:p>
    <w:p>
      <w:pPr>
        <w:pStyle w:val="FirstParagraph"/>
      </w:pPr>
      <w:r>
        <w:t xml:space="preserve">Each user registers with a unique Phone Number. The system relies on administrative procedures to discourage the sharing of accounts between cashiers.</w:t>
      </w:r>
    </w:p>
    <w:bookmarkEnd w:id="32"/>
    <w:bookmarkStart w:id="33" w:name="sharing-information"/>
    <w:p>
      <w:pPr>
        <w:pStyle w:val="Heading4"/>
      </w:pPr>
      <w:r>
        <w:t xml:space="preserve">3.3.5 Sharing Information</w:t>
      </w:r>
    </w:p>
    <w:p>
      <w:pPr>
        <w:pStyle w:val="FirstParagraph"/>
      </w:pPr>
      <w:r>
        <w:t xml:space="preserve">Users are expected to keep their credentials confidential.</w:t>
      </w:r>
    </w:p>
    <w:bookmarkEnd w:id="33"/>
    <w:bookmarkStart w:id="34" w:name="complexity-of-password"/>
    <w:p>
      <w:pPr>
        <w:pStyle w:val="Heading4"/>
      </w:pPr>
      <w:r>
        <w:t xml:space="preserve">3.3.6 Complexity of Password</w:t>
      </w:r>
    </w:p>
    <w:p>
      <w:pPr>
        <w:pStyle w:val="FirstParagraph"/>
      </w:pPr>
      <w:r>
        <w:t xml:space="preserve">The backend API enforces a minimum password length of six (6) characters during registration and login. Passwords are mathematically hashed exclusively using Laravel’s native Bcrypt implementation (</w:t>
      </w:r>
      <w:r>
        <w:rPr>
          <w:rStyle w:val="VerbatimChar"/>
        </w:rPr>
        <w:t xml:space="preserve">Hash::make</w:t>
      </w:r>
      <w:r>
        <w:t xml:space="preserve">). There are no programmatic requirements for special characters, numbers, or mixed casing.</w:t>
      </w:r>
    </w:p>
    <w:bookmarkEnd w:id="34"/>
    <w:bookmarkStart w:id="35" w:name="password-expiry"/>
    <w:p>
      <w:pPr>
        <w:pStyle w:val="Heading4"/>
      </w:pPr>
      <w:r>
        <w:t xml:space="preserve">3.3.7 Password Expiry</w:t>
      </w:r>
    </w:p>
    <w:p>
      <w:pPr>
        <w:pStyle w:val="FirstParagraph"/>
      </w:pPr>
      <w:r>
        <w:t xml:space="preserve">The application does not currently enforce password expiration or rotation. Passwords remain valid indefinitely unless manually changed by the user or an administrator.</w:t>
      </w:r>
    </w:p>
    <w:bookmarkEnd w:id="35"/>
    <w:bookmarkStart w:id="36" w:name="password-history"/>
    <w:p>
      <w:pPr>
        <w:pStyle w:val="Heading4"/>
      </w:pPr>
      <w:r>
        <w:t xml:space="preserve">3.3.8 Password History</w:t>
      </w:r>
    </w:p>
    <w:p>
      <w:pPr>
        <w:pStyle w:val="FirstParagraph"/>
      </w:pPr>
      <w:r>
        <w:t xml:space="preserve">Password history is not tracked in the database. Users are permitted to reuse old passwords if they choose to change them.</w:t>
      </w:r>
    </w:p>
    <w:bookmarkEnd w:id="36"/>
    <w:bookmarkStart w:id="37" w:name="invalid-login-attempt"/>
    <w:p>
      <w:pPr>
        <w:pStyle w:val="Heading4"/>
      </w:pPr>
      <w:r>
        <w:t xml:space="preserve">3.3.9 Invalid Login Attempt</w:t>
      </w:r>
    </w:p>
    <w:p>
      <w:pPr>
        <w:pStyle w:val="FirstParagraph"/>
      </w:pPr>
      <w:r>
        <w:t xml:space="preserve">If a user submits an incorrect password, the API returns a standard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response. The application currently relies on the hosting provider’s infrastructure to handle mass brute-force attacks, as API-level rate limiting (</w:t>
      </w:r>
      <w:r>
        <w:rPr>
          <w:rStyle w:val="VerbatimChar"/>
        </w:rPr>
        <w:t xml:space="preserve">ThrottlesLogins</w:t>
      </w:r>
      <w:r>
        <w:t xml:space="preserve">) is not explicitly implemented on the authentication endpoints.</w:t>
      </w:r>
    </w:p>
    <w:bookmarkEnd w:id="37"/>
    <w:bookmarkStart w:id="38" w:name="lockout-duration"/>
    <w:p>
      <w:pPr>
        <w:pStyle w:val="Heading4"/>
      </w:pPr>
      <w:r>
        <w:t xml:space="preserve">3.3.10 Lockout Duration</w:t>
      </w:r>
    </w:p>
    <w:p>
      <w:pPr>
        <w:pStyle w:val="FirstParagraph"/>
      </w:pPr>
      <w:r>
        <w:t xml:space="preserve">Because invalid login attempts are not systematically counted in the database, there is no automatic lockout duration enforced on user accounts.</w:t>
      </w:r>
    </w:p>
    <w:bookmarkEnd w:id="38"/>
    <w:bookmarkStart w:id="39" w:name="session-idle-time"/>
    <w:p>
      <w:pPr>
        <w:pStyle w:val="Heading4"/>
      </w:pPr>
      <w:r>
        <w:t xml:space="preserve">3.3.11 Session Idle Time</w:t>
      </w:r>
    </w:p>
    <w:p>
      <w:pPr>
        <w:pStyle w:val="FirstParagraph"/>
      </w:pPr>
      <w:r>
        <w:t xml:space="preserve">The JWT Time-To-Live (TTL) is configured to expire after 60 minutes. Once the 60 minutes elapse, the token is invalidated and the user must re-authenticate.</w:t>
      </w:r>
    </w:p>
    <w:bookmarkEnd w:id="39"/>
    <w:bookmarkStart w:id="40" w:name="encryption-secure-communication"/>
    <w:p>
      <w:pPr>
        <w:pStyle w:val="Heading4"/>
      </w:pPr>
      <w:r>
        <w:t xml:space="preserve">3.3.12 Encryption &amp; Secure Communication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in Transit</w:t>
      </w:r>
      <w:r>
        <w:t xml:space="preserve">: The application relies on standard TLS encryption provided by the hosting environment for all API communications.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at Rest</w:t>
      </w:r>
      <w:r>
        <w:t xml:space="preserve">: Passwords are never stored in plaintext (hashed using Bcrypt). Sensitive MoR credentials (</w:t>
      </w:r>
      <w:r>
        <w:rPr>
          <w:rStyle w:val="VerbatimChar"/>
        </w:rPr>
        <w:t xml:space="preserve">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) in the</w:t>
      </w:r>
      <w:r>
        <w:t xml:space="preserve"> </w:t>
      </w:r>
      <w:r>
        <w:rPr>
          <w:rStyle w:val="VerbatimChar"/>
        </w:rPr>
        <w:t xml:space="preserve">company_branches</w:t>
      </w:r>
      <w:r>
        <w:t xml:space="preserve"> </w:t>
      </w:r>
      <w:r>
        <w:t xml:space="preserve">table are encrypted at rest using Laravel’s model casting mechanism (</w:t>
      </w:r>
      <w:r>
        <w:rPr>
          <w:rStyle w:val="VerbatimChar"/>
        </w:rPr>
        <w:t xml:space="preserve">encrypted</w:t>
      </w:r>
      <w:r>
        <w:t xml:space="preserve">).</w:t>
      </w:r>
    </w:p>
    <w:bookmarkEnd w:id="40"/>
    <w:bookmarkEnd w:id="41"/>
    <w:bookmarkStart w:id="43" w:name="secure-coding-standard-documentation"/>
    <w:p>
      <w:pPr>
        <w:pStyle w:val="Heading3"/>
      </w:pPr>
      <w:r>
        <w:t xml:space="preserve">3.4 Secure Coding Standard Documentation</w:t>
      </w:r>
    </w:p>
    <w:bookmarkStart w:id="42" w:name="secure-coding-requirements"/>
    <w:p>
      <w:pPr>
        <w:pStyle w:val="Heading4"/>
      </w:pPr>
      <w:r>
        <w:t xml:space="preserve">3.4.1 Secure Coding Requirements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 Validation</w:t>
      </w:r>
      <w:r>
        <w:t xml:space="preserve">: API endpoints utilize Laravel Validator logic (e.g.,</w:t>
      </w:r>
      <w:r>
        <w:t xml:space="preserve"> </w:t>
      </w:r>
      <w:r>
        <w:rPr>
          <w:rStyle w:val="VerbatimChar"/>
        </w:rPr>
        <w:t xml:space="preserve">Validator::make</w:t>
      </w:r>
      <w:r>
        <w:t xml:space="preserve">) to ensure required fields and correct data types are passed.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 Safety</w:t>
      </w:r>
      <w:r>
        <w:t xml:space="preserve">: The Eloquent ORM is utilized to interact with the MySQL database, which utilizes PDO parameterization to mitigate SQL Injection (SQLi) vulnerabilities.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Secrets Management</w:t>
      </w:r>
      <w:r>
        <w:t xml:space="preserve">: Database credentials and JWT secrets are injected via environment variables (</w:t>
      </w:r>
      <w:r>
        <w:rPr>
          <w:rStyle w:val="VerbatimChar"/>
        </w:rPr>
        <w:t xml:space="preserve">.env</w:t>
      </w:r>
      <w:r>
        <w:t xml:space="preserve">).</w:t>
      </w:r>
    </w:p>
    <w:bookmarkEnd w:id="42"/>
    <w:bookmarkEnd w:id="43"/>
    <w:bookmarkStart w:id="46" w:name="threat-modeling-risk-management"/>
    <w:p>
      <w:pPr>
        <w:pStyle w:val="Heading3"/>
      </w:pPr>
      <w:r>
        <w:t xml:space="preserve">3.5 Threat Modeling &amp; Risk Management</w:t>
      </w:r>
    </w:p>
    <w:bookmarkStart w:id="44" w:name="asset-identification"/>
    <w:p>
      <w:pPr>
        <w:pStyle w:val="Heading4"/>
      </w:pPr>
      <w:r>
        <w:t xml:space="preserve">3.5.1 Asset Identification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Critical (High Risk)</w:t>
      </w:r>
      <w:r>
        <w:t xml:space="preserve">: MoR fiscal tokens, Branch TIN passwords, user password hashes.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Important (Medium Risk)</w:t>
      </w:r>
      <w:r>
        <w:t xml:space="preserve">: Invoice historical data.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Public (Low Risk)</w:t>
      </w:r>
      <w:r>
        <w:t xml:space="preserve">: Item catalogs.</w:t>
      </w:r>
    </w:p>
    <w:bookmarkEnd w:id="44"/>
    <w:bookmarkStart w:id="45" w:name="risk-assessment-and-management"/>
    <w:p>
      <w:pPr>
        <w:pStyle w:val="Heading4"/>
      </w:pPr>
      <w:r>
        <w:t xml:space="preserve">3.5.2 Risk Assessment and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Spoofing</w:t>
      </w:r>
      <w:r>
        <w:t xml:space="preserve">: Mitigated by stateless JWT validation ensuring requests originate from authenticated users.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Information Disclosure</w:t>
      </w:r>
      <w:r>
        <w:t xml:space="preserve">: Prevented by hiding sensitive data (like the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) from API JSON responses using Laravel’s</w:t>
      </w:r>
      <w:r>
        <w:t xml:space="preserve"> </w:t>
      </w:r>
      <w:r>
        <w:rPr>
          <w:rStyle w:val="VerbatimChar"/>
        </w:rPr>
        <w:t xml:space="preserve">$hidden</w:t>
      </w:r>
      <w:r>
        <w:t xml:space="preserve"> </w:t>
      </w:r>
      <w:r>
        <w:t xml:space="preserve">array on Eloquent models.</w:t>
      </w:r>
    </w:p>
    <w:bookmarkEnd w:id="45"/>
    <w:bookmarkEnd w:id="46"/>
    <w:bookmarkStart w:id="47" w:name="previous-security-testing-reports"/>
    <w:p>
      <w:pPr>
        <w:pStyle w:val="Heading3"/>
      </w:pPr>
      <w:r>
        <w:t xml:space="preserve">3.6 Previous Security Testing Reports</w:t>
      </w:r>
    </w:p>
    <w:p>
      <w:pPr>
        <w:pStyle w:val="FirstParagraph"/>
      </w:pPr>
      <w:r>
        <w:t xml:space="preserve">The application relies on standard Laravel and Flutter linting alongside standard functional testing. Any comprehensive penetration testing is performed prior to major production releases locally.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api-security-audit-requirements"/>
    <w:p>
      <w:pPr>
        <w:pStyle w:val="Heading2"/>
      </w:pPr>
      <w:r>
        <w:t xml:space="preserve">4. API Security Audit Requirements</w:t>
      </w:r>
    </w:p>
    <w:bookmarkStart w:id="49" w:name="api-types"/>
    <w:p>
      <w:pPr>
        <w:pStyle w:val="Heading3"/>
      </w:pPr>
      <w:r>
        <w:t xml:space="preserve">4.1 API Types</w:t>
      </w:r>
    </w:p>
    <w:p>
      <w:pPr>
        <w:pStyle w:val="FirstParagraph"/>
      </w:pPr>
      <w:r>
        <w:t xml:space="preserve">The backend exposes RESTful APIs utilizing HTTP methods and JSON formats.</w:t>
      </w:r>
    </w:p>
    <w:bookmarkEnd w:id="49"/>
    <w:bookmarkStart w:id="50" w:name="authentication-mechanism"/>
    <w:p>
      <w:pPr>
        <w:pStyle w:val="Heading3"/>
      </w:pPr>
      <w:r>
        <w:t xml:space="preserve">4.2 Authentication Mechanism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Client to Backend</w:t>
      </w:r>
      <w:r>
        <w:t xml:space="preserve">: Authenticated using</w:t>
      </w:r>
      <w:r>
        <w:t xml:space="preserve"> </w:t>
      </w:r>
      <w:r>
        <w:rPr>
          <w:b/>
          <w:bCs/>
        </w:rPr>
        <w:t xml:space="preserve">JWT (JSON Web Tokens)</w:t>
      </w:r>
      <w:r>
        <w:t xml:space="preserve"> </w:t>
      </w:r>
      <w:r>
        <w:t xml:space="preserve">passed in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Backend to MoR</w:t>
      </w:r>
      <w:r>
        <w:t xml:space="preserve">: The Laravel server reads the branch’s specific TIN and Password from the database, exchanges them for a temporary MoR token, and injects this temporary token into the headers of fiscal requests.</w:t>
      </w:r>
    </w:p>
    <w:bookmarkEnd w:id="50"/>
    <w:bookmarkStart w:id="51" w:name="third-party-integrations"/>
    <w:p>
      <w:pPr>
        <w:pStyle w:val="Heading3"/>
      </w:pPr>
      <w:r>
        <w:t xml:space="preserve">4.3 Third-Party Integrations</w:t>
      </w:r>
    </w:p>
    <w:p>
      <w:pPr>
        <w:pStyle w:val="FirstParagraph"/>
      </w:pPr>
      <w:r>
        <w:t xml:space="preserve">The primary integration is the</w:t>
      </w:r>
      <w:r>
        <w:t xml:space="preserve"> </w:t>
      </w:r>
      <w:r>
        <w:rPr>
          <w:b/>
          <w:bCs/>
        </w:rPr>
        <w:t xml:space="preserve">Ethiopian Ministry of Revenues (MoR) e-invoicing API</w:t>
      </w:r>
      <w:r>
        <w:t xml:space="preserve">.</w:t>
      </w:r>
    </w:p>
    <w:bookmarkEnd w:id="51"/>
    <w:bookmarkStart w:id="52" w:name="authorization-and-access-control"/>
    <w:p>
      <w:pPr>
        <w:pStyle w:val="Heading3"/>
      </w:pPr>
      <w:r>
        <w:t xml:space="preserve">4.4 Authorization and Access Control</w:t>
      </w:r>
    </w:p>
    <w:p>
      <w:pPr>
        <w:pStyle w:val="FirstParagraph"/>
      </w:pPr>
      <w:r>
        <w:t xml:space="preserve">Endpoints are protected by JWT middleware to ensure that only authenticated companies and their respective users can access their financial records.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3" Target="media/rId23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2026-07-31T09:11:56Z</dcterms:created>
  <dcterms:modified xsi:type="dcterms:W3CDTF">2026-07-31T09:11:56Z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