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AC456" w14:textId="44916D27" w:rsidR="001A0E97" w:rsidRPr="00630435" w:rsidRDefault="001A0E97" w:rsidP="001A0E97">
      <w:pPr>
        <w:spacing w:line="276" w:lineRule="auto"/>
        <w:jc w:val="right"/>
        <w:rPr>
          <w:rFonts w:ascii="Arial" w:hAnsi="Arial" w:cs="Arial"/>
          <w:b/>
          <w:bCs/>
          <w:sz w:val="22"/>
          <w:szCs w:val="22"/>
        </w:rPr>
      </w:pPr>
      <w:r w:rsidRPr="00630435">
        <w:rPr>
          <w:rFonts w:ascii="Arial" w:hAnsi="Arial" w:cs="Arial"/>
          <w:b/>
          <w:bCs/>
          <w:sz w:val="22"/>
          <w:szCs w:val="22"/>
        </w:rPr>
        <w:t>Resolución Nro. {NUM</w:t>
      </w:r>
      <w:r w:rsidR="005D61AC">
        <w:rPr>
          <w:rFonts w:ascii="Arial" w:hAnsi="Arial" w:cs="Arial"/>
          <w:b/>
          <w:bCs/>
          <w:sz w:val="22"/>
          <w:szCs w:val="22"/>
        </w:rPr>
        <w:t>ERO DE RESOLUCIÓN</w:t>
      </w:r>
      <w:r w:rsidRPr="00630435">
        <w:rPr>
          <w:rFonts w:ascii="Arial" w:hAnsi="Arial" w:cs="Arial"/>
          <w:b/>
          <w:bCs/>
          <w:sz w:val="22"/>
          <w:szCs w:val="22"/>
        </w:rPr>
        <w:t>}</w:t>
      </w:r>
    </w:p>
    <w:p w14:paraId="561AE7CA" w14:textId="737F1DB7" w:rsidR="001A0E97" w:rsidRPr="00630435" w:rsidRDefault="001A0E97" w:rsidP="001A0E97">
      <w:pPr>
        <w:jc w:val="right"/>
        <w:rPr>
          <w:rFonts w:ascii="Arial" w:hAnsi="Arial" w:cs="Arial"/>
          <w:b/>
          <w:bCs/>
          <w:color w:val="000000" w:themeColor="text1"/>
          <w:sz w:val="22"/>
          <w:szCs w:val="22"/>
          <w:lang w:val="es-419"/>
        </w:rPr>
      </w:pPr>
      <w:r w:rsidRPr="00630435">
        <w:rPr>
          <w:rFonts w:ascii="Arial" w:hAnsi="Arial" w:cs="Arial"/>
          <w:b/>
          <w:bCs/>
          <w:sz w:val="22"/>
          <w:szCs w:val="22"/>
        </w:rPr>
        <w:t>Urcuquí, {</w:t>
      </w:r>
      <w:r w:rsidR="005D61AC">
        <w:rPr>
          <w:rFonts w:ascii="Arial" w:hAnsi="Arial" w:cs="Arial"/>
          <w:b/>
          <w:bCs/>
          <w:sz w:val="22"/>
          <w:szCs w:val="22"/>
        </w:rPr>
        <w:t>FECHA</w:t>
      </w:r>
      <w:r w:rsidRPr="00630435">
        <w:rPr>
          <w:rFonts w:ascii="Arial" w:hAnsi="Arial" w:cs="Arial"/>
          <w:b/>
          <w:bCs/>
          <w:sz w:val="22"/>
          <w:szCs w:val="22"/>
        </w:rPr>
        <w:t>}</w:t>
      </w:r>
    </w:p>
    <w:p w14:paraId="613B1456" w14:textId="77777777" w:rsidR="001A0E97" w:rsidRPr="00630435" w:rsidRDefault="001A0E97" w:rsidP="001A0E97">
      <w:pPr>
        <w:jc w:val="center"/>
        <w:rPr>
          <w:rFonts w:ascii="Arial" w:hAnsi="Arial" w:cs="Arial"/>
          <w:b/>
          <w:bCs/>
          <w:color w:val="000000" w:themeColor="text1"/>
          <w:sz w:val="22"/>
          <w:szCs w:val="22"/>
          <w:lang w:val="es-419"/>
        </w:rPr>
      </w:pPr>
    </w:p>
    <w:p w14:paraId="32880CEC" w14:textId="77777777" w:rsidR="001A0E97" w:rsidRPr="00630435" w:rsidRDefault="001A0E97" w:rsidP="001A0E97">
      <w:pPr>
        <w:spacing w:line="276" w:lineRule="auto"/>
        <w:jc w:val="center"/>
        <w:rPr>
          <w:rFonts w:ascii="Arial" w:hAnsi="Arial" w:cs="Arial"/>
          <w:b/>
          <w:bCs/>
          <w:sz w:val="22"/>
          <w:szCs w:val="22"/>
        </w:rPr>
      </w:pPr>
      <w:r w:rsidRPr="00630435">
        <w:rPr>
          <w:rFonts w:ascii="Arial" w:hAnsi="Arial" w:cs="Arial"/>
          <w:b/>
          <w:bCs/>
          <w:sz w:val="22"/>
          <w:szCs w:val="22"/>
        </w:rPr>
        <w:t>UNIVERSIDAD DE INVESTIGACIÓN DE TECNOLOGÍA EXPERIMENTAL YACHAY</w:t>
      </w:r>
    </w:p>
    <w:p w14:paraId="1C03A846" w14:textId="77777777" w:rsidR="00630435" w:rsidRPr="00630435" w:rsidRDefault="00630435" w:rsidP="005108E2">
      <w:pPr>
        <w:jc w:val="center"/>
        <w:rPr>
          <w:rFonts w:ascii="Arial" w:hAnsi="Arial" w:cs="Arial"/>
          <w:b/>
          <w:bCs/>
          <w:color w:val="000000" w:themeColor="text1"/>
          <w:sz w:val="22"/>
          <w:szCs w:val="22"/>
        </w:rPr>
      </w:pPr>
    </w:p>
    <w:p w14:paraId="71B65F01" w14:textId="77777777" w:rsidR="00630435" w:rsidRDefault="00630435" w:rsidP="005108E2">
      <w:pPr>
        <w:jc w:val="center"/>
        <w:rPr>
          <w:rFonts w:ascii="Arial" w:hAnsi="Arial" w:cs="Arial"/>
          <w:b/>
          <w:bCs/>
          <w:color w:val="000000" w:themeColor="text1"/>
          <w:sz w:val="22"/>
          <w:szCs w:val="22"/>
          <w:lang w:val="es-419"/>
        </w:rPr>
      </w:pPr>
    </w:p>
    <w:p w14:paraId="3158C708" w14:textId="535B541B" w:rsidR="007E6797" w:rsidRPr="005108E2" w:rsidRDefault="007E6797" w:rsidP="005108E2">
      <w:pPr>
        <w:jc w:val="center"/>
        <w:rPr>
          <w:rFonts w:ascii="Arial" w:hAnsi="Arial" w:cs="Arial"/>
          <w:color w:val="000000" w:themeColor="text1"/>
          <w:sz w:val="22"/>
          <w:szCs w:val="22"/>
          <w:lang w:val="es-419"/>
        </w:rPr>
      </w:pPr>
      <w:r w:rsidRPr="00630435">
        <w:rPr>
          <w:rFonts w:ascii="Arial" w:hAnsi="Arial" w:cs="Arial"/>
          <w:color w:val="000000" w:themeColor="text1"/>
          <w:sz w:val="22"/>
          <w:szCs w:val="22"/>
          <w:lang w:val="es-419"/>
        </w:rPr>
        <w:t xml:space="preserve">Jorge Andrés Rosales, </w:t>
      </w:r>
      <w:r w:rsidR="005108E2" w:rsidRPr="00630435">
        <w:rPr>
          <w:rFonts w:ascii="Arial" w:hAnsi="Arial" w:cs="Arial"/>
          <w:color w:val="000000" w:themeColor="text1"/>
          <w:sz w:val="22"/>
          <w:szCs w:val="22"/>
          <w:lang w:val="es-419"/>
        </w:rPr>
        <w:t>PhD</w:t>
      </w:r>
      <w:r w:rsidRPr="00630435">
        <w:rPr>
          <w:rFonts w:ascii="Arial" w:hAnsi="Arial" w:cs="Arial"/>
          <w:color w:val="000000" w:themeColor="text1"/>
          <w:sz w:val="22"/>
          <w:szCs w:val="22"/>
          <w:lang w:val="es-419"/>
        </w:rPr>
        <w:t>.</w:t>
      </w:r>
      <w:r w:rsidRPr="00630435">
        <w:rPr>
          <w:rFonts w:ascii="Arial" w:hAnsi="Arial" w:cs="Arial"/>
          <w:color w:val="000000" w:themeColor="text1"/>
          <w:sz w:val="22"/>
          <w:szCs w:val="22"/>
          <w:lang w:val="es-419"/>
        </w:rPr>
        <w:br/>
      </w:r>
      <w:r w:rsidRPr="005108E2">
        <w:rPr>
          <w:rFonts w:ascii="Arial" w:hAnsi="Arial" w:cs="Arial"/>
          <w:color w:val="000000" w:themeColor="text1"/>
          <w:sz w:val="22"/>
          <w:szCs w:val="22"/>
          <w:lang w:val="es-419"/>
        </w:rPr>
        <w:t> </w:t>
      </w:r>
      <w:r w:rsidRPr="005108E2">
        <w:rPr>
          <w:rFonts w:ascii="Arial" w:hAnsi="Arial" w:cs="Arial"/>
          <w:b/>
          <w:bCs/>
          <w:color w:val="000000" w:themeColor="text1"/>
          <w:sz w:val="22"/>
          <w:szCs w:val="22"/>
          <w:lang w:val="es-419"/>
        </w:rPr>
        <w:t>Rector</w:t>
      </w:r>
      <w:r w:rsidRPr="005108E2">
        <w:rPr>
          <w:rFonts w:ascii="Arial" w:hAnsi="Arial" w:cs="Arial"/>
          <w:color w:val="000000" w:themeColor="text1"/>
          <w:sz w:val="22"/>
          <w:szCs w:val="22"/>
          <w:lang w:val="es-419"/>
        </w:rPr>
        <w:br/>
        <w:t> </w:t>
      </w: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    Considerando</w:t>
      </w:r>
    </w:p>
    <w:p w14:paraId="46851F56" w14:textId="77777777" w:rsidR="005108E2" w:rsidRDefault="007E6797" w:rsidP="005108E2">
      <w:pPr>
        <w:jc w:val="both"/>
        <w:rPr>
          <w:rFonts w:ascii="Arial" w:hAnsi="Arial" w:cs="Arial"/>
          <w:color w:val="000000" w:themeColor="text1"/>
          <w:sz w:val="22"/>
          <w:szCs w:val="22"/>
          <w:lang w:val="es-419"/>
        </w:rPr>
      </w:pPr>
      <w:r w:rsidRPr="005108E2">
        <w:rPr>
          <w:rFonts w:ascii="Arial" w:hAnsi="Arial" w:cs="Arial"/>
          <w:color w:val="000000" w:themeColor="text1"/>
          <w:sz w:val="22"/>
          <w:szCs w:val="22"/>
          <w:lang w:val="es-419"/>
        </w:rPr>
        <w:t> </w:t>
      </w: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el artículo 26 de la Constitución de la República del Ecuador, dispone: “</w:t>
      </w:r>
      <w:r w:rsidRPr="005108E2">
        <w:rPr>
          <w:rFonts w:ascii="Arial" w:hAnsi="Arial" w:cs="Arial"/>
          <w:i/>
          <w:iCs/>
          <w:color w:val="000000" w:themeColor="text1"/>
          <w:sz w:val="22"/>
          <w:szCs w:val="22"/>
          <w:lang w:val="es-419"/>
        </w:rPr>
        <w:t>La educación es un derecho de las personas a lo largo de su vida y un deber ineludible e inexcusable del Estado. Constituye un área prioritaria de la política pública y de la inversión estatal, garantía de la igualdad inclusión social y condición indispensable para el buen vivir. Las personas, las familias y la sociedad tienen el derecho y la responsabilidad de participar en el proceso educativo”</w:t>
      </w:r>
      <w:r w:rsidRPr="005108E2">
        <w:rPr>
          <w:rFonts w:ascii="Arial" w:hAnsi="Arial" w:cs="Arial"/>
          <w:color w:val="000000" w:themeColor="text1"/>
          <w:sz w:val="22"/>
          <w:szCs w:val="22"/>
          <w:lang w:val="es-419"/>
        </w:rPr>
        <w:t>;</w:t>
      </w:r>
    </w:p>
    <w:p w14:paraId="798E8D1F" w14:textId="77777777" w:rsidR="005108E2" w:rsidRDefault="007E6797" w:rsidP="005108E2">
      <w:pPr>
        <w:jc w:val="both"/>
        <w:rPr>
          <w:rFonts w:ascii="Arial" w:hAnsi="Arial" w:cs="Arial"/>
          <w:i/>
          <w:iCs/>
          <w:color w:val="000000" w:themeColor="text1"/>
          <w:sz w:val="22"/>
          <w:szCs w:val="22"/>
          <w:lang w:val="es-419"/>
        </w:rPr>
      </w:pPr>
      <w:r w:rsidRPr="005108E2">
        <w:rPr>
          <w:rFonts w:ascii="Arial" w:hAnsi="Arial" w:cs="Arial"/>
          <w:color w:val="000000" w:themeColor="text1"/>
          <w:sz w:val="22"/>
          <w:szCs w:val="22"/>
          <w:lang w:val="es-419"/>
        </w:rPr>
        <w:t> </w:t>
      </w: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el artículo 226 de la Constitución de la República del Ecuador, ordena: </w:t>
      </w:r>
      <w:r w:rsidRPr="005108E2">
        <w:rPr>
          <w:rFonts w:ascii="Arial" w:hAnsi="Arial" w:cs="Arial"/>
          <w:i/>
          <w:iCs/>
          <w:color w:val="000000" w:themeColor="text1"/>
          <w:sz w:val="22"/>
          <w:szCs w:val="22"/>
          <w:lang w:val="es-419"/>
        </w:rPr>
        <w:t>“Las instituciones del Estado, sus organismos, dependencias, las servidoras o servidores públicos y las personas que actúen en virtud de una potestad estatal ejercerán solamente las competencias y facultades que les sean atribuidas en la Constitución y la ley. Tendrán el deber de coordinar acciones para el cumplimiento de sus fines y hacer efectivo el goce y ejercicio de los derechos reconocidos en la Constitución</w:t>
      </w:r>
      <w:r w:rsidRPr="005108E2">
        <w:rPr>
          <w:rFonts w:ascii="Arial" w:hAnsi="Arial" w:cs="Arial"/>
          <w:color w:val="000000" w:themeColor="text1"/>
          <w:sz w:val="22"/>
          <w:szCs w:val="22"/>
          <w:lang w:val="es-419"/>
        </w:rPr>
        <w:t>”;</w:t>
      </w:r>
      <w:r w:rsidRPr="005108E2">
        <w:rPr>
          <w:rFonts w:ascii="Arial" w:hAnsi="Arial" w:cs="Arial"/>
          <w:color w:val="000000" w:themeColor="text1"/>
          <w:sz w:val="22"/>
          <w:szCs w:val="22"/>
          <w:lang w:val="es-419"/>
        </w:rPr>
        <w:br/>
        <w:t> </w:t>
      </w: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el artículo 355 de la Constitución de la República del Ecuador, dispone: </w:t>
      </w:r>
      <w:r w:rsidRPr="005108E2">
        <w:rPr>
          <w:rFonts w:ascii="Arial" w:hAnsi="Arial" w:cs="Arial"/>
          <w:i/>
          <w:iCs/>
          <w:color w:val="000000" w:themeColor="text1"/>
          <w:sz w:val="22"/>
          <w:szCs w:val="22"/>
          <w:lang w:val="es-419"/>
        </w:rPr>
        <w:t>“El Estado reconocerá a las universidades y escuelas politécnicas autonomía académica, administrativa, financiera y orgánica, acorde con los objetivos del régimen de desarrollo y los principios establecidos en la Constitución.</w:t>
      </w:r>
    </w:p>
    <w:p w14:paraId="7DC9475A" w14:textId="77777777" w:rsidR="005108E2" w:rsidRDefault="007E6797" w:rsidP="005108E2">
      <w:pPr>
        <w:jc w:val="both"/>
        <w:rPr>
          <w:rFonts w:ascii="Arial" w:hAnsi="Arial" w:cs="Arial"/>
          <w:i/>
          <w:iCs/>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i/>
          <w:iCs/>
          <w:color w:val="000000" w:themeColor="text1"/>
          <w:sz w:val="22"/>
          <w:szCs w:val="22"/>
          <w:lang w:val="es-419"/>
        </w:rPr>
        <w:t>Se reconoce a las universidades y escuelas politécnicas el derecho a la autonomía, ejercida y comprendida de manera solidaria y responsable. Dicha autonomía garantiza el ejercicio de la libertad académica y el derecho a la búsqueda de la verdad, sin restricciones; el gobierno y gestión de sí mismas, en consonancia con los principios de alternancia, transparencia y los derechos políticos; y la producción de ciencia, tecnología, cultura y arte (…)”;</w:t>
      </w:r>
    </w:p>
    <w:p w14:paraId="1C62E36C" w14:textId="77777777" w:rsidR="003D104C" w:rsidRDefault="007E6797" w:rsidP="005108E2">
      <w:pPr>
        <w:jc w:val="both"/>
        <w:rPr>
          <w:rFonts w:ascii="Arial" w:hAnsi="Arial" w:cs="Arial"/>
          <w:i/>
          <w:iCs/>
          <w:color w:val="000000" w:themeColor="text1"/>
          <w:sz w:val="22"/>
          <w:szCs w:val="22"/>
          <w:lang w:val="es-419"/>
        </w:rPr>
      </w:pPr>
      <w:r w:rsidRPr="005108E2">
        <w:rPr>
          <w:rFonts w:ascii="Arial" w:hAnsi="Arial" w:cs="Arial"/>
          <w:color w:val="000000" w:themeColor="text1"/>
          <w:sz w:val="22"/>
          <w:szCs w:val="22"/>
          <w:lang w:val="es-419"/>
        </w:rPr>
        <w:br/>
        <w:t> </w:t>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el artículo 17 de la Ley Orgánica de Educación Superior, dispone: “</w:t>
      </w:r>
      <w:r w:rsidRPr="005108E2">
        <w:rPr>
          <w:rFonts w:ascii="Arial" w:hAnsi="Arial" w:cs="Arial"/>
          <w:i/>
          <w:iCs/>
          <w:color w:val="000000" w:themeColor="text1"/>
          <w:sz w:val="22"/>
          <w:szCs w:val="22"/>
          <w:lang w:val="es-419"/>
        </w:rPr>
        <w:t>Reconocimiento de la autonomía responsable. - El Estado reconoce a las universidades y escuelas politécnicas autonomía académica, administrativa, financiera y orgánica, acorde con los principios establecidos en la Constitución de la República.</w:t>
      </w:r>
    </w:p>
    <w:p w14:paraId="008EF928" w14:textId="77777777" w:rsidR="003D104C" w:rsidRDefault="007E6797" w:rsidP="005108E2">
      <w:pPr>
        <w:jc w:val="both"/>
        <w:rPr>
          <w:rFonts w:ascii="Arial" w:hAnsi="Arial" w:cs="Arial"/>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i/>
          <w:iCs/>
          <w:color w:val="000000" w:themeColor="text1"/>
          <w:sz w:val="22"/>
          <w:szCs w:val="22"/>
          <w:lang w:val="es-419"/>
        </w:rPr>
        <w:t>En el ejercicio de autonomía responsable, las universidades y escuelas politécnicas mantendrán relaciones de reciprocidad y cooperación entre ellas y de estas con el Estado y la sociedad; además observarán los principios de justicia, equidad, solidaridad, participación ciudadana, responsabilidad social y rendición de cuentas”</w:t>
      </w:r>
      <w:r w:rsidRPr="005108E2">
        <w:rPr>
          <w:rFonts w:ascii="Arial" w:hAnsi="Arial" w:cs="Arial"/>
          <w:color w:val="000000" w:themeColor="text1"/>
          <w:sz w:val="22"/>
          <w:szCs w:val="22"/>
          <w:lang w:val="es-419"/>
        </w:rPr>
        <w:t>;</w:t>
      </w:r>
    </w:p>
    <w:p w14:paraId="6BF8F12C" w14:textId="79830A1E" w:rsidR="005108E2" w:rsidRDefault="007E6797" w:rsidP="005108E2">
      <w:pPr>
        <w:jc w:val="both"/>
        <w:rPr>
          <w:rFonts w:ascii="Arial" w:hAnsi="Arial" w:cs="Arial"/>
          <w:i/>
          <w:iCs/>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el literal e) del artículo 18 de la Ley Orgánica de Educación Superior, dispone: </w:t>
      </w:r>
      <w:r w:rsidRPr="005108E2">
        <w:rPr>
          <w:rFonts w:ascii="Arial" w:hAnsi="Arial" w:cs="Arial"/>
          <w:i/>
          <w:iCs/>
          <w:color w:val="000000" w:themeColor="text1"/>
          <w:sz w:val="22"/>
          <w:szCs w:val="22"/>
          <w:lang w:val="es-419"/>
        </w:rPr>
        <w:t>“Ejercicio de la autonomía responsable. - La autonomía responsable que ejercen las instituciones de educación superior consiste en: e) La libertad para gestionar sus procesos internos (…)”;</w:t>
      </w:r>
    </w:p>
    <w:p w14:paraId="03AFB957" w14:textId="76D01A6B" w:rsidR="005108E2" w:rsidRDefault="007E6797" w:rsidP="005108E2">
      <w:pPr>
        <w:jc w:val="both"/>
        <w:rPr>
          <w:rFonts w:ascii="Arial" w:hAnsi="Arial" w:cs="Arial"/>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el artículo 48 de la Ley Orgánica de Educación Superior, dispone: </w:t>
      </w:r>
      <w:r w:rsidRPr="005108E2">
        <w:rPr>
          <w:rFonts w:ascii="Arial" w:hAnsi="Arial" w:cs="Arial"/>
          <w:i/>
          <w:iCs/>
          <w:color w:val="000000" w:themeColor="text1"/>
          <w:sz w:val="22"/>
          <w:szCs w:val="22"/>
          <w:lang w:val="es-419"/>
        </w:rPr>
        <w:t xml:space="preserve">“Del Rector o Rectora. - El Rector o la Rectora, en el caso de las universidades o escuelas politécnicas </w:t>
      </w:r>
      <w:r w:rsidRPr="005108E2">
        <w:rPr>
          <w:rFonts w:ascii="Arial" w:hAnsi="Arial" w:cs="Arial"/>
          <w:i/>
          <w:iCs/>
          <w:color w:val="000000" w:themeColor="text1"/>
          <w:sz w:val="22"/>
          <w:szCs w:val="22"/>
          <w:lang w:val="es-419"/>
        </w:rPr>
        <w:lastRenderedPageBreak/>
        <w:t>es la primera autoridad ejecutiva de la institución de educación superior pública o particular, y ejercerá la representación legal, judicial y extrajudicial. El Rector o la Rectora, en el caso de las universidades o escuelas politécnicas presidirá el órgano colegiado superior de manera obligatoria y aquellos órganos que señale el estatuto respectivo en ejercicio de su autonomía responsable; desempeñará sus funciones a tiempo completo y durará en el ejercicio de su cargo cinco años. Podrá ser reelegido, consecutivamente o no, por una sola vez. Tendrá las atribuciones y deberes que le asigne el estatuto”</w:t>
      </w:r>
      <w:r w:rsidRPr="005108E2">
        <w:rPr>
          <w:rFonts w:ascii="Arial" w:hAnsi="Arial" w:cs="Arial"/>
          <w:color w:val="000000" w:themeColor="text1"/>
          <w:sz w:val="22"/>
          <w:szCs w:val="22"/>
          <w:lang w:val="es-419"/>
        </w:rPr>
        <w:t>;</w:t>
      </w:r>
    </w:p>
    <w:p w14:paraId="48333085" w14:textId="77777777" w:rsidR="005108E2" w:rsidRDefault="007E6797" w:rsidP="005108E2">
      <w:pPr>
        <w:jc w:val="both"/>
        <w:rPr>
          <w:rFonts w:ascii="Arial" w:hAnsi="Arial" w:cs="Arial"/>
          <w:i/>
          <w:iCs/>
          <w:color w:val="000000" w:themeColor="text1"/>
          <w:sz w:val="22"/>
          <w:szCs w:val="22"/>
          <w:lang w:val="es-419"/>
        </w:rPr>
      </w:pPr>
      <w:r w:rsidRPr="005108E2">
        <w:rPr>
          <w:rFonts w:ascii="Arial" w:hAnsi="Arial" w:cs="Arial"/>
          <w:color w:val="000000" w:themeColor="text1"/>
          <w:sz w:val="22"/>
          <w:szCs w:val="22"/>
          <w:lang w:val="es-419"/>
        </w:rPr>
        <w:br/>
        <w:t> </w:t>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el literal b) del número 1 del artículo 118 de la Ley Orgánica de Educación Superior, ordena: </w:t>
      </w:r>
      <w:r w:rsidRPr="005108E2">
        <w:rPr>
          <w:rFonts w:ascii="Arial" w:hAnsi="Arial" w:cs="Arial"/>
          <w:i/>
          <w:iCs/>
          <w:color w:val="000000" w:themeColor="text1"/>
          <w:sz w:val="22"/>
          <w:szCs w:val="22"/>
          <w:lang w:val="es-419"/>
        </w:rPr>
        <w:t>“Niveles de formación de la educación superior. - Los niveles de formación que imparten las instituciones del Sistema de Educación Superior son:</w:t>
      </w:r>
    </w:p>
    <w:p w14:paraId="22788787" w14:textId="77777777" w:rsidR="003D104C" w:rsidRDefault="007E6797" w:rsidP="005108E2">
      <w:pPr>
        <w:jc w:val="both"/>
        <w:rPr>
          <w:rFonts w:ascii="Arial" w:hAnsi="Arial" w:cs="Arial"/>
          <w:i/>
          <w:iCs/>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i/>
          <w:iCs/>
          <w:color w:val="000000" w:themeColor="text1"/>
          <w:sz w:val="22"/>
          <w:szCs w:val="22"/>
          <w:lang w:val="es-419"/>
        </w:rPr>
        <w:t>1. Tercer nivel técnico-tecnológico y de grado (…)</w:t>
      </w:r>
    </w:p>
    <w:p w14:paraId="38115CDD" w14:textId="33280C9C" w:rsidR="005108E2" w:rsidRDefault="007E6797" w:rsidP="005108E2">
      <w:pPr>
        <w:jc w:val="both"/>
        <w:rPr>
          <w:rFonts w:ascii="Arial" w:hAnsi="Arial" w:cs="Arial"/>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i/>
          <w:iCs/>
          <w:color w:val="000000" w:themeColor="text1"/>
          <w:sz w:val="22"/>
          <w:szCs w:val="22"/>
          <w:lang w:val="es-419"/>
        </w:rPr>
        <w:t>b) Tercer nivel de grado, orientado a la formación básica en una disciplina o a la capacitación para el ejercicio de una profesión; corresponden a este nivel los grados académicos de licenciatura y los títulos profesionales universitarios o politécnicos y sus equivalentes (…)”</w:t>
      </w:r>
      <w:r w:rsidRPr="005108E2">
        <w:rPr>
          <w:rFonts w:ascii="Arial" w:hAnsi="Arial" w:cs="Arial"/>
          <w:color w:val="000000" w:themeColor="text1"/>
          <w:sz w:val="22"/>
          <w:szCs w:val="22"/>
          <w:lang w:val="es-419"/>
        </w:rPr>
        <w:t>;</w:t>
      </w:r>
    </w:p>
    <w:p w14:paraId="20461172" w14:textId="215BB699" w:rsidR="005108E2" w:rsidRDefault="007E6797" w:rsidP="005108E2">
      <w:pPr>
        <w:jc w:val="both"/>
        <w:rPr>
          <w:rFonts w:ascii="Arial" w:hAnsi="Arial" w:cs="Arial"/>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el artículo 122 de la Ley Orgánica de Educación Superior, dispone: </w:t>
      </w:r>
      <w:r w:rsidRPr="005108E2">
        <w:rPr>
          <w:rFonts w:ascii="Arial" w:hAnsi="Arial" w:cs="Arial"/>
          <w:i/>
          <w:iCs/>
          <w:color w:val="000000" w:themeColor="text1"/>
          <w:sz w:val="22"/>
          <w:szCs w:val="22"/>
          <w:lang w:val="es-419"/>
        </w:rPr>
        <w:t>“Otorgamiento de Títulos. - Las instituciones del Sistema de Educación Superior conferirán los títulos y grados que les corresponden según lo establecido en los artículos precedentes. Los títulos o grados académicos serán emitidos en el idioma oficial del país.</w:t>
      </w:r>
      <w:r w:rsidRPr="005108E2">
        <w:rPr>
          <w:rFonts w:ascii="Arial" w:hAnsi="Arial" w:cs="Arial"/>
          <w:color w:val="000000" w:themeColor="text1"/>
          <w:sz w:val="22"/>
          <w:szCs w:val="22"/>
          <w:lang w:val="es-419"/>
        </w:rPr>
        <w:br/>
        <w:t> </w:t>
      </w:r>
      <w:r w:rsidRPr="005108E2">
        <w:rPr>
          <w:rFonts w:ascii="Arial" w:hAnsi="Arial" w:cs="Arial"/>
          <w:color w:val="000000" w:themeColor="text1"/>
          <w:sz w:val="22"/>
          <w:szCs w:val="22"/>
          <w:lang w:val="es-419"/>
        </w:rPr>
        <w:br/>
      </w:r>
      <w:r w:rsidRPr="005108E2">
        <w:rPr>
          <w:rFonts w:ascii="Arial" w:hAnsi="Arial" w:cs="Arial"/>
          <w:i/>
          <w:iCs/>
          <w:color w:val="000000" w:themeColor="text1"/>
          <w:sz w:val="22"/>
          <w:szCs w:val="22"/>
          <w:lang w:val="es-419"/>
        </w:rPr>
        <w:t>No se reconocerá los títulos de doctor como terminales de pregrado o habilitantes profesionales, o grados académicos de maestría o doctorado en el nivel de grado”</w:t>
      </w:r>
      <w:r w:rsidRPr="005108E2">
        <w:rPr>
          <w:rFonts w:ascii="Arial" w:hAnsi="Arial" w:cs="Arial"/>
          <w:color w:val="000000" w:themeColor="text1"/>
          <w:sz w:val="22"/>
          <w:szCs w:val="22"/>
          <w:lang w:val="es-419"/>
        </w:rPr>
        <w:t>;</w:t>
      </w:r>
      <w:r w:rsidRPr="005108E2">
        <w:rPr>
          <w:rFonts w:ascii="Arial" w:hAnsi="Arial" w:cs="Arial"/>
          <w:color w:val="000000" w:themeColor="text1"/>
          <w:sz w:val="22"/>
          <w:szCs w:val="22"/>
          <w:lang w:val="es-419"/>
        </w:rPr>
        <w:br/>
        <w:t> </w:t>
      </w: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el artículo 123 de la Ley ut supra, dispone: </w:t>
      </w:r>
      <w:r w:rsidRPr="005108E2">
        <w:rPr>
          <w:rFonts w:ascii="Arial" w:hAnsi="Arial" w:cs="Arial"/>
          <w:i/>
          <w:iCs/>
          <w:color w:val="000000" w:themeColor="text1"/>
          <w:sz w:val="22"/>
          <w:szCs w:val="22"/>
          <w:lang w:val="es-419"/>
        </w:rPr>
        <w:t>“Reglamento sobre el Régimen Académico. - El Consejo de Educación Superior aprobará el Reglamento de Régimen Académico que regule los títulos y grados académicos, el tiempo de duración, número de créditos de cada opción y demás aspectos relacionados con grados y títulos, buscando la armonización y la promoción de la movilidad estudiantil, de profesores o profesoras e investigadores o investigadoras”</w:t>
      </w:r>
      <w:r w:rsidRPr="005108E2">
        <w:rPr>
          <w:rFonts w:ascii="Arial" w:hAnsi="Arial" w:cs="Arial"/>
          <w:color w:val="000000" w:themeColor="text1"/>
          <w:sz w:val="22"/>
          <w:szCs w:val="22"/>
          <w:lang w:val="es-419"/>
        </w:rPr>
        <w:t>;</w:t>
      </w:r>
    </w:p>
    <w:p w14:paraId="758DA2D8" w14:textId="77777777" w:rsidR="003D104C" w:rsidRDefault="007E6797" w:rsidP="005108E2">
      <w:pPr>
        <w:jc w:val="both"/>
        <w:rPr>
          <w:rFonts w:ascii="Arial" w:hAnsi="Arial" w:cs="Arial"/>
          <w:color w:val="000000" w:themeColor="text1"/>
          <w:sz w:val="22"/>
          <w:szCs w:val="22"/>
          <w:lang w:val="es-419"/>
        </w:rPr>
      </w:pPr>
      <w:r w:rsidRPr="005108E2">
        <w:rPr>
          <w:rFonts w:ascii="Arial" w:hAnsi="Arial" w:cs="Arial"/>
          <w:color w:val="000000" w:themeColor="text1"/>
          <w:sz w:val="22"/>
          <w:szCs w:val="22"/>
          <w:lang w:val="es-419"/>
        </w:rPr>
        <w:br/>
        <w:t> </w:t>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el artículo 129 de la Ley ibidem, dispone: </w:t>
      </w:r>
      <w:r w:rsidRPr="005108E2">
        <w:rPr>
          <w:rFonts w:ascii="Arial" w:hAnsi="Arial" w:cs="Arial"/>
          <w:i/>
          <w:iCs/>
          <w:color w:val="000000" w:themeColor="text1"/>
          <w:sz w:val="22"/>
          <w:szCs w:val="22"/>
          <w:lang w:val="es-419"/>
        </w:rPr>
        <w:t>“Notificación al órgano rector de la política pública de educación superior. - Todas las instituciones de educación superior del país notificarán al órgano rector de la política pública de educación superior la nómina de los graduados y las especificaciones de los títulos que expida.</w:t>
      </w:r>
      <w:r w:rsidRPr="005108E2">
        <w:rPr>
          <w:rFonts w:ascii="Arial" w:hAnsi="Arial" w:cs="Arial"/>
          <w:color w:val="000000" w:themeColor="text1"/>
          <w:sz w:val="22"/>
          <w:szCs w:val="22"/>
          <w:lang w:val="es-419"/>
        </w:rPr>
        <w:br/>
        <w:t> </w:t>
      </w:r>
      <w:r w:rsidRPr="005108E2">
        <w:rPr>
          <w:rFonts w:ascii="Arial" w:hAnsi="Arial" w:cs="Arial"/>
          <w:color w:val="000000" w:themeColor="text1"/>
          <w:sz w:val="22"/>
          <w:szCs w:val="22"/>
          <w:lang w:val="es-419"/>
        </w:rPr>
        <w:br/>
      </w:r>
      <w:r w:rsidRPr="005108E2">
        <w:rPr>
          <w:rFonts w:ascii="Arial" w:hAnsi="Arial" w:cs="Arial"/>
          <w:i/>
          <w:iCs/>
          <w:color w:val="000000" w:themeColor="text1"/>
          <w:sz w:val="22"/>
          <w:szCs w:val="22"/>
          <w:lang w:val="es-419"/>
        </w:rPr>
        <w:t>Esta información será parte del Sistema Nacional de Información de la Educación Superior”</w:t>
      </w:r>
      <w:r w:rsidRPr="005108E2">
        <w:rPr>
          <w:rFonts w:ascii="Arial" w:hAnsi="Arial" w:cs="Arial"/>
          <w:color w:val="000000" w:themeColor="text1"/>
          <w:sz w:val="22"/>
          <w:szCs w:val="22"/>
          <w:lang w:val="es-419"/>
        </w:rPr>
        <w:t>;</w:t>
      </w:r>
      <w:r w:rsidRPr="005108E2">
        <w:rPr>
          <w:rFonts w:ascii="Arial" w:hAnsi="Arial" w:cs="Arial"/>
          <w:color w:val="000000" w:themeColor="text1"/>
          <w:sz w:val="22"/>
          <w:szCs w:val="22"/>
          <w:lang w:val="es-419"/>
        </w:rPr>
        <w:br/>
      </w: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Que</w:t>
      </w:r>
      <w:r w:rsidRPr="005108E2">
        <w:rPr>
          <w:rFonts w:ascii="Arial" w:hAnsi="Arial" w:cs="Arial"/>
          <w:color w:val="000000" w:themeColor="text1"/>
          <w:sz w:val="22"/>
          <w:szCs w:val="22"/>
          <w:lang w:val="es-419"/>
        </w:rPr>
        <w:t>, el artículo 1 de la Ley de Creación de la Universidad de Investigación de Tecnología Experimental Yachay, ordena: "Créase la Universidad de Investigación de Tecnología Experimental YACHAY como una Institución de Educación Superior de derecho Público, sin fines de lucro, con personería jurídica propia, con autonomía académica, administrativa financiera y orgánica, acorde con los principios establecidos en la Constitución de la República y la Ley Orgánica de Educación Superior";</w:t>
      </w:r>
    </w:p>
    <w:p w14:paraId="49642414" w14:textId="55AD3AFE" w:rsidR="005108E2" w:rsidRDefault="007E6797" w:rsidP="005108E2">
      <w:pPr>
        <w:jc w:val="both"/>
        <w:rPr>
          <w:rFonts w:ascii="Arial" w:hAnsi="Arial" w:cs="Arial"/>
          <w:i/>
          <w:iCs/>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 xml:space="preserve">el artículo 26 del </w:t>
      </w:r>
      <w:r w:rsidR="00FB27E8" w:rsidRPr="005108E2">
        <w:rPr>
          <w:rFonts w:ascii="Arial" w:hAnsi="Arial" w:cs="Arial"/>
          <w:color w:val="000000" w:themeColor="text1"/>
          <w:sz w:val="22"/>
          <w:szCs w:val="22"/>
          <w:lang w:val="es-419"/>
        </w:rPr>
        <w:t>r</w:t>
      </w:r>
      <w:r w:rsidRPr="005108E2">
        <w:rPr>
          <w:rFonts w:ascii="Arial" w:hAnsi="Arial" w:cs="Arial"/>
          <w:color w:val="000000" w:themeColor="text1"/>
          <w:sz w:val="22"/>
          <w:szCs w:val="22"/>
          <w:lang w:val="es-419"/>
        </w:rPr>
        <w:t xml:space="preserve">eglamento de </w:t>
      </w:r>
      <w:r w:rsidR="00FB27E8" w:rsidRPr="005108E2">
        <w:rPr>
          <w:rFonts w:ascii="Arial" w:hAnsi="Arial" w:cs="Arial"/>
          <w:color w:val="000000" w:themeColor="text1"/>
          <w:sz w:val="22"/>
          <w:szCs w:val="22"/>
          <w:lang w:val="es-419"/>
        </w:rPr>
        <w:t>r</w:t>
      </w:r>
      <w:r w:rsidRPr="005108E2">
        <w:rPr>
          <w:rFonts w:ascii="Arial" w:hAnsi="Arial" w:cs="Arial"/>
          <w:color w:val="000000" w:themeColor="text1"/>
          <w:sz w:val="22"/>
          <w:szCs w:val="22"/>
          <w:lang w:val="es-419"/>
        </w:rPr>
        <w:t xml:space="preserve">égimen </w:t>
      </w:r>
      <w:r w:rsidR="00FB27E8" w:rsidRPr="005108E2">
        <w:rPr>
          <w:rFonts w:ascii="Arial" w:hAnsi="Arial" w:cs="Arial"/>
          <w:color w:val="000000" w:themeColor="text1"/>
          <w:sz w:val="22"/>
          <w:szCs w:val="22"/>
          <w:lang w:val="es-419"/>
        </w:rPr>
        <w:t>a</w:t>
      </w:r>
      <w:r w:rsidRPr="005108E2">
        <w:rPr>
          <w:rFonts w:ascii="Arial" w:hAnsi="Arial" w:cs="Arial"/>
          <w:color w:val="000000" w:themeColor="text1"/>
          <w:sz w:val="22"/>
          <w:szCs w:val="22"/>
          <w:lang w:val="es-419"/>
        </w:rPr>
        <w:t>cadémico, expedido por el CES, dispone: </w:t>
      </w:r>
      <w:r w:rsidRPr="005108E2">
        <w:rPr>
          <w:rFonts w:ascii="Arial" w:hAnsi="Arial" w:cs="Arial"/>
          <w:i/>
          <w:iCs/>
          <w:color w:val="000000" w:themeColor="text1"/>
          <w:sz w:val="22"/>
          <w:szCs w:val="22"/>
          <w:lang w:val="es-419"/>
        </w:rPr>
        <w:t>“Requisitos y opciones de titulación en el tercer nivel. - Cada IES determinará en su normativa interna los requisitos para acceder a la titulación, así como las opciones para su aprobación.</w:t>
      </w:r>
    </w:p>
    <w:p w14:paraId="21A988F8" w14:textId="71BD0C4B" w:rsidR="005108E2" w:rsidRDefault="007E6797" w:rsidP="005108E2">
      <w:pPr>
        <w:jc w:val="both"/>
        <w:rPr>
          <w:rFonts w:ascii="Arial" w:hAnsi="Arial" w:cs="Arial"/>
          <w:i/>
          <w:iCs/>
          <w:color w:val="000000" w:themeColor="text1"/>
          <w:sz w:val="22"/>
          <w:szCs w:val="22"/>
          <w:lang w:val="es-419"/>
        </w:rPr>
      </w:pPr>
      <w:r w:rsidRPr="005108E2">
        <w:rPr>
          <w:rFonts w:ascii="Arial" w:hAnsi="Arial" w:cs="Arial"/>
          <w:color w:val="000000" w:themeColor="text1"/>
          <w:sz w:val="22"/>
          <w:szCs w:val="22"/>
          <w:lang w:val="es-419"/>
        </w:rPr>
        <w:lastRenderedPageBreak/>
        <w:br/>
      </w:r>
      <w:r w:rsidRPr="005108E2">
        <w:rPr>
          <w:rFonts w:ascii="Arial" w:hAnsi="Arial" w:cs="Arial"/>
          <w:i/>
          <w:iCs/>
          <w:color w:val="000000" w:themeColor="text1"/>
          <w:sz w:val="22"/>
          <w:szCs w:val="22"/>
          <w:lang w:val="es-419"/>
        </w:rPr>
        <w:t>Los créditos correspondientes a las opciones de titulación estarán incluidos en la totalidad de créditos de la carrera.</w:t>
      </w:r>
    </w:p>
    <w:p w14:paraId="17D047EC" w14:textId="7C8D9A45" w:rsidR="005108E2" w:rsidRDefault="007E6797" w:rsidP="005108E2">
      <w:pPr>
        <w:jc w:val="both"/>
        <w:rPr>
          <w:rFonts w:ascii="Arial" w:hAnsi="Arial" w:cs="Arial"/>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i/>
          <w:iCs/>
          <w:color w:val="000000" w:themeColor="text1"/>
          <w:sz w:val="22"/>
          <w:szCs w:val="22"/>
          <w:lang w:val="es-419"/>
        </w:rPr>
        <w:t>Se podrá emitir el título respectivo únicamente cuando el estudiante apruebe todos los requisitos académicos y administrativos establecidos por las IES, lo que constará en el acta consolidada de finalización de estudios, de conformidad con el artículo 85 de este Reglamento”;</w:t>
      </w:r>
      <w:r w:rsidRPr="005108E2">
        <w:rPr>
          <w:rFonts w:ascii="Arial" w:hAnsi="Arial" w:cs="Arial"/>
          <w:color w:val="000000" w:themeColor="text1"/>
          <w:sz w:val="22"/>
          <w:szCs w:val="22"/>
          <w:lang w:val="es-419"/>
        </w:rPr>
        <w:br/>
        <w:t> </w:t>
      </w: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el artículo 85 del reglamento de régimen académico expedido por el Consejo de Educación Superior, ordena: </w:t>
      </w:r>
      <w:r w:rsidRPr="005108E2">
        <w:rPr>
          <w:rFonts w:ascii="Arial" w:hAnsi="Arial" w:cs="Arial"/>
          <w:i/>
          <w:iCs/>
          <w:color w:val="000000" w:themeColor="text1"/>
          <w:sz w:val="22"/>
          <w:szCs w:val="22"/>
          <w:lang w:val="es-419"/>
        </w:rPr>
        <w:t>“Una vez que el estudiante haya aprobado la totalidad de créditos del plan de estudios de la carrera o programa y cumplido todos los requisitos académicos y administrativos establecidos por la IES para la graduación, la IES emitirá el acta consolidada de finalización de estudios y el título correspondiente. El acta consolidada deberá contener: los datos de identificación del estudiante, el registro de calificaciones, así como la identificación del tipo y número de horas de servicio a la comunidad mediante prácticas preprofesionales o pasantías. Desde la fecha de emisión del acta consolidada respectiva, la IES tendrá un término no mayor a cuarenta y cinco (45) días para registrar el título en el Sistema Nacional de Información de la Educación Superior (SNIESE), previo a su entrega al graduado”</w:t>
      </w:r>
      <w:r w:rsidRPr="005108E2">
        <w:rPr>
          <w:rFonts w:ascii="Arial" w:hAnsi="Arial" w:cs="Arial"/>
          <w:color w:val="000000" w:themeColor="text1"/>
          <w:sz w:val="22"/>
          <w:szCs w:val="22"/>
          <w:lang w:val="es-419"/>
        </w:rPr>
        <w:t>;</w:t>
      </w:r>
    </w:p>
    <w:p w14:paraId="24253BC8" w14:textId="77777777" w:rsidR="003D104C" w:rsidRDefault="007E6797" w:rsidP="005108E2">
      <w:pPr>
        <w:jc w:val="both"/>
        <w:rPr>
          <w:rFonts w:ascii="Arial" w:hAnsi="Arial" w:cs="Arial"/>
          <w:i/>
          <w:iCs/>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los literales a) y c) del artículo 4 del reglamento de armonización de la nomenclatura de títulos profesionales y grados académicos que confieren las instituciones de educación superior, disponen: </w:t>
      </w:r>
      <w:r w:rsidRPr="005108E2">
        <w:rPr>
          <w:rFonts w:ascii="Arial" w:hAnsi="Arial" w:cs="Arial"/>
          <w:i/>
          <w:iCs/>
          <w:color w:val="000000" w:themeColor="text1"/>
          <w:sz w:val="22"/>
          <w:szCs w:val="22"/>
          <w:lang w:val="es-419"/>
        </w:rPr>
        <w:t>“</w:t>
      </w:r>
      <w:proofErr w:type="gramStart"/>
      <w:r w:rsidRPr="005108E2">
        <w:rPr>
          <w:rFonts w:ascii="Arial" w:hAnsi="Arial" w:cs="Arial"/>
          <w:i/>
          <w:iCs/>
          <w:color w:val="000000" w:themeColor="text1"/>
          <w:sz w:val="22"/>
          <w:szCs w:val="22"/>
          <w:lang w:val="es-419"/>
        </w:rPr>
        <w:t>Definiciones.-</w:t>
      </w:r>
      <w:proofErr w:type="gramEnd"/>
      <w:r w:rsidRPr="005108E2">
        <w:rPr>
          <w:rFonts w:ascii="Arial" w:hAnsi="Arial" w:cs="Arial"/>
          <w:i/>
          <w:iCs/>
          <w:color w:val="000000" w:themeColor="text1"/>
          <w:sz w:val="22"/>
          <w:szCs w:val="22"/>
          <w:lang w:val="es-419"/>
        </w:rPr>
        <w:t> Para efectos de la aplicación de este Reglamento se considerará las siguientes definiciones:</w:t>
      </w:r>
    </w:p>
    <w:p w14:paraId="55405761" w14:textId="77777777" w:rsidR="003D104C" w:rsidRDefault="007E6797" w:rsidP="005108E2">
      <w:pPr>
        <w:jc w:val="both"/>
        <w:rPr>
          <w:rFonts w:ascii="Arial" w:hAnsi="Arial" w:cs="Arial"/>
          <w:i/>
          <w:iCs/>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i/>
          <w:iCs/>
          <w:color w:val="000000" w:themeColor="text1"/>
          <w:sz w:val="22"/>
          <w:szCs w:val="22"/>
          <w:lang w:val="es-419"/>
        </w:rPr>
        <w:t xml:space="preserve">a) Nomenclatura de títulos profesionales y grados </w:t>
      </w:r>
      <w:proofErr w:type="gramStart"/>
      <w:r w:rsidRPr="005108E2">
        <w:rPr>
          <w:rFonts w:ascii="Arial" w:hAnsi="Arial" w:cs="Arial"/>
          <w:i/>
          <w:iCs/>
          <w:color w:val="000000" w:themeColor="text1"/>
          <w:sz w:val="22"/>
          <w:szCs w:val="22"/>
          <w:lang w:val="es-419"/>
        </w:rPr>
        <w:t>académicos.-</w:t>
      </w:r>
      <w:proofErr w:type="gramEnd"/>
      <w:r w:rsidRPr="005108E2">
        <w:rPr>
          <w:rFonts w:ascii="Arial" w:hAnsi="Arial" w:cs="Arial"/>
          <w:i/>
          <w:iCs/>
          <w:color w:val="000000" w:themeColor="text1"/>
          <w:sz w:val="22"/>
          <w:szCs w:val="22"/>
          <w:lang w:val="es-419"/>
        </w:rPr>
        <w:t xml:space="preserve"> Se refiere al conjunto de estándares o normas de categorización que se aplican para la denominación inequívoca, única, distintiva, coherente y fácilmente reconocible de los títulos profesionales y grados académicos, basada en los perfiles establecidos en el clasificador de la organización de las naciones unidas para la educación, la ciencia y la cultura (UNESCO), con base en los campos del conocimiento.</w:t>
      </w:r>
    </w:p>
    <w:p w14:paraId="0B7785F2" w14:textId="2065135C" w:rsidR="005108E2" w:rsidRDefault="007E6797" w:rsidP="005108E2">
      <w:pPr>
        <w:jc w:val="both"/>
        <w:rPr>
          <w:rFonts w:ascii="Arial" w:hAnsi="Arial" w:cs="Arial"/>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i/>
          <w:iCs/>
          <w:color w:val="000000" w:themeColor="text1"/>
          <w:sz w:val="22"/>
          <w:szCs w:val="22"/>
          <w:lang w:val="es-419"/>
        </w:rPr>
        <w:t>c) Título. - Es el documento académico otorgado por una ÍES a una persona que ha culminado una carrera o programa, que certifica oficialmente que el estudiante ha cumplido con los requisitos correspondientes para la obtención del título de la carrera o programa. Los títulos profesionales o grados académicos serán emitidos en idioma castellano. La titulación corresponderá a lo aprobado por el Consejo de Educación Superior (CES)”</w:t>
      </w:r>
      <w:r w:rsidRPr="005108E2">
        <w:rPr>
          <w:rFonts w:ascii="Arial" w:hAnsi="Arial" w:cs="Arial"/>
          <w:color w:val="000000" w:themeColor="text1"/>
          <w:sz w:val="22"/>
          <w:szCs w:val="22"/>
          <w:lang w:val="es-419"/>
        </w:rPr>
        <w:t>;</w:t>
      </w:r>
    </w:p>
    <w:p w14:paraId="64CD96C6" w14:textId="77777777" w:rsidR="005108E2" w:rsidRDefault="007E6797" w:rsidP="005108E2">
      <w:pPr>
        <w:jc w:val="both"/>
        <w:rPr>
          <w:rFonts w:ascii="Arial" w:hAnsi="Arial" w:cs="Arial"/>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el artículo 7 del reglamento de armonización de la nomenclatura de títulos profesionales y grados académicos que confieren las instituciones de educación superior, dispone: “</w:t>
      </w:r>
      <w:r w:rsidRPr="005108E2">
        <w:rPr>
          <w:rFonts w:ascii="Arial" w:hAnsi="Arial" w:cs="Arial"/>
          <w:i/>
          <w:iCs/>
          <w:color w:val="000000" w:themeColor="text1"/>
          <w:sz w:val="22"/>
          <w:szCs w:val="22"/>
          <w:lang w:val="es-419"/>
        </w:rPr>
        <w:t>Título profesional en el tercer nivel de grado. - Las universidades y escuelas politécnicas otorgarán títulos profesionales a los estudiantes que han culminado una carrera de grado. En los títulos profesionales de este nivel constará la designación genérica de la profesión: "Licenciado/a en.…"; "Ingeniero/a en.…"; o todas aquellas que correspondan a las titulaciones de tercer nivel de grado (…)”</w:t>
      </w:r>
      <w:r w:rsidRPr="005108E2">
        <w:rPr>
          <w:rFonts w:ascii="Arial" w:hAnsi="Arial" w:cs="Arial"/>
          <w:color w:val="000000" w:themeColor="text1"/>
          <w:sz w:val="22"/>
          <w:szCs w:val="22"/>
          <w:lang w:val="es-419"/>
        </w:rPr>
        <w:t>;</w:t>
      </w:r>
    </w:p>
    <w:p w14:paraId="78832BC9" w14:textId="3E1E075E" w:rsidR="005108E2" w:rsidRDefault="007E6797" w:rsidP="005108E2">
      <w:pPr>
        <w:jc w:val="both"/>
        <w:rPr>
          <w:rFonts w:ascii="Arial" w:hAnsi="Arial" w:cs="Arial"/>
          <w:i/>
          <w:iCs/>
          <w:color w:val="000000" w:themeColor="text1"/>
          <w:sz w:val="22"/>
          <w:szCs w:val="22"/>
          <w:lang w:val="es-419"/>
        </w:rPr>
      </w:pPr>
      <w:r w:rsidRPr="005108E2">
        <w:rPr>
          <w:rFonts w:ascii="Arial" w:hAnsi="Arial" w:cs="Arial"/>
          <w:color w:val="000000" w:themeColor="text1"/>
          <w:sz w:val="22"/>
          <w:szCs w:val="22"/>
          <w:lang w:val="es-419"/>
        </w:rPr>
        <w:br/>
        <w:t> </w:t>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el artículo 35 del Estatuto de la Universidad de Investigación de Tecnología Experimental Yachay, dispone: </w:t>
      </w:r>
      <w:r w:rsidRPr="005108E2">
        <w:rPr>
          <w:rFonts w:ascii="Arial" w:hAnsi="Arial" w:cs="Arial"/>
          <w:i/>
          <w:iCs/>
          <w:color w:val="000000" w:themeColor="text1"/>
          <w:sz w:val="22"/>
          <w:szCs w:val="22"/>
          <w:lang w:val="es-419"/>
        </w:rPr>
        <w:t>“De los títulos y grados. - La universidad conferirá títulos de Tercer Nivel y títulos de Cuarto Nivel de posgrado, de conformidad con lo establecido la Ley Orgánica de Educación Superior. No se cobrará monto alguno por los derechos de grado o el otorgamiento de títulos académicos de tercer nivel”;</w:t>
      </w:r>
    </w:p>
    <w:p w14:paraId="1FBE4787" w14:textId="77777777" w:rsidR="003D104C" w:rsidRDefault="007E6797" w:rsidP="005108E2">
      <w:pPr>
        <w:jc w:val="both"/>
        <w:rPr>
          <w:rFonts w:ascii="Arial" w:hAnsi="Arial" w:cs="Arial"/>
          <w:i/>
          <w:iCs/>
          <w:color w:val="000000" w:themeColor="text1"/>
          <w:sz w:val="22"/>
          <w:szCs w:val="22"/>
          <w:lang w:val="es-419"/>
        </w:rPr>
      </w:pPr>
      <w:r w:rsidRPr="005108E2">
        <w:rPr>
          <w:rFonts w:ascii="Arial" w:hAnsi="Arial" w:cs="Arial"/>
          <w:color w:val="000000" w:themeColor="text1"/>
          <w:sz w:val="22"/>
          <w:szCs w:val="22"/>
          <w:lang w:val="es-419"/>
        </w:rPr>
        <w:lastRenderedPageBreak/>
        <w:br/>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el artículo 36 del Estatuto de la Universidad de Investigación de Tecnología Experimental Yachay, dispone: </w:t>
      </w:r>
      <w:r w:rsidRPr="005108E2">
        <w:rPr>
          <w:rFonts w:ascii="Arial" w:hAnsi="Arial" w:cs="Arial"/>
          <w:i/>
          <w:iCs/>
          <w:color w:val="000000" w:themeColor="text1"/>
          <w:sz w:val="22"/>
          <w:szCs w:val="22"/>
          <w:lang w:val="es-419"/>
        </w:rPr>
        <w:t xml:space="preserve">“De los </w:t>
      </w:r>
      <w:proofErr w:type="gramStart"/>
      <w:r w:rsidRPr="005108E2">
        <w:rPr>
          <w:rFonts w:ascii="Arial" w:hAnsi="Arial" w:cs="Arial"/>
          <w:i/>
          <w:iCs/>
          <w:color w:val="000000" w:themeColor="text1"/>
          <w:sz w:val="22"/>
          <w:szCs w:val="22"/>
          <w:lang w:val="es-419"/>
        </w:rPr>
        <w:t>requisitos</w:t>
      </w:r>
      <w:r w:rsidR="005108E2">
        <w:rPr>
          <w:rFonts w:ascii="Arial" w:hAnsi="Arial" w:cs="Arial"/>
          <w:i/>
          <w:iCs/>
          <w:color w:val="000000" w:themeColor="text1"/>
          <w:sz w:val="22"/>
          <w:szCs w:val="22"/>
          <w:lang w:val="es-419"/>
        </w:rPr>
        <w:t>.-</w:t>
      </w:r>
      <w:proofErr w:type="gramEnd"/>
      <w:r w:rsidR="005108E2">
        <w:rPr>
          <w:rFonts w:ascii="Arial" w:hAnsi="Arial" w:cs="Arial"/>
          <w:i/>
          <w:iCs/>
          <w:color w:val="000000" w:themeColor="text1"/>
          <w:sz w:val="22"/>
          <w:szCs w:val="22"/>
          <w:lang w:val="es-419"/>
        </w:rPr>
        <w:t xml:space="preserve"> </w:t>
      </w:r>
      <w:r w:rsidRPr="005108E2">
        <w:rPr>
          <w:rFonts w:ascii="Arial" w:hAnsi="Arial" w:cs="Arial"/>
          <w:i/>
          <w:iCs/>
          <w:color w:val="000000" w:themeColor="text1"/>
          <w:sz w:val="22"/>
          <w:szCs w:val="22"/>
          <w:lang w:val="es-419"/>
        </w:rPr>
        <w:t>Además de los requisitos establecidos en la Ley Orgánica de Educación Superior y el Reglamento de Régimen Académico emitido por el Consejo de Educación Superior, previo a la obtención del título de tercer nivel, los estudiantes deberán acreditar servicios a la comunidad, mediante prácticas o pasantías preprofesionales, en los campos de su especialidad.</w:t>
      </w:r>
    </w:p>
    <w:p w14:paraId="1DDCF031" w14:textId="1C7C16F4" w:rsidR="005108E2" w:rsidRDefault="007E6797" w:rsidP="005108E2">
      <w:pPr>
        <w:jc w:val="both"/>
        <w:rPr>
          <w:rFonts w:ascii="Arial" w:hAnsi="Arial" w:cs="Arial"/>
          <w:color w:val="000000" w:themeColor="text1"/>
          <w:sz w:val="22"/>
          <w:szCs w:val="22"/>
          <w:lang w:val="es-419"/>
        </w:rPr>
      </w:pPr>
      <w:r w:rsidRPr="005108E2">
        <w:rPr>
          <w:rFonts w:ascii="Arial" w:hAnsi="Arial" w:cs="Arial"/>
          <w:i/>
          <w:iCs/>
          <w:color w:val="000000" w:themeColor="text1"/>
          <w:sz w:val="22"/>
          <w:szCs w:val="22"/>
          <w:lang w:val="es-419"/>
        </w:rPr>
        <w:t>La Universidad notificará al órgano rector de la Política Pública de Educación Superior, la nómina de los graduados y las especificaciones de los títulos que expida”</w:t>
      </w:r>
      <w:r w:rsidRPr="005108E2">
        <w:rPr>
          <w:rFonts w:ascii="Arial" w:hAnsi="Arial" w:cs="Arial"/>
          <w:color w:val="000000" w:themeColor="text1"/>
          <w:sz w:val="22"/>
          <w:szCs w:val="22"/>
          <w:lang w:val="es-419"/>
        </w:rPr>
        <w:t>;</w:t>
      </w:r>
    </w:p>
    <w:p w14:paraId="725DA242" w14:textId="0B75FB49" w:rsidR="005108E2" w:rsidRDefault="007E6797" w:rsidP="005108E2">
      <w:pPr>
        <w:jc w:val="both"/>
        <w:rPr>
          <w:rFonts w:ascii="Arial" w:hAnsi="Arial" w:cs="Arial"/>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la letra q) del artículo 39 del Estatuto de la Universidad de Investigación de Tecnología Experimental Yachay, dispone: </w:t>
      </w:r>
      <w:r w:rsidRPr="005108E2">
        <w:rPr>
          <w:rFonts w:ascii="Arial" w:hAnsi="Arial" w:cs="Arial"/>
          <w:i/>
          <w:iCs/>
          <w:color w:val="000000" w:themeColor="text1"/>
          <w:sz w:val="22"/>
          <w:szCs w:val="22"/>
          <w:lang w:val="es-419"/>
        </w:rPr>
        <w:t>“Derechos de los estudiantes. - Son derechos de los estudiantes, además de los señalados en la Ley Orgánica de Educación Superior, los siguientes: q) Obtener los títulos profesionales y grados académicos de los cuales se hubieren hecho acreedores, de acuerdo con la Ley, este Estatuto y los Reglamentos correspondientes”</w:t>
      </w:r>
      <w:r w:rsidRPr="005108E2">
        <w:rPr>
          <w:rFonts w:ascii="Arial" w:hAnsi="Arial" w:cs="Arial"/>
          <w:color w:val="000000" w:themeColor="text1"/>
          <w:sz w:val="22"/>
          <w:szCs w:val="22"/>
          <w:lang w:val="es-419"/>
        </w:rPr>
        <w:t>;</w:t>
      </w:r>
    </w:p>
    <w:p w14:paraId="0A648819" w14:textId="77777777" w:rsidR="005108E2" w:rsidRDefault="007E6797" w:rsidP="005108E2">
      <w:pPr>
        <w:jc w:val="both"/>
        <w:rPr>
          <w:rFonts w:ascii="Arial" w:hAnsi="Arial" w:cs="Arial"/>
          <w:i/>
          <w:iCs/>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t>Que, </w:t>
      </w:r>
      <w:r w:rsidRPr="005108E2">
        <w:rPr>
          <w:rFonts w:ascii="Arial" w:hAnsi="Arial" w:cs="Arial"/>
          <w:color w:val="000000" w:themeColor="text1"/>
          <w:sz w:val="22"/>
          <w:szCs w:val="22"/>
          <w:lang w:val="es-419"/>
        </w:rPr>
        <w:t>la disposición general segunda del reglamento de titulación de arado de la Universidad de Investigación de Tecnología Experimental Yachay, dispone: </w:t>
      </w:r>
      <w:r w:rsidRPr="005108E2">
        <w:rPr>
          <w:rFonts w:ascii="Arial" w:hAnsi="Arial" w:cs="Arial"/>
          <w:i/>
          <w:iCs/>
          <w:color w:val="000000" w:themeColor="text1"/>
          <w:sz w:val="22"/>
          <w:szCs w:val="22"/>
          <w:lang w:val="es-419"/>
        </w:rPr>
        <w:t>“La Secretaría General recibirá de la Dirección de Registros Académicos, los expedientes individuales de cada estudiante, completos y debidamente legalizados, debiendo proceder a la revisión del cumplimiento de los requisitos establecidos en las normativas pertinentes, constitucionales, legales y reglamentarias para emisión de títulos profesionales (...);</w:t>
      </w:r>
    </w:p>
    <w:p w14:paraId="774B2418" w14:textId="77777777" w:rsidR="005108E2" w:rsidRDefault="007E6797" w:rsidP="005108E2">
      <w:pPr>
        <w:jc w:val="both"/>
        <w:rPr>
          <w:rFonts w:ascii="Arial" w:hAnsi="Arial" w:cs="Arial"/>
          <w:color w:val="000000" w:themeColor="text1"/>
          <w:sz w:val="22"/>
          <w:szCs w:val="22"/>
          <w:lang w:val="es-419"/>
        </w:rPr>
      </w:pPr>
      <w:r w:rsidRPr="005108E2">
        <w:rPr>
          <w:rFonts w:ascii="Arial" w:hAnsi="Arial" w:cs="Arial"/>
          <w:color w:val="000000" w:themeColor="text1"/>
          <w:sz w:val="22"/>
          <w:szCs w:val="22"/>
          <w:lang w:val="es-419"/>
        </w:rPr>
        <w:br/>
      </w:r>
      <w:r w:rsidRPr="005108E2">
        <w:rPr>
          <w:rFonts w:ascii="Arial" w:hAnsi="Arial" w:cs="Arial"/>
          <w:i/>
          <w:iCs/>
          <w:color w:val="000000" w:themeColor="text1"/>
          <w:sz w:val="22"/>
          <w:szCs w:val="22"/>
          <w:lang w:val="es-419"/>
        </w:rPr>
        <w:t>Finalizado este procedimiento procederá a elaborar una resolución de Rectorado, declarando la habilidad de los estudiantes para recibir la titulación correspondiente. Esta resolución deberá ser firmada por el rector en el término de 10 días contados desde la recepción de los expedientes”</w:t>
      </w:r>
      <w:r w:rsidRPr="005108E2">
        <w:rPr>
          <w:rFonts w:ascii="Arial" w:hAnsi="Arial" w:cs="Arial"/>
          <w:color w:val="000000" w:themeColor="text1"/>
          <w:sz w:val="22"/>
          <w:szCs w:val="22"/>
          <w:lang w:val="es-419"/>
        </w:rPr>
        <w:t>;</w:t>
      </w:r>
    </w:p>
    <w:p w14:paraId="6A138949" w14:textId="5C6E9789" w:rsidR="00D05F12" w:rsidRDefault="007E6797" w:rsidP="005108E2">
      <w:pPr>
        <w:jc w:val="both"/>
        <w:rPr>
          <w:rFonts w:ascii="Arial" w:hAnsi="Arial" w:cs="Arial"/>
          <w:i/>
          <w:iCs/>
          <w:color w:val="000000" w:themeColor="text1"/>
          <w:sz w:val="22"/>
          <w:szCs w:val="22"/>
          <w:lang w:val="es-419"/>
        </w:rPr>
      </w:pPr>
      <w:r w:rsidRPr="005108E2">
        <w:rPr>
          <w:rFonts w:ascii="Arial" w:hAnsi="Arial" w:cs="Arial"/>
          <w:color w:val="000000" w:themeColor="text1"/>
          <w:sz w:val="22"/>
          <w:szCs w:val="22"/>
          <w:lang w:val="es-419"/>
        </w:rPr>
        <w:br/>
      </w:r>
    </w:p>
    <w:p w14:paraId="502BB235" w14:textId="0198501C" w:rsidR="00D05F12" w:rsidRPr="0040145A" w:rsidRDefault="00D05F12" w:rsidP="00D05F12">
      <w:pPr>
        <w:spacing w:line="276" w:lineRule="auto"/>
        <w:jc w:val="both"/>
        <w:rPr>
          <w:rFonts w:ascii="Arial" w:hAnsi="Arial" w:cs="Arial"/>
          <w:sz w:val="22"/>
          <w:szCs w:val="22"/>
        </w:rPr>
      </w:pPr>
      <w:r w:rsidRPr="0040145A">
        <w:rPr>
          <w:rFonts w:ascii="Arial" w:hAnsi="Arial" w:cs="Arial"/>
          <w:b/>
          <w:bCs/>
          <w:sz w:val="22"/>
          <w:szCs w:val="22"/>
        </w:rPr>
        <w:t>Que</w:t>
      </w:r>
      <w:r w:rsidRPr="0040145A">
        <w:rPr>
          <w:rFonts w:ascii="Arial" w:hAnsi="Arial" w:cs="Arial"/>
          <w:sz w:val="22"/>
          <w:szCs w:val="22"/>
        </w:rPr>
        <w:t xml:space="preserve">, mediante </w:t>
      </w:r>
      <w:r>
        <w:rPr>
          <w:rFonts w:ascii="Arial" w:hAnsi="Arial" w:cs="Arial"/>
          <w:sz w:val="22"/>
          <w:szCs w:val="22"/>
        </w:rPr>
        <w:t>t</w:t>
      </w:r>
      <w:r w:rsidRPr="0040145A">
        <w:rPr>
          <w:rFonts w:ascii="Arial" w:hAnsi="Arial" w:cs="Arial"/>
          <w:sz w:val="22"/>
          <w:szCs w:val="22"/>
        </w:rPr>
        <w:t>rámite BPM No. {</w:t>
      </w:r>
      <w:r w:rsidR="005D61AC">
        <w:rPr>
          <w:rFonts w:ascii="Arial" w:hAnsi="Arial" w:cs="Arial"/>
          <w:i/>
          <w:iCs/>
          <w:sz w:val="22"/>
          <w:szCs w:val="22"/>
        </w:rPr>
        <w:t>Número de Tramite</w:t>
      </w:r>
      <w:r w:rsidRPr="0040145A">
        <w:rPr>
          <w:rFonts w:ascii="Arial" w:hAnsi="Arial" w:cs="Arial"/>
          <w:sz w:val="22"/>
          <w:szCs w:val="22"/>
        </w:rPr>
        <w:t xml:space="preserve">}, el </w:t>
      </w:r>
      <w:r w:rsidRPr="00D05F12">
        <w:rPr>
          <w:rFonts w:ascii="Arial" w:hAnsi="Arial" w:cs="Arial"/>
          <w:sz w:val="22"/>
          <w:szCs w:val="22"/>
        </w:rPr>
        <w:t>secretario general</w:t>
      </w:r>
      <w:r w:rsidRPr="0040145A">
        <w:rPr>
          <w:rFonts w:ascii="Arial" w:hAnsi="Arial" w:cs="Arial"/>
          <w:sz w:val="22"/>
          <w:szCs w:val="22"/>
        </w:rPr>
        <w:t xml:space="preserve"> de la Universidad de Investigación de Tecnología Experimental </w:t>
      </w:r>
      <w:proofErr w:type="spellStart"/>
      <w:r w:rsidRPr="0040145A">
        <w:rPr>
          <w:rFonts w:ascii="Arial" w:hAnsi="Arial" w:cs="Arial"/>
          <w:sz w:val="22"/>
          <w:szCs w:val="22"/>
        </w:rPr>
        <w:t>Yachay</w:t>
      </w:r>
      <w:proofErr w:type="spellEnd"/>
      <w:r w:rsidRPr="0040145A">
        <w:rPr>
          <w:rFonts w:ascii="Arial" w:hAnsi="Arial" w:cs="Arial"/>
          <w:sz w:val="22"/>
          <w:szCs w:val="22"/>
        </w:rPr>
        <w:t>, remitió al señor Rector, el “</w:t>
      </w:r>
      <w:r w:rsidRPr="0040145A">
        <w:rPr>
          <w:rFonts w:ascii="Arial" w:hAnsi="Arial" w:cs="Arial"/>
          <w:i/>
          <w:iCs/>
          <w:sz w:val="22"/>
          <w:szCs w:val="22"/>
        </w:rPr>
        <w:t>Informe técnico No. {</w:t>
      </w:r>
      <w:r w:rsidR="005D61AC">
        <w:rPr>
          <w:rFonts w:ascii="Arial" w:hAnsi="Arial" w:cs="Arial"/>
          <w:i/>
          <w:iCs/>
          <w:sz w:val="22"/>
          <w:szCs w:val="22"/>
        </w:rPr>
        <w:t>Número de Informe</w:t>
      </w:r>
      <w:r w:rsidRPr="0040145A">
        <w:rPr>
          <w:rFonts w:ascii="Arial" w:hAnsi="Arial" w:cs="Arial"/>
          <w:i/>
          <w:iCs/>
          <w:sz w:val="22"/>
          <w:szCs w:val="22"/>
        </w:rPr>
        <w:t>}</w:t>
      </w:r>
      <w:r w:rsidRPr="0040145A">
        <w:rPr>
          <w:rFonts w:ascii="Arial" w:hAnsi="Arial" w:cs="Arial"/>
          <w:sz w:val="22"/>
          <w:szCs w:val="22"/>
        </w:rPr>
        <w:t xml:space="preserve"> </w:t>
      </w:r>
      <w:r w:rsidRPr="0040145A">
        <w:rPr>
          <w:rFonts w:ascii="Arial" w:hAnsi="Arial" w:cs="Arial"/>
          <w:i/>
          <w:iCs/>
          <w:sz w:val="22"/>
          <w:szCs w:val="22"/>
        </w:rPr>
        <w:t>de cumplimiento de requisitos académicos para la emisión del título” en el que señala: en el acápite de conclusiones, manifiesta lo siguiente: “Se concluye que el/la estudiante {</w:t>
      </w:r>
      <w:r w:rsidR="005D61AC">
        <w:rPr>
          <w:rFonts w:ascii="Arial" w:hAnsi="Arial" w:cs="Arial"/>
          <w:i/>
          <w:iCs/>
          <w:sz w:val="22"/>
          <w:szCs w:val="22"/>
        </w:rPr>
        <w:t>Nombre de la Estudiante</w:t>
      </w:r>
      <w:r w:rsidRPr="0040145A">
        <w:rPr>
          <w:rFonts w:ascii="Arial" w:hAnsi="Arial" w:cs="Arial"/>
          <w:i/>
          <w:iCs/>
          <w:sz w:val="22"/>
          <w:szCs w:val="22"/>
        </w:rPr>
        <w:t>} con número de identificación {</w:t>
      </w:r>
      <w:r w:rsidR="005D61AC">
        <w:rPr>
          <w:rFonts w:ascii="Arial" w:hAnsi="Arial" w:cs="Arial"/>
          <w:i/>
          <w:iCs/>
          <w:sz w:val="22"/>
          <w:szCs w:val="22"/>
        </w:rPr>
        <w:t>Número de Cédula</w:t>
      </w:r>
      <w:r w:rsidRPr="0040145A">
        <w:rPr>
          <w:rFonts w:ascii="Arial" w:hAnsi="Arial" w:cs="Arial"/>
          <w:i/>
          <w:iCs/>
          <w:sz w:val="22"/>
          <w:szCs w:val="22"/>
        </w:rPr>
        <w:t xml:space="preserve">} cumplen los requisitos exigidos en el Reglamento de Titulación de Grado de la Universidad de Investigación de Tecnología Experimental </w:t>
      </w:r>
      <w:proofErr w:type="spellStart"/>
      <w:r w:rsidRPr="0040145A">
        <w:rPr>
          <w:rFonts w:ascii="Arial" w:hAnsi="Arial" w:cs="Arial"/>
          <w:i/>
          <w:iCs/>
          <w:sz w:val="22"/>
          <w:szCs w:val="22"/>
        </w:rPr>
        <w:t>Yachay</w:t>
      </w:r>
      <w:proofErr w:type="spellEnd"/>
      <w:r w:rsidRPr="0040145A">
        <w:rPr>
          <w:rFonts w:ascii="Arial" w:hAnsi="Arial" w:cs="Arial"/>
          <w:i/>
          <w:iCs/>
          <w:sz w:val="22"/>
          <w:szCs w:val="22"/>
        </w:rPr>
        <w:t>, conforme consta en el anexo 1 adjunto al presente informe”;</w:t>
      </w:r>
    </w:p>
    <w:p w14:paraId="4BF25D96" w14:textId="1BB78340" w:rsidR="003D104C" w:rsidRDefault="007E6797" w:rsidP="005108E2">
      <w:pPr>
        <w:jc w:val="both"/>
        <w:rPr>
          <w:rFonts w:ascii="Arial" w:hAnsi="Arial" w:cs="Arial"/>
          <w:color w:val="000000" w:themeColor="text1"/>
          <w:sz w:val="22"/>
          <w:szCs w:val="22"/>
          <w:lang w:val="es-419"/>
        </w:rPr>
      </w:pPr>
      <w:r w:rsidRPr="005108E2">
        <w:rPr>
          <w:rFonts w:ascii="Arial" w:hAnsi="Arial" w:cs="Arial"/>
          <w:color w:val="000000" w:themeColor="text1"/>
          <w:sz w:val="22"/>
          <w:szCs w:val="22"/>
          <w:lang w:val="es-419"/>
        </w:rPr>
        <w:br/>
        <w:t>En ejercicio de las atribuciones conferidas por la Ley Orgánica de Educación Superior, el Estatuto de la Universidad de Investigación de Tecnología Experimental Yachay y el reglamento de titulación de la UITEY:</w:t>
      </w:r>
    </w:p>
    <w:p w14:paraId="35D8502E" w14:textId="2BFD1B76" w:rsidR="007E6797" w:rsidRPr="005108E2" w:rsidRDefault="007E6797" w:rsidP="005108E2">
      <w:pPr>
        <w:jc w:val="both"/>
        <w:rPr>
          <w:rFonts w:ascii="Arial" w:hAnsi="Arial" w:cs="Arial"/>
          <w:color w:val="000000" w:themeColor="text1"/>
          <w:sz w:val="22"/>
          <w:szCs w:val="22"/>
          <w:lang w:val="es-419"/>
        </w:rPr>
      </w:pPr>
      <w:r w:rsidRPr="005108E2">
        <w:rPr>
          <w:rFonts w:ascii="Arial" w:hAnsi="Arial" w:cs="Arial"/>
          <w:color w:val="000000" w:themeColor="text1"/>
          <w:sz w:val="22"/>
          <w:szCs w:val="22"/>
          <w:lang w:val="es-419"/>
        </w:rPr>
        <w:t> </w:t>
      </w:r>
    </w:p>
    <w:p w14:paraId="4688B91F" w14:textId="77777777" w:rsidR="007E6797" w:rsidRPr="005108E2" w:rsidRDefault="007E6797" w:rsidP="005108E2">
      <w:pPr>
        <w:jc w:val="center"/>
        <w:rPr>
          <w:rFonts w:ascii="Arial" w:hAnsi="Arial" w:cs="Arial"/>
          <w:color w:val="000000" w:themeColor="text1"/>
          <w:sz w:val="22"/>
          <w:szCs w:val="22"/>
          <w:lang w:val="es-419"/>
        </w:rPr>
      </w:pPr>
      <w:r w:rsidRPr="005108E2">
        <w:rPr>
          <w:rFonts w:ascii="Arial" w:hAnsi="Arial" w:cs="Arial"/>
          <w:b/>
          <w:bCs/>
          <w:color w:val="000000" w:themeColor="text1"/>
          <w:sz w:val="22"/>
          <w:szCs w:val="22"/>
          <w:lang w:val="es-419"/>
        </w:rPr>
        <w:t>RESUELVE</w:t>
      </w:r>
    </w:p>
    <w:p w14:paraId="2A7107B3" w14:textId="59009D38" w:rsidR="0090444F" w:rsidRDefault="007E6797" w:rsidP="005108E2">
      <w:pPr>
        <w:jc w:val="both"/>
        <w:rPr>
          <w:rFonts w:ascii="Arial" w:hAnsi="Arial" w:cs="Arial"/>
          <w:sz w:val="22"/>
          <w:szCs w:val="22"/>
        </w:rPr>
      </w:pPr>
      <w:r w:rsidRPr="005108E2">
        <w:rPr>
          <w:rFonts w:ascii="Arial" w:hAnsi="Arial" w:cs="Arial"/>
          <w:color w:val="000000" w:themeColor="text1"/>
          <w:sz w:val="22"/>
          <w:szCs w:val="22"/>
          <w:lang w:val="es-419"/>
        </w:rPr>
        <w:br/>
      </w:r>
      <w:r w:rsidRPr="000053C3">
        <w:rPr>
          <w:rFonts w:ascii="Arial" w:hAnsi="Arial" w:cs="Arial"/>
          <w:b/>
          <w:bCs/>
          <w:color w:val="000000" w:themeColor="text1"/>
          <w:sz w:val="22"/>
          <w:szCs w:val="22"/>
          <w:lang w:val="es-419"/>
        </w:rPr>
        <w:t>Artículo 1. - </w:t>
      </w:r>
      <w:r w:rsidRPr="000053C3">
        <w:rPr>
          <w:rFonts w:ascii="Arial" w:hAnsi="Arial" w:cs="Arial"/>
          <w:color w:val="000000" w:themeColor="text1"/>
          <w:sz w:val="22"/>
          <w:szCs w:val="22"/>
          <w:lang w:val="es-419"/>
        </w:rPr>
        <w:t>Aprobar el </w:t>
      </w:r>
      <w:r w:rsidR="006E4B13">
        <w:rPr>
          <w:rFonts w:ascii="Arial" w:hAnsi="Arial" w:cs="Arial"/>
          <w:color w:val="000000" w:themeColor="text1"/>
          <w:sz w:val="22"/>
          <w:szCs w:val="22"/>
          <w:lang w:val="es-419"/>
        </w:rPr>
        <w:t>i</w:t>
      </w:r>
      <w:r w:rsidR="00675FAA" w:rsidRPr="000053C3">
        <w:rPr>
          <w:rFonts w:ascii="Arial" w:hAnsi="Arial" w:cs="Arial"/>
          <w:color w:val="000000" w:themeColor="text1"/>
          <w:sz w:val="22"/>
          <w:szCs w:val="22"/>
          <w:lang w:val="es-419"/>
        </w:rPr>
        <w:t xml:space="preserve">nforme técnico </w:t>
      </w:r>
      <w:r w:rsidR="000053C3" w:rsidRPr="0040145A">
        <w:rPr>
          <w:rFonts w:ascii="Arial" w:hAnsi="Arial" w:cs="Arial"/>
          <w:i/>
          <w:iCs/>
          <w:sz w:val="22"/>
          <w:szCs w:val="22"/>
        </w:rPr>
        <w:t>No. {</w:t>
      </w:r>
      <w:r w:rsidR="006E4B13">
        <w:rPr>
          <w:rFonts w:ascii="Arial" w:hAnsi="Arial" w:cs="Arial"/>
          <w:i/>
          <w:iCs/>
          <w:sz w:val="22"/>
          <w:szCs w:val="22"/>
        </w:rPr>
        <w:t>Número de Informe</w:t>
      </w:r>
      <w:r w:rsidR="000053C3" w:rsidRPr="0040145A">
        <w:rPr>
          <w:rFonts w:ascii="Arial" w:hAnsi="Arial" w:cs="Arial"/>
          <w:i/>
          <w:iCs/>
          <w:sz w:val="22"/>
          <w:szCs w:val="22"/>
        </w:rPr>
        <w:t>}</w:t>
      </w:r>
      <w:r w:rsidR="000053C3">
        <w:rPr>
          <w:rFonts w:ascii="Arial" w:hAnsi="Arial" w:cs="Arial"/>
          <w:i/>
          <w:iCs/>
          <w:sz w:val="22"/>
          <w:szCs w:val="22"/>
        </w:rPr>
        <w:t xml:space="preserve"> </w:t>
      </w:r>
      <w:r w:rsidR="00675FAA" w:rsidRPr="000053C3">
        <w:rPr>
          <w:rFonts w:ascii="Arial" w:hAnsi="Arial" w:cs="Arial"/>
          <w:color w:val="000000" w:themeColor="text1"/>
          <w:sz w:val="22"/>
          <w:szCs w:val="22"/>
          <w:lang w:val="es-419"/>
        </w:rPr>
        <w:t xml:space="preserve">de cumplimiento de requisitos académicos para la emisión del título </w:t>
      </w:r>
      <w:proofErr w:type="gramStart"/>
      <w:r w:rsidR="00675FAA" w:rsidRPr="000053C3">
        <w:rPr>
          <w:rFonts w:ascii="Arial" w:hAnsi="Arial" w:cs="Arial"/>
          <w:color w:val="000000" w:themeColor="text1"/>
          <w:sz w:val="22"/>
          <w:szCs w:val="22"/>
          <w:lang w:val="es-419"/>
        </w:rPr>
        <w:t>de</w:t>
      </w:r>
      <w:r w:rsidR="007E72A0">
        <w:rPr>
          <w:rFonts w:ascii="Arial" w:hAnsi="Arial" w:cs="Arial"/>
          <w:color w:val="000000" w:themeColor="text1"/>
          <w:sz w:val="22"/>
          <w:szCs w:val="22"/>
          <w:lang w:val="es-419"/>
        </w:rPr>
        <w:t xml:space="preserve"> e</w:t>
      </w:r>
      <w:r w:rsidR="00675FAA" w:rsidRPr="000053C3">
        <w:rPr>
          <w:rFonts w:ascii="Arial" w:hAnsi="Arial" w:cs="Arial"/>
          <w:color w:val="000000" w:themeColor="text1"/>
          <w:sz w:val="22"/>
          <w:szCs w:val="22"/>
          <w:lang w:val="es-419"/>
        </w:rPr>
        <w:t>l</w:t>
      </w:r>
      <w:r w:rsidR="007E72A0">
        <w:rPr>
          <w:rFonts w:ascii="Arial" w:hAnsi="Arial" w:cs="Arial"/>
          <w:color w:val="000000" w:themeColor="text1"/>
          <w:sz w:val="22"/>
          <w:szCs w:val="22"/>
          <w:lang w:val="es-419"/>
        </w:rPr>
        <w:t>/la</w:t>
      </w:r>
      <w:r w:rsidR="0090444F">
        <w:rPr>
          <w:rFonts w:ascii="Arial" w:hAnsi="Arial" w:cs="Arial"/>
          <w:color w:val="000000" w:themeColor="text1"/>
          <w:sz w:val="22"/>
          <w:szCs w:val="22"/>
          <w:lang w:val="es-419"/>
        </w:rPr>
        <w:t xml:space="preserve"> </w:t>
      </w:r>
      <w:r w:rsidR="00675FAA" w:rsidRPr="000053C3">
        <w:rPr>
          <w:rFonts w:ascii="Arial" w:hAnsi="Arial" w:cs="Arial"/>
          <w:color w:val="000000" w:themeColor="text1"/>
          <w:sz w:val="22"/>
          <w:szCs w:val="22"/>
          <w:lang w:val="es-419"/>
        </w:rPr>
        <w:t>estudiante</w:t>
      </w:r>
      <w:proofErr w:type="gramEnd"/>
      <w:r w:rsidR="000053C3">
        <w:rPr>
          <w:rFonts w:ascii="Arial" w:hAnsi="Arial" w:cs="Arial"/>
          <w:color w:val="000000" w:themeColor="text1"/>
          <w:sz w:val="22"/>
          <w:szCs w:val="22"/>
          <w:lang w:val="es-419"/>
        </w:rPr>
        <w:t xml:space="preserve"> </w:t>
      </w:r>
      <w:r w:rsidR="000053C3" w:rsidRPr="0040145A">
        <w:rPr>
          <w:rFonts w:ascii="Arial" w:hAnsi="Arial" w:cs="Arial"/>
          <w:color w:val="000000"/>
          <w:sz w:val="22"/>
          <w:szCs w:val="22"/>
        </w:rPr>
        <w:t>{</w:t>
      </w:r>
      <w:r w:rsidR="005D61AC">
        <w:rPr>
          <w:rFonts w:ascii="Arial" w:eastAsia="Times New Roman" w:hAnsi="Arial" w:cs="Arial"/>
          <w:sz w:val="22"/>
          <w:szCs w:val="22"/>
          <w:lang w:eastAsia="es-EC"/>
        </w:rPr>
        <w:t>Nombre del estudiante</w:t>
      </w:r>
      <w:r w:rsidR="000053C3" w:rsidRPr="0040145A">
        <w:rPr>
          <w:rFonts w:ascii="Arial" w:hAnsi="Arial" w:cs="Arial"/>
          <w:color w:val="000000"/>
          <w:sz w:val="22"/>
          <w:szCs w:val="22"/>
        </w:rPr>
        <w:t xml:space="preserve">} </w:t>
      </w:r>
      <w:r w:rsidR="00675FAA" w:rsidRPr="000053C3">
        <w:rPr>
          <w:rFonts w:ascii="Arial" w:hAnsi="Arial" w:cs="Arial"/>
          <w:color w:val="000000" w:themeColor="text1"/>
          <w:sz w:val="22"/>
          <w:szCs w:val="22"/>
          <w:lang w:val="es-419"/>
        </w:rPr>
        <w:t xml:space="preserve">de la </w:t>
      </w:r>
      <w:r w:rsidR="000053C3" w:rsidRPr="0040145A">
        <w:rPr>
          <w:rFonts w:ascii="Arial" w:hAnsi="Arial" w:cs="Arial"/>
          <w:sz w:val="22"/>
          <w:szCs w:val="22"/>
        </w:rPr>
        <w:t>{</w:t>
      </w:r>
      <w:r w:rsidR="005D61AC">
        <w:rPr>
          <w:rFonts w:ascii="Arial" w:hAnsi="Arial" w:cs="Arial"/>
          <w:sz w:val="22"/>
          <w:szCs w:val="22"/>
        </w:rPr>
        <w:t>Número de cohorte</w:t>
      </w:r>
      <w:r w:rsidR="000053C3" w:rsidRPr="0040145A">
        <w:rPr>
          <w:rFonts w:ascii="Arial" w:hAnsi="Arial" w:cs="Arial"/>
          <w:i/>
          <w:iCs/>
          <w:sz w:val="22"/>
          <w:szCs w:val="22"/>
        </w:rPr>
        <w:t>}</w:t>
      </w:r>
      <w:r w:rsidR="000053C3">
        <w:rPr>
          <w:rFonts w:ascii="Arial" w:hAnsi="Arial" w:cs="Arial"/>
          <w:i/>
          <w:iCs/>
        </w:rPr>
        <w:t xml:space="preserve"> </w:t>
      </w:r>
      <w:r w:rsidRPr="000053C3">
        <w:rPr>
          <w:rFonts w:ascii="Arial" w:hAnsi="Arial" w:cs="Arial"/>
          <w:color w:val="000000" w:themeColor="text1"/>
          <w:sz w:val="22"/>
          <w:szCs w:val="22"/>
          <w:lang w:val="es-419"/>
        </w:rPr>
        <w:t>y su anexo</w:t>
      </w:r>
      <w:r w:rsidRPr="000053C3">
        <w:rPr>
          <w:rFonts w:ascii="Arial" w:hAnsi="Arial" w:cs="Arial"/>
          <w:i/>
          <w:iCs/>
          <w:color w:val="000000" w:themeColor="text1"/>
          <w:sz w:val="22"/>
          <w:szCs w:val="22"/>
          <w:lang w:val="es-419"/>
        </w:rPr>
        <w:t>, </w:t>
      </w:r>
      <w:r w:rsidRPr="000053C3">
        <w:rPr>
          <w:rFonts w:ascii="Arial" w:hAnsi="Arial" w:cs="Arial"/>
          <w:color w:val="000000" w:themeColor="text1"/>
          <w:sz w:val="22"/>
          <w:szCs w:val="22"/>
          <w:lang w:val="es-419"/>
        </w:rPr>
        <w:t xml:space="preserve">elaborados por la secretaría general, mismos que forman parte de la presente </w:t>
      </w:r>
      <w:r w:rsidRPr="005D61AC">
        <w:rPr>
          <w:rFonts w:ascii="Arial" w:hAnsi="Arial" w:cs="Arial"/>
          <w:color w:val="000000" w:themeColor="text1"/>
          <w:sz w:val="22"/>
          <w:szCs w:val="22"/>
          <w:lang w:val="es-419"/>
        </w:rPr>
        <w:t>resolución</w:t>
      </w:r>
      <w:r w:rsidR="006E4B13">
        <w:rPr>
          <w:rFonts w:ascii="Arial" w:hAnsi="Arial" w:cs="Arial"/>
          <w:color w:val="000000" w:themeColor="text1"/>
          <w:sz w:val="22"/>
          <w:szCs w:val="22"/>
          <w:lang w:val="es-419"/>
        </w:rPr>
        <w:t xml:space="preserve"> en </w:t>
      </w:r>
      <w:r w:rsidR="005D61AC" w:rsidRPr="0040145A">
        <w:rPr>
          <w:rFonts w:ascii="Arial" w:hAnsi="Arial" w:cs="Arial"/>
          <w:sz w:val="22"/>
          <w:szCs w:val="22"/>
        </w:rPr>
        <w:t>el Sistema de Gestión por Procesos BPM Trámite No.</w:t>
      </w:r>
      <w:r w:rsidR="005D61AC" w:rsidRPr="0040145A">
        <w:rPr>
          <w:rFonts w:ascii="Arial" w:hAnsi="Arial" w:cs="Arial"/>
          <w:i/>
          <w:iCs/>
          <w:sz w:val="22"/>
          <w:szCs w:val="22"/>
        </w:rPr>
        <w:t xml:space="preserve"> </w:t>
      </w:r>
      <w:r w:rsidR="005D61AC" w:rsidRPr="0040145A">
        <w:rPr>
          <w:rFonts w:ascii="Arial" w:hAnsi="Arial" w:cs="Arial"/>
          <w:sz w:val="22"/>
          <w:szCs w:val="22"/>
        </w:rPr>
        <w:t>{</w:t>
      </w:r>
      <w:r w:rsidR="006E4B13">
        <w:rPr>
          <w:rFonts w:ascii="Arial" w:hAnsi="Arial" w:cs="Arial"/>
          <w:sz w:val="22"/>
          <w:szCs w:val="22"/>
        </w:rPr>
        <w:t>Número de Trámite</w:t>
      </w:r>
      <w:r w:rsidR="005D61AC" w:rsidRPr="0040145A">
        <w:rPr>
          <w:rFonts w:ascii="Arial" w:hAnsi="Arial" w:cs="Arial"/>
          <w:sz w:val="22"/>
          <w:szCs w:val="22"/>
        </w:rPr>
        <w:t>}</w:t>
      </w:r>
      <w:r w:rsidR="006E4B13">
        <w:rPr>
          <w:rFonts w:ascii="Arial" w:hAnsi="Arial" w:cs="Arial"/>
          <w:sz w:val="22"/>
          <w:szCs w:val="22"/>
        </w:rPr>
        <w:t>.</w:t>
      </w:r>
    </w:p>
    <w:p w14:paraId="5868EB17" w14:textId="2E9BCF6B" w:rsidR="003D104C" w:rsidRPr="00EB0366" w:rsidRDefault="007E6797" w:rsidP="005108E2">
      <w:pPr>
        <w:jc w:val="both"/>
        <w:rPr>
          <w:rFonts w:ascii="Arial" w:hAnsi="Arial" w:cs="Arial"/>
          <w:color w:val="000000" w:themeColor="text1"/>
          <w:sz w:val="22"/>
          <w:szCs w:val="22"/>
          <w:lang w:val="es-419"/>
        </w:rPr>
      </w:pPr>
      <w:r w:rsidRPr="005D61AC">
        <w:rPr>
          <w:rFonts w:ascii="Arial" w:hAnsi="Arial" w:cs="Arial"/>
          <w:color w:val="000000" w:themeColor="text1"/>
          <w:sz w:val="22"/>
          <w:szCs w:val="22"/>
          <w:lang w:val="es-419"/>
        </w:rPr>
        <w:br/>
      </w:r>
      <w:r w:rsidRPr="005108E2">
        <w:rPr>
          <w:rFonts w:ascii="Arial" w:hAnsi="Arial" w:cs="Arial"/>
          <w:color w:val="000000" w:themeColor="text1"/>
          <w:sz w:val="22"/>
          <w:szCs w:val="22"/>
          <w:lang w:val="es-419"/>
        </w:rPr>
        <w:t> </w:t>
      </w:r>
      <w:r w:rsidRPr="005108E2">
        <w:rPr>
          <w:rFonts w:ascii="Arial" w:hAnsi="Arial" w:cs="Arial"/>
          <w:color w:val="000000" w:themeColor="text1"/>
          <w:sz w:val="22"/>
          <w:szCs w:val="22"/>
          <w:lang w:val="es-419"/>
        </w:rPr>
        <w:br/>
      </w:r>
      <w:r w:rsidRPr="005108E2">
        <w:rPr>
          <w:rFonts w:ascii="Arial" w:hAnsi="Arial" w:cs="Arial"/>
          <w:b/>
          <w:bCs/>
          <w:color w:val="000000" w:themeColor="text1"/>
          <w:sz w:val="22"/>
          <w:szCs w:val="22"/>
          <w:lang w:val="es-419"/>
        </w:rPr>
        <w:lastRenderedPageBreak/>
        <w:t>Artículo 2. -</w:t>
      </w:r>
      <w:r w:rsidRPr="005108E2">
        <w:rPr>
          <w:rFonts w:ascii="Arial" w:hAnsi="Arial" w:cs="Arial"/>
          <w:color w:val="000000" w:themeColor="text1"/>
          <w:sz w:val="22"/>
          <w:szCs w:val="22"/>
          <w:lang w:val="es-419"/>
        </w:rPr>
        <w:t xml:space="preserve"> Declarar </w:t>
      </w:r>
      <w:r w:rsidR="007B7A99" w:rsidRPr="005108E2">
        <w:rPr>
          <w:rFonts w:ascii="Arial" w:hAnsi="Arial" w:cs="Arial"/>
          <w:color w:val="000000" w:themeColor="text1"/>
          <w:sz w:val="22"/>
          <w:szCs w:val="22"/>
          <w:lang w:val="es-419"/>
        </w:rPr>
        <w:t xml:space="preserve">habilitado </w:t>
      </w:r>
      <w:proofErr w:type="gramStart"/>
      <w:r w:rsidR="007B7A99" w:rsidRPr="005108E2">
        <w:rPr>
          <w:rFonts w:ascii="Arial" w:hAnsi="Arial" w:cs="Arial"/>
          <w:color w:val="000000" w:themeColor="text1"/>
          <w:sz w:val="22"/>
          <w:szCs w:val="22"/>
          <w:lang w:val="es-419"/>
        </w:rPr>
        <w:t>a</w:t>
      </w:r>
      <w:r w:rsidR="007E72A0">
        <w:rPr>
          <w:rFonts w:ascii="Arial" w:hAnsi="Arial" w:cs="Arial"/>
          <w:color w:val="000000" w:themeColor="text1"/>
          <w:sz w:val="22"/>
          <w:szCs w:val="22"/>
          <w:lang w:val="es-419"/>
        </w:rPr>
        <w:t xml:space="preserve"> </w:t>
      </w:r>
      <w:proofErr w:type="spellStart"/>
      <w:r w:rsidR="007E72A0">
        <w:rPr>
          <w:rFonts w:ascii="Arial" w:hAnsi="Arial" w:cs="Arial"/>
          <w:color w:val="000000" w:themeColor="text1"/>
          <w:sz w:val="22"/>
          <w:szCs w:val="22"/>
          <w:lang w:val="es-419"/>
        </w:rPr>
        <w:t>e</w:t>
      </w:r>
      <w:r w:rsidR="006E4B13">
        <w:rPr>
          <w:rFonts w:ascii="Arial" w:hAnsi="Arial" w:cs="Arial"/>
          <w:color w:val="000000" w:themeColor="text1"/>
          <w:sz w:val="22"/>
          <w:szCs w:val="22"/>
          <w:lang w:val="es-419"/>
        </w:rPr>
        <w:t>l</w:t>
      </w:r>
      <w:proofErr w:type="spellEnd"/>
      <w:r w:rsidR="007E72A0">
        <w:rPr>
          <w:rFonts w:ascii="Arial" w:hAnsi="Arial" w:cs="Arial"/>
          <w:color w:val="000000" w:themeColor="text1"/>
          <w:sz w:val="22"/>
          <w:szCs w:val="22"/>
          <w:lang w:val="es-419"/>
        </w:rPr>
        <w:t>/la</w:t>
      </w:r>
      <w:r w:rsidR="007B7A99" w:rsidRPr="005108E2">
        <w:rPr>
          <w:rFonts w:ascii="Arial" w:hAnsi="Arial" w:cs="Arial"/>
          <w:color w:val="000000" w:themeColor="text1"/>
          <w:sz w:val="22"/>
          <w:szCs w:val="22"/>
          <w:lang w:val="es-419"/>
        </w:rPr>
        <w:t xml:space="preserve"> </w:t>
      </w:r>
      <w:r w:rsidRPr="005108E2">
        <w:rPr>
          <w:rFonts w:ascii="Arial" w:hAnsi="Arial" w:cs="Arial"/>
          <w:color w:val="000000" w:themeColor="text1"/>
          <w:sz w:val="22"/>
          <w:szCs w:val="22"/>
          <w:lang w:val="es-419"/>
        </w:rPr>
        <w:t>estudiante</w:t>
      </w:r>
      <w:proofErr w:type="gramEnd"/>
      <w:r w:rsidRPr="005108E2">
        <w:rPr>
          <w:rFonts w:ascii="Arial" w:hAnsi="Arial" w:cs="Arial"/>
          <w:color w:val="000000" w:themeColor="text1"/>
          <w:sz w:val="22"/>
          <w:szCs w:val="22"/>
          <w:lang w:val="es-419"/>
        </w:rPr>
        <w:t xml:space="preserve"> </w:t>
      </w:r>
      <w:r w:rsidR="006E4B13" w:rsidRPr="00371303">
        <w:rPr>
          <w:rFonts w:ascii="Arial" w:hAnsi="Arial" w:cs="Arial"/>
          <w:sz w:val="22"/>
          <w:szCs w:val="22"/>
        </w:rPr>
        <w:t>{</w:t>
      </w:r>
      <w:r w:rsidR="006E4B13">
        <w:rPr>
          <w:rFonts w:ascii="Arial" w:hAnsi="Arial" w:cs="Arial"/>
          <w:sz w:val="22"/>
          <w:szCs w:val="22"/>
        </w:rPr>
        <w:t>Número del estudiante</w:t>
      </w:r>
      <w:r w:rsidR="006E4B13" w:rsidRPr="00371303">
        <w:rPr>
          <w:rFonts w:ascii="Arial" w:hAnsi="Arial" w:cs="Arial"/>
          <w:i/>
          <w:iCs/>
          <w:sz w:val="22"/>
          <w:szCs w:val="22"/>
        </w:rPr>
        <w:t>}</w:t>
      </w:r>
      <w:r w:rsidR="006E4B13">
        <w:rPr>
          <w:rFonts w:ascii="Arial" w:hAnsi="Arial" w:cs="Arial"/>
          <w:i/>
          <w:iCs/>
        </w:rPr>
        <w:t xml:space="preserve"> </w:t>
      </w:r>
      <w:r w:rsidRPr="005108E2">
        <w:rPr>
          <w:rFonts w:ascii="Arial" w:hAnsi="Arial" w:cs="Arial"/>
          <w:color w:val="000000" w:themeColor="text1"/>
          <w:sz w:val="22"/>
          <w:szCs w:val="22"/>
          <w:lang w:val="es-419"/>
        </w:rPr>
        <w:t xml:space="preserve">perteneciente a la </w:t>
      </w:r>
      <w:r w:rsidR="000053C3" w:rsidRPr="00371303">
        <w:rPr>
          <w:rFonts w:ascii="Arial" w:hAnsi="Arial" w:cs="Arial"/>
          <w:sz w:val="22"/>
          <w:szCs w:val="22"/>
        </w:rPr>
        <w:t>{</w:t>
      </w:r>
      <w:r w:rsidR="006E4B13">
        <w:rPr>
          <w:rFonts w:ascii="Arial" w:hAnsi="Arial" w:cs="Arial"/>
          <w:sz w:val="22"/>
          <w:szCs w:val="22"/>
        </w:rPr>
        <w:t>Número de cohorte</w:t>
      </w:r>
      <w:r w:rsidR="000053C3" w:rsidRPr="00371303">
        <w:rPr>
          <w:rFonts w:ascii="Arial" w:hAnsi="Arial" w:cs="Arial"/>
          <w:i/>
          <w:iCs/>
          <w:sz w:val="22"/>
          <w:szCs w:val="22"/>
        </w:rPr>
        <w:t>}</w:t>
      </w:r>
      <w:r w:rsidRPr="005108E2">
        <w:rPr>
          <w:rFonts w:ascii="Arial" w:hAnsi="Arial" w:cs="Arial"/>
          <w:color w:val="000000" w:themeColor="text1"/>
          <w:sz w:val="22"/>
          <w:szCs w:val="22"/>
          <w:lang w:val="es-419"/>
        </w:rPr>
        <w:t xml:space="preserve">–de la carrera de </w:t>
      </w:r>
      <w:r w:rsidR="000053C3" w:rsidRPr="0040145A">
        <w:rPr>
          <w:rFonts w:ascii="Arial" w:hAnsi="Arial" w:cs="Arial"/>
          <w:color w:val="000000"/>
          <w:sz w:val="22"/>
          <w:szCs w:val="22"/>
        </w:rPr>
        <w:t>{</w:t>
      </w:r>
      <w:r w:rsidR="006E4B13">
        <w:rPr>
          <w:rFonts w:ascii="Arial" w:eastAsia="Times New Roman" w:hAnsi="Arial" w:cs="Arial"/>
          <w:sz w:val="22"/>
          <w:szCs w:val="22"/>
          <w:lang w:eastAsia="es-EC"/>
        </w:rPr>
        <w:t>Carrera</w:t>
      </w:r>
      <w:r w:rsidR="000053C3" w:rsidRPr="0040145A">
        <w:rPr>
          <w:rFonts w:ascii="Arial" w:hAnsi="Arial" w:cs="Arial"/>
          <w:color w:val="000000"/>
          <w:sz w:val="22"/>
          <w:szCs w:val="22"/>
        </w:rPr>
        <w:t>}</w:t>
      </w:r>
      <w:r w:rsidR="007E72C6" w:rsidRPr="005108E2">
        <w:rPr>
          <w:rFonts w:ascii="Arial" w:hAnsi="Arial" w:cs="Arial"/>
          <w:color w:val="000000" w:themeColor="text1"/>
          <w:sz w:val="22"/>
          <w:szCs w:val="22"/>
          <w:lang w:val="es-419"/>
        </w:rPr>
        <w:t xml:space="preserve">, </w:t>
      </w:r>
      <w:r w:rsidRPr="005108E2">
        <w:rPr>
          <w:rFonts w:ascii="Arial" w:hAnsi="Arial" w:cs="Arial"/>
          <w:color w:val="000000" w:themeColor="text1"/>
          <w:sz w:val="22"/>
          <w:szCs w:val="22"/>
          <w:lang w:val="es-419"/>
        </w:rPr>
        <w:t>constante en el "</w:t>
      </w:r>
      <w:r w:rsidRPr="005108E2">
        <w:rPr>
          <w:rFonts w:ascii="Arial" w:hAnsi="Arial" w:cs="Arial"/>
          <w:i/>
          <w:iCs/>
          <w:color w:val="000000" w:themeColor="text1"/>
          <w:sz w:val="22"/>
          <w:szCs w:val="22"/>
          <w:lang w:val="es-419"/>
        </w:rPr>
        <w:t>ANEXO 1</w:t>
      </w:r>
      <w:r w:rsidRPr="005108E2">
        <w:rPr>
          <w:rFonts w:ascii="Arial" w:hAnsi="Arial" w:cs="Arial"/>
          <w:color w:val="000000" w:themeColor="text1"/>
          <w:sz w:val="22"/>
          <w:szCs w:val="22"/>
          <w:lang w:val="es-419"/>
        </w:rPr>
        <w:t>" del </w:t>
      </w:r>
      <w:r w:rsidR="003D104C">
        <w:rPr>
          <w:rFonts w:ascii="Arial" w:hAnsi="Arial" w:cs="Arial"/>
          <w:color w:val="000000" w:themeColor="text1"/>
          <w:sz w:val="22"/>
          <w:szCs w:val="22"/>
          <w:lang w:val="es-419"/>
        </w:rPr>
        <w:t>i</w:t>
      </w:r>
      <w:r w:rsidR="00675FAA" w:rsidRPr="005108E2">
        <w:rPr>
          <w:rFonts w:ascii="Arial" w:hAnsi="Arial" w:cs="Arial"/>
          <w:color w:val="000000" w:themeColor="text1"/>
          <w:sz w:val="22"/>
          <w:szCs w:val="22"/>
          <w:lang w:val="es-419"/>
        </w:rPr>
        <w:t xml:space="preserve">nforme técnico </w:t>
      </w:r>
      <w:r w:rsidR="006E4B13" w:rsidRPr="00371303">
        <w:rPr>
          <w:rFonts w:ascii="Arial" w:hAnsi="Arial" w:cs="Arial"/>
          <w:i/>
          <w:iCs/>
          <w:sz w:val="22"/>
          <w:szCs w:val="22"/>
        </w:rPr>
        <w:t>No. {</w:t>
      </w:r>
      <w:r w:rsidR="006E4B13">
        <w:rPr>
          <w:rFonts w:ascii="Arial" w:hAnsi="Arial" w:cs="Arial"/>
          <w:i/>
          <w:iCs/>
          <w:sz w:val="22"/>
          <w:szCs w:val="22"/>
        </w:rPr>
        <w:t>Número de Informe</w:t>
      </w:r>
      <w:r w:rsidR="006E4B13" w:rsidRPr="00371303">
        <w:rPr>
          <w:rFonts w:ascii="Arial" w:hAnsi="Arial" w:cs="Arial"/>
          <w:i/>
          <w:iCs/>
          <w:sz w:val="22"/>
          <w:szCs w:val="22"/>
        </w:rPr>
        <w:t>}</w:t>
      </w:r>
      <w:r w:rsidR="006E4B13">
        <w:rPr>
          <w:rFonts w:ascii="Arial" w:hAnsi="Arial" w:cs="Arial"/>
          <w:i/>
          <w:iCs/>
          <w:sz w:val="22"/>
          <w:szCs w:val="22"/>
        </w:rPr>
        <w:t xml:space="preserve"> </w:t>
      </w:r>
      <w:r w:rsidR="00675FAA" w:rsidRPr="005108E2">
        <w:rPr>
          <w:rFonts w:ascii="Arial" w:hAnsi="Arial" w:cs="Arial"/>
          <w:color w:val="000000" w:themeColor="text1"/>
          <w:sz w:val="22"/>
          <w:szCs w:val="22"/>
          <w:lang w:val="es-419"/>
        </w:rPr>
        <w:t>de cumplimiento de requisitos académicos para la emisión del título</w:t>
      </w:r>
      <w:r w:rsidRPr="005108E2">
        <w:rPr>
          <w:rFonts w:ascii="Arial" w:hAnsi="Arial" w:cs="Arial"/>
          <w:color w:val="000000" w:themeColor="text1"/>
          <w:sz w:val="22"/>
          <w:szCs w:val="22"/>
          <w:lang w:val="es-419"/>
        </w:rPr>
        <w:t xml:space="preserve">, elaborado por la secretaría general, para </w:t>
      </w:r>
      <w:r w:rsidRPr="00EB0366">
        <w:rPr>
          <w:rFonts w:ascii="Arial" w:hAnsi="Arial" w:cs="Arial"/>
          <w:color w:val="000000" w:themeColor="text1"/>
          <w:sz w:val="22"/>
          <w:szCs w:val="22"/>
          <w:lang w:val="es-419"/>
        </w:rPr>
        <w:t xml:space="preserve">que reciba </w:t>
      </w:r>
      <w:r w:rsidR="000053C3">
        <w:rPr>
          <w:rFonts w:ascii="Arial" w:hAnsi="Arial" w:cs="Arial"/>
          <w:color w:val="000000" w:themeColor="text1"/>
          <w:sz w:val="22"/>
          <w:szCs w:val="22"/>
          <w:lang w:val="es-419"/>
        </w:rPr>
        <w:t xml:space="preserve">el </w:t>
      </w:r>
      <w:r w:rsidRPr="00EB0366">
        <w:rPr>
          <w:rFonts w:ascii="Arial" w:hAnsi="Arial" w:cs="Arial"/>
          <w:color w:val="000000" w:themeColor="text1"/>
          <w:sz w:val="22"/>
          <w:szCs w:val="22"/>
          <w:lang w:val="es-419"/>
        </w:rPr>
        <w:t>correspondiente título académico, una vez que ha cumplido los</w:t>
      </w:r>
      <w:r w:rsidR="007B65BF" w:rsidRPr="00EB0366">
        <w:rPr>
          <w:rFonts w:ascii="Arial" w:hAnsi="Arial" w:cs="Arial"/>
          <w:color w:val="000000" w:themeColor="text1"/>
          <w:sz w:val="22"/>
          <w:szCs w:val="22"/>
          <w:lang w:val="es-419"/>
        </w:rPr>
        <w:t xml:space="preserve"> </w:t>
      </w:r>
      <w:r w:rsidRPr="00EB0366">
        <w:rPr>
          <w:rFonts w:ascii="Arial" w:hAnsi="Arial" w:cs="Arial"/>
          <w:color w:val="000000" w:themeColor="text1"/>
          <w:sz w:val="22"/>
          <w:szCs w:val="22"/>
          <w:lang w:val="es-419"/>
        </w:rPr>
        <w:t>requisitos dispuestos en la normativa vigente.</w:t>
      </w:r>
    </w:p>
    <w:p w14:paraId="0632ADE3" w14:textId="4C0FB755" w:rsidR="007E6797" w:rsidRPr="00EB0366" w:rsidRDefault="007E6797" w:rsidP="005108E2">
      <w:pPr>
        <w:jc w:val="both"/>
        <w:rPr>
          <w:rFonts w:ascii="Arial" w:hAnsi="Arial" w:cs="Arial"/>
          <w:color w:val="000000" w:themeColor="text1"/>
          <w:sz w:val="22"/>
          <w:szCs w:val="22"/>
          <w:lang w:val="es-419"/>
        </w:rPr>
      </w:pPr>
    </w:p>
    <w:p w14:paraId="614585D9" w14:textId="390094CC" w:rsidR="007E6797" w:rsidRPr="00EB0366" w:rsidRDefault="00675FAA" w:rsidP="005108E2">
      <w:pPr>
        <w:jc w:val="center"/>
        <w:rPr>
          <w:rFonts w:ascii="Arial" w:hAnsi="Arial" w:cs="Arial"/>
          <w:color w:val="000000" w:themeColor="text1"/>
          <w:sz w:val="22"/>
          <w:szCs w:val="22"/>
          <w:lang w:val="es-419"/>
        </w:rPr>
      </w:pPr>
      <w:r w:rsidRPr="00EB0366">
        <w:rPr>
          <w:rFonts w:ascii="Arial" w:hAnsi="Arial" w:cs="Arial"/>
          <w:b/>
          <w:bCs/>
          <w:color w:val="000000" w:themeColor="text1"/>
          <w:sz w:val="22"/>
          <w:szCs w:val="22"/>
          <w:lang w:val="es-419"/>
        </w:rPr>
        <w:t xml:space="preserve">Disposiciones </w:t>
      </w:r>
      <w:r w:rsidR="007E72C6" w:rsidRPr="00EB0366">
        <w:rPr>
          <w:rFonts w:ascii="Arial" w:hAnsi="Arial" w:cs="Arial"/>
          <w:b/>
          <w:bCs/>
          <w:color w:val="000000" w:themeColor="text1"/>
          <w:sz w:val="22"/>
          <w:szCs w:val="22"/>
          <w:lang w:val="es-419"/>
        </w:rPr>
        <w:t>f</w:t>
      </w:r>
      <w:r w:rsidRPr="00EB0366">
        <w:rPr>
          <w:rFonts w:ascii="Arial" w:hAnsi="Arial" w:cs="Arial"/>
          <w:b/>
          <w:bCs/>
          <w:color w:val="000000" w:themeColor="text1"/>
          <w:sz w:val="22"/>
          <w:szCs w:val="22"/>
          <w:lang w:val="es-419"/>
        </w:rPr>
        <w:t>inales</w:t>
      </w:r>
    </w:p>
    <w:p w14:paraId="34E830E4" w14:textId="01CDFD76" w:rsidR="003E6CEE" w:rsidRPr="00EB0366" w:rsidRDefault="007E6797" w:rsidP="00EB0366">
      <w:pPr>
        <w:jc w:val="both"/>
        <w:rPr>
          <w:rFonts w:ascii="Arial" w:hAnsi="Arial" w:cs="Arial"/>
          <w:sz w:val="22"/>
          <w:szCs w:val="22"/>
          <w:lang w:val="es-419"/>
        </w:rPr>
      </w:pPr>
      <w:r w:rsidRPr="00EB0366">
        <w:rPr>
          <w:rFonts w:ascii="Arial" w:hAnsi="Arial" w:cs="Arial"/>
          <w:sz w:val="22"/>
          <w:szCs w:val="22"/>
          <w:lang w:val="es-419"/>
        </w:rPr>
        <w:t> </w:t>
      </w:r>
      <w:r w:rsidRPr="00EB0366">
        <w:rPr>
          <w:rFonts w:ascii="Arial" w:hAnsi="Arial" w:cs="Arial"/>
          <w:sz w:val="22"/>
          <w:szCs w:val="22"/>
          <w:lang w:val="es-419"/>
        </w:rPr>
        <w:br/>
      </w:r>
      <w:r w:rsidRPr="00EB0366">
        <w:rPr>
          <w:rFonts w:ascii="Arial" w:hAnsi="Arial" w:cs="Arial"/>
          <w:b/>
          <w:bCs/>
          <w:sz w:val="22"/>
          <w:szCs w:val="22"/>
          <w:lang w:val="es-419"/>
        </w:rPr>
        <w:t>Primera. - </w:t>
      </w:r>
      <w:r w:rsidRPr="00EB0366">
        <w:rPr>
          <w:rFonts w:ascii="Arial" w:hAnsi="Arial" w:cs="Arial"/>
          <w:sz w:val="22"/>
          <w:szCs w:val="22"/>
          <w:lang w:val="es-419"/>
        </w:rPr>
        <w:t>De la ejecución de la presente Resolución encárguese a la secretaría</w:t>
      </w:r>
      <w:r w:rsidR="000C25B1" w:rsidRPr="00EB0366">
        <w:rPr>
          <w:rFonts w:ascii="Arial" w:hAnsi="Arial" w:cs="Arial"/>
          <w:sz w:val="22"/>
          <w:szCs w:val="22"/>
          <w:lang w:val="es-419"/>
        </w:rPr>
        <w:t xml:space="preserve"> </w:t>
      </w:r>
      <w:r w:rsidRPr="00EB0366">
        <w:rPr>
          <w:rFonts w:ascii="Arial" w:hAnsi="Arial" w:cs="Arial"/>
          <w:sz w:val="22"/>
          <w:szCs w:val="22"/>
          <w:lang w:val="es-419"/>
        </w:rPr>
        <w:t>general.</w:t>
      </w:r>
      <w:r w:rsidRPr="00EB0366">
        <w:rPr>
          <w:rFonts w:ascii="Arial" w:hAnsi="Arial" w:cs="Arial"/>
          <w:sz w:val="22"/>
          <w:szCs w:val="22"/>
          <w:lang w:val="es-419"/>
        </w:rPr>
        <w:br/>
        <w:t> </w:t>
      </w:r>
      <w:r w:rsidRPr="00EB0366">
        <w:rPr>
          <w:rFonts w:ascii="Arial" w:hAnsi="Arial" w:cs="Arial"/>
          <w:sz w:val="22"/>
          <w:szCs w:val="22"/>
          <w:lang w:val="es-419"/>
        </w:rPr>
        <w:br/>
      </w:r>
      <w:r w:rsidRPr="00EB0366">
        <w:rPr>
          <w:rFonts w:ascii="Arial" w:hAnsi="Arial" w:cs="Arial"/>
          <w:b/>
          <w:bCs/>
          <w:sz w:val="22"/>
          <w:szCs w:val="22"/>
          <w:lang w:val="es-419"/>
        </w:rPr>
        <w:t>Segunda. - </w:t>
      </w:r>
      <w:r w:rsidRPr="00EB0366">
        <w:rPr>
          <w:rFonts w:ascii="Arial" w:hAnsi="Arial" w:cs="Arial"/>
          <w:sz w:val="22"/>
          <w:szCs w:val="22"/>
          <w:lang w:val="es-419"/>
        </w:rPr>
        <w:t>La presente Resolución tendrá vigencia a partir de su suscripción.</w:t>
      </w:r>
    </w:p>
    <w:sectPr w:rsidR="003E6CEE" w:rsidRPr="00EB0366" w:rsidSect="008B7D93">
      <w:headerReference w:type="default" r:id="rId10"/>
      <w:pgSz w:w="11906" w:h="16838"/>
      <w:pgMar w:top="1560" w:right="1700"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CC86D" w14:textId="77777777" w:rsidR="008B3792" w:rsidRDefault="008B3792">
      <w:r>
        <w:separator/>
      </w:r>
    </w:p>
  </w:endnote>
  <w:endnote w:type="continuationSeparator" w:id="0">
    <w:p w14:paraId="0C2A5C38" w14:textId="77777777" w:rsidR="008B3792" w:rsidRDefault="008B3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0189" w14:textId="77777777" w:rsidR="008B3792" w:rsidRDefault="008B3792">
      <w:r>
        <w:separator/>
      </w:r>
    </w:p>
  </w:footnote>
  <w:footnote w:type="continuationSeparator" w:id="0">
    <w:p w14:paraId="5DD67EC1" w14:textId="77777777" w:rsidR="008B3792" w:rsidRDefault="008B3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27C52" w14:textId="77777777" w:rsidR="001C338A" w:rsidRDefault="00FB4780">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59264" behindDoc="1" locked="0" layoutInCell="1" hidden="0" allowOverlap="1" wp14:anchorId="4AA22A76" wp14:editId="4A43D9D7">
          <wp:simplePos x="0" y="0"/>
          <wp:positionH relativeFrom="column">
            <wp:posOffset>-1157256</wp:posOffset>
          </wp:positionH>
          <wp:positionV relativeFrom="paragraph">
            <wp:posOffset>-558063</wp:posOffset>
          </wp:positionV>
          <wp:extent cx="7702497" cy="10834580"/>
          <wp:effectExtent l="0" t="0" r="0" b="0"/>
          <wp:wrapNone/>
          <wp:docPr id="187589922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702497" cy="1083458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36F"/>
    <w:rsid w:val="000034FA"/>
    <w:rsid w:val="000053C3"/>
    <w:rsid w:val="0000636F"/>
    <w:rsid w:val="0000654D"/>
    <w:rsid w:val="00021F24"/>
    <w:rsid w:val="000417A0"/>
    <w:rsid w:val="00053122"/>
    <w:rsid w:val="0007082A"/>
    <w:rsid w:val="00095C83"/>
    <w:rsid w:val="000B09EB"/>
    <w:rsid w:val="000C25B1"/>
    <w:rsid w:val="000D43FE"/>
    <w:rsid w:val="000F114B"/>
    <w:rsid w:val="0010784B"/>
    <w:rsid w:val="00155FD0"/>
    <w:rsid w:val="00176052"/>
    <w:rsid w:val="001A0E97"/>
    <w:rsid w:val="001A521A"/>
    <w:rsid w:val="001C338A"/>
    <w:rsid w:val="001D2681"/>
    <w:rsid w:val="001E5A8D"/>
    <w:rsid w:val="00204910"/>
    <w:rsid w:val="0024745C"/>
    <w:rsid w:val="0025073B"/>
    <w:rsid w:val="002C1107"/>
    <w:rsid w:val="002D5E51"/>
    <w:rsid w:val="003253F1"/>
    <w:rsid w:val="00340947"/>
    <w:rsid w:val="00350A41"/>
    <w:rsid w:val="003A3178"/>
    <w:rsid w:val="003A3EA7"/>
    <w:rsid w:val="003C3824"/>
    <w:rsid w:val="003C5CF7"/>
    <w:rsid w:val="003D104C"/>
    <w:rsid w:val="003E6CEE"/>
    <w:rsid w:val="003F34BF"/>
    <w:rsid w:val="0040145A"/>
    <w:rsid w:val="00402E13"/>
    <w:rsid w:val="004351C3"/>
    <w:rsid w:val="00444972"/>
    <w:rsid w:val="00456252"/>
    <w:rsid w:val="00467ABA"/>
    <w:rsid w:val="00467CA2"/>
    <w:rsid w:val="00480D05"/>
    <w:rsid w:val="004963B5"/>
    <w:rsid w:val="004A43E7"/>
    <w:rsid w:val="004A48BB"/>
    <w:rsid w:val="004B4967"/>
    <w:rsid w:val="004C2A1E"/>
    <w:rsid w:val="004F04A8"/>
    <w:rsid w:val="004F63F3"/>
    <w:rsid w:val="00507EC3"/>
    <w:rsid w:val="005108E2"/>
    <w:rsid w:val="0055449A"/>
    <w:rsid w:val="00560D42"/>
    <w:rsid w:val="005775AB"/>
    <w:rsid w:val="00587AC1"/>
    <w:rsid w:val="00590ECE"/>
    <w:rsid w:val="005A6B3B"/>
    <w:rsid w:val="005C2A44"/>
    <w:rsid w:val="005D61AC"/>
    <w:rsid w:val="006131E4"/>
    <w:rsid w:val="00630435"/>
    <w:rsid w:val="00636E21"/>
    <w:rsid w:val="00637DBF"/>
    <w:rsid w:val="00654781"/>
    <w:rsid w:val="00664298"/>
    <w:rsid w:val="00666FDC"/>
    <w:rsid w:val="0067457D"/>
    <w:rsid w:val="00675FAA"/>
    <w:rsid w:val="00695A9B"/>
    <w:rsid w:val="006A23B2"/>
    <w:rsid w:val="006B0E8F"/>
    <w:rsid w:val="006B540C"/>
    <w:rsid w:val="006C617F"/>
    <w:rsid w:val="006D42D5"/>
    <w:rsid w:val="006E4B13"/>
    <w:rsid w:val="0070015B"/>
    <w:rsid w:val="0070259A"/>
    <w:rsid w:val="00702A2B"/>
    <w:rsid w:val="00734AB6"/>
    <w:rsid w:val="007B65BF"/>
    <w:rsid w:val="007B7A99"/>
    <w:rsid w:val="007D4762"/>
    <w:rsid w:val="007D7D47"/>
    <w:rsid w:val="007E6797"/>
    <w:rsid w:val="007E72A0"/>
    <w:rsid w:val="007E72C6"/>
    <w:rsid w:val="00863678"/>
    <w:rsid w:val="00884CB0"/>
    <w:rsid w:val="00885615"/>
    <w:rsid w:val="008B3536"/>
    <w:rsid w:val="008B3792"/>
    <w:rsid w:val="008B7D93"/>
    <w:rsid w:val="008C7715"/>
    <w:rsid w:val="008D1689"/>
    <w:rsid w:val="0090444F"/>
    <w:rsid w:val="00935D4C"/>
    <w:rsid w:val="00963F78"/>
    <w:rsid w:val="00976CA5"/>
    <w:rsid w:val="009A019F"/>
    <w:rsid w:val="009C7E1C"/>
    <w:rsid w:val="009D46F1"/>
    <w:rsid w:val="009D5B7D"/>
    <w:rsid w:val="009E1221"/>
    <w:rsid w:val="009E2BFF"/>
    <w:rsid w:val="009F24FB"/>
    <w:rsid w:val="009F6D98"/>
    <w:rsid w:val="00A445F4"/>
    <w:rsid w:val="00AB0293"/>
    <w:rsid w:val="00AF264E"/>
    <w:rsid w:val="00B1164B"/>
    <w:rsid w:val="00B1629D"/>
    <w:rsid w:val="00BE4A93"/>
    <w:rsid w:val="00C0479B"/>
    <w:rsid w:val="00C21822"/>
    <w:rsid w:val="00C31D7C"/>
    <w:rsid w:val="00C35A10"/>
    <w:rsid w:val="00C42DB7"/>
    <w:rsid w:val="00C4466B"/>
    <w:rsid w:val="00C51BC2"/>
    <w:rsid w:val="00C758E9"/>
    <w:rsid w:val="00C8005B"/>
    <w:rsid w:val="00C81EA0"/>
    <w:rsid w:val="00CA31D5"/>
    <w:rsid w:val="00CC4554"/>
    <w:rsid w:val="00CD6909"/>
    <w:rsid w:val="00D05F12"/>
    <w:rsid w:val="00D17D68"/>
    <w:rsid w:val="00D435D9"/>
    <w:rsid w:val="00DB661C"/>
    <w:rsid w:val="00DC5D39"/>
    <w:rsid w:val="00DD1127"/>
    <w:rsid w:val="00DF7466"/>
    <w:rsid w:val="00E1342F"/>
    <w:rsid w:val="00E23108"/>
    <w:rsid w:val="00E23F84"/>
    <w:rsid w:val="00E32216"/>
    <w:rsid w:val="00E32CA4"/>
    <w:rsid w:val="00E42844"/>
    <w:rsid w:val="00E46880"/>
    <w:rsid w:val="00E529F3"/>
    <w:rsid w:val="00E632C4"/>
    <w:rsid w:val="00E84376"/>
    <w:rsid w:val="00EB0366"/>
    <w:rsid w:val="00EC1E8A"/>
    <w:rsid w:val="00F31858"/>
    <w:rsid w:val="00F82038"/>
    <w:rsid w:val="00FA234D"/>
    <w:rsid w:val="00FB27E8"/>
    <w:rsid w:val="00FB4780"/>
    <w:rsid w:val="00FD249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88D84"/>
  <w15:docId w15:val="{D73D8527-5718-44FC-BF90-4FD500E5A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36F"/>
    <w:pPr>
      <w:spacing w:after="0" w:line="240" w:lineRule="auto"/>
    </w:pPr>
    <w:rPr>
      <w:rFonts w:ascii="Calibri" w:eastAsia="Calibri" w:hAnsi="Calibri" w:cs="Calibri"/>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
    <w:name w:val="p"/>
    <w:basedOn w:val="Normal"/>
    <w:rsid w:val="0000636F"/>
    <w:pPr>
      <w:jc w:val="both"/>
    </w:pPr>
    <w:rPr>
      <w:lang w:val="en-US" w:eastAsia="en-US"/>
    </w:rPr>
  </w:style>
  <w:style w:type="character" w:customStyle="1" w:styleId="b">
    <w:name w:val="b"/>
    <w:basedOn w:val="Fuentedeprrafopredeter"/>
    <w:rsid w:val="0000636F"/>
    <w:rPr>
      <w:rFonts w:ascii="Calibri" w:eastAsia="Calibri" w:hAnsi="Calibri" w:cs="Calibri"/>
      <w:sz w:val="24"/>
      <w:szCs w:val="24"/>
    </w:rPr>
  </w:style>
  <w:style w:type="character" w:customStyle="1" w:styleId="font">
    <w:name w:val="font"/>
    <w:basedOn w:val="Fuentedeprrafopredeter"/>
    <w:rsid w:val="0000636F"/>
    <w:rPr>
      <w:rFonts w:ascii="Calibri" w:eastAsia="Calibri" w:hAnsi="Calibri" w:cs="Calibri"/>
      <w:sz w:val="24"/>
      <w:szCs w:val="24"/>
    </w:rPr>
  </w:style>
  <w:style w:type="table" w:customStyle="1" w:styleId="TableNormal">
    <w:name w:val="Table Normal"/>
    <w:uiPriority w:val="2"/>
    <w:semiHidden/>
    <w:unhideWhenUsed/>
    <w:qFormat/>
    <w:rsid w:val="0066429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64298"/>
    <w:pPr>
      <w:widowControl w:val="0"/>
      <w:autoSpaceDE w:val="0"/>
      <w:autoSpaceDN w:val="0"/>
    </w:pPr>
    <w:rPr>
      <w:rFonts w:ascii="Arial MT" w:eastAsia="Arial MT" w:hAnsi="Arial MT" w:cs="Arial MT"/>
      <w:sz w:val="22"/>
      <w:szCs w:val="22"/>
      <w:lang w:val="es-ES" w:eastAsia="en-US"/>
    </w:rPr>
  </w:style>
  <w:style w:type="table" w:styleId="Tablaconcuadrcula">
    <w:name w:val="Table Grid"/>
    <w:basedOn w:val="Tablanormal"/>
    <w:uiPriority w:val="39"/>
    <w:rsid w:val="006642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50A41"/>
    <w:pPr>
      <w:autoSpaceDE w:val="0"/>
      <w:autoSpaceDN w:val="0"/>
      <w:adjustRightInd w:val="0"/>
      <w:spacing w:after="0" w:line="240" w:lineRule="auto"/>
    </w:pPr>
    <w:rPr>
      <w:rFonts w:ascii="Times New Roman" w:hAnsi="Times New Roman" w:cs="Times New Roman"/>
      <w:color w:val="000000"/>
      <w:sz w:val="24"/>
      <w:szCs w:val="24"/>
      <w:lang w:val="es-419"/>
    </w:rPr>
  </w:style>
  <w:style w:type="paragraph" w:styleId="Revisin">
    <w:name w:val="Revision"/>
    <w:hidden/>
    <w:uiPriority w:val="99"/>
    <w:semiHidden/>
    <w:rsid w:val="001A0E97"/>
    <w:pPr>
      <w:spacing w:after="0" w:line="240" w:lineRule="auto"/>
    </w:pPr>
    <w:rPr>
      <w:rFonts w:ascii="Calibri" w:eastAsia="Calibri" w:hAnsi="Calibri" w:cs="Calibri"/>
      <w:sz w:val="24"/>
      <w:szCs w:val="24"/>
      <w:lang w:eastAsia="es-MX"/>
    </w:rPr>
  </w:style>
  <w:style w:type="character" w:styleId="Refdecomentario">
    <w:name w:val="annotation reference"/>
    <w:basedOn w:val="Fuentedeprrafopredeter"/>
    <w:uiPriority w:val="99"/>
    <w:semiHidden/>
    <w:unhideWhenUsed/>
    <w:rsid w:val="00D05F12"/>
    <w:rPr>
      <w:sz w:val="16"/>
      <w:szCs w:val="16"/>
    </w:rPr>
  </w:style>
  <w:style w:type="paragraph" w:styleId="Textocomentario">
    <w:name w:val="annotation text"/>
    <w:basedOn w:val="Normal"/>
    <w:link w:val="TextocomentarioCar"/>
    <w:uiPriority w:val="99"/>
    <w:unhideWhenUsed/>
    <w:rsid w:val="00D05F12"/>
    <w:rPr>
      <w:sz w:val="20"/>
      <w:szCs w:val="20"/>
    </w:rPr>
  </w:style>
  <w:style w:type="character" w:customStyle="1" w:styleId="TextocomentarioCar">
    <w:name w:val="Texto comentario Car"/>
    <w:basedOn w:val="Fuentedeprrafopredeter"/>
    <w:link w:val="Textocomentario"/>
    <w:uiPriority w:val="99"/>
    <w:rsid w:val="00D05F12"/>
    <w:rPr>
      <w:rFonts w:ascii="Calibri" w:eastAsia="Calibri" w:hAnsi="Calibri" w:cs="Calibri"/>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D05F12"/>
    <w:rPr>
      <w:b/>
      <w:bCs/>
    </w:rPr>
  </w:style>
  <w:style w:type="character" w:customStyle="1" w:styleId="AsuntodelcomentarioCar">
    <w:name w:val="Asunto del comentario Car"/>
    <w:basedOn w:val="TextocomentarioCar"/>
    <w:link w:val="Asuntodelcomentario"/>
    <w:uiPriority w:val="99"/>
    <w:semiHidden/>
    <w:rsid w:val="00D05F12"/>
    <w:rPr>
      <w:rFonts w:ascii="Calibri" w:eastAsia="Calibri" w:hAnsi="Calibri" w:cs="Calibri"/>
      <w:b/>
      <w:bCs/>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5032">
      <w:bodyDiv w:val="1"/>
      <w:marLeft w:val="0"/>
      <w:marRight w:val="0"/>
      <w:marTop w:val="0"/>
      <w:marBottom w:val="0"/>
      <w:divBdr>
        <w:top w:val="none" w:sz="0" w:space="0" w:color="auto"/>
        <w:left w:val="none" w:sz="0" w:space="0" w:color="auto"/>
        <w:bottom w:val="none" w:sz="0" w:space="0" w:color="auto"/>
        <w:right w:val="none" w:sz="0" w:space="0" w:color="auto"/>
      </w:divBdr>
    </w:div>
    <w:div w:id="107241911">
      <w:bodyDiv w:val="1"/>
      <w:marLeft w:val="0"/>
      <w:marRight w:val="0"/>
      <w:marTop w:val="0"/>
      <w:marBottom w:val="0"/>
      <w:divBdr>
        <w:top w:val="none" w:sz="0" w:space="0" w:color="auto"/>
        <w:left w:val="none" w:sz="0" w:space="0" w:color="auto"/>
        <w:bottom w:val="none" w:sz="0" w:space="0" w:color="auto"/>
        <w:right w:val="none" w:sz="0" w:space="0" w:color="auto"/>
      </w:divBdr>
    </w:div>
    <w:div w:id="1036585612">
      <w:bodyDiv w:val="1"/>
      <w:marLeft w:val="0"/>
      <w:marRight w:val="0"/>
      <w:marTop w:val="0"/>
      <w:marBottom w:val="0"/>
      <w:divBdr>
        <w:top w:val="none" w:sz="0" w:space="0" w:color="auto"/>
        <w:left w:val="none" w:sz="0" w:space="0" w:color="auto"/>
        <w:bottom w:val="none" w:sz="0" w:space="0" w:color="auto"/>
        <w:right w:val="none" w:sz="0" w:space="0" w:color="auto"/>
      </w:divBdr>
      <w:divsChild>
        <w:div w:id="14118114">
          <w:marLeft w:val="0"/>
          <w:marRight w:val="0"/>
          <w:marTop w:val="0"/>
          <w:marBottom w:val="0"/>
          <w:divBdr>
            <w:top w:val="none" w:sz="0" w:space="0" w:color="auto"/>
            <w:left w:val="none" w:sz="0" w:space="0" w:color="auto"/>
            <w:bottom w:val="none" w:sz="0" w:space="0" w:color="auto"/>
            <w:right w:val="none" w:sz="0" w:space="0" w:color="auto"/>
          </w:divBdr>
        </w:div>
        <w:div w:id="713117012">
          <w:marLeft w:val="0"/>
          <w:marRight w:val="0"/>
          <w:marTop w:val="0"/>
          <w:marBottom w:val="0"/>
          <w:divBdr>
            <w:top w:val="none" w:sz="0" w:space="0" w:color="auto"/>
            <w:left w:val="none" w:sz="0" w:space="0" w:color="auto"/>
            <w:bottom w:val="none" w:sz="0" w:space="0" w:color="auto"/>
            <w:right w:val="none" w:sz="0" w:space="0" w:color="auto"/>
          </w:divBdr>
        </w:div>
        <w:div w:id="850409145">
          <w:marLeft w:val="0"/>
          <w:marRight w:val="0"/>
          <w:marTop w:val="0"/>
          <w:marBottom w:val="0"/>
          <w:divBdr>
            <w:top w:val="none" w:sz="0" w:space="0" w:color="auto"/>
            <w:left w:val="none" w:sz="0" w:space="0" w:color="auto"/>
            <w:bottom w:val="none" w:sz="0" w:space="0" w:color="auto"/>
            <w:right w:val="none" w:sz="0" w:space="0" w:color="auto"/>
          </w:divBdr>
        </w:div>
        <w:div w:id="898056186">
          <w:marLeft w:val="0"/>
          <w:marRight w:val="0"/>
          <w:marTop w:val="0"/>
          <w:marBottom w:val="0"/>
          <w:divBdr>
            <w:top w:val="none" w:sz="0" w:space="0" w:color="auto"/>
            <w:left w:val="none" w:sz="0" w:space="0" w:color="auto"/>
            <w:bottom w:val="none" w:sz="0" w:space="0" w:color="auto"/>
            <w:right w:val="none" w:sz="0" w:space="0" w:color="auto"/>
          </w:divBdr>
        </w:div>
        <w:div w:id="2040083121">
          <w:marLeft w:val="0"/>
          <w:marRight w:val="0"/>
          <w:marTop w:val="0"/>
          <w:marBottom w:val="0"/>
          <w:divBdr>
            <w:top w:val="none" w:sz="0" w:space="0" w:color="auto"/>
            <w:left w:val="none" w:sz="0" w:space="0" w:color="auto"/>
            <w:bottom w:val="none" w:sz="0" w:space="0" w:color="auto"/>
            <w:right w:val="none" w:sz="0" w:space="0" w:color="auto"/>
          </w:divBdr>
        </w:div>
        <w:div w:id="2139368518">
          <w:marLeft w:val="0"/>
          <w:marRight w:val="0"/>
          <w:marTop w:val="0"/>
          <w:marBottom w:val="0"/>
          <w:divBdr>
            <w:top w:val="none" w:sz="0" w:space="0" w:color="auto"/>
            <w:left w:val="none" w:sz="0" w:space="0" w:color="auto"/>
            <w:bottom w:val="none" w:sz="0" w:space="0" w:color="auto"/>
            <w:right w:val="none" w:sz="0" w:space="0" w:color="auto"/>
          </w:divBdr>
        </w:div>
      </w:divsChild>
    </w:div>
    <w:div w:id="1095633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58503C180B79408DB858F3B1AC83A4" ma:contentTypeVersion="17" ma:contentTypeDescription="Create a new document." ma:contentTypeScope="" ma:versionID="f9f12f6bd98126fbd29bf543db87fd41">
  <xsd:schema xmlns:xsd="http://www.w3.org/2001/XMLSchema" xmlns:xs="http://www.w3.org/2001/XMLSchema" xmlns:p="http://schemas.microsoft.com/office/2006/metadata/properties" xmlns:ns2="51583f38-6b34-4a53-b61a-9b0f1a768265" xmlns:ns3="6fa7b9c8-75da-409b-8aa2-024bd3215a4c" targetNamespace="http://schemas.microsoft.com/office/2006/metadata/properties" ma:root="true" ma:fieldsID="b56b57f6d733b2051704b18ac720fea8" ns2:_="" ns3:_="">
    <xsd:import namespace="51583f38-6b34-4a53-b61a-9b0f1a768265"/>
    <xsd:import namespace="6fa7b9c8-75da-409b-8aa2-024bd3215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83f38-6b34-4a53-b61a-9b0f1a768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d24c46a-b909-48e7-9981-7bfb7d9e87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a7b9c8-75da-409b-8aa2-024bd3215a4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71515e-653e-44d8-be88-bc38976a3819}" ma:internalName="TaxCatchAll" ma:showField="CatchAllData" ma:web="6fa7b9c8-75da-409b-8aa2-024bd3215a4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583f38-6b34-4a53-b61a-9b0f1a768265">
      <Terms xmlns="http://schemas.microsoft.com/office/infopath/2007/PartnerControls"/>
    </lcf76f155ced4ddcb4097134ff3c332f>
    <TaxCatchAll xmlns="6fa7b9c8-75da-409b-8aa2-024bd3215a4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C4C9D-2D63-4808-8216-4C11821160A5}"/>
</file>

<file path=customXml/itemProps2.xml><?xml version="1.0" encoding="utf-8"?>
<ds:datastoreItem xmlns:ds="http://schemas.openxmlformats.org/officeDocument/2006/customXml" ds:itemID="{AA4E266B-F78C-4DDC-BABC-65C9BC1B4FAF}">
  <ds:schemaRefs>
    <ds:schemaRef ds:uri="http://schemas.microsoft.com/office/2006/metadata/properties"/>
    <ds:schemaRef ds:uri="http://schemas.microsoft.com/office/infopath/2007/PartnerControls"/>
    <ds:schemaRef ds:uri="97bcc35f-cd1e-40b8-a570-10b93cf29b8e"/>
    <ds:schemaRef ds:uri="96902216-e6d5-4bd3-bad1-2cf0fe3d520c"/>
  </ds:schemaRefs>
</ds:datastoreItem>
</file>

<file path=customXml/itemProps3.xml><?xml version="1.0" encoding="utf-8"?>
<ds:datastoreItem xmlns:ds="http://schemas.openxmlformats.org/officeDocument/2006/customXml" ds:itemID="{70CA28A5-E1EC-4B73-8EDF-AA1F96EDE485}">
  <ds:schemaRefs>
    <ds:schemaRef ds:uri="http://schemas.microsoft.com/sharepoint/v3/contenttype/forms"/>
  </ds:schemaRefs>
</ds:datastoreItem>
</file>

<file path=customXml/itemProps4.xml><?xml version="1.0" encoding="utf-8"?>
<ds:datastoreItem xmlns:ds="http://schemas.openxmlformats.org/officeDocument/2006/customXml" ds:itemID="{AEB8CF5A-2E31-463E-999A-9282279EE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2108</Words>
  <Characters>11599</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Patricia Enríquez Cabascango</dc:creator>
  <cp:keywords/>
  <dc:description/>
  <cp:lastModifiedBy>Consuelo Elizabeth Lita Portilla</cp:lastModifiedBy>
  <cp:revision>6</cp:revision>
  <dcterms:created xsi:type="dcterms:W3CDTF">2025-03-24T16:22:00Z</dcterms:created>
  <dcterms:modified xsi:type="dcterms:W3CDTF">2025-04-30T18:04:00Z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0x0101000758503C180B79408DB858F3B1AC83A4</vt:lpwstr>
  </property>
</Properties>
</file>