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发展交通可以通过促进商业、旅游业和人才的流动来带动经济。交通的便利使各地的资源以买卖的形式进行置换，比如说中国出口茶叶和丝绸，进口咖啡与意大利面。其次，交通的便利能够让我们去很远的地方消费放松，从而创造大量的服务业的就业机会，如餐饮业、景点门票、游乐园等。最后，人才的流动让人力资源的配置最优化，比如北京就是一个外来人口集中的城市，这些外来的教育、科技、艺术人才为北京创造了极高的利润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rPr>
          <w:rFonts w:hint="default" w:eastAsiaTheme="minorEastAsia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EF658C"/>
    <w:rsid w:val="2A7F7736"/>
    <w:rsid w:val="3C6A4254"/>
    <w:rsid w:val="3F5D39A4"/>
    <w:rsid w:val="4CF94228"/>
    <w:rsid w:val="532D4C0C"/>
    <w:rsid w:val="5FB766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黑体" w:cs="Times New Roman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 w:cs="Times New Roman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 w:cs="Times New Roman"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颖伦</dc:creator>
  <cp:lastModifiedBy>颖伦</cp:lastModifiedBy>
  <dcterms:modified xsi:type="dcterms:W3CDTF">2021-05-13T09:33:11Z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B358DCA05EC44BB3A704B3E56A59234B</vt:lpwstr>
  </property>
</Properties>
</file>