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DB15" w14:textId="4BA56B5D" w:rsidR="00E14D56" w:rsidRDefault="00E14D56">
      <w:r>
        <w:t xml:space="preserve">In polycrystalline materials, the process of grain growth </w:t>
      </w:r>
      <w:r w:rsidR="003B3B85">
        <w:t xml:space="preserve">monotonically </w:t>
      </w:r>
      <w:r>
        <w:t xml:space="preserve">decreases the free energy stored in internal interfaces [ref]. </w:t>
      </w:r>
      <w:r w:rsidR="00D46E0C">
        <w:t>Based on this fact, p</w:t>
      </w:r>
      <w:r w:rsidR="003B3B85">
        <w:t>revailing theories for two-dimensional [</w:t>
      </w:r>
      <w:r w:rsidR="001F3823">
        <w:t>Smith2015, Mullins1956</w:t>
      </w:r>
      <w:r w:rsidR="003B3B85">
        <w:t>] and three-dimensional [</w:t>
      </w:r>
      <w:r w:rsidR="00590BA2">
        <w:t>MacPherson2007</w:t>
      </w:r>
      <w:r w:rsidR="003B3B85">
        <w:t xml:space="preserve">] grain growth predict the </w:t>
      </w:r>
      <w:r w:rsidR="00D46E0C">
        <w:t>time evolution</w:t>
      </w:r>
      <w:r w:rsidR="003B3B85">
        <w:t xml:space="preserve"> </w:t>
      </w:r>
      <w:r w:rsidR="00135AA2">
        <w:t>of</w:t>
      </w:r>
      <w:r w:rsidR="003B3B85">
        <w:t xml:space="preserve"> grain size exactly and deterministically on a </w:t>
      </w:r>
      <w:r w:rsidR="00D059C8">
        <w:t>grain-by</w:t>
      </w:r>
      <w:r w:rsidR="003B3B85">
        <w:t xml:space="preserve">-grain basis. </w:t>
      </w:r>
      <w:r w:rsidR="00A01A5B">
        <w:t xml:space="preserve">However, while computer simulations of grain growth based on these theories accurately reproduce the statistical features of grain growth, such as grain size distribution and the time evolution of average grain size, they </w:t>
      </w:r>
      <w:r w:rsidR="008C6C93">
        <w:t xml:space="preserve">consistently </w:t>
      </w:r>
      <w:r w:rsidR="00A01A5B">
        <w:t>fail to predict</w:t>
      </w:r>
      <w:r w:rsidR="008C6C93">
        <w:t xml:space="preserve"> </w:t>
      </w:r>
      <w:r w:rsidR="00A01A5B">
        <w:t xml:space="preserve">individual grain </w:t>
      </w:r>
      <w:r w:rsidR="00D059C8">
        <w:t>geometry and topology</w:t>
      </w:r>
      <w:r w:rsidR="008C6C93">
        <w:t xml:space="preserve"> observed in experiments [</w:t>
      </w:r>
      <w:r w:rsidR="007F7AEB">
        <w:t>McKenna2014, Peng2022</w:t>
      </w:r>
      <w:r w:rsidR="008C6C93">
        <w:t xml:space="preserve">]. This discrepancy is attributed to many factors, including </w:t>
      </w:r>
      <w:r w:rsidR="00CC5A54">
        <w:t xml:space="preserve">anisotropy in </w:t>
      </w:r>
      <w:r w:rsidR="008C6C93">
        <w:t>grain boundary energy</w:t>
      </w:r>
      <w:r w:rsidR="00135AA2">
        <w:t xml:space="preserve"> and/or mobility</w:t>
      </w:r>
      <w:r w:rsidR="008C6C93">
        <w:t xml:space="preserve">, the presence of solute species, </w:t>
      </w:r>
      <w:r w:rsidR="00D059C8">
        <w:t xml:space="preserve">the </w:t>
      </w:r>
      <w:r w:rsidR="00061858">
        <w:t>existence and nature of defects</w:t>
      </w:r>
      <w:r w:rsidR="00D059C8">
        <w:t xml:space="preserve">, and so on. </w:t>
      </w:r>
      <w:r w:rsidR="00135AA2">
        <w:t>Nonetheless</w:t>
      </w:r>
      <w:r w:rsidR="00D059C8">
        <w:t xml:space="preserve">, even as simulation methods improve to address each of these factors, disparities remain. This leads us to ask: </w:t>
      </w:r>
      <w:r w:rsidR="00D059C8" w:rsidRPr="00590BA2">
        <w:rPr>
          <w:i/>
          <w:iCs/>
        </w:rPr>
        <w:t>What are the intrinsic limits</w:t>
      </w:r>
      <w:r w:rsidR="00FA04AA" w:rsidRPr="00590BA2">
        <w:rPr>
          <w:i/>
          <w:iCs/>
        </w:rPr>
        <w:t xml:space="preserve"> on predictivity for</w:t>
      </w:r>
      <w:r w:rsidR="00D059C8" w:rsidRPr="00590BA2">
        <w:rPr>
          <w:i/>
          <w:iCs/>
        </w:rPr>
        <w:t xml:space="preserve"> microstructural evolution simulations?</w:t>
      </w:r>
    </w:p>
    <w:p w14:paraId="1475B24E" w14:textId="3383BBD5" w:rsidR="00D059C8" w:rsidRDefault="000052E4">
      <w:r>
        <w:t>The atomic mechanism of grain growth involves atoms near a grain boundary switching their grain membership</w:t>
      </w:r>
      <w:r w:rsidR="00061858">
        <w:t>s</w:t>
      </w:r>
      <w:r>
        <w:t xml:space="preserve">. Because this is intrinsically a short-range process, grain growth is expected to depend only on a grain’s local neighborhood. </w:t>
      </w:r>
      <w:r w:rsidR="00061858">
        <w:t>Indeed, g</w:t>
      </w:r>
      <w:r w:rsidR="00335334">
        <w:t>rain growth theories represent that neighborhood via the grain topology (number of neighbors) [</w:t>
      </w:r>
      <w:r w:rsidR="001F3823">
        <w:t>Smith2015, Mullins1956</w:t>
      </w:r>
      <w:r w:rsidR="00335334">
        <w:t>] or geometry (mean width and edge length) [</w:t>
      </w:r>
      <w:r w:rsidR="00590BA2">
        <w:t>Macpherson2007</w:t>
      </w:r>
      <w:r w:rsidR="00335334">
        <w:t>], both of which are local characteristics.</w:t>
      </w:r>
      <w:r w:rsidR="00470876">
        <w:t xml:space="preserve"> As reflected in these theories, atom switching among neighboring grains continuously and </w:t>
      </w:r>
      <w:r w:rsidR="00F862AE">
        <w:t>predictably</w:t>
      </w:r>
      <w:r w:rsidR="00470876">
        <w:t xml:space="preserve"> evolves the neighborhood toward a lower free energy configuration.</w:t>
      </w:r>
    </w:p>
    <w:p w14:paraId="6E8F013A" w14:textId="0FCAB1AA" w:rsidR="00470876" w:rsidRDefault="00470876">
      <w:r>
        <w:t xml:space="preserve">However, a polycrystalline microstructure is a network of connected grains. The outcomes of events that take place within this network can be transmitted over </w:t>
      </w:r>
      <w:r w:rsidR="00CC5A54">
        <w:t>long</w:t>
      </w:r>
      <w:r>
        <w:t xml:space="preserve"> distances and can directly and discontinuously alter a grain’s neighborhood. The classical example is a topological </w:t>
      </w:r>
      <w:r w:rsidR="00E462B5">
        <w:t>transformation</w:t>
      </w:r>
      <w:r>
        <w:t xml:space="preserve">, </w:t>
      </w:r>
      <w:r w:rsidR="00FC71BA">
        <w:t>either</w:t>
      </w:r>
      <w:r>
        <w:t xml:space="preserve"> a grain disappearance or </w:t>
      </w:r>
      <w:r w:rsidR="00FC71BA">
        <w:t xml:space="preserve">a </w:t>
      </w:r>
      <w:r w:rsidR="00E27663">
        <w:t xml:space="preserve">facet appearance or disappearance event [RHINES1974, DEHOFF2020]. </w:t>
      </w:r>
      <w:r w:rsidR="00E462B5">
        <w:t>A topological transformation discontinuously</w:t>
      </w:r>
      <w:r w:rsidR="00CC5A54">
        <w:t xml:space="preserve"> and irreversibly</w:t>
      </w:r>
      <w:r w:rsidR="00E462B5">
        <w:t xml:space="preserve"> changes the topology (number of neighbors) and geometry (edge length) of grains in its immediate area. The resulting </w:t>
      </w:r>
      <w:r w:rsidR="003579DF">
        <w:t>abrupt</w:t>
      </w:r>
      <w:r w:rsidR="00E462B5">
        <w:t xml:space="preserve"> change in a grain’s growth rate can affect all the grains with which it interacts, </w:t>
      </w:r>
      <w:r w:rsidR="003579DF">
        <w:t>and they</w:t>
      </w:r>
      <w:r w:rsidR="00E462B5">
        <w:t xml:space="preserve"> in turn can transmit the change further afield</w:t>
      </w:r>
      <w:r w:rsidR="003579DF">
        <w:t>. The</w:t>
      </w:r>
      <w:r w:rsidR="00E462B5">
        <w:t xml:space="preserve"> effects</w:t>
      </w:r>
      <w:r w:rsidR="003579DF">
        <w:t xml:space="preserve"> can</w:t>
      </w:r>
      <w:r w:rsidR="00E462B5">
        <w:t xml:space="preserve"> ultimately percolat</w:t>
      </w:r>
      <w:r w:rsidR="003579DF">
        <w:t>e</w:t>
      </w:r>
      <w:r w:rsidR="00E462B5">
        <w:t xml:space="preserve"> </w:t>
      </w:r>
      <w:r w:rsidR="003579DF">
        <w:t>to grains many neighbor shells removed from the original transformation</w:t>
      </w:r>
      <w:r w:rsidR="00E462B5">
        <w:t xml:space="preserve">. </w:t>
      </w:r>
    </w:p>
    <w:p w14:paraId="4F07B1AA" w14:textId="144542CB" w:rsidR="003579DF" w:rsidRDefault="00F862AE">
      <w:r>
        <w:t xml:space="preserve">Furthermore, topological transformations have a stochastic nature that contributes intrinsic uncertainty to microstructural evolution processes. The </w:t>
      </w:r>
      <w:r w:rsidR="00997D86">
        <w:t xml:space="preserve">implications of </w:t>
      </w:r>
      <w:r>
        <w:t xml:space="preserve">this uncertainty </w:t>
      </w:r>
      <w:r w:rsidR="00997D86">
        <w:t xml:space="preserve">on the overall grain growth process </w:t>
      </w:r>
      <w:r>
        <w:t xml:space="preserve">is not immediately clear. However, </w:t>
      </w:r>
      <w:r w:rsidR="00997D86">
        <w:t>computational</w:t>
      </w:r>
      <w:r>
        <w:t xml:space="preserve"> simulations suggest that it may be substantial. For example, </w:t>
      </w:r>
      <w:r w:rsidR="00CC5A54">
        <w:t>in</w:t>
      </w:r>
      <w:r>
        <w:t xml:space="preserve"> kinetic Monte Carlo</w:t>
      </w:r>
      <w:r w:rsidR="00CA39E5">
        <w:t xml:space="preserve"> grain growth</w:t>
      </w:r>
      <w:r>
        <w:t xml:space="preserve"> simulations </w:t>
      </w:r>
      <w:r w:rsidR="00CA39E5">
        <w:t>starting from</w:t>
      </w:r>
      <w:r>
        <w:t xml:space="preserve"> identical initial conditions, Cohn </w:t>
      </w:r>
      <w:r>
        <w:lastRenderedPageBreak/>
        <w:t xml:space="preserve">showed that a given grain my grow </w:t>
      </w:r>
      <w:r w:rsidR="00997D86">
        <w:t xml:space="preserve">continuously or shrink and disappear entirely due to </w:t>
      </w:r>
      <w:r w:rsidR="00CA39E5">
        <w:t>slight differences in</w:t>
      </w:r>
      <w:r w:rsidR="0082112A">
        <w:t xml:space="preserve"> the</w:t>
      </w:r>
      <w:r w:rsidR="00CA39E5">
        <w:t xml:space="preserve"> timing of remote </w:t>
      </w:r>
      <w:r w:rsidR="00997D86">
        <w:t>topological events</w:t>
      </w:r>
      <w:r w:rsidR="00CA39E5">
        <w:t xml:space="preserve"> [Cohn2024].</w:t>
      </w:r>
      <w:r w:rsidR="0082112A">
        <w:t xml:space="preserve"> That is, small local changes may cause large and persistent global changes</w:t>
      </w:r>
      <w:r w:rsidR="0041396B">
        <w:t>,</w:t>
      </w:r>
      <w:r w:rsidR="0082112A">
        <w:t xml:space="preserve"> </w:t>
      </w:r>
      <w:r w:rsidR="009B2187">
        <w:t>e.g. a</w:t>
      </w:r>
      <w:r w:rsidR="0082112A">
        <w:t xml:space="preserve"> nonlinear</w:t>
      </w:r>
      <w:r w:rsidR="009B2187">
        <w:t xml:space="preserve"> response</w:t>
      </w:r>
      <w:r w:rsidR="0082112A">
        <w:t>.</w:t>
      </w:r>
      <w:r w:rsidR="009B2187">
        <w:t xml:space="preserve"> </w:t>
      </w:r>
      <w:r w:rsidR="009D102D">
        <w:t>It is well-know</w:t>
      </w:r>
      <w:r w:rsidR="00CC5A54">
        <w:t>n</w:t>
      </w:r>
      <w:r w:rsidR="009D102D">
        <w:t xml:space="preserve"> that in nonlinear systems uncertainty increases with time, and long-term predictivity is difficult or impossible</w:t>
      </w:r>
      <w:r w:rsidR="000126AD">
        <w:t xml:space="preserve"> [ref]</w:t>
      </w:r>
      <w:r w:rsidR="009D102D">
        <w:t>.</w:t>
      </w:r>
    </w:p>
    <w:p w14:paraId="60A9C965" w14:textId="45CB216B" w:rsidR="00E27663" w:rsidRDefault="009D102D">
      <w:r>
        <w:t>Of course, kinetic Monte Carlo simulation includes</w:t>
      </w:r>
      <w:r w:rsidR="0041396B">
        <w:t xml:space="preserve"> stochastic </w:t>
      </w:r>
      <w:r>
        <w:t>events (spin flips)</w:t>
      </w:r>
      <w:r w:rsidR="0041396B">
        <w:t xml:space="preserve"> at a </w:t>
      </w:r>
      <w:r>
        <w:t>length scale comparable to microstructural features, so results may not be representative of physical systems</w:t>
      </w:r>
      <w:r w:rsidR="0041396B">
        <w:t xml:space="preserve">. </w:t>
      </w:r>
      <w:r>
        <w:t xml:space="preserve">Ideally, we would probe initial-condition dependence by comparing identical experimental </w:t>
      </w:r>
      <w:r w:rsidR="00CC5A54">
        <w:t>samples</w:t>
      </w:r>
      <w:r>
        <w:t xml:space="preserve">, but it is impossible to create </w:t>
      </w:r>
      <w:r w:rsidR="000126AD">
        <w:t xml:space="preserve">systems that are </w:t>
      </w:r>
      <w:r>
        <w:t xml:space="preserve">identical at the atomic scale. </w:t>
      </w:r>
      <w:r w:rsidR="0041396B">
        <w:t>So</w:t>
      </w:r>
      <w:r>
        <w:t xml:space="preserve"> instead</w:t>
      </w:r>
      <w:r w:rsidR="0041396B">
        <w:t xml:space="preserve"> we turn to </w:t>
      </w:r>
      <w:r>
        <w:t>atomistic simulations using the classical molecular dynamics (MD) method</w:t>
      </w:r>
      <w:r w:rsidR="0041396B">
        <w:t>.</w:t>
      </w:r>
      <w:r w:rsidR="00F80A5A">
        <w:t xml:space="preserve"> </w:t>
      </w:r>
      <w:r w:rsidR="000126AD">
        <w:t xml:space="preserve">Here we can build </w:t>
      </w:r>
      <w:r w:rsidR="00DD74DF">
        <w:t xml:space="preserve">polycrystalline systems that are guaranteed to be identical at the scale of atomic positions, and we can evolve them to observe how </w:t>
      </w:r>
      <w:r w:rsidR="00F519E8">
        <w:t xml:space="preserve">uncertainty at the atomic scale propagates to affect the microstructure as a whole. We find that </w:t>
      </w:r>
      <w:r w:rsidR="00360B43" w:rsidRPr="00360B43">
        <w:t>the effects of small-scale differences amplify over time, so that nanoscale events</w:t>
      </w:r>
      <w:r w:rsidR="00360B43">
        <w:t xml:space="preserve"> ultimately</w:t>
      </w:r>
      <w:r w:rsidR="00360B43" w:rsidRPr="00360B43">
        <w:t xml:space="preserve"> result in micron-scale differences in grain structure</w:t>
      </w:r>
      <w:r w:rsidR="00F519E8">
        <w:t xml:space="preserve">. </w:t>
      </w:r>
      <w:r w:rsidR="00CC5A54">
        <w:t>Our conclusion is</w:t>
      </w:r>
      <w:r w:rsidR="00360B43">
        <w:t xml:space="preserve"> that while the statistical characteristics of a grain ensemble are predictable, individual grain growth trajectories are not. </w:t>
      </w:r>
      <w:r w:rsidR="008B2A6E">
        <w:t>Instead, the intrinsic uncertainty increases with time throughout the evolution process.</w:t>
      </w:r>
    </w:p>
    <w:p w14:paraId="53F132D9" w14:textId="77777777" w:rsidR="00E27663" w:rsidRDefault="00E27663"/>
    <w:p w14:paraId="02F65116" w14:textId="03D1519A" w:rsidR="00E27663" w:rsidRPr="0041396B" w:rsidRDefault="001F3823">
      <w:pPr>
        <w:rPr>
          <w:color w:val="222222"/>
          <w:shd w:val="clear" w:color="auto" w:fill="FFFFFF"/>
        </w:rPr>
      </w:pPr>
      <w:r w:rsidRPr="0041396B">
        <w:t xml:space="preserve">Smith2015. </w:t>
      </w:r>
      <w:r w:rsidRPr="0041396B">
        <w:rPr>
          <w:color w:val="222222"/>
          <w:shd w:val="clear" w:color="auto" w:fill="FFFFFF"/>
        </w:rPr>
        <w:t>Smith, C.S. Grain Shapes and Other Metallurgical Applications of Topology.</w:t>
      </w:r>
      <w:r w:rsidRPr="0041396B">
        <w:rPr>
          <w:rStyle w:val="apple-converted-space"/>
          <w:color w:val="222222"/>
          <w:shd w:val="clear" w:color="auto" w:fill="FFFFFF"/>
        </w:rPr>
        <w:t> </w:t>
      </w:r>
      <w:proofErr w:type="spellStart"/>
      <w:r w:rsidRPr="0041396B">
        <w:rPr>
          <w:i/>
          <w:iCs/>
          <w:color w:val="222222"/>
        </w:rPr>
        <w:t>Metallogr</w:t>
      </w:r>
      <w:proofErr w:type="spellEnd"/>
      <w:r w:rsidRPr="0041396B">
        <w:rPr>
          <w:i/>
          <w:iCs/>
          <w:color w:val="222222"/>
        </w:rPr>
        <w:t xml:space="preserve">. </w:t>
      </w:r>
      <w:proofErr w:type="spellStart"/>
      <w:r w:rsidRPr="0041396B">
        <w:rPr>
          <w:i/>
          <w:iCs/>
          <w:color w:val="222222"/>
        </w:rPr>
        <w:t>Microstruct</w:t>
      </w:r>
      <w:proofErr w:type="spellEnd"/>
      <w:r w:rsidRPr="0041396B">
        <w:rPr>
          <w:i/>
          <w:iCs/>
          <w:color w:val="222222"/>
        </w:rPr>
        <w:t>. Anal.</w:t>
      </w:r>
      <w:r w:rsidRPr="0041396B">
        <w:rPr>
          <w:rStyle w:val="apple-converted-space"/>
          <w:color w:val="222222"/>
          <w:shd w:val="clear" w:color="auto" w:fill="FFFFFF"/>
        </w:rPr>
        <w:t> </w:t>
      </w:r>
      <w:r w:rsidRPr="0041396B">
        <w:rPr>
          <w:b/>
          <w:bCs/>
          <w:color w:val="222222"/>
        </w:rPr>
        <w:t>4</w:t>
      </w:r>
      <w:r w:rsidRPr="0041396B">
        <w:rPr>
          <w:color w:val="222222"/>
          <w:shd w:val="clear" w:color="auto" w:fill="FFFFFF"/>
        </w:rPr>
        <w:t xml:space="preserve">, 543–567 (2015). </w:t>
      </w:r>
      <w:hyperlink r:id="rId4" w:history="1">
        <w:r w:rsidRPr="0041396B">
          <w:rPr>
            <w:rStyle w:val="Hyperlink"/>
            <w:shd w:val="clear" w:color="auto" w:fill="FFFFFF"/>
          </w:rPr>
          <w:t>https://doi.org/10.1007/s13632-015-0241-1</w:t>
        </w:r>
      </w:hyperlink>
    </w:p>
    <w:p w14:paraId="548CB7E4" w14:textId="310ADBE7" w:rsidR="001F3823" w:rsidRPr="0041396B" w:rsidRDefault="001F3823">
      <w:r w:rsidRPr="0041396B">
        <w:rPr>
          <w:color w:val="222222"/>
          <w:shd w:val="clear" w:color="auto" w:fill="FFFFFF"/>
        </w:rPr>
        <w:t xml:space="preserve">Mullins1956. </w:t>
      </w:r>
      <w:r w:rsidRPr="0041396B">
        <w:rPr>
          <w:color w:val="1A1A1A"/>
          <w:shd w:val="clear" w:color="auto" w:fill="FFFFFF"/>
        </w:rPr>
        <w:t>W. W. Mullins; Two</w:t>
      </w:r>
      <w:r w:rsidRPr="0041396B">
        <w:rPr>
          <w:rFonts w:ascii="Cambria Math" w:hAnsi="Cambria Math" w:cs="Cambria Math"/>
          <w:color w:val="1A1A1A"/>
          <w:shd w:val="clear" w:color="auto" w:fill="FFFFFF"/>
        </w:rPr>
        <w:t>‐</w:t>
      </w:r>
      <w:r w:rsidRPr="0041396B">
        <w:rPr>
          <w:color w:val="1A1A1A"/>
          <w:shd w:val="clear" w:color="auto" w:fill="FFFFFF"/>
        </w:rPr>
        <w:t>Dimensional Motion of Idealized Grain Boundaries.</w:t>
      </w:r>
      <w:r w:rsidRPr="0041396B">
        <w:rPr>
          <w:rStyle w:val="apple-converted-space"/>
          <w:color w:val="1A1A1A"/>
          <w:shd w:val="clear" w:color="auto" w:fill="FFFFFF"/>
        </w:rPr>
        <w:t> </w:t>
      </w:r>
      <w:r w:rsidRPr="0041396B">
        <w:rPr>
          <w:rStyle w:val="Emphasis"/>
          <w:color w:val="1A1A1A"/>
          <w:bdr w:val="none" w:sz="0" w:space="0" w:color="auto" w:frame="1"/>
        </w:rPr>
        <w:t>J. Appl. Phys.</w:t>
      </w:r>
      <w:r w:rsidRPr="0041396B">
        <w:rPr>
          <w:rStyle w:val="apple-converted-space"/>
          <w:color w:val="1A1A1A"/>
          <w:shd w:val="clear" w:color="auto" w:fill="FFFFFF"/>
        </w:rPr>
        <w:t> </w:t>
      </w:r>
      <w:r w:rsidRPr="0041396B">
        <w:rPr>
          <w:color w:val="1A1A1A"/>
          <w:shd w:val="clear" w:color="auto" w:fill="FFFFFF"/>
        </w:rPr>
        <w:t>1 August 1956; 27 (8): 900–904.</w:t>
      </w:r>
      <w:r w:rsidRPr="0041396B">
        <w:rPr>
          <w:rStyle w:val="apple-converted-space"/>
          <w:color w:val="1A1A1A"/>
          <w:shd w:val="clear" w:color="auto" w:fill="FFFFFF"/>
        </w:rPr>
        <w:t> </w:t>
      </w:r>
      <w:hyperlink r:id="rId5" w:tgtFrame="_blank" w:history="1">
        <w:r w:rsidRPr="0041396B">
          <w:rPr>
            <w:rStyle w:val="Hyperlink"/>
            <w:color w:val="0066CC"/>
            <w:bdr w:val="none" w:sz="0" w:space="0" w:color="auto" w:frame="1"/>
          </w:rPr>
          <w:t>https://doi.org/10.1063/1.1722511</w:t>
        </w:r>
      </w:hyperlink>
    </w:p>
    <w:p w14:paraId="5195085B" w14:textId="70098CC6" w:rsidR="007F7AEB" w:rsidRPr="0041396B" w:rsidRDefault="00590BA2">
      <w:pPr>
        <w:rPr>
          <w:color w:val="222222"/>
          <w:shd w:val="clear" w:color="auto" w:fill="FFFFFF"/>
        </w:rPr>
      </w:pPr>
      <w:r w:rsidRPr="0041396B">
        <w:rPr>
          <w:color w:val="222222"/>
          <w:shd w:val="clear" w:color="auto" w:fill="FFFFFF"/>
        </w:rPr>
        <w:t xml:space="preserve">MacPherson2007: MacPherson, R., </w:t>
      </w:r>
      <w:proofErr w:type="spellStart"/>
      <w:r w:rsidRPr="0041396B">
        <w:rPr>
          <w:color w:val="222222"/>
          <w:shd w:val="clear" w:color="auto" w:fill="FFFFFF"/>
        </w:rPr>
        <w:t>Srolovitz</w:t>
      </w:r>
      <w:proofErr w:type="spellEnd"/>
      <w:r w:rsidRPr="0041396B">
        <w:rPr>
          <w:color w:val="222222"/>
          <w:shd w:val="clear" w:color="auto" w:fill="FFFFFF"/>
        </w:rPr>
        <w:t>, D. The von Neumann relation generalized to coarsening of three-dimensional microstructures. </w:t>
      </w:r>
      <w:r w:rsidRPr="0041396B">
        <w:rPr>
          <w:i/>
          <w:iCs/>
          <w:color w:val="222222"/>
          <w:shd w:val="clear" w:color="auto" w:fill="FFFFFF"/>
        </w:rPr>
        <w:t>Nature</w:t>
      </w:r>
      <w:r w:rsidRPr="0041396B">
        <w:rPr>
          <w:color w:val="222222"/>
          <w:shd w:val="clear" w:color="auto" w:fill="FFFFFF"/>
        </w:rPr>
        <w:t> </w:t>
      </w:r>
      <w:r w:rsidRPr="0041396B">
        <w:rPr>
          <w:b/>
          <w:bCs/>
          <w:color w:val="222222"/>
          <w:shd w:val="clear" w:color="auto" w:fill="FFFFFF"/>
        </w:rPr>
        <w:t>446</w:t>
      </w:r>
      <w:r w:rsidRPr="0041396B">
        <w:rPr>
          <w:color w:val="222222"/>
          <w:shd w:val="clear" w:color="auto" w:fill="FFFFFF"/>
        </w:rPr>
        <w:t>, 1053–1055 (2007). https://doi.org/10.1038/nature05745</w:t>
      </w:r>
    </w:p>
    <w:p w14:paraId="42F1BCE4" w14:textId="72692B5A" w:rsidR="007F7AEB" w:rsidRPr="0041396B" w:rsidRDefault="007F7AEB" w:rsidP="007F7AEB">
      <w:pPr>
        <w:rPr>
          <w:color w:val="222222"/>
          <w:shd w:val="clear" w:color="auto" w:fill="FFFFFF"/>
        </w:rPr>
      </w:pPr>
      <w:r w:rsidRPr="0041396B">
        <w:rPr>
          <w:color w:val="222222"/>
          <w:shd w:val="clear" w:color="auto" w:fill="FFFFFF"/>
        </w:rPr>
        <w:t xml:space="preserve">McKenna2014. I. M. McKenna et al. </w:t>
      </w:r>
      <w:r w:rsidRPr="0041396B">
        <w:rPr>
          <w:i/>
          <w:iCs/>
          <w:color w:val="222222"/>
          <w:shd w:val="clear" w:color="auto" w:fill="FFFFFF"/>
        </w:rPr>
        <w:t xml:space="preserve">Acta Mater </w:t>
      </w:r>
      <w:r w:rsidRPr="0041396B">
        <w:rPr>
          <w:b/>
          <w:bCs/>
          <w:color w:val="222222"/>
          <w:shd w:val="clear" w:color="auto" w:fill="FFFFFF"/>
        </w:rPr>
        <w:t>78</w:t>
      </w:r>
      <w:r w:rsidRPr="0041396B">
        <w:rPr>
          <w:color w:val="222222"/>
          <w:shd w:val="clear" w:color="auto" w:fill="FFFFFF"/>
        </w:rPr>
        <w:t xml:space="preserve"> (2014) 125</w:t>
      </w:r>
    </w:p>
    <w:p w14:paraId="6E2A6859" w14:textId="36696911" w:rsidR="007F7AEB" w:rsidRPr="0041396B" w:rsidRDefault="007F7AEB">
      <w:pPr>
        <w:rPr>
          <w:color w:val="222222"/>
          <w:shd w:val="clear" w:color="auto" w:fill="FFFFFF"/>
        </w:rPr>
      </w:pPr>
      <w:r w:rsidRPr="0041396B">
        <w:rPr>
          <w:color w:val="222222"/>
          <w:shd w:val="clear" w:color="auto" w:fill="FFFFFF"/>
        </w:rPr>
        <w:t>Peng2022. X. Peng et al, Phys Rev Mater 6 (2022) 033402.</w:t>
      </w:r>
    </w:p>
    <w:p w14:paraId="4EAFD97B" w14:textId="69DE2673" w:rsidR="00E27663" w:rsidRPr="0041396B" w:rsidRDefault="00E27663">
      <w:pPr>
        <w:rPr>
          <w:color w:val="222222"/>
          <w:shd w:val="clear" w:color="auto" w:fill="FFFFFF"/>
        </w:rPr>
      </w:pPr>
      <w:r w:rsidRPr="0041396B">
        <w:rPr>
          <w:color w:val="222222"/>
          <w:shd w:val="clear" w:color="auto" w:fill="FFFFFF"/>
        </w:rPr>
        <w:t>RHINES1974. Rhines, F.N., Craig, K.R. &amp; DeHoff, R.T. Mechanism of steady-state grain growth in aluminum.</w:t>
      </w:r>
      <w:r w:rsidRPr="0041396B">
        <w:rPr>
          <w:rStyle w:val="apple-converted-space"/>
          <w:color w:val="222222"/>
          <w:shd w:val="clear" w:color="auto" w:fill="FFFFFF"/>
        </w:rPr>
        <w:t> </w:t>
      </w:r>
      <w:r w:rsidRPr="0041396B">
        <w:rPr>
          <w:i/>
          <w:iCs/>
          <w:color w:val="222222"/>
        </w:rPr>
        <w:t>Metall Trans</w:t>
      </w:r>
      <w:r w:rsidRPr="0041396B">
        <w:rPr>
          <w:rStyle w:val="apple-converted-space"/>
          <w:color w:val="222222"/>
          <w:shd w:val="clear" w:color="auto" w:fill="FFFFFF"/>
        </w:rPr>
        <w:t> </w:t>
      </w:r>
      <w:r w:rsidRPr="0041396B">
        <w:rPr>
          <w:b/>
          <w:bCs/>
          <w:color w:val="222222"/>
        </w:rPr>
        <w:t>5</w:t>
      </w:r>
      <w:r w:rsidRPr="0041396B">
        <w:rPr>
          <w:color w:val="222222"/>
          <w:shd w:val="clear" w:color="auto" w:fill="FFFFFF"/>
        </w:rPr>
        <w:t xml:space="preserve">, 413–425 (1974). </w:t>
      </w:r>
      <w:hyperlink r:id="rId6" w:history="1">
        <w:r w:rsidRPr="0041396B">
          <w:rPr>
            <w:rStyle w:val="Hyperlink"/>
            <w:shd w:val="clear" w:color="auto" w:fill="FFFFFF"/>
          </w:rPr>
          <w:t>https://doi.org/10.1007/BF02644109</w:t>
        </w:r>
      </w:hyperlink>
    </w:p>
    <w:p w14:paraId="485D5EAE" w14:textId="69F6E35B" w:rsidR="00E27663" w:rsidRPr="0041396B" w:rsidRDefault="00E27663" w:rsidP="00E27663">
      <w:pPr>
        <w:rPr>
          <w:color w:val="222222"/>
          <w:shd w:val="clear" w:color="auto" w:fill="FFFFFF"/>
        </w:rPr>
      </w:pPr>
      <w:r w:rsidRPr="0041396B">
        <w:rPr>
          <w:color w:val="222222"/>
          <w:shd w:val="clear" w:color="auto" w:fill="FFFFFF"/>
        </w:rPr>
        <w:t xml:space="preserve">DEHOFF2020. Robert T. DeHoff, Burton R Patterson, Topological event rates and the evolution of the grain face distribution in grain growth, Acta </w:t>
      </w:r>
      <w:proofErr w:type="spellStart"/>
      <w:r w:rsidRPr="0041396B">
        <w:rPr>
          <w:color w:val="222222"/>
          <w:shd w:val="clear" w:color="auto" w:fill="FFFFFF"/>
        </w:rPr>
        <w:t>Materialia</w:t>
      </w:r>
      <w:proofErr w:type="spellEnd"/>
      <w:r w:rsidRPr="0041396B">
        <w:rPr>
          <w:color w:val="222222"/>
          <w:shd w:val="clear" w:color="auto" w:fill="FFFFFF"/>
        </w:rPr>
        <w:t xml:space="preserve">, Volume 201, 2020, Pages 403-411, ISSN 1359-6454, </w:t>
      </w:r>
      <w:hyperlink r:id="rId7" w:history="1">
        <w:r w:rsidR="00CA39E5" w:rsidRPr="0041396B">
          <w:rPr>
            <w:rStyle w:val="Hyperlink"/>
            <w:shd w:val="clear" w:color="auto" w:fill="FFFFFF"/>
          </w:rPr>
          <w:t>https://doi.org/10.1016/j.actamat.2020.09.086</w:t>
        </w:r>
      </w:hyperlink>
      <w:r w:rsidRPr="0041396B">
        <w:rPr>
          <w:color w:val="222222"/>
          <w:shd w:val="clear" w:color="auto" w:fill="FFFFFF"/>
        </w:rPr>
        <w:t>.</w:t>
      </w:r>
    </w:p>
    <w:p w14:paraId="68CF3FE1" w14:textId="056A00AF" w:rsidR="00CA39E5" w:rsidRPr="0041396B" w:rsidRDefault="00CA39E5" w:rsidP="00E27663">
      <w:pPr>
        <w:rPr>
          <w:color w:val="222222"/>
          <w:shd w:val="clear" w:color="auto" w:fill="FFFFFF"/>
        </w:rPr>
      </w:pPr>
      <w:r w:rsidRPr="0041396B">
        <w:rPr>
          <w:color w:val="222222"/>
          <w:shd w:val="clear" w:color="auto" w:fill="FFFFFF"/>
        </w:rPr>
        <w:lastRenderedPageBreak/>
        <w:t>Cohn2024. Cohn, R., Holm, E.A. Graph convolutional network for predicting abnormal grain growth in Monte Carlo simulations of microstructural evolution. </w:t>
      </w:r>
      <w:r w:rsidRPr="0041396B">
        <w:rPr>
          <w:i/>
          <w:iCs/>
          <w:color w:val="222222"/>
          <w:shd w:val="clear" w:color="auto" w:fill="FFFFFF"/>
        </w:rPr>
        <w:t>Sci Rep</w:t>
      </w:r>
      <w:r w:rsidRPr="0041396B">
        <w:rPr>
          <w:color w:val="222222"/>
          <w:shd w:val="clear" w:color="auto" w:fill="FFFFFF"/>
        </w:rPr>
        <w:t> </w:t>
      </w:r>
      <w:r w:rsidRPr="0041396B">
        <w:rPr>
          <w:b/>
          <w:bCs/>
          <w:color w:val="222222"/>
          <w:shd w:val="clear" w:color="auto" w:fill="FFFFFF"/>
        </w:rPr>
        <w:t>14</w:t>
      </w:r>
      <w:r w:rsidRPr="0041396B">
        <w:rPr>
          <w:color w:val="222222"/>
          <w:shd w:val="clear" w:color="auto" w:fill="FFFFFF"/>
        </w:rPr>
        <w:t xml:space="preserve">, 30259 (2024). </w:t>
      </w:r>
      <w:hyperlink r:id="rId8" w:history="1">
        <w:r w:rsidRPr="0041396B">
          <w:rPr>
            <w:rStyle w:val="Hyperlink"/>
            <w:shd w:val="clear" w:color="auto" w:fill="FFFFFF"/>
          </w:rPr>
          <w:t>https://doi.org/10.1038/s41598-024-81349-3</w:t>
        </w:r>
      </w:hyperlink>
    </w:p>
    <w:p w14:paraId="0AA27095" w14:textId="77777777" w:rsidR="00CA39E5" w:rsidRPr="0041396B" w:rsidRDefault="00CA39E5" w:rsidP="00E27663"/>
    <w:sectPr w:rsidR="00CA39E5" w:rsidRPr="0041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56"/>
    <w:rsid w:val="000052E4"/>
    <w:rsid w:val="000126AD"/>
    <w:rsid w:val="00014127"/>
    <w:rsid w:val="00016B50"/>
    <w:rsid w:val="00024F24"/>
    <w:rsid w:val="000347DD"/>
    <w:rsid w:val="00035E51"/>
    <w:rsid w:val="00044342"/>
    <w:rsid w:val="0004578A"/>
    <w:rsid w:val="00061858"/>
    <w:rsid w:val="000928CF"/>
    <w:rsid w:val="000A1C89"/>
    <w:rsid w:val="000D3DAB"/>
    <w:rsid w:val="000D3E8F"/>
    <w:rsid w:val="00135AA2"/>
    <w:rsid w:val="00154AED"/>
    <w:rsid w:val="001939F2"/>
    <w:rsid w:val="001C64F1"/>
    <w:rsid w:val="001D4053"/>
    <w:rsid w:val="001F3823"/>
    <w:rsid w:val="001F3E09"/>
    <w:rsid w:val="001F77BD"/>
    <w:rsid w:val="00240EB7"/>
    <w:rsid w:val="002513AE"/>
    <w:rsid w:val="0026432B"/>
    <w:rsid w:val="00271649"/>
    <w:rsid w:val="002823EA"/>
    <w:rsid w:val="00283BE6"/>
    <w:rsid w:val="002904E0"/>
    <w:rsid w:val="002A7035"/>
    <w:rsid w:val="002C392D"/>
    <w:rsid w:val="002D4C47"/>
    <w:rsid w:val="002F7B06"/>
    <w:rsid w:val="003342F9"/>
    <w:rsid w:val="0033462C"/>
    <w:rsid w:val="00335334"/>
    <w:rsid w:val="003422E4"/>
    <w:rsid w:val="003579DF"/>
    <w:rsid w:val="00357E31"/>
    <w:rsid w:val="00360B43"/>
    <w:rsid w:val="00393DC7"/>
    <w:rsid w:val="003A40E0"/>
    <w:rsid w:val="003A5E16"/>
    <w:rsid w:val="003B3B85"/>
    <w:rsid w:val="003C2400"/>
    <w:rsid w:val="003C578C"/>
    <w:rsid w:val="003F0B6A"/>
    <w:rsid w:val="0041396B"/>
    <w:rsid w:val="004141BD"/>
    <w:rsid w:val="004473A5"/>
    <w:rsid w:val="004634C5"/>
    <w:rsid w:val="00466761"/>
    <w:rsid w:val="004671AA"/>
    <w:rsid w:val="00470876"/>
    <w:rsid w:val="0047226A"/>
    <w:rsid w:val="004758C0"/>
    <w:rsid w:val="00492C21"/>
    <w:rsid w:val="004B389E"/>
    <w:rsid w:val="004E623E"/>
    <w:rsid w:val="005176F8"/>
    <w:rsid w:val="00550141"/>
    <w:rsid w:val="00590BA2"/>
    <w:rsid w:val="005A6B83"/>
    <w:rsid w:val="005E19F4"/>
    <w:rsid w:val="005E2366"/>
    <w:rsid w:val="00652543"/>
    <w:rsid w:val="00677D3A"/>
    <w:rsid w:val="00690812"/>
    <w:rsid w:val="006B2FB8"/>
    <w:rsid w:val="006F61A6"/>
    <w:rsid w:val="006F62D3"/>
    <w:rsid w:val="006F72CB"/>
    <w:rsid w:val="00704F08"/>
    <w:rsid w:val="00714278"/>
    <w:rsid w:val="00715E66"/>
    <w:rsid w:val="00720A9C"/>
    <w:rsid w:val="00721AD8"/>
    <w:rsid w:val="007331EA"/>
    <w:rsid w:val="007670C0"/>
    <w:rsid w:val="007A0F54"/>
    <w:rsid w:val="007A126B"/>
    <w:rsid w:val="007F7AEB"/>
    <w:rsid w:val="0082112A"/>
    <w:rsid w:val="00874034"/>
    <w:rsid w:val="008A3DF6"/>
    <w:rsid w:val="008A542D"/>
    <w:rsid w:val="008B2A6E"/>
    <w:rsid w:val="008C6C93"/>
    <w:rsid w:val="008C7DCB"/>
    <w:rsid w:val="00910577"/>
    <w:rsid w:val="0093269D"/>
    <w:rsid w:val="00940865"/>
    <w:rsid w:val="00997D86"/>
    <w:rsid w:val="009A414E"/>
    <w:rsid w:val="009B13E7"/>
    <w:rsid w:val="009B2187"/>
    <w:rsid w:val="009D102D"/>
    <w:rsid w:val="00A01A5B"/>
    <w:rsid w:val="00A047AB"/>
    <w:rsid w:val="00A858CB"/>
    <w:rsid w:val="00A87996"/>
    <w:rsid w:val="00A978A6"/>
    <w:rsid w:val="00AD4C58"/>
    <w:rsid w:val="00AD4FE4"/>
    <w:rsid w:val="00AD6F02"/>
    <w:rsid w:val="00AE384C"/>
    <w:rsid w:val="00AF789E"/>
    <w:rsid w:val="00B12E12"/>
    <w:rsid w:val="00B31605"/>
    <w:rsid w:val="00B406E4"/>
    <w:rsid w:val="00B83610"/>
    <w:rsid w:val="00BC1E12"/>
    <w:rsid w:val="00BE1233"/>
    <w:rsid w:val="00BE5892"/>
    <w:rsid w:val="00C20B84"/>
    <w:rsid w:val="00C558E0"/>
    <w:rsid w:val="00C9303F"/>
    <w:rsid w:val="00CA39E5"/>
    <w:rsid w:val="00CA3CF9"/>
    <w:rsid w:val="00CB1E1B"/>
    <w:rsid w:val="00CC5212"/>
    <w:rsid w:val="00CC5A54"/>
    <w:rsid w:val="00CE3CF3"/>
    <w:rsid w:val="00CE7347"/>
    <w:rsid w:val="00D05269"/>
    <w:rsid w:val="00D059C8"/>
    <w:rsid w:val="00D317E9"/>
    <w:rsid w:val="00D46E0C"/>
    <w:rsid w:val="00D555AA"/>
    <w:rsid w:val="00D61BF8"/>
    <w:rsid w:val="00D94737"/>
    <w:rsid w:val="00DB743E"/>
    <w:rsid w:val="00DC5821"/>
    <w:rsid w:val="00DC7464"/>
    <w:rsid w:val="00DD74DF"/>
    <w:rsid w:val="00DF7CD4"/>
    <w:rsid w:val="00E14D56"/>
    <w:rsid w:val="00E26309"/>
    <w:rsid w:val="00E27663"/>
    <w:rsid w:val="00E462B5"/>
    <w:rsid w:val="00E77947"/>
    <w:rsid w:val="00EB0FBF"/>
    <w:rsid w:val="00EF0ADE"/>
    <w:rsid w:val="00EF2042"/>
    <w:rsid w:val="00EF6037"/>
    <w:rsid w:val="00F2513A"/>
    <w:rsid w:val="00F2558A"/>
    <w:rsid w:val="00F41F27"/>
    <w:rsid w:val="00F519E8"/>
    <w:rsid w:val="00F77517"/>
    <w:rsid w:val="00F80A5A"/>
    <w:rsid w:val="00F82795"/>
    <w:rsid w:val="00F862AE"/>
    <w:rsid w:val="00FA04AA"/>
    <w:rsid w:val="00FC71BA"/>
    <w:rsid w:val="00FE4FE8"/>
    <w:rsid w:val="00FF6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7FBCA5"/>
  <w15:chartTrackingRefBased/>
  <w15:docId w15:val="{6492F360-2CD9-3946-A898-47FD944F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56"/>
    <w:rPr>
      <w:rFonts w:eastAsiaTheme="majorEastAsia" w:cstheme="majorBidi"/>
      <w:color w:val="272727" w:themeColor="text1" w:themeTint="D8"/>
    </w:rPr>
  </w:style>
  <w:style w:type="paragraph" w:styleId="Title">
    <w:name w:val="Title"/>
    <w:basedOn w:val="Normal"/>
    <w:next w:val="Normal"/>
    <w:link w:val="TitleChar"/>
    <w:uiPriority w:val="10"/>
    <w:qFormat/>
    <w:rsid w:val="00E1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56"/>
    <w:pPr>
      <w:spacing w:before="160"/>
      <w:jc w:val="center"/>
    </w:pPr>
    <w:rPr>
      <w:i/>
      <w:iCs/>
      <w:color w:val="404040" w:themeColor="text1" w:themeTint="BF"/>
    </w:rPr>
  </w:style>
  <w:style w:type="character" w:customStyle="1" w:styleId="QuoteChar">
    <w:name w:val="Quote Char"/>
    <w:basedOn w:val="DefaultParagraphFont"/>
    <w:link w:val="Quote"/>
    <w:uiPriority w:val="29"/>
    <w:rsid w:val="00E14D56"/>
    <w:rPr>
      <w:i/>
      <w:iCs/>
      <w:color w:val="404040" w:themeColor="text1" w:themeTint="BF"/>
    </w:rPr>
  </w:style>
  <w:style w:type="paragraph" w:styleId="ListParagraph">
    <w:name w:val="List Paragraph"/>
    <w:basedOn w:val="Normal"/>
    <w:uiPriority w:val="34"/>
    <w:qFormat/>
    <w:rsid w:val="00E14D56"/>
    <w:pPr>
      <w:ind w:left="720"/>
      <w:contextualSpacing/>
    </w:pPr>
  </w:style>
  <w:style w:type="character" w:styleId="IntenseEmphasis">
    <w:name w:val="Intense Emphasis"/>
    <w:basedOn w:val="DefaultParagraphFont"/>
    <w:uiPriority w:val="21"/>
    <w:qFormat/>
    <w:rsid w:val="00E14D56"/>
    <w:rPr>
      <w:i/>
      <w:iCs/>
      <w:color w:val="0F4761" w:themeColor="accent1" w:themeShade="BF"/>
    </w:rPr>
  </w:style>
  <w:style w:type="paragraph" w:styleId="IntenseQuote">
    <w:name w:val="Intense Quote"/>
    <w:basedOn w:val="Normal"/>
    <w:next w:val="Normal"/>
    <w:link w:val="IntenseQuoteChar"/>
    <w:uiPriority w:val="30"/>
    <w:qFormat/>
    <w:rsid w:val="00E1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56"/>
    <w:rPr>
      <w:i/>
      <w:iCs/>
      <w:color w:val="0F4761" w:themeColor="accent1" w:themeShade="BF"/>
    </w:rPr>
  </w:style>
  <w:style w:type="character" w:styleId="IntenseReference">
    <w:name w:val="Intense Reference"/>
    <w:basedOn w:val="DefaultParagraphFont"/>
    <w:uiPriority w:val="32"/>
    <w:qFormat/>
    <w:rsid w:val="00E14D56"/>
    <w:rPr>
      <w:b/>
      <w:bCs/>
      <w:smallCaps/>
      <w:color w:val="0F4761" w:themeColor="accent1" w:themeShade="BF"/>
      <w:spacing w:val="5"/>
    </w:rPr>
  </w:style>
  <w:style w:type="character" w:customStyle="1" w:styleId="apple-converted-space">
    <w:name w:val="apple-converted-space"/>
    <w:basedOn w:val="DefaultParagraphFont"/>
    <w:rsid w:val="00E27663"/>
  </w:style>
  <w:style w:type="character" w:styleId="Hyperlink">
    <w:name w:val="Hyperlink"/>
    <w:basedOn w:val="DefaultParagraphFont"/>
    <w:uiPriority w:val="99"/>
    <w:unhideWhenUsed/>
    <w:rsid w:val="00E27663"/>
    <w:rPr>
      <w:color w:val="467886" w:themeColor="hyperlink"/>
      <w:u w:val="single"/>
    </w:rPr>
  </w:style>
  <w:style w:type="character" w:styleId="UnresolvedMention">
    <w:name w:val="Unresolved Mention"/>
    <w:basedOn w:val="DefaultParagraphFont"/>
    <w:uiPriority w:val="99"/>
    <w:semiHidden/>
    <w:unhideWhenUsed/>
    <w:rsid w:val="00E27663"/>
    <w:rPr>
      <w:color w:val="605E5C"/>
      <w:shd w:val="clear" w:color="auto" w:fill="E1DFDD"/>
    </w:rPr>
  </w:style>
  <w:style w:type="paragraph" w:styleId="NormalWeb">
    <w:name w:val="Normal (Web)"/>
    <w:basedOn w:val="Normal"/>
    <w:uiPriority w:val="99"/>
    <w:semiHidden/>
    <w:unhideWhenUsed/>
    <w:rsid w:val="007F7A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4-81349-3" TargetMode="External"/><Relationship Id="rId3" Type="http://schemas.openxmlformats.org/officeDocument/2006/relationships/webSettings" Target="webSettings.xml"/><Relationship Id="rId7" Type="http://schemas.openxmlformats.org/officeDocument/2006/relationships/hyperlink" Target="https://doi.org/10.1016/j.actamat.2020.09.08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BF02644109" TargetMode="External"/><Relationship Id="rId5" Type="http://schemas.openxmlformats.org/officeDocument/2006/relationships/hyperlink" Target="https://doi.org/10.1063/1.1722511" TargetMode="External"/><Relationship Id="rId10" Type="http://schemas.openxmlformats.org/officeDocument/2006/relationships/theme" Target="theme/theme1.xml"/><Relationship Id="rId4" Type="http://schemas.openxmlformats.org/officeDocument/2006/relationships/hyperlink" Target="https://doi.org/10.1007/s13632-015-0241-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Holm, Elizabeth</dc:creator>
  <cp:keywords/>
  <dc:description/>
  <cp:lastModifiedBy>Holm, Elizabeth</cp:lastModifiedBy>
  <cp:revision>29</cp:revision>
  <dcterms:created xsi:type="dcterms:W3CDTF">2025-10-20T19:01:00Z</dcterms:created>
  <dcterms:modified xsi:type="dcterms:W3CDTF">2025-10-28T17:33:00Z</dcterms:modified>
</cp:coreProperties>
</file>