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4" w:name="content"/>
    <w:bookmarkStart w:id="23" w:name="executive-summary"/>
    <w:p>
      <w:pPr>
        <w:pStyle w:val="Heading1"/>
      </w:pPr>
      <w:r>
        <w:t xml:space="preserve">Executive Summary</w:t>
      </w:r>
    </w:p>
    <w:p>
      <w:pPr>
        <w:pStyle w:val="FirstParagraph"/>
      </w:pPr>
      <w:r>
        <w:t xml:space="preserve">Home Credit Group B.V. is a global consumer-finance company owned by the Czech PPF Group (ultimately controlled by Renáta Kellnerová’s family)【22†L72-L77】. Founded in 1997 (Prague) and 1999 (Amsterdam), it rapidly expanded across Eastern Europe and Asia【32†L197-L205】【58†L177-L184】. The company’s stated mission is to “empower underserved customers” with little or no credit history via simple, inclusive loans【58†L177-L184】【22†L74-L77】. By 2019 it operated in about nine countries, serving tens of millions of clients in Asia and Europe【58†L177-L184】【51†L179-L187】. However, since 2021 Home Credit has been retreating from many markets: it has sold its businesses in Russia (2022), Kazakhstan (2025), India (2025), the Philippines (2023), Indonesia (2023) and exited China (to JD.com in 2024)【36†L75-L83】【39†L30-L38】【66†L102-L110】. As of 2026 its focus markets are much smaller – primarily the Czech Republic, Slovakia and Vietnam (the Vietnam deal fell through in 2026【47†L29-L37】) – with “4 countries” cited on its website【19†L0-L3】. In recent years Home Credit’s financial results deteriorated: the Group swung from modest losses (€–0.30 b in 2021) to a massive loss (≈€–1.61 b in 2022) largely due to asset disposals【83†L640-L648】【86†L1017-L1023】. By 2023 it returned to profit (€+0.38 b) on sharply lower revenues【86†L1017-L1023】. The Kaggle “Home Credit Default Risk” dataset appears drawn from Home Credit’s lending books (≈307,500 loan records)【74†L169-L177】【58†L214-L223】. Key questions include:</w:t>
      </w:r>
      <w:r>
        <w:t xml:space="preserve"> </w:t>
      </w:r>
      <w:r>
        <w:rPr>
          <w:b/>
          <w:bCs/>
        </w:rPr>
        <w:t xml:space="preserve">How exactly does Home Credit make money?</w:t>
      </w:r>
      <w:r>
        <w:t xml:space="preserve"> </w:t>
      </w:r>
      <w:r>
        <w:t xml:space="preserve">(mainly high-interest loans via retailer partnerships【41†L65-L74】【67†L75-L83】);</w:t>
      </w:r>
      <w:r>
        <w:t xml:space="preserve"> </w:t>
      </w:r>
      <w:r>
        <w:rPr>
          <w:b/>
          <w:bCs/>
        </w:rPr>
        <w:t xml:space="preserve">Who are its borrowers and why are they underserved by banks?</w:t>
      </w:r>
      <w:r>
        <w:t xml:space="preserve"> </w:t>
      </w:r>
      <w:r>
        <w:t xml:space="preserve">(low-income, thin-file customers【58†L177-L184】);</w:t>
      </w:r>
      <w:r>
        <w:t xml:space="preserve"> </w:t>
      </w:r>
      <w:r>
        <w:rPr>
          <w:b/>
          <w:bCs/>
        </w:rPr>
        <w:t xml:space="preserve">What is the total cost of its loans?</w:t>
      </w:r>
      <w:r>
        <w:t xml:space="preserve"> </w:t>
      </w:r>
      <w:r>
        <w:t xml:space="preserve">(effective APRs have reportedly exceeded 24% caps in China【66†L139-L147】);</w:t>
      </w:r>
      <w:r>
        <w:t xml:space="preserve"> </w:t>
      </w:r>
      <w:r>
        <w:rPr>
          <w:b/>
          <w:bCs/>
        </w:rPr>
        <w:t xml:space="preserve">How risky is its portfolio?</w:t>
      </w:r>
      <w:r>
        <w:t xml:space="preserve"> </w:t>
      </w:r>
      <w:r>
        <w:t xml:space="preserve">(China’s NPL was ~9.6% in 2019【66†L109-L112】, Vietnam’s ~1.7%【70†L393-L396】);</w:t>
      </w:r>
      <w:r>
        <w:t xml:space="preserve"> </w:t>
      </w:r>
      <w:r>
        <w:rPr>
          <w:b/>
          <w:bCs/>
        </w:rPr>
        <w:t xml:space="preserve">Are its models fair?</w:t>
      </w:r>
      <w:r>
        <w:t xml:space="preserve"> </w:t>
      </w:r>
      <w:r>
        <w:t xml:space="preserve">(it uses AI/alternative data with claimed governance【70†L381-L389】);</w:t>
      </w:r>
      <w:r>
        <w:t xml:space="preserve"> </w:t>
      </w:r>
      <w:r>
        <w:rPr>
          <w:b/>
          <w:bCs/>
        </w:rPr>
        <w:t xml:space="preserve">How is lending funded?</w:t>
      </w:r>
      <w:r>
        <w:t xml:space="preserve"> </w:t>
      </w:r>
      <w:r>
        <w:t xml:space="preserve">(via PPF parent, market borrowings and, in some markets, deposits);</w:t>
      </w:r>
      <w:r>
        <w:t xml:space="preserve"> </w:t>
      </w:r>
      <w:r>
        <w:rPr>
          <w:b/>
          <w:bCs/>
        </w:rPr>
        <w:t xml:space="preserve">Which products/countries drive profits?</w:t>
      </w:r>
      <w:r>
        <w:t xml:space="preserve"> </w:t>
      </w:r>
      <w:r>
        <w:t xml:space="preserve">(difficult to tell from available data);</w:t>
      </w:r>
      <w:r>
        <w:t xml:space="preserve"> </w:t>
      </w:r>
      <w:r>
        <w:rPr>
          <w:b/>
          <w:bCs/>
        </w:rPr>
        <w:t xml:space="preserve">Regulatory issues?</w:t>
      </w:r>
      <w:r>
        <w:t xml:space="preserve"> </w:t>
      </w:r>
      <w:r>
        <w:t xml:space="preserve">(interest caps, loan transparency and disclosure have been highlighted in China【66†L139-L147】);</w:t>
      </w:r>
      <w:r>
        <w:t xml:space="preserve"> </w:t>
      </w:r>
      <w:r>
        <w:rPr>
          <w:b/>
          <w:bCs/>
        </w:rPr>
        <w:t xml:space="preserve">Long-term advantage?</w:t>
      </w:r>
      <w:r>
        <w:t xml:space="preserve"> </w:t>
      </w:r>
      <w:r>
        <w:t xml:space="preserve">(digital application platforms vs banks). This report pulls from Home Credit’s disclosures, audited accounts, news and analyst reports to separate stated strategy from evidence.</w:t>
      </w:r>
    </w:p>
    <w:bookmarkStart w:id="10" w:name="who-we-are-whom-we-serve"/>
    <w:p>
      <w:pPr>
        <w:pStyle w:val="Heading2"/>
      </w:pPr>
      <w:r>
        <w:t xml:space="preserve">Who We Are &amp; Whom We Serve</w:t>
      </w:r>
    </w:p>
    <w:p>
      <w:pPr>
        <w:pStyle w:val="FirstParagraph"/>
      </w:pPr>
      <w:r>
        <w:rPr>
          <w:b/>
          <w:bCs/>
        </w:rPr>
        <w:t xml:space="preserve">Ownership and Governance:</w:t>
      </w:r>
      <w:r>
        <w:t xml:space="preserve"> </w:t>
      </w:r>
      <w:r>
        <w:t xml:space="preserve">Home Credit Group is 100%-owned by PPF Financial Holdings (a PPF Group subsidiary)【22†L72-L77】. PPF Group is owned by Renáta Kellnerová (widow of founder Petr Kellner) and family【22†L72-L77】. The Group structure (simplified) shows no outside shareholders: PPF is sole major equity holder【22†L72-L77】. Home Credit’s senior management (e.g. CEO Radek Pluhar) and board are appointed under PPF’s control; the company is private and not listed. Annual reports are prepared under IFRS (PPF Group NV publishes consolidated statements【83†L640-L648】【86†L1017-L1023】). No major independent-board investors or listings are evident.</w:t>
      </w:r>
    </w:p>
    <w:p>
      <w:pPr>
        <w:pStyle w:val="BodyText"/>
      </w:pPr>
      <w:r>
        <w:rPr>
          <w:b/>
          <w:bCs/>
        </w:rPr>
        <w:t xml:space="preserve">Company History:</w:t>
      </w:r>
      <w:r>
        <w:t xml:space="preserve"> </w:t>
      </w:r>
      <w:r>
        <w:t xml:space="preserve">Founded in 1997 (Czech Republic) and 1999 (Netherlands/Amsterdam HQ), Home Credit rapidly expanded. It entered Slovakia and other CEE markets in the 2000s, and in 2010 became the first fully foreign-owned consumer finance company in China【32†L197-L205】. By the 2010s it launched in India (2012), Vietnam (2009), Indonesia, Philippines, etc. Founder Petr Kellner used Home Credit’s consumer-finance platform to acquire local banks (e.g. in Russia)【32†L197-L205】. PPF acquired additional stakes (e.g. in 2018-19 PAG acquired part of China business). After Kellner’s death (2021), PPF signaled shifting focus. Recent years saw many exits: sale of Philippine/Indonesian arms in 2022–23【36†L75-L83】【67†L52-L60】, of India in 2025【39†L30-L38】, of Kazakhstan in 2025【37†L85-L91】 and attempted sale of Vietnam (terminated 2026)【47†L29-L37】. Home Credit’s UK/US ventures (Sprint partnership 2015) were also wound down. In 2026 Home Credit’s website lists “4 countries” active【19†L0-L3】, suggesting only Czech, Slovakia, Vietnam and perhaps one other (the site’s market list includes Vietnam).</w:t>
      </w:r>
    </w:p>
    <w:p>
      <w:pPr>
        <w:pStyle w:val="BodyText"/>
      </w:pPr>
      <w:r>
        <w:rPr>
          <w:b/>
          <w:bCs/>
        </w:rPr>
        <w:t xml:space="preserve">Mission vs Conduct:</w:t>
      </w:r>
      <w:r>
        <w:t xml:space="preserve"> </w:t>
      </w:r>
      <w:r>
        <w:t xml:space="preserve">Home Credit publicly emphasizes “responsible lending” and financial inclusion【22†L74-L77】【58†L177-L184】. Its mission statement is to “empower underserved customers with little or no credit history” via “innovative, convenient” loans【58†L177-L184】. It claims to offer simple, transparent credit products (POS loans, cash loans, revolving credit, insurance add-ons) to consumers and retailer partners【70†L353-L362】【58†L214-L223】. In practice, Home Credit does target low-income, underbanked clients who often lack alternatives【58†L177-L184】【2†L1-L3】. Company disclosures (e.g. annual reports) highlight social goals and CSR programs. Independent reporting, however, notes that some lending rates can be very high (e.g. effective APR ≈39% in China, far above caps【66†L139-L147】), raising questions about true affordability. Reviews and media investigations have flagged aggressive marketing of add-on products and complex fee structures (especially in China)【66†L139-L147】. No major consumer-protection fines are reported for Home Credit (unlike some microfinance firms), but regulators in Vietnam cap interest at 24% and enforced compliance【66†L139-L147】【70†L393-L396】.</w:t>
      </w:r>
    </w:p>
    <w:p>
      <w:pPr>
        <w:pStyle w:val="BodyText"/>
      </w:pPr>
      <w:r>
        <w:rPr>
          <w:b/>
          <w:bCs/>
        </w:rPr>
        <w:t xml:space="preserve">Target Customers:</w:t>
      </w:r>
      <w:r>
        <w:t xml:space="preserve"> </w:t>
      </w:r>
      <w:r>
        <w:t xml:space="preserve">Home Credit’s borrowers are predominantly</w:t>
      </w:r>
      <w:r>
        <w:t xml:space="preserve"> </w:t>
      </w:r>
      <w:r>
        <w:rPr>
          <w:b/>
          <w:bCs/>
        </w:rPr>
        <w:t xml:space="preserve">“thin-file” consumers</w:t>
      </w:r>
      <w:r>
        <w:t xml:space="preserve"> </w:t>
      </w:r>
      <w:r>
        <w:t xml:space="preserve">– low-to-middle-income earners without prior credit history【58†L177-L184】【70†L353-L362】. In Asia, many are first-time borrowers buying appliances, phones or motorbikes via installments. For example, Home Credit Vietnam reports 18 million customers over 18 years【70†L355-L363】; Philippines ~10–12 million over 12 years【62†L92-L99】【67†L75-L83】. The typical client values quick approvals and small ticket financing. Customers often credit Home Credit’s</w:t>
      </w:r>
      <w:r>
        <w:t xml:space="preserve"> </w:t>
      </w:r>
      <w:r>
        <w:rPr>
          <w:b/>
          <w:bCs/>
        </w:rPr>
        <w:t xml:space="preserve">speed and simplicity</w:t>
      </w:r>
      <w:r>
        <w:t xml:space="preserve">: “fast, simple process” is a repeated theme【67†L71-L79】【70†L399-L408】. At the same time, watchdogs warn that underserviced borrowers can become over-indebted: anecdotal complaints from China’s exit noted many struggled with high payments and sought regulatory relief【66†L139-L147】. Home Credit’s own surveys indicate borrowers appreciate transparent terms, but independent reviews (forums, LinkedIn complaints) include mentions of sales tactics (e.g. insistence on insurance add-ons) that could border on mis-selling.</w:t>
      </w:r>
    </w:p>
    <w:p>
      <w:pPr>
        <w:pStyle w:val="BodyText"/>
      </w:pPr>
      <w:r>
        <w:rPr>
          <w:b/>
          <w:bCs/>
        </w:rPr>
        <w:t xml:space="preserve">Current Strategy and Scope:</w:t>
      </w:r>
      <w:r>
        <w:t xml:space="preserve"> </w:t>
      </w:r>
      <w:r>
        <w:t xml:space="preserve">The company’s stated growth strategy is now consolidation and digitization. After heavy losses (see below) PPF has refocused Home Credit on core markets (CEE and Vietnam) and on technology. In Vietnam and the Philippines it has emphasized digital apps and alternative data for faster underwriting【70†L379-L387】. Its 2026 outlook highlights</w:t>
      </w:r>
      <w:r>
        <w:t xml:space="preserve"> </w:t>
      </w:r>
      <w:r>
        <w:rPr>
          <w:b/>
          <w:bCs/>
        </w:rPr>
        <w:t xml:space="preserve">digital integration</w:t>
      </w:r>
      <w:r>
        <w:t xml:space="preserve"> </w:t>
      </w:r>
      <w:r>
        <w:t xml:space="preserve">(17 million app users in Vietnam, major retailer e-partnerships【70†L360-L369】). PPF has also recently restructured its Czech/Slovak operations (merging them under Air Bank)【82†L25-L34】. In sum, Home Credit today positions itself as a large fintech-enhanced lender for mass-market customers, claiming a competitive edge via data-driven scoring and retail networks. The truth of these claims (speed/accuracy of scoring, genuine inclusion) is under scrutiny by independent analysts and regulators.</w:t>
      </w:r>
    </w:p>
    <w:bookmarkEnd w:id="10"/>
    <w:bookmarkStart w:id="11" w:name="lending-model"/>
    <w:p>
      <w:pPr>
        <w:pStyle w:val="Heading2"/>
      </w:pPr>
      <w:r>
        <w:t xml:space="preserve">Lending Model</w:t>
      </w:r>
    </w:p>
    <w:p>
      <w:pPr>
        <w:pStyle w:val="FirstParagraph"/>
      </w:pPr>
      <w:r>
        <w:rPr>
          <w:b/>
          <w:bCs/>
        </w:rPr>
        <w:t xml:space="preserve">Products:</w:t>
      </w:r>
      <w:r>
        <w:t xml:space="preserve"> </w:t>
      </w:r>
      <w:r>
        <w:t xml:space="preserve">Home Credit offers mainly</w:t>
      </w:r>
      <w:r>
        <w:t xml:space="preserve"> </w:t>
      </w:r>
      <w:r>
        <w:rPr>
          <w:b/>
          <w:bCs/>
        </w:rPr>
        <w:t xml:space="preserve">unsecured consumer loans</w:t>
      </w:r>
      <w:r>
        <w:t xml:space="preserve"> </w:t>
      </w:r>
      <w:r>
        <w:t xml:space="preserve">at point-of-sale and as cash instalments. In its key markets the product mix is roughly: (1)</w:t>
      </w:r>
      <w:r>
        <w:t xml:space="preserve"> </w:t>
      </w:r>
      <w:r>
        <w:rPr>
          <w:b/>
          <w:bCs/>
        </w:rPr>
        <w:t xml:space="preserve">POS loans</w:t>
      </w:r>
      <w:r>
        <w:t xml:space="preserve"> </w:t>
      </w:r>
      <w:r>
        <w:t xml:space="preserve">(for goods like appliances, electronics, vehicles), (2)</w:t>
      </w:r>
      <w:r>
        <w:t xml:space="preserve"> </w:t>
      </w:r>
      <w:r>
        <w:rPr>
          <w:b/>
          <w:bCs/>
        </w:rPr>
        <w:t xml:space="preserve">cash (personal) loans</w:t>
      </w:r>
      <w:r>
        <w:t xml:space="preserve">, (3)</w:t>
      </w:r>
      <w:r>
        <w:t xml:space="preserve"> </w:t>
      </w:r>
      <w:r>
        <w:rPr>
          <w:b/>
          <w:bCs/>
        </w:rPr>
        <w:t xml:space="preserve">revolving credit cards</w:t>
      </w:r>
      <w:r>
        <w:t xml:space="preserve"> </w:t>
      </w:r>
      <w:r>
        <w:t xml:space="preserve">(in some markets), and (4) insurance/insurtech add-ons (credit-life, accident). For example, Home Credit Vietnam touts itself as a leader in POS financing (14% market share)【41†L65-L74】, and reported financing 4 million mobile-phone purchases over 3 years【67†L75-L83】. Philippines branch financed ~PHP 500 billion ($~9.5 b) across its products as of 2025【62†L108-L111】. Home Credit’s</w:t>
      </w:r>
      <w:r>
        <w:t xml:space="preserve"> </w:t>
      </w:r>
      <w:r>
        <w:rPr>
          <w:b/>
          <w:bCs/>
        </w:rPr>
        <w:t xml:space="preserve">POS loans</w:t>
      </w:r>
      <w:r>
        <w:t xml:space="preserve"> </w:t>
      </w:r>
      <w:r>
        <w:t xml:space="preserve">are often integration with retailers and installment plans (“buy now, pay later”)【70†L353-L362】【62†L92-L99】. Cash loans are priced higher and used for small business or urgent needs. Credit cards (revolving lines) are a small but growing channel (notably in Vietnam where they offer “Home Credit Card” for online spending). Insurance and warranties are increasingly cross-sold (e.g. Home Credit Protect plans in PH)【58†L214-L223】.</w:t>
      </w:r>
    </w:p>
    <w:p>
      <w:pPr>
        <w:pStyle w:val="BodyText"/>
      </w:pPr>
      <w:r>
        <w:rPr>
          <w:b/>
          <w:bCs/>
        </w:rPr>
        <w:t xml:space="preserve">Customer Journey:</w:t>
      </w:r>
      <w:r>
        <w:t xml:space="preserve"> </w:t>
      </w:r>
      <w:r>
        <w:t xml:space="preserve">Applications are taken via a mix of channels: retail store partners (staff equipped to process loans at checkout), field agents, company branches, and increasingly mobile/web apps. After application, Home Credit verifies the customer (ID documents, income proof or alternatives) and runs its credit-checking (see next section). Approval or decline is typically rapid (daily targets or minutes-level for small loans)【70†L379-L387】. Upon approval, funds or purchase credits are disbursed immediately (at checkout or digitally). Repayments occur in monthly instalments (auto-debit or manual pay) according to a fixed schedule. If repaid fully on time, the customer’s credit history is positive and they may access larger loans in future (generating “repeat business”). If they miss payments, they incur fees and negative credit outcomes (customer-disclosed NPLs or collections processes). Home Credit often encourages refinancing – e.g. “rollover” cash loans – but rates for repeat borrowers may increase. Precise data on repeat vs new-customer business is not public.</w:t>
      </w:r>
    </w:p>
    <w:p>
      <w:pPr>
        <w:pStyle w:val="BodyText"/>
      </w:pPr>
      <w:r>
        <w:rPr>
          <w:b/>
          <w:bCs/>
        </w:rPr>
        <w:t xml:space="preserve">Distribution and Partnerships:</w:t>
      </w:r>
      <w:r>
        <w:t xml:space="preserve"> </w:t>
      </w:r>
      <w:r>
        <w:t xml:space="preserve">Home Credit relies heavily on retailer partnerships and agents. It partners with major retail chains (e.g. Mobile World in VN, Aling Puring supermarkets in PH)【70†L358-L363】【62†L113-L120】. These partners value the commission on financing sales. Sales agents are trained to source applicants and push loan and add-on products. The company also runs consumer apps (“Home Credit App”) to originate loans directly. Distribution concentration is high: tens of thousands of merchant outlets (18k+ in PH【62†L108-L111】) carry Home Credit products, meaning a key retailer could impact volumes. They also partner with banks: for example, Home Credit Bank branches in Vietnam handle deposits (vietnam does not have deposits, but it’s a banking license), and PH branch raised local funding (e.g. PHP 7B credit line【61†L4-L8】). Third-party tech vendors (credit bureaus, AML services, cloud providers) support operations; Home Credit keeps key scoring and origination engines proprietary.</w:t>
      </w:r>
    </w:p>
    <w:p>
      <w:pPr>
        <w:pStyle w:val="BodyText"/>
      </w:pPr>
      <w:r>
        <w:rPr>
          <w:b/>
          <w:bCs/>
        </w:rPr>
        <w:t xml:space="preserve">Revenue Streams and Economics:</w:t>
      </w:r>
      <w:r>
        <w:t xml:space="preserve"> </w:t>
      </w:r>
      <w:r>
        <w:t xml:space="preserve">Home Credit earns interest (and late/fee income) on loans as its main revenue. Insurance commissions and merchant fees are secondary. Unit economics vary by market, but typically interest rates are high. For example, effective APRs above 30% have been reported (especially after upfront fees)【66†L139-L147】. Data on average loan size and terms is scarce. Clues: Kaggle loan amounts (application data) show average credit ~EUR 5-6k (if currency is EUR-equivalent)【74†L175-L183】, but local context likely means much lower (tens of thousands in INR). Repayment periods range ~1–3 years for POS loans. Operating costs are elevated by salesforce commissions, branch/agent overhead, and write-offs. Home Credit advertises a multi-dimensional pricing strategy (loans + insurance + merchant fees). Profitability per loan depends critically on low default rates; Asian branches often target 90%-plus approval (thin margin) whereas CEE markets are more saturated and competitive. Unfortunately, detailed unit metrics (CLV, APR net of subsidies, new vs repeat ratio) are not publicly available; management’s guidance remains vague.</w:t>
      </w:r>
    </w:p>
    <w:p>
      <w:pPr>
        <w:pStyle w:val="BodyText"/>
      </w:pPr>
      <w:r>
        <w:rPr>
          <w:b/>
          <w:bCs/>
        </w:rPr>
        <w:t xml:space="preserve">Product &amp; Channel Profitability:</w:t>
      </w:r>
      <w:r>
        <w:t xml:space="preserve"> </w:t>
      </w:r>
      <w:r>
        <w:t xml:space="preserve">Official accounts do not break down profits by country or product. However, press releases indicate Asia was historically the main profit driver (big scale). For instance, by 2019 over 50 million Chinese users held Home Credit loans【66†L102-L110】. Vietnam (15–18 M users) and the Philippines (12 M users) are now the largest active portfolios【41†L65-L74】【62†L92-L99】. In contrast, European arms (Czech/Slovakia) are smaller. Among products, POS and mobile-phone loans appear core (e.g. 4M phones in PH【67†L75-L83】), whereas credit cards and cash loans are smaller slices. Home Credit’s reported margins fell when defaults or provisions rose (e.g. China asset sales in 2021–24 implied steep losses【66†L109-L118】). Overall, their model scales easily with more customers (substantial tech and agent base), but suffers heavily if credit quality deteriorates or funding costs rise.</w:t>
      </w:r>
    </w:p>
    <w:bookmarkEnd w:id="11"/>
    <w:bookmarkStart w:id="12" w:name="credit-assessment-risk-management"/>
    <w:p>
      <w:pPr>
        <w:pStyle w:val="Heading2"/>
      </w:pPr>
      <w:r>
        <w:t xml:space="preserve">Credit Assessment &amp; Risk Management</w:t>
      </w:r>
    </w:p>
    <w:p>
      <w:pPr>
        <w:pStyle w:val="FirstParagraph"/>
      </w:pPr>
      <w:r>
        <w:rPr>
          <w:b/>
          <w:bCs/>
        </w:rPr>
        <w:t xml:space="preserve">Data and Models:</w:t>
      </w:r>
      <w:r>
        <w:t xml:space="preserve"> </w:t>
      </w:r>
      <w:r>
        <w:t xml:space="preserve">Home Credit claims to employ advanced credit-scoring using</w:t>
      </w:r>
      <w:r>
        <w:t xml:space="preserve"> </w:t>
      </w:r>
      <w:r>
        <w:rPr>
          <w:b/>
          <w:bCs/>
        </w:rPr>
        <w:t xml:space="preserve">alternative data</w:t>
      </w:r>
      <w:r>
        <w:t xml:space="preserve"> </w:t>
      </w:r>
      <w:r>
        <w:t xml:space="preserve">and machine learning, especially in Asia. In practice, their</w:t>
      </w:r>
      <w:r>
        <w:t xml:space="preserve"> </w:t>
      </w:r>
      <w:r>
        <w:rPr>
          <w:b/>
          <w:bCs/>
        </w:rPr>
        <w:t xml:space="preserve">application data</w:t>
      </w:r>
      <w:r>
        <w:t xml:space="preserve"> </w:t>
      </w:r>
      <w:r>
        <w:t xml:space="preserve">includes standard info (demographics, employment, income, housing) plus some non-traditional features (e.g. mobile phone contacts, social/e-commerce indicators in certain markets). Public Kaggle documentation (which mirrors Home Credit’s data) describes ~120 static features per loan【74†L175-L183】. Home Credit’s online loan apps leverage smartphones to pull device data (IMSI, usage) and social networks (in China/India) to gauge trustworthiness. They also use third-party</w:t>
      </w:r>
      <w:r>
        <w:t xml:space="preserve"> </w:t>
      </w:r>
      <w:r>
        <w:rPr>
          <w:b/>
          <w:bCs/>
        </w:rPr>
        <w:t xml:space="preserve">credit bureau data</w:t>
      </w:r>
      <w:r>
        <w:t xml:space="preserve"> </w:t>
      </w:r>
      <w:r>
        <w:t xml:space="preserve">where available: the Kaggle “bureau” tables indicate Home Credit queries local credit bureaus, logging previous loans and repayment history from other lenders【58†L224-L229】. The company’s stated process “underwrites by data”: e.g. Vietnam claims some applications are decided in ~3 minutes using automated AI【70†L379-L387】. In effect, Home Credit builds statistical models (binary classifiers for default risk) for each market. They validate models internally, but no external model audits are published.</w:t>
      </w:r>
    </w:p>
    <w:p>
      <w:pPr>
        <w:pStyle w:val="BodyText"/>
      </w:pPr>
      <w:r>
        <w:rPr>
          <w:b/>
          <w:bCs/>
        </w:rPr>
        <w:t xml:space="preserve">Fairness and Bias:</w:t>
      </w:r>
      <w:r>
        <w:t xml:space="preserve"> </w:t>
      </w:r>
      <w:r>
        <w:t xml:space="preserve">The company emphasizes “responsible, unbiased” scoring【70†L381-L389】. However, independent scrutiny is limited. The Kaggle data reveal possible proxies that could cause bias: e.g. fields like “NAME_HOUSING_TYPE” (home ownership) or “OCCUPATION_TYPE” could encode socioeconomic status. The Kaggle descriptions caution modelers to remove features with “365243” (an error code denoting missing employment)【79†L1-L10】, indicating some data quirks. Any automated model risks historical bias (e.g. rejecting poorer applicants), but Home Credit claims to have governance around AI use. Without published model details, fairness can’t be verified externally. Regulators in Vietnam/PH have not publicly challenged the models, but in China opaque scoring was a source of borrower complaints when switched to JD.</w:t>
      </w:r>
    </w:p>
    <w:p>
      <w:pPr>
        <w:pStyle w:val="BodyText"/>
      </w:pPr>
      <w:r>
        <w:rPr>
          <w:b/>
          <w:bCs/>
        </w:rPr>
        <w:t xml:space="preserve">Approval Rates:</w:t>
      </w:r>
      <w:r>
        <w:t xml:space="preserve"> </w:t>
      </w:r>
      <w:r>
        <w:t xml:space="preserve">Home Credit does not disclose its approval rates. Industry observers suggest Home Credit traditionally targets ~80–90% acceptance to grow volume, then adjusts credit limits/terms. The Kaggle “TARGET” label (0 = repaid, 1 = not repaid【58†L197-L204】【57†L145-L153】) implies about 8–9% of loans default (given the train set ~300k with roughly that proportion of 1s). Actual default/write-off rates likely vary: China’s high 2019 NPL (~9.6%)【66†L109-L112】 suggests considerable losses, whereas Vietnam’s reported ~1.7%【70†L393-L396】 implies much lower delinquency (possibly due to strict underwriting or delayed reporting). Philippine NPLs are unstated, but Home Credit CEO noted PH delivered strong results through the sale【67†L52-L60】.</w:t>
      </w:r>
    </w:p>
    <w:p>
      <w:pPr>
        <w:pStyle w:val="BodyText"/>
      </w:pPr>
      <w:r>
        <w:rPr>
          <w:b/>
          <w:bCs/>
        </w:rPr>
        <w:t xml:space="preserve">Historic Performance Metrics:</w:t>
      </w:r>
      <w:r>
        <w:t xml:space="preserve"> </w:t>
      </w:r>
      <w:r>
        <w:t xml:space="preserve">The Kaggle data allow computing historical default rates: participants report ~7-8% of loans labeled default. Home Credit’s IFRS accounts show increasing provisions: Home Credit wrote down over €0.4 b of bad assets in China by 2023【66†L115-L124】. Consolidated P&amp;L (below) reflects those credit costs. In Vietnam, Home Credit’s management credits conservative lending for keeping NPLs at ≈1.7%【70†L393-L396】. Collections practices (late fees, agent follow-up) are not publicized; no serious ethics complaints are cited.</w:t>
      </w:r>
    </w:p>
    <w:p>
      <w:pPr>
        <w:pStyle w:val="BodyText"/>
      </w:pPr>
      <w:r>
        <w:rPr>
          <w:b/>
          <w:bCs/>
        </w:rPr>
        <w:t xml:space="preserve">Risk Assumptions (ECL):</w:t>
      </w:r>
      <w:r>
        <w:t xml:space="preserve"> </w:t>
      </w:r>
      <w:r>
        <w:t xml:space="preserve">Under IFRS 9, Home Credit must estimate expected credit losses (ECL). Their disclosures (PPF accounts) do not detail the assumptions (PD, LGD) for each market. However, the severity of the 2022 loss suggests earlier models understated risk under stressed conditions. Rising global rates and inflation likely pressured credit quality in 2022-23. Macroeconomic sensitivity is not disclosed, but managers’ comments (Reuters) hint they worry about “tailwinds of consumer spending” turning to storms【26†L197-L205】.</w:t>
      </w:r>
    </w:p>
    <w:p>
      <w:pPr>
        <w:pStyle w:val="BodyText"/>
      </w:pPr>
      <w:r>
        <w:rPr>
          <w:b/>
          <w:bCs/>
        </w:rPr>
        <w:t xml:space="preserve">Fraud &amp; Collections:</w:t>
      </w:r>
      <w:r>
        <w:t xml:space="preserve"> </w:t>
      </w:r>
      <w:r>
        <w:t xml:space="preserve">Home Credit systems include fraud-detection (ID checks, patterns) – not publicly detailed. Aggressive collections (contact, reminders, legal action) are standard in unsecured lending, but PPF claims Home Credit adheres to local laws. No regulatory action for abusive collection is known. The Kaggle data include “flag_document” and “days_last_due” fields, which modelers use to gauge missed payments. Notably, field “DAYS_LAST_DUE_1ST_VERSION” (days overdue on previous loans) is present in application data – such leak-like fields could reveal if an applicant was late before disbursement of the current loan, but Kagglers typically avoid using those.</w:t>
      </w:r>
    </w:p>
    <w:bookmarkEnd w:id="12"/>
    <w:bookmarkStart w:id="16" w:name="Xfed5898977489c5b1982fa75f2199ff7a62e891"/>
    <w:p>
      <w:pPr>
        <w:pStyle w:val="Heading2"/>
      </w:pPr>
      <w:r>
        <w:t xml:space="preserve">Dataset Provenance and Structure (Kaggle “Home Credit Default Risk”)</w:t>
      </w:r>
    </w:p>
    <w:p>
      <w:pPr>
        <w:pStyle w:val="FirstParagraph"/>
      </w:pPr>
      <w:r>
        <w:t xml:space="preserve">The Kaggle dataset is sourced from Home Credit’s loan application records. It consists of 307,511 training loans (with</w:t>
      </w:r>
      <w:r>
        <w:t xml:space="preserve"> </w:t>
      </w:r>
      <w:r>
        <w:rPr>
          <w:b/>
          <w:bCs/>
        </w:rPr>
        <w:t xml:space="preserve">TARGET</w:t>
      </w:r>
      <w:r>
        <w:t xml:space="preserve"> </w:t>
      </w:r>
      <w:r>
        <w:t xml:space="preserve">= 0/1 for repayment) and 87,736 test loans【74†L169-L177】. The data likely span multiple years (pre-2018), but exact dates and market not publicly specified. Many indicators suggest it is drawn from a single country’s portfolio – likely India or a mix of Asia – rather than Europe. Kaggle’s community notes (and the presence of “AMT_INCOME_TOTAL” values around hundreds of thousands) imply Indian-rupee-scale amounts. Currency is unstated in data but presumably local currency. The</w:t>
      </w:r>
      <w:r>
        <w:t xml:space="preserve"> </w:t>
      </w:r>
      <w:r>
        <w:rPr>
          <w:b/>
          <w:bCs/>
        </w:rPr>
        <w:t xml:space="preserve">TARGET</w:t>
      </w:r>
      <w:r>
        <w:t xml:space="preserve"> </w:t>
      </w:r>
      <w:r>
        <w:t xml:space="preserve">is defined as loan repayment capability: 0 = fully repaid, 1 = not repaid (default)【58†L197-L204】.</w:t>
      </w:r>
    </w:p>
    <w:p>
      <w:pPr>
        <w:pStyle w:val="BodyText"/>
      </w:pPr>
      <w:r>
        <w:rPr>
          <w:b/>
          <w:bCs/>
        </w:rPr>
        <w:t xml:space="preserve">Dataset Tables:</w:t>
      </w:r>
      <w:r>
        <w:t xml:space="preserve"> </w:t>
      </w:r>
      <w:r>
        <w:t xml:space="preserve">The data are split across 8 tables (one main plus 7 historical):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Origin (Home Credit source)</w:t>
            </w:r>
          </w:p>
        </w:tc>
        <w:tc>
          <w:tcPr/>
          <w:p>
            <w:pPr>
              <w:pStyle w:val="Compact"/>
            </w:pPr>
            <w:r>
              <w:t xml:space="preserve">Available at decision?</w:t>
            </w:r>
          </w:p>
        </w:tc>
        <w:tc>
          <w:tcPr/>
          <w:p>
            <w:pPr>
              <w:pStyle w:val="Compact"/>
            </w:pPr>
            <w:r>
              <w:t xml:space="preserve">Notes (missing/leakage)</w:t>
            </w:r>
          </w:p>
        </w:tc>
      </w:tr>
      <w:tr>
        <w:tc>
          <w:tcPr/>
          <w:p>
            <w:pPr>
              <w:pStyle w:val="Compact"/>
            </w:pPr>
            <w:r>
              <w:rPr>
                <w:rStyle w:val="VerbatimChar"/>
              </w:rPr>
              <w:t xml:space="preserve">application_train.csv</w:t>
            </w:r>
            <w:r>
              <w:t xml:space="preserve"> </w:t>
            </w:r>
            <w:r>
              <w:t xml:space="preserve">(and test)</w:t>
            </w:r>
          </w:p>
        </w:tc>
        <w:tc>
          <w:tcPr/>
          <w:p>
            <w:pPr>
              <w:pStyle w:val="Compact"/>
            </w:pPr>
            <w:r>
              <w:t xml:space="preserve">Main applicant data (all features at application, plus target in train)【58†L217-L224】</w:t>
            </w:r>
          </w:p>
        </w:tc>
        <w:tc>
          <w:tcPr/>
          <w:p>
            <w:pPr>
              <w:pStyle w:val="Compact"/>
            </w:pPr>
            <w:r>
              <w:t xml:space="preserve">Yes – it’s the input to decision.</w:t>
            </w:r>
          </w:p>
        </w:tc>
        <w:tc>
          <w:tcPr/>
          <w:p>
            <w:pPr>
              <w:pStyle w:val="Compact"/>
            </w:pPr>
            <w:r>
              <w:t xml:space="preserve">Contains static borrower info (employment, income, housing, etc).</w:t>
            </w:r>
            <w:r>
              <w:t xml:space="preserve"> </w:t>
            </w:r>
            <w:r>
              <w:rPr>
                <w:i/>
                <w:iCs/>
              </w:rPr>
              <w:t xml:space="preserve">TARGET</w:t>
            </w:r>
            <w:r>
              <w:t xml:space="preserve"> </w:t>
            </w:r>
            <w:r>
              <w:t xml:space="preserve">is only in train. Contains placeholders like 365243 (for missing DAYS_EMPLOYED) that should be treated as null【79†L1-L10】.</w:t>
            </w:r>
          </w:p>
        </w:tc>
      </w:tr>
      <w:tr>
        <w:tc>
          <w:tcPr/>
          <w:p>
            <w:pPr>
              <w:pStyle w:val="Compact"/>
            </w:pPr>
            <w:r>
              <w:rPr>
                <w:rStyle w:val="VerbatimChar"/>
              </w:rPr>
              <w:t xml:space="preserve">bureau.csv</w:t>
            </w:r>
          </w:p>
        </w:tc>
        <w:tc>
          <w:tcPr/>
          <w:p>
            <w:pPr>
              <w:pStyle w:val="Compact"/>
            </w:pPr>
            <w:r>
              <w:t xml:space="preserve">Credit bureau records of clients (other financial institutions)【58†L224-L229】</w:t>
            </w:r>
          </w:p>
        </w:tc>
        <w:tc>
          <w:tcPr/>
          <w:p>
            <w:pPr>
              <w:pStyle w:val="Compact"/>
            </w:pPr>
            <w:r>
              <w:t xml:space="preserve">Yes (external credit scores)</w:t>
            </w:r>
          </w:p>
        </w:tc>
        <w:tc>
          <w:tcPr/>
          <w:p>
            <w:pPr>
              <w:pStyle w:val="Compact"/>
            </w:pPr>
            <w:r>
              <w:t xml:space="preserve">Shows each client’s past credits at other lenders up to application time. It has no future info.</w:t>
            </w:r>
          </w:p>
        </w:tc>
      </w:tr>
      <w:tr>
        <w:tc>
          <w:tcPr/>
          <w:p>
            <w:pPr>
              <w:pStyle w:val="Compact"/>
            </w:pPr>
            <w:r>
              <w:rPr>
                <w:rStyle w:val="VerbatimChar"/>
              </w:rPr>
              <w:t xml:space="preserve">bureau_balance.csv</w:t>
            </w:r>
          </w:p>
        </w:tc>
        <w:tc>
          <w:tcPr/>
          <w:p>
            <w:pPr>
              <w:pStyle w:val="Compact"/>
            </w:pPr>
            <w:r>
              <w:t xml:space="preserve">Monthly balance of those past credits【58†L231-L238】</w:t>
            </w:r>
          </w:p>
        </w:tc>
        <w:tc>
          <w:tcPr/>
          <w:p>
            <w:pPr>
              <w:pStyle w:val="Compact"/>
            </w:pPr>
            <w:r>
              <w:t xml:space="preserve">Yes (historical status)</w:t>
            </w:r>
          </w:p>
        </w:tc>
        <w:tc>
          <w:tcPr/>
          <w:p>
            <w:pPr>
              <w:pStyle w:val="Compact"/>
            </w:pPr>
            <w:r>
              <w:t xml:space="preserve">One row per month per credit in bureau. Shows how past loans performed monthly up to decision.</w:t>
            </w:r>
          </w:p>
        </w:tc>
      </w:tr>
      <w:tr>
        <w:tc>
          <w:tcPr/>
          <w:p>
            <w:pPr>
              <w:pStyle w:val="Compact"/>
            </w:pPr>
            <w:r>
              <w:rPr>
                <w:rStyle w:val="VerbatimChar"/>
              </w:rPr>
              <w:t xml:space="preserve">previous_application.csv</w:t>
            </w:r>
          </w:p>
        </w:tc>
        <w:tc>
          <w:tcPr/>
          <w:p>
            <w:pPr>
              <w:pStyle w:val="Compact"/>
            </w:pPr>
            <w:r>
              <w:t xml:space="preserve">History of all</w:t>
            </w:r>
            <w:r>
              <w:t xml:space="preserve"> </w:t>
            </w:r>
            <w:r>
              <w:rPr>
                <w:i/>
                <w:iCs/>
              </w:rPr>
              <w:t xml:space="preserve">prior</w:t>
            </w:r>
            <w:r>
              <w:t xml:space="preserve"> </w:t>
            </w:r>
            <w:r>
              <w:t xml:space="preserve">Home Credit applications by the same client【58†L258-L263】</w:t>
            </w:r>
          </w:p>
        </w:tc>
        <w:tc>
          <w:tcPr/>
          <w:p>
            <w:pPr>
              <w:pStyle w:val="Compact"/>
            </w:pPr>
            <w:r>
              <w:t xml:space="preserve">Yes (past HC interactions)</w:t>
            </w:r>
          </w:p>
        </w:tc>
        <w:tc>
          <w:tcPr/>
          <w:p>
            <w:pPr>
              <w:pStyle w:val="Compact"/>
            </w:pPr>
            <w:r>
              <w:t xml:space="preserve">Contains each earlier loan application (approved or not) and its attributes. No data beyond application date.</w:t>
            </w:r>
          </w:p>
        </w:tc>
      </w:tr>
      <w:tr>
        <w:tc>
          <w:tcPr/>
          <w:p>
            <w:pPr>
              <w:pStyle w:val="Compact"/>
            </w:pPr>
            <w:r>
              <w:rPr>
                <w:rStyle w:val="VerbatimChar"/>
              </w:rPr>
              <w:t xml:space="preserve">installments_payments.csv</w:t>
            </w:r>
          </w:p>
        </w:tc>
        <w:tc>
          <w:tcPr/>
          <w:p>
            <w:pPr>
              <w:pStyle w:val="Compact"/>
            </w:pPr>
            <w:r>
              <w:t xml:space="preserve">Payment history for all</w:t>
            </w:r>
            <w:r>
              <w:t xml:space="preserve"> </w:t>
            </w:r>
            <w:r>
              <w:rPr>
                <w:b/>
                <w:bCs/>
              </w:rPr>
              <w:t xml:space="preserve">disbursed</w:t>
            </w:r>
            <w:r>
              <w:t xml:space="preserve"> </w:t>
            </w:r>
            <w:r>
              <w:t xml:space="preserve">previous HC loans【58†L264-L272】</w:t>
            </w:r>
          </w:p>
        </w:tc>
        <w:tc>
          <w:tcPr/>
          <w:p>
            <w:pPr>
              <w:pStyle w:val="Compact"/>
            </w:pPr>
            <w:r>
              <w:t xml:space="preserve">Yes (past payments)</w:t>
            </w:r>
          </w:p>
        </w:tc>
        <w:tc>
          <w:tcPr/>
          <w:p>
            <w:pPr>
              <w:pStyle w:val="Compact"/>
            </w:pPr>
            <w:r>
              <w:t xml:space="preserve">One row per payment (or missed payment) on earlier loans. Reflects past repayment behavior only.</w:t>
            </w:r>
          </w:p>
        </w:tc>
      </w:tr>
      <w:tr>
        <w:tc>
          <w:tcPr/>
          <w:p>
            <w:pPr>
              <w:pStyle w:val="Compact"/>
            </w:pPr>
            <w:r>
              <w:rPr>
                <w:rStyle w:val="VerbatimChar"/>
              </w:rPr>
              <w:t xml:space="preserve">POS_CASH_balance.csv</w:t>
            </w:r>
          </w:p>
        </w:tc>
        <w:tc>
          <w:tcPr/>
          <w:p>
            <w:pPr>
              <w:pStyle w:val="Compact"/>
            </w:pPr>
            <w:r>
              <w:t xml:space="preserve">Monthly snapshot of prior Home Credit POS or cash loans【58†L239-L244】</w:t>
            </w:r>
          </w:p>
        </w:tc>
        <w:tc>
          <w:tcPr/>
          <w:p>
            <w:pPr>
              <w:pStyle w:val="Compact"/>
            </w:pPr>
            <w:r>
              <w:t xml:space="preserve">Yes (past POS loans)</w:t>
            </w:r>
          </w:p>
        </w:tc>
        <w:tc>
          <w:tcPr/>
          <w:p>
            <w:pPr>
              <w:pStyle w:val="Compact"/>
            </w:pPr>
            <w:r>
              <w:t xml:space="preserve">Contains each month’s balance/status for each previous POS/cash loan. All info is historical.</w:t>
            </w:r>
          </w:p>
        </w:tc>
      </w:tr>
      <w:tr>
        <w:tc>
          <w:tcPr/>
          <w:p>
            <w:pPr>
              <w:pStyle w:val="Compact"/>
            </w:pPr>
            <w:r>
              <w:rPr>
                <w:rStyle w:val="VerbatimChar"/>
              </w:rPr>
              <w:t xml:space="preserve">credit_card_balance.csv</w:t>
            </w:r>
          </w:p>
        </w:tc>
        <w:tc>
          <w:tcPr/>
          <w:p>
            <w:pPr>
              <w:pStyle w:val="Compact"/>
            </w:pPr>
            <w:r>
              <w:t xml:space="preserve">Monthly snapshot of prior Home Credit credit cards【58†L248-L253】</w:t>
            </w:r>
          </w:p>
        </w:tc>
        <w:tc>
          <w:tcPr/>
          <w:p>
            <w:pPr>
              <w:pStyle w:val="Compact"/>
            </w:pPr>
            <w:r>
              <w:t xml:space="preserve">Yes (past credit usage)</w:t>
            </w:r>
          </w:p>
        </w:tc>
        <w:tc>
          <w:tcPr/>
          <w:p>
            <w:pPr>
              <w:pStyle w:val="Compact"/>
            </w:pPr>
            <w:r>
              <w:t xml:space="preserve">One row per month per credit card loan. Shows billing statements of earlier cards.</w:t>
            </w:r>
          </w:p>
        </w:tc>
      </w:tr>
      <w:tr>
        <w:tc>
          <w:tcPr/>
          <w:p>
            <w:pPr>
              <w:pStyle w:val="Compact"/>
            </w:pPr>
            <w:r>
              <w:rPr>
                <w:rStyle w:val="VerbatimChar"/>
              </w:rPr>
              <w:t xml:space="preserve">HomeCredit_columns_description.csv</w:t>
            </w:r>
          </w:p>
        </w:tc>
        <w:tc>
          <w:tcPr/>
          <w:p>
            <w:pPr>
              <w:pStyle w:val="Compact"/>
            </w:pPr>
            <w:r>
              <w:t xml:space="preserve">Metadata (variable definitions, often self-explanatory)</w:t>
            </w:r>
          </w:p>
        </w:tc>
        <w:tc>
          <w:tcPr/>
          <w:p>
            <w:pPr>
              <w:pStyle w:val="Compact"/>
            </w:pPr>
            <w:r>
              <w:t xml:space="preserve">n/a</w:t>
            </w:r>
          </w:p>
        </w:tc>
        <w:tc>
          <w:tcPr/>
          <w:p>
            <w:pPr>
              <w:pStyle w:val="Compact"/>
            </w:pPr>
            <w:r>
              <w:t xml:space="preserve">Provides descriptions but no data.</w:t>
            </w:r>
          </w:p>
        </w:tc>
      </w:tr>
    </w:tbl>
    <w:p>
      <w:pPr>
        <w:pStyle w:val="BodyText"/>
      </w:pPr>
      <w:r>
        <w:t xml:space="preserve">Relationships (Entity-Relationship):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59092"/>
                  <wp:effectExtent b="0" l="0" r="0" t="0"/>
                  <wp:docPr descr="Rendered Mermaid diagram 1" title="" id="14" name="Picture"/>
                  <a:graphic>
                    <a:graphicData uri="http://schemas.openxmlformats.org/drawingml/2006/picture">
                      <pic:pic>
                        <pic:nvPicPr>
                          <pic:cNvPr descr="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" id="15" name="Picture"/>
                          <pic:cNvPicPr>
                            <a:picLocks noChangeArrowheads="1" noChangeAspect="1"/>
                          </pic:cNvPicPr>
                        </pic:nvPicPr>
                        <pic:blipFill>
                          <a:blip r:embed="rId13"/>
                          <a:stretch>
                            <a:fillRect/>
                          </a:stretch>
                        </pic:blipFill>
                        <pic:spPr bwMode="auto">
                          <a:xfrm>
                            <a:off x="0" y="0"/>
                            <a:ext cx="5334000" cy="1959092"/>
                          </a:xfrm>
                          <a:prstGeom prst="rect">
                            <a:avLst/>
                          </a:prstGeom>
                          <a:noFill/>
                          <a:ln w="9525">
                            <a:noFill/>
                            <a:headEnd/>
                            <a:tailEnd/>
                          </a:ln>
                        </pic:spPr>
                      </pic:pic>
                    </a:graphicData>
                  </a:graphic>
                </wp:inline>
              </w:drawing>
            </w:r>
            <w:r>
              <w:br/>
            </w:r>
          </w:p>
        </w:tc>
      </w:tr>
    </w:tbl>
    <w:p>
      <w:pPr>
        <w:pStyle w:val="BodyText"/>
      </w:pPr>
      <w:r>
        <w:t xml:space="preserve">This diagram reflects that each loan application (APPLICATION) may be linked to many historical records. Crucially,</w:t>
      </w:r>
      <w:r>
        <w:t xml:space="preserve"> </w:t>
      </w:r>
      <w:r>
        <w:rPr>
          <w:b/>
          <w:bCs/>
        </w:rPr>
        <w:t xml:space="preserve">all tables contain only information</w:t>
      </w:r>
      <w:r>
        <w:rPr>
          <w:b/>
          <w:bCs/>
        </w:rPr>
        <w:t xml:space="preserve"> </w:t>
      </w:r>
      <w:r>
        <w:rPr>
          <w:b/>
          <w:bCs/>
          <w:i/>
          <w:iCs/>
        </w:rPr>
        <w:t xml:space="preserve">before</w:t>
      </w:r>
      <w:r>
        <w:rPr>
          <w:b/>
          <w:bCs/>
        </w:rPr>
        <w:t xml:space="preserve"> </w:t>
      </w:r>
      <w:r>
        <w:rPr>
          <w:b/>
          <w:bCs/>
        </w:rPr>
        <w:t xml:space="preserve">the current loan decision</w:t>
      </w:r>
      <w:r>
        <w:t xml:space="preserve">. (E.g., bureau and balances are as-of the application date; installments/payments are for old loans.) There is minimal risk of “future leak”: no table has data that could only be known post-application. One known data quirk is the use of “365243” in some</w:t>
      </w:r>
      <w:r>
        <w:t xml:space="preserve"> </w:t>
      </w:r>
      <w:r>
        <w:rPr>
          <w:i/>
          <w:iCs/>
        </w:rPr>
        <w:t xml:space="preserve">DAYS_</w:t>
      </w:r>
      <w:r>
        <w:t xml:space="preserve"> </w:t>
      </w:r>
      <w:r>
        <w:t xml:space="preserve">fields to mark missing data【79†L1-L10】. Other nulls appear as blanks or special codes; modelers typically replace them with NA.</w:t>
      </w:r>
    </w:p>
    <w:bookmarkEnd w:id="16"/>
    <w:bookmarkStart w:id="17" w:name="business-performance-consequences"/>
    <w:p>
      <w:pPr>
        <w:pStyle w:val="Heading2"/>
      </w:pPr>
      <w:r>
        <w:t xml:space="preserve">Business Performance &amp; Consequences</w:t>
      </w:r>
    </w:p>
    <w:p>
      <w:pPr>
        <w:pStyle w:val="FirstParagraph"/>
      </w:pPr>
      <w:r>
        <w:rPr>
          <w:b/>
          <w:bCs/>
        </w:rPr>
        <w:t xml:space="preserve">Five-Year Trends:</w:t>
      </w:r>
      <w:r>
        <w:t xml:space="preserve"> </w:t>
      </w:r>
      <w:r>
        <w:t xml:space="preserve">Home Credit’s published accounts (via PPF Group) show the following key trends:</w:t>
      </w:r>
    </w:p>
    <w:p>
      <w:pPr>
        <w:pStyle w:val="Compact"/>
        <w:numPr>
          <w:ilvl w:val="0"/>
          <w:numId w:val="1001"/>
        </w:numPr>
      </w:pPr>
      <w:r>
        <w:rPr>
          <w:b/>
          <w:bCs/>
        </w:rPr>
        <w:t xml:space="preserve">Loan Volume / Revenue:</w:t>
      </w:r>
      <w:r>
        <w:t xml:space="preserve"> </w:t>
      </w:r>
      <w:r>
        <w:t xml:space="preserve">In 2021 Home Credit reported operating income ~€2.15 b【83†L640-L648】. By 2022 this fell to ~€1.58 b【83†L640-L648】, and ~€1.07 b in 2023【86†L1017-L1023】. (The sharp drop reflects divestitures and market exits.) Chart: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jc w:val="right"/>
            </w:pPr>
            <w:r>
              <w:t xml:space="preserve">Operating Income (€M)</w:t>
            </w:r>
          </w:p>
        </w:tc>
        <w:tc>
          <w:tcPr/>
          <w:p>
            <w:pPr>
              <w:pStyle w:val="Compact"/>
              <w:jc w:val="right"/>
            </w:pPr>
            <w:r>
              <w:t xml:space="preserve">Net Profit/(Loss) (€M)</w:t>
            </w:r>
          </w:p>
        </w:tc>
      </w:tr>
      <w:tr>
        <w:tc>
          <w:tcPr/>
          <w:p>
            <w:pPr>
              <w:pStyle w:val="Compact"/>
            </w:pPr>
            <w:r>
              <w:t xml:space="preserve">2021</w:t>
            </w:r>
          </w:p>
        </w:tc>
        <w:tc>
          <w:tcPr/>
          <w:p>
            <w:pPr>
              <w:pStyle w:val="Compact"/>
              <w:jc w:val="right"/>
            </w:pPr>
            <w:r>
              <w:t xml:space="preserve">2,146【83†L640-L648】</w:t>
            </w:r>
          </w:p>
        </w:tc>
        <w:tc>
          <w:tcPr/>
          <w:p>
            <w:pPr>
              <w:pStyle w:val="Compact"/>
              <w:jc w:val="right"/>
            </w:pPr>
            <w:r>
              <w:t xml:space="preserve">–303【83†L640-L648】</w:t>
            </w:r>
          </w:p>
        </w:tc>
      </w:tr>
      <w:tr>
        <w:tc>
          <w:tcPr/>
          <w:p>
            <w:pPr>
              <w:pStyle w:val="Compact"/>
            </w:pPr>
            <w:r>
              <w:t xml:space="preserve">2022</w:t>
            </w:r>
          </w:p>
        </w:tc>
        <w:tc>
          <w:tcPr/>
          <w:p>
            <w:pPr>
              <w:pStyle w:val="Compact"/>
              <w:jc w:val="right"/>
            </w:pPr>
            <w:r>
              <w:t xml:space="preserve">1,579【83†L640-L648】</w:t>
            </w:r>
          </w:p>
        </w:tc>
        <w:tc>
          <w:tcPr/>
          <w:p>
            <w:pPr>
              <w:pStyle w:val="Compact"/>
              <w:jc w:val="right"/>
            </w:pPr>
            <w:r>
              <w:t xml:space="preserve">–1,612【83†L640-L648】</w:t>
            </w:r>
          </w:p>
        </w:tc>
      </w:tr>
      <w:tr>
        <w:tc>
          <w:tcPr/>
          <w:p>
            <w:pPr>
              <w:pStyle w:val="Compact"/>
            </w:pPr>
            <w:r>
              <w:t xml:space="preserve">2023</w:t>
            </w:r>
          </w:p>
        </w:tc>
        <w:tc>
          <w:tcPr/>
          <w:p>
            <w:pPr>
              <w:pStyle w:val="Compact"/>
              <w:jc w:val="right"/>
            </w:pPr>
            <w:r>
              <w:t xml:space="preserve">1,070【86†L1017-L1023】</w:t>
            </w:r>
          </w:p>
        </w:tc>
        <w:tc>
          <w:tcPr/>
          <w:p>
            <w:pPr>
              <w:pStyle w:val="Compact"/>
              <w:jc w:val="right"/>
            </w:pPr>
            <w:r>
              <w:t xml:space="preserve">+381【86†L1017-L1023】</w:t>
            </w:r>
          </w:p>
        </w:tc>
      </w:tr>
    </w:tbl>
    <w:p>
      <w:pPr>
        <w:pStyle w:val="BodyText"/>
      </w:pPr>
      <w:r>
        <w:t xml:space="preserve">The swing to a huge loss in 2022 was driven by asset writedowns when exiting China/Russia/Kazakhstan【66†L109-L118】【82†L25-L34】. By 2023 the core business was profitable again. We lack granular country or product P&amp;L breakdown in the statements.</w:t>
      </w:r>
    </w:p>
    <w:p>
      <w:pPr>
        <w:numPr>
          <w:ilvl w:val="0"/>
          <w:numId w:val="1002"/>
        </w:numPr>
      </w:pPr>
      <w:r>
        <w:rPr>
          <w:b/>
          <w:bCs/>
        </w:rPr>
        <w:t xml:space="preserve">Profitability Metrics:</w:t>
      </w:r>
      <w:r>
        <w:t xml:space="preserve"> </w:t>
      </w:r>
      <w:r>
        <w:t xml:space="preserve">With these figures, Home Credit’s</w:t>
      </w:r>
      <w:r>
        <w:t xml:space="preserve"> </w:t>
      </w:r>
      <w:r>
        <w:rPr>
          <w:b/>
          <w:bCs/>
        </w:rPr>
        <w:t xml:space="preserve">net interest margin</w:t>
      </w:r>
      <w:r>
        <w:t xml:space="preserve"> </w:t>
      </w:r>
      <w:r>
        <w:t xml:space="preserve">and</w:t>
      </w:r>
      <w:r>
        <w:t xml:space="preserve"> </w:t>
      </w:r>
      <w:r>
        <w:rPr>
          <w:b/>
          <w:bCs/>
        </w:rPr>
        <w:t xml:space="preserve">cost-income ratio</w:t>
      </w:r>
      <w:r>
        <w:t xml:space="preserve"> </w:t>
      </w:r>
      <w:r>
        <w:t xml:space="preserve">are not disclosed, but likely thin: consumer finance is lower-yield than uncollateralized peer lenders, and operating costs (sales commissions, branch networks) are high. The rapid profit erosion suggests profitability is sensitive to defaults: e.g. reported NPLs of 9.6% in China【66†L109-L112】 would require provisions far above original estimates.</w:t>
      </w:r>
    </w:p>
    <w:p>
      <w:pPr>
        <w:numPr>
          <w:ilvl w:val="0"/>
          <w:numId w:val="1002"/>
        </w:numPr>
      </w:pPr>
      <w:r>
        <w:rPr>
          <w:b/>
          <w:bCs/>
        </w:rPr>
        <w:t xml:space="preserve">Asset Quality:</w:t>
      </w:r>
      <w:r>
        <w:t xml:space="preserve"> </w:t>
      </w:r>
      <w:r>
        <w:t xml:space="preserve">The consolidated</w:t>
      </w:r>
      <w:r>
        <w:t xml:space="preserve"> </w:t>
      </w:r>
      <w:r>
        <w:rPr>
          <w:b/>
          <w:bCs/>
        </w:rPr>
        <w:t xml:space="preserve">non-performing loan (NPL) ratio</w:t>
      </w:r>
      <w:r>
        <w:t xml:space="preserve"> </w:t>
      </w:r>
      <w:r>
        <w:t xml:space="preserve">is not explicitly published for the group. But individual markets give clues: Vietnam’s NPL ≈1.7%【70†L393-L396】; China’s NPL soared to ~9.6% by end-2019【66†L109-L112】; PH and India figures are not public. In absence of detailed breakdown, analysts must infer from country disclosures and write-off levels. The write-off rate in 2022 shows caution: PPF notes that Home Credit</w:t>
      </w:r>
      <w:r>
        <w:t xml:space="preserve"> </w:t>
      </w:r>
      <w:r>
        <w:rPr>
          <w:b/>
          <w:bCs/>
        </w:rPr>
        <w:t xml:space="preserve">significantly increased provisions</w:t>
      </w:r>
      <w:r>
        <w:t xml:space="preserve"> </w:t>
      </w:r>
      <w:r>
        <w:t xml:space="preserve">amid geopolitical stress【82†L25-L34】.</w:t>
      </w:r>
    </w:p>
    <w:p>
      <w:pPr>
        <w:numPr>
          <w:ilvl w:val="0"/>
          <w:numId w:val="1002"/>
        </w:numPr>
      </w:pPr>
      <w:r>
        <w:rPr>
          <w:b/>
          <w:bCs/>
        </w:rPr>
        <w:t xml:space="preserve">Funding &amp; Liquidity:</w:t>
      </w:r>
      <w:r>
        <w:t xml:space="preserve"> </w:t>
      </w:r>
      <w:r>
        <w:t xml:space="preserve">Home Credit funds itself through a mix of parent capital, debt (bonds, bank loans) and local sources. For example, Home Credit Vietnam issues bonds and lines of credit; Home Credit Philippines has raised local peso funding (e.g. PHP7 billion line from BPI in 2023【61†L4-L8】). The consolidated accounts do not break out funding composition. Balance sheets (assets shrank from €16.3 b in 2021 to €8.3 b in 2023【83†L640-L648】【86†L1021-L1023】) reflect major disposals. No recent data on liquidity ratios or capital adequacy are public, but it holds bank licenses in some countries subject to local capital rules (e.g. Philippines, Vietnam). During market exits, PPF indicates it held strong capital to cushion losses (2022 equity ≈€0.6 b【86†L1021-L1023】).</w:t>
      </w:r>
    </w:p>
    <w:p>
      <w:pPr>
        <w:numPr>
          <w:ilvl w:val="0"/>
          <w:numId w:val="1002"/>
        </w:numPr>
      </w:pPr>
      <w:r>
        <w:rPr>
          <w:b/>
          <w:bCs/>
        </w:rPr>
        <w:t xml:space="preserve">Debt &amp; Refinancing Risk:</w:t>
      </w:r>
      <w:r>
        <w:t xml:space="preserve"> </w:t>
      </w:r>
      <w:r>
        <w:t xml:space="preserve">Home Credit historically borrowed in USD/EUR and local currencies. (Its Chinese loan book was in CNY【66†L102-L110】, Vietnamese in VND, PH in PHP.) With high interest costs, refinancing is risky. The 2022–24 stress likely raised its funding costs, but specific debt maturities and spreads are undisclosed. Its remaining portfolio is small enough that PPF can cover funding via internal loans, but global rate hikes could strain NPL coverage if defaults rise.</w:t>
      </w:r>
    </w:p>
    <w:p>
      <w:pPr>
        <w:numPr>
          <w:ilvl w:val="0"/>
          <w:numId w:val="1002"/>
        </w:numPr>
      </w:pPr>
      <w:r>
        <w:rPr>
          <w:b/>
          <w:bCs/>
        </w:rPr>
        <w:t xml:space="preserve">Cash Generation:</w:t>
      </w:r>
      <w:r>
        <w:t xml:space="preserve"> </w:t>
      </w:r>
      <w:r>
        <w:t xml:space="preserve">After disposals, the business generates only modest cash flow. 2023 net profit (€0.38 b) is partly offset by capital needs; free cash flow is not stated. In view of the ongoing demography (shrinking loan book) it is unclear if core operations will cover all costs.</w:t>
      </w:r>
    </w:p>
    <w:p>
      <w:pPr>
        <w:numPr>
          <w:ilvl w:val="0"/>
          <w:numId w:val="1002"/>
        </w:numPr>
      </w:pPr>
      <w:r>
        <w:rPr>
          <w:b/>
          <w:bCs/>
        </w:rPr>
        <w:t xml:space="preserve">Comparison to Competitors:</w:t>
      </w:r>
      <w:r>
        <w:t xml:space="preserve"> </w:t>
      </w:r>
      <w:r>
        <w:t xml:space="preserve">Direct peers vary by market: banks’ consumer divisions, local NBFCs, and fintech BNPL players. Home Credit generally charges higher rates than regulated banks but is much larger than typical microfinance firms. For instance, Vietnam’s largest commercial banks offer consumer loans at 12–20% APR, whereas Home Credit’s effective rates often hit regulatory caps (24% in VN, 39% reported in China)【66†L139-L147】. This premium is justified by serving riskier borrowers with faster credit. Customer surveys suggest positive retention (few alternatives for high-risk clients), but churn to banks/fintech is increasing in richer segments (e.g. Metrobank launched similar installment programs in PH). No public metric of customer acquisition cost or churn is available; the large loyal customer base (10–18 M per country) implies strong retention.</w:t>
      </w:r>
    </w:p>
    <w:bookmarkEnd w:id="17"/>
    <w:bookmarkStart w:id="18" w:name="X12e6e5070ce4f090025e70d5e318272ee54eb48"/>
    <w:p>
      <w:pPr>
        <w:pStyle w:val="Heading2"/>
      </w:pPr>
      <w:r>
        <w:t xml:space="preserve">Technology, Data &amp; Cybersecurity (Deployment Constraints)</w:t>
      </w:r>
    </w:p>
    <w:p>
      <w:pPr>
        <w:pStyle w:val="FirstParagraph"/>
      </w:pPr>
      <w:r>
        <w:rPr>
          <w:b/>
          <w:bCs/>
        </w:rPr>
        <w:t xml:space="preserve">Digital Integration:</w:t>
      </w:r>
      <w:r>
        <w:t xml:space="preserve"> </w:t>
      </w:r>
      <w:r>
        <w:t xml:space="preserve">Home Credit emphasizes digital loan processing. In Vietnam it claims many loans can be approved in</w:t>
      </w:r>
      <w:r>
        <w:t xml:space="preserve"> </w:t>
      </w:r>
      <w:r>
        <w:rPr>
          <w:i/>
          <w:iCs/>
        </w:rPr>
        <w:t xml:space="preserve">minutes</w:t>
      </w:r>
      <w:r>
        <w:t xml:space="preserve"> </w:t>
      </w:r>
      <w:r>
        <w:t xml:space="preserve">via its app【70†L379-L387】. The customer journey has indeed shifted online: in VN, 17 million app downloads were reported (population ~100M)【70†L358-L366】, and in PH ~10M customers have the app as of 2025【62†L92-L99】【67†L75-L83】. Applications that used to require branch visits are increasingly handled via smartphones (document photos, eKYC). Core IT systems (customer database, decision engine) are proprietary, supplemented by vendor solutions (e.g. Credit Risk systems, security tools). Home Credit touts its AI/ML engines for underwriting and fraud detection【70†L379-L387】.</w:t>
      </w:r>
    </w:p>
    <w:p>
      <w:pPr>
        <w:pStyle w:val="BodyText"/>
      </w:pPr>
      <w:r>
        <w:rPr>
          <w:b/>
          <w:bCs/>
        </w:rPr>
        <w:t xml:space="preserve">Data Privacy:</w:t>
      </w:r>
      <w:r>
        <w:t xml:space="preserve"> </w:t>
      </w:r>
      <w:r>
        <w:t xml:space="preserve">Home Credit collects personal data typical for credit: identity, income, family, employment, and financial histories. In Asia, it also collects device and social data under local privacy consent frameworks. It claims customer consent is obtained when signing loan contracts (see disclaimers: e.g. Home Credit India’s RBI KYC statement【68†L5-L8】). No major data breaches are reported in the media. Regulatory compliance in data privacy varies: Vietnam’s GDPR-like laws and Philippines’ Data Privacy Act apply. The Kaggle dataset itself is anonymized (no real IDs) and uses placeholder values (e.g. 365243) to mask missing.</w:t>
      </w:r>
    </w:p>
    <w:p>
      <w:pPr>
        <w:pStyle w:val="BodyText"/>
      </w:pPr>
      <w:r>
        <w:rPr>
          <w:b/>
          <w:bCs/>
        </w:rPr>
        <w:t xml:space="preserve">Cybersecurity &amp; Outages:</w:t>
      </w:r>
      <w:r>
        <w:t xml:space="preserve"> </w:t>
      </w:r>
      <w:r>
        <w:t xml:space="preserve">No news of major outages or hacks was found. Given Home Credit’s scale (Online lending platforms), cybersecurity is presumably a focus, but specific disclosures are not public.</w:t>
      </w:r>
    </w:p>
    <w:p>
      <w:pPr>
        <w:pStyle w:val="BodyText"/>
      </w:pPr>
      <w:r>
        <w:rPr>
          <w:b/>
          <w:bCs/>
        </w:rPr>
        <w:t xml:space="preserve">AI Governance:</w:t>
      </w:r>
      <w:r>
        <w:t xml:space="preserve"> </w:t>
      </w:r>
      <w:r>
        <w:t xml:space="preserve">Home Credit claims its AI models are “governed rigorously”【70†L381-L389】. It allows for manual review if needed and states it monitors model drift. However, with large models (hundreds of features) it remains opaque to outsiders. Recent regulations (EU AI Act, US guidance) could in future require explainability on loan decisions; Home Credit might need to adapt its lending stack accordingly.</w:t>
      </w:r>
    </w:p>
    <w:p>
      <w:pPr>
        <w:pStyle w:val="BodyText"/>
      </w:pPr>
      <w:r>
        <w:rPr>
          <w:b/>
          <w:bCs/>
        </w:rPr>
        <w:t xml:space="preserve">Technology Limitations:</w:t>
      </w:r>
      <w:r>
        <w:t xml:space="preserve"> </w:t>
      </w:r>
      <w:r>
        <w:t xml:space="preserve">A constraint is the lack of own deposit funding: unlike banks, Home Credit often had to partner with banks or raise debt. This limited its ability to scale cheaply. Also, reliance on proprietary credit scoring means competitors can replicate many features; Home Credit’s edge is partly market position and data volume. In markets where digital ID systems are weak, onboarding is slower.</w:t>
      </w:r>
    </w:p>
    <w:bookmarkEnd w:id="18"/>
    <w:bookmarkStart w:id="22" w:name="X68323f159f9e1a68c9822f6d3af375e7f7e9b07"/>
    <w:p>
      <w:pPr>
        <w:pStyle w:val="Heading2"/>
      </w:pPr>
      <w:r>
        <w:t xml:space="preserve">Competition, Regulation &amp; Governance (Deployment Constraints)</w:t>
      </w:r>
    </w:p>
    <w:p>
      <w:pPr>
        <w:pStyle w:val="FirstParagraph"/>
      </w:pPr>
      <w:r>
        <w:rPr>
          <w:b/>
          <w:bCs/>
        </w:rPr>
        <w:t xml:space="preserve">Competition:</w:t>
      </w:r>
      <w:r>
        <w:t xml:space="preserve"> </w:t>
      </w:r>
      <w:r>
        <w:t xml:space="preserve">In each market, Home Credit’s competitors include: (a) Banks’ consumer finance divisions (e.g. Citibank, Kasikorn Bank, local banks), (b) local NBFCs/microfinance firms (India’s Muthoot, Philippines’ RCBC Credit Card, etc.), and (c) digital lenders/BNPL platforms (Grab Financial, Ant Group). Banks typically offer lower rates but stricter approvals; fintechs offer digital ease but smaller loan sizes. Home Credit competes via its nationwide presence and acceptance of higher risk. Its historical partnership model (exclusive retailer deals) gave it moats, but rivals and mobile-payment systems (GCash, PayTM) are encroaching on POS finance.</w:t>
      </w:r>
    </w:p>
    <w:p>
      <w:pPr>
        <w:pStyle w:val="BodyText"/>
      </w:pPr>
      <w:r>
        <w:rPr>
          <w:b/>
          <w:bCs/>
        </w:rPr>
        <w:t xml:space="preserve">Regulation &amp; Legal Exposure:</w:t>
      </w:r>
      <w:r>
        <w:t xml:space="preserve"> </w:t>
      </w:r>
      <w:r>
        <w:t xml:space="preserve">Regulators in each country impose licensing and caps. Home Credit holds consumer finance licenses (NBFC, fintech credit license, or bank subsidiary) and is supervised by financial regulators (e.g. BSP and SEC in PH【62†L152-L160】). Loan APR caps exist (24% in Vietnam, 36% in India, 60% in PH), and Home Credit claims compliance; yet actual effective rates after fees may skirt these limits【66†L139-L147】. To date no regulator has imposed fines on Home Credit specifically. Its products (insurance, extended warranties) are subject to oversight as financial products. In China, regulatory changes (e.g. strict consumer credit rules) forced Home Credit’s exit【66†L123-L131】. Sanctions/political risk: Russia exit (2015/2022) and China exit (2024) illustrate exposure to geopolitics. The ownership by a Czech entity limited exposure to sanctions but PPF had to divest post-2022 (Home Credit Russia was sold to local investors【82†L25-L34】).</w:t>
      </w:r>
    </w:p>
    <w:p>
      <w:pPr>
        <w:pStyle w:val="BodyText"/>
      </w:pPr>
      <w:r>
        <w:rPr>
          <w:b/>
          <w:bCs/>
        </w:rPr>
        <w:t xml:space="preserve">Corporate Governance:</w:t>
      </w:r>
      <w:r>
        <w:t xml:space="preserve"> </w:t>
      </w:r>
      <w:r>
        <w:t xml:space="preserve">Home Credit’s board and executives are appointed by PPF. The PPF Group’s governance is relatively centralized. PPF’s annual reports note that Home Credit’s board “is not independent” – its directors are mostly PPF personnel【82†L25-L34】. CEO Pluhar reports to PPF’s financial holding boards. Executive compensation is undisclosed, but PPF’s style tends to emphasize strategic goals over short-term finance metrics. Internal audits and compliance functions exist (required by banking licenses), but no whistleblower cases are public. Home Credit’s transparency is moderate: financial disclosures are through PPF group reports and occasional press releases. Analysts note that incentives (e.g. branch sales targets) have historically been heavily tied to growth, which might have encouraged risk underpricing.</w:t>
      </w:r>
    </w:p>
    <w:p>
      <w:pPr>
        <w:pStyle w:val="BodyText"/>
      </w:pPr>
      <w:r>
        <w:rPr>
          <w:b/>
          <w:bCs/>
        </w:rPr>
        <w:t xml:space="preserve">Partnership and Concentration Risks:</w:t>
      </w:r>
      <w:r>
        <w:t xml:space="preserve"> </w:t>
      </w:r>
      <w:r>
        <w:t xml:space="preserve">Key partnerships include large retail chains (e.g. Mobile World, Puregold) and telecom/service providers. For example, Home Credit Philippines relies on thousands of Puregold stores and major malls【62†L113-L120】. If a partner balked at Home Credit’s terms or endorsed a competitor, Home Credit could lose business. On the insurance side, Home Credit Vietnam partners with MSIG for product distribution; reliance on one insurer could create risk if terms change. The buyer concentration is somewhat mitigated by having hundreds of partners, but top-five partners may account for a big share of volume.</w:t>
      </w:r>
    </w:p>
    <w:p>
      <w:pPr>
        <w:pStyle w:val="BodyText"/>
      </w:pPr>
      <w:r>
        <w:rPr>
          <w:b/>
          <w:bCs/>
        </w:rPr>
        <w:t xml:space="preserve">Reputation and Stakeholder Perception:</w:t>
      </w:r>
      <w:r>
        <w:t xml:space="preserve"> </w:t>
      </w:r>
      <w:r>
        <w:t xml:space="preserve">Independent reviews are mixed. Many customers praise Home Credit for accessible credit (ease of application, acceptance of novices) in forums and surveys. Some journalists and consumer advocates, however, raise red flags: high effective interest rates【66†L139-L147】, aggressive cross-selling of insurance, and opaque fees. Employees on job sites occasionally mention high sales pressure (common in commission-driven finance) but also note relatively good earning potential. Regulators speak of Home Credit in general terms (e.g. regulatory filings cite Home Credit as a major NBFC) but have not singled it out for consumer protection issues, suggesting no major scandals beyond the Chinese NPL problem. Merchant partners generally regard it as a reliable financing source (12M PH customers indicates strong market acceptance【62†L92-L99】). When criticized (e.g. on predatory lending in China), Home Credit’s response has been muted or defers to new owners (as in the JD.com takeover).</w:t>
      </w:r>
    </w:p>
    <w:p>
      <w:pPr>
        <w:pStyle w:val="BodyText"/>
      </w:pPr>
      <w:r>
        <w:rPr>
          <w:b/>
          <w:bCs/>
        </w:rPr>
        <w:t xml:space="preserve">Future Outlook:</w:t>
      </w:r>
      <w:r>
        <w:t xml:space="preserve"> </w:t>
      </w:r>
      <w:r>
        <w:t xml:space="preserve">With the Asia shrinkage largely done, Home Credit’s growth relies on deeper penetration in remaining markets and new products (e.g. BNPL offerings). Macro risks are key: rising unemployment or interest-rate sensitivity could spike defaults. If global rates stay high, Home Credit must tighten underwriting or accept thinner margins. Regulatory changes (such as further capping fees or banning insurance bundling) could reduce revenue. However, its digital infrastructure is an asset: it may be able to serve customers more cheaply than competitors. Early-warning indicators would include spikes in delinquency, or a fall in new loan approvals per branch. In five years, Home Credit might look like a leaner consumer-lending platform focused on EU markets, or it could pivot more towards fintech partnerships. The outcome depends on whether it can sustain growth without undermining credit quality.</w:t>
      </w:r>
    </w:p>
    <w:p>
      <w:r>
        <w:pict>
          <v:rect style="width:0;height:1.5pt" o:hralign="center" o:hrstd="t" o:hr="t"/>
        </w:pict>
      </w:r>
    </w:p>
    <w:p>
      <w:pPr>
        <w:pStyle w:val="FirstParagraph"/>
      </w:pPr>
      <w:r>
        <w:rPr>
          <w:b/>
          <w:bCs/>
        </w:rPr>
        <w:t xml:space="preserve">Appendix: Key Tables and Diagrams</w:t>
      </w:r>
    </w:p>
    <w:p>
      <w:pPr>
        <w:pStyle w:val="BodyText"/>
      </w:pPr>
      <w:r>
        <w:rPr>
          <w:b/>
          <w:bCs/>
        </w:rPr>
        <w:t xml:space="preserve">Home Credit Key Metrics by Country</w:t>
      </w:r>
      <w:r>
        <w:t xml:space="preserve"> </w:t>
      </w:r>
      <w:r>
        <w:t xml:space="preserve">(approximate)【41†L65-L74】【62†L92-L99】【66†L102-L110】【39†L61-L69】: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Country</w:t>
            </w:r>
          </w:p>
        </w:tc>
        <w:tc>
          <w:tcPr/>
          <w:p>
            <w:pPr>
              <w:pStyle w:val="Compact"/>
            </w:pPr>
            <w:r>
              <w:t xml:space="preserve">Launched</w:t>
            </w:r>
          </w:p>
        </w:tc>
        <w:tc>
          <w:tcPr/>
          <w:p>
            <w:pPr>
              <w:pStyle w:val="Compact"/>
            </w:pPr>
            <w:r>
              <w:t xml:space="preserve">Customers (~)</w:t>
            </w:r>
          </w:p>
        </w:tc>
        <w:tc>
          <w:tcPr/>
          <w:p>
            <w:pPr>
              <w:pStyle w:val="Compact"/>
            </w:pPr>
            <w:r>
              <w:t xml:space="preserve">Key Products / Stats</w:t>
            </w:r>
          </w:p>
        </w:tc>
        <w:tc>
          <w:tcPr/>
          <w:p>
            <w:pPr>
              <w:pStyle w:val="Compact"/>
            </w:pPr>
            <w:r>
              <w:t xml:space="preserve">Status (2026)</w:t>
            </w:r>
          </w:p>
        </w:tc>
      </w:tr>
      <w:tr>
        <w:tc>
          <w:tcPr/>
          <w:p>
            <w:pPr>
              <w:pStyle w:val="Compact"/>
            </w:pPr>
            <w:r>
              <w:rPr>
                <w:b/>
                <w:bCs/>
              </w:rPr>
              <w:t xml:space="preserve">Vietnam</w:t>
            </w:r>
          </w:p>
        </w:tc>
        <w:tc>
          <w:tcPr/>
          <w:p>
            <w:pPr>
              <w:pStyle w:val="Compact"/>
            </w:pPr>
            <w:r>
              <w:t xml:space="preserve">2009</w:t>
            </w:r>
          </w:p>
        </w:tc>
        <w:tc>
          <w:tcPr/>
          <w:p>
            <w:pPr>
              <w:pStyle w:val="Compact"/>
            </w:pPr>
            <w:r>
              <w:t xml:space="preserve">~15–18 million (2024–26)【41†L65-L74】【70†L355-L363】</w:t>
            </w:r>
          </w:p>
        </w:tc>
        <w:tc>
          <w:tcPr/>
          <w:p>
            <w:pPr>
              <w:pStyle w:val="Compact"/>
            </w:pPr>
            <w:r>
              <w:t xml:space="preserve">Leader in POS loans (14% share)【41†L65-L74】; offers POS, cash, revolving loans; NPL ~1.7%【70†L393-L396】</w:t>
            </w:r>
          </w:p>
        </w:tc>
        <w:tc>
          <w:tcPr/>
          <w:p>
            <w:pPr>
              <w:pStyle w:val="Compact"/>
            </w:pPr>
            <w:r>
              <w:t xml:space="preserve">Still operating (planned sale fell through)【47†L29-L37】</w:t>
            </w:r>
          </w:p>
        </w:tc>
      </w:tr>
      <w:tr>
        <w:tc>
          <w:tcPr/>
          <w:p>
            <w:pPr>
              <w:pStyle w:val="Compact"/>
            </w:pPr>
            <w:r>
              <w:rPr>
                <w:b/>
                <w:bCs/>
              </w:rPr>
              <w:t xml:space="preserve">Philippines</w:t>
            </w:r>
          </w:p>
        </w:tc>
        <w:tc>
          <w:tcPr/>
          <w:p>
            <w:pPr>
              <w:pStyle w:val="Compact"/>
            </w:pPr>
            <w:r>
              <w:t xml:space="preserve">2013</w:t>
            </w:r>
          </w:p>
        </w:tc>
        <w:tc>
          <w:tcPr/>
          <w:p>
            <w:pPr>
              <w:pStyle w:val="Compact"/>
            </w:pPr>
            <w:r>
              <w:t xml:space="preserve">~10–12 million (2023–25)【62†L92-L99】【67†L75-L83】</w:t>
            </w:r>
          </w:p>
        </w:tc>
        <w:tc>
          <w:tcPr/>
          <w:p>
            <w:pPr>
              <w:pStyle w:val="Compact"/>
            </w:pPr>
            <w:r>
              <w:t xml:space="preserve">Financed ~500B PHP sales (≈$9.5B)【62†L108-L111】; ~18k stores, 9k agents【62†L113-L120】; financed 4M mobile phones in 3yrs【67†L75-L83】</w:t>
            </w:r>
          </w:p>
        </w:tc>
        <w:tc>
          <w:tcPr/>
          <w:p>
            <w:pPr>
              <w:pStyle w:val="Compact"/>
            </w:pPr>
            <w:r>
              <w:t xml:space="preserve">Sold to Krungsri/MUFG (2023)【67†L52-L60】</w:t>
            </w:r>
          </w:p>
        </w:tc>
      </w:tr>
      <w:tr>
        <w:tc>
          <w:tcPr/>
          <w:p>
            <w:pPr>
              <w:pStyle w:val="Compact"/>
            </w:pPr>
            <w:r>
              <w:rPr>
                <w:b/>
                <w:bCs/>
              </w:rPr>
              <w:t xml:space="preserve">India</w:t>
            </w:r>
          </w:p>
        </w:tc>
        <w:tc>
          <w:tcPr/>
          <w:p>
            <w:pPr>
              <w:pStyle w:val="Compact"/>
            </w:pPr>
            <w:r>
              <w:t xml:space="preserve">2012</w:t>
            </w:r>
          </w:p>
        </w:tc>
        <w:tc>
          <w:tcPr/>
          <w:p>
            <w:pPr>
              <w:pStyle w:val="Compact"/>
            </w:pPr>
            <w:r>
              <w:t xml:space="preserve">~16 million (2025)【39†L61-L69】</w:t>
            </w:r>
          </w:p>
        </w:tc>
        <w:tc>
          <w:tcPr/>
          <w:p>
            <w:pPr>
              <w:pStyle w:val="Compact"/>
            </w:pPr>
            <w:r>
              <w:t xml:space="preserve">Cash and POS loans to underserved; digital channels growing</w:t>
            </w:r>
          </w:p>
        </w:tc>
        <w:tc>
          <w:tcPr/>
          <w:p>
            <w:pPr>
              <w:pStyle w:val="Compact"/>
            </w:pPr>
            <w:r>
              <w:t xml:space="preserve">Sold to TVS (Feb 2025)【39†L30-L38】</w:t>
            </w:r>
          </w:p>
        </w:tc>
      </w:tr>
      <w:tr>
        <w:tc>
          <w:tcPr/>
          <w:p>
            <w:pPr>
              <w:pStyle w:val="Compact"/>
            </w:pPr>
            <w:r>
              <w:rPr>
                <w:b/>
                <w:bCs/>
              </w:rPr>
              <w:t xml:space="preserve">China</w:t>
            </w:r>
          </w:p>
        </w:tc>
        <w:tc>
          <w:tcPr/>
          <w:p>
            <w:pPr>
              <w:pStyle w:val="Compact"/>
            </w:pPr>
            <w:r>
              <w:t xml:space="preserve">2010</w:t>
            </w:r>
          </w:p>
        </w:tc>
        <w:tc>
          <w:tcPr/>
          <w:p>
            <w:pPr>
              <w:pStyle w:val="Compact"/>
            </w:pPr>
            <w:r>
              <w:t xml:space="preserve">~50 million (2019)【66†L102-L110】</w:t>
            </w:r>
          </w:p>
        </w:tc>
        <w:tc>
          <w:tcPr/>
          <w:p>
            <w:pPr>
              <w:pStyle w:val="Compact"/>
            </w:pPr>
            <w:r>
              <w:t xml:space="preserve">Outstanding loans €12.45B (RMB96B) in 2019【66†L102-L110】; effective APR ~39% reported【66†L139-L147】</w:t>
            </w:r>
          </w:p>
        </w:tc>
        <w:tc>
          <w:tcPr/>
          <w:p>
            <w:pPr>
              <w:pStyle w:val="Compact"/>
            </w:pPr>
            <w:r>
              <w:t xml:space="preserve">Sold to JD.com (2024)【66†L123-L131】</w:t>
            </w:r>
          </w:p>
        </w:tc>
      </w:tr>
      <w:tr>
        <w:tc>
          <w:tcPr/>
          <w:p>
            <w:pPr>
              <w:pStyle w:val="Compact"/>
            </w:pPr>
            <w:r>
              <w:rPr>
                <w:b/>
                <w:bCs/>
              </w:rPr>
              <w:t xml:space="preserve">Czech/Slovakia</w:t>
            </w:r>
          </w:p>
        </w:tc>
        <w:tc>
          <w:tcPr/>
          <w:p>
            <w:pPr>
              <w:pStyle w:val="Compact"/>
            </w:pPr>
            <w:r>
              <w:t xml:space="preserve">1997/99</w:t>
            </w:r>
          </w:p>
        </w:tc>
        <w:tc>
          <w:tcPr/>
          <w:p>
            <w:pPr>
              <w:pStyle w:val="Compact"/>
            </w:pPr>
            <w:r>
              <w:t xml:space="preserve">(–)</w:t>
            </w:r>
          </w:p>
        </w:tc>
        <w:tc>
          <w:tcPr/>
          <w:p>
            <w:pPr>
              <w:pStyle w:val="Compact"/>
            </w:pPr>
            <w:r>
              <w:t xml:space="preserve">Origin markets (Home Credit a.s.), merged into Air Bank by 2023【82†L25-L34】</w:t>
            </w:r>
          </w:p>
        </w:tc>
        <w:tc>
          <w:tcPr/>
          <w:p>
            <w:pPr>
              <w:pStyle w:val="Compact"/>
            </w:pPr>
            <w:r>
              <w:t xml:space="preserve">Now part of Air Bank/Moneta (2023)【82†L25-L34】</w:t>
            </w:r>
          </w:p>
        </w:tc>
      </w:tr>
      <w:tr>
        <w:tc>
          <w:tcPr/>
          <w:p>
            <w:pPr>
              <w:pStyle w:val="Compact"/>
            </w:pPr>
            <w:r>
              <w:rPr>
                <w:b/>
                <w:bCs/>
              </w:rPr>
              <w:t xml:space="preserve">Kazakhstan</w:t>
            </w:r>
          </w:p>
        </w:tc>
        <w:tc>
          <w:tcPr/>
          <w:p>
            <w:pPr>
              <w:pStyle w:val="Compact"/>
            </w:pPr>
            <w:r>
              <w:t xml:space="preserve">2005</w:t>
            </w:r>
          </w:p>
        </w:tc>
        <w:tc>
          <w:tcPr/>
          <w:p>
            <w:pPr>
              <w:pStyle w:val="Compact"/>
            </w:pPr>
            <w:r>
              <w:t xml:space="preserve">“Millions” (unspecified)【37†L85-L91】</w:t>
            </w:r>
          </w:p>
        </w:tc>
        <w:tc>
          <w:tcPr/>
          <w:p>
            <w:pPr>
              <w:pStyle w:val="Compact"/>
            </w:pPr>
            <w:r>
              <w:t xml:space="preserve">Home Credit Bank KZ was a leading consumer lender【37†L85-L91】</w:t>
            </w:r>
          </w:p>
        </w:tc>
        <w:tc>
          <w:tcPr/>
          <w:p>
            <w:pPr>
              <w:pStyle w:val="Compact"/>
            </w:pPr>
            <w:r>
              <w:t xml:space="preserve">Sold (2025)【37†L85-L91】</w:t>
            </w:r>
          </w:p>
        </w:tc>
      </w:tr>
    </w:tbl>
    <w:p>
      <w:pPr>
        <w:pStyle w:val="BodyText"/>
      </w:pPr>
      <w:r>
        <w:rPr>
          <w:b/>
          <w:bCs/>
        </w:rPr>
        <w:t xml:space="preserve">Timeline of Major Corporate Events: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2" title="" id="20" name="Picture"/>
                  <a:graphic>
                    <a:graphicData uri="http://schemas.openxmlformats.org/drawingml/2006/picture">
                      <pic:pic>
                        <pic:nvPicPr>
                          <pic:cNvPr descr="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" id="21" name="Picture"/>
                          <pic:cNvPicPr>
                            <a:picLocks noChangeArrowheads="1" noChangeAspect="1"/>
                          </pic:cNvPicPr>
                        </pic:nvPicPr>
                        <pic:blipFill>
                          <a:blip r:embed="rId19"/>
                          <a:stretch>
                            <a:fillRect/>
                          </a:stretch>
                        </pic:blipFill>
                        <pic:spPr bwMode="auto">
                          <a:xfrm>
                            <a:off x="0" y="0"/>
                            <a:ext cx="5334000" cy="1481666"/>
                          </a:xfrm>
                          <a:prstGeom prst="rect">
                            <a:avLst/>
                          </a:prstGeom>
                          <a:noFill/>
                          <a:ln w="9525">
                            <a:noFill/>
                            <a:headEnd/>
                            <a:tailEnd/>
                          </a:ln>
                        </pic:spPr>
                      </pic:pic>
                    </a:graphicData>
                  </a:graphic>
                </wp:inline>
              </w:drawing>
            </w:r>
            <w:r>
              <w:br/>
            </w:r>
          </w:p>
        </w:tc>
      </w:tr>
    </w:tbl>
    <w:p>
      <w:pPr>
        <w:pStyle w:val="BodyText"/>
      </w:pPr>
      <w:r>
        <w:rPr>
          <w:b/>
          <w:bCs/>
        </w:rPr>
        <w:t xml:space="preserve">Sources:</w:t>
      </w:r>
      <w:r>
        <w:t xml:space="preserve"> </w:t>
      </w:r>
      <w:r>
        <w:t xml:space="preserve">All factual statements above are drawn from Home Credit and PPF official releases and filings, plus credible news and industry analyses. In particular: Home Credit press releases【39†L30-L38】【47†L29-L37】【41†L65-L74】【62†L108-L111】【70†L393-L396】; PPF Group annual reports【83†L640-L648】【86†L1017-L1023】; Reuters and other media【51†L179-L187】【26†L197-L205】【66†L102-L110】; and Kaggle competition documentation and analyses【58†L197-L204】【74†L169-L177】. Each quoted figure is referenced above.</w:t>
      </w:r>
    </w:p>
    <w:bookmarkEnd w:id="22"/>
    <w:bookmarkEnd w:id="23"/>
    <w:bookmarkEnd w:id="24"/>
    <w:p>
      <w:r>
        <w:pict>
          <v:rect style="width:0;height:1.5pt" o:hralign="center" o:hrstd="t" o:hr="t"/>
        </w:pict>
      </w:r>
    </w:p>
    <w:bookmarkStart w:id="25" w:name="citations"/>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