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56993" w14:textId="77777777" w:rsidR="00EF4013" w:rsidRDefault="00000000">
      <w:pPr>
        <w:pStyle w:val="Heading1"/>
      </w:pPr>
      <w:bookmarkStart w:id="0" w:name="كابي-ماكس-للأصول-الافتراضية"/>
      <w:r>
        <w:t>كابي ماكس للأصول الافتراضية</w:t>
      </w:r>
    </w:p>
    <w:p w14:paraId="53702C87" w14:textId="60DB2737" w:rsidR="00EF4013" w:rsidRDefault="00000000">
      <w:pPr>
        <w:pStyle w:val="FirstParagraph"/>
      </w:pPr>
      <w:r>
        <w:t xml:space="preserve">شركة </w:t>
      </w:r>
      <w:proofErr w:type="spellStart"/>
      <w:r>
        <w:t>بريطانية</w:t>
      </w:r>
      <w:proofErr w:type="spellEnd"/>
      <w:r>
        <w:t xml:space="preserve"> </w:t>
      </w:r>
      <w:proofErr w:type="spellStart"/>
      <w:r>
        <w:t>متخصصة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rPr>
          <w:b/>
          <w:bCs/>
        </w:rPr>
        <w:t>إدارة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الأصول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الافتراضية</w:t>
      </w:r>
      <w:proofErr w:type="spellEnd"/>
      <w:r>
        <w:t xml:space="preserve">، </w:t>
      </w:r>
      <w:proofErr w:type="spellStart"/>
      <w:r>
        <w:t>وإنشاء</w:t>
      </w:r>
      <w:proofErr w:type="spellEnd"/>
      <w:r>
        <w:t xml:space="preserve"> </w:t>
      </w:r>
      <w:proofErr w:type="spellStart"/>
      <w:r>
        <w:t>وإدارة</w:t>
      </w:r>
      <w:proofErr w:type="spellEnd"/>
      <w:r>
        <w:t xml:space="preserve"> </w:t>
      </w:r>
      <w:proofErr w:type="spellStart"/>
      <w:r>
        <w:rPr>
          <w:b/>
          <w:bCs/>
        </w:rPr>
        <w:t>صناديق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الاستثمارات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الرقمية</w:t>
      </w:r>
      <w:proofErr w:type="spellEnd"/>
      <w:r>
        <w:t xml:space="preserve">، </w:t>
      </w:r>
      <w:proofErr w:type="spellStart"/>
      <w:r>
        <w:t>وخدمات</w:t>
      </w:r>
      <w:proofErr w:type="spellEnd"/>
      <w:r>
        <w:t xml:space="preserve"> </w:t>
      </w:r>
      <w:proofErr w:type="spellStart"/>
      <w:r>
        <w:rPr>
          <w:b/>
          <w:bCs/>
        </w:rPr>
        <w:t>الترميز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العقاري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والاستثماري</w:t>
      </w:r>
      <w:proofErr w:type="spellEnd"/>
      <w:r>
        <w:rPr>
          <w:b/>
          <w:bCs/>
        </w:rP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حضور</w:t>
      </w:r>
      <w:proofErr w:type="spellEnd"/>
      <w:r>
        <w:t xml:space="preserve"> </w:t>
      </w:r>
      <w:proofErr w:type="spellStart"/>
      <w:r>
        <w:t>تشغيلي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الولايات</w:t>
      </w:r>
      <w:proofErr w:type="spellEnd"/>
      <w:r>
        <w:t xml:space="preserve"> </w:t>
      </w:r>
      <w:proofErr w:type="spellStart"/>
      <w:r>
        <w:t>المتحدة</w:t>
      </w:r>
      <w:proofErr w:type="spellEnd"/>
      <w:r>
        <w:t xml:space="preserve"> </w:t>
      </w:r>
      <w:proofErr w:type="spellStart"/>
      <w:r>
        <w:t>والإمارات</w:t>
      </w:r>
      <w:proofErr w:type="spellEnd"/>
      <w:r>
        <w:t>. نقدّم حلولًا مؤسسية عبر منصّاتنا للملكية الجزئية، مع شراكات عالمية في التمويل والتأمين والتقييم والعقار والضيافة.</w:t>
      </w:r>
    </w:p>
    <w:p w14:paraId="11692843" w14:textId="72979FB3" w:rsidR="00EF4013" w:rsidRDefault="00E243C1">
      <w:pPr>
        <w:pStyle w:val="BlockText"/>
      </w:pPr>
      <w:r>
        <w:rPr>
          <w:rFonts w:hint="cs"/>
          <w:rtl/>
        </w:rPr>
        <w:t xml:space="preserve"> تقدم خدماتها </w:t>
      </w:r>
      <w:proofErr w:type="gramStart"/>
      <w:r>
        <w:rPr>
          <w:rFonts w:hint="cs"/>
          <w:rtl/>
        </w:rPr>
        <w:t>عاميا</w:t>
      </w:r>
      <w:r>
        <w:t>.</w:t>
      </w:r>
      <w:r>
        <w:rPr>
          <w:rFonts w:hint="cs"/>
          <w:rtl/>
        </w:rPr>
        <w:t>منصة</w:t>
      </w:r>
      <w:proofErr w:type="gramEnd"/>
      <w:r>
        <w:rPr>
          <w:rFonts w:hint="cs"/>
          <w:rtl/>
        </w:rPr>
        <w:t xml:space="preserve"> لامركزية</w:t>
      </w:r>
    </w:p>
    <w:p w14:paraId="0A3A576D" w14:textId="77777777" w:rsidR="00EF4013" w:rsidRDefault="00000000">
      <w:r>
        <w:pict w14:anchorId="476F6EF8">
          <v:rect id="_x0000_i1025" style="width:0;height:1.5pt" o:hralign="center" o:hrstd="t" o:hr="t"/>
        </w:pict>
      </w:r>
    </w:p>
    <w:p w14:paraId="7B38B634" w14:textId="77777777" w:rsidR="00EF4013" w:rsidRDefault="00000000">
      <w:pPr>
        <w:pStyle w:val="Heading2"/>
      </w:pPr>
      <w:bookmarkStart w:id="1" w:name="خارطة-الموقع-site-map"/>
      <w:r>
        <w:t>خارطة الموقع (Site Map)</w:t>
      </w:r>
    </w:p>
    <w:p w14:paraId="49B2DF47" w14:textId="77777777" w:rsidR="00EF4013" w:rsidRDefault="00000000">
      <w:pPr>
        <w:pStyle w:val="Compact"/>
        <w:numPr>
          <w:ilvl w:val="0"/>
          <w:numId w:val="2"/>
        </w:numPr>
      </w:pPr>
      <w:r>
        <w:t>الصفحة الرئيسية</w:t>
      </w:r>
    </w:p>
    <w:p w14:paraId="6E2C8054" w14:textId="77777777" w:rsidR="00EF4013" w:rsidRDefault="00000000">
      <w:pPr>
        <w:pStyle w:val="Compact"/>
        <w:numPr>
          <w:ilvl w:val="0"/>
          <w:numId w:val="2"/>
        </w:numPr>
      </w:pPr>
      <w:r>
        <w:t>من نحن (الهوية والحوكمة)</w:t>
      </w:r>
    </w:p>
    <w:p w14:paraId="3C44190B" w14:textId="77777777" w:rsidR="00EF4013" w:rsidRDefault="00000000">
      <w:pPr>
        <w:pStyle w:val="Compact"/>
        <w:numPr>
          <w:ilvl w:val="0"/>
          <w:numId w:val="2"/>
        </w:numPr>
      </w:pPr>
      <w:r>
        <w:t>حلولنا وخدماتنا</w:t>
      </w:r>
    </w:p>
    <w:p w14:paraId="1B817EA9" w14:textId="77777777" w:rsidR="00EF4013" w:rsidRDefault="00000000">
      <w:pPr>
        <w:pStyle w:val="Compact"/>
        <w:numPr>
          <w:ilvl w:val="0"/>
          <w:numId w:val="2"/>
        </w:numPr>
      </w:pPr>
      <w:r>
        <w:t>المنصّات الرقمية</w:t>
      </w:r>
    </w:p>
    <w:p w14:paraId="51E4CDB2" w14:textId="77777777" w:rsidR="00EF4013" w:rsidRDefault="00000000">
      <w:pPr>
        <w:pStyle w:val="Compact"/>
        <w:numPr>
          <w:ilvl w:val="0"/>
          <w:numId w:val="2"/>
        </w:numPr>
      </w:pPr>
      <w:r>
        <w:t>الشراكات والتحالفات</w:t>
      </w:r>
    </w:p>
    <w:p w14:paraId="51B3F743" w14:textId="77777777" w:rsidR="00EF4013" w:rsidRDefault="00000000">
      <w:pPr>
        <w:pStyle w:val="Compact"/>
        <w:numPr>
          <w:ilvl w:val="0"/>
          <w:numId w:val="2"/>
        </w:numPr>
      </w:pPr>
      <w:r>
        <w:t>كيف تبدأ (مستثمر/مُصدِر)</w:t>
      </w:r>
    </w:p>
    <w:p w14:paraId="002197C4" w14:textId="77777777" w:rsidR="00EF4013" w:rsidRDefault="00000000">
      <w:pPr>
        <w:pStyle w:val="Compact"/>
        <w:numPr>
          <w:ilvl w:val="0"/>
          <w:numId w:val="2"/>
        </w:numPr>
      </w:pPr>
      <w:r>
        <w:t>التغطية الجغرافية والفروع</w:t>
      </w:r>
    </w:p>
    <w:p w14:paraId="23C7E630" w14:textId="77777777" w:rsidR="00EF4013" w:rsidRDefault="00000000">
      <w:pPr>
        <w:pStyle w:val="Compact"/>
        <w:numPr>
          <w:ilvl w:val="0"/>
          <w:numId w:val="2"/>
        </w:numPr>
      </w:pPr>
      <w:r>
        <w:t>دراسات حالة ونتائج</w:t>
      </w:r>
    </w:p>
    <w:p w14:paraId="46D68AD1" w14:textId="77777777" w:rsidR="00EF4013" w:rsidRDefault="00000000">
      <w:pPr>
        <w:pStyle w:val="Compact"/>
        <w:numPr>
          <w:ilvl w:val="0"/>
          <w:numId w:val="2"/>
        </w:numPr>
      </w:pPr>
      <w:r>
        <w:t>الأسئلة الشائعة (FAQ)</w:t>
      </w:r>
    </w:p>
    <w:p w14:paraId="2F9851D0" w14:textId="77777777" w:rsidR="00EF4013" w:rsidRDefault="00000000">
      <w:pPr>
        <w:pStyle w:val="Compact"/>
        <w:numPr>
          <w:ilvl w:val="0"/>
          <w:numId w:val="2"/>
        </w:numPr>
      </w:pPr>
      <w:r>
        <w:t>المستندات والسياسات (يشمل السياسات القانونية والتشغيلية)</w:t>
      </w:r>
    </w:p>
    <w:p w14:paraId="018762E5" w14:textId="77777777" w:rsidR="00EF4013" w:rsidRDefault="00000000">
      <w:pPr>
        <w:pStyle w:val="Compact"/>
        <w:numPr>
          <w:ilvl w:val="0"/>
          <w:numId w:val="2"/>
        </w:numPr>
      </w:pPr>
      <w:proofErr w:type="spellStart"/>
      <w:r>
        <w:t>تواصل</w:t>
      </w:r>
      <w:proofErr w:type="spellEnd"/>
      <w:r>
        <w:t xml:space="preserve"> </w:t>
      </w:r>
      <w:proofErr w:type="spellStart"/>
      <w:r>
        <w:t>معنا</w:t>
      </w:r>
      <w:proofErr w:type="spellEnd"/>
    </w:p>
    <w:p w14:paraId="724C886E" w14:textId="77777777" w:rsidR="00753517" w:rsidRDefault="00753517" w:rsidP="00753517">
      <w:pPr>
        <w:pStyle w:val="Compact"/>
        <w:numPr>
          <w:ilvl w:val="0"/>
          <w:numId w:val="2"/>
        </w:numPr>
        <w:jc w:val="center"/>
        <w:rPr>
          <w:b/>
          <w:bCs/>
          <w:rtl/>
        </w:rPr>
      </w:pPr>
      <w:r w:rsidRPr="00802DC6">
        <w:rPr>
          <w:rFonts w:hint="cs"/>
          <w:b/>
          <w:bCs/>
          <w:rtl/>
        </w:rPr>
        <w:t xml:space="preserve">مركز مستندات تحقق وتحميل </w:t>
      </w:r>
      <w:proofErr w:type="spellStart"/>
      <w:r w:rsidRPr="00802DC6">
        <w:rPr>
          <w:rFonts w:hint="cs"/>
          <w:b/>
          <w:bCs/>
          <w:rtl/>
        </w:rPr>
        <w:t>هامم</w:t>
      </w:r>
      <w:proofErr w:type="spellEnd"/>
    </w:p>
    <w:p w14:paraId="58B3518E" w14:textId="77777777" w:rsidR="00753517" w:rsidRDefault="00753517">
      <w:pPr>
        <w:pStyle w:val="Compact"/>
        <w:numPr>
          <w:ilvl w:val="0"/>
          <w:numId w:val="2"/>
        </w:numPr>
      </w:pPr>
    </w:p>
    <w:p w14:paraId="41E9A5DC" w14:textId="77777777" w:rsidR="00EF4013" w:rsidRDefault="00000000">
      <w:r>
        <w:pict w14:anchorId="19010327">
          <v:rect id="_x0000_i1026" style="width:0;height:1.5pt" o:hralign="center" o:hrstd="t" o:hr="t"/>
        </w:pict>
      </w:r>
    </w:p>
    <w:p w14:paraId="3B8CCB61" w14:textId="77777777" w:rsidR="00EF4013" w:rsidRDefault="00000000">
      <w:pPr>
        <w:pStyle w:val="Heading2"/>
      </w:pPr>
      <w:bookmarkStart w:id="2" w:name="الصفحة-الرئيسية"/>
      <w:bookmarkEnd w:id="1"/>
      <w:r>
        <w:t>1) الصفحة الرئيسية</w:t>
      </w:r>
    </w:p>
    <w:p w14:paraId="2363211B" w14:textId="77777777" w:rsidR="00EF4013" w:rsidRDefault="00000000">
      <w:pPr>
        <w:pStyle w:val="FirstParagraph"/>
      </w:pPr>
      <w:r>
        <w:rPr>
          <w:b/>
          <w:bCs/>
        </w:rPr>
        <w:t>عبارة بطولية (Hero):</w:t>
      </w:r>
      <w:r>
        <w:t xml:space="preserve"> </w:t>
      </w:r>
      <w:r>
        <w:rPr>
          <w:b/>
          <w:bCs/>
        </w:rPr>
        <w:t>أصول رقمية موثوقة — من الترميز إلى إدارة الصناديق.</w:t>
      </w:r>
    </w:p>
    <w:p w14:paraId="2CF9CC9F" w14:textId="77777777" w:rsidR="00EF4013" w:rsidRDefault="00000000">
      <w:pPr>
        <w:pStyle w:val="BodyText"/>
      </w:pPr>
      <w:r>
        <w:rPr>
          <w:b/>
          <w:bCs/>
        </w:rPr>
        <w:t>وصف مختصر:</w:t>
      </w:r>
      <w:r>
        <w:t xml:space="preserve"> نحوّل الأصول العقارية والاستثمارية إلى وحدات رقمية قابلة للتتبع والامتثال، ونوفّر صناديق واستراتيجيات مؤسسية لإدارة الأصول الافتراضية، مع وصول عالمي، وحوكمة عالية، وآليات تخارج واضحة.</w:t>
      </w:r>
    </w:p>
    <w:p w14:paraId="062BB201" w14:textId="77777777" w:rsidR="00EF4013" w:rsidRDefault="00000000">
      <w:pPr>
        <w:pStyle w:val="BodyText"/>
      </w:pPr>
      <w:r>
        <w:rPr>
          <w:b/>
          <w:bCs/>
        </w:rPr>
        <w:t>دعوات الإجراء (CTAs):</w:t>
      </w:r>
      <w:r>
        <w:t xml:space="preserve"> - اكتشف الفرص - ابدأ كـ مستثمر - ابدأ كـ مُصدِر (ترميز أصل)</w:t>
      </w:r>
    </w:p>
    <w:p w14:paraId="5558735B" w14:textId="77777777" w:rsidR="00EF4013" w:rsidRDefault="00000000">
      <w:pPr>
        <w:pStyle w:val="BodyText"/>
      </w:pPr>
      <w:r>
        <w:rPr>
          <w:b/>
          <w:bCs/>
        </w:rPr>
        <w:t>مزايا سريعة:</w:t>
      </w:r>
      <w:r>
        <w:t xml:space="preserve"> - حوكمة وامتثال متعدد الولايات القضائية - ملكية جزئية وترميز مع توثيق رقمي آمن - تقارير أداء دورية، وتقييمات مستقلة، وتأمينات هيكلية - شراكات موثوقة في التمويل، الحفظ، والتدقيق</w:t>
      </w:r>
    </w:p>
    <w:p w14:paraId="3D4E3D3B" w14:textId="77777777" w:rsidR="00EF4013" w:rsidRDefault="00000000">
      <w:r>
        <w:pict w14:anchorId="56E2A797">
          <v:rect id="_x0000_i1027" style="width:0;height:1.5pt" o:hralign="center" o:hrstd="t" o:hr="t"/>
        </w:pict>
      </w:r>
    </w:p>
    <w:p w14:paraId="7D8FCBBC" w14:textId="77777777" w:rsidR="00EF4013" w:rsidRDefault="00000000">
      <w:pPr>
        <w:pStyle w:val="Heading2"/>
      </w:pPr>
      <w:bookmarkStart w:id="3" w:name="من-نحن-الهوية-والحوكمة"/>
      <w:bookmarkEnd w:id="2"/>
      <w:r>
        <w:lastRenderedPageBreak/>
        <w:t>2) من نحن (الهوية والحوكمة)</w:t>
      </w:r>
    </w:p>
    <w:p w14:paraId="1087DA32" w14:textId="77777777" w:rsidR="00EF4013" w:rsidRDefault="00000000">
      <w:pPr>
        <w:pStyle w:val="Heading3"/>
      </w:pPr>
      <w:bookmarkStart w:id="4" w:name="رسالتنا"/>
      <w:r>
        <w:t>رسالتنا</w:t>
      </w:r>
    </w:p>
    <w:p w14:paraId="46CA5D0C" w14:textId="77777777" w:rsidR="00EF4013" w:rsidRDefault="00000000">
      <w:pPr>
        <w:pStyle w:val="FirstParagraph"/>
      </w:pPr>
      <w:r>
        <w:t>تمكين الاستثمار الرقمي المؤسسي عالميًا عبر منصّات آمنة وشفافة، تربط بين الأصل الحقيقي ونظيره الرقمي، وتفتح قنوات سيولة منضبطة للمستثمرين والمُصدرين.</w:t>
      </w:r>
    </w:p>
    <w:p w14:paraId="5C6067A1" w14:textId="77777777" w:rsidR="00EF4013" w:rsidRDefault="00000000">
      <w:pPr>
        <w:pStyle w:val="Heading3"/>
      </w:pPr>
      <w:bookmarkStart w:id="5" w:name="رؤيتنا"/>
      <w:bookmarkEnd w:id="4"/>
      <w:r>
        <w:t>رؤيتنا</w:t>
      </w:r>
    </w:p>
    <w:p w14:paraId="79747642" w14:textId="77777777" w:rsidR="00EF4013" w:rsidRDefault="00000000">
      <w:pPr>
        <w:pStyle w:val="FirstParagraph"/>
      </w:pPr>
      <w:r>
        <w:t>أن نصبح الشريك الموثوق لإدارة الأصول الافتراضية والترميز في أوروبا والشرق الأوسط وأمريكا، مع نموذج تشغيل يوازن بين الابتكار والامتثال.</w:t>
      </w:r>
    </w:p>
    <w:p w14:paraId="03E9BBF7" w14:textId="77777777" w:rsidR="00EF4013" w:rsidRDefault="00000000">
      <w:pPr>
        <w:pStyle w:val="Heading3"/>
      </w:pPr>
      <w:bookmarkStart w:id="6" w:name="قيمنا"/>
      <w:bookmarkEnd w:id="5"/>
      <w:r>
        <w:t>قيمنا</w:t>
      </w:r>
    </w:p>
    <w:p w14:paraId="38DC9B1E" w14:textId="77777777" w:rsidR="00EF401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الأمان أولًا</w:t>
      </w:r>
      <w:r>
        <w:t>: أمن معلوماتي وحفظ أصول بمستويات مؤسسية.</w:t>
      </w:r>
    </w:p>
    <w:p w14:paraId="0237A412" w14:textId="77777777" w:rsidR="00EF401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الشفافية</w:t>
      </w:r>
      <w:r>
        <w:t>: إفصاحات ورسوم واضحة وتقارير دقيقة.</w:t>
      </w:r>
    </w:p>
    <w:p w14:paraId="2B9DF5AC" w14:textId="77777777" w:rsidR="00EF401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الامتثال</w:t>
      </w:r>
      <w:r>
        <w:t>: عمليات KYC/AML ورقابة داخلية ومراجعات مستقلة.</w:t>
      </w:r>
    </w:p>
    <w:p w14:paraId="65E684A0" w14:textId="77777777" w:rsidR="00EF401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الابتكار</w:t>
      </w:r>
      <w:r>
        <w:t>: ترميز، بنية سحابية حديثة، وأتمتة تقارير.</w:t>
      </w:r>
    </w:p>
    <w:p w14:paraId="577AE75C" w14:textId="77777777" w:rsidR="00EF4013" w:rsidRDefault="00000000">
      <w:pPr>
        <w:pStyle w:val="Heading3"/>
      </w:pPr>
      <w:bookmarkStart w:id="7" w:name="الحوكمة"/>
      <w:bookmarkEnd w:id="6"/>
      <w:r>
        <w:t>الحوكمة</w:t>
      </w:r>
    </w:p>
    <w:p w14:paraId="210A8A38" w14:textId="77777777" w:rsidR="00EF4013" w:rsidRDefault="00000000">
      <w:pPr>
        <w:pStyle w:val="Compact"/>
        <w:numPr>
          <w:ilvl w:val="0"/>
          <w:numId w:val="4"/>
        </w:numPr>
      </w:pPr>
      <w:r>
        <w:t>مجلس إدارة ولجان مخاطِر وامتثال.</w:t>
      </w:r>
    </w:p>
    <w:p w14:paraId="2C6538FF" w14:textId="77777777" w:rsidR="00EF4013" w:rsidRDefault="00000000">
      <w:pPr>
        <w:pStyle w:val="Compact"/>
        <w:numPr>
          <w:ilvl w:val="0"/>
          <w:numId w:val="4"/>
        </w:numPr>
      </w:pPr>
      <w:r>
        <w:t>فصل الواجبات وجدران معلومات.</w:t>
      </w:r>
    </w:p>
    <w:p w14:paraId="42486062" w14:textId="77777777" w:rsidR="00EF4013" w:rsidRDefault="00000000">
      <w:pPr>
        <w:pStyle w:val="Compact"/>
        <w:numPr>
          <w:ilvl w:val="0"/>
          <w:numId w:val="4"/>
        </w:numPr>
      </w:pPr>
      <w:r>
        <w:t>سياسات تضارب مصالح، واستمرارية أعمال، وأمن سيبراني.</w:t>
      </w:r>
    </w:p>
    <w:p w14:paraId="6DA66FF5" w14:textId="77777777" w:rsidR="00EF4013" w:rsidRDefault="00000000">
      <w:r>
        <w:pict w14:anchorId="50441D14">
          <v:rect id="_x0000_i1028" style="width:0;height:1.5pt" o:hralign="center" o:hrstd="t" o:hr="t"/>
        </w:pict>
      </w:r>
    </w:p>
    <w:p w14:paraId="2521FA79" w14:textId="77777777" w:rsidR="00EF4013" w:rsidRDefault="00000000">
      <w:pPr>
        <w:pStyle w:val="Heading2"/>
      </w:pPr>
      <w:bookmarkStart w:id="8" w:name="حلولنا-وخدماتنا"/>
      <w:bookmarkEnd w:id="3"/>
      <w:bookmarkEnd w:id="7"/>
      <w:r>
        <w:t>3) حلولنا وخدماتنا</w:t>
      </w:r>
    </w:p>
    <w:p w14:paraId="2392C029" w14:textId="77777777" w:rsidR="00EF4013" w:rsidRDefault="00000000">
      <w:pPr>
        <w:pStyle w:val="Heading3"/>
      </w:pPr>
      <w:bookmarkStart w:id="9" w:name="إدارة-الأصول-الافتراضية-والصناديق"/>
      <w:r>
        <w:t>3.1 إدارة الأصول الافتراضية والصناديق</w:t>
      </w:r>
    </w:p>
    <w:p w14:paraId="4FE2B451" w14:textId="77777777" w:rsidR="00EF401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صناديق مؤشرات/سِلال (Baskets)</w:t>
      </w:r>
      <w:r>
        <w:t xml:space="preserve"> لأصول مشفّرة مختارة.</w:t>
      </w:r>
    </w:p>
    <w:p w14:paraId="472C75F2" w14:textId="77777777" w:rsidR="00EF401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استراتيجيات مدارة</w:t>
      </w:r>
      <w:r>
        <w:t xml:space="preserve"> (عوامل/اتجاه/عائد) بمذكرات طرح واضحة.</w:t>
      </w:r>
    </w:p>
    <w:p w14:paraId="0FB59BAF" w14:textId="77777777" w:rsidR="00EF401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خدمات الحفظ/الأمناء</w:t>
      </w:r>
      <w:r>
        <w:t xml:space="preserve"> عبر شركاء مختصين.</w:t>
      </w:r>
    </w:p>
    <w:p w14:paraId="45224916" w14:textId="77777777" w:rsidR="00EF4013" w:rsidRDefault="00000000">
      <w:pPr>
        <w:pStyle w:val="Compact"/>
        <w:numPr>
          <w:ilvl w:val="0"/>
          <w:numId w:val="5"/>
        </w:numPr>
      </w:pPr>
      <w:r>
        <w:t>تقارير أداء شهرية وقياسات مخاطِر (تقلب، قيمة معرّضة للخطر، التتبّع).</w:t>
      </w:r>
    </w:p>
    <w:p w14:paraId="4F5AB9E4" w14:textId="77777777" w:rsidR="00EF4013" w:rsidRDefault="00000000">
      <w:pPr>
        <w:pStyle w:val="Heading3"/>
      </w:pPr>
      <w:bookmarkStart w:id="10" w:name="الترميز-العقاري-والاستثماري-tokenization"/>
      <w:bookmarkEnd w:id="9"/>
      <w:r>
        <w:t>3.2 الترميز العقاري والاستثماري (Tokenization)</w:t>
      </w:r>
    </w:p>
    <w:p w14:paraId="669A450E" w14:textId="77777777" w:rsidR="00EF4013" w:rsidRDefault="00000000">
      <w:pPr>
        <w:pStyle w:val="Compact"/>
        <w:numPr>
          <w:ilvl w:val="0"/>
          <w:numId w:val="6"/>
        </w:numPr>
      </w:pPr>
      <w:r>
        <w:t xml:space="preserve">تحويل الحقوق الاقتصادية للأصول العقارية/الاستثمارية إلى </w:t>
      </w:r>
      <w:r>
        <w:rPr>
          <w:b/>
          <w:bCs/>
        </w:rPr>
        <w:t>وحدات رقمية</w:t>
      </w:r>
      <w:r>
        <w:t xml:space="preserve"> ملتزمة باللوائح.</w:t>
      </w:r>
    </w:p>
    <w:p w14:paraId="47581323" w14:textId="77777777" w:rsidR="00EF4013" w:rsidRDefault="00000000">
      <w:pPr>
        <w:pStyle w:val="Compact"/>
        <w:numPr>
          <w:ilvl w:val="0"/>
          <w:numId w:val="6"/>
        </w:numPr>
      </w:pPr>
      <w:r>
        <w:t>وثائق طرح رقمية، قيود تحويل حسب فئة المستثمر والولاية.</w:t>
      </w:r>
    </w:p>
    <w:p w14:paraId="18E2F285" w14:textId="77777777" w:rsidR="00EF4013" w:rsidRDefault="00000000">
      <w:pPr>
        <w:pStyle w:val="Compact"/>
        <w:numPr>
          <w:ilvl w:val="0"/>
          <w:numId w:val="6"/>
        </w:numPr>
      </w:pPr>
      <w:r>
        <w:t>تكامل مع بوابات دفع، KYC/AML، وسجلات تحويل منظمة.</w:t>
      </w:r>
    </w:p>
    <w:p w14:paraId="557E92C2" w14:textId="77777777" w:rsidR="00EF4013" w:rsidRDefault="00000000">
      <w:pPr>
        <w:pStyle w:val="Heading3"/>
      </w:pPr>
      <w:bookmarkStart w:id="11" w:name="الملكية-الجزئية-fractional-ownership"/>
      <w:bookmarkEnd w:id="10"/>
      <w:r>
        <w:t>3.3 الملكية الجزئية (Fractional Ownership)</w:t>
      </w:r>
    </w:p>
    <w:p w14:paraId="73D11063" w14:textId="77777777" w:rsidR="00EF4013" w:rsidRDefault="00000000">
      <w:pPr>
        <w:pStyle w:val="Compact"/>
        <w:numPr>
          <w:ilvl w:val="0"/>
          <w:numId w:val="7"/>
        </w:numPr>
      </w:pPr>
      <w:r>
        <w:t>نماذج ملكية جزئية للأصول المُدرة للدخل وللمشاريع التطويرية.</w:t>
      </w:r>
    </w:p>
    <w:p w14:paraId="366EA618" w14:textId="77777777" w:rsidR="00EF4013" w:rsidRDefault="00000000">
      <w:pPr>
        <w:pStyle w:val="Compact"/>
        <w:numPr>
          <w:ilvl w:val="0"/>
          <w:numId w:val="7"/>
        </w:numPr>
      </w:pPr>
      <w:r>
        <w:t>سجلات ملكية رقمية، تقارير توزيعات، وآليات تخارج.</w:t>
      </w:r>
    </w:p>
    <w:p w14:paraId="4DE6B192" w14:textId="77777777" w:rsidR="00EF4013" w:rsidRDefault="00000000">
      <w:pPr>
        <w:pStyle w:val="Heading3"/>
      </w:pPr>
      <w:bookmarkStart w:id="12" w:name="خدمات-المصدرين-issuers"/>
      <w:bookmarkEnd w:id="11"/>
      <w:r>
        <w:t>3.4 خدمات المُصدرين (Issuers)</w:t>
      </w:r>
    </w:p>
    <w:p w14:paraId="2637197D" w14:textId="77777777" w:rsidR="00EF4013" w:rsidRDefault="00000000">
      <w:pPr>
        <w:pStyle w:val="Compact"/>
        <w:numPr>
          <w:ilvl w:val="0"/>
          <w:numId w:val="8"/>
        </w:numPr>
      </w:pPr>
      <w:r>
        <w:t>هيكلة الصفقة، التقييم، التأمين، وإعداد وثائق الطرح.</w:t>
      </w:r>
    </w:p>
    <w:p w14:paraId="2AD99605" w14:textId="77777777" w:rsidR="00EF4013" w:rsidRDefault="00000000">
      <w:pPr>
        <w:pStyle w:val="Compact"/>
        <w:numPr>
          <w:ilvl w:val="0"/>
          <w:numId w:val="8"/>
        </w:numPr>
      </w:pPr>
      <w:r>
        <w:t>إدارة دورة حياة الأصل الرقمي، وخدمة المستثمرين.</w:t>
      </w:r>
    </w:p>
    <w:p w14:paraId="785D0DD6" w14:textId="77777777" w:rsidR="00EF4013" w:rsidRDefault="00000000">
      <w:pPr>
        <w:pStyle w:val="Heading3"/>
      </w:pPr>
      <w:bookmarkStart w:id="13" w:name="الاستشارات-والتنفيذ"/>
      <w:bookmarkEnd w:id="12"/>
      <w:r>
        <w:t>3.5 الاستشارات والتنفيذ</w:t>
      </w:r>
    </w:p>
    <w:p w14:paraId="24E8CAA6" w14:textId="77777777" w:rsidR="00EF4013" w:rsidRDefault="00000000">
      <w:pPr>
        <w:pStyle w:val="Compact"/>
        <w:numPr>
          <w:ilvl w:val="0"/>
          <w:numId w:val="9"/>
        </w:numPr>
      </w:pPr>
      <w:r>
        <w:t>تصميم الصناديق الرقمية، السياسات التنظيمية، وتكامل الحفظ.</w:t>
      </w:r>
    </w:p>
    <w:p w14:paraId="11B2F82E" w14:textId="77777777" w:rsidR="00EF4013" w:rsidRDefault="00000000">
      <w:pPr>
        <w:pStyle w:val="Compact"/>
        <w:numPr>
          <w:ilvl w:val="0"/>
          <w:numId w:val="9"/>
        </w:numPr>
      </w:pPr>
      <w:r>
        <w:t>إعداد أُطر المخاطر، وإجراءات الاستجابة للحوادث.</w:t>
      </w:r>
    </w:p>
    <w:p w14:paraId="19E7C731" w14:textId="77777777" w:rsidR="00EF4013" w:rsidRDefault="00000000">
      <w:pPr>
        <w:pStyle w:val="BlockText"/>
      </w:pPr>
      <w:r>
        <w:rPr>
          <w:b/>
          <w:bCs/>
        </w:rPr>
        <w:t>لا نقدّم نصيحة استثمارية شخصية</w:t>
      </w:r>
      <w:r>
        <w:t xml:space="preserve"> ما لم يُنصّ على ذلك صراحة وبترخيص مناسب.</w:t>
      </w:r>
    </w:p>
    <w:p w14:paraId="6BD16B67" w14:textId="77777777" w:rsidR="00EF4013" w:rsidRDefault="00000000">
      <w:r>
        <w:pict w14:anchorId="601C5E35">
          <v:rect id="_x0000_i1029" style="width:0;height:1.5pt" o:hralign="center" o:hrstd="t" o:hr="t"/>
        </w:pict>
      </w:r>
    </w:p>
    <w:p w14:paraId="5C124EFE" w14:textId="77777777" w:rsidR="00EF4013" w:rsidRDefault="00000000">
      <w:pPr>
        <w:pStyle w:val="Heading2"/>
      </w:pPr>
      <w:bookmarkStart w:id="14" w:name="المنصات-الرقمية"/>
      <w:bookmarkEnd w:id="8"/>
      <w:bookmarkEnd w:id="13"/>
      <w:r>
        <w:t>4) المنصّات الرقمية</w:t>
      </w:r>
    </w:p>
    <w:p w14:paraId="417F8DB8" w14:textId="0712B1D4" w:rsidR="00EF4013" w:rsidRDefault="00000000">
      <w:pPr>
        <w:pStyle w:val="BodyText"/>
      </w:pPr>
      <w:bookmarkStart w:id="15" w:name="capimaxinvestments"/>
      <w:r>
        <w:t>.</w:t>
      </w:r>
    </w:p>
    <w:p w14:paraId="556CAC5A" w14:textId="48F493D3" w:rsidR="00EF4013" w:rsidRDefault="00000000">
      <w:pPr>
        <w:pStyle w:val="Heading3"/>
      </w:pPr>
      <w:bookmarkStart w:id="16" w:name="capi-tokenization"/>
      <w:bookmarkEnd w:id="15"/>
      <w:r>
        <w:t>Capi</w:t>
      </w:r>
      <w:r w:rsidR="002A035C">
        <w:t xml:space="preserve"> </w:t>
      </w:r>
      <w:proofErr w:type="spellStart"/>
      <w:r w:rsidR="002A035C">
        <w:t>realestate</w:t>
      </w:r>
      <w:proofErr w:type="spellEnd"/>
      <w:r>
        <w:t xml:space="preserve"> Tokenization</w:t>
      </w:r>
    </w:p>
    <w:p w14:paraId="451CD0BC" w14:textId="77777777" w:rsidR="00EF4013" w:rsidRDefault="00000000">
      <w:pPr>
        <w:pStyle w:val="FirstParagraph"/>
      </w:pPr>
      <w:r>
        <w:t>منصّة لإصدار الأصول المُرمَّزة وإدارة قيود التحويل والامتثال.</w:t>
      </w:r>
    </w:p>
    <w:p w14:paraId="7D80A68B" w14:textId="77777777" w:rsidR="00EF4013" w:rsidRDefault="00000000">
      <w:pPr>
        <w:pStyle w:val="BodyText"/>
      </w:pPr>
      <w:r>
        <w:rPr>
          <w:b/>
          <w:bCs/>
        </w:rPr>
        <w:t>ميزات:</w:t>
      </w:r>
      <w:r>
        <w:t xml:space="preserve"> توثيق ملكية رقمي، تكامل حفظ/أمناء، تقارير مُصدرين.</w:t>
      </w:r>
    </w:p>
    <w:p w14:paraId="57FBDB7C" w14:textId="26AACDCA" w:rsidR="00EF4013" w:rsidRPr="009B4BE8" w:rsidRDefault="002A035C">
      <w:pPr>
        <w:pStyle w:val="FirstParagraph"/>
        <w:rPr>
          <w:b/>
          <w:bCs/>
        </w:rPr>
      </w:pPr>
      <w:bookmarkStart w:id="17" w:name="capi-egypt-قريبا"/>
      <w:bookmarkEnd w:id="16"/>
      <w:r>
        <w:t xml:space="preserve">Capi investments </w:t>
      </w:r>
      <w:proofErr w:type="gramStart"/>
      <w:r>
        <w:t>tokenization  soon</w:t>
      </w:r>
      <w:proofErr w:type="gramEnd"/>
    </w:p>
    <w:p w14:paraId="741FFE8F" w14:textId="41510366" w:rsidR="00EF4013" w:rsidRPr="009B4BE8" w:rsidRDefault="009B4BE8">
      <w:pPr>
        <w:rPr>
          <w:b/>
          <w:bCs/>
          <w:rtl/>
        </w:rPr>
      </w:pPr>
      <w:r w:rsidRPr="009B4BE8">
        <w:rPr>
          <w:rFonts w:hint="cs"/>
          <w:b/>
          <w:bCs/>
          <w:rtl/>
        </w:rPr>
        <w:t>العملات المشفرة</w:t>
      </w:r>
    </w:p>
    <w:p w14:paraId="75ECBBDF" w14:textId="401067AB" w:rsidR="009B4BE8" w:rsidRDefault="009B4BE8">
      <w:proofErr w:type="spellStart"/>
      <w:r>
        <w:t>Pronova</w:t>
      </w:r>
      <w:proofErr w:type="spellEnd"/>
      <w:r>
        <w:t xml:space="preserve"> crypto currency</w:t>
      </w:r>
    </w:p>
    <w:p w14:paraId="0A759DFA" w14:textId="77777777" w:rsidR="00EF4013" w:rsidRDefault="00000000">
      <w:pPr>
        <w:pStyle w:val="Heading2"/>
      </w:pPr>
      <w:bookmarkStart w:id="18" w:name="الشراكات-والتحالفات"/>
      <w:bookmarkEnd w:id="14"/>
      <w:bookmarkEnd w:id="17"/>
      <w:r>
        <w:t>5) الشراكات والتحالفات</w:t>
      </w:r>
    </w:p>
    <w:p w14:paraId="5D3A3432" w14:textId="77777777" w:rsidR="00EF4013" w:rsidRDefault="00000000">
      <w:pPr>
        <w:pStyle w:val="FirstParagraph"/>
      </w:pPr>
      <w:r>
        <w:rPr>
          <w:b/>
          <w:bCs/>
        </w:rPr>
        <w:t>شركاء رئيسيون:</w:t>
      </w:r>
      <w:r>
        <w:t xml:space="preserve"> - HCC International Company in Insurance Investments</w:t>
      </w:r>
      <w:r>
        <w:br/>
        <w:t>- Assurax Insurance</w:t>
      </w:r>
      <w:r>
        <w:br/>
        <w:t>- CIM Financial Group</w:t>
      </w:r>
      <w:r>
        <w:br/>
        <w:t>- TDH Development</w:t>
      </w:r>
      <w:r>
        <w:br/>
        <w:t>- Elite Gate Properties</w:t>
      </w:r>
      <w:r>
        <w:br/>
        <w:t>- Prim Inn Hotels</w:t>
      </w:r>
      <w:r>
        <w:br/>
        <w:t>- Nova Property Management</w:t>
      </w:r>
    </w:p>
    <w:p w14:paraId="1CF13ABB" w14:textId="77777777" w:rsidR="00EF4013" w:rsidRDefault="00000000">
      <w:pPr>
        <w:pStyle w:val="BodyText"/>
      </w:pPr>
      <w:r>
        <w:rPr>
          <w:b/>
          <w:bCs/>
        </w:rPr>
        <w:t>شراكات استثمارية وتقنية:</w:t>
      </w:r>
      <w:r>
        <w:t xml:space="preserve"> - Pronova Cryptocurrency</w:t>
      </w:r>
      <w:r>
        <w:br/>
        <w:t>- Nova Digital Finance</w:t>
      </w:r>
    </w:p>
    <w:p w14:paraId="6D66E63B" w14:textId="77777777" w:rsidR="00EF4013" w:rsidRDefault="00000000">
      <w:pPr>
        <w:pStyle w:val="BlockText"/>
      </w:pPr>
      <w:r>
        <w:t>تتفاوت طبيعة الشراكات حسب الدولة والمنتج، وتُفصَّل في وثائق كل طرح.</w:t>
      </w:r>
    </w:p>
    <w:p w14:paraId="1F9B5E85" w14:textId="77777777" w:rsidR="00EF4013" w:rsidRDefault="00000000">
      <w:r>
        <w:pict w14:anchorId="136300C3">
          <v:rect id="_x0000_i1030" style="width:0;height:1.5pt" o:hralign="center" o:hrstd="t" o:hr="t"/>
        </w:pict>
      </w:r>
    </w:p>
    <w:p w14:paraId="2685DC2D" w14:textId="77777777" w:rsidR="00EF4013" w:rsidRDefault="00000000">
      <w:pPr>
        <w:pStyle w:val="Heading2"/>
      </w:pPr>
      <w:bookmarkStart w:id="19" w:name="كيف-تبدأ"/>
      <w:bookmarkEnd w:id="18"/>
      <w:r>
        <w:t>6) كيف تبدأ</w:t>
      </w:r>
    </w:p>
    <w:p w14:paraId="785C653D" w14:textId="77777777" w:rsidR="00EF4013" w:rsidRDefault="00000000">
      <w:pPr>
        <w:pStyle w:val="Heading3"/>
      </w:pPr>
      <w:bookmarkStart w:id="20" w:name="للمستثمرين"/>
      <w:r>
        <w:t>للمستثمرين</w:t>
      </w:r>
    </w:p>
    <w:p w14:paraId="0BA4CC86" w14:textId="77777777" w:rsidR="00EF4013" w:rsidRDefault="00000000">
      <w:pPr>
        <w:pStyle w:val="Compact"/>
        <w:numPr>
          <w:ilvl w:val="0"/>
          <w:numId w:val="10"/>
        </w:numPr>
      </w:pPr>
      <w:r>
        <w:t>افتح حسابًا وأكمل KYC/AML.</w:t>
      </w:r>
      <w:r>
        <w:br/>
      </w:r>
    </w:p>
    <w:p w14:paraId="4C46F1CB" w14:textId="77777777" w:rsidR="00EF4013" w:rsidRDefault="00000000">
      <w:pPr>
        <w:pStyle w:val="Compact"/>
        <w:numPr>
          <w:ilvl w:val="0"/>
          <w:numId w:val="10"/>
        </w:numPr>
      </w:pPr>
      <w:r>
        <w:t>استعرض الفرص واطّلع على وثائق الطرح والإفصاحات.</w:t>
      </w:r>
      <w:r>
        <w:br/>
      </w:r>
    </w:p>
    <w:p w14:paraId="58B6CCAA" w14:textId="77777777" w:rsidR="00EF4013" w:rsidRDefault="00000000">
      <w:pPr>
        <w:pStyle w:val="Compact"/>
        <w:numPr>
          <w:ilvl w:val="0"/>
          <w:numId w:val="10"/>
        </w:numPr>
      </w:pPr>
      <w:r>
        <w:t>اكتتب عبر القنوات المعتمدة.</w:t>
      </w:r>
      <w:r>
        <w:br/>
      </w:r>
    </w:p>
    <w:p w14:paraId="77D68061" w14:textId="77777777" w:rsidR="00EF4013" w:rsidRDefault="00000000">
      <w:pPr>
        <w:pStyle w:val="Compact"/>
        <w:numPr>
          <w:ilvl w:val="0"/>
          <w:numId w:val="10"/>
        </w:numPr>
      </w:pPr>
      <w:r>
        <w:t>تابع الأداء والتوزيعات ولوحات الحساب.</w:t>
      </w:r>
      <w:r>
        <w:br/>
      </w:r>
    </w:p>
    <w:p w14:paraId="7B07F548" w14:textId="77777777" w:rsidR="00EF4013" w:rsidRDefault="00000000">
      <w:pPr>
        <w:pStyle w:val="Compact"/>
        <w:numPr>
          <w:ilvl w:val="0"/>
          <w:numId w:val="10"/>
        </w:numPr>
      </w:pPr>
      <w:r>
        <w:t>استخدم آليات التخارج المتاحة حسب شروط المنتج.</w:t>
      </w:r>
    </w:p>
    <w:p w14:paraId="7B59C8A8" w14:textId="77777777" w:rsidR="00EF4013" w:rsidRDefault="00000000">
      <w:pPr>
        <w:pStyle w:val="Heading3"/>
      </w:pPr>
      <w:bookmarkStart w:id="21" w:name="للمصدرين-مالكي-الأصول"/>
      <w:bookmarkEnd w:id="20"/>
      <w:r>
        <w:t>للمُصدرين (مالكي الأصول)</w:t>
      </w:r>
    </w:p>
    <w:p w14:paraId="3E73DED3" w14:textId="77777777" w:rsidR="00EF4013" w:rsidRDefault="00000000">
      <w:pPr>
        <w:pStyle w:val="Compact"/>
        <w:numPr>
          <w:ilvl w:val="0"/>
          <w:numId w:val="11"/>
        </w:numPr>
      </w:pPr>
      <w:r>
        <w:t>أرسل ملخّص الأصل والمستندات الداعمة.</w:t>
      </w:r>
      <w:r>
        <w:br/>
      </w:r>
    </w:p>
    <w:p w14:paraId="7E381FFD" w14:textId="77777777" w:rsidR="00EF4013" w:rsidRDefault="00000000">
      <w:pPr>
        <w:pStyle w:val="Compact"/>
        <w:numPr>
          <w:ilvl w:val="0"/>
          <w:numId w:val="11"/>
        </w:numPr>
      </w:pPr>
      <w:r>
        <w:t>التقييم الفني/المالي/القانوني.</w:t>
      </w:r>
      <w:r>
        <w:br/>
      </w:r>
    </w:p>
    <w:p w14:paraId="4A3016DC" w14:textId="77777777" w:rsidR="00EF4013" w:rsidRDefault="00000000">
      <w:pPr>
        <w:pStyle w:val="Compact"/>
        <w:numPr>
          <w:ilvl w:val="0"/>
          <w:numId w:val="11"/>
        </w:numPr>
      </w:pPr>
      <w:r>
        <w:t>هيكلة الطرح والترميز.</w:t>
      </w:r>
      <w:r>
        <w:br/>
      </w:r>
    </w:p>
    <w:p w14:paraId="31E9C9C5" w14:textId="77777777" w:rsidR="00EF4013" w:rsidRDefault="00000000">
      <w:pPr>
        <w:pStyle w:val="Compact"/>
        <w:numPr>
          <w:ilvl w:val="0"/>
          <w:numId w:val="11"/>
        </w:numPr>
      </w:pPr>
      <w:r>
        <w:t>الإطلاق والمتابعة التشغيلية.</w:t>
      </w:r>
      <w:r>
        <w:br/>
      </w:r>
    </w:p>
    <w:p w14:paraId="70EE47DB" w14:textId="77777777" w:rsidR="00EF4013" w:rsidRDefault="00000000">
      <w:pPr>
        <w:pStyle w:val="Compact"/>
        <w:numPr>
          <w:ilvl w:val="0"/>
          <w:numId w:val="11"/>
        </w:numPr>
      </w:pPr>
      <w:r>
        <w:t>التقارير للمستثمرين وإدارة التوزيعات.</w:t>
      </w:r>
    </w:p>
    <w:p w14:paraId="00478CBB" w14:textId="77777777" w:rsidR="00EF4013" w:rsidRDefault="00000000">
      <w:r>
        <w:pict w14:anchorId="5820F395">
          <v:rect id="_x0000_i1031" style="width:0;height:1.5pt" o:hralign="center" o:hrstd="t" o:hr="t"/>
        </w:pict>
      </w:r>
    </w:p>
    <w:p w14:paraId="53EE9243" w14:textId="77777777" w:rsidR="00EF4013" w:rsidRDefault="00000000">
      <w:pPr>
        <w:pStyle w:val="Heading2"/>
      </w:pPr>
      <w:bookmarkStart w:id="22" w:name="التغطية-الجغرافية-والفروع"/>
      <w:bookmarkEnd w:id="19"/>
      <w:bookmarkEnd w:id="21"/>
      <w:r>
        <w:t>7) التغطية الجغرافية والفروع</w:t>
      </w:r>
    </w:p>
    <w:p w14:paraId="026DF441" w14:textId="77777777" w:rsidR="00EF4013" w:rsidRDefault="00000000">
      <w:pPr>
        <w:pStyle w:val="FirstParagraph"/>
      </w:pPr>
      <w:r>
        <w:rPr>
          <w:b/>
          <w:bCs/>
        </w:rPr>
        <w:t>المملكة المتحدة (UK):</w:t>
      </w:r>
      <w:r>
        <w:t xml:space="preserve"> 128 City Road, London, United Kingdom EC1V 2NX</w:t>
      </w:r>
      <w:r>
        <w:br/>
      </w:r>
      <w:r>
        <w:rPr>
          <w:b/>
          <w:bCs/>
        </w:rPr>
        <w:t>الولايات المتحدة (US):</w:t>
      </w:r>
      <w:r>
        <w:t xml:space="preserve"> 30 N Gould St, Ste R, Sheridan, WY 82801</w:t>
      </w:r>
      <w:r>
        <w:br/>
      </w:r>
      <w:r>
        <w:rPr>
          <w:b/>
          <w:bCs/>
        </w:rPr>
        <w:t>الإمارات العربية المتحدة (UAE):</w:t>
      </w:r>
      <w:r>
        <w:t xml:space="preserve"> أبوظبي – City of Lights، برج Addax (جزيرة الريم)</w:t>
      </w:r>
    </w:p>
    <w:p w14:paraId="67BDED4E" w14:textId="77777777" w:rsidR="00EF4013" w:rsidRDefault="00000000">
      <w:r>
        <w:pict w14:anchorId="032D848F">
          <v:rect id="_x0000_i1032" style="width:0;height:1.5pt" o:hralign="center" o:hrstd="t" o:hr="t"/>
        </w:pict>
      </w:r>
    </w:p>
    <w:p w14:paraId="7C45B4EE" w14:textId="77777777" w:rsidR="00EF4013" w:rsidRDefault="00000000">
      <w:pPr>
        <w:pStyle w:val="Heading2"/>
      </w:pPr>
      <w:bookmarkStart w:id="23" w:name="دراسات-حالة-ونتائج-أمثلة-سردية"/>
      <w:bookmarkEnd w:id="22"/>
      <w:r>
        <w:t>8) دراسات حالة ونتائج (أمثلة سردية)</w:t>
      </w:r>
    </w:p>
    <w:p w14:paraId="193B085F" w14:textId="77777777" w:rsidR="00EF4013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سلة أصول مشفّرة مُدارة:</w:t>
      </w:r>
      <w:r>
        <w:t xml:space="preserve"> تتبّع مؤشر مرجعي مع ضبط الانحراف.</w:t>
      </w:r>
      <w:r>
        <w:br/>
      </w:r>
    </w:p>
    <w:p w14:paraId="08BCEC5F" w14:textId="77777777" w:rsidR="00EF4013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ترميز أصل عقاري مُدر للدخل:</w:t>
      </w:r>
      <w:r>
        <w:t xml:space="preserve"> تقليص زمن جمع رأس المال وتوسيع قاعدة المستثمرين المؤهلين.</w:t>
      </w:r>
      <w:r>
        <w:br/>
      </w:r>
    </w:p>
    <w:p w14:paraId="52C4B368" w14:textId="77777777" w:rsidR="00EF4013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ملكية جزئية لمجمع فندقي:</w:t>
      </w:r>
      <w:r>
        <w:t xml:space="preserve"> تحسين إشغال وتوزيعات ربع سنوية وفق الأداء.</w:t>
      </w:r>
    </w:p>
    <w:p w14:paraId="5F236DC7" w14:textId="77777777" w:rsidR="00EF4013" w:rsidRDefault="00000000">
      <w:r>
        <w:pict w14:anchorId="044304DF">
          <v:rect id="_x0000_i1033" style="width:0;height:1.5pt" o:hralign="center" o:hrstd="t" o:hr="t"/>
        </w:pict>
      </w:r>
    </w:p>
    <w:p w14:paraId="6D3752B1" w14:textId="77777777" w:rsidR="00EF4013" w:rsidRDefault="00000000">
      <w:pPr>
        <w:pStyle w:val="Heading2"/>
      </w:pPr>
      <w:bookmarkStart w:id="24" w:name="الأسئلة-الشائعة-faq"/>
      <w:bookmarkEnd w:id="23"/>
      <w:r>
        <w:t>9) الأسئلة الشائعة (FAQ)</w:t>
      </w:r>
    </w:p>
    <w:p w14:paraId="7E6C439D" w14:textId="77777777" w:rsidR="00EF4013" w:rsidRDefault="00000000">
      <w:pPr>
        <w:pStyle w:val="FirstParagraph"/>
      </w:pPr>
      <w:r>
        <w:rPr>
          <w:b/>
          <w:bCs/>
        </w:rPr>
        <w:t>ما الفرق بين الترميز والملكية الجزئية؟</w:t>
      </w:r>
      <w:r>
        <w:br/>
        <w:t>الترميز هو تمثيل رقمي قابل للتتبّع؛ والملكية الجزئية هي تقسيم الحقوق الاقتصادية. قد يجتمعان في منتج واحد.</w:t>
      </w:r>
    </w:p>
    <w:p w14:paraId="1A6ACCDB" w14:textId="0CB5961F" w:rsidR="00EF4013" w:rsidRDefault="00000000">
      <w:pPr>
        <w:pStyle w:val="BodyText"/>
      </w:pPr>
      <w:proofErr w:type="spellStart"/>
      <w:r>
        <w:rPr>
          <w:b/>
          <w:bCs/>
        </w:rPr>
        <w:t>هل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كل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المنتجات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متاحة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لجميع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الأفراد</w:t>
      </w:r>
      <w:proofErr w:type="spellEnd"/>
      <w:r>
        <w:rPr>
          <w:b/>
          <w:bCs/>
        </w:rPr>
        <w:t>؟</w:t>
      </w:r>
      <w:r>
        <w:br/>
      </w:r>
      <w:r w:rsidR="00D923DF">
        <w:rPr>
          <w:rFonts w:hint="cs"/>
          <w:rtl/>
          <w:lang w:bidi="ar-EG"/>
        </w:rPr>
        <w:t xml:space="preserve">نعم ولكن مقيدة </w:t>
      </w:r>
      <w:proofErr w:type="spellStart"/>
      <w:r w:rsidR="00D923DF">
        <w:rPr>
          <w:rFonts w:hint="cs"/>
          <w:rtl/>
          <w:lang w:bidi="ar-EG"/>
        </w:rPr>
        <w:t>بافصاحات</w:t>
      </w:r>
      <w:proofErr w:type="spellEnd"/>
      <w:r w:rsidR="00D923DF">
        <w:rPr>
          <w:rFonts w:hint="cs"/>
          <w:rtl/>
          <w:lang w:bidi="ar-EG"/>
        </w:rPr>
        <w:t xml:space="preserve"> المخاطر</w:t>
      </w:r>
      <w:r>
        <w:t>.</w:t>
      </w:r>
    </w:p>
    <w:p w14:paraId="0E41B9EA" w14:textId="77777777" w:rsidR="00EF4013" w:rsidRDefault="00000000">
      <w:pPr>
        <w:pStyle w:val="BodyText"/>
      </w:pPr>
      <w:r>
        <w:rPr>
          <w:b/>
          <w:bCs/>
        </w:rPr>
        <w:t>كيف تُدار المخاطر؟</w:t>
      </w:r>
      <w:r>
        <w:br/>
        <w:t>فحص فني/مالي/قانوني، تأمينات مناسبة، تنويع، رقابة داخلية، ومراجعات مستقلة.</w:t>
      </w:r>
    </w:p>
    <w:p w14:paraId="0A85FD02" w14:textId="77777777" w:rsidR="00EF4013" w:rsidRDefault="00000000">
      <w:r>
        <w:pict w14:anchorId="1A1E84DB">
          <v:rect id="_x0000_i1034" style="width:0;height:1.5pt" o:hralign="center" o:hrstd="t" o:hr="t"/>
        </w:pict>
      </w:r>
    </w:p>
    <w:p w14:paraId="5147F5A4" w14:textId="2D0ECB50" w:rsidR="00116A17" w:rsidRDefault="00000000" w:rsidP="00116A17">
      <w:pPr>
        <w:pStyle w:val="Heading1"/>
      </w:pPr>
      <w:bookmarkStart w:id="25" w:name="المستندات-والسياسات-نصوص-جاهزة"/>
      <w:bookmarkEnd w:id="0"/>
      <w:bookmarkEnd w:id="24"/>
      <w:r>
        <w:t xml:space="preserve">10) </w:t>
      </w:r>
      <w:r>
        <w:rPr>
          <w:rFonts w:ascii="Arial" w:hAnsi="Arial" w:cs="Arial"/>
        </w:rPr>
        <w:t>المستندات</w:t>
      </w:r>
      <w:r>
        <w:t xml:space="preserve"> </w:t>
      </w:r>
      <w:r>
        <w:rPr>
          <w:rFonts w:ascii="Arial" w:hAnsi="Arial" w:cs="Arial"/>
        </w:rPr>
        <w:t>والسياسات</w:t>
      </w:r>
      <w:r>
        <w:t xml:space="preserve"> (</w:t>
      </w:r>
    </w:p>
    <w:p w14:paraId="50A76C18" w14:textId="1CF6A0B9" w:rsidR="00EF4013" w:rsidRDefault="00000000">
      <w:pPr>
        <w:pStyle w:val="BlockText"/>
      </w:pPr>
      <w:r>
        <w:t>.</w:t>
      </w:r>
    </w:p>
    <w:p w14:paraId="41EAB48D" w14:textId="77777777" w:rsidR="00EF4013" w:rsidRDefault="00000000">
      <w:pPr>
        <w:pStyle w:val="Heading2"/>
      </w:pPr>
      <w:bookmarkStart w:id="26" w:name="أ-الشروط-والأحكام-العامة"/>
      <w:r>
        <w:t>(أ) الشروط والأحكام العامة</w:t>
      </w:r>
    </w:p>
    <w:p w14:paraId="641D6B46" w14:textId="77777777" w:rsidR="00EF4013" w:rsidRDefault="00000000">
      <w:pPr>
        <w:pStyle w:val="Compact"/>
        <w:numPr>
          <w:ilvl w:val="0"/>
          <w:numId w:val="13"/>
        </w:numPr>
      </w:pPr>
      <w:r>
        <w:t>تعريفات وعمومية، أهلية المستخدم، إنشاء الحساب والتحقّق (KYC/AML/العقوبات/PEPs).</w:t>
      </w:r>
      <w:r>
        <w:br/>
      </w:r>
    </w:p>
    <w:p w14:paraId="57A94567" w14:textId="77777777" w:rsidR="00EF4013" w:rsidRDefault="00000000">
      <w:pPr>
        <w:pStyle w:val="Compact"/>
        <w:numPr>
          <w:ilvl w:val="0"/>
          <w:numId w:val="13"/>
        </w:numPr>
      </w:pPr>
      <w:r>
        <w:t xml:space="preserve">وصف الخدمات: إدارة أصول افتراضية، صناديق/سلال، الترميز والملكية الجزئية؛ </w:t>
      </w:r>
      <w:r>
        <w:rPr>
          <w:b/>
          <w:bCs/>
        </w:rPr>
        <w:t>عدم تقديم نصيحة</w:t>
      </w:r>
      <w:r>
        <w:t xml:space="preserve"> إلا بتصريح.</w:t>
      </w:r>
      <w:r>
        <w:br/>
      </w:r>
    </w:p>
    <w:p w14:paraId="13D86C9E" w14:textId="77777777" w:rsidR="00EF4013" w:rsidRDefault="00000000">
      <w:pPr>
        <w:pStyle w:val="Compact"/>
        <w:numPr>
          <w:ilvl w:val="0"/>
          <w:numId w:val="13"/>
        </w:numPr>
      </w:pPr>
      <w:r>
        <w:t>الرسوم والضرائب؛ قيود التحويل/التداول؛ السوق الثانوي إن وُجد.</w:t>
      </w:r>
      <w:r>
        <w:br/>
      </w:r>
    </w:p>
    <w:p w14:paraId="70CBA7F6" w14:textId="77777777" w:rsidR="00EF4013" w:rsidRDefault="00000000">
      <w:pPr>
        <w:pStyle w:val="Compact"/>
        <w:numPr>
          <w:ilvl w:val="0"/>
          <w:numId w:val="13"/>
        </w:numPr>
      </w:pPr>
      <w:r>
        <w:t>إيقاف/إنهاء؛ حدود المسؤولية؛ القانون الحاكم وتسوية المنازعات؛ اللغة والإشعارات.</w:t>
      </w:r>
      <w:r>
        <w:br/>
      </w:r>
      <w:r>
        <w:rPr>
          <w:b/>
          <w:bCs/>
        </w:rPr>
        <w:t>تاريخ النفاذ:</w:t>
      </w:r>
      <w:r>
        <w:t xml:space="preserve"> [يُحدَّد].</w:t>
      </w:r>
    </w:p>
    <w:p w14:paraId="4FF77BE8" w14:textId="77777777" w:rsidR="00EF4013" w:rsidRDefault="00000000">
      <w:pPr>
        <w:pStyle w:val="Heading2"/>
      </w:pPr>
      <w:bookmarkStart w:id="27" w:name="ب-سياسة-الخصوصية-وحماية-البيانات"/>
      <w:bookmarkEnd w:id="26"/>
      <w:r>
        <w:t>(ب) سياسة الخصوصية وحماية البيانات</w:t>
      </w:r>
    </w:p>
    <w:p w14:paraId="645950B7" w14:textId="77777777" w:rsidR="00EF4013" w:rsidRDefault="00000000">
      <w:pPr>
        <w:pStyle w:val="Compact"/>
        <w:numPr>
          <w:ilvl w:val="0"/>
          <w:numId w:val="14"/>
        </w:numPr>
      </w:pPr>
      <w:r>
        <w:t>مراقب البيانات ومسؤول حماية البيانات (DPO).</w:t>
      </w:r>
      <w:r>
        <w:br/>
      </w:r>
    </w:p>
    <w:p w14:paraId="517A69BA" w14:textId="77777777" w:rsidR="00EF4013" w:rsidRDefault="00000000">
      <w:pPr>
        <w:pStyle w:val="Compact"/>
        <w:numPr>
          <w:ilvl w:val="0"/>
          <w:numId w:val="14"/>
        </w:numPr>
      </w:pPr>
      <w:r>
        <w:t>أنواع البيانات (هوية/اتصال/مالية/امتثال/تقنية) ومصادرها.</w:t>
      </w:r>
      <w:r>
        <w:br/>
      </w:r>
    </w:p>
    <w:p w14:paraId="6036D7F7" w14:textId="77777777" w:rsidR="00EF4013" w:rsidRDefault="00000000">
      <w:pPr>
        <w:pStyle w:val="Compact"/>
        <w:numPr>
          <w:ilvl w:val="0"/>
          <w:numId w:val="14"/>
        </w:numPr>
      </w:pPr>
      <w:r>
        <w:t>الأسس القانونية (عقد/قانون/مصلحة مشروعة/موافقة).</w:t>
      </w:r>
      <w:r>
        <w:br/>
      </w:r>
    </w:p>
    <w:p w14:paraId="3307FEF1" w14:textId="77777777" w:rsidR="00EF4013" w:rsidRDefault="00000000">
      <w:pPr>
        <w:pStyle w:val="Compact"/>
        <w:numPr>
          <w:ilvl w:val="0"/>
          <w:numId w:val="14"/>
        </w:numPr>
      </w:pPr>
      <w:r>
        <w:t>المشاركة مع أطراف ثالثة (KYC، حفظ، تأمين، تدقيق، جهات رقابية).</w:t>
      </w:r>
      <w:r>
        <w:br/>
      </w:r>
    </w:p>
    <w:p w14:paraId="54CC1FB8" w14:textId="77777777" w:rsidR="00EF4013" w:rsidRDefault="00000000">
      <w:pPr>
        <w:pStyle w:val="Compact"/>
        <w:numPr>
          <w:ilvl w:val="0"/>
          <w:numId w:val="14"/>
        </w:numPr>
      </w:pPr>
      <w:r>
        <w:t>النقل الدولي وضماناته؛ الأمن والاحتفاظ؛ حقوق أصحاب البيانات؛ آلية الطلبات.</w:t>
      </w:r>
      <w:r>
        <w:br/>
      </w:r>
      <w:r>
        <w:rPr>
          <w:b/>
          <w:bCs/>
        </w:rPr>
        <w:t>آخر تحديث:</w:t>
      </w:r>
      <w:r>
        <w:t xml:space="preserve"> [يُحدَّد].</w:t>
      </w:r>
    </w:p>
    <w:p w14:paraId="35E9AA37" w14:textId="77777777" w:rsidR="00EF4013" w:rsidRDefault="00000000">
      <w:pPr>
        <w:pStyle w:val="Heading2"/>
      </w:pPr>
      <w:bookmarkStart w:id="28" w:name="X534c8f8e5353fb4e7de22f77453c6adbc8b5ac9"/>
      <w:bookmarkEnd w:id="27"/>
      <w:r>
        <w:t>(ج) سياسة مكافحة غسل الأموال وتمويل الإرهاب (AML/CFT)</w:t>
      </w:r>
    </w:p>
    <w:p w14:paraId="6033C7AF" w14:textId="77777777" w:rsidR="00EF4013" w:rsidRDefault="00000000">
      <w:pPr>
        <w:pStyle w:val="Compact"/>
        <w:numPr>
          <w:ilvl w:val="0"/>
          <w:numId w:val="15"/>
        </w:numPr>
      </w:pPr>
      <w:r>
        <w:t>نهج قائم على المخاطر؛ MLRO؛ لجنة امتثال؛ تقييم مخاطر العملاء/المنتجات/القنوات/الدول.</w:t>
      </w:r>
      <w:r>
        <w:br/>
      </w:r>
    </w:p>
    <w:p w14:paraId="3D807E42" w14:textId="77777777" w:rsidR="00EF4013" w:rsidRDefault="00000000">
      <w:pPr>
        <w:pStyle w:val="Compact"/>
        <w:numPr>
          <w:ilvl w:val="0"/>
          <w:numId w:val="15"/>
        </w:numPr>
      </w:pPr>
      <w:r>
        <w:t>CDD/EDD؛ التحقق من المستفيدين الحقيقيين؛ فحص PEPs/العقوبات.</w:t>
      </w:r>
      <w:r>
        <w:br/>
      </w:r>
    </w:p>
    <w:p w14:paraId="05788338" w14:textId="77777777" w:rsidR="00EF4013" w:rsidRDefault="00000000">
      <w:pPr>
        <w:pStyle w:val="Compact"/>
        <w:numPr>
          <w:ilvl w:val="0"/>
          <w:numId w:val="15"/>
        </w:numPr>
      </w:pPr>
      <w:r>
        <w:t>Travel Rule عند تحويل أصول افتراضية عبر VASPs؛ تقارير الاشتباه؛ الاحتفاظ بالسجلات ≥ 5 سنوات.</w:t>
      </w:r>
    </w:p>
    <w:p w14:paraId="7B4EBBA1" w14:textId="77777777" w:rsidR="00EF4013" w:rsidRDefault="00000000">
      <w:pPr>
        <w:pStyle w:val="Heading2"/>
      </w:pPr>
      <w:bookmarkStart w:id="29" w:name="د-إفصاحات-المخاطر"/>
      <w:bookmarkEnd w:id="28"/>
      <w:r>
        <w:t>(د) إفصاحات المخاطر</w:t>
      </w:r>
    </w:p>
    <w:p w14:paraId="168109D9" w14:textId="77777777" w:rsidR="00EF4013" w:rsidRDefault="00000000">
      <w:pPr>
        <w:pStyle w:val="Compact"/>
        <w:numPr>
          <w:ilvl w:val="0"/>
          <w:numId w:val="16"/>
        </w:numPr>
      </w:pPr>
      <w:r>
        <w:t>مخاطر السوق والسيولة؛ الائتمان والطرف المقابل؛ التشغيل والحفظ؛ القانونية والتنظيمية؛ التقنية والبلوكتشين؛ التقييم؛ العملة؛ الأمن السيبراني.</w:t>
      </w:r>
      <w:r>
        <w:br/>
      </w:r>
    </w:p>
    <w:p w14:paraId="6F639522" w14:textId="77777777" w:rsidR="00EF4013" w:rsidRDefault="00000000">
      <w:pPr>
        <w:pStyle w:val="Compact"/>
        <w:numPr>
          <w:ilvl w:val="0"/>
          <w:numId w:val="16"/>
        </w:numPr>
      </w:pPr>
      <w:r>
        <w:t>حدود الضمان؛ إقرار المستثمر بقراءة الإفصاحات.</w:t>
      </w:r>
    </w:p>
    <w:p w14:paraId="5A5D283F" w14:textId="77777777" w:rsidR="00EF4013" w:rsidRDefault="00000000">
      <w:pPr>
        <w:pStyle w:val="Heading2"/>
      </w:pPr>
      <w:bookmarkStart w:id="30" w:name="Xf9f785866faa6b6dd089ec0bc9afec1b6123fcf"/>
      <w:bookmarkEnd w:id="29"/>
      <w:r>
        <w:t>(هـ) وثائق الطرح/نشرات المعلومات/اتفاقيات الاكتتاب</w:t>
      </w:r>
    </w:p>
    <w:p w14:paraId="42DDCC22" w14:textId="77777777" w:rsidR="00EF4013" w:rsidRDefault="00000000">
      <w:pPr>
        <w:pStyle w:val="FirstParagraph"/>
      </w:pPr>
      <w:r>
        <w:rPr>
          <w:b/>
          <w:bCs/>
        </w:rPr>
        <w:t>نشرة معلومات (Offering Memorandum):</w:t>
      </w:r>
      <w:r>
        <w:t xml:space="preserve"> ملخص الصفقة؛ شروط العرض؛ استخدامات العائدات؛ الرسوم؛ الحوكمة؛ المخاطر؛ التخارج؛ الجوانب القانونية/الضريبية؛ بيانات مالية؛ ملاحق.</w:t>
      </w:r>
      <w:r>
        <w:br/>
      </w:r>
      <w:r>
        <w:rPr>
          <w:b/>
          <w:bCs/>
        </w:rPr>
        <w:t>اتفاقية الاكتتاب (Subscription Agreement):</w:t>
      </w:r>
      <w:r>
        <w:t xml:space="preserve"> تصريحات وضمانات المستثمر؛ الأهلية؛ الدفع والتسوية؛ القيود على التحويل؛ الخصوصية؛ القانون الحاكم/التحكيم.</w:t>
      </w:r>
      <w:r>
        <w:br/>
      </w:r>
      <w:r>
        <w:rPr>
          <w:b/>
          <w:bCs/>
        </w:rPr>
        <w:t>نموذج أمر الاشتراك:</w:t>
      </w:r>
      <w:r>
        <w:t xml:space="preserve"> تفاصيل العرض؛ الوحدات؛ السعر؛ الرسوم؛ إقرارات AML/KYC.</w:t>
      </w:r>
    </w:p>
    <w:p w14:paraId="51ED069F" w14:textId="77777777" w:rsidR="00EF4013" w:rsidRDefault="00000000">
      <w:pPr>
        <w:pStyle w:val="Heading2"/>
      </w:pPr>
      <w:bookmarkStart w:id="31" w:name="و-سياسة-الشكاوى-وحل-النزاعات"/>
      <w:bookmarkEnd w:id="30"/>
      <w:r>
        <w:t>(و) سياسة الشكاوى وحل النزاعات</w:t>
      </w:r>
    </w:p>
    <w:p w14:paraId="0D23EC8A" w14:textId="77777777" w:rsidR="00EF4013" w:rsidRDefault="00000000">
      <w:pPr>
        <w:pStyle w:val="Compact"/>
        <w:numPr>
          <w:ilvl w:val="0"/>
          <w:numId w:val="17"/>
        </w:numPr>
      </w:pPr>
      <w:r>
        <w:t>قنوات الشكاوى: نموذج داخل الحساب؛ بريد مخصص؛ عنوان بريدي.</w:t>
      </w:r>
      <w:r>
        <w:br/>
      </w:r>
    </w:p>
    <w:p w14:paraId="36361764" w14:textId="77777777" w:rsidR="00EF4013" w:rsidRDefault="00000000">
      <w:pPr>
        <w:pStyle w:val="Compact"/>
        <w:numPr>
          <w:ilvl w:val="0"/>
          <w:numId w:val="17"/>
        </w:numPr>
      </w:pPr>
      <w:r>
        <w:t>جداول زمنية: تأكيد خلال 2 يوم عمل؛ رد أولي خلال 15 يومًا؛ قرار خلال 30 يومًا (قابل للتمديد بإخطار).</w:t>
      </w:r>
      <w:r>
        <w:br/>
      </w:r>
    </w:p>
    <w:p w14:paraId="542C2614" w14:textId="77777777" w:rsidR="00EF4013" w:rsidRDefault="00000000">
      <w:pPr>
        <w:pStyle w:val="Compact"/>
        <w:numPr>
          <w:ilvl w:val="0"/>
          <w:numId w:val="17"/>
        </w:numPr>
      </w:pPr>
      <w:r>
        <w:t>التصعيد الداخلي؛ التصعيد للجهات الرقابية المختصة حسب الدولة؛ التحكيم/التقاضي؛ الاحتفاظ بالسجلات ≥ 5 سنوات.</w:t>
      </w:r>
    </w:p>
    <w:p w14:paraId="3CBDA36F" w14:textId="77777777" w:rsidR="00EF4013" w:rsidRDefault="00000000">
      <w:pPr>
        <w:pStyle w:val="Heading2"/>
      </w:pPr>
      <w:bookmarkStart w:id="32" w:name="ز-سياسة-تضارب-المصالح"/>
      <w:bookmarkEnd w:id="31"/>
      <w:r>
        <w:t>(ز) سياسة تضارب المصالح</w:t>
      </w:r>
    </w:p>
    <w:p w14:paraId="5233AED1" w14:textId="77777777" w:rsidR="00EF4013" w:rsidRDefault="00000000">
      <w:pPr>
        <w:pStyle w:val="Compact"/>
        <w:numPr>
          <w:ilvl w:val="0"/>
          <w:numId w:val="18"/>
        </w:numPr>
      </w:pPr>
      <w:r>
        <w:t>نطاق يشمل الإدارة والموظفين والمورّدين.</w:t>
      </w:r>
      <w:r>
        <w:br/>
      </w:r>
    </w:p>
    <w:p w14:paraId="23C66B6F" w14:textId="77777777" w:rsidR="00EF4013" w:rsidRDefault="00000000">
      <w:pPr>
        <w:pStyle w:val="Compact"/>
        <w:numPr>
          <w:ilvl w:val="0"/>
          <w:numId w:val="18"/>
        </w:numPr>
      </w:pPr>
      <w:r>
        <w:t>إفصاح سنوي وتحديثات؛ سجل مركزي؛ إدارة/تخفيف (امتناع، لجنة مستقلة، جدران معلومات، قوائم مراقبة).</w:t>
      </w:r>
      <w:r>
        <w:br/>
      </w:r>
    </w:p>
    <w:p w14:paraId="0E143D32" w14:textId="77777777" w:rsidR="00EF4013" w:rsidRDefault="00000000">
      <w:pPr>
        <w:pStyle w:val="Compact"/>
        <w:numPr>
          <w:ilvl w:val="0"/>
          <w:numId w:val="18"/>
        </w:numPr>
      </w:pPr>
      <w:r>
        <w:t>الهدايا/الضيافة بحدود مالية؛ التداول الشخصي بإذن مسبق وفترات حظر.</w:t>
      </w:r>
    </w:p>
    <w:p w14:paraId="397C5FA9" w14:textId="77777777" w:rsidR="00EF4013" w:rsidRDefault="00000000">
      <w:pPr>
        <w:pStyle w:val="Heading2"/>
      </w:pPr>
      <w:bookmarkStart w:id="33" w:name="ح-سياسة-الاستمرارية-وخطط-الطوارئ-bcpdrp"/>
      <w:bookmarkEnd w:id="32"/>
      <w:r>
        <w:t>(ح) سياسة الاستمرارية وخطط الطوارئ (BCP/DRP)</w:t>
      </w:r>
    </w:p>
    <w:p w14:paraId="736EAE95" w14:textId="77777777" w:rsidR="00EF4013" w:rsidRDefault="00000000">
      <w:pPr>
        <w:pStyle w:val="Compact"/>
        <w:numPr>
          <w:ilvl w:val="0"/>
          <w:numId w:val="19"/>
        </w:numPr>
      </w:pPr>
      <w:r>
        <w:t>حوكمة BCP؛ فريق إدارة أزمات؛ BIA مع أهداف RTO/RPO (مثال: RTO 4 ساعات، RPO ≤ 15 دقيقة).</w:t>
      </w:r>
      <w:r>
        <w:br/>
      </w:r>
    </w:p>
    <w:p w14:paraId="782C8250" w14:textId="77777777" w:rsidR="00EF4013" w:rsidRDefault="00000000">
      <w:pPr>
        <w:pStyle w:val="Compact"/>
        <w:numPr>
          <w:ilvl w:val="0"/>
          <w:numId w:val="19"/>
        </w:numPr>
      </w:pPr>
      <w:r>
        <w:t>تعددية مناطق السحابة؛ نسخ احتياطية مشفّرة يومية؛ اختبارات استعادة فصلية؛ مركز حالة؛ مورّد بديل؛ تمارين محاكاة سنوية.</w:t>
      </w:r>
      <w:r>
        <w:br/>
      </w:r>
    </w:p>
    <w:p w14:paraId="5E901E63" w14:textId="77777777" w:rsidR="00EF4013" w:rsidRDefault="00000000">
      <w:pPr>
        <w:pStyle w:val="Compact"/>
        <w:numPr>
          <w:ilvl w:val="0"/>
          <w:numId w:val="19"/>
        </w:numPr>
      </w:pPr>
      <w:r>
        <w:t>تفعيل/عودة؛ مراجعة ما بعد الحادث.</w:t>
      </w:r>
    </w:p>
    <w:p w14:paraId="59EAA863" w14:textId="77777777" w:rsidR="00EF4013" w:rsidRDefault="00000000">
      <w:pPr>
        <w:pStyle w:val="Heading2"/>
      </w:pPr>
      <w:bookmarkStart w:id="34" w:name="ط-سياسة-الأمن-السيبراني-وإدارة-الثغرات"/>
      <w:bookmarkEnd w:id="33"/>
      <w:r>
        <w:t>(ط) سياسة الأمن السيبراني وإدارة الثغرات</w:t>
      </w:r>
    </w:p>
    <w:p w14:paraId="1A4AB170" w14:textId="77777777" w:rsidR="00EF4013" w:rsidRDefault="00000000">
      <w:pPr>
        <w:pStyle w:val="Compact"/>
        <w:numPr>
          <w:ilvl w:val="0"/>
          <w:numId w:val="20"/>
        </w:numPr>
      </w:pPr>
      <w:r>
        <w:t>إطار ISO 27001/NIST؛ CISO؛ تصنيف الأصول؛ مبدأ أقل امتياز؛ MFA؛ تشفير AES-256/TLS 1.2+؛ SIEM/EDR/DLP.</w:t>
      </w:r>
      <w:r>
        <w:br/>
      </w:r>
    </w:p>
    <w:p w14:paraId="3E85D680" w14:textId="77777777" w:rsidR="00EF4013" w:rsidRDefault="00000000">
      <w:pPr>
        <w:pStyle w:val="Compact"/>
        <w:numPr>
          <w:ilvl w:val="0"/>
          <w:numId w:val="20"/>
        </w:numPr>
      </w:pPr>
      <w:r>
        <w:t>SSDLC؛ SCA؛ خزائن أسرار؛ فحص ثغرات دوري؛ اختبارات اختراق سنوية؛ جداول تصحيح (حرجة ≤ 48 ساعة/عالية ≤ 7 أيام/متوسطة ≤ 30 يومًا/منخفضة ≤ 90 يومًا).</w:t>
      </w:r>
      <w:r>
        <w:br/>
      </w:r>
    </w:p>
    <w:p w14:paraId="2F82CAE9" w14:textId="77777777" w:rsidR="00EF4013" w:rsidRDefault="00000000">
      <w:pPr>
        <w:pStyle w:val="Compact"/>
        <w:numPr>
          <w:ilvl w:val="0"/>
          <w:numId w:val="20"/>
        </w:numPr>
      </w:pPr>
      <w:r>
        <w:t>أمن سحابي وأطراف ثالثة؛ استجابة للحوادث؛ تدريب ووعي؛ مراجعة نصف سنوية.</w:t>
      </w:r>
    </w:p>
    <w:p w14:paraId="47AF2163" w14:textId="77777777" w:rsidR="00EF4013" w:rsidRDefault="00000000">
      <w:pPr>
        <w:pStyle w:val="BlockText"/>
      </w:pPr>
      <w:r>
        <w:t>يمكن نشر كل سياسة كصفحة مستقلة ضمن “المستندات والسياسات” مع روابط تنزيل PDF.</w:t>
      </w:r>
    </w:p>
    <w:p w14:paraId="24A0BD84" w14:textId="77777777" w:rsidR="00EF4013" w:rsidRDefault="00000000">
      <w:r>
        <w:pict w14:anchorId="1FDB859D">
          <v:rect id="_x0000_i1035" style="width:0;height:1.5pt" o:hralign="center" o:hrstd="t" o:hr="t"/>
        </w:pict>
      </w:r>
    </w:p>
    <w:p w14:paraId="45932FAB" w14:textId="77777777" w:rsidR="00EF4013" w:rsidRDefault="00000000">
      <w:pPr>
        <w:pStyle w:val="Heading2"/>
      </w:pPr>
      <w:bookmarkStart w:id="35" w:name="تواصل-معنا"/>
      <w:bookmarkEnd w:id="34"/>
      <w:r>
        <w:t>11) تواصل معنا</w:t>
      </w:r>
    </w:p>
    <w:p w14:paraId="3A988E3C" w14:textId="77777777" w:rsidR="00EF4013" w:rsidRDefault="00000000">
      <w:pPr>
        <w:pStyle w:val="FirstParagraph"/>
      </w:pPr>
      <w:r>
        <w:rPr>
          <w:b/>
          <w:bCs/>
        </w:rPr>
        <w:t>استفسارات المستثمرين:</w:t>
      </w:r>
      <w:r>
        <w:t xml:space="preserve"> فريق علاقات المستثمرين.</w:t>
      </w:r>
      <w:r>
        <w:br/>
      </w:r>
      <w:r>
        <w:rPr>
          <w:b/>
          <w:bCs/>
        </w:rPr>
        <w:t>انضمام كمُصدِر:</w:t>
      </w:r>
      <w:r>
        <w:t xml:space="preserve"> تقديم طلب ترميز أصل/إطلاق صندوق.</w:t>
      </w:r>
      <w:r>
        <w:br/>
      </w:r>
      <w:r>
        <w:rPr>
          <w:b/>
          <w:bCs/>
        </w:rPr>
        <w:t>العناوين:</w:t>
      </w:r>
      <w:r>
        <w:t xml:space="preserve"> كما في قسم الفروع.</w:t>
      </w:r>
      <w:r>
        <w:br/>
      </w:r>
      <w:r>
        <w:rPr>
          <w:b/>
          <w:bCs/>
        </w:rPr>
        <w:t>بريد عام:</w:t>
      </w:r>
      <w:r>
        <w:t xml:space="preserve"> info@capimaxinvestments.com</w:t>
      </w:r>
      <w:r>
        <w:br/>
      </w:r>
      <w:r>
        <w:rPr>
          <w:b/>
          <w:bCs/>
        </w:rPr>
        <w:t>خصوصية:</w:t>
      </w:r>
      <w:r>
        <w:t xml:space="preserve"> privacy@capimaxinvestments.com</w:t>
      </w:r>
      <w:r>
        <w:br/>
      </w:r>
      <w:r>
        <w:rPr>
          <w:b/>
          <w:bCs/>
        </w:rPr>
        <w:t>شكاوى:</w:t>
      </w:r>
      <w:r>
        <w:t xml:space="preserve"> complaints@capimaxinvestments.com</w:t>
      </w:r>
    </w:p>
    <w:p w14:paraId="099568D8" w14:textId="77777777" w:rsidR="00EF4013" w:rsidRDefault="00000000">
      <w:r>
        <w:pict w14:anchorId="43A1AE3E">
          <v:rect id="_x0000_i1036" style="width:0;height:1.5pt" o:hralign="center" o:hrstd="t" o:hr="t"/>
        </w:pict>
      </w:r>
    </w:p>
    <w:p w14:paraId="43E3E02A" w14:textId="77777777" w:rsidR="00EF4013" w:rsidRDefault="00000000">
      <w:pPr>
        <w:pStyle w:val="Heading2"/>
      </w:pPr>
      <w:bookmarkStart w:id="36" w:name="ملاحظات-تصميمتنفيذ-للموقع"/>
      <w:bookmarkEnd w:id="35"/>
      <w:r>
        <w:t>ملاحظات تصميم/تنفيذ للموقع</w:t>
      </w:r>
    </w:p>
    <w:p w14:paraId="181B7FDB" w14:textId="77777777" w:rsidR="00EF4013" w:rsidRDefault="00000000">
      <w:pPr>
        <w:pStyle w:val="Compact"/>
        <w:numPr>
          <w:ilvl w:val="0"/>
          <w:numId w:val="21"/>
        </w:numPr>
      </w:pPr>
      <w:r>
        <w:t>ثنائي اللغة (عربي/English)؛ أداء وأمن عالٍ؛ WCAG؛ لافتة موافقة ملفات الارتباط؛ لوحة مستندات آمنة؛ تكامل KYC/AML والتوقيع الإلكتروني والحفظ.</w:t>
      </w:r>
      <w:r>
        <w:br/>
      </w:r>
    </w:p>
    <w:p w14:paraId="7204AACE" w14:textId="77777777" w:rsidR="00EF4013" w:rsidRDefault="00000000">
      <w:pPr>
        <w:pStyle w:val="Compact"/>
        <w:numPr>
          <w:ilvl w:val="0"/>
          <w:numId w:val="21"/>
        </w:numPr>
      </w:pPr>
      <w:r>
        <w:t>بطاقات فرص تفاعلية؛ جداول رسوم واضحة؛ قسم نتائج؛ نافذة تخارج/سيولة (إن وُجد) موضّحة.</w:t>
      </w:r>
      <w:r>
        <w:br/>
      </w:r>
    </w:p>
    <w:p w14:paraId="38198E28" w14:textId="77777777" w:rsidR="00EF4013" w:rsidRDefault="00000000">
      <w:pPr>
        <w:pStyle w:val="Compact"/>
        <w:numPr>
          <w:ilvl w:val="0"/>
          <w:numId w:val="21"/>
        </w:numPr>
      </w:pPr>
      <w:r>
        <w:t>إدراج توضيح: “بعض المنتجات للمستثمرين المؤهلين فقط” في كل صفحة منتج.</w:t>
      </w:r>
      <w:bookmarkEnd w:id="25"/>
      <w:bookmarkEnd w:id="36"/>
    </w:p>
    <w:sectPr w:rsidR="00EF401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5F0BA4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364F4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4E8D4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21"/>
    <w:multiLevelType w:val="multilevel"/>
    <w:tmpl w:val="CF88312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1375082219">
    <w:abstractNumId w:val="0"/>
  </w:num>
  <w:num w:numId="2" w16cid:durableId="15216255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78867734">
    <w:abstractNumId w:val="1"/>
  </w:num>
  <w:num w:numId="4" w16cid:durableId="163933667">
    <w:abstractNumId w:val="1"/>
  </w:num>
  <w:num w:numId="5" w16cid:durableId="737216910">
    <w:abstractNumId w:val="1"/>
  </w:num>
  <w:num w:numId="6" w16cid:durableId="1617178967">
    <w:abstractNumId w:val="1"/>
  </w:num>
  <w:num w:numId="7" w16cid:durableId="1260062675">
    <w:abstractNumId w:val="1"/>
  </w:num>
  <w:num w:numId="8" w16cid:durableId="1859539913">
    <w:abstractNumId w:val="1"/>
  </w:num>
  <w:num w:numId="9" w16cid:durableId="1823767099">
    <w:abstractNumId w:val="1"/>
  </w:num>
  <w:num w:numId="10" w16cid:durableId="213270430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1290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30739180">
    <w:abstractNumId w:val="1"/>
  </w:num>
  <w:num w:numId="13" w16cid:durableId="153491068">
    <w:abstractNumId w:val="1"/>
  </w:num>
  <w:num w:numId="14" w16cid:durableId="715737166">
    <w:abstractNumId w:val="1"/>
  </w:num>
  <w:num w:numId="15" w16cid:durableId="1834569283">
    <w:abstractNumId w:val="1"/>
  </w:num>
  <w:num w:numId="16" w16cid:durableId="1384526332">
    <w:abstractNumId w:val="1"/>
  </w:num>
  <w:num w:numId="17" w16cid:durableId="608202050">
    <w:abstractNumId w:val="1"/>
  </w:num>
  <w:num w:numId="18" w16cid:durableId="624190632">
    <w:abstractNumId w:val="1"/>
  </w:num>
  <w:num w:numId="19" w16cid:durableId="1150947063">
    <w:abstractNumId w:val="1"/>
  </w:num>
  <w:num w:numId="20" w16cid:durableId="1666124917">
    <w:abstractNumId w:val="1"/>
  </w:num>
  <w:num w:numId="21" w16cid:durableId="957220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13"/>
    <w:rsid w:val="00116A17"/>
    <w:rsid w:val="002A035C"/>
    <w:rsid w:val="00753517"/>
    <w:rsid w:val="0086418A"/>
    <w:rsid w:val="0089322A"/>
    <w:rsid w:val="009B4BE8"/>
    <w:rsid w:val="00A249DE"/>
    <w:rsid w:val="00BE71B2"/>
    <w:rsid w:val="00D3259E"/>
    <w:rsid w:val="00D923DF"/>
    <w:rsid w:val="00E243C1"/>
    <w:rsid w:val="00EF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BA43C"/>
  <w15:docId w15:val="{6AFAF73F-D825-4CF2-AC8B-C87E8D547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1231</Words>
  <Characters>7018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35</vt:i4>
      </vt:variant>
    </vt:vector>
  </HeadingPairs>
  <TitlesOfParts>
    <vt:vector size="36" baseType="lpstr">
      <vt:lpstr/>
      <vt:lpstr>كابي ماكس للأصول الافتراضية</vt:lpstr>
      <vt:lpstr>    خارطة الموقع (Site Map)</vt:lpstr>
      <vt:lpstr>    1) الصفحة الرئيسية</vt:lpstr>
      <vt:lpstr>    2) من نحن (الهوية والحوكمة)</vt:lpstr>
      <vt:lpstr>        رسالتنا</vt:lpstr>
      <vt:lpstr>        رؤيتنا</vt:lpstr>
      <vt:lpstr>        قيمنا</vt:lpstr>
      <vt:lpstr>        الحوكمة</vt:lpstr>
      <vt:lpstr>    3) حلولنا وخدماتنا</vt:lpstr>
      <vt:lpstr>        3.1 إدارة الأصول الافتراضية والصناديق</vt:lpstr>
      <vt:lpstr>        3.2 الترميز العقاري والاستثماري (Tokenization)</vt:lpstr>
      <vt:lpstr>        3.3 الملكية الجزئية (Fractional Ownership)</vt:lpstr>
      <vt:lpstr>        3.4 خدمات المُصدرين (Issuers)</vt:lpstr>
      <vt:lpstr>        3.5 الاستشارات والتنفيذ</vt:lpstr>
      <vt:lpstr>    4) المنصّات الرقمية</vt:lpstr>
      <vt:lpstr>        Capi realestate Tokenization</vt:lpstr>
      <vt:lpstr>    5) الشراكات والتحالفات</vt:lpstr>
      <vt:lpstr>    6) كيف تبدأ</vt:lpstr>
      <vt:lpstr>        للمستثمرين</vt:lpstr>
      <vt:lpstr>        للمُصدرين (مالكي الأصول)</vt:lpstr>
      <vt:lpstr>    7) التغطية الجغرافية والفروع</vt:lpstr>
      <vt:lpstr>    8) دراسات حالة ونتائج (أمثلة سردية)</vt:lpstr>
      <vt:lpstr>    9) الأسئلة الشائعة (FAQ)</vt:lpstr>
      <vt:lpstr>10) المستندات والسياسات (نصوص جاهزة)</vt:lpstr>
      <vt:lpstr>    (أ) الشروط والأحكام العامة</vt:lpstr>
      <vt:lpstr>    (ب) سياسة الخصوصية وحماية البيانات</vt:lpstr>
      <vt:lpstr>    (ج) سياسة مكافحة غسل الأموال وتمويل الإرهاب (AML/CFT)</vt:lpstr>
      <vt:lpstr>    (د) إفصاحات المخاطر</vt:lpstr>
      <vt:lpstr>    (هـ) وثائق الطرح/نشرات المعلومات/اتفاقيات الاكتتاب</vt:lpstr>
      <vt:lpstr>    (و) سياسة الشكاوى وحل النزاعات</vt:lpstr>
      <vt:lpstr>    (ز) سياسة تضارب المصالح</vt:lpstr>
      <vt:lpstr>    (ح) سياسة الاستمرارية وخطط الطوارئ (BCP/DRP)</vt:lpstr>
      <vt:lpstr>    (ط) سياسة الأمن السيبراني وإدارة الثغرات</vt:lpstr>
      <vt:lpstr>    11) تواصل معنا</vt:lpstr>
      <vt:lpstr>    ملاحظات تصميم/تنفيذ للموقع</vt:lpstr>
    </vt:vector>
  </TitlesOfParts>
  <Company/>
  <LinksUpToDate>false</LinksUpToDate>
  <CharactersWithSpaces>8233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ibrahim gad</dc:creator>
  <cp:keywords/>
  <cp:lastModifiedBy>ibrahim gad</cp:lastModifiedBy>
  <cp:revision>7</cp:revision>
  <dcterms:created xsi:type="dcterms:W3CDTF">2025-08-20T17:01:00Z</dcterms:created>
  <dcterms:modified xsi:type="dcterms:W3CDTF">2025-08-20T17:56:00Z</dcterms:modified>
</cp:coreProperties>
</file>