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5C1D" w14:textId="77777777" w:rsidR="003B48B3" w:rsidRDefault="00000000">
      <w:pPr>
        <w:pStyle w:val="Heading1"/>
      </w:pPr>
      <w:bookmarkStart w:id="0" w:name="كابي-ماكس-للاستثمارات"/>
      <w:r>
        <w:t>كابي ماكس للاستثمارات</w:t>
      </w:r>
    </w:p>
    <w:p w14:paraId="1F739024" w14:textId="0C9AA946" w:rsidR="003B48B3" w:rsidRDefault="00000000">
      <w:pPr>
        <w:pStyle w:val="FirstParagraph"/>
      </w:pPr>
      <w:r>
        <w:t>منصة استثمارية عالمية أمريكية–بريطانية–إماراتية، متخصصة في إنشاء وإدارة الصناديق والاستثمار متعدد القطاعات (</w:t>
      </w:r>
      <w:proofErr w:type="spellStart"/>
      <w:r>
        <w:t>العقاري</w:t>
      </w:r>
      <w:proofErr w:type="spellEnd"/>
      <w:r>
        <w:t xml:space="preserve">، </w:t>
      </w:r>
      <w:proofErr w:type="spellStart"/>
      <w:r>
        <w:t>التكنولوجي</w:t>
      </w:r>
      <w:proofErr w:type="spellEnd"/>
      <w:r>
        <w:t xml:space="preserve">، </w:t>
      </w:r>
      <w:proofErr w:type="spellStart"/>
      <w:r>
        <w:t>السياحي</w:t>
      </w:r>
      <w:proofErr w:type="spellEnd"/>
      <w:r>
        <w:t xml:space="preserve">، </w:t>
      </w:r>
      <w:proofErr w:type="spellStart"/>
      <w:r>
        <w:t>التجاري</w:t>
      </w:r>
      <w:proofErr w:type="spellEnd"/>
      <w:r>
        <w:t xml:space="preserve">، </w:t>
      </w:r>
      <w:proofErr w:type="spellStart"/>
      <w:r>
        <w:t>الصناعي</w:t>
      </w:r>
      <w:proofErr w:type="spellEnd"/>
      <w:r>
        <w:t xml:space="preserve">، </w:t>
      </w:r>
      <w:proofErr w:type="spellStart"/>
      <w:proofErr w:type="gramStart"/>
      <w:r>
        <w:t>الزراعي</w:t>
      </w:r>
      <w:proofErr w:type="spellEnd"/>
      <w:r>
        <w:t>)،</w:t>
      </w:r>
      <w:proofErr w:type="gramEnd"/>
      <w:r>
        <w:t xml:space="preserve"> </w:t>
      </w:r>
      <w:proofErr w:type="spellStart"/>
      <w:r>
        <w:t>مع</w:t>
      </w:r>
      <w:proofErr w:type="spellEnd"/>
      <w:r>
        <w:t xml:space="preserve"> </w:t>
      </w:r>
      <w:proofErr w:type="spellStart"/>
      <w:r>
        <w:t>حلول</w:t>
      </w:r>
      <w:proofErr w:type="spellEnd"/>
      <w:r>
        <w:t xml:space="preserve"> </w:t>
      </w:r>
      <w:proofErr w:type="spellStart"/>
      <w:r>
        <w:t>استثمارية</w:t>
      </w:r>
      <w:proofErr w:type="spellEnd"/>
      <w:r>
        <w:t xml:space="preserve"> </w:t>
      </w:r>
      <w:proofErr w:type="spellStart"/>
      <w:r>
        <w:t>تقليدية</w:t>
      </w:r>
      <w:proofErr w:type="spellEnd"/>
      <w:r>
        <w:t xml:space="preserve"> </w:t>
      </w:r>
      <w:proofErr w:type="spellStart"/>
      <w:r>
        <w:t>ورقمية</w:t>
      </w:r>
      <w:proofErr w:type="spellEnd"/>
      <w:r>
        <w:t xml:space="preserve"> </w:t>
      </w:r>
      <w:proofErr w:type="spellStart"/>
      <w:r>
        <w:t>وترميزية</w:t>
      </w:r>
      <w:proofErr w:type="spellEnd"/>
      <w:r>
        <w:t xml:space="preserve"> </w:t>
      </w:r>
      <w:proofErr w:type="spellStart"/>
      <w:r>
        <w:t>تُمكّن</w:t>
      </w:r>
      <w:proofErr w:type="spellEnd"/>
      <w:r>
        <w:t xml:space="preserve"> </w:t>
      </w:r>
      <w:proofErr w:type="spellStart"/>
      <w:r>
        <w:t>جميع</w:t>
      </w:r>
      <w:proofErr w:type="spellEnd"/>
      <w:r>
        <w:t xml:space="preserve"> </w:t>
      </w:r>
      <w:proofErr w:type="spellStart"/>
      <w:r>
        <w:t>فئات</w:t>
      </w:r>
      <w:proofErr w:type="spellEnd"/>
      <w:r>
        <w:t xml:space="preserve"> </w:t>
      </w:r>
      <w:proofErr w:type="spellStart"/>
      <w:r>
        <w:t>المستثمرين</w:t>
      </w:r>
      <w:proofErr w:type="spellEnd"/>
      <w:r>
        <w:t xml:space="preserve"> </w:t>
      </w:r>
      <w:proofErr w:type="spellStart"/>
      <w:r>
        <w:t>من</w:t>
      </w:r>
      <w:proofErr w:type="spellEnd"/>
      <w:r>
        <w:t xml:space="preserve"> </w:t>
      </w:r>
      <w:proofErr w:type="spellStart"/>
      <w:r>
        <w:t>الوصول</w:t>
      </w:r>
      <w:proofErr w:type="spellEnd"/>
      <w:r>
        <w:t xml:space="preserve"> </w:t>
      </w:r>
      <w:proofErr w:type="spellStart"/>
      <w:r>
        <w:t>إلى</w:t>
      </w:r>
      <w:proofErr w:type="spellEnd"/>
      <w:r>
        <w:t xml:space="preserve"> فرص مقيمة ومراقبة وسهلة التخارج.</w:t>
      </w:r>
    </w:p>
    <w:p w14:paraId="18640BC6" w14:textId="77777777" w:rsidR="000C7D2C" w:rsidRDefault="000C7D2C" w:rsidP="000C7D2C">
      <w:pPr>
        <w:pStyle w:val="BlockText"/>
      </w:pPr>
      <w:r>
        <w:rPr>
          <w:rFonts w:hint="cs"/>
          <w:rtl/>
        </w:rPr>
        <w:t xml:space="preserve">تقدم خدماتها </w:t>
      </w:r>
      <w:proofErr w:type="gramStart"/>
      <w:r>
        <w:rPr>
          <w:rFonts w:hint="cs"/>
          <w:rtl/>
        </w:rPr>
        <w:t>عاميا</w:t>
      </w:r>
      <w:r>
        <w:t>.</w:t>
      </w:r>
      <w:r>
        <w:rPr>
          <w:rFonts w:hint="cs"/>
          <w:rtl/>
        </w:rPr>
        <w:t>منصة</w:t>
      </w:r>
      <w:proofErr w:type="gramEnd"/>
      <w:r>
        <w:rPr>
          <w:rFonts w:hint="cs"/>
          <w:rtl/>
        </w:rPr>
        <w:t xml:space="preserve"> لامركزية</w:t>
      </w:r>
    </w:p>
    <w:p w14:paraId="2F6D80C7" w14:textId="344A1067" w:rsidR="003B48B3" w:rsidRDefault="003B48B3"/>
    <w:p w14:paraId="16F20F70" w14:textId="77777777" w:rsidR="003B48B3" w:rsidRDefault="00000000">
      <w:pPr>
        <w:pStyle w:val="Heading2"/>
      </w:pPr>
      <w:bookmarkStart w:id="1" w:name="خارطة-الموقع-site-map"/>
      <w:r>
        <w:t>خارطة الموقع (Site Map)</w:t>
      </w:r>
    </w:p>
    <w:p w14:paraId="5F46F78E" w14:textId="77777777" w:rsidR="003B48B3" w:rsidRDefault="00000000">
      <w:pPr>
        <w:pStyle w:val="Compact"/>
        <w:numPr>
          <w:ilvl w:val="0"/>
          <w:numId w:val="2"/>
        </w:numPr>
      </w:pPr>
      <w:r>
        <w:t>الصفحة الرئيسية</w:t>
      </w:r>
    </w:p>
    <w:p w14:paraId="4093E172" w14:textId="77777777" w:rsidR="003B48B3" w:rsidRDefault="00000000">
      <w:pPr>
        <w:pStyle w:val="Compact"/>
        <w:numPr>
          <w:ilvl w:val="0"/>
          <w:numId w:val="2"/>
        </w:numPr>
      </w:pPr>
      <w:r>
        <w:t>من نحن</w:t>
      </w:r>
    </w:p>
    <w:p w14:paraId="043CAA9C" w14:textId="77777777" w:rsidR="003B48B3" w:rsidRDefault="00000000">
      <w:pPr>
        <w:pStyle w:val="Compact"/>
        <w:numPr>
          <w:ilvl w:val="1"/>
          <w:numId w:val="3"/>
        </w:numPr>
      </w:pPr>
      <w:r>
        <w:t>رسالتنا ورؤيتنا</w:t>
      </w:r>
    </w:p>
    <w:p w14:paraId="2669CE22" w14:textId="77777777" w:rsidR="003B48B3" w:rsidRDefault="00000000">
      <w:pPr>
        <w:pStyle w:val="Compact"/>
        <w:numPr>
          <w:ilvl w:val="1"/>
          <w:numId w:val="3"/>
        </w:numPr>
      </w:pPr>
      <w:r>
        <w:t>قيمنا ومبادئ الحوكمة</w:t>
      </w:r>
    </w:p>
    <w:p w14:paraId="4415AF51" w14:textId="77777777" w:rsidR="003B48B3" w:rsidRDefault="00000000">
      <w:pPr>
        <w:pStyle w:val="Compact"/>
        <w:numPr>
          <w:ilvl w:val="1"/>
          <w:numId w:val="3"/>
        </w:numPr>
      </w:pPr>
      <w:r>
        <w:t>هيكل الملكية والإدارة</w:t>
      </w:r>
    </w:p>
    <w:p w14:paraId="0EF37C6A" w14:textId="77777777" w:rsidR="003B48B3" w:rsidRDefault="00000000">
      <w:pPr>
        <w:pStyle w:val="Compact"/>
        <w:numPr>
          <w:ilvl w:val="0"/>
          <w:numId w:val="2"/>
        </w:numPr>
      </w:pPr>
      <w:r>
        <w:t>نطاق الأعمال والخدمات</w:t>
      </w:r>
    </w:p>
    <w:p w14:paraId="2DF894A6" w14:textId="77777777" w:rsidR="003B48B3" w:rsidRDefault="00000000">
      <w:pPr>
        <w:pStyle w:val="Compact"/>
        <w:numPr>
          <w:ilvl w:val="1"/>
          <w:numId w:val="4"/>
        </w:numPr>
      </w:pPr>
      <w:r>
        <w:t>إنشاء وإدارة صناديق الاستثمار</w:t>
      </w:r>
    </w:p>
    <w:p w14:paraId="346B693D" w14:textId="77777777" w:rsidR="003B48B3" w:rsidRDefault="00000000">
      <w:pPr>
        <w:pStyle w:val="Compact"/>
        <w:numPr>
          <w:ilvl w:val="1"/>
          <w:numId w:val="4"/>
        </w:numPr>
      </w:pPr>
      <w:r>
        <w:t>الاستثمارات العقارية</w:t>
      </w:r>
    </w:p>
    <w:p w14:paraId="17B12733" w14:textId="77777777" w:rsidR="003B48B3" w:rsidRDefault="00000000">
      <w:pPr>
        <w:pStyle w:val="Compact"/>
        <w:numPr>
          <w:ilvl w:val="1"/>
          <w:numId w:val="4"/>
        </w:numPr>
      </w:pPr>
      <w:r>
        <w:t>الاستثمارات التكنولوجية والذكاء الاصطناعي والبلوكتشين</w:t>
      </w:r>
    </w:p>
    <w:p w14:paraId="0239816F" w14:textId="77777777" w:rsidR="003B48B3" w:rsidRDefault="00000000">
      <w:pPr>
        <w:pStyle w:val="Compact"/>
        <w:numPr>
          <w:ilvl w:val="1"/>
          <w:numId w:val="4"/>
        </w:numPr>
      </w:pPr>
      <w:r>
        <w:t>الاستثمارات السياحية والضيافة</w:t>
      </w:r>
    </w:p>
    <w:p w14:paraId="732731C0" w14:textId="77777777" w:rsidR="003B48B3" w:rsidRDefault="00000000">
      <w:pPr>
        <w:pStyle w:val="Compact"/>
        <w:numPr>
          <w:ilvl w:val="1"/>
          <w:numId w:val="4"/>
        </w:numPr>
      </w:pPr>
      <w:r>
        <w:t>الاستثمارات التجارية والصناعية والزراعية</w:t>
      </w:r>
    </w:p>
    <w:p w14:paraId="41AC75F5" w14:textId="77777777" w:rsidR="003B48B3" w:rsidRDefault="00000000">
      <w:pPr>
        <w:pStyle w:val="Compact"/>
        <w:numPr>
          <w:ilvl w:val="1"/>
          <w:numId w:val="4"/>
        </w:numPr>
      </w:pPr>
      <w:r>
        <w:t>خدمة الترميز العقاري والمالي (Tokenization)</w:t>
      </w:r>
    </w:p>
    <w:p w14:paraId="10361571" w14:textId="77777777" w:rsidR="003B48B3" w:rsidRDefault="00000000">
      <w:pPr>
        <w:pStyle w:val="Compact"/>
        <w:numPr>
          <w:ilvl w:val="1"/>
          <w:numId w:val="4"/>
        </w:numPr>
      </w:pPr>
      <w:r>
        <w:t>خدمات التقييم والرقابة والتدقيق والامتثال</w:t>
      </w:r>
    </w:p>
    <w:p w14:paraId="05E156F0" w14:textId="77777777" w:rsidR="003B48B3" w:rsidRDefault="00000000">
      <w:pPr>
        <w:pStyle w:val="Compact"/>
        <w:numPr>
          <w:ilvl w:val="1"/>
          <w:numId w:val="4"/>
        </w:numPr>
      </w:pPr>
      <w:r>
        <w:t>التأمين وإدارة المخاطر</w:t>
      </w:r>
    </w:p>
    <w:p w14:paraId="30D0E238" w14:textId="77777777" w:rsidR="003B48B3" w:rsidRDefault="00000000">
      <w:pPr>
        <w:pStyle w:val="Compact"/>
        <w:numPr>
          <w:ilvl w:val="1"/>
          <w:numId w:val="4"/>
        </w:numPr>
      </w:pPr>
      <w:proofErr w:type="spellStart"/>
      <w:r>
        <w:t>إدارة</w:t>
      </w:r>
      <w:proofErr w:type="spellEnd"/>
      <w:r>
        <w:t xml:space="preserve"> </w:t>
      </w:r>
      <w:proofErr w:type="spellStart"/>
      <w:r>
        <w:t>الأصول</w:t>
      </w:r>
      <w:proofErr w:type="spellEnd"/>
      <w:r>
        <w:t xml:space="preserve"> </w:t>
      </w:r>
      <w:proofErr w:type="spellStart"/>
      <w:r>
        <w:t>والملكية</w:t>
      </w:r>
      <w:proofErr w:type="spellEnd"/>
      <w:r>
        <w:t xml:space="preserve"> </w:t>
      </w:r>
      <w:proofErr w:type="spellStart"/>
      <w:r>
        <w:t>الجزئية</w:t>
      </w:r>
      <w:proofErr w:type="spellEnd"/>
      <w:r>
        <w:t xml:space="preserve"> </w:t>
      </w:r>
      <w:proofErr w:type="spellStart"/>
      <w:r>
        <w:t>وخطط</w:t>
      </w:r>
      <w:proofErr w:type="spellEnd"/>
      <w:r>
        <w:t xml:space="preserve"> </w:t>
      </w:r>
      <w:proofErr w:type="spellStart"/>
      <w:r>
        <w:t>التخارج</w:t>
      </w:r>
      <w:proofErr w:type="spellEnd"/>
    </w:p>
    <w:p w14:paraId="27B849EF" w14:textId="77777777" w:rsidR="00201600" w:rsidRDefault="00201600">
      <w:pPr>
        <w:pStyle w:val="Compact"/>
        <w:numPr>
          <w:ilvl w:val="1"/>
          <w:numId w:val="4"/>
        </w:numPr>
      </w:pPr>
    </w:p>
    <w:p w14:paraId="58835E8D" w14:textId="77777777" w:rsidR="003B48B3" w:rsidRDefault="00000000">
      <w:pPr>
        <w:pStyle w:val="Compact"/>
        <w:numPr>
          <w:ilvl w:val="0"/>
          <w:numId w:val="2"/>
        </w:numPr>
      </w:pPr>
      <w:r>
        <w:t>منصّات كابي ماكس</w:t>
      </w:r>
    </w:p>
    <w:p w14:paraId="42CF29C1" w14:textId="77777777" w:rsidR="003B48B3" w:rsidRDefault="00000000">
      <w:pPr>
        <w:pStyle w:val="Compact"/>
        <w:numPr>
          <w:ilvl w:val="1"/>
          <w:numId w:val="5"/>
        </w:numPr>
      </w:pPr>
      <w:r>
        <w:t>CapimaxInvestments</w:t>
      </w:r>
    </w:p>
    <w:p w14:paraId="2081A57C" w14:textId="77777777" w:rsidR="003B48B3" w:rsidRDefault="00000000">
      <w:pPr>
        <w:pStyle w:val="Compact"/>
        <w:numPr>
          <w:ilvl w:val="1"/>
          <w:numId w:val="5"/>
        </w:numPr>
      </w:pPr>
      <w:r>
        <w:t>Capi Tokenization</w:t>
      </w:r>
    </w:p>
    <w:p w14:paraId="28B64DC1" w14:textId="77777777" w:rsidR="003B48B3" w:rsidRDefault="00000000">
      <w:pPr>
        <w:pStyle w:val="Compact"/>
        <w:numPr>
          <w:ilvl w:val="1"/>
          <w:numId w:val="5"/>
        </w:numPr>
      </w:pPr>
      <w:r>
        <w:t>Capi Egypt (قريبًا)</w:t>
      </w:r>
    </w:p>
    <w:p w14:paraId="74D1B86E" w14:textId="77777777" w:rsidR="003B48B3" w:rsidRDefault="00000000">
      <w:pPr>
        <w:pStyle w:val="Compact"/>
        <w:numPr>
          <w:ilvl w:val="0"/>
          <w:numId w:val="2"/>
        </w:numPr>
      </w:pPr>
      <w:r>
        <w:t>الشراكات والتحالفات</w:t>
      </w:r>
    </w:p>
    <w:p w14:paraId="2C9D5391" w14:textId="77777777" w:rsidR="003B48B3" w:rsidRDefault="00000000">
      <w:pPr>
        <w:pStyle w:val="Compact"/>
        <w:numPr>
          <w:ilvl w:val="0"/>
          <w:numId w:val="2"/>
        </w:numPr>
      </w:pPr>
      <w:r>
        <w:t>نموذج عمل الملكية الجزئية والترميز</w:t>
      </w:r>
    </w:p>
    <w:p w14:paraId="2A9BA20A" w14:textId="77777777" w:rsidR="003B48B3" w:rsidRDefault="00000000">
      <w:pPr>
        <w:pStyle w:val="Compact"/>
        <w:numPr>
          <w:ilvl w:val="0"/>
          <w:numId w:val="2"/>
        </w:numPr>
      </w:pPr>
      <w:r>
        <w:t>كيف تبدأ الاستثمار (خطوات العميل)</w:t>
      </w:r>
    </w:p>
    <w:p w14:paraId="2FA43499" w14:textId="77777777" w:rsidR="003B48B3" w:rsidRDefault="00000000">
      <w:pPr>
        <w:pStyle w:val="Compact"/>
        <w:numPr>
          <w:ilvl w:val="0"/>
          <w:numId w:val="2"/>
        </w:numPr>
      </w:pPr>
      <w:r>
        <w:t>مناطق الوجود والفروع</w:t>
      </w:r>
    </w:p>
    <w:p w14:paraId="498298B0" w14:textId="77777777" w:rsidR="003B48B3" w:rsidRDefault="00000000">
      <w:pPr>
        <w:pStyle w:val="Compact"/>
        <w:numPr>
          <w:ilvl w:val="0"/>
          <w:numId w:val="2"/>
        </w:numPr>
      </w:pPr>
      <w:r>
        <w:t>دراسات حالة ونتائج (Case Studies)</w:t>
      </w:r>
    </w:p>
    <w:p w14:paraId="3228803D" w14:textId="77777777" w:rsidR="003B48B3" w:rsidRDefault="00000000">
      <w:pPr>
        <w:pStyle w:val="Compact"/>
        <w:numPr>
          <w:ilvl w:val="0"/>
          <w:numId w:val="2"/>
        </w:numPr>
      </w:pPr>
      <w:r>
        <w:t>الأسئلة الشائعة</w:t>
      </w:r>
    </w:p>
    <w:p w14:paraId="56CC7801" w14:textId="77777777" w:rsidR="003B48B3" w:rsidRDefault="00000000">
      <w:pPr>
        <w:pStyle w:val="Compact"/>
        <w:numPr>
          <w:ilvl w:val="0"/>
          <w:numId w:val="2"/>
        </w:numPr>
      </w:pPr>
      <w:proofErr w:type="spellStart"/>
      <w:r>
        <w:t>المستندات</w:t>
      </w:r>
      <w:proofErr w:type="spellEnd"/>
      <w:r>
        <w:t xml:space="preserve"> </w:t>
      </w:r>
      <w:proofErr w:type="spellStart"/>
      <w:r>
        <w:t>والسياسات</w:t>
      </w:r>
      <w:proofErr w:type="spellEnd"/>
    </w:p>
    <w:p w14:paraId="7FC413DA" w14:textId="77777777" w:rsidR="00201600" w:rsidRDefault="00201600" w:rsidP="00201600">
      <w:pPr>
        <w:pStyle w:val="Compact"/>
        <w:numPr>
          <w:ilvl w:val="0"/>
          <w:numId w:val="2"/>
        </w:numPr>
        <w:rPr>
          <w:b/>
          <w:bCs/>
          <w:rtl/>
        </w:rPr>
      </w:pPr>
      <w:r w:rsidRPr="00802DC6">
        <w:rPr>
          <w:rFonts w:hint="cs"/>
          <w:b/>
          <w:bCs/>
          <w:rtl/>
        </w:rPr>
        <w:t xml:space="preserve">مركز مستندات تحقق وتحميل </w:t>
      </w:r>
      <w:proofErr w:type="spellStart"/>
      <w:r w:rsidRPr="00802DC6">
        <w:rPr>
          <w:rFonts w:hint="cs"/>
          <w:b/>
          <w:bCs/>
          <w:rtl/>
        </w:rPr>
        <w:t>هامم</w:t>
      </w:r>
      <w:proofErr w:type="spellEnd"/>
    </w:p>
    <w:p w14:paraId="66846282" w14:textId="77777777" w:rsidR="00201600" w:rsidRDefault="00201600" w:rsidP="00201600">
      <w:pPr>
        <w:pStyle w:val="Compact"/>
        <w:ind w:left="360"/>
      </w:pPr>
    </w:p>
    <w:p w14:paraId="7D24A204" w14:textId="77777777" w:rsidR="003B48B3" w:rsidRDefault="00000000">
      <w:pPr>
        <w:pStyle w:val="Compact"/>
        <w:numPr>
          <w:ilvl w:val="0"/>
          <w:numId w:val="2"/>
        </w:numPr>
      </w:pPr>
      <w:r>
        <w:t>تواصل معنا</w:t>
      </w:r>
    </w:p>
    <w:p w14:paraId="016863A0" w14:textId="77777777" w:rsidR="003B48B3" w:rsidRDefault="00000000">
      <w:r>
        <w:lastRenderedPageBreak/>
        <w:pict w14:anchorId="264A9D31">
          <v:rect id="_x0000_i1025" style="width:0;height:1.5pt" o:hralign="center" o:hrstd="t" o:hr="t"/>
        </w:pict>
      </w:r>
    </w:p>
    <w:p w14:paraId="1CC2A175" w14:textId="77777777" w:rsidR="003B48B3" w:rsidRDefault="00000000">
      <w:pPr>
        <w:pStyle w:val="Heading2"/>
      </w:pPr>
      <w:bookmarkStart w:id="2" w:name="الصفحة-الرئيسية"/>
      <w:bookmarkEnd w:id="1"/>
      <w:r>
        <w:t>1) الصفحة الرئيسية</w:t>
      </w:r>
    </w:p>
    <w:p w14:paraId="71B8BF0C" w14:textId="77777777" w:rsidR="003B48B3" w:rsidRDefault="00000000">
      <w:pPr>
        <w:pStyle w:val="FirstParagraph"/>
      </w:pPr>
      <w:r>
        <w:rPr>
          <w:b/>
          <w:bCs/>
        </w:rPr>
        <w:t>عنوان بطولي (Hero):</w:t>
      </w:r>
      <w:r>
        <w:t xml:space="preserve"> “استثمارات عالمية آمنة وسهلة الوصول — من الملكية الجزئية إلى الترميز”</w:t>
      </w:r>
    </w:p>
    <w:p w14:paraId="578627E1" w14:textId="77777777" w:rsidR="003B48B3" w:rsidRDefault="00000000">
      <w:pPr>
        <w:pStyle w:val="BodyText"/>
      </w:pPr>
      <w:r>
        <w:rPr>
          <w:b/>
          <w:bCs/>
        </w:rPr>
        <w:t>وصف مختصر:</w:t>
      </w:r>
      <w:r>
        <w:t xml:space="preserve"> كابي ماكس للاستثمارات توفر حلولًا مؤسسية للمستثمرين الأفراد والمؤسسات عبر العالم، تجمع بين الصناديق التقليدية، والمنصّات الرقمية، وخدمات الترميز العقاري والمالي، لتقديم فرص متنوعة، مدقّقة، ومؤمنة، مع آليات تخارج مبسطة.</w:t>
      </w:r>
    </w:p>
    <w:p w14:paraId="50B4D65A" w14:textId="77777777" w:rsidR="003B48B3" w:rsidRDefault="00000000">
      <w:pPr>
        <w:pStyle w:val="BodyText"/>
      </w:pPr>
      <w:proofErr w:type="gramStart"/>
      <w:r>
        <w:rPr>
          <w:b/>
          <w:bCs/>
        </w:rPr>
        <w:t>دعوات رئيسية للإجراء (CTAs):</w:t>
      </w:r>
      <w:r>
        <w:t xml:space="preserve"> - ابدأ الآن - تصفّح الفرص - انضم كشريك/مُصدر</w:t>
      </w:r>
      <w:proofErr w:type="gramEnd"/>
    </w:p>
    <w:p w14:paraId="44901EF3" w14:textId="77777777" w:rsidR="003B48B3" w:rsidRDefault="00000000">
      <w:pPr>
        <w:pStyle w:val="BodyText"/>
      </w:pPr>
      <w:r>
        <w:rPr>
          <w:b/>
          <w:bCs/>
        </w:rPr>
        <w:t>مزايا سريعة (Trust Marks):</w:t>
      </w:r>
      <w:r>
        <w:t xml:space="preserve"> - نماذج استثمارية مقيمة ومراقبة - ملكية جزئية موثقة وإصدار رقمي آمن - شركاء عالميون في التمويل والتأمين والتقييم - إدارة مخاطر وحوكمة وامتثال متعدد الولايات القضائية</w:t>
      </w:r>
    </w:p>
    <w:p w14:paraId="68002B77" w14:textId="77777777" w:rsidR="003B48B3" w:rsidRDefault="00000000">
      <w:r>
        <w:pict w14:anchorId="177D194D">
          <v:rect id="_x0000_i1026" style="width:0;height:1.5pt" o:hralign="center" o:hrstd="t" o:hr="t"/>
        </w:pict>
      </w:r>
    </w:p>
    <w:p w14:paraId="6990503D" w14:textId="77777777" w:rsidR="003B48B3" w:rsidRDefault="00000000">
      <w:pPr>
        <w:pStyle w:val="Heading2"/>
      </w:pPr>
      <w:bookmarkStart w:id="3" w:name="من-نحن"/>
      <w:bookmarkEnd w:id="2"/>
      <w:r>
        <w:t>2) من نحن</w:t>
      </w:r>
    </w:p>
    <w:p w14:paraId="60633675" w14:textId="77777777" w:rsidR="003B48B3" w:rsidRDefault="00000000">
      <w:pPr>
        <w:pStyle w:val="Heading3"/>
      </w:pPr>
      <w:bookmarkStart w:id="4" w:name="رسالتنا"/>
      <w:r>
        <w:t>رسالتنا</w:t>
      </w:r>
    </w:p>
    <w:p w14:paraId="592D21D6" w14:textId="77777777" w:rsidR="003B48B3" w:rsidRDefault="00000000">
      <w:pPr>
        <w:pStyle w:val="FirstParagraph"/>
      </w:pPr>
      <w:r>
        <w:t>تمكين الوصول العادل والمنظّم إلى الاستثمارات العالمية عبر حلول تقليدية ورقمية وترميزية، بامتثال وانضباط مؤسسي يوازن بين النمو وإدارة المخاطر.</w:t>
      </w:r>
    </w:p>
    <w:p w14:paraId="3377E7D5" w14:textId="77777777" w:rsidR="003B48B3" w:rsidRDefault="00000000">
      <w:pPr>
        <w:pStyle w:val="Heading3"/>
      </w:pPr>
      <w:bookmarkStart w:id="5" w:name="رؤيتنا"/>
      <w:bookmarkEnd w:id="4"/>
      <w:r>
        <w:t>رؤيتنا</w:t>
      </w:r>
    </w:p>
    <w:p w14:paraId="1A05AF19" w14:textId="77777777" w:rsidR="003B48B3" w:rsidRDefault="00000000">
      <w:pPr>
        <w:pStyle w:val="FirstParagraph"/>
      </w:pPr>
      <w:r>
        <w:t>قيادة التحوّل نحو منظومة استثمار هجينة تتكامل فيها الملكية الجزئية مع الترميز، لتصبح الأسواق الخاصة أكثر سيولة وشفافية وقابلية للوصول عالميًا.</w:t>
      </w:r>
    </w:p>
    <w:p w14:paraId="671B07F4" w14:textId="77777777" w:rsidR="003B48B3" w:rsidRDefault="00000000">
      <w:pPr>
        <w:pStyle w:val="Heading3"/>
      </w:pPr>
      <w:bookmarkStart w:id="6" w:name="قيمنا"/>
      <w:bookmarkEnd w:id="5"/>
      <w:r>
        <w:t>قيمنا</w:t>
      </w:r>
    </w:p>
    <w:p w14:paraId="130D0C7C" w14:textId="77777777" w:rsidR="003B48B3" w:rsidRDefault="00000000">
      <w:pPr>
        <w:pStyle w:val="Compact"/>
        <w:numPr>
          <w:ilvl w:val="0"/>
          <w:numId w:val="6"/>
        </w:numPr>
      </w:pPr>
      <w:r>
        <w:rPr>
          <w:b/>
          <w:bCs/>
        </w:rPr>
        <w:t>الأمان والامتثال</w:t>
      </w:r>
      <w:r>
        <w:t>: نهج مؤسسي في إدارة المخاطر والحوكمة.</w:t>
      </w:r>
    </w:p>
    <w:p w14:paraId="76A4B9A6" w14:textId="77777777" w:rsidR="003B48B3" w:rsidRDefault="00000000">
      <w:pPr>
        <w:pStyle w:val="Compact"/>
        <w:numPr>
          <w:ilvl w:val="0"/>
          <w:numId w:val="6"/>
        </w:numPr>
      </w:pPr>
      <w:r>
        <w:rPr>
          <w:b/>
          <w:bCs/>
        </w:rPr>
        <w:t>الشفافية</w:t>
      </w:r>
      <w:r>
        <w:t>: تقارير دورية، تقييمات مستقلة، ورسوم واضحة.</w:t>
      </w:r>
    </w:p>
    <w:p w14:paraId="287315E2" w14:textId="77777777" w:rsidR="003B48B3" w:rsidRDefault="00000000">
      <w:pPr>
        <w:pStyle w:val="Compact"/>
        <w:numPr>
          <w:ilvl w:val="0"/>
          <w:numId w:val="6"/>
        </w:numPr>
      </w:pPr>
      <w:r>
        <w:rPr>
          <w:b/>
          <w:bCs/>
        </w:rPr>
        <w:t>الابتكار</w:t>
      </w:r>
      <w:r>
        <w:t>: تبنّي الذكاء الاصطناعي والبلوكتشين لرفع الكفاءة وتقليل التعقيد.</w:t>
      </w:r>
    </w:p>
    <w:p w14:paraId="621B4D40" w14:textId="77777777" w:rsidR="003B48B3" w:rsidRDefault="00000000">
      <w:pPr>
        <w:pStyle w:val="Compact"/>
        <w:numPr>
          <w:ilvl w:val="0"/>
          <w:numId w:val="6"/>
        </w:numPr>
      </w:pPr>
      <w:r>
        <w:rPr>
          <w:b/>
          <w:bCs/>
        </w:rPr>
        <w:t>الشراكات</w:t>
      </w:r>
      <w:r>
        <w:t>: بناء منظومة متكاملة مع جهات التمويل والتأمين والتقييم والعقار والضيافة.</w:t>
      </w:r>
    </w:p>
    <w:p w14:paraId="4C6F7B66" w14:textId="77777777" w:rsidR="003B48B3" w:rsidRDefault="00000000">
      <w:pPr>
        <w:pStyle w:val="Heading3"/>
      </w:pPr>
      <w:bookmarkStart w:id="7" w:name="الحوكمة-والإدارة"/>
      <w:bookmarkEnd w:id="6"/>
      <w:r>
        <w:t>الحوكمة والإدارة</w:t>
      </w:r>
    </w:p>
    <w:p w14:paraId="6BDDC827" w14:textId="77777777" w:rsidR="003B48B3" w:rsidRDefault="00000000">
      <w:pPr>
        <w:pStyle w:val="Compact"/>
        <w:numPr>
          <w:ilvl w:val="0"/>
          <w:numId w:val="7"/>
        </w:numPr>
      </w:pPr>
      <w:r>
        <w:t>سياسات فصل الواجبات، وإدارة تضارب المصالح.</w:t>
      </w:r>
    </w:p>
    <w:p w14:paraId="365460AD" w14:textId="77777777" w:rsidR="003B48B3" w:rsidRDefault="00000000">
      <w:pPr>
        <w:pStyle w:val="Compact"/>
        <w:numPr>
          <w:ilvl w:val="0"/>
          <w:numId w:val="7"/>
        </w:numPr>
      </w:pPr>
      <w:r>
        <w:t>مراجعات وتقييمات مستقلة لمشاريع الاستثمار.</w:t>
      </w:r>
    </w:p>
    <w:p w14:paraId="5E0DA4E3" w14:textId="77777777" w:rsidR="003B48B3" w:rsidRDefault="00000000">
      <w:pPr>
        <w:pStyle w:val="Compact"/>
        <w:numPr>
          <w:ilvl w:val="0"/>
          <w:numId w:val="7"/>
        </w:numPr>
      </w:pPr>
      <w:r>
        <w:t>إطار امتثال يتوافق مع متطلبات الولايات المتحدة والمملكة المتحدة والإمارات حسب النشاط.</w:t>
      </w:r>
    </w:p>
    <w:p w14:paraId="4C7B82B6" w14:textId="77777777" w:rsidR="003B48B3" w:rsidRDefault="00000000">
      <w:pPr>
        <w:pStyle w:val="BlockText"/>
      </w:pPr>
      <w:r>
        <w:rPr>
          <w:b/>
          <w:bCs/>
        </w:rPr>
        <w:t>ملاحظة تنظيمية:</w:t>
      </w:r>
      <w:r>
        <w:t xml:space="preserve"> تُعرض المنتجات وفق أطر الترخيص ذات الصلة بكل ولاية قضائية، مع إبراز أهلية المستثمر، وإفصاحات المخاطر، وشروط الاكتتاب.</w:t>
      </w:r>
    </w:p>
    <w:p w14:paraId="39526FB0" w14:textId="77777777" w:rsidR="003B48B3" w:rsidRDefault="00000000">
      <w:r>
        <w:pict w14:anchorId="354050CD">
          <v:rect id="_x0000_i1027" style="width:0;height:1.5pt" o:hralign="center" o:hrstd="t" o:hr="t"/>
        </w:pict>
      </w:r>
    </w:p>
    <w:p w14:paraId="2A93782C" w14:textId="77777777" w:rsidR="003B48B3" w:rsidRDefault="00000000">
      <w:pPr>
        <w:pStyle w:val="Heading2"/>
      </w:pPr>
      <w:bookmarkStart w:id="8" w:name="نطاق-الأعمال-والخدمات"/>
      <w:bookmarkEnd w:id="3"/>
      <w:bookmarkEnd w:id="7"/>
      <w:r>
        <w:t>3) نطاق الأعمال والخدمات</w:t>
      </w:r>
    </w:p>
    <w:p w14:paraId="76760387" w14:textId="77777777" w:rsidR="003B48B3" w:rsidRDefault="00000000">
      <w:pPr>
        <w:pStyle w:val="Heading3"/>
      </w:pPr>
      <w:bookmarkStart w:id="9" w:name="إنشاء-وإدارة-صناديق-الاستثمار"/>
      <w:r>
        <w:t>3.1 إنشاء وإدارة صناديق الاستثمار</w:t>
      </w:r>
    </w:p>
    <w:p w14:paraId="28724030" w14:textId="77777777" w:rsidR="003B48B3" w:rsidRDefault="00000000">
      <w:pPr>
        <w:pStyle w:val="Compact"/>
        <w:numPr>
          <w:ilvl w:val="0"/>
          <w:numId w:val="8"/>
        </w:numPr>
      </w:pPr>
      <w:r>
        <w:t>تصميم الصناديق (عقاري/مدر للدخل/نمو/فرص خاصة/تقني/سياحي).</w:t>
      </w:r>
    </w:p>
    <w:p w14:paraId="42154BE0" w14:textId="77777777" w:rsidR="003B48B3" w:rsidRDefault="00000000">
      <w:pPr>
        <w:pStyle w:val="Compact"/>
        <w:numPr>
          <w:ilvl w:val="0"/>
          <w:numId w:val="8"/>
        </w:numPr>
      </w:pPr>
      <w:r>
        <w:t>الحفظ والأمناء، والتسوية، والحوكمة، والتقارير للمستثمرين.</w:t>
      </w:r>
    </w:p>
    <w:p w14:paraId="460CB36E" w14:textId="77777777" w:rsidR="003B48B3" w:rsidRDefault="00000000">
      <w:pPr>
        <w:pStyle w:val="Compact"/>
        <w:numPr>
          <w:ilvl w:val="0"/>
          <w:numId w:val="8"/>
        </w:numPr>
      </w:pPr>
      <w:r>
        <w:t>بوابات اكتتاب رقمية، وKYC/AML، ومتابعة الامتثال.</w:t>
      </w:r>
    </w:p>
    <w:p w14:paraId="704C61BE" w14:textId="77777777" w:rsidR="003B48B3" w:rsidRDefault="00000000">
      <w:pPr>
        <w:pStyle w:val="Heading3"/>
      </w:pPr>
      <w:bookmarkStart w:id="10" w:name="الاستثمارات-العقارية"/>
      <w:bookmarkEnd w:id="9"/>
      <w:r>
        <w:t>3.2 الاستثمارات العقارية</w:t>
      </w:r>
    </w:p>
    <w:p w14:paraId="3D4EAD9C" w14:textId="77777777" w:rsidR="003B48B3" w:rsidRDefault="00000000">
      <w:pPr>
        <w:pStyle w:val="Compact"/>
        <w:numPr>
          <w:ilvl w:val="0"/>
          <w:numId w:val="9"/>
        </w:numPr>
      </w:pPr>
      <w:r>
        <w:rPr>
          <w:b/>
          <w:bCs/>
        </w:rPr>
        <w:t>جاهزة للدخل</w:t>
      </w:r>
      <w:r>
        <w:t>: فنادق، شقق فندقية، مكاتب، تجاري.</w:t>
      </w:r>
    </w:p>
    <w:p w14:paraId="0E670F9E" w14:textId="77777777" w:rsidR="003B48B3" w:rsidRDefault="00000000">
      <w:pPr>
        <w:pStyle w:val="Compact"/>
        <w:numPr>
          <w:ilvl w:val="0"/>
          <w:numId w:val="9"/>
        </w:numPr>
      </w:pPr>
      <w:r>
        <w:rPr>
          <w:b/>
          <w:bCs/>
        </w:rPr>
        <w:t>تطويرية</w:t>
      </w:r>
      <w:r>
        <w:t>: مشاريع تحت الإنشاء مع جداول إنجاز واضحة وضمانات.</w:t>
      </w:r>
    </w:p>
    <w:p w14:paraId="22CEE0FD" w14:textId="77777777" w:rsidR="003B48B3" w:rsidRDefault="00000000">
      <w:pPr>
        <w:pStyle w:val="Compact"/>
        <w:numPr>
          <w:ilvl w:val="0"/>
          <w:numId w:val="9"/>
        </w:numPr>
      </w:pPr>
      <w:r>
        <w:rPr>
          <w:b/>
          <w:bCs/>
        </w:rPr>
        <w:t>ملكية جزئية</w:t>
      </w:r>
      <w:r>
        <w:t>: تقسيم الأصل إلى حصص موثقة رقميًا مع آلية تخارج.</w:t>
      </w:r>
    </w:p>
    <w:p w14:paraId="759A1369" w14:textId="77777777" w:rsidR="003B48B3" w:rsidRDefault="00000000">
      <w:pPr>
        <w:pStyle w:val="Heading3"/>
      </w:pPr>
      <w:bookmarkStart w:id="11" w:name="Xf3a463f77311a78bd26a46ea964d674aa8bbb3a"/>
      <w:bookmarkEnd w:id="10"/>
      <w:r>
        <w:t>3.3 الاستثمارات التكنولوجية والذكاء الاصطناعي والبلوكتشين</w:t>
      </w:r>
    </w:p>
    <w:p w14:paraId="32E7AA9E" w14:textId="77777777" w:rsidR="003B48B3" w:rsidRDefault="00000000">
      <w:pPr>
        <w:pStyle w:val="Compact"/>
        <w:numPr>
          <w:ilvl w:val="0"/>
          <w:numId w:val="10"/>
        </w:numPr>
      </w:pPr>
      <w:r>
        <w:t>المشاركة في شركات ومنصّات تقنية ناشئة وناضجة.</w:t>
      </w:r>
    </w:p>
    <w:p w14:paraId="7C893275" w14:textId="77777777" w:rsidR="003B48B3" w:rsidRDefault="00000000">
      <w:pPr>
        <w:pStyle w:val="Compact"/>
        <w:numPr>
          <w:ilvl w:val="0"/>
          <w:numId w:val="10"/>
        </w:numPr>
      </w:pPr>
      <w:r>
        <w:t>استثمارات في البنية الرقمية: الدفع، المحافظ، الترميز، إدارة الأصول.</w:t>
      </w:r>
    </w:p>
    <w:p w14:paraId="3661A226" w14:textId="77777777" w:rsidR="003B48B3" w:rsidRDefault="00000000">
      <w:pPr>
        <w:pStyle w:val="Heading3"/>
      </w:pPr>
      <w:bookmarkStart w:id="12" w:name="السياحة-والضيافة"/>
      <w:bookmarkEnd w:id="11"/>
      <w:r>
        <w:t>3.4 السياحة والضيافة</w:t>
      </w:r>
    </w:p>
    <w:p w14:paraId="5A965828" w14:textId="77777777" w:rsidR="003B48B3" w:rsidRDefault="00000000">
      <w:pPr>
        <w:pStyle w:val="Compact"/>
        <w:numPr>
          <w:ilvl w:val="0"/>
          <w:numId w:val="11"/>
        </w:numPr>
      </w:pPr>
      <w:r>
        <w:t>شراكات تشغيلية واستثمارية في الفنادق والشقق الفندقية.</w:t>
      </w:r>
    </w:p>
    <w:p w14:paraId="54C0D3E4" w14:textId="77777777" w:rsidR="003B48B3" w:rsidRDefault="00000000">
      <w:pPr>
        <w:pStyle w:val="Compact"/>
        <w:numPr>
          <w:ilvl w:val="0"/>
          <w:numId w:val="11"/>
        </w:numPr>
      </w:pPr>
      <w:r>
        <w:t>تحسين العائد عبر إدارة مهنية ورفع نسب الإشغال.</w:t>
      </w:r>
    </w:p>
    <w:p w14:paraId="048DB81C" w14:textId="77777777" w:rsidR="003B48B3" w:rsidRDefault="00000000">
      <w:pPr>
        <w:pStyle w:val="Heading3"/>
      </w:pPr>
      <w:bookmarkStart w:id="13" w:name="التجاري-والصناعي-والزراعي"/>
      <w:bookmarkEnd w:id="12"/>
      <w:r>
        <w:t>3.5 التجاري والصناعي والزراعي</w:t>
      </w:r>
    </w:p>
    <w:p w14:paraId="4BDCBB53" w14:textId="77777777" w:rsidR="003B48B3" w:rsidRDefault="00000000">
      <w:pPr>
        <w:pStyle w:val="Compact"/>
        <w:numPr>
          <w:ilvl w:val="0"/>
          <w:numId w:val="12"/>
        </w:numPr>
      </w:pPr>
      <w:r>
        <w:t>سلاسل توريد وتجارة عامة مدعومة بأصول وعقود.</w:t>
      </w:r>
    </w:p>
    <w:p w14:paraId="6E0B3EFC" w14:textId="77777777" w:rsidR="003B48B3" w:rsidRDefault="00000000">
      <w:pPr>
        <w:pStyle w:val="Compact"/>
        <w:numPr>
          <w:ilvl w:val="0"/>
          <w:numId w:val="12"/>
        </w:numPr>
      </w:pPr>
      <w:r>
        <w:t>أصول صناعية منتجة وعقود إيجار طويلة.</w:t>
      </w:r>
    </w:p>
    <w:p w14:paraId="407C2F99" w14:textId="77777777" w:rsidR="003B48B3" w:rsidRDefault="00000000">
      <w:pPr>
        <w:pStyle w:val="Compact"/>
        <w:numPr>
          <w:ilvl w:val="0"/>
          <w:numId w:val="12"/>
        </w:numPr>
      </w:pPr>
      <w:r>
        <w:t>مشاريع زراعية مدروسة ومؤمنة ضد المخاطر المناخية قدر الإمكان.</w:t>
      </w:r>
    </w:p>
    <w:p w14:paraId="773AE9B4" w14:textId="77777777" w:rsidR="003B48B3" w:rsidRDefault="00000000">
      <w:pPr>
        <w:pStyle w:val="Heading3"/>
      </w:pPr>
      <w:bookmarkStart w:id="14" w:name="خدمة-الترميز-tokenization"/>
      <w:bookmarkEnd w:id="13"/>
      <w:r>
        <w:t>3.6 خدمة الترميز (Tokenization)</w:t>
      </w:r>
    </w:p>
    <w:p w14:paraId="2A249887" w14:textId="77777777" w:rsidR="003B48B3" w:rsidRDefault="00000000">
      <w:pPr>
        <w:pStyle w:val="Compact"/>
        <w:numPr>
          <w:ilvl w:val="0"/>
          <w:numId w:val="13"/>
        </w:numPr>
      </w:pPr>
      <w:r>
        <w:t>تحويل الحقوق الاقتصادية والملكية إلى وحدات رقمية قابلة للتتبع.</w:t>
      </w:r>
    </w:p>
    <w:p w14:paraId="58FC2984" w14:textId="77777777" w:rsidR="003B48B3" w:rsidRDefault="00000000">
      <w:pPr>
        <w:pStyle w:val="Compact"/>
        <w:numPr>
          <w:ilvl w:val="0"/>
          <w:numId w:val="13"/>
        </w:numPr>
      </w:pPr>
      <w:r>
        <w:t>توثيق الملكية الرقمية، وإدارة قيود التحويل وفق اللوائح.</w:t>
      </w:r>
    </w:p>
    <w:p w14:paraId="5CD188D0" w14:textId="77777777" w:rsidR="003B48B3" w:rsidRDefault="00000000">
      <w:pPr>
        <w:pStyle w:val="Compact"/>
        <w:numPr>
          <w:ilvl w:val="0"/>
          <w:numId w:val="13"/>
        </w:numPr>
      </w:pPr>
      <w:r>
        <w:t>واجهات برمجية، ولوحات متابعة للمصدرين والمستثمرين.</w:t>
      </w:r>
    </w:p>
    <w:p w14:paraId="6D7A87EC" w14:textId="77777777" w:rsidR="003B48B3" w:rsidRDefault="00000000">
      <w:pPr>
        <w:pStyle w:val="Heading3"/>
      </w:pPr>
      <w:bookmarkStart w:id="15" w:name="التقييم-والرقابة-والتدقيق-والامتثال"/>
      <w:bookmarkEnd w:id="14"/>
      <w:r>
        <w:t>3.7 التقييم والرقابة والتدقيق والامتثال</w:t>
      </w:r>
    </w:p>
    <w:p w14:paraId="10BD6C50" w14:textId="77777777" w:rsidR="003B48B3" w:rsidRDefault="00000000">
      <w:pPr>
        <w:pStyle w:val="Compact"/>
        <w:numPr>
          <w:ilvl w:val="0"/>
          <w:numId w:val="14"/>
        </w:numPr>
      </w:pPr>
      <w:r>
        <w:t>تعاون مع بيوت خبرة للتقييم المالي والعقاري.</w:t>
      </w:r>
    </w:p>
    <w:p w14:paraId="4DF0EB0A" w14:textId="77777777" w:rsidR="003B48B3" w:rsidRDefault="00000000">
      <w:pPr>
        <w:pStyle w:val="Compact"/>
        <w:numPr>
          <w:ilvl w:val="0"/>
          <w:numId w:val="14"/>
        </w:numPr>
      </w:pPr>
      <w:r>
        <w:t>تدقيق مستقل للبيانات وتقارير أداء دورية.</w:t>
      </w:r>
    </w:p>
    <w:p w14:paraId="2E75BE64" w14:textId="77777777" w:rsidR="003B48B3" w:rsidRDefault="00000000">
      <w:pPr>
        <w:pStyle w:val="Heading3"/>
      </w:pPr>
      <w:bookmarkStart w:id="16" w:name="التأمين-وإدارة-المخاطر"/>
      <w:bookmarkEnd w:id="15"/>
      <w:r>
        <w:t>3.8 التأمين وإدارة المخاطر</w:t>
      </w:r>
    </w:p>
    <w:p w14:paraId="7615E169" w14:textId="77777777" w:rsidR="003B48B3" w:rsidRDefault="00000000">
      <w:pPr>
        <w:pStyle w:val="Compact"/>
        <w:numPr>
          <w:ilvl w:val="0"/>
          <w:numId w:val="15"/>
        </w:numPr>
      </w:pPr>
      <w:r>
        <w:t>تغطيات هيكلية للأصول والمشاريع.</w:t>
      </w:r>
    </w:p>
    <w:p w14:paraId="4075663E" w14:textId="77777777" w:rsidR="003B48B3" w:rsidRDefault="00000000">
      <w:pPr>
        <w:pStyle w:val="Compact"/>
        <w:numPr>
          <w:ilvl w:val="0"/>
          <w:numId w:val="15"/>
        </w:numPr>
      </w:pPr>
      <w:r>
        <w:t>تأمين مسؤولية مهنية وتشغيلية، وحلول تقليل المخاطر.</w:t>
      </w:r>
    </w:p>
    <w:p w14:paraId="72E01DFB" w14:textId="77777777" w:rsidR="003B48B3" w:rsidRDefault="00000000">
      <w:pPr>
        <w:pStyle w:val="Heading3"/>
      </w:pPr>
      <w:bookmarkStart w:id="17" w:name="إدارة-الأصول-والملكية-الجزئية-والتخارج"/>
      <w:bookmarkEnd w:id="16"/>
      <w:r>
        <w:t>3.9 إدارة الأصول والملكية الجزئية والتخارج</w:t>
      </w:r>
    </w:p>
    <w:p w14:paraId="1AEB0EA3" w14:textId="77777777" w:rsidR="003B48B3" w:rsidRDefault="00000000">
      <w:pPr>
        <w:pStyle w:val="Compact"/>
        <w:numPr>
          <w:ilvl w:val="0"/>
          <w:numId w:val="16"/>
        </w:numPr>
      </w:pPr>
      <w:r>
        <w:t>إدارة تشغيلية ومالية يومية للأصول.</w:t>
      </w:r>
    </w:p>
    <w:p w14:paraId="469D3EC8" w14:textId="77777777" w:rsidR="003B48B3" w:rsidRDefault="00000000">
      <w:pPr>
        <w:pStyle w:val="Compact"/>
        <w:numPr>
          <w:ilvl w:val="0"/>
          <w:numId w:val="16"/>
        </w:numPr>
      </w:pPr>
      <w:r>
        <w:t>آليات تخارج: بيع الحصص، إعادة الشراء، تصفية دورية، أو سوق ثانوي داخلي منظم.</w:t>
      </w:r>
    </w:p>
    <w:p w14:paraId="42CC0621" w14:textId="77777777" w:rsidR="00776CD0" w:rsidRDefault="00000000">
      <w:r>
        <w:pict w14:anchorId="7F689A4A">
          <v:rect id="_x0000_i1028" style="width:0;height:1.5pt" o:hralign="center" o:hrstd="t" o:hr="t"/>
        </w:pict>
      </w:r>
    </w:p>
    <w:p w14:paraId="197E6802" w14:textId="4618DC66" w:rsidR="003B48B3" w:rsidRDefault="003B48B3">
      <w:pPr>
        <w:rPr>
          <w:rtl/>
        </w:rPr>
      </w:pPr>
    </w:p>
    <w:p w14:paraId="1EB7EA78" w14:textId="77777777" w:rsidR="00776CD0" w:rsidRDefault="00776CD0">
      <w:pPr>
        <w:rPr>
          <w:rtl/>
        </w:rPr>
      </w:pPr>
    </w:p>
    <w:p w14:paraId="660A1A13" w14:textId="77777777" w:rsidR="00776CD0" w:rsidRDefault="00776CD0"/>
    <w:p w14:paraId="2168D70A" w14:textId="77777777" w:rsidR="003B48B3" w:rsidRDefault="00000000">
      <w:pPr>
        <w:pStyle w:val="Heading2"/>
      </w:pPr>
      <w:bookmarkStart w:id="18" w:name="منصات-كابي-ماكس"/>
      <w:bookmarkEnd w:id="8"/>
      <w:bookmarkEnd w:id="17"/>
      <w:r>
        <w:t>4) منصّات كابي ماكس</w:t>
      </w:r>
    </w:p>
    <w:p w14:paraId="4E0E6AF5" w14:textId="77777777" w:rsidR="003B48B3" w:rsidRDefault="00000000">
      <w:pPr>
        <w:pStyle w:val="Heading3"/>
      </w:pPr>
      <w:bookmarkStart w:id="19" w:name="capimaxinvestments"/>
      <w:r>
        <w:t>CapimaxInvestments</w:t>
      </w:r>
    </w:p>
    <w:p w14:paraId="1A2A080E" w14:textId="77777777" w:rsidR="003B48B3" w:rsidRDefault="00000000">
      <w:pPr>
        <w:pStyle w:val="FirstParagraph"/>
      </w:pPr>
      <w:r>
        <w:t>بوابة استثمارية موحّدة لعرض وتنفيذ الفرص عبر فئات الأصول، بدعم تقارير أداء، وتتبع توزيعات، وسجل معاملات.</w:t>
      </w:r>
    </w:p>
    <w:p w14:paraId="5983CCC3" w14:textId="77777777" w:rsidR="003B48B3" w:rsidRDefault="00000000">
      <w:pPr>
        <w:pStyle w:val="BodyText"/>
      </w:pPr>
      <w:r>
        <w:rPr>
          <w:b/>
          <w:bCs/>
        </w:rPr>
        <w:t>خصائص:</w:t>
      </w:r>
      <w:r>
        <w:t xml:space="preserve"> - حساب موحد، KYC/AML، لوحات متابعة شخصية. - اكتتاب رقمي، وإدارة المستندات، وإشعارات بالفرص والتوزيعات.</w:t>
      </w:r>
    </w:p>
    <w:p w14:paraId="30534037" w14:textId="77777777" w:rsidR="003B48B3" w:rsidRDefault="00000000">
      <w:pPr>
        <w:pStyle w:val="Heading3"/>
      </w:pPr>
      <w:bookmarkStart w:id="20" w:name="capi-tokenization"/>
      <w:bookmarkEnd w:id="19"/>
      <w:r>
        <w:t>Capi Tokenization</w:t>
      </w:r>
    </w:p>
    <w:p w14:paraId="04D33CA0" w14:textId="77777777" w:rsidR="003B48B3" w:rsidRDefault="00000000">
      <w:pPr>
        <w:pStyle w:val="FirstParagraph"/>
      </w:pPr>
      <w:r>
        <w:t>منصّة لترميز الأصول العقارية والمالية، وإدارة دورة حياة الأوراق الرقمية مع ضوابط الامتثال.</w:t>
      </w:r>
    </w:p>
    <w:p w14:paraId="36C973E8" w14:textId="77777777" w:rsidR="003B48B3" w:rsidRDefault="00000000">
      <w:pPr>
        <w:pStyle w:val="BodyText"/>
      </w:pPr>
      <w:r>
        <w:rPr>
          <w:b/>
          <w:bCs/>
        </w:rPr>
        <w:t>خصائص:</w:t>
      </w:r>
      <w:r>
        <w:t xml:space="preserve"> - إصدار وحدات رقمية، توثيق الملكية، قيود التحويل. - تكامل مع الحفظ/الأمناء، ولوائح الإفصاح.</w:t>
      </w:r>
    </w:p>
    <w:p w14:paraId="69706472" w14:textId="77777777" w:rsidR="003B48B3" w:rsidRDefault="00000000">
      <w:pPr>
        <w:pStyle w:val="Heading3"/>
      </w:pPr>
      <w:bookmarkStart w:id="21" w:name="capi-egypt-قريبا"/>
      <w:bookmarkEnd w:id="20"/>
      <w:r>
        <w:t>Capi Egypt (قريبًا)</w:t>
      </w:r>
    </w:p>
    <w:p w14:paraId="17CA491A" w14:textId="77777777" w:rsidR="003B48B3" w:rsidRDefault="00000000">
      <w:pPr>
        <w:pStyle w:val="FirstParagraph"/>
      </w:pPr>
      <w:r>
        <w:t>منصّة تركّز على الفرص المصرية والإقليمية، بنموذج ملكية جزئية وترميز مرحلي وفق الأطر التنظيمية ذات الصلة.</w:t>
      </w:r>
    </w:p>
    <w:p w14:paraId="46631C33" w14:textId="77777777" w:rsidR="003B48B3" w:rsidRDefault="00000000">
      <w:r>
        <w:pict w14:anchorId="6AF41692">
          <v:rect id="_x0000_i1029" style="width:0;height:1.5pt" o:hralign="center" o:hrstd="t" o:hr="t"/>
        </w:pict>
      </w:r>
    </w:p>
    <w:p w14:paraId="633D9B61" w14:textId="77777777" w:rsidR="003B48B3" w:rsidRDefault="00000000">
      <w:pPr>
        <w:pStyle w:val="Heading2"/>
      </w:pPr>
      <w:bookmarkStart w:id="22" w:name="الشراكات-والتحالفات"/>
      <w:bookmarkEnd w:id="18"/>
      <w:bookmarkEnd w:id="21"/>
      <w:r>
        <w:t>5) الشراكات والتحالفات</w:t>
      </w:r>
    </w:p>
    <w:p w14:paraId="6FB74EAF" w14:textId="77777777" w:rsidR="00776CD0" w:rsidRDefault="00000000">
      <w:pPr>
        <w:pStyle w:val="FirstParagraph"/>
        <w:rPr>
          <w:rtl/>
        </w:rPr>
      </w:pPr>
      <w:proofErr w:type="spellStart"/>
      <w:r>
        <w:rPr>
          <w:b/>
          <w:bCs/>
        </w:rPr>
        <w:t>شركاء</w:t>
      </w:r>
      <w:proofErr w:type="spellEnd"/>
      <w:r>
        <w:rPr>
          <w:b/>
          <w:bCs/>
        </w:rPr>
        <w:t xml:space="preserve"> </w:t>
      </w:r>
      <w:proofErr w:type="spellStart"/>
      <w:r>
        <w:rPr>
          <w:b/>
          <w:bCs/>
        </w:rPr>
        <w:t>رئيسيون</w:t>
      </w:r>
      <w:proofErr w:type="spellEnd"/>
      <w:r>
        <w:rPr>
          <w:b/>
          <w:bCs/>
        </w:rPr>
        <w:t>:</w:t>
      </w:r>
      <w:r>
        <w:t xml:space="preserve"> -</w:t>
      </w:r>
    </w:p>
    <w:p w14:paraId="6D14D66D" w14:textId="311EE763" w:rsidR="00181709" w:rsidRDefault="00000000">
      <w:pPr>
        <w:pStyle w:val="FirstParagraph"/>
        <w:rPr>
          <w:rtl/>
        </w:rPr>
      </w:pPr>
      <w:r>
        <w:t xml:space="preserve"> </w:t>
      </w:r>
      <w:r>
        <w:rPr>
          <w:b/>
          <w:bCs/>
        </w:rPr>
        <w:t>HCC International Company in Insurance Investments</w:t>
      </w:r>
      <w:r>
        <w:t xml:space="preserve">: حلول تأمينية واستثمارية متخصصة. </w:t>
      </w:r>
      <w:r w:rsidR="00776CD0">
        <w:t>–</w:t>
      </w:r>
      <w:r>
        <w:t xml:space="preserve"> </w:t>
      </w:r>
      <w:proofErr w:type="spellStart"/>
      <w:r>
        <w:rPr>
          <w:b/>
          <w:bCs/>
        </w:rPr>
        <w:t>Assurax</w:t>
      </w:r>
      <w:proofErr w:type="spellEnd"/>
      <w:r>
        <w:rPr>
          <w:b/>
          <w:bCs/>
        </w:rPr>
        <w:t xml:space="preserve"> Insurance</w:t>
      </w:r>
      <w:r>
        <w:t xml:space="preserve">: </w:t>
      </w:r>
      <w:proofErr w:type="spellStart"/>
      <w:r>
        <w:t>تصميم</w:t>
      </w:r>
      <w:proofErr w:type="spellEnd"/>
      <w:r>
        <w:t xml:space="preserve"> </w:t>
      </w:r>
      <w:proofErr w:type="spellStart"/>
      <w:r>
        <w:t>برامج</w:t>
      </w:r>
      <w:proofErr w:type="spellEnd"/>
      <w:r>
        <w:t xml:space="preserve"> تأمين للأصول والمشاريع. </w:t>
      </w:r>
      <w:r w:rsidR="00181709">
        <w:t>–</w:t>
      </w:r>
    </w:p>
    <w:p w14:paraId="753F6454" w14:textId="77777777" w:rsidR="00181709" w:rsidRDefault="00000000">
      <w:pPr>
        <w:pStyle w:val="FirstParagraph"/>
        <w:rPr>
          <w:rtl/>
        </w:rPr>
      </w:pPr>
      <w:r>
        <w:t xml:space="preserve"> </w:t>
      </w:r>
      <w:r>
        <w:rPr>
          <w:b/>
          <w:bCs/>
        </w:rPr>
        <w:t>CIM Financial Group</w:t>
      </w:r>
      <w:r>
        <w:t xml:space="preserve">: تقييمات وتقارير وتمويلات متخصصة. </w:t>
      </w:r>
    </w:p>
    <w:p w14:paraId="3496E5F1" w14:textId="77777777" w:rsidR="00181709" w:rsidRDefault="00000000">
      <w:pPr>
        <w:pStyle w:val="FirstParagraph"/>
        <w:rPr>
          <w:rtl/>
        </w:rPr>
      </w:pPr>
      <w:r>
        <w:t xml:space="preserve">- </w:t>
      </w:r>
      <w:r>
        <w:rPr>
          <w:b/>
          <w:bCs/>
        </w:rPr>
        <w:t>TDH Development</w:t>
      </w:r>
      <w:r>
        <w:t xml:space="preserve">: </w:t>
      </w:r>
      <w:proofErr w:type="spellStart"/>
      <w:r>
        <w:t>تطوير</w:t>
      </w:r>
      <w:proofErr w:type="spellEnd"/>
      <w:r>
        <w:t xml:space="preserve"> </w:t>
      </w:r>
      <w:proofErr w:type="spellStart"/>
      <w:r>
        <w:t>وإدارة</w:t>
      </w:r>
      <w:proofErr w:type="spellEnd"/>
      <w:r>
        <w:t xml:space="preserve"> </w:t>
      </w:r>
      <w:proofErr w:type="spellStart"/>
      <w:r>
        <w:t>مشاريع</w:t>
      </w:r>
      <w:proofErr w:type="spellEnd"/>
      <w:r>
        <w:t xml:space="preserve"> </w:t>
      </w:r>
      <w:proofErr w:type="spellStart"/>
      <w:r>
        <w:t>عقارية</w:t>
      </w:r>
      <w:proofErr w:type="spellEnd"/>
      <w:r>
        <w:t xml:space="preserve">. </w:t>
      </w:r>
    </w:p>
    <w:p w14:paraId="4DA16FEC" w14:textId="172ADF16" w:rsidR="00181709" w:rsidRDefault="00000000">
      <w:pPr>
        <w:pStyle w:val="FirstParagraph"/>
        <w:rPr>
          <w:rtl/>
        </w:rPr>
      </w:pPr>
      <w:r>
        <w:t xml:space="preserve">- </w:t>
      </w:r>
      <w:r>
        <w:rPr>
          <w:b/>
          <w:bCs/>
        </w:rPr>
        <w:t>Elite Gate Properties</w:t>
      </w:r>
      <w:r>
        <w:t xml:space="preserve">: </w:t>
      </w:r>
      <w:proofErr w:type="spellStart"/>
      <w:r>
        <w:t>تسويق</w:t>
      </w:r>
      <w:proofErr w:type="spellEnd"/>
      <w:r>
        <w:t xml:space="preserve"> </w:t>
      </w:r>
      <w:proofErr w:type="spellStart"/>
      <w:r>
        <w:t>وإدارة</w:t>
      </w:r>
      <w:proofErr w:type="spellEnd"/>
      <w:r>
        <w:t xml:space="preserve"> </w:t>
      </w:r>
      <w:proofErr w:type="spellStart"/>
      <w:r>
        <w:t>أصول</w:t>
      </w:r>
      <w:proofErr w:type="spellEnd"/>
      <w:r>
        <w:t xml:space="preserve"> </w:t>
      </w:r>
      <w:proofErr w:type="spellStart"/>
      <w:r>
        <w:t>عقارية</w:t>
      </w:r>
      <w:proofErr w:type="spellEnd"/>
      <w:r>
        <w:t xml:space="preserve">. </w:t>
      </w:r>
      <w:r w:rsidR="00181709">
        <w:t>–</w:t>
      </w:r>
    </w:p>
    <w:p w14:paraId="09E91230" w14:textId="77777777" w:rsidR="00181709" w:rsidRDefault="00000000">
      <w:pPr>
        <w:pStyle w:val="FirstParagraph"/>
        <w:rPr>
          <w:rtl/>
        </w:rPr>
      </w:pPr>
      <w:r>
        <w:t xml:space="preserve"> </w:t>
      </w:r>
      <w:r>
        <w:rPr>
          <w:b/>
          <w:bCs/>
        </w:rPr>
        <w:t>Prim Inn Hotels</w:t>
      </w:r>
      <w:r>
        <w:t xml:space="preserve">: تشغيل ضيافة وفنادق وشقق فندقية. </w:t>
      </w:r>
    </w:p>
    <w:p w14:paraId="4D7EC3AF" w14:textId="62BD0EAE" w:rsidR="003B48B3" w:rsidRDefault="00000000">
      <w:pPr>
        <w:pStyle w:val="FirstParagraph"/>
      </w:pPr>
      <w:r>
        <w:t xml:space="preserve">- </w:t>
      </w:r>
      <w:r>
        <w:rPr>
          <w:b/>
          <w:bCs/>
        </w:rPr>
        <w:t>Nova Property Management</w:t>
      </w:r>
      <w:r>
        <w:t xml:space="preserve">: </w:t>
      </w:r>
      <w:proofErr w:type="spellStart"/>
      <w:r>
        <w:t>إدارة</w:t>
      </w:r>
      <w:proofErr w:type="spellEnd"/>
      <w:r>
        <w:t xml:space="preserve"> </w:t>
      </w:r>
      <w:proofErr w:type="spellStart"/>
      <w:r>
        <w:t>أملاك</w:t>
      </w:r>
      <w:proofErr w:type="spellEnd"/>
      <w:r>
        <w:t xml:space="preserve"> </w:t>
      </w:r>
      <w:proofErr w:type="spellStart"/>
      <w:r>
        <w:t>وتشغيل</w:t>
      </w:r>
      <w:proofErr w:type="spellEnd"/>
      <w:r>
        <w:t xml:space="preserve"> </w:t>
      </w:r>
      <w:proofErr w:type="spellStart"/>
      <w:r>
        <w:t>عقاري</w:t>
      </w:r>
      <w:proofErr w:type="spellEnd"/>
      <w:r>
        <w:t>.</w:t>
      </w:r>
    </w:p>
    <w:p w14:paraId="304B18FF" w14:textId="52D3F7D9" w:rsidR="00181709" w:rsidRDefault="00000000">
      <w:pPr>
        <w:pStyle w:val="BodyText"/>
        <w:rPr>
          <w:rtl/>
        </w:rPr>
      </w:pPr>
      <w:r>
        <w:rPr>
          <w:b/>
          <w:bCs/>
        </w:rPr>
        <w:t>شراكات استثمارية وتقنية:</w:t>
      </w:r>
      <w:r>
        <w:t xml:space="preserve"> - </w:t>
      </w:r>
      <w:r>
        <w:rPr>
          <w:b/>
          <w:bCs/>
        </w:rPr>
        <w:t>Pronova Cryptocurrency</w:t>
      </w:r>
      <w:r>
        <w:t xml:space="preserve">: تكامل مع منظومة الأصول الافتراضية. </w:t>
      </w:r>
      <w:r w:rsidR="00181709">
        <w:t>–</w:t>
      </w:r>
    </w:p>
    <w:p w14:paraId="1325FC8D" w14:textId="4D6B8145" w:rsidR="003B48B3" w:rsidRDefault="00000000">
      <w:pPr>
        <w:pStyle w:val="BodyText"/>
      </w:pPr>
      <w:r>
        <w:t xml:space="preserve"> </w:t>
      </w:r>
      <w:r>
        <w:rPr>
          <w:b/>
          <w:bCs/>
        </w:rPr>
        <w:t>Nova Digital Finance</w:t>
      </w:r>
      <w:r>
        <w:t>: حلول مالية رقمية ومنتجات مدمجة.</w:t>
      </w:r>
    </w:p>
    <w:p w14:paraId="335656E2" w14:textId="77777777" w:rsidR="003B48B3" w:rsidRDefault="00000000">
      <w:pPr>
        <w:pStyle w:val="BlockText"/>
      </w:pPr>
      <w:r>
        <w:rPr>
          <w:b/>
          <w:bCs/>
        </w:rPr>
        <w:t>تنويه:</w:t>
      </w:r>
      <w:r>
        <w:t xml:space="preserve"> طبيعة الشراكات تختلف حسب البرنامج والدولة والنطاق التنظيمي، وتُعرض تفاصيل كل شراكة في مستندات المنتج.</w:t>
      </w:r>
    </w:p>
    <w:p w14:paraId="0401897B" w14:textId="77777777" w:rsidR="00776CD0" w:rsidRDefault="00000000">
      <w:r>
        <w:pict w14:anchorId="3112CB76">
          <v:rect id="_x0000_i1030" style="width:0;height:1.5pt" o:hralign="center" o:hrstd="t" o:hr="t"/>
        </w:pict>
      </w:r>
    </w:p>
    <w:p w14:paraId="124FF5A5" w14:textId="6652728D" w:rsidR="003B48B3" w:rsidRDefault="003B48B3">
      <w:pPr>
        <w:rPr>
          <w:rtl/>
        </w:rPr>
      </w:pPr>
    </w:p>
    <w:p w14:paraId="1326BD4D" w14:textId="77777777" w:rsidR="00776CD0" w:rsidRDefault="00776CD0"/>
    <w:p w14:paraId="46D272BF" w14:textId="77777777" w:rsidR="00776CD0" w:rsidRDefault="00776CD0"/>
    <w:p w14:paraId="208F70BE" w14:textId="77777777" w:rsidR="003B48B3" w:rsidRDefault="00000000">
      <w:pPr>
        <w:pStyle w:val="Heading2"/>
      </w:pPr>
      <w:bookmarkStart w:id="23" w:name="نموذج-عمل-الملكية-الجزئية-والترميز"/>
      <w:bookmarkEnd w:id="22"/>
      <w:r>
        <w:t>6) نموذج عمل الملكية الجزئية والترميز</w:t>
      </w:r>
    </w:p>
    <w:p w14:paraId="39E4EC89" w14:textId="77777777" w:rsidR="003B48B3" w:rsidRDefault="00000000">
      <w:pPr>
        <w:pStyle w:val="Compact"/>
        <w:numPr>
          <w:ilvl w:val="0"/>
          <w:numId w:val="17"/>
        </w:numPr>
      </w:pPr>
      <w:r>
        <w:rPr>
          <w:b/>
          <w:bCs/>
        </w:rPr>
        <w:t>الاختيار</w:t>
      </w:r>
      <w:r>
        <w:t>: انتقاء أصول مدققة بملفات فنية ومالية وحقوقية.</w:t>
      </w:r>
    </w:p>
    <w:p w14:paraId="1E531080" w14:textId="77777777" w:rsidR="003B48B3" w:rsidRDefault="00000000">
      <w:pPr>
        <w:pStyle w:val="Compact"/>
        <w:numPr>
          <w:ilvl w:val="0"/>
          <w:numId w:val="17"/>
        </w:numPr>
      </w:pPr>
      <w:r>
        <w:rPr>
          <w:b/>
          <w:bCs/>
        </w:rPr>
        <w:t>التجزيء</w:t>
      </w:r>
      <w:r>
        <w:t>: تقسيم الأصل إلى وحدات/حصص (تقليدية أو رقمية مرمّزة).</w:t>
      </w:r>
    </w:p>
    <w:p w14:paraId="73ACB1F9" w14:textId="77777777" w:rsidR="003B48B3" w:rsidRDefault="00000000">
      <w:pPr>
        <w:pStyle w:val="Compact"/>
        <w:numPr>
          <w:ilvl w:val="0"/>
          <w:numId w:val="17"/>
        </w:numPr>
      </w:pPr>
      <w:r>
        <w:rPr>
          <w:b/>
          <w:bCs/>
        </w:rPr>
        <w:t>التوثيق</w:t>
      </w:r>
      <w:r>
        <w:t>: مستندات ملكية رقمية وسجلات تحويل ملتزمة باللوائح.</w:t>
      </w:r>
    </w:p>
    <w:p w14:paraId="4334957E" w14:textId="77777777" w:rsidR="003B48B3" w:rsidRDefault="00000000">
      <w:pPr>
        <w:pStyle w:val="Compact"/>
        <w:numPr>
          <w:ilvl w:val="0"/>
          <w:numId w:val="17"/>
        </w:numPr>
      </w:pPr>
      <w:r>
        <w:rPr>
          <w:b/>
          <w:bCs/>
        </w:rPr>
        <w:t>العائد</w:t>
      </w:r>
      <w:r>
        <w:t>: توزيعات دورية/عوائد رأس مالية حسب نوع الأصل.</w:t>
      </w:r>
    </w:p>
    <w:p w14:paraId="5357DC50" w14:textId="77777777" w:rsidR="003B48B3" w:rsidRDefault="00000000">
      <w:pPr>
        <w:pStyle w:val="Compact"/>
        <w:numPr>
          <w:ilvl w:val="0"/>
          <w:numId w:val="17"/>
        </w:numPr>
      </w:pPr>
      <w:r>
        <w:rPr>
          <w:b/>
          <w:bCs/>
        </w:rPr>
        <w:t>التخارج</w:t>
      </w:r>
      <w:r>
        <w:t>: بيع الحصص، إعادة الشراء، أو نافذة سيولة داخلية منظمة.</w:t>
      </w:r>
    </w:p>
    <w:p w14:paraId="6CABC539" w14:textId="77777777" w:rsidR="003B48B3" w:rsidRDefault="00000000">
      <w:r>
        <w:pict w14:anchorId="3914416A">
          <v:rect id="_x0000_i1031" style="width:0;height:1.5pt" o:hralign="center" o:hrstd="t" o:hr="t"/>
        </w:pict>
      </w:r>
    </w:p>
    <w:p w14:paraId="14BA0595" w14:textId="77777777" w:rsidR="003B48B3" w:rsidRDefault="00000000">
      <w:pPr>
        <w:pStyle w:val="Heading2"/>
      </w:pPr>
      <w:bookmarkStart w:id="24" w:name="كيف-تبدأ-الاستثمار"/>
      <w:bookmarkEnd w:id="23"/>
      <w:r>
        <w:t>7) كيف تبدأ الاستثمار</w:t>
      </w:r>
    </w:p>
    <w:p w14:paraId="3F74F1EE" w14:textId="77777777" w:rsidR="003B48B3" w:rsidRDefault="00000000">
      <w:pPr>
        <w:pStyle w:val="Compact"/>
        <w:numPr>
          <w:ilvl w:val="0"/>
          <w:numId w:val="18"/>
        </w:numPr>
      </w:pPr>
      <w:r>
        <w:t>إنشاء حساب والتحقق (KYC/AML).</w:t>
      </w:r>
    </w:p>
    <w:p w14:paraId="04721846" w14:textId="77777777" w:rsidR="003B48B3" w:rsidRDefault="00000000">
      <w:pPr>
        <w:pStyle w:val="Compact"/>
        <w:numPr>
          <w:ilvl w:val="0"/>
          <w:numId w:val="18"/>
        </w:numPr>
      </w:pPr>
      <w:r>
        <w:t>اختيار الفرصة وقراءة المستندات (نشرة/شروط/مخاطر/رسوم).</w:t>
      </w:r>
    </w:p>
    <w:p w14:paraId="2819DC9E" w14:textId="77777777" w:rsidR="003B48B3" w:rsidRDefault="00000000">
      <w:pPr>
        <w:pStyle w:val="Compact"/>
        <w:numPr>
          <w:ilvl w:val="0"/>
          <w:numId w:val="18"/>
        </w:numPr>
      </w:pPr>
      <w:r>
        <w:t>الاكتتاب والتحويل البنكي أو الرقمي وفق القنوات المتاحة.</w:t>
      </w:r>
    </w:p>
    <w:p w14:paraId="0331732B" w14:textId="77777777" w:rsidR="003B48B3" w:rsidRDefault="00000000">
      <w:pPr>
        <w:pStyle w:val="Compact"/>
        <w:numPr>
          <w:ilvl w:val="0"/>
          <w:numId w:val="18"/>
        </w:numPr>
      </w:pPr>
      <w:r>
        <w:t>استلام الحصص/الوحدات ومتابعة الأداء عبر لوحة التحكم.</w:t>
      </w:r>
    </w:p>
    <w:p w14:paraId="1B1BDCF7" w14:textId="77777777" w:rsidR="003B48B3" w:rsidRDefault="00000000">
      <w:pPr>
        <w:pStyle w:val="Compact"/>
        <w:numPr>
          <w:ilvl w:val="0"/>
          <w:numId w:val="18"/>
        </w:numPr>
      </w:pPr>
      <w:r>
        <w:t>إدارة التوزيعات، وإجراءات التخارج عند الحاجة.</w:t>
      </w:r>
    </w:p>
    <w:p w14:paraId="16F8A6E2" w14:textId="77777777" w:rsidR="003B48B3" w:rsidRDefault="00000000">
      <w:r>
        <w:pict w14:anchorId="591E474A">
          <v:rect id="_x0000_i1032" style="width:0;height:1.5pt" o:hralign="center" o:hrstd="t" o:hr="t"/>
        </w:pict>
      </w:r>
    </w:p>
    <w:p w14:paraId="5C26EA97" w14:textId="77777777" w:rsidR="003B48B3" w:rsidRDefault="00000000">
      <w:pPr>
        <w:pStyle w:val="Heading2"/>
      </w:pPr>
      <w:bookmarkStart w:id="25" w:name="مناطق-الوجود-والفروع"/>
      <w:bookmarkEnd w:id="24"/>
      <w:r>
        <w:t>8) مناطق الوجود والفروع</w:t>
      </w:r>
    </w:p>
    <w:p w14:paraId="5C028F6D" w14:textId="77777777" w:rsidR="003B48B3" w:rsidRDefault="00000000">
      <w:pPr>
        <w:pStyle w:val="FirstParagraph"/>
      </w:pPr>
      <w:r>
        <w:rPr>
          <w:b/>
          <w:bCs/>
        </w:rPr>
        <w:t>المملكة المتحدة (UK):</w:t>
      </w:r>
      <w:r>
        <w:t xml:space="preserve"> 128 City Road, London, United Kingdom, EC1V 2NX</w:t>
      </w:r>
    </w:p>
    <w:p w14:paraId="69452A01" w14:textId="77777777" w:rsidR="003B48B3" w:rsidRDefault="00000000">
      <w:pPr>
        <w:pStyle w:val="BodyText"/>
      </w:pPr>
      <w:r>
        <w:rPr>
          <w:b/>
          <w:bCs/>
        </w:rPr>
        <w:t>الولايات المتحدة (US):</w:t>
      </w:r>
      <w:r>
        <w:t xml:space="preserve"> 30 N Gould St, Ste R, Sheridan, WY 82801</w:t>
      </w:r>
    </w:p>
    <w:p w14:paraId="1D69474D" w14:textId="77777777" w:rsidR="003B48B3" w:rsidRDefault="00000000">
      <w:pPr>
        <w:pStyle w:val="BodyText"/>
      </w:pPr>
      <w:r>
        <w:rPr>
          <w:b/>
          <w:bCs/>
        </w:rPr>
        <w:t>الإمارات العربية المتحدة (UAE):</w:t>
      </w:r>
      <w:r>
        <w:t xml:space="preserve"> أبوظبي – جزيرة الريم (City of </w:t>
      </w:r>
      <w:proofErr w:type="gramStart"/>
      <w:r>
        <w:t>Lights)،</w:t>
      </w:r>
      <w:proofErr w:type="gramEnd"/>
      <w:r>
        <w:t xml:space="preserve"> برج أداكس (Addax Tower)</w:t>
      </w:r>
    </w:p>
    <w:p w14:paraId="6AE10DC4" w14:textId="77777777" w:rsidR="003B48B3" w:rsidRDefault="00000000">
      <w:pPr>
        <w:pStyle w:val="BlockText"/>
      </w:pPr>
      <w:r>
        <w:t>خدماتنا متاحة عالميًا وفق الأطر التنظيمية لكل سوق.</w:t>
      </w:r>
    </w:p>
    <w:p w14:paraId="56DA0C44" w14:textId="77777777" w:rsidR="003B48B3" w:rsidRDefault="00000000">
      <w:r>
        <w:pict w14:anchorId="79A1BC2B">
          <v:rect id="_x0000_i1033" style="width:0;height:1.5pt" o:hralign="center" o:hrstd="t" o:hr="t"/>
        </w:pict>
      </w:r>
    </w:p>
    <w:p w14:paraId="0615747C" w14:textId="77777777" w:rsidR="003B48B3" w:rsidRDefault="00000000">
      <w:pPr>
        <w:pStyle w:val="Heading2"/>
      </w:pPr>
      <w:bookmarkStart w:id="26" w:name="دراسات-حالة-ونتائج-نماذج-سردية"/>
      <w:bookmarkEnd w:id="25"/>
      <w:r>
        <w:t>9) دراسات حالة ونتائج (نماذج سردية)</w:t>
      </w:r>
    </w:p>
    <w:p w14:paraId="00225C1E" w14:textId="77777777" w:rsidR="003B48B3" w:rsidRDefault="00000000">
      <w:pPr>
        <w:pStyle w:val="Compact"/>
        <w:numPr>
          <w:ilvl w:val="0"/>
          <w:numId w:val="19"/>
        </w:numPr>
      </w:pPr>
      <w:r>
        <w:rPr>
          <w:b/>
          <w:bCs/>
        </w:rPr>
        <w:t>فندق مُدار</w:t>
      </w:r>
      <w:r>
        <w:t>: رفع نسب الإشغال وتوزيعات ربع سنوية.</w:t>
      </w:r>
    </w:p>
    <w:p w14:paraId="41349EAD" w14:textId="77777777" w:rsidR="003B48B3" w:rsidRDefault="00000000">
      <w:pPr>
        <w:pStyle w:val="Compact"/>
        <w:numPr>
          <w:ilvl w:val="0"/>
          <w:numId w:val="19"/>
        </w:numPr>
      </w:pPr>
      <w:r>
        <w:rPr>
          <w:b/>
          <w:bCs/>
        </w:rPr>
        <w:t>مجمع سكني تحت التطوير</w:t>
      </w:r>
      <w:r>
        <w:t>: مراحل إنجاز وتمويل مرحلي مربوط بالمؤشرات.</w:t>
      </w:r>
    </w:p>
    <w:p w14:paraId="1AB81A09" w14:textId="77777777" w:rsidR="003B48B3" w:rsidRDefault="00000000">
      <w:pPr>
        <w:pStyle w:val="Compact"/>
        <w:numPr>
          <w:ilvl w:val="0"/>
          <w:numId w:val="19"/>
        </w:numPr>
      </w:pPr>
      <w:r>
        <w:rPr>
          <w:b/>
          <w:bCs/>
        </w:rPr>
        <w:t>صفقة ترميز</w:t>
      </w:r>
      <w:r>
        <w:t>: تقليل زمن الاكتتاب وتوسيع قاعدة المستثمرين المؤهلين.</w:t>
      </w:r>
    </w:p>
    <w:p w14:paraId="50687B74" w14:textId="77777777" w:rsidR="003B48B3" w:rsidRDefault="00000000">
      <w:r>
        <w:pict w14:anchorId="4CBCB91A">
          <v:rect id="_x0000_i1034" style="width:0;height:1.5pt" o:hralign="center" o:hrstd="t" o:hr="t"/>
        </w:pict>
      </w:r>
    </w:p>
    <w:p w14:paraId="5355038E" w14:textId="77777777" w:rsidR="003B48B3" w:rsidRDefault="00000000">
      <w:pPr>
        <w:pStyle w:val="Heading2"/>
      </w:pPr>
      <w:bookmarkStart w:id="27" w:name="الأسئلة-الشائعة-faq"/>
      <w:bookmarkEnd w:id="26"/>
      <w:r>
        <w:t>10) الأسئلة الشائعة (FAQ)</w:t>
      </w:r>
    </w:p>
    <w:p w14:paraId="7F76466F" w14:textId="77777777" w:rsidR="003B48B3" w:rsidRDefault="00000000">
      <w:pPr>
        <w:pStyle w:val="FirstParagraph"/>
      </w:pPr>
      <w:r>
        <w:rPr>
          <w:b/>
          <w:bCs/>
        </w:rPr>
        <w:t>ما هي الملكية الجزئية؟</w:t>
      </w:r>
      <w:r>
        <w:t xml:space="preserve"> امتلاك جزء من أصل مع حقوق اقتصادية موثقة.</w:t>
      </w:r>
    </w:p>
    <w:p w14:paraId="77790715" w14:textId="77777777" w:rsidR="003B48B3" w:rsidRDefault="00000000">
      <w:pPr>
        <w:pStyle w:val="BodyText"/>
      </w:pPr>
      <w:r>
        <w:rPr>
          <w:b/>
          <w:bCs/>
        </w:rPr>
        <w:t>ما هو الترميز (Tokenization)؟</w:t>
      </w:r>
      <w:r>
        <w:t xml:space="preserve"> تحويل الحقوق إلى وحدات رقمية قابلة للتتبع والامتثال.</w:t>
      </w:r>
    </w:p>
    <w:p w14:paraId="7911AD15" w14:textId="77777777" w:rsidR="003B48B3" w:rsidRDefault="00000000">
      <w:pPr>
        <w:pStyle w:val="BodyText"/>
      </w:pPr>
      <w:r>
        <w:rPr>
          <w:b/>
          <w:bCs/>
        </w:rPr>
        <w:t>كيف تُدار المخاطر؟</w:t>
      </w:r>
      <w:r>
        <w:t xml:space="preserve"> فحص فني/مالي/قانوني، تأمينات مناسبة، تنويع، وحوكمة متعددة الطبقات.</w:t>
      </w:r>
    </w:p>
    <w:p w14:paraId="3629F398" w14:textId="77777777" w:rsidR="003B48B3" w:rsidRDefault="00000000">
      <w:pPr>
        <w:pStyle w:val="BodyText"/>
      </w:pPr>
      <w:r>
        <w:rPr>
          <w:b/>
          <w:bCs/>
        </w:rPr>
        <w:t>ما هي الرسوم؟</w:t>
      </w:r>
      <w:r>
        <w:t xml:space="preserve"> تُحدد لكل منتج بوضوح (إدارة/أداء/حفظ/</w:t>
      </w:r>
      <w:proofErr w:type="gramStart"/>
      <w:r>
        <w:t>إصدار)،</w:t>
      </w:r>
      <w:proofErr w:type="gramEnd"/>
      <w:r>
        <w:t xml:space="preserve"> مع الإفصاح قبل الاكتتاب.</w:t>
      </w:r>
    </w:p>
    <w:p w14:paraId="0272D687" w14:textId="77777777" w:rsidR="003B48B3" w:rsidRDefault="00000000">
      <w:pPr>
        <w:pStyle w:val="BodyText"/>
      </w:pPr>
      <w:r>
        <w:rPr>
          <w:b/>
          <w:bCs/>
        </w:rPr>
        <w:t>كيف أخرج من الاستثمار؟</w:t>
      </w:r>
      <w:r>
        <w:t xml:space="preserve"> نوافذ سيولة دورية، سوق ثانوي داخلي منظم، أو آليات إعادة شراء وفق الشروط.</w:t>
      </w:r>
    </w:p>
    <w:p w14:paraId="0A9CB763" w14:textId="764FB879" w:rsidR="003B48B3" w:rsidRDefault="00000000">
      <w:pPr>
        <w:pStyle w:val="BodyText"/>
      </w:pPr>
      <w:proofErr w:type="spellStart"/>
      <w:r>
        <w:rPr>
          <w:b/>
          <w:bCs/>
        </w:rPr>
        <w:t>هل</w:t>
      </w:r>
      <w:proofErr w:type="spellEnd"/>
      <w:r>
        <w:rPr>
          <w:b/>
          <w:bCs/>
        </w:rPr>
        <w:t xml:space="preserve"> </w:t>
      </w:r>
      <w:proofErr w:type="spellStart"/>
      <w:r>
        <w:rPr>
          <w:b/>
          <w:bCs/>
        </w:rPr>
        <w:t>هناك</w:t>
      </w:r>
      <w:proofErr w:type="spellEnd"/>
      <w:r>
        <w:rPr>
          <w:b/>
          <w:bCs/>
        </w:rPr>
        <w:t xml:space="preserve"> </w:t>
      </w:r>
      <w:proofErr w:type="spellStart"/>
      <w:r>
        <w:rPr>
          <w:b/>
          <w:bCs/>
        </w:rPr>
        <w:t>توافق</w:t>
      </w:r>
      <w:proofErr w:type="spellEnd"/>
      <w:r>
        <w:rPr>
          <w:b/>
          <w:bCs/>
        </w:rPr>
        <w:t xml:space="preserve"> </w:t>
      </w:r>
      <w:proofErr w:type="spellStart"/>
      <w:r>
        <w:rPr>
          <w:b/>
          <w:bCs/>
        </w:rPr>
        <w:t>شرعي</w:t>
      </w:r>
      <w:proofErr w:type="spellEnd"/>
      <w:r>
        <w:rPr>
          <w:b/>
          <w:bCs/>
        </w:rPr>
        <w:t>؟</w:t>
      </w:r>
      <w:r>
        <w:t xml:space="preserve"> </w:t>
      </w:r>
      <w:proofErr w:type="spellStart"/>
      <w:r>
        <w:t>منتجات</w:t>
      </w:r>
      <w:proofErr w:type="spellEnd"/>
      <w:r>
        <w:t xml:space="preserve"> </w:t>
      </w:r>
      <w:proofErr w:type="spellStart"/>
      <w:r>
        <w:t>متوافقة</w:t>
      </w:r>
      <w:proofErr w:type="spellEnd"/>
      <w:r>
        <w:t xml:space="preserve"> </w:t>
      </w:r>
      <w:proofErr w:type="spellStart"/>
      <w:r>
        <w:t>حيثما</w:t>
      </w:r>
      <w:proofErr w:type="spellEnd"/>
      <w:r>
        <w:t xml:space="preserve"> </w:t>
      </w:r>
      <w:proofErr w:type="spellStart"/>
      <w:r>
        <w:t>ينطبق</w:t>
      </w:r>
      <w:proofErr w:type="spellEnd"/>
      <w:r>
        <w:t xml:space="preserve"> </w:t>
      </w:r>
      <w:proofErr w:type="spellStart"/>
      <w:r>
        <w:t>بالتعاون</w:t>
      </w:r>
      <w:proofErr w:type="spellEnd"/>
      <w:r>
        <w:t xml:space="preserve"> </w:t>
      </w:r>
      <w:proofErr w:type="spellStart"/>
      <w:r>
        <w:t>مع</w:t>
      </w:r>
      <w:proofErr w:type="spellEnd"/>
      <w:r>
        <w:t xml:space="preserve"> </w:t>
      </w:r>
      <w:proofErr w:type="spellStart"/>
      <w:r>
        <w:t>مستشارين</w:t>
      </w:r>
      <w:proofErr w:type="spellEnd"/>
      <w:r>
        <w:t xml:space="preserve"> </w:t>
      </w:r>
      <w:proofErr w:type="spellStart"/>
      <w:r>
        <w:t>مختصين</w:t>
      </w:r>
      <w:proofErr w:type="spellEnd"/>
      <w:r>
        <w:t>.</w:t>
      </w:r>
    </w:p>
    <w:p w14:paraId="3934093D" w14:textId="77777777" w:rsidR="003B48B3" w:rsidRDefault="00000000">
      <w:r>
        <w:pict w14:anchorId="7F160178">
          <v:rect id="_x0000_i1035" style="width:0;height:1.5pt" o:hralign="center" o:hrstd="t" o:hr="t"/>
        </w:pict>
      </w:r>
    </w:p>
    <w:p w14:paraId="1C534371" w14:textId="77777777" w:rsidR="003B48B3" w:rsidRDefault="00000000">
      <w:pPr>
        <w:pStyle w:val="Heading2"/>
      </w:pPr>
      <w:bookmarkStart w:id="28" w:name="المستندات-والسياسات"/>
      <w:bookmarkEnd w:id="27"/>
      <w:r>
        <w:t>11) المستندات والسياسات</w:t>
      </w:r>
    </w:p>
    <w:p w14:paraId="414F0BE2" w14:textId="77777777" w:rsidR="003B48B3" w:rsidRDefault="00000000">
      <w:pPr>
        <w:pStyle w:val="Compact"/>
        <w:numPr>
          <w:ilvl w:val="0"/>
          <w:numId w:val="20"/>
        </w:numPr>
      </w:pPr>
      <w:r>
        <w:t>الشروط والأحكام العامة</w:t>
      </w:r>
    </w:p>
    <w:p w14:paraId="1087C208" w14:textId="77777777" w:rsidR="003B48B3" w:rsidRDefault="00000000">
      <w:pPr>
        <w:pStyle w:val="Compact"/>
        <w:numPr>
          <w:ilvl w:val="0"/>
          <w:numId w:val="20"/>
        </w:numPr>
      </w:pPr>
      <w:r>
        <w:t>سياسة الخصوصية وحماية البيانات</w:t>
      </w:r>
    </w:p>
    <w:p w14:paraId="432B7A15" w14:textId="77777777" w:rsidR="003B48B3" w:rsidRDefault="00000000">
      <w:pPr>
        <w:pStyle w:val="Compact"/>
        <w:numPr>
          <w:ilvl w:val="0"/>
          <w:numId w:val="20"/>
        </w:numPr>
      </w:pPr>
      <w:r>
        <w:t>سياسة مكافحة غسل الأموال وتمويل الإرهاب</w:t>
      </w:r>
    </w:p>
    <w:p w14:paraId="75F754E9" w14:textId="77777777" w:rsidR="003B48B3" w:rsidRDefault="00000000">
      <w:pPr>
        <w:pStyle w:val="Compact"/>
        <w:numPr>
          <w:ilvl w:val="0"/>
          <w:numId w:val="20"/>
        </w:numPr>
      </w:pPr>
      <w:r>
        <w:t>إفصاحات المخاطر</w:t>
      </w:r>
    </w:p>
    <w:p w14:paraId="2C817451" w14:textId="77777777" w:rsidR="003B48B3" w:rsidRDefault="00000000">
      <w:pPr>
        <w:pStyle w:val="Compact"/>
        <w:numPr>
          <w:ilvl w:val="0"/>
          <w:numId w:val="20"/>
        </w:numPr>
      </w:pPr>
      <w:r>
        <w:t>وثائق الطرح/نشرات المعلومات/اتفاقيات الاكتتاب</w:t>
      </w:r>
    </w:p>
    <w:p w14:paraId="7D58230F" w14:textId="77777777" w:rsidR="003B48B3" w:rsidRDefault="00000000">
      <w:pPr>
        <w:pStyle w:val="Compact"/>
        <w:numPr>
          <w:ilvl w:val="0"/>
          <w:numId w:val="20"/>
        </w:numPr>
      </w:pPr>
      <w:r>
        <w:t>سياسة الشكاوى وحل النزاعات</w:t>
      </w:r>
    </w:p>
    <w:p w14:paraId="3945FC46" w14:textId="77777777" w:rsidR="003B48B3" w:rsidRDefault="00000000">
      <w:r>
        <w:pict w14:anchorId="0A434F6F">
          <v:rect id="_x0000_i1036" style="width:0;height:1.5pt" o:hralign="center" o:hrstd="t" o:hr="t"/>
        </w:pict>
      </w:r>
    </w:p>
    <w:p w14:paraId="4CEBCCCA" w14:textId="77777777" w:rsidR="003B48B3" w:rsidRDefault="00000000">
      <w:pPr>
        <w:pStyle w:val="Heading2"/>
      </w:pPr>
      <w:bookmarkStart w:id="29" w:name="تواصل-معنا"/>
      <w:bookmarkEnd w:id="28"/>
      <w:r>
        <w:t>12) تواصل معنا</w:t>
      </w:r>
    </w:p>
    <w:p w14:paraId="0D1C468A" w14:textId="77777777" w:rsidR="003B48B3" w:rsidRDefault="00000000">
      <w:pPr>
        <w:pStyle w:val="Compact"/>
        <w:numPr>
          <w:ilvl w:val="0"/>
          <w:numId w:val="21"/>
        </w:numPr>
      </w:pPr>
      <w:r>
        <w:rPr>
          <w:b/>
          <w:bCs/>
        </w:rPr>
        <w:t>استفسارات المستثمرين</w:t>
      </w:r>
      <w:r>
        <w:t>: فريق علاقات المستثمرين يوفّر دعمًا فنيًا وقانونيًا أوليًا ويُرشد إلى المستندات.</w:t>
      </w:r>
    </w:p>
    <w:p w14:paraId="10CAD7DB" w14:textId="77777777" w:rsidR="003B48B3" w:rsidRDefault="00000000">
      <w:pPr>
        <w:pStyle w:val="Compact"/>
        <w:numPr>
          <w:ilvl w:val="0"/>
          <w:numId w:val="21"/>
        </w:numPr>
      </w:pPr>
      <w:r>
        <w:rPr>
          <w:b/>
          <w:bCs/>
        </w:rPr>
        <w:t>انضمام كشريك/مُصدر</w:t>
      </w:r>
      <w:r>
        <w:t>: استقبال طلبات المشاريع المؤهلة للمراجعة.</w:t>
      </w:r>
    </w:p>
    <w:p w14:paraId="50C7971E" w14:textId="77777777" w:rsidR="003B48B3" w:rsidRDefault="00000000">
      <w:pPr>
        <w:pStyle w:val="Compact"/>
        <w:numPr>
          <w:ilvl w:val="0"/>
          <w:numId w:val="21"/>
        </w:numPr>
      </w:pPr>
      <w:r>
        <w:rPr>
          <w:b/>
          <w:bCs/>
        </w:rPr>
        <w:t>العناوين</w:t>
      </w:r>
      <w:r>
        <w:t>: كما هو موضح في قسم الفروع.</w:t>
      </w:r>
    </w:p>
    <w:p w14:paraId="13FD3A56" w14:textId="77777777" w:rsidR="003B48B3" w:rsidRDefault="00000000">
      <w:pPr>
        <w:pStyle w:val="FirstParagraph"/>
      </w:pPr>
      <w:r>
        <w:rPr>
          <w:b/>
          <w:bCs/>
        </w:rPr>
        <w:t>نموذج اتصال سريع:</w:t>
      </w:r>
      <w:r>
        <w:t xml:space="preserve"> الاسم – البريد – الدولة – نوع المستثمر – رسالة.</w:t>
      </w:r>
    </w:p>
    <w:p w14:paraId="74B39FF3" w14:textId="77777777" w:rsidR="003B48B3" w:rsidRDefault="00000000">
      <w:r>
        <w:pict w14:anchorId="534B0C19">
          <v:rect id="_x0000_i1037" style="width:0;height:1.5pt" o:hralign="center" o:hrstd="t" o:hr="t"/>
        </w:pict>
      </w:r>
    </w:p>
    <w:p w14:paraId="2A0C1BA6" w14:textId="77777777" w:rsidR="003B48B3" w:rsidRDefault="00000000">
      <w:pPr>
        <w:pStyle w:val="Heading2"/>
      </w:pPr>
      <w:bookmarkStart w:id="30" w:name="تحذير-مخاطر-عام"/>
      <w:bookmarkEnd w:id="29"/>
      <w:r>
        <w:t>تحذير مخاطر عام</w:t>
      </w:r>
    </w:p>
    <w:p w14:paraId="2D8D7836" w14:textId="77777777" w:rsidR="003B48B3" w:rsidRDefault="00000000">
      <w:pPr>
        <w:pStyle w:val="FirstParagraph"/>
      </w:pPr>
      <w:r>
        <w:t>تنطوي الاستثمارات على مخاطر خسارة جزئية أو كلية لرأس المال. الأداء التاريخي لا يضمن المستقبل. بعض المنتجات موجهة لمستثمرين مؤهلين فقط حسب القوانين ذات الصلة. يُرجى قراءة الإفصاحات بعناية والتشاور مع مستشارك المالي والقانوني.</w:t>
      </w:r>
    </w:p>
    <w:p w14:paraId="27497F58" w14:textId="77777777" w:rsidR="003B48B3" w:rsidRDefault="00000000">
      <w:r>
        <w:pict w14:anchorId="011BEC75">
          <v:rect id="_x0000_i1038" style="width:0;height:1.5pt" o:hralign="center" o:hrstd="t" o:hr="t"/>
        </w:pict>
      </w:r>
    </w:p>
    <w:p w14:paraId="49A710A2" w14:textId="77777777" w:rsidR="003B48B3" w:rsidRDefault="00000000">
      <w:pPr>
        <w:pStyle w:val="Heading2"/>
      </w:pPr>
      <w:bookmarkStart w:id="31" w:name="دعوات-للإجراء-متكررة-في-الصفحات-المناسبة"/>
      <w:bookmarkEnd w:id="30"/>
      <w:r>
        <w:t>دعوات للإجراء (متكررة في الصفحات المناسبة)</w:t>
      </w:r>
    </w:p>
    <w:p w14:paraId="29360380" w14:textId="77777777" w:rsidR="003B48B3" w:rsidRDefault="00000000">
      <w:pPr>
        <w:pStyle w:val="Compact"/>
        <w:numPr>
          <w:ilvl w:val="0"/>
          <w:numId w:val="22"/>
        </w:numPr>
      </w:pPr>
      <w:r>
        <w:t>افتح حساب المستثمر</w:t>
      </w:r>
    </w:p>
    <w:p w14:paraId="18310784" w14:textId="77777777" w:rsidR="003B48B3" w:rsidRDefault="00000000">
      <w:pPr>
        <w:pStyle w:val="Compact"/>
        <w:numPr>
          <w:ilvl w:val="0"/>
          <w:numId w:val="22"/>
        </w:numPr>
      </w:pPr>
      <w:r>
        <w:t>اكتشف الفرص المتاحة الآن</w:t>
      </w:r>
    </w:p>
    <w:p w14:paraId="2BFA0768" w14:textId="77777777" w:rsidR="003B48B3" w:rsidRDefault="00000000">
      <w:pPr>
        <w:pStyle w:val="Compact"/>
        <w:numPr>
          <w:ilvl w:val="0"/>
          <w:numId w:val="22"/>
        </w:numPr>
      </w:pPr>
      <w:r>
        <w:t>أرسل مشروعك للترميز/للتمويل</w:t>
      </w:r>
    </w:p>
    <w:p w14:paraId="31FAD9F4" w14:textId="77777777" w:rsidR="003B48B3" w:rsidRDefault="00000000">
      <w:r>
        <w:pict w14:anchorId="274B0206">
          <v:rect id="_x0000_i1039" style="width:0;height:1.5pt" o:hralign="center" o:hrstd="t" o:hr="t"/>
        </w:pict>
      </w:r>
    </w:p>
    <w:p w14:paraId="7F882FD1" w14:textId="77777777" w:rsidR="003B48B3" w:rsidRDefault="00000000">
      <w:pPr>
        <w:pStyle w:val="Heading2"/>
      </w:pPr>
      <w:bookmarkStart w:id="32" w:name="Xba94e3e6f7e8fe6c8fb3ce84cee928e34c24fbb"/>
      <w:bookmarkEnd w:id="31"/>
      <w:r>
        <w:t>ملاحظات تنفيذية للموقع (للشركة/الفريق التقني)</w:t>
      </w:r>
    </w:p>
    <w:p w14:paraId="269F5E63" w14:textId="21DD7F2F" w:rsidR="003B48B3" w:rsidRDefault="00F327A3">
      <w:pPr>
        <w:pStyle w:val="Compact"/>
        <w:numPr>
          <w:ilvl w:val="0"/>
          <w:numId w:val="23"/>
        </w:numPr>
      </w:pPr>
      <w:r>
        <w:rPr>
          <w:rFonts w:hint="cs"/>
          <w:b/>
          <w:bCs/>
          <w:rtl/>
        </w:rPr>
        <w:t>6 لغات</w:t>
      </w:r>
      <w:r>
        <w:rPr>
          <w:b/>
          <w:bCs/>
        </w:rPr>
        <w:t>)</w:t>
      </w:r>
      <w:r>
        <w:t xml:space="preserve"> </w:t>
      </w:r>
      <w:proofErr w:type="spellStart"/>
      <w:r>
        <w:t>مع</w:t>
      </w:r>
      <w:proofErr w:type="spellEnd"/>
      <w:r>
        <w:t xml:space="preserve"> </w:t>
      </w:r>
      <w:proofErr w:type="spellStart"/>
      <w:r>
        <w:t>تبديل</w:t>
      </w:r>
      <w:proofErr w:type="spellEnd"/>
      <w:r>
        <w:t xml:space="preserve"> </w:t>
      </w:r>
      <w:proofErr w:type="spellStart"/>
      <w:r>
        <w:t>سريع</w:t>
      </w:r>
      <w:proofErr w:type="spellEnd"/>
      <w:r>
        <w:t xml:space="preserve"> </w:t>
      </w:r>
      <w:proofErr w:type="spellStart"/>
      <w:r>
        <w:t>واتساق</w:t>
      </w:r>
      <w:proofErr w:type="spellEnd"/>
      <w:r>
        <w:t xml:space="preserve"> مصطلحي.</w:t>
      </w:r>
    </w:p>
    <w:p w14:paraId="4AF4C060" w14:textId="77777777" w:rsidR="003B48B3" w:rsidRDefault="00000000">
      <w:pPr>
        <w:pStyle w:val="Compact"/>
        <w:numPr>
          <w:ilvl w:val="0"/>
          <w:numId w:val="23"/>
        </w:numPr>
      </w:pPr>
      <w:r>
        <w:rPr>
          <w:b/>
          <w:bCs/>
        </w:rPr>
        <w:t>لوحة مستندات</w:t>
      </w:r>
      <w:r>
        <w:t xml:space="preserve"> آمنة للمستثمرين مع صلاحيات وصول.</w:t>
      </w:r>
    </w:p>
    <w:p w14:paraId="2A84F67F" w14:textId="77777777" w:rsidR="003B48B3" w:rsidRDefault="00000000">
      <w:pPr>
        <w:pStyle w:val="Compact"/>
        <w:numPr>
          <w:ilvl w:val="0"/>
          <w:numId w:val="23"/>
        </w:numPr>
      </w:pPr>
      <w:r>
        <w:rPr>
          <w:b/>
          <w:bCs/>
        </w:rPr>
        <w:t>تكاملات</w:t>
      </w:r>
      <w:r>
        <w:t>: KYC/AML، التوقيع الإلكتروني، الحفظ/الأمناء، بوابات دفع.</w:t>
      </w:r>
    </w:p>
    <w:p w14:paraId="49F134E3" w14:textId="77777777" w:rsidR="003B48B3" w:rsidRDefault="00000000">
      <w:pPr>
        <w:pStyle w:val="Compact"/>
        <w:numPr>
          <w:ilvl w:val="0"/>
          <w:numId w:val="23"/>
        </w:numPr>
      </w:pPr>
      <w:r>
        <w:rPr>
          <w:b/>
          <w:bCs/>
        </w:rPr>
        <w:t>قياسات</w:t>
      </w:r>
      <w:r>
        <w:t>: صفحات أداء لكل أصل، تقارير تفاعلية، وتحديثات دورية.</w:t>
      </w:r>
    </w:p>
    <w:p w14:paraId="4586BEA2" w14:textId="77777777" w:rsidR="003B48B3" w:rsidRDefault="00000000">
      <w:pPr>
        <w:pStyle w:val="Compact"/>
        <w:numPr>
          <w:ilvl w:val="0"/>
          <w:numId w:val="23"/>
        </w:numPr>
      </w:pPr>
      <w:proofErr w:type="spellStart"/>
      <w:r>
        <w:rPr>
          <w:b/>
          <w:bCs/>
        </w:rPr>
        <w:t>إمكانية</w:t>
      </w:r>
      <w:proofErr w:type="spellEnd"/>
      <w:r>
        <w:rPr>
          <w:b/>
          <w:bCs/>
        </w:rPr>
        <w:t xml:space="preserve"> </w:t>
      </w:r>
      <w:proofErr w:type="spellStart"/>
      <w:r>
        <w:rPr>
          <w:b/>
          <w:bCs/>
        </w:rPr>
        <w:t>الوصول</w:t>
      </w:r>
      <w:proofErr w:type="spellEnd"/>
      <w:r>
        <w:t xml:space="preserve">: WCAG، </w:t>
      </w:r>
      <w:proofErr w:type="spellStart"/>
      <w:r>
        <w:t>أداء</w:t>
      </w:r>
      <w:proofErr w:type="spellEnd"/>
      <w:r>
        <w:t xml:space="preserve"> </w:t>
      </w:r>
      <w:proofErr w:type="spellStart"/>
      <w:r>
        <w:t>عالي</w:t>
      </w:r>
      <w:proofErr w:type="spellEnd"/>
      <w:r>
        <w:t xml:space="preserve">، </w:t>
      </w:r>
      <w:proofErr w:type="spellStart"/>
      <w:r>
        <w:t>وأمن</w:t>
      </w:r>
      <w:proofErr w:type="spellEnd"/>
      <w:r>
        <w:t xml:space="preserve"> </w:t>
      </w:r>
      <w:proofErr w:type="spellStart"/>
      <w:r>
        <w:t>معلوماتي</w:t>
      </w:r>
      <w:proofErr w:type="spellEnd"/>
      <w:r>
        <w:t>.</w:t>
      </w:r>
    </w:p>
    <w:p w14:paraId="3A046B03" w14:textId="77777777" w:rsidR="008F2532" w:rsidRDefault="008F2532" w:rsidP="008F2532">
      <w:pPr>
        <w:pStyle w:val="Compact"/>
        <w:rPr>
          <w:rtl/>
        </w:rPr>
      </w:pPr>
    </w:p>
    <w:p w14:paraId="55AA96DA" w14:textId="77777777" w:rsidR="008F2532" w:rsidRDefault="008F2532" w:rsidP="008F2532">
      <w:pPr>
        <w:pStyle w:val="Compact"/>
        <w:rPr>
          <w:rtl/>
        </w:rPr>
      </w:pPr>
    </w:p>
    <w:p w14:paraId="7F08824E" w14:textId="77777777" w:rsidR="008F2532" w:rsidRDefault="008F2532" w:rsidP="008F2532">
      <w:pPr>
        <w:pStyle w:val="Compact"/>
        <w:rPr>
          <w:rtl/>
        </w:rPr>
      </w:pPr>
    </w:p>
    <w:p w14:paraId="59B3FB7E" w14:textId="77777777" w:rsidR="008F2532" w:rsidRDefault="008F2532" w:rsidP="008F2532">
      <w:pPr>
        <w:pStyle w:val="Compact"/>
        <w:rPr>
          <w:rtl/>
        </w:rPr>
      </w:pPr>
    </w:p>
    <w:p w14:paraId="04AAA9C2" w14:textId="77777777" w:rsidR="008F2532" w:rsidRDefault="008F2532" w:rsidP="008F2532">
      <w:pPr>
        <w:pStyle w:val="Compact"/>
        <w:rPr>
          <w:rtl/>
        </w:rPr>
      </w:pPr>
    </w:p>
    <w:p w14:paraId="0935DE31" w14:textId="77777777" w:rsidR="008F2532" w:rsidRDefault="008F2532" w:rsidP="008F2532">
      <w:pPr>
        <w:pStyle w:val="Compact"/>
        <w:rPr>
          <w:rtl/>
        </w:rPr>
      </w:pPr>
    </w:p>
    <w:p w14:paraId="5D13E761" w14:textId="77777777" w:rsidR="008F2532" w:rsidRDefault="008F2532" w:rsidP="008F2532">
      <w:pPr>
        <w:pStyle w:val="Compact"/>
        <w:rPr>
          <w:rtl/>
        </w:rPr>
      </w:pPr>
    </w:p>
    <w:p w14:paraId="12CBB4BF" w14:textId="77777777" w:rsidR="008F2532" w:rsidRDefault="008F2532" w:rsidP="008F2532">
      <w:pPr>
        <w:pStyle w:val="Compact"/>
        <w:rPr>
          <w:rtl/>
        </w:rPr>
      </w:pPr>
    </w:p>
    <w:p w14:paraId="25BB0A61" w14:textId="77777777" w:rsidR="008F2532" w:rsidRDefault="008F2532" w:rsidP="008F2532">
      <w:pPr>
        <w:pStyle w:val="Compact"/>
        <w:rPr>
          <w:rtl/>
        </w:rPr>
      </w:pPr>
    </w:p>
    <w:p w14:paraId="1D95105B" w14:textId="77777777" w:rsidR="008F2532" w:rsidRDefault="008F2532" w:rsidP="008F2532">
      <w:pPr>
        <w:pStyle w:val="Compact"/>
        <w:rPr>
          <w:rtl/>
        </w:rPr>
      </w:pPr>
    </w:p>
    <w:p w14:paraId="5876686F" w14:textId="77777777" w:rsidR="008F2532" w:rsidRDefault="008F2532" w:rsidP="008F2532">
      <w:pPr>
        <w:pStyle w:val="Compact"/>
        <w:rPr>
          <w:rtl/>
        </w:rPr>
      </w:pPr>
    </w:p>
    <w:p w14:paraId="4B27868B" w14:textId="77777777" w:rsidR="008F2532" w:rsidRDefault="008F2532" w:rsidP="008F2532">
      <w:pPr>
        <w:pStyle w:val="Compact"/>
        <w:rPr>
          <w:rtl/>
        </w:rPr>
      </w:pPr>
    </w:p>
    <w:p w14:paraId="48D878D9" w14:textId="77777777" w:rsidR="008F2532" w:rsidRDefault="008F2532" w:rsidP="008F2532">
      <w:pPr>
        <w:pStyle w:val="Compact"/>
        <w:rPr>
          <w:rtl/>
        </w:rPr>
      </w:pPr>
    </w:p>
    <w:bookmarkEnd w:id="0"/>
    <w:bookmarkEnd w:id="32"/>
    <w:p w14:paraId="4877FFC2" w14:textId="77777777" w:rsidR="00AE3384" w:rsidRDefault="00AE3384" w:rsidP="00AE3384">
      <w:pPr>
        <w:pStyle w:val="BlockText"/>
      </w:pPr>
      <w:r>
        <w:t>.</w:t>
      </w:r>
    </w:p>
    <w:p w14:paraId="3E9B9636" w14:textId="77777777" w:rsidR="00AE3384" w:rsidRDefault="00AE3384" w:rsidP="00AE3384">
      <w:pPr>
        <w:pStyle w:val="Heading2"/>
      </w:pPr>
      <w:r>
        <w:rPr>
          <w:rtl/>
        </w:rPr>
        <w:t>(أ) الشروط والأحكام العامة</w:t>
      </w:r>
    </w:p>
    <w:p w14:paraId="71DE5C32" w14:textId="77777777" w:rsidR="00AE3384" w:rsidRDefault="00AE3384" w:rsidP="00AE3384">
      <w:pPr>
        <w:pStyle w:val="Compact"/>
        <w:numPr>
          <w:ilvl w:val="0"/>
          <w:numId w:val="34"/>
        </w:numPr>
      </w:pPr>
      <w:r>
        <w:rPr>
          <w:rtl/>
        </w:rPr>
        <w:t>تعريفات وعمومية، أهلية المستخدم، إنشاء الحساب والتحقّق</w:t>
      </w:r>
      <w:r>
        <w:t xml:space="preserve"> (KYC/AML/</w:t>
      </w:r>
      <w:r>
        <w:rPr>
          <w:rtl/>
        </w:rPr>
        <w:t>العقوبات</w:t>
      </w:r>
      <w:r>
        <w:t>/PEPs).</w:t>
      </w:r>
      <w:r>
        <w:br/>
      </w:r>
    </w:p>
    <w:p w14:paraId="7A83EE69" w14:textId="77777777" w:rsidR="00AE3384" w:rsidRDefault="00AE3384" w:rsidP="00AE3384">
      <w:pPr>
        <w:pStyle w:val="Compact"/>
        <w:numPr>
          <w:ilvl w:val="0"/>
          <w:numId w:val="34"/>
        </w:numPr>
      </w:pPr>
      <w:r>
        <w:rPr>
          <w:rtl/>
        </w:rPr>
        <w:t xml:space="preserve">وصف الخدمات: إدارة أصول افتراضية، صناديق/سلال، الترميز والملكية الجزئية؛ </w:t>
      </w:r>
      <w:r>
        <w:rPr>
          <w:b/>
          <w:bCs/>
          <w:rtl/>
        </w:rPr>
        <w:t>عدم تقديم نصيحة</w:t>
      </w:r>
      <w:r>
        <w:rPr>
          <w:rtl/>
        </w:rPr>
        <w:t xml:space="preserve"> إلا بتصريح</w:t>
      </w:r>
      <w:r>
        <w:t>.</w:t>
      </w:r>
      <w:r>
        <w:br/>
      </w:r>
    </w:p>
    <w:p w14:paraId="325E22EA" w14:textId="77777777" w:rsidR="00AE3384" w:rsidRDefault="00AE3384" w:rsidP="00AE3384">
      <w:pPr>
        <w:pStyle w:val="Compact"/>
        <w:numPr>
          <w:ilvl w:val="0"/>
          <w:numId w:val="34"/>
        </w:numPr>
      </w:pPr>
      <w:r>
        <w:rPr>
          <w:rtl/>
        </w:rPr>
        <w:t>الرسوم والضرائب؛ قيود التحويل/التداول؛ السوق الثانوي إن وُجد</w:t>
      </w:r>
      <w:r>
        <w:t>.</w:t>
      </w:r>
      <w:r>
        <w:br/>
      </w:r>
    </w:p>
    <w:p w14:paraId="606E2CB8" w14:textId="77777777" w:rsidR="00AE3384" w:rsidRDefault="00AE3384" w:rsidP="00AE3384">
      <w:pPr>
        <w:pStyle w:val="Compact"/>
        <w:numPr>
          <w:ilvl w:val="0"/>
          <w:numId w:val="34"/>
        </w:numPr>
      </w:pPr>
      <w:r>
        <w:rPr>
          <w:rtl/>
        </w:rPr>
        <w:t>إيقاف/إنهاء؛ حدود المسؤولية؛ القانون الحاكم وتسوية المنازعات؛ اللغة والإشعارات</w:t>
      </w:r>
      <w:r>
        <w:t>.</w:t>
      </w:r>
      <w:r>
        <w:br/>
      </w:r>
      <w:r>
        <w:rPr>
          <w:b/>
          <w:bCs/>
          <w:rtl/>
        </w:rPr>
        <w:t>تاريخ النفاذ</w:t>
      </w:r>
      <w:r>
        <w:rPr>
          <w:b/>
          <w:bCs/>
        </w:rPr>
        <w:t>:</w:t>
      </w:r>
      <w:r>
        <w:t xml:space="preserve"> [</w:t>
      </w:r>
      <w:r>
        <w:rPr>
          <w:rtl/>
        </w:rPr>
        <w:t>يُحدَّد</w:t>
      </w:r>
      <w:r>
        <w:t>].</w:t>
      </w:r>
    </w:p>
    <w:p w14:paraId="7DB67425" w14:textId="77777777" w:rsidR="00AE3384" w:rsidRDefault="00AE3384" w:rsidP="00AE3384">
      <w:pPr>
        <w:pStyle w:val="Heading2"/>
      </w:pPr>
      <w:bookmarkStart w:id="33" w:name="أ-الشروط-والأحكام-العامة"/>
      <w:bookmarkEnd w:id="33"/>
      <w:r>
        <w:rPr>
          <w:rtl/>
        </w:rPr>
        <w:t>(ب) سياسة الخصوصية وحماية البيانات</w:t>
      </w:r>
    </w:p>
    <w:p w14:paraId="5B929F75" w14:textId="77777777" w:rsidR="00AE3384" w:rsidRDefault="00AE3384" w:rsidP="00AE3384">
      <w:pPr>
        <w:pStyle w:val="Compact"/>
        <w:numPr>
          <w:ilvl w:val="0"/>
          <w:numId w:val="34"/>
        </w:numPr>
      </w:pPr>
      <w:r>
        <w:rPr>
          <w:rtl/>
        </w:rPr>
        <w:t>مراقب البيانات ومسؤول حماية البيانات</w:t>
      </w:r>
      <w:r>
        <w:t xml:space="preserve"> (DPO).</w:t>
      </w:r>
      <w:r>
        <w:br/>
      </w:r>
    </w:p>
    <w:p w14:paraId="22FC3AA0" w14:textId="77777777" w:rsidR="00AE3384" w:rsidRDefault="00AE3384" w:rsidP="00AE3384">
      <w:pPr>
        <w:pStyle w:val="Compact"/>
        <w:numPr>
          <w:ilvl w:val="0"/>
          <w:numId w:val="34"/>
        </w:numPr>
      </w:pPr>
      <w:r>
        <w:rPr>
          <w:rtl/>
        </w:rPr>
        <w:t>أنواع البيانات (هوية/اتصال/مالية/امتثال/تقنية) ومصادرها</w:t>
      </w:r>
      <w:r>
        <w:t>.</w:t>
      </w:r>
      <w:r>
        <w:br/>
      </w:r>
    </w:p>
    <w:p w14:paraId="4161CDEA" w14:textId="77777777" w:rsidR="00AE3384" w:rsidRDefault="00AE3384" w:rsidP="00AE3384">
      <w:pPr>
        <w:pStyle w:val="Compact"/>
        <w:numPr>
          <w:ilvl w:val="0"/>
          <w:numId w:val="34"/>
        </w:numPr>
      </w:pPr>
      <w:r>
        <w:rPr>
          <w:rtl/>
        </w:rPr>
        <w:t>الأسس القانونية (عقد/قانون/مصلحة مشروعة/موافقة</w:t>
      </w:r>
      <w:r>
        <w:t>).</w:t>
      </w:r>
      <w:r>
        <w:br/>
      </w:r>
    </w:p>
    <w:p w14:paraId="60254FEA" w14:textId="77777777" w:rsidR="00AE3384" w:rsidRDefault="00AE3384" w:rsidP="00AE3384">
      <w:pPr>
        <w:pStyle w:val="Compact"/>
        <w:numPr>
          <w:ilvl w:val="0"/>
          <w:numId w:val="34"/>
        </w:numPr>
      </w:pPr>
      <w:r>
        <w:rPr>
          <w:rtl/>
        </w:rPr>
        <w:t xml:space="preserve">المشاركة مع أطراف ثالثة </w:t>
      </w:r>
      <w:r>
        <w:t>(KYC</w:t>
      </w:r>
      <w:r>
        <w:rPr>
          <w:rtl/>
        </w:rPr>
        <w:t>، حفظ، تأمين، تدقيق، جهات رقابية</w:t>
      </w:r>
      <w:r>
        <w:t>).</w:t>
      </w:r>
      <w:r>
        <w:br/>
      </w:r>
    </w:p>
    <w:p w14:paraId="1277AFE8" w14:textId="77777777" w:rsidR="00AE3384" w:rsidRDefault="00AE3384" w:rsidP="00AE3384">
      <w:pPr>
        <w:pStyle w:val="Compact"/>
        <w:numPr>
          <w:ilvl w:val="0"/>
          <w:numId w:val="34"/>
        </w:numPr>
      </w:pPr>
      <w:r>
        <w:rPr>
          <w:rtl/>
        </w:rPr>
        <w:t>النقل الدولي وضماناته؛ الأمن والاحتفاظ؛ حقوق أصحاب البيانات؛ آلية الطلبات</w:t>
      </w:r>
      <w:r>
        <w:t>.</w:t>
      </w:r>
      <w:r>
        <w:br/>
      </w:r>
      <w:r>
        <w:rPr>
          <w:b/>
          <w:bCs/>
          <w:rtl/>
        </w:rPr>
        <w:t>آخر تحديث</w:t>
      </w:r>
      <w:r>
        <w:rPr>
          <w:b/>
          <w:bCs/>
        </w:rPr>
        <w:t>:</w:t>
      </w:r>
      <w:r>
        <w:t xml:space="preserve"> [</w:t>
      </w:r>
      <w:r>
        <w:rPr>
          <w:rtl/>
        </w:rPr>
        <w:t>يُحدَّد</w:t>
      </w:r>
      <w:r>
        <w:t>].</w:t>
      </w:r>
    </w:p>
    <w:p w14:paraId="14A42057" w14:textId="77777777" w:rsidR="00AE3384" w:rsidRDefault="00AE3384" w:rsidP="00AE3384">
      <w:pPr>
        <w:pStyle w:val="Heading2"/>
      </w:pPr>
      <w:bookmarkStart w:id="34" w:name="ب-سياسة-الخصوصية-وحماية-البيانات"/>
      <w:bookmarkStart w:id="35" w:name="X534c8f8e5353fb4e7de22f77453c6adbc8b5ac9"/>
      <w:bookmarkEnd w:id="34"/>
      <w:r>
        <w:rPr>
          <w:rtl/>
        </w:rPr>
        <w:t>(ج) سياسة مكافحة غسل الأموال وتمويل الإرهاب</w:t>
      </w:r>
      <w:r>
        <w:t xml:space="preserve"> (AML/CFT)</w:t>
      </w:r>
    </w:p>
    <w:p w14:paraId="777960E6" w14:textId="77777777" w:rsidR="00AE3384" w:rsidRDefault="00AE3384" w:rsidP="00AE3384">
      <w:pPr>
        <w:pStyle w:val="Compact"/>
        <w:numPr>
          <w:ilvl w:val="0"/>
          <w:numId w:val="34"/>
        </w:numPr>
      </w:pPr>
      <w:r>
        <w:rPr>
          <w:rtl/>
        </w:rPr>
        <w:t>نهج قائم على المخاطر؛</w:t>
      </w:r>
      <w:r>
        <w:t xml:space="preserve"> MLRO</w:t>
      </w:r>
      <w:r>
        <w:rPr>
          <w:rtl/>
        </w:rPr>
        <w:t xml:space="preserve">؛ لجنة امتثال؛ تقييم </w:t>
      </w:r>
      <w:proofErr w:type="gramStart"/>
      <w:r>
        <w:rPr>
          <w:rtl/>
        </w:rPr>
        <w:t>مخاطر</w:t>
      </w:r>
      <w:proofErr w:type="gramEnd"/>
      <w:r>
        <w:rPr>
          <w:rtl/>
        </w:rPr>
        <w:t xml:space="preserve"> العملاء/المنتجات/القنوات/الدول</w:t>
      </w:r>
      <w:r>
        <w:t>.</w:t>
      </w:r>
      <w:r>
        <w:br/>
      </w:r>
    </w:p>
    <w:p w14:paraId="068759B5" w14:textId="77777777" w:rsidR="00AE3384" w:rsidRDefault="00AE3384" w:rsidP="00AE3384">
      <w:pPr>
        <w:pStyle w:val="Compact"/>
        <w:numPr>
          <w:ilvl w:val="0"/>
          <w:numId w:val="34"/>
        </w:numPr>
      </w:pPr>
      <w:r>
        <w:t>CDD/EDD</w:t>
      </w:r>
      <w:r>
        <w:rPr>
          <w:rtl/>
        </w:rPr>
        <w:t>؛ التحقق من المستفيدين الحقيقيين؛ فحص</w:t>
      </w:r>
      <w:r>
        <w:t xml:space="preserve"> PEPs/</w:t>
      </w:r>
      <w:r>
        <w:rPr>
          <w:rtl/>
        </w:rPr>
        <w:t>العقوبات</w:t>
      </w:r>
      <w:r>
        <w:t>.</w:t>
      </w:r>
      <w:r>
        <w:br/>
      </w:r>
    </w:p>
    <w:p w14:paraId="11893BDD" w14:textId="77777777" w:rsidR="00AE3384" w:rsidRDefault="00AE3384" w:rsidP="00AE3384">
      <w:pPr>
        <w:pStyle w:val="Compact"/>
        <w:numPr>
          <w:ilvl w:val="0"/>
          <w:numId w:val="34"/>
        </w:numPr>
      </w:pPr>
      <w:r>
        <w:t xml:space="preserve">Travel Rule </w:t>
      </w:r>
      <w:r>
        <w:rPr>
          <w:rtl/>
        </w:rPr>
        <w:t>عند تحويل أصول افتراضية عبر</w:t>
      </w:r>
      <w:r>
        <w:t xml:space="preserve"> VASPs</w:t>
      </w:r>
      <w:r>
        <w:rPr>
          <w:rtl/>
        </w:rPr>
        <w:t>؛ تقارير الاشتباه؛ الاحتفاظ بالسجلات ≥ 5 سنوات</w:t>
      </w:r>
      <w:r>
        <w:t>.</w:t>
      </w:r>
    </w:p>
    <w:bookmarkEnd w:id="35"/>
    <w:p w14:paraId="58CA4F39" w14:textId="77777777" w:rsidR="00AE3384" w:rsidRDefault="00AE3384" w:rsidP="00AE3384">
      <w:pPr>
        <w:pStyle w:val="Heading2"/>
      </w:pPr>
      <w:r>
        <w:rPr>
          <w:rtl/>
        </w:rPr>
        <w:t xml:space="preserve">(د) </w:t>
      </w:r>
      <w:proofErr w:type="spellStart"/>
      <w:r>
        <w:rPr>
          <w:rtl/>
        </w:rPr>
        <w:t>إفصاحات</w:t>
      </w:r>
      <w:proofErr w:type="spellEnd"/>
      <w:r>
        <w:rPr>
          <w:rtl/>
        </w:rPr>
        <w:t xml:space="preserve"> المخاطر</w:t>
      </w:r>
    </w:p>
    <w:p w14:paraId="644E118D" w14:textId="77777777" w:rsidR="00AE3384" w:rsidRDefault="00AE3384" w:rsidP="00AE3384">
      <w:pPr>
        <w:pStyle w:val="Compact"/>
        <w:numPr>
          <w:ilvl w:val="0"/>
          <w:numId w:val="34"/>
        </w:numPr>
      </w:pPr>
      <w:proofErr w:type="gramStart"/>
      <w:r>
        <w:rPr>
          <w:rtl/>
        </w:rPr>
        <w:t>مخاطر</w:t>
      </w:r>
      <w:proofErr w:type="gramEnd"/>
      <w:r>
        <w:rPr>
          <w:rtl/>
        </w:rPr>
        <w:t xml:space="preserve"> السوق والسيولة؛ الائتمان والطرف المقابل؛ التشغيل والحفظ؛ القانونية والتنظيمية؛ التقنية </w:t>
      </w:r>
      <w:proofErr w:type="spellStart"/>
      <w:r>
        <w:rPr>
          <w:rtl/>
        </w:rPr>
        <w:t>والبلوكتشين</w:t>
      </w:r>
      <w:proofErr w:type="spellEnd"/>
      <w:r>
        <w:rPr>
          <w:rtl/>
        </w:rPr>
        <w:t>؛ التقييم؛ العملة؛ الأمن السيبراني</w:t>
      </w:r>
      <w:r>
        <w:t>.</w:t>
      </w:r>
      <w:r>
        <w:br/>
      </w:r>
    </w:p>
    <w:p w14:paraId="220431E1" w14:textId="77777777" w:rsidR="00AE3384" w:rsidRDefault="00AE3384" w:rsidP="00AE3384">
      <w:pPr>
        <w:pStyle w:val="Compact"/>
        <w:numPr>
          <w:ilvl w:val="0"/>
          <w:numId w:val="34"/>
        </w:numPr>
      </w:pPr>
      <w:r>
        <w:rPr>
          <w:rtl/>
        </w:rPr>
        <w:t xml:space="preserve">حدود الضمان؛ إقرار المستثمر بقراءة </w:t>
      </w:r>
      <w:proofErr w:type="spellStart"/>
      <w:r>
        <w:rPr>
          <w:rtl/>
        </w:rPr>
        <w:t>الإفصاحات</w:t>
      </w:r>
      <w:proofErr w:type="spellEnd"/>
      <w:r>
        <w:t>.</w:t>
      </w:r>
    </w:p>
    <w:p w14:paraId="15FA4E8C" w14:textId="77777777" w:rsidR="00AE3384" w:rsidRDefault="00AE3384" w:rsidP="00AE3384">
      <w:pPr>
        <w:pStyle w:val="Heading2"/>
      </w:pPr>
      <w:bookmarkStart w:id="36" w:name="د-إفصاحات-المخاطر"/>
      <w:bookmarkStart w:id="37" w:name="Xf9f785866faa6b6dd089ec0bc9afec1b6123fcf"/>
      <w:bookmarkEnd w:id="36"/>
      <w:r>
        <w:rPr>
          <w:rtl/>
        </w:rPr>
        <w:t>(هـ) وثائق الطرح/نشرات المعلومات/اتفاقيات الاكتتاب</w:t>
      </w:r>
    </w:p>
    <w:p w14:paraId="3EA4011D" w14:textId="77777777" w:rsidR="00AE3384" w:rsidRDefault="00AE3384" w:rsidP="00AE3384">
      <w:pPr>
        <w:pStyle w:val="FirstParagraph"/>
      </w:pPr>
      <w:r>
        <w:rPr>
          <w:b/>
          <w:bCs/>
          <w:rtl/>
        </w:rPr>
        <w:t>نشرة معلومات</w:t>
      </w:r>
      <w:r>
        <w:rPr>
          <w:b/>
          <w:bCs/>
        </w:rPr>
        <w:t xml:space="preserve"> (Offering Memorandum):</w:t>
      </w:r>
      <w:r>
        <w:t xml:space="preserve"> </w:t>
      </w:r>
      <w:r>
        <w:rPr>
          <w:rtl/>
        </w:rPr>
        <w:t>ملخص الصفقة؛ شروط العرض؛ استخدامات العائدات؛ الرسوم؛ الحوكمة؛ المخاطر؛ التخارج؛ الجوانب القانونية/الضريبية؛ بيانات مالية؛ ملاحق</w:t>
      </w:r>
      <w:r>
        <w:t>.</w:t>
      </w:r>
      <w:r>
        <w:br/>
      </w:r>
      <w:r>
        <w:rPr>
          <w:b/>
          <w:bCs/>
          <w:rtl/>
        </w:rPr>
        <w:t>اتفاقية الاكتتاب</w:t>
      </w:r>
      <w:r>
        <w:rPr>
          <w:b/>
          <w:bCs/>
        </w:rPr>
        <w:t xml:space="preserve"> (Subscription Agreement):</w:t>
      </w:r>
      <w:r>
        <w:t xml:space="preserve"> </w:t>
      </w:r>
      <w:r>
        <w:rPr>
          <w:rtl/>
        </w:rPr>
        <w:t>تصريحات وضمانات المستثمر؛ الأهلية؛ الدفع والتسوية؛ القيود على التحويل؛ الخصوصية؛ القانون الحاكم/التحكيم</w:t>
      </w:r>
      <w:r>
        <w:t>.</w:t>
      </w:r>
      <w:r>
        <w:br/>
      </w:r>
      <w:r>
        <w:rPr>
          <w:b/>
          <w:bCs/>
          <w:rtl/>
        </w:rPr>
        <w:t>نموذج أمر الاشتراك</w:t>
      </w:r>
      <w:r>
        <w:rPr>
          <w:b/>
          <w:bCs/>
        </w:rPr>
        <w:t>:</w:t>
      </w:r>
      <w:r>
        <w:t xml:space="preserve"> </w:t>
      </w:r>
      <w:r>
        <w:rPr>
          <w:rtl/>
        </w:rPr>
        <w:t xml:space="preserve">تفاصيل العرض؛ الوحدات؛ السعر؛ الرسوم؛ إقرارات </w:t>
      </w:r>
      <w:r>
        <w:t>AML/KYC.</w:t>
      </w:r>
    </w:p>
    <w:bookmarkEnd w:id="37"/>
    <w:p w14:paraId="34CB8E7A" w14:textId="77777777" w:rsidR="00AE3384" w:rsidRDefault="00AE3384" w:rsidP="00AE3384">
      <w:pPr>
        <w:pStyle w:val="Heading2"/>
      </w:pPr>
      <w:r>
        <w:rPr>
          <w:rtl/>
        </w:rPr>
        <w:t>(و) سياسة الشكاوى وحل النزاعات</w:t>
      </w:r>
    </w:p>
    <w:p w14:paraId="0025A91A" w14:textId="77777777" w:rsidR="00AE3384" w:rsidRDefault="00AE3384" w:rsidP="00AE3384">
      <w:pPr>
        <w:pStyle w:val="Compact"/>
        <w:numPr>
          <w:ilvl w:val="0"/>
          <w:numId w:val="34"/>
        </w:numPr>
      </w:pPr>
      <w:r>
        <w:rPr>
          <w:rtl/>
        </w:rPr>
        <w:t>قنوات الشكاوى: نموذج داخل الحساب؛ بريد مخصص؛ عنوان بريدي</w:t>
      </w:r>
      <w:r>
        <w:t>.</w:t>
      </w:r>
      <w:r>
        <w:br/>
      </w:r>
    </w:p>
    <w:p w14:paraId="3FD50890" w14:textId="77777777" w:rsidR="00AE3384" w:rsidRDefault="00AE3384" w:rsidP="00AE3384">
      <w:pPr>
        <w:pStyle w:val="Compact"/>
        <w:numPr>
          <w:ilvl w:val="0"/>
          <w:numId w:val="34"/>
        </w:numPr>
      </w:pPr>
      <w:r>
        <w:rPr>
          <w:rtl/>
        </w:rPr>
        <w:t>جداول زمنية: تأكيد خلال 2 يوم عمل؛ رد أولي خلال 15 يومًا؛ قرار خلال 30 يومًا (قابل للتمديد بإخطار)</w:t>
      </w:r>
      <w:r>
        <w:t>.</w:t>
      </w:r>
      <w:r>
        <w:br/>
      </w:r>
    </w:p>
    <w:p w14:paraId="6AB6460B" w14:textId="77777777" w:rsidR="00AE3384" w:rsidRDefault="00AE3384" w:rsidP="00AE3384">
      <w:pPr>
        <w:pStyle w:val="Compact"/>
        <w:numPr>
          <w:ilvl w:val="0"/>
          <w:numId w:val="34"/>
        </w:numPr>
      </w:pPr>
      <w:r>
        <w:rPr>
          <w:rtl/>
        </w:rPr>
        <w:t>التصعيد الداخلي؛ التصعيد للجهات الرقابية المختصة حسب الدولة؛ التحكيم/التقاضي؛ الاحتفاظ بالسجلات ≥ 5 سنوات</w:t>
      </w:r>
      <w:r>
        <w:t>.</w:t>
      </w:r>
    </w:p>
    <w:p w14:paraId="6DA9F207" w14:textId="77777777" w:rsidR="00AE3384" w:rsidRDefault="00AE3384" w:rsidP="00AE3384">
      <w:pPr>
        <w:pStyle w:val="Heading2"/>
      </w:pPr>
      <w:bookmarkStart w:id="38" w:name="و-سياسة-الشكاوى-وحل-النزاعات"/>
      <w:bookmarkEnd w:id="38"/>
      <w:r>
        <w:rPr>
          <w:rtl/>
        </w:rPr>
        <w:t>(ز) سياسة تضارب المصالح</w:t>
      </w:r>
    </w:p>
    <w:p w14:paraId="2BB6F52C" w14:textId="77777777" w:rsidR="00AE3384" w:rsidRDefault="00AE3384" w:rsidP="00AE3384">
      <w:pPr>
        <w:pStyle w:val="Compact"/>
        <w:numPr>
          <w:ilvl w:val="0"/>
          <w:numId w:val="34"/>
        </w:numPr>
      </w:pPr>
      <w:r>
        <w:rPr>
          <w:rtl/>
        </w:rPr>
        <w:t>نطاق يشمل الإدارة والموظفين والمورّدين</w:t>
      </w:r>
      <w:r>
        <w:t>.</w:t>
      </w:r>
      <w:r>
        <w:br/>
      </w:r>
    </w:p>
    <w:p w14:paraId="24E871ED" w14:textId="77777777" w:rsidR="00AE3384" w:rsidRDefault="00AE3384" w:rsidP="00AE3384">
      <w:pPr>
        <w:pStyle w:val="Compact"/>
        <w:numPr>
          <w:ilvl w:val="0"/>
          <w:numId w:val="34"/>
        </w:numPr>
      </w:pPr>
      <w:r>
        <w:rPr>
          <w:rtl/>
        </w:rPr>
        <w:t>إفصاح سنوي وتحديثات؛ سجل مركزي؛ إدارة/تخفيف (امتناع، لجنة مستقلة، جدران معلومات، قوائم مراقبة)</w:t>
      </w:r>
      <w:r>
        <w:t>.</w:t>
      </w:r>
      <w:r>
        <w:br/>
      </w:r>
    </w:p>
    <w:p w14:paraId="04675BE1" w14:textId="77777777" w:rsidR="00AE3384" w:rsidRDefault="00AE3384" w:rsidP="00AE3384">
      <w:pPr>
        <w:pStyle w:val="Compact"/>
        <w:numPr>
          <w:ilvl w:val="0"/>
          <w:numId w:val="34"/>
        </w:numPr>
      </w:pPr>
      <w:r>
        <w:rPr>
          <w:rtl/>
        </w:rPr>
        <w:t>الهدايا/الضيافة بحدود مالية؛ التداول الشخصي بإذن مسبق وفترات حظر</w:t>
      </w:r>
      <w:r>
        <w:t>.</w:t>
      </w:r>
    </w:p>
    <w:p w14:paraId="0C3C84DB" w14:textId="77777777" w:rsidR="00AE3384" w:rsidRDefault="00AE3384" w:rsidP="00AE3384">
      <w:pPr>
        <w:pStyle w:val="Heading2"/>
      </w:pPr>
      <w:bookmarkStart w:id="39" w:name="ز-سياسة-تضارب-المصالح"/>
      <w:bookmarkEnd w:id="39"/>
      <w:r>
        <w:rPr>
          <w:rtl/>
        </w:rPr>
        <w:t xml:space="preserve">(ح) سياسة الاستمرارية وخطط الطوارئ </w:t>
      </w:r>
      <w:r>
        <w:t>(BCP/DRP)</w:t>
      </w:r>
    </w:p>
    <w:p w14:paraId="08C18F4B" w14:textId="77777777" w:rsidR="00AE3384" w:rsidRDefault="00AE3384" w:rsidP="00AE3384">
      <w:pPr>
        <w:pStyle w:val="Compact"/>
        <w:numPr>
          <w:ilvl w:val="0"/>
          <w:numId w:val="34"/>
        </w:numPr>
      </w:pPr>
      <w:r>
        <w:rPr>
          <w:rtl/>
        </w:rPr>
        <w:t>حوكمة</w:t>
      </w:r>
      <w:r>
        <w:t xml:space="preserve"> BCP</w:t>
      </w:r>
      <w:r>
        <w:rPr>
          <w:rtl/>
        </w:rPr>
        <w:t xml:space="preserve">؛ فريق إدارة أزمات؛ </w:t>
      </w:r>
      <w:r>
        <w:t xml:space="preserve">BIA </w:t>
      </w:r>
      <w:r>
        <w:rPr>
          <w:rtl/>
        </w:rPr>
        <w:t>مع أهداف</w:t>
      </w:r>
      <w:r>
        <w:t xml:space="preserve"> RTO/RPO (</w:t>
      </w:r>
      <w:r>
        <w:rPr>
          <w:rtl/>
        </w:rPr>
        <w:t>مثال</w:t>
      </w:r>
      <w:r>
        <w:t xml:space="preserve">: RTO 4 </w:t>
      </w:r>
      <w:r>
        <w:rPr>
          <w:rtl/>
        </w:rPr>
        <w:t xml:space="preserve">ساعات، </w:t>
      </w:r>
      <w:r>
        <w:t xml:space="preserve">RPO ≤ 15 </w:t>
      </w:r>
      <w:r>
        <w:rPr>
          <w:rtl/>
        </w:rPr>
        <w:t>دقيقة</w:t>
      </w:r>
      <w:r>
        <w:t>).</w:t>
      </w:r>
      <w:r>
        <w:br/>
      </w:r>
    </w:p>
    <w:p w14:paraId="04A2D989" w14:textId="77777777" w:rsidR="00AE3384" w:rsidRDefault="00AE3384" w:rsidP="00AE3384">
      <w:pPr>
        <w:pStyle w:val="Compact"/>
        <w:numPr>
          <w:ilvl w:val="0"/>
          <w:numId w:val="34"/>
        </w:numPr>
      </w:pPr>
      <w:r>
        <w:rPr>
          <w:rtl/>
        </w:rPr>
        <w:t>تعددية مناطق السحابة؛ نسخ احتياطية مشفّرة يومية؛ اختبارات استعادة فصلية؛ مركز حالة؛ مورّد بديل؛ تمارين محاكاة سنوية</w:t>
      </w:r>
      <w:r>
        <w:t>.</w:t>
      </w:r>
      <w:r>
        <w:br/>
      </w:r>
    </w:p>
    <w:p w14:paraId="76801377" w14:textId="77777777" w:rsidR="00AE3384" w:rsidRDefault="00AE3384" w:rsidP="00AE3384">
      <w:pPr>
        <w:pStyle w:val="Compact"/>
        <w:numPr>
          <w:ilvl w:val="0"/>
          <w:numId w:val="34"/>
        </w:numPr>
      </w:pPr>
      <w:r>
        <w:rPr>
          <w:rtl/>
        </w:rPr>
        <w:t>تفعيل/عودة؛ مراجعة ما بعد الحادث</w:t>
      </w:r>
      <w:r>
        <w:t>.</w:t>
      </w:r>
    </w:p>
    <w:p w14:paraId="2A77AD00" w14:textId="77777777" w:rsidR="00AE3384" w:rsidRDefault="00AE3384" w:rsidP="00AE3384">
      <w:pPr>
        <w:pStyle w:val="Heading2"/>
      </w:pPr>
      <w:bookmarkStart w:id="40" w:name="ح-سياسة-الاستمرارية-وخطط-الطوارئ-bcpdrp"/>
      <w:bookmarkEnd w:id="40"/>
      <w:r>
        <w:rPr>
          <w:rtl/>
        </w:rPr>
        <w:t>(ط) سياسة الأمن السيبراني وإدارة الثغرات</w:t>
      </w:r>
    </w:p>
    <w:p w14:paraId="4C349AB6" w14:textId="77777777" w:rsidR="00AE3384" w:rsidRDefault="00AE3384" w:rsidP="00AE3384">
      <w:pPr>
        <w:pStyle w:val="Compact"/>
        <w:numPr>
          <w:ilvl w:val="0"/>
          <w:numId w:val="34"/>
        </w:numPr>
      </w:pPr>
      <w:r>
        <w:rPr>
          <w:rtl/>
        </w:rPr>
        <w:t>إطار</w:t>
      </w:r>
      <w:r>
        <w:t xml:space="preserve"> ISO 27001/NIST</w:t>
      </w:r>
      <w:r>
        <w:rPr>
          <w:rtl/>
        </w:rPr>
        <w:t>؛</w:t>
      </w:r>
      <w:r>
        <w:t xml:space="preserve"> CISO</w:t>
      </w:r>
      <w:r>
        <w:rPr>
          <w:rtl/>
        </w:rPr>
        <w:t>؛ تصنيف الأصول؛ مبدأ أقل امتياز؛</w:t>
      </w:r>
      <w:r>
        <w:t xml:space="preserve"> MFA</w:t>
      </w:r>
      <w:r>
        <w:rPr>
          <w:rtl/>
        </w:rPr>
        <w:t>؛ تشفير</w:t>
      </w:r>
      <w:r>
        <w:t xml:space="preserve"> AES-256/TLS 1.2+</w:t>
      </w:r>
      <w:r>
        <w:rPr>
          <w:rtl/>
        </w:rPr>
        <w:t>؛</w:t>
      </w:r>
      <w:r>
        <w:t xml:space="preserve"> SIEM/EDR/DLP.</w:t>
      </w:r>
      <w:r>
        <w:br/>
      </w:r>
    </w:p>
    <w:p w14:paraId="19201D6C" w14:textId="77777777" w:rsidR="00AE3384" w:rsidRDefault="00AE3384" w:rsidP="00AE3384">
      <w:pPr>
        <w:pStyle w:val="Compact"/>
        <w:numPr>
          <w:ilvl w:val="0"/>
          <w:numId w:val="34"/>
        </w:numPr>
      </w:pPr>
      <w:r>
        <w:t>SSDLC</w:t>
      </w:r>
      <w:r>
        <w:rPr>
          <w:rtl/>
        </w:rPr>
        <w:t>؛</w:t>
      </w:r>
      <w:r>
        <w:t xml:space="preserve"> SCA</w:t>
      </w:r>
      <w:r>
        <w:rPr>
          <w:rtl/>
        </w:rPr>
        <w:t xml:space="preserve">؛ خزائن أسرار؛ فحص ثغرات دوري؛ اختبارات اختراق سنوية؛ جداول تصحيح (حرجة ≤ 48 ساعة/عالية ≤ 7 أيام/متوسطة </w:t>
      </w:r>
      <w:r>
        <w:t xml:space="preserve">≤ 30 </w:t>
      </w:r>
      <w:r>
        <w:rPr>
          <w:rtl/>
        </w:rPr>
        <w:t>يومًا/منخفضة ≤ 90 يومًا</w:t>
      </w:r>
      <w:r>
        <w:t>).</w:t>
      </w:r>
      <w:r>
        <w:br/>
      </w:r>
    </w:p>
    <w:p w14:paraId="001581E5" w14:textId="77777777" w:rsidR="00AE3384" w:rsidRDefault="00AE3384" w:rsidP="00AE3384">
      <w:pPr>
        <w:pStyle w:val="Compact"/>
        <w:numPr>
          <w:ilvl w:val="0"/>
          <w:numId w:val="34"/>
        </w:numPr>
      </w:pPr>
      <w:r>
        <w:rPr>
          <w:rtl/>
        </w:rPr>
        <w:t>أمن سحابي وأطراف ثالثة؛ استجابة للحوادث؛ تدريب ووعي؛ مراجعة نصف سنوية</w:t>
      </w:r>
      <w:r>
        <w:t>.</w:t>
      </w:r>
    </w:p>
    <w:p w14:paraId="5424D082" w14:textId="77777777" w:rsidR="00AE3384" w:rsidRDefault="00AE3384" w:rsidP="00AE3384">
      <w:pPr>
        <w:pStyle w:val="BlockText"/>
      </w:pPr>
      <w:r>
        <w:rPr>
          <w:rtl/>
        </w:rPr>
        <w:t>يمكن نشر كل سياسة كصفحة مستقلة ضمن “المستندات والسياسات” مع روابط تنزيل</w:t>
      </w:r>
      <w:r>
        <w:t xml:space="preserve"> PDF.</w:t>
      </w:r>
    </w:p>
    <w:p w14:paraId="235FEC69" w14:textId="77777777" w:rsidR="00AE3384" w:rsidRDefault="00AE3384" w:rsidP="00AE3384">
      <w:pPr>
        <w:spacing w:after="0"/>
        <w:jc w:val="center"/>
      </w:pPr>
      <w:r>
        <w:pict w14:anchorId="25C79470">
          <v:rect id="_x0000_i1057" style="width:468pt;height:1.2pt" o:hralign="center" o:hrstd="t" o:hr="t" fillcolor="#a0a0a0" stroked="f"/>
        </w:pict>
      </w:r>
    </w:p>
    <w:p w14:paraId="31FD4FD0" w14:textId="77777777" w:rsidR="00AE3384" w:rsidRDefault="00AE3384" w:rsidP="00AE3384">
      <w:pPr>
        <w:pStyle w:val="Heading2"/>
      </w:pPr>
      <w:bookmarkStart w:id="41" w:name="ط-سياسة-الأمن-السيبراني-وإدارة-الثغرات"/>
      <w:bookmarkEnd w:id="41"/>
      <w:r>
        <w:t xml:space="preserve">11) </w:t>
      </w:r>
      <w:r>
        <w:rPr>
          <w:rtl/>
        </w:rPr>
        <w:t>تواصل معنا</w:t>
      </w:r>
    </w:p>
    <w:p w14:paraId="5DEBA5F8" w14:textId="77777777" w:rsidR="00AE3384" w:rsidRDefault="00AE3384" w:rsidP="00AE3384">
      <w:pPr>
        <w:pStyle w:val="FirstParagraph"/>
      </w:pPr>
      <w:r>
        <w:rPr>
          <w:b/>
          <w:bCs/>
          <w:rtl/>
        </w:rPr>
        <w:t>استفسارات المستثمرين</w:t>
      </w:r>
      <w:r>
        <w:rPr>
          <w:b/>
          <w:bCs/>
        </w:rPr>
        <w:t>:</w:t>
      </w:r>
      <w:r>
        <w:t xml:space="preserve"> </w:t>
      </w:r>
      <w:r>
        <w:rPr>
          <w:rtl/>
        </w:rPr>
        <w:t>فريق علاقات المستثمرين</w:t>
      </w:r>
      <w:r>
        <w:t>.</w:t>
      </w:r>
      <w:r>
        <w:br/>
      </w:r>
      <w:r>
        <w:rPr>
          <w:b/>
          <w:bCs/>
          <w:rtl/>
        </w:rPr>
        <w:t>انضمام كمُصدِر</w:t>
      </w:r>
      <w:r>
        <w:rPr>
          <w:b/>
          <w:bCs/>
        </w:rPr>
        <w:t>:</w:t>
      </w:r>
      <w:r>
        <w:t xml:space="preserve"> </w:t>
      </w:r>
      <w:r>
        <w:rPr>
          <w:rtl/>
        </w:rPr>
        <w:t>تقديم طلب ترميز أصل/إطلاق صندوق</w:t>
      </w:r>
      <w:r>
        <w:t>.</w:t>
      </w:r>
      <w:r>
        <w:br/>
      </w:r>
      <w:r>
        <w:rPr>
          <w:b/>
          <w:bCs/>
          <w:rtl/>
        </w:rPr>
        <w:t>العناوين</w:t>
      </w:r>
      <w:r>
        <w:rPr>
          <w:b/>
          <w:bCs/>
        </w:rPr>
        <w:t>:</w:t>
      </w:r>
      <w:r>
        <w:t xml:space="preserve"> </w:t>
      </w:r>
      <w:r>
        <w:rPr>
          <w:rtl/>
        </w:rPr>
        <w:t>كما في قسم الفروع</w:t>
      </w:r>
      <w:r>
        <w:t>.</w:t>
      </w:r>
      <w:r>
        <w:br/>
      </w:r>
      <w:r>
        <w:rPr>
          <w:b/>
          <w:bCs/>
          <w:rtl/>
        </w:rPr>
        <w:t>بريد عام</w:t>
      </w:r>
      <w:r>
        <w:rPr>
          <w:b/>
          <w:bCs/>
        </w:rPr>
        <w:t>:</w:t>
      </w:r>
      <w:r>
        <w:t xml:space="preserve"> info@capimaxinvestments.com</w:t>
      </w:r>
      <w:r>
        <w:br/>
      </w:r>
      <w:r>
        <w:rPr>
          <w:b/>
          <w:bCs/>
          <w:rtl/>
        </w:rPr>
        <w:t>خصوصية</w:t>
      </w:r>
      <w:r>
        <w:rPr>
          <w:b/>
          <w:bCs/>
        </w:rPr>
        <w:t>:</w:t>
      </w:r>
      <w:r>
        <w:t xml:space="preserve"> privacy@capimaxinvestments.com</w:t>
      </w:r>
      <w:r>
        <w:br/>
      </w:r>
      <w:r>
        <w:rPr>
          <w:b/>
          <w:bCs/>
          <w:rtl/>
        </w:rPr>
        <w:t>شكاوى</w:t>
      </w:r>
      <w:r>
        <w:rPr>
          <w:b/>
          <w:bCs/>
        </w:rPr>
        <w:t>:</w:t>
      </w:r>
      <w:r>
        <w:t xml:space="preserve"> complaints@capimaxinvestments.com</w:t>
      </w:r>
    </w:p>
    <w:p w14:paraId="69688681" w14:textId="30BB8AC6" w:rsidR="008F2532" w:rsidRDefault="008F2532" w:rsidP="008F2532"/>
    <w:sectPr w:rsidR="008F253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F636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DC00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567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8AC07F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3D08D48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23"/>
    <w:multiLevelType w:val="multilevel"/>
    <w:tmpl w:val="60D8A6D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24"/>
    <w:multiLevelType w:val="multilevel"/>
    <w:tmpl w:val="1A20B81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25"/>
    <w:multiLevelType w:val="multilevel"/>
    <w:tmpl w:val="D854BE3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426"/>
    <w:multiLevelType w:val="multilevel"/>
    <w:tmpl w:val="CAE64EF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 w15:restartNumberingAfterBreak="0">
    <w:nsid w:val="00A99427"/>
    <w:multiLevelType w:val="multilevel"/>
    <w:tmpl w:val="E5C44AE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0" w15:restartNumberingAfterBreak="0">
    <w:nsid w:val="00A99428"/>
    <w:multiLevelType w:val="multilevel"/>
    <w:tmpl w:val="80943C72"/>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1" w15:restartNumberingAfterBreak="0">
    <w:nsid w:val="00A99429"/>
    <w:multiLevelType w:val="multilevel"/>
    <w:tmpl w:val="059EF78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2" w15:restartNumberingAfterBreak="0">
    <w:nsid w:val="0A994210"/>
    <w:multiLevelType w:val="multilevel"/>
    <w:tmpl w:val="3EA8FCEC"/>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16cid:durableId="1840077206">
    <w:abstractNumId w:val="0"/>
  </w:num>
  <w:num w:numId="2" w16cid:durableId="1470510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0479665">
    <w:abstractNumId w:val="1"/>
  </w:num>
  <w:num w:numId="4" w16cid:durableId="1286497758">
    <w:abstractNumId w:val="1"/>
  </w:num>
  <w:num w:numId="5" w16cid:durableId="1699622400">
    <w:abstractNumId w:val="1"/>
  </w:num>
  <w:num w:numId="6" w16cid:durableId="1150558597">
    <w:abstractNumId w:val="1"/>
  </w:num>
  <w:num w:numId="7" w16cid:durableId="1977180351">
    <w:abstractNumId w:val="1"/>
  </w:num>
  <w:num w:numId="8" w16cid:durableId="1529414673">
    <w:abstractNumId w:val="1"/>
  </w:num>
  <w:num w:numId="9" w16cid:durableId="515190948">
    <w:abstractNumId w:val="1"/>
  </w:num>
  <w:num w:numId="10" w16cid:durableId="1431120268">
    <w:abstractNumId w:val="1"/>
  </w:num>
  <w:num w:numId="11" w16cid:durableId="399407128">
    <w:abstractNumId w:val="1"/>
  </w:num>
  <w:num w:numId="12" w16cid:durableId="1067529779">
    <w:abstractNumId w:val="1"/>
  </w:num>
  <w:num w:numId="13" w16cid:durableId="1291935366">
    <w:abstractNumId w:val="1"/>
  </w:num>
  <w:num w:numId="14" w16cid:durableId="1478767959">
    <w:abstractNumId w:val="1"/>
  </w:num>
  <w:num w:numId="15" w16cid:durableId="175118707">
    <w:abstractNumId w:val="1"/>
  </w:num>
  <w:num w:numId="16" w16cid:durableId="1004363311">
    <w:abstractNumId w:val="1"/>
  </w:num>
  <w:num w:numId="17" w16cid:durableId="1812795317">
    <w:abstractNumId w:val="1"/>
  </w:num>
  <w:num w:numId="18" w16cid:durableId="1260526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96171207">
    <w:abstractNumId w:val="1"/>
  </w:num>
  <w:num w:numId="20" w16cid:durableId="882862565">
    <w:abstractNumId w:val="1"/>
  </w:num>
  <w:num w:numId="21" w16cid:durableId="478501186">
    <w:abstractNumId w:val="1"/>
  </w:num>
  <w:num w:numId="22" w16cid:durableId="417410802">
    <w:abstractNumId w:val="1"/>
  </w:num>
  <w:num w:numId="23" w16cid:durableId="204097412">
    <w:abstractNumId w:val="1"/>
  </w:num>
  <w:num w:numId="24" w16cid:durableId="1029450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019470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113274469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16cid:durableId="19126398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 w16cid:durableId="616643497">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9" w16cid:durableId="769618058">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16cid:durableId="1057781414">
    <w:abstractNumId w:val="9"/>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1" w16cid:durableId="557517016">
    <w:abstractNumId w:val="10"/>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 w16cid:durableId="1284112607">
    <w:abstractNumId w:val="1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3" w16cid:durableId="759258714">
    <w:abstractNumId w:val="12"/>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4" w16cid:durableId="92302770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B3"/>
    <w:rsid w:val="000C7D2C"/>
    <w:rsid w:val="00181709"/>
    <w:rsid w:val="00201600"/>
    <w:rsid w:val="002F0CDF"/>
    <w:rsid w:val="003B48B3"/>
    <w:rsid w:val="003C76DF"/>
    <w:rsid w:val="00455613"/>
    <w:rsid w:val="00691AD2"/>
    <w:rsid w:val="00776CD0"/>
    <w:rsid w:val="007D7BAA"/>
    <w:rsid w:val="0089322A"/>
    <w:rsid w:val="008F2532"/>
    <w:rsid w:val="00AE3384"/>
    <w:rsid w:val="00C0440E"/>
    <w:rsid w:val="00F327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F946"/>
  <w15:docId w15:val="{0466BA17-5E97-4841-A7CA-2AA40A6E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ibrahim gad</dc:creator>
  <cp:keywords/>
  <cp:lastModifiedBy>ibrahim gad</cp:lastModifiedBy>
  <cp:revision>6</cp:revision>
  <dcterms:created xsi:type="dcterms:W3CDTF">2025-08-20T16:51:00Z</dcterms:created>
  <dcterms:modified xsi:type="dcterms:W3CDTF">2025-08-20T17:57:00Z</dcterms:modified>
</cp:coreProperties>
</file>