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C42F" w14:textId="77777777" w:rsidR="00F40CCB" w:rsidRDefault="00000000">
      <w:pPr>
        <w:pStyle w:val="Heading1"/>
      </w:pPr>
      <w:bookmarkStart w:id="0" w:name="X28d0b25bae9b4bb2b2428366121cb942136efb3"/>
      <w:r>
        <w:t>كابي للاستثمار في المعادن والمعادن النفيسة</w:t>
      </w:r>
    </w:p>
    <w:p w14:paraId="2B760BCD" w14:textId="77777777" w:rsidR="00F40CCB" w:rsidRDefault="00000000">
      <w:pPr>
        <w:pStyle w:val="FirstParagraph"/>
      </w:pPr>
      <w:r>
        <w:t xml:space="preserve">شركة بريطانية متخصصة في </w:t>
      </w:r>
      <w:r>
        <w:rPr>
          <w:b/>
          <w:bCs/>
        </w:rPr>
        <w:t>الاستثمار في المعادن والمعادن النفيسة والبترول</w:t>
      </w:r>
      <w:r>
        <w:t xml:space="preserve"> وما يرتبط بها من سلاسل قيمة عالميًا. نقدّم حلولًا مؤسسية تمتد من الاستحواذ والتمويل والاتجار المادي والمشتقات، إلى التخزين المؤمن والحفظ، وصناديق السلع والمنتجات المُهيكلة، مع شراكات عالمية في التمويل والتأمين والتقييم والعقار والضيافة.</w:t>
      </w:r>
    </w:p>
    <w:p w14:paraId="6C667BBB" w14:textId="77777777" w:rsidR="00F40CCB" w:rsidRDefault="00000000">
      <w:r>
        <w:pict w14:anchorId="6CB20745">
          <v:rect id="_x0000_i1025" style="width:0;height:1.5pt" o:hralign="center" o:hrstd="t" o:hr="t"/>
        </w:pict>
      </w:r>
    </w:p>
    <w:p w14:paraId="32A5B4B0" w14:textId="77777777" w:rsidR="00F40CCB" w:rsidRDefault="00000000">
      <w:pPr>
        <w:pStyle w:val="Heading2"/>
      </w:pPr>
      <w:bookmarkStart w:id="1" w:name="خارطة-الموقع-site-map"/>
      <w:r>
        <w:t>خارطة الموقع (Site Map)</w:t>
      </w:r>
    </w:p>
    <w:p w14:paraId="1A11923D" w14:textId="77777777" w:rsidR="00F40CCB" w:rsidRDefault="00000000">
      <w:pPr>
        <w:pStyle w:val="Compact"/>
        <w:numPr>
          <w:ilvl w:val="0"/>
          <w:numId w:val="2"/>
        </w:numPr>
      </w:pPr>
      <w:r>
        <w:t>الصفحة الرئيسية</w:t>
      </w:r>
    </w:p>
    <w:p w14:paraId="2F2400E2" w14:textId="77777777" w:rsidR="00F40CCB" w:rsidRDefault="00000000">
      <w:pPr>
        <w:pStyle w:val="Compact"/>
        <w:numPr>
          <w:ilvl w:val="0"/>
          <w:numId w:val="2"/>
        </w:numPr>
      </w:pPr>
      <w:r>
        <w:t>من نحن (الهوية والحوكمة)</w:t>
      </w:r>
    </w:p>
    <w:p w14:paraId="1342A5F6" w14:textId="77777777" w:rsidR="00F40CCB" w:rsidRDefault="00000000">
      <w:pPr>
        <w:pStyle w:val="Compact"/>
        <w:numPr>
          <w:ilvl w:val="0"/>
          <w:numId w:val="2"/>
        </w:numPr>
      </w:pPr>
      <w:r>
        <w:t>مجالات العمل والخدمات</w:t>
      </w:r>
    </w:p>
    <w:p w14:paraId="7EE58942" w14:textId="77777777" w:rsidR="00F40CCB" w:rsidRDefault="00000000">
      <w:pPr>
        <w:pStyle w:val="Compact"/>
        <w:numPr>
          <w:ilvl w:val="0"/>
          <w:numId w:val="2"/>
        </w:numPr>
      </w:pPr>
      <w:r>
        <w:t>منتجات الاستثمار (صناديق/مُهيكلة/مادية)</w:t>
      </w:r>
    </w:p>
    <w:p w14:paraId="46CFA056" w14:textId="77777777" w:rsidR="00F40CCB" w:rsidRDefault="00000000">
      <w:pPr>
        <w:pStyle w:val="Compact"/>
        <w:numPr>
          <w:ilvl w:val="0"/>
          <w:numId w:val="2"/>
        </w:numPr>
      </w:pPr>
      <w:r>
        <w:t>المنصّات الرقمية والحفظ والتخزين</w:t>
      </w:r>
    </w:p>
    <w:p w14:paraId="2646EAB8" w14:textId="77777777" w:rsidR="00F40CCB" w:rsidRDefault="00000000">
      <w:pPr>
        <w:pStyle w:val="Compact"/>
        <w:numPr>
          <w:ilvl w:val="0"/>
          <w:numId w:val="2"/>
        </w:numPr>
      </w:pPr>
      <w:r>
        <w:t>سلسلة الإمداد والامتثال وESG</w:t>
      </w:r>
    </w:p>
    <w:p w14:paraId="09A768C4" w14:textId="77777777" w:rsidR="00F40CCB" w:rsidRDefault="00000000">
      <w:pPr>
        <w:pStyle w:val="Compact"/>
        <w:numPr>
          <w:ilvl w:val="0"/>
          <w:numId w:val="2"/>
        </w:numPr>
      </w:pPr>
      <w:r>
        <w:t>الشراكات والتحالفات</w:t>
      </w:r>
    </w:p>
    <w:p w14:paraId="766AEB76" w14:textId="77777777" w:rsidR="00F40CCB" w:rsidRDefault="00000000">
      <w:pPr>
        <w:pStyle w:val="Compact"/>
        <w:numPr>
          <w:ilvl w:val="0"/>
          <w:numId w:val="2"/>
        </w:numPr>
      </w:pPr>
      <w:r>
        <w:t>محفظتنا ومشاريعنا (دراسات حالة)</w:t>
      </w:r>
    </w:p>
    <w:p w14:paraId="7ED7F9E9" w14:textId="77777777" w:rsidR="00F40CCB" w:rsidRDefault="00000000">
      <w:pPr>
        <w:pStyle w:val="Compact"/>
        <w:numPr>
          <w:ilvl w:val="0"/>
          <w:numId w:val="2"/>
        </w:numPr>
      </w:pPr>
      <w:r>
        <w:t>رحلة العميل (أفراد مؤهلون/مؤسسات/شركات صناعية)</w:t>
      </w:r>
    </w:p>
    <w:p w14:paraId="3E9B5D26" w14:textId="77777777" w:rsidR="00F40CCB" w:rsidRDefault="00000000">
      <w:pPr>
        <w:pStyle w:val="Compact"/>
        <w:numPr>
          <w:ilvl w:val="0"/>
          <w:numId w:val="2"/>
        </w:numPr>
      </w:pPr>
      <w:r>
        <w:t>التغطية الجغرافية والفروع</w:t>
      </w:r>
    </w:p>
    <w:p w14:paraId="69515E3B" w14:textId="77777777" w:rsidR="00F40CCB" w:rsidRDefault="00000000">
      <w:pPr>
        <w:pStyle w:val="Compact"/>
        <w:numPr>
          <w:ilvl w:val="0"/>
          <w:numId w:val="2"/>
        </w:numPr>
      </w:pPr>
      <w:r>
        <w:t>الأسئلة الشائعة (FAQ)</w:t>
      </w:r>
    </w:p>
    <w:p w14:paraId="48758F3E" w14:textId="77777777" w:rsidR="00A40C93" w:rsidRDefault="00000000" w:rsidP="00A40C93">
      <w:pPr>
        <w:pStyle w:val="Compact"/>
        <w:numPr>
          <w:ilvl w:val="0"/>
          <w:numId w:val="2"/>
        </w:numPr>
      </w:pPr>
      <w:proofErr w:type="spellStart"/>
      <w:r>
        <w:t>المستندات</w:t>
      </w:r>
      <w:proofErr w:type="spellEnd"/>
      <w:r>
        <w:t xml:space="preserve"> </w:t>
      </w:r>
      <w:proofErr w:type="spellStart"/>
      <w:r>
        <w:t>والسياسات</w:t>
      </w:r>
      <w:proofErr w:type="spellEnd"/>
    </w:p>
    <w:p w14:paraId="1969F2F6" w14:textId="0095B8D1" w:rsidR="00A40C93" w:rsidRDefault="00A40C93" w:rsidP="00A40C93">
      <w:pPr>
        <w:pStyle w:val="Compact"/>
        <w:numPr>
          <w:ilvl w:val="0"/>
          <w:numId w:val="2"/>
        </w:numPr>
      </w:pPr>
      <w:r>
        <w:rPr>
          <w:rFonts w:hint="cs"/>
          <w:rtl/>
        </w:rPr>
        <w:t>مركز المستندات</w:t>
      </w:r>
    </w:p>
    <w:p w14:paraId="157DC56F" w14:textId="154FD523" w:rsidR="00F40CCB" w:rsidRDefault="00000000" w:rsidP="00A40C93">
      <w:pPr>
        <w:pStyle w:val="Compact"/>
        <w:numPr>
          <w:ilvl w:val="0"/>
          <w:numId w:val="2"/>
        </w:numPr>
      </w:pPr>
      <w:proofErr w:type="spellStart"/>
      <w:r>
        <w:t>تواصل</w:t>
      </w:r>
      <w:proofErr w:type="spellEnd"/>
      <w:r>
        <w:t xml:space="preserve"> </w:t>
      </w:r>
      <w:proofErr w:type="spellStart"/>
      <w:r>
        <w:t>معنا</w:t>
      </w:r>
      <w:proofErr w:type="spellEnd"/>
    </w:p>
    <w:p w14:paraId="150BE4DB" w14:textId="77777777" w:rsidR="00F40CCB" w:rsidRDefault="00000000">
      <w:r>
        <w:pict w14:anchorId="04CDC74C">
          <v:rect id="_x0000_i1026" style="width:0;height:1.5pt" o:hralign="center" o:hrstd="t" o:hr="t"/>
        </w:pict>
      </w:r>
    </w:p>
    <w:p w14:paraId="04575B83" w14:textId="77777777" w:rsidR="00F40CCB" w:rsidRDefault="00000000">
      <w:pPr>
        <w:pStyle w:val="Heading2"/>
      </w:pPr>
      <w:bookmarkStart w:id="2" w:name="الصفحة-الرئيسية"/>
      <w:bookmarkEnd w:id="1"/>
      <w:r>
        <w:t>1) الصفحة الرئيسية</w:t>
      </w:r>
    </w:p>
    <w:p w14:paraId="265E5BAD" w14:textId="77777777" w:rsidR="00F40CCB" w:rsidRDefault="00000000">
      <w:pPr>
        <w:pStyle w:val="FirstParagraph"/>
      </w:pPr>
      <w:r>
        <w:rPr>
          <w:b/>
          <w:bCs/>
        </w:rPr>
        <w:t>عبارة بطولية (Hero):</w:t>
      </w:r>
      <w:r>
        <w:br/>
      </w:r>
      <w:r>
        <w:rPr>
          <w:b/>
          <w:bCs/>
        </w:rPr>
        <w:t>أصول حقيقية. سيولة منضبطة. حماية قيمة عبر الدورات الاقتصادية.</w:t>
      </w:r>
    </w:p>
    <w:p w14:paraId="0CEFC056" w14:textId="77777777" w:rsidR="00F40CCB" w:rsidRDefault="00000000">
      <w:pPr>
        <w:pStyle w:val="BodyText"/>
      </w:pPr>
      <w:r>
        <w:rPr>
          <w:b/>
          <w:bCs/>
        </w:rPr>
        <w:t>وصف موجز:</w:t>
      </w:r>
      <w:r>
        <w:br/>
        <w:t>نستثمر في الذهب والفضة والمعادن الأساسية والطاقـة، ونبني منتجات سلعٍ تُوازن بين النمو والتحوّط، مع تخزين مُؤمَّن وحوكمة قوية وتقارير شفافة.</w:t>
      </w:r>
    </w:p>
    <w:p w14:paraId="64B25777" w14:textId="77777777" w:rsidR="00F40CCB" w:rsidRDefault="00000000">
      <w:pPr>
        <w:pStyle w:val="BodyText"/>
      </w:pPr>
      <w:r>
        <w:rPr>
          <w:b/>
          <w:bCs/>
        </w:rPr>
        <w:t>دعوات الإجراء (CTAs):</w:t>
      </w:r>
      <w:r>
        <w:br/>
        <w:t>- اكتشف الفرص الحالية</w:t>
      </w:r>
      <w:r>
        <w:br/>
        <w:t>- انضم كمستثمر مؤسسي/مؤهل</w:t>
      </w:r>
      <w:r>
        <w:br/>
        <w:t>- اطلب هيكلة تحوّط لشركتك</w:t>
      </w:r>
      <w:r>
        <w:br/>
        <w:t>- حمّل ملف التعريف (Company Profile)</w:t>
      </w:r>
    </w:p>
    <w:p w14:paraId="28D26139" w14:textId="77777777" w:rsidR="00F40CCB" w:rsidRDefault="00000000">
      <w:pPr>
        <w:pStyle w:val="BodyText"/>
      </w:pPr>
      <w:r>
        <w:rPr>
          <w:b/>
          <w:bCs/>
        </w:rPr>
        <w:t>مزايا سريعة:</w:t>
      </w:r>
      <w:r>
        <w:br/>
        <w:t>حوكمة وامتثال – تخزين مؤمَّن – تقييمات مستقلة – شراكات تمويل وتأمين – حلول تحوّط متقدمة.</w:t>
      </w:r>
    </w:p>
    <w:p w14:paraId="29E89E40" w14:textId="77777777" w:rsidR="00F40CCB" w:rsidRDefault="00000000">
      <w:r>
        <w:lastRenderedPageBreak/>
        <w:pict w14:anchorId="6563715E">
          <v:rect id="_x0000_i1027" style="width:0;height:1.5pt" o:hralign="center" o:hrstd="t" o:hr="t"/>
        </w:pict>
      </w:r>
    </w:p>
    <w:p w14:paraId="5C0BCF38" w14:textId="77777777" w:rsidR="00F40CCB" w:rsidRDefault="00000000">
      <w:pPr>
        <w:pStyle w:val="Heading2"/>
      </w:pPr>
      <w:bookmarkStart w:id="3" w:name="من-نحن-الهوية-والحوكمة"/>
      <w:bookmarkEnd w:id="2"/>
      <w:r>
        <w:t>2) من نحن (الهوية والحوكمة)</w:t>
      </w:r>
    </w:p>
    <w:p w14:paraId="4C198C9B" w14:textId="77777777" w:rsidR="00F40CCB" w:rsidRDefault="00000000">
      <w:pPr>
        <w:pStyle w:val="Heading3"/>
      </w:pPr>
      <w:bookmarkStart w:id="4" w:name="رسالتنا"/>
      <w:r>
        <w:t>رسالتنا</w:t>
      </w:r>
    </w:p>
    <w:p w14:paraId="0B33FA6B" w14:textId="77777777" w:rsidR="00F40CCB" w:rsidRDefault="00000000">
      <w:pPr>
        <w:pStyle w:val="FirstParagraph"/>
      </w:pPr>
      <w:r>
        <w:t>توفير قنوات استثمار وحلول تحوّط متينة في المعادن الثمينة والأساسية والطاقة، تُحافظ على القيمة وتدير المخاطر عبر الدورات الاقتصادية.</w:t>
      </w:r>
    </w:p>
    <w:p w14:paraId="641A81C2" w14:textId="77777777" w:rsidR="00F40CCB" w:rsidRDefault="00000000">
      <w:pPr>
        <w:pStyle w:val="Heading3"/>
      </w:pPr>
      <w:bookmarkStart w:id="5" w:name="رؤيتنا"/>
      <w:bookmarkEnd w:id="4"/>
      <w:r>
        <w:t>رؤيتنا</w:t>
      </w:r>
    </w:p>
    <w:p w14:paraId="67F0D3BA" w14:textId="77777777" w:rsidR="00F40CCB" w:rsidRDefault="00000000">
      <w:pPr>
        <w:pStyle w:val="FirstParagraph"/>
      </w:pPr>
      <w:r>
        <w:t>أن نكون شريك السلع الموثوق في أوروبا والشرق الأوسط وأمريكا، حيث تلتقي الكفاءة التشغيلية بالابتكار المالي.</w:t>
      </w:r>
    </w:p>
    <w:p w14:paraId="1CF78820" w14:textId="77777777" w:rsidR="00F40CCB" w:rsidRDefault="00000000">
      <w:pPr>
        <w:pStyle w:val="Heading3"/>
      </w:pPr>
      <w:bookmarkStart w:id="6" w:name="قيمنا"/>
      <w:bookmarkEnd w:id="5"/>
      <w:r>
        <w:t>قيمنا</w:t>
      </w:r>
    </w:p>
    <w:p w14:paraId="5F2DE946" w14:textId="77777777" w:rsidR="00F40CCB" w:rsidRDefault="00000000">
      <w:pPr>
        <w:pStyle w:val="Compact"/>
        <w:numPr>
          <w:ilvl w:val="0"/>
          <w:numId w:val="3"/>
        </w:numPr>
      </w:pPr>
      <w:r>
        <w:rPr>
          <w:b/>
          <w:bCs/>
        </w:rPr>
        <w:t>السلامة والامتثال</w:t>
      </w:r>
      <w:r>
        <w:t>: عمليات متوافقة مع متطلبات مكافحة غسل الأموال والعقوبات ومعايير الحفظ.</w:t>
      </w:r>
      <w:r>
        <w:br/>
      </w:r>
    </w:p>
    <w:p w14:paraId="7F5AFE5D" w14:textId="77777777" w:rsidR="00F40CCB" w:rsidRDefault="00000000">
      <w:pPr>
        <w:pStyle w:val="Compact"/>
        <w:numPr>
          <w:ilvl w:val="0"/>
          <w:numId w:val="3"/>
        </w:numPr>
      </w:pPr>
      <w:r>
        <w:rPr>
          <w:b/>
          <w:bCs/>
        </w:rPr>
        <w:t>الشفافية</w:t>
      </w:r>
      <w:r>
        <w:t>: تسعير واضح وإفصاحات ورسوم مُعلنة.</w:t>
      </w:r>
      <w:r>
        <w:br/>
      </w:r>
    </w:p>
    <w:p w14:paraId="60DD311E" w14:textId="77777777" w:rsidR="00F40CCB" w:rsidRDefault="00000000">
      <w:pPr>
        <w:pStyle w:val="Compact"/>
        <w:numPr>
          <w:ilvl w:val="0"/>
          <w:numId w:val="3"/>
        </w:numPr>
      </w:pPr>
      <w:r>
        <w:rPr>
          <w:b/>
          <w:bCs/>
        </w:rPr>
        <w:t>إدارة مخاطر</w:t>
      </w:r>
      <w:r>
        <w:t>: سياسات تحوّط ومنهجيات قياس انكشاف متقدّمة.</w:t>
      </w:r>
      <w:r>
        <w:br/>
      </w:r>
    </w:p>
    <w:p w14:paraId="20B22524" w14:textId="77777777" w:rsidR="00F40CCB" w:rsidRDefault="00000000">
      <w:pPr>
        <w:pStyle w:val="Compact"/>
        <w:numPr>
          <w:ilvl w:val="0"/>
          <w:numId w:val="3"/>
        </w:numPr>
      </w:pPr>
      <w:r>
        <w:rPr>
          <w:b/>
          <w:bCs/>
        </w:rPr>
        <w:t>استدامة ومسؤولية</w:t>
      </w:r>
      <w:r>
        <w:t>: التزام بسلاسل توريد مسؤولة.</w:t>
      </w:r>
    </w:p>
    <w:p w14:paraId="6D47965D" w14:textId="77777777" w:rsidR="00F40CCB" w:rsidRDefault="00000000">
      <w:pPr>
        <w:pStyle w:val="Heading3"/>
      </w:pPr>
      <w:bookmarkStart w:id="7" w:name="الحوكمة"/>
      <w:bookmarkEnd w:id="6"/>
      <w:r>
        <w:t>الحوكمة</w:t>
      </w:r>
    </w:p>
    <w:p w14:paraId="6E606824" w14:textId="77777777" w:rsidR="00F40CCB" w:rsidRDefault="00000000">
      <w:pPr>
        <w:pStyle w:val="Compact"/>
        <w:numPr>
          <w:ilvl w:val="0"/>
          <w:numId w:val="4"/>
        </w:numPr>
      </w:pPr>
      <w:r>
        <w:t>لجان مخاطر واستثمار.</w:t>
      </w:r>
      <w:r>
        <w:br/>
      </w:r>
    </w:p>
    <w:p w14:paraId="03881EC0" w14:textId="77777777" w:rsidR="00F40CCB" w:rsidRDefault="00000000">
      <w:pPr>
        <w:pStyle w:val="Compact"/>
        <w:numPr>
          <w:ilvl w:val="0"/>
          <w:numId w:val="4"/>
        </w:numPr>
      </w:pPr>
      <w:r>
        <w:t>سياسات تضارب مصالح، واستمرارية أعمال (BCP/DRP)، وأمن سيبراني.</w:t>
      </w:r>
      <w:r>
        <w:br/>
      </w:r>
    </w:p>
    <w:p w14:paraId="18104DFF" w14:textId="77777777" w:rsidR="00F40CCB" w:rsidRDefault="00000000">
      <w:pPr>
        <w:pStyle w:val="Compact"/>
        <w:numPr>
          <w:ilvl w:val="0"/>
          <w:numId w:val="4"/>
        </w:numPr>
      </w:pPr>
      <w:r>
        <w:t>تدقيق داخلي وخارجي وتقارير أداء دورية للمستثمرين.</w:t>
      </w:r>
    </w:p>
    <w:p w14:paraId="448CE37D" w14:textId="77777777" w:rsidR="00F40CCB" w:rsidRDefault="00000000">
      <w:r>
        <w:pict w14:anchorId="33011D48">
          <v:rect id="_x0000_i1028" style="width:0;height:1.5pt" o:hralign="center" o:hrstd="t" o:hr="t"/>
        </w:pict>
      </w:r>
    </w:p>
    <w:p w14:paraId="6C00008F" w14:textId="77777777" w:rsidR="00F40CCB" w:rsidRDefault="00000000">
      <w:pPr>
        <w:pStyle w:val="Heading2"/>
      </w:pPr>
      <w:bookmarkStart w:id="8" w:name="مجالات-العمل-والخدمات"/>
      <w:bookmarkEnd w:id="3"/>
      <w:bookmarkEnd w:id="7"/>
      <w:r>
        <w:t>3) مجالات العمل والخدمات</w:t>
      </w:r>
    </w:p>
    <w:p w14:paraId="57225918" w14:textId="77777777" w:rsidR="00F40CCB" w:rsidRDefault="00000000">
      <w:pPr>
        <w:pStyle w:val="Heading3"/>
      </w:pPr>
      <w:bookmarkStart w:id="9" w:name="Xe6ebbd456a6fd2c93df84df583f23aebabacf4d"/>
      <w:r>
        <w:t>3.1 استثمار المعادن النفيسة (ذهب/فضة/بلاتين/بلاديوم)</w:t>
      </w:r>
    </w:p>
    <w:p w14:paraId="5BC0E454" w14:textId="77777777" w:rsidR="00F40CCB" w:rsidRDefault="00000000">
      <w:pPr>
        <w:pStyle w:val="Compact"/>
        <w:numPr>
          <w:ilvl w:val="0"/>
          <w:numId w:val="5"/>
        </w:numPr>
      </w:pPr>
      <w:r>
        <w:t>استراتيجيات دخل/نمو/تحوّط مع تقارير تتبّع المؤشرات.</w:t>
      </w:r>
      <w:r>
        <w:br/>
      </w:r>
    </w:p>
    <w:p w14:paraId="120458F7" w14:textId="77777777" w:rsidR="00F40CCB" w:rsidRDefault="00000000">
      <w:pPr>
        <w:pStyle w:val="Compact"/>
        <w:numPr>
          <w:ilvl w:val="0"/>
          <w:numId w:val="5"/>
        </w:numPr>
      </w:pPr>
      <w:r>
        <w:t>شراء مادي (Allocated/Unallocated) وفق معايير Good Delivery.</w:t>
      </w:r>
      <w:r>
        <w:br/>
      </w:r>
    </w:p>
    <w:p w14:paraId="4BD5A52A" w14:textId="77777777" w:rsidR="00F40CCB" w:rsidRDefault="00000000">
      <w:pPr>
        <w:pStyle w:val="Compact"/>
        <w:numPr>
          <w:ilvl w:val="0"/>
          <w:numId w:val="5"/>
        </w:numPr>
      </w:pPr>
      <w:r>
        <w:t>حسابات ذهب مُدارة وخطط ادخار معدني.</w:t>
      </w:r>
    </w:p>
    <w:p w14:paraId="5E2E2741" w14:textId="77777777" w:rsidR="00F40CCB" w:rsidRDefault="00000000">
      <w:pPr>
        <w:pStyle w:val="Heading3"/>
      </w:pPr>
      <w:bookmarkStart w:id="10" w:name="المعادن-الأساسية-نحاسألومنيومنيكل"/>
      <w:bookmarkEnd w:id="9"/>
      <w:r>
        <w:t>3.2 المعادن الأساسية (نحاس/ألومنيوم/نيكل…)</w:t>
      </w:r>
    </w:p>
    <w:p w14:paraId="2BA4D124" w14:textId="77777777" w:rsidR="00F40CCB" w:rsidRDefault="00000000">
      <w:pPr>
        <w:pStyle w:val="Compact"/>
        <w:numPr>
          <w:ilvl w:val="0"/>
          <w:numId w:val="6"/>
        </w:numPr>
      </w:pPr>
      <w:r>
        <w:t>محافظ سلع دورات اقتصادية طويلة، وعمليات إعادة توازن تكتيكية.</w:t>
      </w:r>
      <w:r>
        <w:br/>
      </w:r>
    </w:p>
    <w:p w14:paraId="6CF81476" w14:textId="77777777" w:rsidR="00F40CCB" w:rsidRDefault="00000000">
      <w:pPr>
        <w:pStyle w:val="Compact"/>
        <w:numPr>
          <w:ilvl w:val="0"/>
          <w:numId w:val="6"/>
        </w:numPr>
      </w:pPr>
      <w:r>
        <w:t>عقود توريد صناعية مع تحوّط بأسواق المشتقات.</w:t>
      </w:r>
    </w:p>
    <w:p w14:paraId="0435F087" w14:textId="77777777" w:rsidR="00F40CCB" w:rsidRDefault="00000000">
      <w:pPr>
        <w:pStyle w:val="Heading3"/>
      </w:pPr>
      <w:bookmarkStart w:id="11" w:name="الطاقة-والبترول"/>
      <w:bookmarkEnd w:id="10"/>
      <w:r>
        <w:t>3.3 الطاقة والبترول</w:t>
      </w:r>
    </w:p>
    <w:p w14:paraId="24590FAF" w14:textId="77777777" w:rsidR="00F40CCB" w:rsidRDefault="00000000">
      <w:pPr>
        <w:pStyle w:val="Compact"/>
        <w:numPr>
          <w:ilvl w:val="0"/>
          <w:numId w:val="7"/>
        </w:numPr>
      </w:pPr>
      <w:r>
        <w:t>صفقات تمويل مُسبق للشحنات (Prepay) واتفاقات Offtake مع موردين مُنتقين.</w:t>
      </w:r>
      <w:r>
        <w:br/>
      </w:r>
    </w:p>
    <w:p w14:paraId="07BB7F99" w14:textId="77777777" w:rsidR="00F40CCB" w:rsidRDefault="00000000">
      <w:pPr>
        <w:pStyle w:val="Compact"/>
        <w:numPr>
          <w:ilvl w:val="0"/>
          <w:numId w:val="7"/>
        </w:numPr>
      </w:pPr>
      <w:r>
        <w:t>إدارة مخاطر سعر/أساس/فرق السعر (Crack/Spread) للمستهلكين الصناعيين.</w:t>
      </w:r>
    </w:p>
    <w:p w14:paraId="3F1ACDF3" w14:textId="77777777" w:rsidR="00F40CCB" w:rsidRDefault="00000000">
      <w:pPr>
        <w:pStyle w:val="Heading3"/>
      </w:pPr>
      <w:bookmarkStart w:id="12" w:name="حلول-التحوط-للشركات-treasuryprocurement"/>
      <w:bookmarkEnd w:id="11"/>
      <w:r>
        <w:t>3.4 حلول التحوّط للشركات (Treasury/Procurement)</w:t>
      </w:r>
    </w:p>
    <w:p w14:paraId="025BB40E" w14:textId="77777777" w:rsidR="00F40CCB" w:rsidRDefault="00000000">
      <w:pPr>
        <w:pStyle w:val="Compact"/>
        <w:numPr>
          <w:ilvl w:val="0"/>
          <w:numId w:val="8"/>
        </w:numPr>
      </w:pPr>
      <w:r>
        <w:t xml:space="preserve">تصميم أُطر تحوّط باستخدام </w:t>
      </w:r>
      <w:r>
        <w:rPr>
          <w:b/>
          <w:bCs/>
        </w:rPr>
        <w:t>عقود آجلة/خيارات/مقايضات</w:t>
      </w:r>
      <w:r>
        <w:t>.</w:t>
      </w:r>
      <w:r>
        <w:br/>
      </w:r>
    </w:p>
    <w:p w14:paraId="13172939" w14:textId="77777777" w:rsidR="00F40CCB" w:rsidRDefault="00000000">
      <w:pPr>
        <w:pStyle w:val="Compact"/>
        <w:numPr>
          <w:ilvl w:val="0"/>
          <w:numId w:val="8"/>
        </w:numPr>
      </w:pPr>
      <w:r>
        <w:t>سياسات خزينة، حدود انكشاف، وتقارير فعالية التحوّط.</w:t>
      </w:r>
    </w:p>
    <w:p w14:paraId="7A9522A8" w14:textId="77777777" w:rsidR="00F40CCB" w:rsidRDefault="00000000">
      <w:pPr>
        <w:pStyle w:val="Heading3"/>
      </w:pPr>
      <w:bookmarkStart w:id="13" w:name="صناديق-ومنتجات-مهيكلة"/>
      <w:bookmarkEnd w:id="12"/>
      <w:r>
        <w:t>3.5 صناديق ومنتجات مُهيكلة</w:t>
      </w:r>
    </w:p>
    <w:p w14:paraId="465F8BA7" w14:textId="77777777" w:rsidR="00F40CCB" w:rsidRDefault="00000000">
      <w:pPr>
        <w:pStyle w:val="Compact"/>
        <w:numPr>
          <w:ilvl w:val="0"/>
          <w:numId w:val="9"/>
        </w:numPr>
      </w:pPr>
      <w:r>
        <w:t>صناديق سلع (مؤشرات/عوامل) بذكاء إعادة توازن.</w:t>
      </w:r>
      <w:r>
        <w:br/>
      </w:r>
    </w:p>
    <w:p w14:paraId="5A7D72FD" w14:textId="77777777" w:rsidR="00F40CCB" w:rsidRDefault="00000000">
      <w:pPr>
        <w:pStyle w:val="Compact"/>
        <w:numPr>
          <w:ilvl w:val="0"/>
          <w:numId w:val="9"/>
        </w:numPr>
      </w:pPr>
      <w:r>
        <w:t>منتجات مُهيكلة للعائد المحمي/الجزئي على سلال سلع.</w:t>
      </w:r>
      <w:r>
        <w:br/>
      </w:r>
    </w:p>
    <w:p w14:paraId="19B12E47" w14:textId="77777777" w:rsidR="00F40CCB" w:rsidRDefault="00000000">
      <w:pPr>
        <w:pStyle w:val="Compact"/>
        <w:numPr>
          <w:ilvl w:val="0"/>
          <w:numId w:val="9"/>
        </w:numPr>
      </w:pPr>
      <w:r>
        <w:t>حسابات مُدارة (SMAs) للمؤسسات وHNW.</w:t>
      </w:r>
    </w:p>
    <w:p w14:paraId="3D490F84" w14:textId="77777777" w:rsidR="00F40CCB" w:rsidRDefault="00000000">
      <w:pPr>
        <w:pStyle w:val="Heading3"/>
      </w:pPr>
      <w:bookmarkStart w:id="14" w:name="Xc515194796a1381024d89c45c94efdb54c8e148"/>
      <w:bookmarkEnd w:id="13"/>
      <w:r>
        <w:t>3.6 الاستشارات والفحص النافي للجهالة في السلع</w:t>
      </w:r>
    </w:p>
    <w:p w14:paraId="36E51DDC" w14:textId="77777777" w:rsidR="00F40CCB" w:rsidRDefault="00000000">
      <w:pPr>
        <w:pStyle w:val="Compact"/>
        <w:numPr>
          <w:ilvl w:val="0"/>
          <w:numId w:val="10"/>
        </w:numPr>
      </w:pPr>
      <w:r>
        <w:t>فحص سلسلة التوريد، تقييم عقود توريد، مراجعة مخاطر طرف مقابل.</w:t>
      </w:r>
      <w:r>
        <w:br/>
      </w:r>
    </w:p>
    <w:p w14:paraId="0EB751C6" w14:textId="77777777" w:rsidR="00F40CCB" w:rsidRDefault="00000000">
      <w:pPr>
        <w:pStyle w:val="Compact"/>
        <w:numPr>
          <w:ilvl w:val="0"/>
          <w:numId w:val="10"/>
        </w:numPr>
      </w:pPr>
      <w:r>
        <w:t>دعم تمويل تجارة السلع، اعتمادات مستندية، وبوالص شحن.</w:t>
      </w:r>
    </w:p>
    <w:p w14:paraId="29C8CC08" w14:textId="77777777" w:rsidR="00F40CCB" w:rsidRDefault="00000000">
      <w:r>
        <w:pict w14:anchorId="4CCD2FD8">
          <v:rect id="_x0000_i1029" style="width:0;height:1.5pt" o:hralign="center" o:hrstd="t" o:hr="t"/>
        </w:pict>
      </w:r>
    </w:p>
    <w:p w14:paraId="1748241A" w14:textId="77777777" w:rsidR="00F40CCB" w:rsidRDefault="00000000">
      <w:pPr>
        <w:pStyle w:val="Heading2"/>
      </w:pPr>
      <w:bookmarkStart w:id="15" w:name="منتجات-الاستثمار-ملخص"/>
      <w:bookmarkEnd w:id="8"/>
      <w:bookmarkEnd w:id="14"/>
      <w:r>
        <w:t>4) منتجات الاستثمار (ملخص)</w:t>
      </w:r>
    </w:p>
    <w:p w14:paraId="459DC114" w14:textId="77777777" w:rsidR="00F40CCB" w:rsidRDefault="00000000">
      <w:pPr>
        <w:pStyle w:val="Compact"/>
        <w:numPr>
          <w:ilvl w:val="0"/>
          <w:numId w:val="11"/>
        </w:numPr>
      </w:pPr>
      <w:r>
        <w:rPr>
          <w:b/>
          <w:bCs/>
        </w:rPr>
        <w:t>ذهب مادي مُخصّص</w:t>
      </w:r>
      <w:r>
        <w:t xml:space="preserve"> (سبائك Good Delivery بأرقام تسلسلية وتقارير جرد).</w:t>
      </w:r>
      <w:r>
        <w:br/>
      </w:r>
    </w:p>
    <w:p w14:paraId="5004E89E" w14:textId="77777777" w:rsidR="00F40CCB" w:rsidRDefault="00000000">
      <w:pPr>
        <w:pStyle w:val="Compact"/>
        <w:numPr>
          <w:ilvl w:val="0"/>
          <w:numId w:val="11"/>
        </w:numPr>
      </w:pPr>
      <w:r>
        <w:rPr>
          <w:b/>
          <w:bCs/>
        </w:rPr>
        <w:t>محافظ سلع متنوّعة</w:t>
      </w:r>
      <w:r>
        <w:t xml:space="preserve"> (Precious + Base + Energy) مع حدود وزن لكل فئة.</w:t>
      </w:r>
      <w:r>
        <w:br/>
      </w:r>
    </w:p>
    <w:p w14:paraId="675CD2C2" w14:textId="77777777" w:rsidR="00F40CCB" w:rsidRDefault="00000000">
      <w:pPr>
        <w:pStyle w:val="Compact"/>
        <w:numPr>
          <w:ilvl w:val="0"/>
          <w:numId w:val="11"/>
        </w:numPr>
      </w:pPr>
      <w:r>
        <w:rPr>
          <w:b/>
          <w:bCs/>
        </w:rPr>
        <w:t>صناديق موضوعية</w:t>
      </w:r>
      <w:r>
        <w:t xml:space="preserve"> (تحوّط تضخّم/انتقال طاقة/معادن بطاريات).</w:t>
      </w:r>
      <w:r>
        <w:br/>
      </w:r>
    </w:p>
    <w:p w14:paraId="6F0E42C0" w14:textId="77777777" w:rsidR="00F40CCB" w:rsidRDefault="00000000">
      <w:pPr>
        <w:pStyle w:val="Compact"/>
        <w:numPr>
          <w:ilvl w:val="0"/>
          <w:numId w:val="11"/>
        </w:numPr>
      </w:pPr>
      <w:r>
        <w:rPr>
          <w:b/>
          <w:bCs/>
        </w:rPr>
        <w:t>منتجات دخل</w:t>
      </w:r>
      <w:r>
        <w:t xml:space="preserve"> (Covered Calls/Put Writing) وفق حدود مخاطر متّفق عليها.</w:t>
      </w:r>
      <w:r>
        <w:br/>
        <w:t>&gt; تفاصيل كل منتج في نشرة المعلومات واتفاقية الاكتتاب.</w:t>
      </w:r>
    </w:p>
    <w:p w14:paraId="1123BDA2" w14:textId="77777777" w:rsidR="00F40CCB" w:rsidRDefault="00000000">
      <w:r>
        <w:pict w14:anchorId="76B13F64">
          <v:rect id="_x0000_i1030" style="width:0;height:1.5pt" o:hralign="center" o:hrstd="t" o:hr="t"/>
        </w:pict>
      </w:r>
    </w:p>
    <w:p w14:paraId="232EA953" w14:textId="77777777" w:rsidR="00F40CCB" w:rsidRDefault="00000000">
      <w:pPr>
        <w:pStyle w:val="Heading2"/>
      </w:pPr>
      <w:bookmarkStart w:id="16" w:name="المنصات-الرقمية-والحفظ-والتخزين"/>
      <w:bookmarkEnd w:id="15"/>
      <w:r>
        <w:t>5) المنصّات الرقمية والحفظ والتخزين</w:t>
      </w:r>
    </w:p>
    <w:p w14:paraId="502294D7" w14:textId="5AEB2380" w:rsidR="00F40CCB" w:rsidRDefault="00000000">
      <w:pPr>
        <w:pStyle w:val="Heading3"/>
      </w:pPr>
      <w:bookmarkStart w:id="17" w:name="منصة-كابي-للمعادن-capi-metals-platform"/>
      <w:r>
        <w:t xml:space="preserve">منصة </w:t>
      </w:r>
      <w:proofErr w:type="spellStart"/>
      <w:r>
        <w:t>كابي</w:t>
      </w:r>
      <w:proofErr w:type="spellEnd"/>
      <w:r>
        <w:t xml:space="preserve"> </w:t>
      </w:r>
      <w:proofErr w:type="spellStart"/>
      <w:r>
        <w:t>للمعادن</w:t>
      </w:r>
      <w:proofErr w:type="spellEnd"/>
      <w:r>
        <w:t xml:space="preserve"> (Capi </w:t>
      </w:r>
      <w:r w:rsidR="00CC514C">
        <w:t>investments</w:t>
      </w:r>
      <w:r>
        <w:t xml:space="preserve"> Platform)</w:t>
      </w:r>
    </w:p>
    <w:p w14:paraId="59B4E514" w14:textId="77777777" w:rsidR="00F40CCB" w:rsidRDefault="00000000">
      <w:pPr>
        <w:pStyle w:val="Compact"/>
        <w:numPr>
          <w:ilvl w:val="0"/>
          <w:numId w:val="12"/>
        </w:numPr>
      </w:pPr>
      <w:r>
        <w:t>حساب واحد وKYC/AML، تسعير لحظي، تذاكر تداول، تقارير مراكز.</w:t>
      </w:r>
      <w:r>
        <w:br/>
      </w:r>
    </w:p>
    <w:p w14:paraId="0BC51C77" w14:textId="77777777" w:rsidR="00F40CCB" w:rsidRDefault="00000000">
      <w:pPr>
        <w:pStyle w:val="Compact"/>
        <w:numPr>
          <w:ilvl w:val="0"/>
          <w:numId w:val="12"/>
        </w:numPr>
      </w:pPr>
      <w:r>
        <w:t>اختيار خزائن (لندن/زيورخ/دبي) وتحوّل بين مواقع التخزين.</w:t>
      </w:r>
      <w:r>
        <w:br/>
      </w:r>
    </w:p>
    <w:p w14:paraId="23E1BFCC" w14:textId="77777777" w:rsidR="00F40CCB" w:rsidRDefault="00000000">
      <w:pPr>
        <w:pStyle w:val="Compact"/>
        <w:numPr>
          <w:ilvl w:val="0"/>
          <w:numId w:val="12"/>
        </w:numPr>
      </w:pPr>
      <w:r>
        <w:t>تقارير جرد مستقلة وشهادات ملكية.</w:t>
      </w:r>
    </w:p>
    <w:p w14:paraId="2687C24A" w14:textId="77777777" w:rsidR="00F40CCB" w:rsidRDefault="00000000">
      <w:pPr>
        <w:pStyle w:val="Heading3"/>
      </w:pPr>
      <w:bookmarkStart w:id="18" w:name="التخزين-والحفظ"/>
      <w:bookmarkEnd w:id="17"/>
      <w:r>
        <w:t>التخزين والحفظ</w:t>
      </w:r>
    </w:p>
    <w:p w14:paraId="413547CE" w14:textId="77777777" w:rsidR="00F40CCB" w:rsidRDefault="00000000">
      <w:pPr>
        <w:pStyle w:val="Compact"/>
        <w:numPr>
          <w:ilvl w:val="0"/>
          <w:numId w:val="13"/>
        </w:numPr>
      </w:pPr>
      <w:r>
        <w:t>تخزين مؤمّن All-Risk عبر شركاء تأمين دوليين.</w:t>
      </w:r>
      <w:r>
        <w:br/>
      </w:r>
    </w:p>
    <w:p w14:paraId="34108925" w14:textId="77777777" w:rsidR="00F40CCB" w:rsidRDefault="00000000">
      <w:pPr>
        <w:pStyle w:val="Compact"/>
        <w:numPr>
          <w:ilvl w:val="0"/>
          <w:numId w:val="13"/>
        </w:numPr>
      </w:pPr>
      <w:r>
        <w:t>حوكمة وصول، تدقيق دوري، وتسوية يومية للحسابات المخصصة.</w:t>
      </w:r>
    </w:p>
    <w:p w14:paraId="796A2C13" w14:textId="77777777" w:rsidR="00F40CCB" w:rsidRDefault="00000000">
      <w:pPr>
        <w:pStyle w:val="Heading3"/>
      </w:pPr>
      <w:bookmarkStart w:id="19" w:name="واجهات-مؤسسية-apis"/>
      <w:bookmarkEnd w:id="18"/>
      <w:r>
        <w:t>واجهات مؤسسية (APIs)</w:t>
      </w:r>
    </w:p>
    <w:p w14:paraId="7929DAB9" w14:textId="77777777" w:rsidR="00F40CCB" w:rsidRDefault="00000000">
      <w:pPr>
        <w:pStyle w:val="Compact"/>
        <w:numPr>
          <w:ilvl w:val="0"/>
          <w:numId w:val="14"/>
        </w:numPr>
      </w:pPr>
      <w:r>
        <w:t>تكامل مع نظم الخزينة/ERP لدى العملاء، وتصدير بيانات يومي/شهري.</w:t>
      </w:r>
    </w:p>
    <w:p w14:paraId="55B8D4EE" w14:textId="77777777" w:rsidR="00F40CCB" w:rsidRDefault="00000000">
      <w:r>
        <w:pict w14:anchorId="08D9DBF0">
          <v:rect id="_x0000_i1031" style="width:0;height:1.5pt" o:hralign="center" o:hrstd="t" o:hr="t"/>
        </w:pict>
      </w:r>
    </w:p>
    <w:p w14:paraId="2ECD93B1" w14:textId="77777777" w:rsidR="00F40CCB" w:rsidRDefault="00000000">
      <w:pPr>
        <w:pStyle w:val="Heading2"/>
      </w:pPr>
      <w:bookmarkStart w:id="20" w:name="سلسلة-الإمداد-والامتثال-وesg"/>
      <w:bookmarkEnd w:id="16"/>
      <w:bookmarkEnd w:id="19"/>
      <w:r>
        <w:t>6) سلسلة الإمداد والامتثال وESG</w:t>
      </w:r>
    </w:p>
    <w:p w14:paraId="1FA7AFFD" w14:textId="77777777" w:rsidR="00F40CCB" w:rsidRDefault="00000000">
      <w:pPr>
        <w:pStyle w:val="Compact"/>
        <w:numPr>
          <w:ilvl w:val="0"/>
          <w:numId w:val="15"/>
        </w:numPr>
      </w:pPr>
      <w:r>
        <w:t>التزام بسلاسل توريد مسؤولة للذهب والمعادن.</w:t>
      </w:r>
      <w:r>
        <w:br/>
      </w:r>
    </w:p>
    <w:p w14:paraId="7F1749B5" w14:textId="77777777" w:rsidR="00F40CCB" w:rsidRDefault="00000000">
      <w:pPr>
        <w:pStyle w:val="Compact"/>
        <w:numPr>
          <w:ilvl w:val="0"/>
          <w:numId w:val="15"/>
        </w:numPr>
      </w:pPr>
      <w:r>
        <w:t>فحوص امتثال للعقوبات وPEPs ومصدر الأموال.</w:t>
      </w:r>
      <w:r>
        <w:br/>
      </w:r>
    </w:p>
    <w:p w14:paraId="3B73ABED" w14:textId="77777777" w:rsidR="00F40CCB" w:rsidRDefault="00000000">
      <w:pPr>
        <w:pStyle w:val="Compact"/>
        <w:numPr>
          <w:ilvl w:val="0"/>
          <w:numId w:val="15"/>
        </w:numPr>
      </w:pPr>
      <w:r>
        <w:t>تقييم بصمة الكربون للعمليات قدر الإتاحة، وبرامج خفض الانبعاثات.</w:t>
      </w:r>
    </w:p>
    <w:p w14:paraId="5F9770A6" w14:textId="77777777" w:rsidR="00F40CCB" w:rsidRDefault="00000000">
      <w:r>
        <w:pict w14:anchorId="28D73C5D">
          <v:rect id="_x0000_i1032" style="width:0;height:1.5pt" o:hralign="center" o:hrstd="t" o:hr="t"/>
        </w:pict>
      </w:r>
    </w:p>
    <w:p w14:paraId="4FC96A11" w14:textId="77777777" w:rsidR="00F40CCB" w:rsidRDefault="00000000">
      <w:pPr>
        <w:pStyle w:val="Heading2"/>
      </w:pPr>
      <w:bookmarkStart w:id="21" w:name="الشراكات-والتحالفات"/>
      <w:bookmarkEnd w:id="20"/>
      <w:r>
        <w:t>7) الشراكات والتحالفات</w:t>
      </w:r>
    </w:p>
    <w:p w14:paraId="7CF6FF3D" w14:textId="77777777" w:rsidR="00F40CCB" w:rsidRDefault="00000000">
      <w:pPr>
        <w:pStyle w:val="FirstParagraph"/>
      </w:pPr>
      <w:r>
        <w:rPr>
          <w:b/>
          <w:bCs/>
        </w:rPr>
        <w:t>تمويل/تأمين/تقييم/تشغيل:</w:t>
      </w:r>
      <w:r>
        <w:br/>
        <w:t>- شركاء تمويل للتجارة والصفقات المهيكلة.</w:t>
      </w:r>
      <w:r>
        <w:br/>
        <w:t>- مزوّدو تأمين على التخزين والنقل.</w:t>
      </w:r>
      <w:r>
        <w:br/>
        <w:t>- بيوت خبرة تقييم وتسعير، ومستودعات/خزائن معتمدة.</w:t>
      </w:r>
      <w:r>
        <w:br/>
        <w:t>- شركات عقار وضيافة لخدمات الضيوف والعملاء.</w:t>
      </w:r>
    </w:p>
    <w:p w14:paraId="2AAACB09" w14:textId="77777777" w:rsidR="00F40CCB" w:rsidRDefault="00000000">
      <w:pPr>
        <w:pStyle w:val="BlockText"/>
      </w:pPr>
      <w:r>
        <w:t>تُفصّل طبيعة الشراكات في وثائق كل منتج/صفقة وحسب الدولة.</w:t>
      </w:r>
    </w:p>
    <w:p w14:paraId="753BE61E" w14:textId="77777777" w:rsidR="00F40CCB" w:rsidRDefault="00000000">
      <w:r>
        <w:pict w14:anchorId="64337BC6">
          <v:rect id="_x0000_i1033" style="width:0;height:1.5pt" o:hralign="center" o:hrstd="t" o:hr="t"/>
        </w:pict>
      </w:r>
    </w:p>
    <w:p w14:paraId="15F8028A" w14:textId="77777777" w:rsidR="00F40CCB" w:rsidRDefault="00000000">
      <w:pPr>
        <w:pStyle w:val="Heading2"/>
      </w:pPr>
      <w:bookmarkStart w:id="22" w:name="محفظتنا-ومشاريعنا-دراسات-حالة"/>
      <w:bookmarkEnd w:id="21"/>
      <w:r>
        <w:t>8) محفظتنا ومشاريعنا (دراسات حالة)</w:t>
      </w:r>
    </w:p>
    <w:p w14:paraId="66862280" w14:textId="77777777" w:rsidR="00F40CCB" w:rsidRDefault="00000000">
      <w:pPr>
        <w:pStyle w:val="Compact"/>
        <w:numPr>
          <w:ilvl w:val="0"/>
          <w:numId w:val="16"/>
        </w:numPr>
      </w:pPr>
      <w:r>
        <w:rPr>
          <w:b/>
          <w:bCs/>
        </w:rPr>
        <w:t>محفظة ذهب مُدارة:</w:t>
      </w:r>
      <w:r>
        <w:t xml:space="preserve"> انحراف منخفض عن المؤشر مع فعالية تحوّط تضخّمي.</w:t>
      </w:r>
      <w:r>
        <w:br/>
      </w:r>
    </w:p>
    <w:p w14:paraId="42E67572" w14:textId="77777777" w:rsidR="00F40CCB" w:rsidRDefault="00000000">
      <w:pPr>
        <w:pStyle w:val="Compact"/>
        <w:numPr>
          <w:ilvl w:val="0"/>
          <w:numId w:val="16"/>
        </w:numPr>
      </w:pPr>
      <w:r>
        <w:rPr>
          <w:b/>
          <w:bCs/>
        </w:rPr>
        <w:t>تحوّط مُنتِج صناعي للنحاس:</w:t>
      </w:r>
      <w:r>
        <w:t xml:space="preserve"> تخفيض تذبذب تكلفة المواد الأولية 35%.</w:t>
      </w:r>
      <w:r>
        <w:br/>
      </w:r>
    </w:p>
    <w:p w14:paraId="1E34744D" w14:textId="77777777" w:rsidR="00F40CCB" w:rsidRDefault="00000000">
      <w:pPr>
        <w:pStyle w:val="Compact"/>
        <w:numPr>
          <w:ilvl w:val="0"/>
          <w:numId w:val="16"/>
        </w:numPr>
      </w:pPr>
      <w:r>
        <w:rPr>
          <w:b/>
          <w:bCs/>
        </w:rPr>
        <w:t>تمويل مسبق لشحنة منتجات نفطية:</w:t>
      </w:r>
      <w:r>
        <w:t xml:space="preserve"> تحسين رأس المال العامل وتأمين تدفق توريد.</w:t>
      </w:r>
    </w:p>
    <w:p w14:paraId="5D5E784D" w14:textId="77777777" w:rsidR="00F40CCB" w:rsidRDefault="00000000">
      <w:pPr>
        <w:pStyle w:val="BlockText"/>
      </w:pPr>
      <w:r>
        <w:t>تفاصيل موسعة تُشارك بعد موافقات السرية والإفصاح.</w:t>
      </w:r>
    </w:p>
    <w:p w14:paraId="0C3A0302" w14:textId="09BDC6E9" w:rsidR="00F40CCB" w:rsidRDefault="00F40CCB"/>
    <w:p w14:paraId="28921FD2" w14:textId="77777777" w:rsidR="00F40CCB" w:rsidRDefault="00000000">
      <w:pPr>
        <w:pStyle w:val="Heading2"/>
      </w:pPr>
      <w:bookmarkStart w:id="23" w:name="رحلة-العميل"/>
      <w:bookmarkEnd w:id="22"/>
      <w:r>
        <w:t>9) رحلة العميل</w:t>
      </w:r>
    </w:p>
    <w:p w14:paraId="08DB88B2" w14:textId="77777777" w:rsidR="00F40CCB" w:rsidRDefault="00000000">
      <w:pPr>
        <w:pStyle w:val="Heading3"/>
      </w:pPr>
      <w:bookmarkStart w:id="24" w:name="مستثمر-مؤسسيhnw"/>
      <w:r>
        <w:t>مستثمر مؤسسي/HNW</w:t>
      </w:r>
    </w:p>
    <w:p w14:paraId="6917BA20" w14:textId="77777777" w:rsidR="00F40CCB" w:rsidRDefault="00000000">
      <w:pPr>
        <w:pStyle w:val="Compact"/>
        <w:numPr>
          <w:ilvl w:val="0"/>
          <w:numId w:val="17"/>
        </w:numPr>
      </w:pPr>
      <w:r>
        <w:t>فتح حساب وتحقق KYC/AML.</w:t>
      </w:r>
      <w:r>
        <w:br/>
      </w:r>
    </w:p>
    <w:p w14:paraId="4E4C56EF" w14:textId="77777777" w:rsidR="00F40CCB" w:rsidRDefault="00000000">
      <w:pPr>
        <w:pStyle w:val="Compact"/>
        <w:numPr>
          <w:ilvl w:val="0"/>
          <w:numId w:val="17"/>
        </w:numPr>
      </w:pPr>
      <w:r>
        <w:t>تحديد سياسة الاستثمار/التحوّط.</w:t>
      </w:r>
      <w:r>
        <w:br/>
      </w:r>
    </w:p>
    <w:p w14:paraId="61AFEB95" w14:textId="77777777" w:rsidR="00F40CCB" w:rsidRDefault="00000000">
      <w:pPr>
        <w:pStyle w:val="Compact"/>
        <w:numPr>
          <w:ilvl w:val="0"/>
          <w:numId w:val="17"/>
        </w:numPr>
      </w:pPr>
      <w:r>
        <w:t>تنفيذ عبر المنصّة/خدمات المكتب.</w:t>
      </w:r>
      <w:r>
        <w:br/>
      </w:r>
    </w:p>
    <w:p w14:paraId="34EDAE63" w14:textId="77777777" w:rsidR="00F40CCB" w:rsidRDefault="00000000">
      <w:pPr>
        <w:pStyle w:val="Compact"/>
        <w:numPr>
          <w:ilvl w:val="0"/>
          <w:numId w:val="17"/>
        </w:numPr>
      </w:pPr>
      <w:r>
        <w:t>تقارير أداء ومخاطر دورية.</w:t>
      </w:r>
      <w:r>
        <w:br/>
      </w:r>
    </w:p>
    <w:p w14:paraId="1D47DE17" w14:textId="77777777" w:rsidR="00F40CCB" w:rsidRDefault="00000000">
      <w:pPr>
        <w:pStyle w:val="Compact"/>
        <w:numPr>
          <w:ilvl w:val="0"/>
          <w:numId w:val="17"/>
        </w:numPr>
      </w:pPr>
      <w:r>
        <w:t>مراجعة استراتيجية ربع سنوية.</w:t>
      </w:r>
    </w:p>
    <w:p w14:paraId="691FCED3" w14:textId="77777777" w:rsidR="00F40CCB" w:rsidRDefault="00000000">
      <w:pPr>
        <w:pStyle w:val="Heading3"/>
      </w:pPr>
      <w:bookmarkStart w:id="25" w:name="شركة-صناعيةمستهلك-سلع"/>
      <w:bookmarkEnd w:id="24"/>
      <w:r>
        <w:t>شركة صناعية/مستهلك سلع</w:t>
      </w:r>
    </w:p>
    <w:p w14:paraId="044E76E2" w14:textId="77777777" w:rsidR="00F40CCB" w:rsidRDefault="00000000">
      <w:pPr>
        <w:pStyle w:val="Compact"/>
        <w:numPr>
          <w:ilvl w:val="0"/>
          <w:numId w:val="18"/>
        </w:numPr>
      </w:pPr>
      <w:r>
        <w:t>تشخيص انكشاف السعر والعملة.</w:t>
      </w:r>
      <w:r>
        <w:br/>
      </w:r>
    </w:p>
    <w:p w14:paraId="513363BD" w14:textId="77777777" w:rsidR="00F40CCB" w:rsidRDefault="00000000">
      <w:pPr>
        <w:pStyle w:val="Compact"/>
        <w:numPr>
          <w:ilvl w:val="0"/>
          <w:numId w:val="18"/>
        </w:numPr>
      </w:pPr>
      <w:r>
        <w:t>تصميم برنامج تحوّط وحدود تفويض.</w:t>
      </w:r>
      <w:r>
        <w:br/>
      </w:r>
    </w:p>
    <w:p w14:paraId="3B8626DF" w14:textId="77777777" w:rsidR="00F40CCB" w:rsidRDefault="00000000">
      <w:pPr>
        <w:pStyle w:val="Compact"/>
        <w:numPr>
          <w:ilvl w:val="0"/>
          <w:numId w:val="18"/>
        </w:numPr>
      </w:pPr>
      <w:r>
        <w:t>تنفيذ مشتقات/توريد طويل الأجل.</w:t>
      </w:r>
      <w:r>
        <w:br/>
      </w:r>
    </w:p>
    <w:p w14:paraId="248E115B" w14:textId="77777777" w:rsidR="00F40CCB" w:rsidRDefault="00000000">
      <w:pPr>
        <w:pStyle w:val="Compact"/>
        <w:numPr>
          <w:ilvl w:val="0"/>
          <w:numId w:val="18"/>
        </w:numPr>
      </w:pPr>
      <w:r>
        <w:t>تقارير فعالية ومحاسبة تحوّط.</w:t>
      </w:r>
      <w:r>
        <w:br/>
      </w:r>
    </w:p>
    <w:p w14:paraId="793C8973" w14:textId="77777777" w:rsidR="00F40CCB" w:rsidRDefault="00000000">
      <w:pPr>
        <w:pStyle w:val="Compact"/>
        <w:numPr>
          <w:ilvl w:val="0"/>
          <w:numId w:val="18"/>
        </w:numPr>
      </w:pPr>
      <w:r>
        <w:t>تحسين مستمر.</w:t>
      </w:r>
    </w:p>
    <w:p w14:paraId="2272063A" w14:textId="77777777" w:rsidR="00F40CCB" w:rsidRDefault="00000000">
      <w:r>
        <w:pict w14:anchorId="3D477338">
          <v:rect id="_x0000_i1035" style="width:0;height:1.5pt" o:hralign="center" o:hrstd="t" o:hr="t"/>
        </w:pict>
      </w:r>
    </w:p>
    <w:p w14:paraId="0B65A5E2" w14:textId="77777777" w:rsidR="00F40CCB" w:rsidRDefault="00000000">
      <w:pPr>
        <w:pStyle w:val="Heading2"/>
      </w:pPr>
      <w:bookmarkStart w:id="26" w:name="التغطية-الجغرافية-والفروع"/>
      <w:bookmarkEnd w:id="23"/>
      <w:bookmarkEnd w:id="25"/>
      <w:r>
        <w:t>10) التغطية الجغرافية والفروع</w:t>
      </w:r>
    </w:p>
    <w:p w14:paraId="5599752A" w14:textId="77777777" w:rsidR="00F40CCB" w:rsidRDefault="00000000">
      <w:pPr>
        <w:pStyle w:val="FirstParagraph"/>
      </w:pPr>
      <w:r>
        <w:rPr>
          <w:b/>
          <w:bCs/>
        </w:rPr>
        <w:t>المملكة المتحدة (UK):</w:t>
      </w:r>
      <w:r>
        <w:t xml:space="preserve"> 128 City Road, London, United Kingdom, EC1V 2NX</w:t>
      </w:r>
      <w:r>
        <w:br/>
      </w:r>
      <w:r>
        <w:rPr>
          <w:b/>
          <w:bCs/>
        </w:rPr>
        <w:t>الولايات المتحدة (US):</w:t>
      </w:r>
      <w:r>
        <w:t xml:space="preserve"> 30 N Gould St, Ste R, Sheridan, WY 82801</w:t>
      </w:r>
      <w:r>
        <w:br/>
      </w:r>
      <w:r>
        <w:rPr>
          <w:b/>
          <w:bCs/>
        </w:rPr>
        <w:t>الإمارات العربية المتحدة (UAE):</w:t>
      </w:r>
      <w:r>
        <w:t xml:space="preserve"> أبوظبي – City of Lights، برج Addax (جزيرة الريم)</w:t>
      </w:r>
    </w:p>
    <w:p w14:paraId="15F34CA7" w14:textId="77777777" w:rsidR="00F40CCB" w:rsidRDefault="00000000">
      <w:r>
        <w:pict w14:anchorId="791C11C4">
          <v:rect id="_x0000_i1036" style="width:0;height:1.5pt" o:hralign="center" o:hrstd="t" o:hr="t"/>
        </w:pict>
      </w:r>
    </w:p>
    <w:p w14:paraId="31D05459" w14:textId="77777777" w:rsidR="00F40CCB" w:rsidRDefault="00000000">
      <w:pPr>
        <w:pStyle w:val="Heading2"/>
      </w:pPr>
      <w:bookmarkStart w:id="27" w:name="الأسئلة-الشائعة-faq"/>
      <w:bookmarkEnd w:id="26"/>
      <w:r>
        <w:t>11) الأسئلة الشائعة (FAQ)</w:t>
      </w:r>
    </w:p>
    <w:p w14:paraId="20409E38" w14:textId="77777777" w:rsidR="00F40CCB" w:rsidRDefault="00000000">
      <w:pPr>
        <w:pStyle w:val="FirstParagraph"/>
      </w:pPr>
      <w:r>
        <w:rPr>
          <w:b/>
          <w:bCs/>
        </w:rPr>
        <w:t>هل أستطيع استلام السبائك فعليًا؟</w:t>
      </w:r>
      <w:r>
        <w:br/>
        <w:t>متاح للحسابات المخصصة وفق شروط التخزين والشحن والتأمين.</w:t>
      </w:r>
      <w:r>
        <w:br/>
      </w:r>
      <w:r>
        <w:rPr>
          <w:b/>
          <w:bCs/>
        </w:rPr>
        <w:t>هل تقدّمون تحوّطًا للعملة؟</w:t>
      </w:r>
      <w:r>
        <w:br/>
        <w:t>نعم، عبر أدوات نقد أجنبي موازية حسب سياسة العميل.</w:t>
      </w:r>
      <w:r>
        <w:br/>
      </w:r>
      <w:r>
        <w:rPr>
          <w:b/>
          <w:bCs/>
        </w:rPr>
        <w:t>هل المنتجات متاحة للأفراد؟</w:t>
      </w:r>
      <w:r>
        <w:br/>
        <w:t>بعضها موجّه للمستثمرين المؤهلين فقط تبعًا للولاية القضائية.</w:t>
      </w:r>
    </w:p>
    <w:p w14:paraId="6A02938C" w14:textId="77777777" w:rsidR="00F40CCB" w:rsidRDefault="00000000">
      <w:r>
        <w:pict w14:anchorId="44E29805">
          <v:rect id="_x0000_i1037" style="width:0;height:1.5pt" o:hralign="center" o:hrstd="t" o:hr="t"/>
        </w:pict>
      </w:r>
    </w:p>
    <w:p w14:paraId="7FE34D74" w14:textId="77777777" w:rsidR="00F40CCB" w:rsidRDefault="00000000">
      <w:pPr>
        <w:pStyle w:val="Heading2"/>
      </w:pPr>
      <w:bookmarkStart w:id="28" w:name="المستندات-والسياسات"/>
      <w:bookmarkEnd w:id="27"/>
      <w:r>
        <w:t>12) المستندات والسياسات</w:t>
      </w:r>
    </w:p>
    <w:p w14:paraId="4E1F550C" w14:textId="77777777" w:rsidR="00F40CCB" w:rsidRDefault="00000000">
      <w:pPr>
        <w:pStyle w:val="Compact"/>
        <w:numPr>
          <w:ilvl w:val="0"/>
          <w:numId w:val="19"/>
        </w:numPr>
      </w:pPr>
      <w:r>
        <w:t>الشروط والأحكام العامة</w:t>
      </w:r>
      <w:r>
        <w:br/>
      </w:r>
    </w:p>
    <w:p w14:paraId="230E9B95" w14:textId="77777777" w:rsidR="00F40CCB" w:rsidRDefault="00000000">
      <w:pPr>
        <w:pStyle w:val="Compact"/>
        <w:numPr>
          <w:ilvl w:val="0"/>
          <w:numId w:val="19"/>
        </w:numPr>
      </w:pPr>
      <w:r>
        <w:t>سياسة الخصوصية وحماية البيانات</w:t>
      </w:r>
      <w:r>
        <w:br/>
      </w:r>
    </w:p>
    <w:p w14:paraId="02735E07" w14:textId="77777777" w:rsidR="00F40CCB" w:rsidRDefault="00000000">
      <w:pPr>
        <w:pStyle w:val="Compact"/>
        <w:numPr>
          <w:ilvl w:val="0"/>
          <w:numId w:val="19"/>
        </w:numPr>
      </w:pPr>
      <w:r>
        <w:t>سياسة مكافحة غسل الأموال وتمويل الإرهاب (AML/CFT)</w:t>
      </w:r>
      <w:r>
        <w:br/>
      </w:r>
    </w:p>
    <w:p w14:paraId="1EEADD2E" w14:textId="77777777" w:rsidR="00F40CCB" w:rsidRDefault="00000000">
      <w:pPr>
        <w:pStyle w:val="Compact"/>
        <w:numPr>
          <w:ilvl w:val="0"/>
          <w:numId w:val="19"/>
        </w:numPr>
      </w:pPr>
      <w:r>
        <w:t>إفصاحات المخاطر</w:t>
      </w:r>
      <w:r>
        <w:br/>
      </w:r>
    </w:p>
    <w:p w14:paraId="3333EEC1" w14:textId="77777777" w:rsidR="00F40CCB" w:rsidRDefault="00000000">
      <w:pPr>
        <w:pStyle w:val="Compact"/>
        <w:numPr>
          <w:ilvl w:val="0"/>
          <w:numId w:val="19"/>
        </w:numPr>
      </w:pPr>
      <w:r>
        <w:t>وثائق الطرح/نشرات المعلومات/اتفاقيات الاكتتاب (للمنتجات الاستثمارية)</w:t>
      </w:r>
      <w:r>
        <w:br/>
      </w:r>
    </w:p>
    <w:p w14:paraId="6A5B1FB4" w14:textId="77777777" w:rsidR="00F40CCB" w:rsidRDefault="00000000">
      <w:pPr>
        <w:pStyle w:val="Compact"/>
        <w:numPr>
          <w:ilvl w:val="0"/>
          <w:numId w:val="19"/>
        </w:numPr>
      </w:pPr>
      <w:r>
        <w:t>سياسة الشكاوى وحل النزاعات</w:t>
      </w:r>
      <w:r>
        <w:br/>
      </w:r>
    </w:p>
    <w:p w14:paraId="44DC2211" w14:textId="77777777" w:rsidR="00F40CCB" w:rsidRDefault="00000000">
      <w:pPr>
        <w:pStyle w:val="Compact"/>
        <w:numPr>
          <w:ilvl w:val="0"/>
          <w:numId w:val="19"/>
        </w:numPr>
      </w:pPr>
      <w:r>
        <w:t>سياسة تضارب المصالح</w:t>
      </w:r>
      <w:r>
        <w:br/>
      </w:r>
    </w:p>
    <w:p w14:paraId="4C13D2AC" w14:textId="77777777" w:rsidR="00F40CCB" w:rsidRDefault="00000000">
      <w:pPr>
        <w:pStyle w:val="Compact"/>
        <w:numPr>
          <w:ilvl w:val="0"/>
          <w:numId w:val="19"/>
        </w:numPr>
      </w:pPr>
      <w:r>
        <w:t>سياسة الاستمرارية وخطط الطوارئ (BCP/DRP)</w:t>
      </w:r>
      <w:r>
        <w:br/>
      </w:r>
    </w:p>
    <w:p w14:paraId="2F85EAED" w14:textId="77777777" w:rsidR="00F40CCB" w:rsidRDefault="00000000">
      <w:pPr>
        <w:pStyle w:val="Compact"/>
        <w:numPr>
          <w:ilvl w:val="0"/>
          <w:numId w:val="19"/>
        </w:numPr>
      </w:pPr>
      <w:r>
        <w:t>سياسة الأمن السيبراني وإدارة الثغرات</w:t>
      </w:r>
    </w:p>
    <w:p w14:paraId="3F9242CA" w14:textId="77777777" w:rsidR="00F40CCB" w:rsidRDefault="00000000">
      <w:pPr>
        <w:pStyle w:val="BlockText"/>
      </w:pPr>
      <w:r>
        <w:t>تُنشر كروابط PDF قابلة للتنزيل وتُخصّص بحسب الولاية القضائية.</w:t>
      </w:r>
    </w:p>
    <w:p w14:paraId="69191E2A" w14:textId="77777777" w:rsidR="00F40CCB" w:rsidRDefault="00000000">
      <w:r>
        <w:pict w14:anchorId="43EECF8F">
          <v:rect id="_x0000_i1038" style="width:0;height:1.5pt" o:hralign="center" o:hrstd="t" o:hr="t"/>
        </w:pict>
      </w:r>
    </w:p>
    <w:p w14:paraId="03A728D9" w14:textId="77777777" w:rsidR="00F40CCB" w:rsidRDefault="00000000">
      <w:pPr>
        <w:pStyle w:val="Heading2"/>
      </w:pPr>
      <w:bookmarkStart w:id="29" w:name="تواصل-معنا"/>
      <w:bookmarkEnd w:id="28"/>
      <w:r>
        <w:t>13) تواصل معنا</w:t>
      </w:r>
    </w:p>
    <w:p w14:paraId="3ED6BC69" w14:textId="77777777" w:rsidR="00F40CCB" w:rsidRDefault="00000000">
      <w:pPr>
        <w:pStyle w:val="FirstParagraph"/>
      </w:pPr>
      <w:r>
        <w:rPr>
          <w:b/>
          <w:bCs/>
        </w:rPr>
        <w:t>المستثمرون المؤسسيون/HNW:</w:t>
      </w:r>
      <w:r>
        <w:t xml:space="preserve"> ir@capimetals.com</w:t>
      </w:r>
      <w:r>
        <w:br/>
      </w:r>
      <w:r>
        <w:rPr>
          <w:b/>
          <w:bCs/>
        </w:rPr>
        <w:t>حلول التحوّط للشركات:</w:t>
      </w:r>
      <w:r>
        <w:t xml:space="preserve"> hedging@capimetals.com</w:t>
      </w:r>
      <w:r>
        <w:br/>
      </w:r>
      <w:r>
        <w:rPr>
          <w:b/>
          <w:bCs/>
        </w:rPr>
        <w:t>شركاء التخزين/الحفظ:</w:t>
      </w:r>
      <w:r>
        <w:t xml:space="preserve"> custody@capimetals.com</w:t>
      </w:r>
      <w:r>
        <w:br/>
      </w:r>
      <w:r>
        <w:rPr>
          <w:b/>
          <w:bCs/>
        </w:rPr>
        <w:t>الدعم العام:</w:t>
      </w:r>
      <w:r>
        <w:t xml:space="preserve"> info@capimetals.com</w:t>
      </w:r>
      <w:r>
        <w:br/>
      </w:r>
      <w:r>
        <w:rPr>
          <w:b/>
          <w:bCs/>
        </w:rPr>
        <w:t>العناوين:</w:t>
      </w:r>
      <w:r>
        <w:t xml:space="preserve"> كما في قسم الفروع</w:t>
      </w:r>
    </w:p>
    <w:p w14:paraId="4F06EF18" w14:textId="77777777" w:rsidR="00F40CCB" w:rsidRDefault="00000000">
      <w:r>
        <w:pict w14:anchorId="3B9D6F53">
          <v:rect id="_x0000_i1039" style="width:0;height:1.5pt" o:hralign="center" o:hrstd="t" o:hr="t"/>
        </w:pict>
      </w:r>
    </w:p>
    <w:p w14:paraId="580F5B96" w14:textId="77777777" w:rsidR="00F40CCB" w:rsidRDefault="00000000">
      <w:pPr>
        <w:pStyle w:val="Heading2"/>
      </w:pPr>
      <w:bookmarkStart w:id="30" w:name="تحذير-مخاطر-عام"/>
      <w:bookmarkEnd w:id="29"/>
      <w:r>
        <w:t>تحذير مخاطر عام</w:t>
      </w:r>
    </w:p>
    <w:p w14:paraId="60396A99" w14:textId="77777777" w:rsidR="00F40CCB" w:rsidRDefault="00000000">
      <w:pPr>
        <w:pStyle w:val="FirstParagraph"/>
      </w:pPr>
      <w:r>
        <w:t>تنطوي استثمارات السلع والمعادن والطاقة على مخاطر تذبذب أسعار، سيولة، طرف مقابل، وتغيّر أطر تنظيمية. الأداء التاريخي لا يضمن نتائج مستقبلية. بعض المنتجات موجّهة لمستثمرين مؤهلين فقط. يُرجى قراءة الوثائق والإفصاحات واستشارة مختص قبل اتخاذ القرار.</w:t>
      </w:r>
    </w:p>
    <w:p w14:paraId="15BB5902" w14:textId="77777777" w:rsidR="00F40CCB" w:rsidRDefault="00000000">
      <w:r>
        <w:pict w14:anchorId="21C49CD8">
          <v:rect id="_x0000_i1040" style="width:0;height:1.5pt" o:hralign="center" o:hrstd="t" o:hr="t"/>
        </w:pict>
      </w:r>
    </w:p>
    <w:p w14:paraId="4F526B01" w14:textId="77777777" w:rsidR="00F40CCB" w:rsidRDefault="00000000">
      <w:pPr>
        <w:pStyle w:val="Heading2"/>
      </w:pPr>
      <w:bookmarkStart w:id="31" w:name="ملاحظات-تنفيذية-للفريق-التقنيالتصميم"/>
      <w:bookmarkEnd w:id="30"/>
      <w:r>
        <w:t>ملاحظات تنفيذية (للفريق التقني/التصميم)</w:t>
      </w:r>
    </w:p>
    <w:p w14:paraId="27DFF7EE" w14:textId="77777777" w:rsidR="00F40CCB" w:rsidRDefault="00000000">
      <w:pPr>
        <w:pStyle w:val="Compact"/>
        <w:numPr>
          <w:ilvl w:val="0"/>
          <w:numId w:val="20"/>
        </w:numPr>
      </w:pPr>
      <w:r>
        <w:t>ثنائي اللغة (عربي/English)، WCAG 2.1، أداء عالٍ وأمن معلومات.</w:t>
      </w:r>
      <w:r>
        <w:br/>
      </w:r>
    </w:p>
    <w:p w14:paraId="563734E2" w14:textId="77777777" w:rsidR="00F40CCB" w:rsidRDefault="00000000">
      <w:pPr>
        <w:pStyle w:val="Compact"/>
        <w:numPr>
          <w:ilvl w:val="0"/>
          <w:numId w:val="20"/>
        </w:numPr>
      </w:pPr>
      <w:r>
        <w:t>تكامل KYC/AML، توقيع إلكتروني، ربط مصرفي وبوابات دفع، تقارير PDF.</w:t>
      </w:r>
      <w:r>
        <w:br/>
      </w:r>
    </w:p>
    <w:p w14:paraId="1EF4B0A0" w14:textId="77777777" w:rsidR="00F40CCB" w:rsidRDefault="00000000">
      <w:pPr>
        <w:pStyle w:val="Compact"/>
        <w:numPr>
          <w:ilvl w:val="0"/>
          <w:numId w:val="20"/>
        </w:numPr>
      </w:pPr>
      <w:r>
        <w:t>بطاقات فرص ديناميكية، جداول تسعير فورية، اختيار موقع التخزين، وتتبع أوامر.</w:t>
      </w:r>
      <w:r>
        <w:br/>
      </w:r>
    </w:p>
    <w:p w14:paraId="2C289A88" w14:textId="77777777" w:rsidR="00F40CCB" w:rsidRDefault="00000000">
      <w:pPr>
        <w:pStyle w:val="Compact"/>
        <w:numPr>
          <w:ilvl w:val="0"/>
          <w:numId w:val="20"/>
        </w:numPr>
      </w:pPr>
      <w:r>
        <w:t>لوحة مؤشرات مخاطر (قيمة معرّضة للخطر/انحراف/هامش).</w:t>
      </w:r>
      <w:r>
        <w:br/>
      </w:r>
    </w:p>
    <w:p w14:paraId="2CBD13EC" w14:textId="77777777" w:rsidR="00F40CCB" w:rsidRDefault="00000000">
      <w:pPr>
        <w:pStyle w:val="Compact"/>
        <w:numPr>
          <w:ilvl w:val="0"/>
          <w:numId w:val="20"/>
        </w:numPr>
      </w:pPr>
      <w:r>
        <w:t>روابط تنزيل ملف تعريفي وورش عمل تحوّط (Webinars).</w:t>
      </w:r>
      <w:bookmarkEnd w:id="0"/>
      <w:bookmarkEnd w:id="31"/>
    </w:p>
    <w:sectPr w:rsidR="00F40CC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B0B4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C2E7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3A6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B1467D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3010067">
    <w:abstractNumId w:val="0"/>
  </w:num>
  <w:num w:numId="2" w16cid:durableId="1129709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3338624">
    <w:abstractNumId w:val="1"/>
  </w:num>
  <w:num w:numId="4" w16cid:durableId="2045984319">
    <w:abstractNumId w:val="1"/>
  </w:num>
  <w:num w:numId="5" w16cid:durableId="665207645">
    <w:abstractNumId w:val="1"/>
  </w:num>
  <w:num w:numId="6" w16cid:durableId="1440368609">
    <w:abstractNumId w:val="1"/>
  </w:num>
  <w:num w:numId="7" w16cid:durableId="1824345142">
    <w:abstractNumId w:val="1"/>
  </w:num>
  <w:num w:numId="8" w16cid:durableId="185607414">
    <w:abstractNumId w:val="1"/>
  </w:num>
  <w:num w:numId="9" w16cid:durableId="1303149658">
    <w:abstractNumId w:val="1"/>
  </w:num>
  <w:num w:numId="10" w16cid:durableId="515076380">
    <w:abstractNumId w:val="1"/>
  </w:num>
  <w:num w:numId="11" w16cid:durableId="1977955432">
    <w:abstractNumId w:val="1"/>
  </w:num>
  <w:num w:numId="12" w16cid:durableId="1838569439">
    <w:abstractNumId w:val="1"/>
  </w:num>
  <w:num w:numId="13" w16cid:durableId="1754475124">
    <w:abstractNumId w:val="1"/>
  </w:num>
  <w:num w:numId="14" w16cid:durableId="829951767">
    <w:abstractNumId w:val="1"/>
  </w:num>
  <w:num w:numId="15" w16cid:durableId="1530685059">
    <w:abstractNumId w:val="1"/>
  </w:num>
  <w:num w:numId="16" w16cid:durableId="1694919818">
    <w:abstractNumId w:val="1"/>
  </w:num>
  <w:num w:numId="17" w16cid:durableId="13538050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9258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0856568">
    <w:abstractNumId w:val="1"/>
  </w:num>
  <w:num w:numId="20" w16cid:durableId="143367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CB"/>
    <w:rsid w:val="0089322A"/>
    <w:rsid w:val="00A40C93"/>
    <w:rsid w:val="00CC514C"/>
    <w:rsid w:val="00EB3821"/>
    <w:rsid w:val="00F40C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FD54"/>
  <w15:docId w15:val="{6AFAF73F-D825-4CF2-AC8B-C87E8D54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ibrahim gad</dc:creator>
  <cp:keywords/>
  <cp:lastModifiedBy>ibrahim gad</cp:lastModifiedBy>
  <cp:revision>2</cp:revision>
  <dcterms:created xsi:type="dcterms:W3CDTF">2025-08-20T17:42:00Z</dcterms:created>
  <dcterms:modified xsi:type="dcterms:W3CDTF">2025-08-20T17:42:00Z</dcterms:modified>
</cp:coreProperties>
</file>