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91CE" w14:textId="77777777" w:rsidR="00C62F59" w:rsidRDefault="00000000">
      <w:pPr>
        <w:pStyle w:val="Heading1"/>
      </w:pPr>
      <w:bookmarkStart w:id="0" w:name="كابي-ماكس-للإدارة-المالية"/>
      <w:r>
        <w:t>كابي ماكس للإدارة المالية</w:t>
      </w:r>
    </w:p>
    <w:p w14:paraId="18B372CA" w14:textId="77777777" w:rsidR="00C62F59" w:rsidRDefault="00000000">
      <w:pPr>
        <w:pStyle w:val="FirstParagraph"/>
      </w:pPr>
      <w:r>
        <w:t xml:space="preserve">شركة بريطانية متخصصة في </w:t>
      </w:r>
      <w:r>
        <w:rPr>
          <w:b/>
          <w:bCs/>
        </w:rPr>
        <w:t>الإدارة المالية للشركات</w:t>
      </w:r>
      <w:r>
        <w:t>، و</w:t>
      </w:r>
      <w:r>
        <w:rPr>
          <w:b/>
          <w:bCs/>
        </w:rPr>
        <w:t>المحاسبة</w:t>
      </w:r>
      <w:r>
        <w:t>، و</w:t>
      </w:r>
      <w:r>
        <w:rPr>
          <w:b/>
          <w:bCs/>
        </w:rPr>
        <w:t>التقييم والنمذجة المالية</w:t>
      </w:r>
      <w:r>
        <w:t>، و</w:t>
      </w:r>
      <w:r>
        <w:rPr>
          <w:b/>
          <w:bCs/>
        </w:rPr>
        <w:t>المراجعة/التدقيق والضمان</w:t>
      </w:r>
      <w:r>
        <w:t>، و</w:t>
      </w:r>
      <w:r>
        <w:rPr>
          <w:b/>
          <w:bCs/>
        </w:rPr>
        <w:t>دراسات الجدوى</w:t>
      </w:r>
      <w:r>
        <w:t>، مع حضور تشغيلي في المملكة المتحدة والولايات المتحدة والإمارات. نمكّن القيادات التنفيذية من اتخاذ قرارات دقيقة عبر تقارير مالية موثوقة، ونماذج متينة، وضوابط داخلية قوية، وحلول رقمنة مالية متكاملة.</w:t>
      </w:r>
    </w:p>
    <w:p w14:paraId="4BF57D92" w14:textId="77777777" w:rsidR="00C62F59" w:rsidRDefault="00000000">
      <w:r>
        <w:pict w14:anchorId="12CC9D77">
          <v:rect id="_x0000_i1025" style="width:0;height:1.5pt" o:hralign="center" o:hrstd="t" o:hr="t"/>
        </w:pict>
      </w:r>
    </w:p>
    <w:p w14:paraId="23DF3377" w14:textId="77777777" w:rsidR="00C62F59" w:rsidRDefault="00000000">
      <w:pPr>
        <w:pStyle w:val="Heading2"/>
      </w:pPr>
      <w:bookmarkStart w:id="1" w:name="خارطة-الموقع-site-map"/>
      <w:r>
        <w:t>خارطة الموقع (Site Map)</w:t>
      </w:r>
    </w:p>
    <w:p w14:paraId="44C62583" w14:textId="77777777" w:rsidR="00C62F59" w:rsidRDefault="00000000">
      <w:pPr>
        <w:pStyle w:val="Compact"/>
        <w:numPr>
          <w:ilvl w:val="0"/>
          <w:numId w:val="2"/>
        </w:numPr>
      </w:pPr>
      <w:r>
        <w:t>الصفحة الرئيسية</w:t>
      </w:r>
    </w:p>
    <w:p w14:paraId="0099DECC" w14:textId="77777777" w:rsidR="00C62F59" w:rsidRDefault="00000000">
      <w:pPr>
        <w:pStyle w:val="Compact"/>
        <w:numPr>
          <w:ilvl w:val="0"/>
          <w:numId w:val="2"/>
        </w:numPr>
      </w:pPr>
      <w:r>
        <w:t>من نحن (الهوية والحوكمة)</w:t>
      </w:r>
    </w:p>
    <w:p w14:paraId="2A04E12C" w14:textId="77777777" w:rsidR="00C62F59" w:rsidRDefault="00000000">
      <w:pPr>
        <w:pStyle w:val="Compact"/>
        <w:numPr>
          <w:ilvl w:val="0"/>
          <w:numId w:val="2"/>
        </w:numPr>
      </w:pPr>
      <w:r>
        <w:t>خدماتنا</w:t>
      </w:r>
    </w:p>
    <w:p w14:paraId="183F1D25" w14:textId="77777777" w:rsidR="00C62F59" w:rsidRDefault="00000000">
      <w:pPr>
        <w:pStyle w:val="Compact"/>
        <w:numPr>
          <w:ilvl w:val="0"/>
          <w:numId w:val="2"/>
        </w:numPr>
      </w:pPr>
      <w:r>
        <w:t>القطاعات التي نخدمها</w:t>
      </w:r>
    </w:p>
    <w:p w14:paraId="484DD059" w14:textId="77777777" w:rsidR="00C62F59" w:rsidRDefault="00000000">
      <w:pPr>
        <w:pStyle w:val="Compact"/>
        <w:numPr>
          <w:ilvl w:val="0"/>
          <w:numId w:val="2"/>
        </w:numPr>
      </w:pPr>
      <w:r>
        <w:t>منصّاتنا الرقمية وتكامل الأنظمة</w:t>
      </w:r>
    </w:p>
    <w:p w14:paraId="6C3EB57E" w14:textId="77777777" w:rsidR="00C62F59" w:rsidRDefault="00000000">
      <w:pPr>
        <w:pStyle w:val="Compact"/>
        <w:numPr>
          <w:ilvl w:val="0"/>
          <w:numId w:val="2"/>
        </w:numPr>
      </w:pPr>
      <w:r>
        <w:t>دراسات حالة ونتائج</w:t>
      </w:r>
    </w:p>
    <w:p w14:paraId="3CC58C20" w14:textId="77777777" w:rsidR="00C62F59" w:rsidRDefault="00000000">
      <w:pPr>
        <w:pStyle w:val="Compact"/>
        <w:numPr>
          <w:ilvl w:val="0"/>
          <w:numId w:val="2"/>
        </w:numPr>
      </w:pPr>
      <w:r>
        <w:t>رحلة العميل (شركات ناشئة/نمو/مؤسسات)</w:t>
      </w:r>
    </w:p>
    <w:p w14:paraId="019D6A17" w14:textId="77777777" w:rsidR="00C62F59" w:rsidRDefault="00000000">
      <w:pPr>
        <w:pStyle w:val="Compact"/>
        <w:numPr>
          <w:ilvl w:val="0"/>
          <w:numId w:val="2"/>
        </w:numPr>
      </w:pPr>
      <w:r>
        <w:t>التغطية الجغرافية والفروع</w:t>
      </w:r>
    </w:p>
    <w:p w14:paraId="0EFBAC41" w14:textId="77777777" w:rsidR="00C62F59" w:rsidRDefault="00000000">
      <w:pPr>
        <w:pStyle w:val="Compact"/>
        <w:numPr>
          <w:ilvl w:val="0"/>
          <w:numId w:val="2"/>
        </w:numPr>
      </w:pPr>
      <w:r>
        <w:t>الأسئلة الشائعة (FAQ)</w:t>
      </w:r>
    </w:p>
    <w:p w14:paraId="680C006B" w14:textId="77777777" w:rsidR="00C62F59" w:rsidRDefault="00000000">
      <w:pPr>
        <w:pStyle w:val="Compact"/>
        <w:numPr>
          <w:ilvl w:val="0"/>
          <w:numId w:val="2"/>
        </w:numPr>
      </w:pPr>
      <w:r>
        <w:t>المستندات والسياسات</w:t>
      </w:r>
    </w:p>
    <w:p w14:paraId="2F79072A" w14:textId="77777777" w:rsidR="00C62F59" w:rsidRDefault="00000000">
      <w:pPr>
        <w:pStyle w:val="Compact"/>
        <w:numPr>
          <w:ilvl w:val="0"/>
          <w:numId w:val="2"/>
        </w:numPr>
      </w:pPr>
      <w:r>
        <w:t>تواصل معنا</w:t>
      </w:r>
    </w:p>
    <w:p w14:paraId="5114A2D5" w14:textId="77777777" w:rsidR="00C62F59" w:rsidRDefault="00000000">
      <w:r>
        <w:pict w14:anchorId="4EC197C6">
          <v:rect id="_x0000_i1026" style="width:0;height:1.5pt" o:hralign="center" o:hrstd="t" o:hr="t"/>
        </w:pict>
      </w:r>
    </w:p>
    <w:p w14:paraId="1FB7B7A6" w14:textId="77777777" w:rsidR="00C62F59" w:rsidRDefault="00000000">
      <w:pPr>
        <w:pStyle w:val="Heading2"/>
      </w:pPr>
      <w:bookmarkStart w:id="2" w:name="الصفحة-الرئيسية"/>
      <w:bookmarkEnd w:id="1"/>
      <w:r>
        <w:t>1) الصفحة الرئيسية</w:t>
      </w:r>
    </w:p>
    <w:p w14:paraId="660D0EDA" w14:textId="77777777" w:rsidR="00C62F59" w:rsidRDefault="00000000">
      <w:pPr>
        <w:pStyle w:val="FirstParagraph"/>
      </w:pPr>
      <w:r>
        <w:rPr>
          <w:b/>
          <w:bCs/>
        </w:rPr>
        <w:t>عبارة بطولية (Hero):</w:t>
      </w:r>
      <w:r>
        <w:br/>
      </w:r>
      <w:r>
        <w:rPr>
          <w:b/>
          <w:bCs/>
        </w:rPr>
        <w:t>ماليات دقيقة، قرارات أسرع — من الدفاتر إلى لوحات القيادة.</w:t>
      </w:r>
    </w:p>
    <w:p w14:paraId="1DFFC033" w14:textId="77777777" w:rsidR="00C62F59" w:rsidRDefault="00000000">
      <w:pPr>
        <w:pStyle w:val="BodyText"/>
      </w:pPr>
      <w:r>
        <w:rPr>
          <w:b/>
          <w:bCs/>
        </w:rPr>
        <w:t>وصف موجز:</w:t>
      </w:r>
      <w:r>
        <w:br/>
        <w:t>نقدّم إدارة مالية مؤسسية وخدمات محاسبة وتقييم ودراسات جدوى وتدقيق وضمان، مع خبرة بقطاعات متنوّعة وحلول رقمنة حديثة (ERP/BI/RPA) تدعم النمو وتُحكم المخاطر.</w:t>
      </w:r>
    </w:p>
    <w:p w14:paraId="777D39CB" w14:textId="77777777" w:rsidR="00C62F59" w:rsidRDefault="00000000">
      <w:pPr>
        <w:pStyle w:val="BodyText"/>
      </w:pPr>
      <w:r>
        <w:rPr>
          <w:b/>
          <w:bCs/>
        </w:rPr>
        <w:t>دعوات الإجراء (CTAs):</w:t>
      </w:r>
      <w:r>
        <w:br/>
        <w:t>- احجز استشارة مالية</w:t>
      </w:r>
      <w:r>
        <w:br/>
        <w:t>- اطلب تقييمًا لشركتك</w:t>
      </w:r>
      <w:r>
        <w:br/>
        <w:t>- اطلب دراسة جدوى</w:t>
      </w:r>
      <w:r>
        <w:br/>
        <w:t>- اكتشف حلول التحوّل المالي</w:t>
      </w:r>
    </w:p>
    <w:p w14:paraId="1A1F15B6" w14:textId="77777777" w:rsidR="00C62F59" w:rsidRDefault="00000000">
      <w:pPr>
        <w:pStyle w:val="BodyText"/>
      </w:pPr>
      <w:r>
        <w:rPr>
          <w:b/>
          <w:bCs/>
        </w:rPr>
        <w:t>مزايا سريعة:</w:t>
      </w:r>
      <w:r>
        <w:br/>
        <w:t>تقارير دقيقة – امتثال ومعايير – نماذج شفافة – رقمنة مالية – شراكات تمويل وتأمين وتقييم.</w:t>
      </w:r>
    </w:p>
    <w:p w14:paraId="3590AF6D" w14:textId="77777777" w:rsidR="00C62F59" w:rsidRDefault="00000000">
      <w:r>
        <w:pict w14:anchorId="73E873F3">
          <v:rect id="_x0000_i1027" style="width:0;height:1.5pt" o:hralign="center" o:hrstd="t" o:hr="t"/>
        </w:pict>
      </w:r>
    </w:p>
    <w:p w14:paraId="0AA6A6F1" w14:textId="77777777" w:rsidR="00C62F59" w:rsidRDefault="00000000">
      <w:pPr>
        <w:pStyle w:val="Heading2"/>
      </w:pPr>
      <w:bookmarkStart w:id="3" w:name="من-نحن-الهوية-والحوكمة"/>
      <w:bookmarkEnd w:id="2"/>
      <w:r>
        <w:lastRenderedPageBreak/>
        <w:t>2) من نحن (الهوية والحوكمة)</w:t>
      </w:r>
    </w:p>
    <w:p w14:paraId="365F23D3" w14:textId="77777777" w:rsidR="00C62F59" w:rsidRDefault="00000000">
      <w:pPr>
        <w:pStyle w:val="Heading3"/>
      </w:pPr>
      <w:bookmarkStart w:id="4" w:name="رسالتنا"/>
      <w:r>
        <w:t>رسالتنا</w:t>
      </w:r>
    </w:p>
    <w:p w14:paraId="7AEE18EF" w14:textId="77777777" w:rsidR="00C62F59" w:rsidRDefault="00000000">
      <w:pPr>
        <w:pStyle w:val="FirstParagraph"/>
      </w:pPr>
      <w:r>
        <w:t>تحويل الأرقام إلى بصيرة قابلة للتنفيذ عبر ممارسات مهنية راسخة وأدوات رقمية متقدمة.</w:t>
      </w:r>
    </w:p>
    <w:p w14:paraId="1B3F8D60" w14:textId="77777777" w:rsidR="00C62F59" w:rsidRDefault="00000000">
      <w:pPr>
        <w:pStyle w:val="Heading3"/>
      </w:pPr>
      <w:bookmarkStart w:id="5" w:name="رؤيتنا"/>
      <w:bookmarkEnd w:id="4"/>
      <w:r>
        <w:t>رؤيتنا</w:t>
      </w:r>
    </w:p>
    <w:p w14:paraId="701F5BC9" w14:textId="77777777" w:rsidR="00C62F59" w:rsidRDefault="00000000">
      <w:pPr>
        <w:pStyle w:val="FirstParagraph"/>
      </w:pPr>
      <w:r>
        <w:t>أن نكون شريك الإدارة المالية الموثوق للشركات في أوروبا والشرق الأوسط وأمريكا، مع قدرة على تمكين القرارات المعقّدة بثقة وسرعة.</w:t>
      </w:r>
    </w:p>
    <w:p w14:paraId="7E112BE5" w14:textId="77777777" w:rsidR="00C62F59" w:rsidRDefault="00000000">
      <w:pPr>
        <w:pStyle w:val="Heading3"/>
      </w:pPr>
      <w:bookmarkStart w:id="6" w:name="قيمنا"/>
      <w:bookmarkEnd w:id="5"/>
      <w:r>
        <w:t>قيمنا</w:t>
      </w:r>
    </w:p>
    <w:p w14:paraId="73CDF663" w14:textId="77777777" w:rsidR="00C62F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الدقة والموثوقية</w:t>
      </w:r>
      <w:r>
        <w:t>: جودة بيانات وتقارير يمكن الاعتماد عليها.</w:t>
      </w:r>
      <w:r>
        <w:br/>
      </w:r>
    </w:p>
    <w:p w14:paraId="3F721A18" w14:textId="77777777" w:rsidR="00C62F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الشفافية</w:t>
      </w:r>
      <w:r>
        <w:t>: سياسات إفصاح ورسوم واضحة.</w:t>
      </w:r>
      <w:r>
        <w:br/>
      </w:r>
    </w:p>
    <w:p w14:paraId="175FD460" w14:textId="77777777" w:rsidR="00C62F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الامتثال</w:t>
      </w:r>
      <w:r>
        <w:t>: التزام بالمعايير (IFRS/UK GAAP/US GAAP/ISA/ISAE).</w:t>
      </w:r>
      <w:r>
        <w:br/>
      </w:r>
    </w:p>
    <w:p w14:paraId="52632F8E" w14:textId="77777777" w:rsidR="00C62F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التحوّل والابتكار</w:t>
      </w:r>
      <w:r>
        <w:t>: تبنّي حلول ERP وBI والأتمتة الذكية.</w:t>
      </w:r>
      <w:r>
        <w:br/>
      </w:r>
    </w:p>
    <w:p w14:paraId="42243BC5" w14:textId="77777777" w:rsidR="00C62F5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السرية</w:t>
      </w:r>
      <w:r>
        <w:t>: حماية معلومات العملاء وتعاقدات غير إفصاح.</w:t>
      </w:r>
    </w:p>
    <w:p w14:paraId="0315BE99" w14:textId="77777777" w:rsidR="00C62F59" w:rsidRDefault="00000000">
      <w:pPr>
        <w:pStyle w:val="Heading3"/>
      </w:pPr>
      <w:bookmarkStart w:id="7" w:name="الحوكمة"/>
      <w:bookmarkEnd w:id="6"/>
      <w:r>
        <w:t>الحوكمة</w:t>
      </w:r>
    </w:p>
    <w:p w14:paraId="743DB8BD" w14:textId="77777777" w:rsidR="00C62F59" w:rsidRDefault="00000000">
      <w:pPr>
        <w:pStyle w:val="Compact"/>
        <w:numPr>
          <w:ilvl w:val="0"/>
          <w:numId w:val="4"/>
        </w:numPr>
      </w:pPr>
      <w:r>
        <w:t>استقلالية وخاصّة في خدمات الضمان.</w:t>
      </w:r>
      <w:r>
        <w:br/>
      </w:r>
    </w:p>
    <w:p w14:paraId="7EE51D99" w14:textId="77777777" w:rsidR="00C62F59" w:rsidRDefault="00000000">
      <w:pPr>
        <w:pStyle w:val="Compact"/>
        <w:numPr>
          <w:ilvl w:val="0"/>
          <w:numId w:val="4"/>
        </w:numPr>
      </w:pPr>
      <w:r>
        <w:t>إطار مخاطر وضوابط داخلية وفق COSO.</w:t>
      </w:r>
      <w:r>
        <w:br/>
      </w:r>
    </w:p>
    <w:p w14:paraId="36AD7FED" w14:textId="77777777" w:rsidR="00C62F59" w:rsidRDefault="00000000">
      <w:pPr>
        <w:pStyle w:val="Compact"/>
        <w:numPr>
          <w:ilvl w:val="0"/>
          <w:numId w:val="4"/>
        </w:numPr>
      </w:pPr>
      <w:r>
        <w:t>سياسات تضارب مصالح، واستمرارية أعمال (BCP/DRP)، وأمن سيبراني.</w:t>
      </w:r>
    </w:p>
    <w:p w14:paraId="39117EFD" w14:textId="77777777" w:rsidR="00C62F59" w:rsidRDefault="00000000">
      <w:r>
        <w:pict w14:anchorId="37B51622">
          <v:rect id="_x0000_i1028" style="width:0;height:1.5pt" o:hralign="center" o:hrstd="t" o:hr="t"/>
        </w:pict>
      </w:r>
    </w:p>
    <w:p w14:paraId="6F418C38" w14:textId="77777777" w:rsidR="00C62F59" w:rsidRDefault="00000000">
      <w:pPr>
        <w:pStyle w:val="Heading2"/>
      </w:pPr>
      <w:bookmarkStart w:id="8" w:name="خدماتنا-تفصيل"/>
      <w:bookmarkEnd w:id="3"/>
      <w:bookmarkEnd w:id="7"/>
      <w:r>
        <w:t>3) خدماتنا (تفصيل)</w:t>
      </w:r>
    </w:p>
    <w:p w14:paraId="40AD3828" w14:textId="77777777" w:rsidR="00C62F59" w:rsidRDefault="00000000">
      <w:pPr>
        <w:pStyle w:val="Heading3"/>
      </w:pPr>
      <w:bookmarkStart w:id="9" w:name="الإدارة-المالية-للشركات-cfo-as-a-service"/>
      <w:r>
        <w:t>3.1 الإدارة المالية للشركات (CFO-as-a-Service)</w:t>
      </w:r>
    </w:p>
    <w:p w14:paraId="50501B17" w14:textId="77777777" w:rsidR="00C62F59" w:rsidRDefault="00000000">
      <w:pPr>
        <w:pStyle w:val="Compact"/>
        <w:numPr>
          <w:ilvl w:val="0"/>
          <w:numId w:val="5"/>
        </w:numPr>
      </w:pPr>
      <w:r>
        <w:t>التخطيط الاستراتيجي، وإدارة الميزانية والتوقعات.</w:t>
      </w:r>
      <w:r>
        <w:br/>
      </w:r>
    </w:p>
    <w:p w14:paraId="2C2C22EA" w14:textId="77777777" w:rsidR="00C62F59" w:rsidRDefault="00000000">
      <w:pPr>
        <w:pStyle w:val="Compact"/>
        <w:numPr>
          <w:ilvl w:val="0"/>
          <w:numId w:val="5"/>
        </w:numPr>
      </w:pPr>
      <w:r>
        <w:t>إدارة التدفق النقدي ورأس المال العامل؛ سياسات خزينة.</w:t>
      </w:r>
      <w:r>
        <w:br/>
      </w:r>
    </w:p>
    <w:p w14:paraId="34443184" w14:textId="77777777" w:rsidR="00C62F59" w:rsidRDefault="00000000">
      <w:pPr>
        <w:pStyle w:val="Compact"/>
        <w:numPr>
          <w:ilvl w:val="0"/>
          <w:numId w:val="5"/>
        </w:numPr>
      </w:pPr>
      <w:r>
        <w:t>لوحات قيادة تنفيذية KPI/OKR؛ سيناريوهات وحساسية (What-if).</w:t>
      </w:r>
      <w:r>
        <w:br/>
      </w:r>
    </w:p>
    <w:p w14:paraId="372C6BDF" w14:textId="77777777" w:rsidR="00C62F59" w:rsidRDefault="00000000">
      <w:pPr>
        <w:pStyle w:val="Compact"/>
        <w:numPr>
          <w:ilvl w:val="0"/>
          <w:numId w:val="5"/>
        </w:numPr>
      </w:pPr>
      <w:r>
        <w:t>إعداد سياسات مالية ومصفوفات صلاحيات وتفويضات.</w:t>
      </w:r>
    </w:p>
    <w:p w14:paraId="3E331876" w14:textId="77777777" w:rsidR="00C62F59" w:rsidRDefault="00000000">
      <w:pPr>
        <w:pStyle w:val="Heading3"/>
      </w:pPr>
      <w:bookmarkStart w:id="10" w:name="المحاسبة-وإعداد-التقارير"/>
      <w:bookmarkEnd w:id="9"/>
      <w:r>
        <w:t>3.2 المحاسبة وإعداد التقارير</w:t>
      </w:r>
    </w:p>
    <w:p w14:paraId="493E4786" w14:textId="77777777" w:rsidR="00C62F59" w:rsidRDefault="00000000">
      <w:pPr>
        <w:pStyle w:val="Compact"/>
        <w:numPr>
          <w:ilvl w:val="0"/>
          <w:numId w:val="6"/>
        </w:numPr>
      </w:pPr>
      <w:r>
        <w:t>مسك الدفاتر، الذمم المدينة/الدائنة، التسويات البنكية.</w:t>
      </w:r>
      <w:r>
        <w:br/>
      </w:r>
    </w:p>
    <w:p w14:paraId="754AC5A7" w14:textId="77777777" w:rsidR="00C62F59" w:rsidRDefault="00000000">
      <w:pPr>
        <w:pStyle w:val="Compact"/>
        <w:numPr>
          <w:ilvl w:val="0"/>
          <w:numId w:val="6"/>
        </w:numPr>
      </w:pPr>
      <w:r>
        <w:t>إدارة الأصول الثابتة والإهلاك؛ الاعتراف بالإيراد (IFRS 15) والأدوات المالية (IFRS 9) والإيجارات (IFRS 16).</w:t>
      </w:r>
      <w:r>
        <w:br/>
      </w:r>
    </w:p>
    <w:p w14:paraId="508DA009" w14:textId="77777777" w:rsidR="00C62F59" w:rsidRDefault="00000000">
      <w:pPr>
        <w:pStyle w:val="Compact"/>
        <w:numPr>
          <w:ilvl w:val="0"/>
          <w:numId w:val="6"/>
        </w:numPr>
      </w:pPr>
      <w:r>
        <w:t>إقفال شهري/ربع سنوي، وقوائم مالية سنوية مع إفصاحات.</w:t>
      </w:r>
      <w:r>
        <w:br/>
      </w:r>
    </w:p>
    <w:p w14:paraId="64416996" w14:textId="77777777" w:rsidR="00C62F59" w:rsidRDefault="00000000">
      <w:pPr>
        <w:pStyle w:val="Compact"/>
        <w:numPr>
          <w:ilvl w:val="0"/>
          <w:numId w:val="6"/>
        </w:numPr>
      </w:pPr>
      <w:r>
        <w:t>إعداد تقارير الإدارة ومذكرات محاسبية تفصيلية.</w:t>
      </w:r>
    </w:p>
    <w:p w14:paraId="3C7C840C" w14:textId="77777777" w:rsidR="00C62F59" w:rsidRDefault="00000000">
      <w:pPr>
        <w:pStyle w:val="Heading3"/>
      </w:pPr>
      <w:bookmarkStart w:id="11" w:name="المراجعة-والضمان-assurance"/>
      <w:bookmarkEnd w:id="10"/>
      <w:r>
        <w:t>3.3 المراجعة والضمان (Assurance)</w:t>
      </w:r>
    </w:p>
    <w:p w14:paraId="0FE2910F" w14:textId="77777777" w:rsidR="00C62F59" w:rsidRDefault="00000000">
      <w:pPr>
        <w:pStyle w:val="Compact"/>
        <w:numPr>
          <w:ilvl w:val="0"/>
          <w:numId w:val="7"/>
        </w:numPr>
      </w:pPr>
      <w:r>
        <w:t>تدقيق خارجي/فحص محدود/إجراءات متفق عليها (AUP) بالتوافق مع الاستقلالية وولاية الخدمة.</w:t>
      </w:r>
      <w:r>
        <w:br/>
      </w:r>
    </w:p>
    <w:p w14:paraId="01E3B7FB" w14:textId="77777777" w:rsidR="00C62F59" w:rsidRDefault="00000000">
      <w:pPr>
        <w:pStyle w:val="Compact"/>
        <w:numPr>
          <w:ilvl w:val="0"/>
          <w:numId w:val="7"/>
        </w:numPr>
      </w:pPr>
      <w:r>
        <w:t>مراجعات داخلية وتقييم الضوابط؛ اختبار امتثال العمليات.</w:t>
      </w:r>
      <w:r>
        <w:br/>
      </w:r>
    </w:p>
    <w:p w14:paraId="1815CF42" w14:textId="77777777" w:rsidR="00C62F59" w:rsidRDefault="00000000">
      <w:pPr>
        <w:pStyle w:val="Compact"/>
        <w:numPr>
          <w:ilvl w:val="0"/>
          <w:numId w:val="7"/>
        </w:numPr>
      </w:pPr>
      <w:r>
        <w:t>تقارير خاصة للمموّلين/المستثمرين.</w:t>
      </w:r>
    </w:p>
    <w:p w14:paraId="17BCDDDD" w14:textId="77777777" w:rsidR="00C62F59" w:rsidRDefault="00000000">
      <w:pPr>
        <w:pStyle w:val="Heading3"/>
      </w:pPr>
      <w:bookmarkStart w:id="12" w:name="التقييم-والنمذجة-المالية"/>
      <w:bookmarkEnd w:id="11"/>
      <w:r>
        <w:t>3.4 التقييم والنمذجة المالية</w:t>
      </w:r>
    </w:p>
    <w:p w14:paraId="43982B52" w14:textId="77777777" w:rsidR="00C62F59" w:rsidRDefault="00000000">
      <w:pPr>
        <w:pStyle w:val="Compact"/>
        <w:numPr>
          <w:ilvl w:val="0"/>
          <w:numId w:val="8"/>
        </w:numPr>
      </w:pPr>
      <w:r>
        <w:t>تقييم شركات/وحدات أعمال: DCF، مضاعفات السوق، صفقات مقارنة.</w:t>
      </w:r>
      <w:r>
        <w:br/>
      </w:r>
    </w:p>
    <w:p w14:paraId="3FC2BFEE" w14:textId="77777777" w:rsidR="00C62F59" w:rsidRDefault="00000000">
      <w:pPr>
        <w:pStyle w:val="Compact"/>
        <w:numPr>
          <w:ilvl w:val="0"/>
          <w:numId w:val="8"/>
        </w:numPr>
      </w:pPr>
      <w:r>
        <w:t>تقييم أصول عقارية/استثمارية؛ دراسات قيمة عادلة (IFRS 13).</w:t>
      </w:r>
      <w:r>
        <w:br/>
      </w:r>
    </w:p>
    <w:p w14:paraId="2D49F0D1" w14:textId="77777777" w:rsidR="00C62F59" w:rsidRDefault="00000000">
      <w:pPr>
        <w:pStyle w:val="Compact"/>
        <w:numPr>
          <w:ilvl w:val="0"/>
          <w:numId w:val="8"/>
        </w:numPr>
      </w:pPr>
      <w:r>
        <w:t>نمذجة صفقات (M&amp;A) وتحليل تآزر؛ تخصيص سعر الشراء (PPA) واختبارات الهبوط (Impairment).</w:t>
      </w:r>
      <w:r>
        <w:br/>
      </w:r>
    </w:p>
    <w:p w14:paraId="08A85639" w14:textId="77777777" w:rsidR="00C62F59" w:rsidRDefault="00000000">
      <w:pPr>
        <w:pStyle w:val="Compact"/>
        <w:numPr>
          <w:ilvl w:val="0"/>
          <w:numId w:val="8"/>
        </w:numPr>
      </w:pPr>
      <w:r>
        <w:t>آراء حيادية (Fairness Opinions) حيثما يُطلب.</w:t>
      </w:r>
    </w:p>
    <w:p w14:paraId="3D008972" w14:textId="77777777" w:rsidR="00C62F59" w:rsidRDefault="00000000">
      <w:pPr>
        <w:pStyle w:val="Heading3"/>
      </w:pPr>
      <w:bookmarkStart w:id="13" w:name="دراسات-الجدوى-وخطط-الأعمال"/>
      <w:bookmarkEnd w:id="12"/>
      <w:r>
        <w:t>3.5 دراسات الجدوى وخطط الأعمال</w:t>
      </w:r>
    </w:p>
    <w:p w14:paraId="58A5B1DB" w14:textId="77777777" w:rsidR="00C62F59" w:rsidRDefault="00000000">
      <w:pPr>
        <w:pStyle w:val="Compact"/>
        <w:numPr>
          <w:ilvl w:val="0"/>
          <w:numId w:val="9"/>
        </w:numPr>
      </w:pPr>
      <w:r>
        <w:t>دراسة سوق/تشغيل/تقنية/قانونية؛ نموذج أعمال؛ خطة تشغيلية.</w:t>
      </w:r>
      <w:r>
        <w:br/>
      </w:r>
    </w:p>
    <w:p w14:paraId="67A4F76C" w14:textId="77777777" w:rsidR="00C62F59" w:rsidRDefault="00000000">
      <w:pPr>
        <w:pStyle w:val="Compact"/>
        <w:numPr>
          <w:ilvl w:val="0"/>
          <w:numId w:val="9"/>
        </w:numPr>
      </w:pPr>
      <w:r>
        <w:t>نموذج مالي 5–7 سنوات، سيناريوهات وحساسية؛ NPV/IRR/Payback.</w:t>
      </w:r>
      <w:r>
        <w:br/>
      </w:r>
    </w:p>
    <w:p w14:paraId="3EB4D468" w14:textId="77777777" w:rsidR="00C62F59" w:rsidRDefault="00000000">
      <w:pPr>
        <w:pStyle w:val="Compact"/>
        <w:numPr>
          <w:ilvl w:val="0"/>
          <w:numId w:val="9"/>
        </w:numPr>
      </w:pPr>
      <w:r>
        <w:t>توصيات دخول السوق والتسعير وقنوات التوزيع.</w:t>
      </w:r>
    </w:p>
    <w:p w14:paraId="3A458262" w14:textId="77777777" w:rsidR="00C62F59" w:rsidRDefault="00000000">
      <w:pPr>
        <w:pStyle w:val="Heading3"/>
      </w:pPr>
      <w:bookmarkStart w:id="14" w:name="X222b4bf8197ff3882d9b9277626a050a99fdca3"/>
      <w:bookmarkEnd w:id="13"/>
      <w:r>
        <w:t>3.6 الصفقات والفحص النافي للجهالة (Transaction &amp; Due Diligence)</w:t>
      </w:r>
    </w:p>
    <w:p w14:paraId="17A7B2F6" w14:textId="77777777" w:rsidR="00C62F59" w:rsidRDefault="00000000">
      <w:pPr>
        <w:pStyle w:val="Compact"/>
        <w:numPr>
          <w:ilvl w:val="0"/>
          <w:numId w:val="10"/>
        </w:numPr>
      </w:pPr>
      <w:r>
        <w:t>مالي/تشغيلي/ضريبي عالي المستوى؛ قضايا رأس المال العامل والديون الشبيهة.</w:t>
      </w:r>
      <w:r>
        <w:br/>
      </w:r>
    </w:p>
    <w:p w14:paraId="1789342D" w14:textId="77777777" w:rsidR="00C62F59" w:rsidRDefault="00000000">
      <w:pPr>
        <w:pStyle w:val="Compact"/>
        <w:numPr>
          <w:ilvl w:val="0"/>
          <w:numId w:val="10"/>
        </w:numPr>
      </w:pPr>
      <w:r>
        <w:t>دعم التفاوض، هيكلة مقابل/دفعات مؤجلة، حوكمة ما بعد الإغلاق (PMI).</w:t>
      </w:r>
    </w:p>
    <w:p w14:paraId="05A36DA8" w14:textId="77777777" w:rsidR="00C62F59" w:rsidRDefault="00000000">
      <w:pPr>
        <w:pStyle w:val="Heading3"/>
      </w:pPr>
      <w:bookmarkStart w:id="15" w:name="إدارة-المخاطر-والرقابة-الداخلية"/>
      <w:bookmarkEnd w:id="14"/>
      <w:r>
        <w:t>3.7 إدارة المخاطر والرقابة الداخلية</w:t>
      </w:r>
    </w:p>
    <w:p w14:paraId="69B26832" w14:textId="77777777" w:rsidR="00C62F59" w:rsidRDefault="00000000">
      <w:pPr>
        <w:pStyle w:val="Compact"/>
        <w:numPr>
          <w:ilvl w:val="0"/>
          <w:numId w:val="11"/>
        </w:numPr>
      </w:pPr>
      <w:r>
        <w:t>تصميم ضوابط وفق COSO؛ فصل واجبات؛ مصفوفات صلاحيات.</w:t>
      </w:r>
      <w:r>
        <w:br/>
      </w:r>
    </w:p>
    <w:p w14:paraId="7C543FC5" w14:textId="77777777" w:rsidR="00C62F59" w:rsidRDefault="00000000">
      <w:pPr>
        <w:pStyle w:val="Compact"/>
        <w:numPr>
          <w:ilvl w:val="0"/>
          <w:numId w:val="11"/>
        </w:numPr>
      </w:pPr>
      <w:r>
        <w:t>خرائط مخاطر ومؤشرات KRIs؛ خطط علاج ومتابعة.</w:t>
      </w:r>
      <w:r>
        <w:br/>
      </w:r>
    </w:p>
    <w:p w14:paraId="471F6133" w14:textId="77777777" w:rsidR="00C62F59" w:rsidRDefault="00000000">
      <w:pPr>
        <w:pStyle w:val="Compact"/>
        <w:numPr>
          <w:ilvl w:val="0"/>
          <w:numId w:val="11"/>
        </w:numPr>
      </w:pPr>
      <w:r>
        <w:t>سياسات مكافحة الاحتيال وسجلات تدقيق.</w:t>
      </w:r>
    </w:p>
    <w:p w14:paraId="19E0CC74" w14:textId="77777777" w:rsidR="00C62F59" w:rsidRDefault="00000000">
      <w:pPr>
        <w:pStyle w:val="Heading3"/>
      </w:pPr>
      <w:bookmarkStart w:id="16" w:name="الضرائب-والامتثال-توجيه-عام"/>
      <w:bookmarkEnd w:id="15"/>
      <w:r>
        <w:t>3.8 الضرائب والامتثال (توجيه عام)</w:t>
      </w:r>
    </w:p>
    <w:p w14:paraId="60103955" w14:textId="77777777" w:rsidR="00C62F59" w:rsidRDefault="00000000">
      <w:pPr>
        <w:pStyle w:val="Compact"/>
        <w:numPr>
          <w:ilvl w:val="0"/>
          <w:numId w:val="12"/>
        </w:numPr>
      </w:pPr>
      <w:r>
        <w:t>تخطيط ضريبي عالي المستوى وتنسيق مع مزوّدين مرخّصين محليًا.</w:t>
      </w:r>
      <w:r>
        <w:br/>
      </w:r>
    </w:p>
    <w:p w14:paraId="69745EBF" w14:textId="77777777" w:rsidR="00C62F59" w:rsidRDefault="00000000">
      <w:pPr>
        <w:pStyle w:val="Compact"/>
        <w:numPr>
          <w:ilvl w:val="0"/>
          <w:numId w:val="12"/>
        </w:numPr>
      </w:pPr>
      <w:r>
        <w:t>إعداد/مراجعة إقرارات VAT/ضرائب الشركات حيث يلزم عبر شركاء مختصين.</w:t>
      </w:r>
    </w:p>
    <w:p w14:paraId="3063C2AB" w14:textId="77777777" w:rsidR="00C62F59" w:rsidRDefault="00000000">
      <w:pPr>
        <w:pStyle w:val="Heading3"/>
      </w:pPr>
      <w:bookmarkStart w:id="17" w:name="التحول-المالي-والرقمنة"/>
      <w:bookmarkEnd w:id="16"/>
      <w:r>
        <w:t>3.9 التحوّل المالي والرقمنة</w:t>
      </w:r>
    </w:p>
    <w:p w14:paraId="7E2FE891" w14:textId="77777777" w:rsidR="00C62F59" w:rsidRDefault="00000000">
      <w:pPr>
        <w:pStyle w:val="Compact"/>
        <w:numPr>
          <w:ilvl w:val="0"/>
          <w:numId w:val="13"/>
        </w:numPr>
      </w:pPr>
      <w:r>
        <w:t xml:space="preserve">اختيار وتنفيذ </w:t>
      </w:r>
      <w:r>
        <w:rPr>
          <w:b/>
          <w:bCs/>
        </w:rPr>
        <w:t>ERP</w:t>
      </w:r>
      <w:r>
        <w:t xml:space="preserve"> (مثال: SAP/Oracle/Microsoft Dynamics/Odoo).</w:t>
      </w:r>
      <w:r>
        <w:br/>
      </w:r>
    </w:p>
    <w:p w14:paraId="0EFA09B3" w14:textId="77777777" w:rsidR="00C62F5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BI</w:t>
      </w:r>
      <w:r>
        <w:t xml:space="preserve"> ولوحات قيادة (Power BI/Tableau) وربط مستودعات البيانات.</w:t>
      </w:r>
      <w:r>
        <w:br/>
      </w:r>
    </w:p>
    <w:p w14:paraId="2952D7CB" w14:textId="77777777" w:rsidR="00C62F5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RPA</w:t>
      </w:r>
      <w:r>
        <w:t xml:space="preserve"> لأتمتة القيود/التسويات والفواتير الإلكترونية والتوقيع الرقمي.</w:t>
      </w:r>
      <w:r>
        <w:br/>
      </w:r>
    </w:p>
    <w:p w14:paraId="6A2D5053" w14:textId="77777777" w:rsidR="00C62F59" w:rsidRDefault="00000000">
      <w:pPr>
        <w:pStyle w:val="Compact"/>
        <w:numPr>
          <w:ilvl w:val="0"/>
          <w:numId w:val="13"/>
        </w:numPr>
      </w:pPr>
      <w:r>
        <w:t>ضوابط وصول، فصل بيئات (Dev/Test/Prod) وحوكمة بيانات.</w:t>
      </w:r>
    </w:p>
    <w:p w14:paraId="676F683A" w14:textId="77777777" w:rsidR="00C62F59" w:rsidRDefault="00000000">
      <w:pPr>
        <w:pStyle w:val="Heading3"/>
      </w:pPr>
      <w:bookmarkStart w:id="18" w:name="X7fa1a9aa004c6857e0545ef45cb4422045164ad"/>
      <w:bookmarkEnd w:id="17"/>
      <w:r>
        <w:t>3.10 الأصول الافتراضية والبلوكتشين (Crypto Finance)</w:t>
      </w:r>
    </w:p>
    <w:p w14:paraId="37FE5E60" w14:textId="77777777" w:rsidR="00C62F59" w:rsidRDefault="00000000">
      <w:pPr>
        <w:pStyle w:val="Compact"/>
        <w:numPr>
          <w:ilvl w:val="0"/>
          <w:numId w:val="14"/>
        </w:numPr>
      </w:pPr>
      <w:r>
        <w:t>محاسبة العملات المشفّرة والرموز؛ تصنيف وقياس والاعتراف.</w:t>
      </w:r>
      <w:r>
        <w:br/>
      </w:r>
    </w:p>
    <w:p w14:paraId="34775288" w14:textId="77777777" w:rsidR="00C62F59" w:rsidRDefault="00000000">
      <w:pPr>
        <w:pStyle w:val="Compact"/>
        <w:numPr>
          <w:ilvl w:val="0"/>
          <w:numId w:val="14"/>
        </w:numPr>
      </w:pPr>
      <w:r>
        <w:t>توثيق محافظ، مصالحة على السلاسل؛ تقييم توكنات/أصول مرمّزة.</w:t>
      </w:r>
      <w:r>
        <w:br/>
      </w:r>
    </w:p>
    <w:p w14:paraId="60A5F416" w14:textId="77777777" w:rsidR="00C62F59" w:rsidRDefault="00000000">
      <w:pPr>
        <w:pStyle w:val="Compact"/>
        <w:numPr>
          <w:ilvl w:val="0"/>
          <w:numId w:val="14"/>
        </w:numPr>
      </w:pPr>
      <w:r>
        <w:t xml:space="preserve">متطلبات «Travel Rule» وامتثال </w:t>
      </w:r>
      <w:r>
        <w:rPr>
          <w:b/>
          <w:bCs/>
        </w:rPr>
        <w:t>VASPs</w:t>
      </w:r>
      <w:r>
        <w:t xml:space="preserve"> بالتعاون مع شركاء اختصاص.</w:t>
      </w:r>
    </w:p>
    <w:p w14:paraId="5991D12C" w14:textId="77777777" w:rsidR="00C62F59" w:rsidRDefault="00000000">
      <w:r>
        <w:pict w14:anchorId="391EDCB6">
          <v:rect id="_x0000_i1029" style="width:0;height:1.5pt" o:hralign="center" o:hrstd="t" o:hr="t"/>
        </w:pict>
      </w:r>
    </w:p>
    <w:p w14:paraId="4A127560" w14:textId="77777777" w:rsidR="00C62F59" w:rsidRDefault="00000000">
      <w:pPr>
        <w:pStyle w:val="Heading2"/>
      </w:pPr>
      <w:bookmarkStart w:id="19" w:name="القطاعات-التي-نخدمها"/>
      <w:bookmarkEnd w:id="8"/>
      <w:bookmarkEnd w:id="18"/>
      <w:r>
        <w:t>4) القطاعات التي نخدمها</w:t>
      </w:r>
    </w:p>
    <w:p w14:paraId="412DCF66" w14:textId="77777777" w:rsidR="00C62F59" w:rsidRDefault="00000000">
      <w:pPr>
        <w:pStyle w:val="FirstParagraph"/>
      </w:pPr>
      <w:r>
        <w:t>عقارات وتطوير وضيافة – تكنولوجيا وFinTech – تجارة وتجزئة – تصنيع ولوجستيات – رعاية صحية وتعليم – خدمات مهنية – منصّات استثمار وترميز.</w:t>
      </w:r>
    </w:p>
    <w:p w14:paraId="157A48A2" w14:textId="77777777" w:rsidR="00C62F59" w:rsidRDefault="00000000">
      <w:r>
        <w:pict w14:anchorId="7005FB18">
          <v:rect id="_x0000_i1030" style="width:0;height:1.5pt" o:hralign="center" o:hrstd="t" o:hr="t"/>
        </w:pict>
      </w:r>
    </w:p>
    <w:p w14:paraId="0F413AC2" w14:textId="77777777" w:rsidR="00C62F59" w:rsidRDefault="00000000">
      <w:pPr>
        <w:pStyle w:val="Heading2"/>
      </w:pPr>
      <w:bookmarkStart w:id="20" w:name="منصاتنا-الرقمية-وتكامل-الأنظمة"/>
      <w:bookmarkEnd w:id="19"/>
      <w:r>
        <w:t>5) منصّاتنا الرقمية وتكامل الأنظمة</w:t>
      </w:r>
    </w:p>
    <w:p w14:paraId="5477D807" w14:textId="77777777" w:rsidR="00C62F5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برج التحكّم المالي (Financial Control Tower):</w:t>
      </w:r>
      <w:r>
        <w:t xml:space="preserve"> لوحات أداء فورية للتدفق النقدي، الربحية، رأس المال العامل، والديون.</w:t>
      </w:r>
      <w:r>
        <w:br/>
      </w:r>
    </w:p>
    <w:p w14:paraId="14A75D30" w14:textId="77777777" w:rsidR="00C62F5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مستودع مستندات آمن</w:t>
      </w:r>
      <w:r>
        <w:t xml:space="preserve"> مع صلاحيات وأثر تدقيق وتوقيع إلكتروني.</w:t>
      </w:r>
      <w:r>
        <w:br/>
      </w:r>
    </w:p>
    <w:p w14:paraId="73AEA957" w14:textId="77777777" w:rsidR="00C62F5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تكاملات ERP/BI</w:t>
      </w:r>
      <w:r>
        <w:t xml:space="preserve"> وواجهات </w:t>
      </w:r>
      <w:r>
        <w:rPr>
          <w:b/>
          <w:bCs/>
        </w:rPr>
        <w:t>APIs</w:t>
      </w:r>
      <w:r>
        <w:t xml:space="preserve"> مع المصارف وبوابات الدفع.</w:t>
      </w:r>
      <w:r>
        <w:br/>
      </w:r>
    </w:p>
    <w:p w14:paraId="0EA36392" w14:textId="77777777" w:rsidR="00C62F5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مركز طلبات العملاء</w:t>
      </w:r>
      <w:r>
        <w:t xml:space="preserve"> (تذاكر/مهام/سير عمل) و</w:t>
      </w:r>
      <w:r>
        <w:rPr>
          <w:b/>
          <w:bCs/>
        </w:rPr>
        <w:t>تقارير شهرية تلقائية</w:t>
      </w:r>
      <w:r>
        <w:t>.</w:t>
      </w:r>
    </w:p>
    <w:p w14:paraId="2D2FA059" w14:textId="77777777" w:rsidR="00C62F59" w:rsidRDefault="00000000">
      <w:r>
        <w:pict w14:anchorId="307EC4C6">
          <v:rect id="_x0000_i1031" style="width:0;height:1.5pt" o:hralign="center" o:hrstd="t" o:hr="t"/>
        </w:pict>
      </w:r>
    </w:p>
    <w:p w14:paraId="172734AD" w14:textId="77777777" w:rsidR="00C62F59" w:rsidRDefault="00000000">
      <w:pPr>
        <w:pStyle w:val="Heading2"/>
      </w:pPr>
      <w:bookmarkStart w:id="21" w:name="دراسات-حالة-ونتائج-أمثلة-سردية"/>
      <w:bookmarkEnd w:id="20"/>
      <w:r>
        <w:t>6) دراسات حالة ونتائج (أمثلة سردية)</w:t>
      </w:r>
    </w:p>
    <w:p w14:paraId="561C891E" w14:textId="77777777" w:rsidR="00C62F5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تحسين رأس المال العامل لشركة توزيع:</w:t>
      </w:r>
      <w:r>
        <w:t xml:space="preserve"> تقليص دورة التحصيل 18 يومًا ورفع التدفق التشغيلي 22%.</w:t>
      </w:r>
      <w:r>
        <w:br/>
      </w:r>
    </w:p>
    <w:p w14:paraId="1FC52D8D" w14:textId="77777777" w:rsidR="00C62F5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تقييم وإعادة هيكلة لشركة تقنية:</w:t>
      </w:r>
      <w:r>
        <w:t xml:space="preserve"> نموذج DCF وسيناريوهات، خفض burn-rate 30% والوصول لنقطة التعادل خلال 12 شهرًا.</w:t>
      </w:r>
      <w:r>
        <w:br/>
      </w:r>
    </w:p>
    <w:p w14:paraId="6A71320B" w14:textId="77777777" w:rsidR="00C62F5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جدوى مشروع ضيافة:</w:t>
      </w:r>
      <w:r>
        <w:t xml:space="preserve"> IRR 17% بعد تحسين مزيج الإيراد وإدارة الطاقة.</w:t>
      </w:r>
    </w:p>
    <w:p w14:paraId="1399B634" w14:textId="77777777" w:rsidR="00C62F59" w:rsidRDefault="00000000">
      <w:pPr>
        <w:pStyle w:val="BlockText"/>
      </w:pPr>
      <w:r>
        <w:t>تفاصيل موسّعة تُشارك بعد موافقات السرية والإفصاح.</w:t>
      </w:r>
    </w:p>
    <w:p w14:paraId="0AEF9314" w14:textId="77777777" w:rsidR="00C62F59" w:rsidRDefault="00000000">
      <w:r>
        <w:pict w14:anchorId="0A4FBFEB">
          <v:rect id="_x0000_i1032" style="width:0;height:1.5pt" o:hralign="center" o:hrstd="t" o:hr="t"/>
        </w:pict>
      </w:r>
    </w:p>
    <w:p w14:paraId="23EA23DC" w14:textId="77777777" w:rsidR="00C62F59" w:rsidRDefault="00000000">
      <w:pPr>
        <w:pStyle w:val="Heading2"/>
      </w:pPr>
      <w:bookmarkStart w:id="22" w:name="رحلة-العميل"/>
      <w:bookmarkEnd w:id="21"/>
      <w:r>
        <w:t>7) رحلة العميل</w:t>
      </w:r>
    </w:p>
    <w:p w14:paraId="686E6E3C" w14:textId="77777777" w:rsidR="00C62F59" w:rsidRDefault="00000000">
      <w:pPr>
        <w:pStyle w:val="Heading3"/>
      </w:pPr>
      <w:bookmarkStart w:id="23" w:name="الشركات-الناشئة"/>
      <w:r>
        <w:t>الشركات الناشئة</w:t>
      </w:r>
    </w:p>
    <w:p w14:paraId="6F87E04A" w14:textId="77777777" w:rsidR="00C62F59" w:rsidRDefault="00000000">
      <w:pPr>
        <w:pStyle w:val="Compact"/>
        <w:numPr>
          <w:ilvl w:val="0"/>
          <w:numId w:val="17"/>
        </w:numPr>
      </w:pPr>
      <w:r>
        <w:t>تشخيص سريع – 2) ضبط سياسات – 3) نظم محاسبة – 4) تقارير مستثمرين – 5) إعداد جولة تمويل.</w:t>
      </w:r>
    </w:p>
    <w:p w14:paraId="4AB477AF" w14:textId="77777777" w:rsidR="00C62F59" w:rsidRDefault="00000000">
      <w:pPr>
        <w:pStyle w:val="Heading3"/>
      </w:pPr>
      <w:bookmarkStart w:id="24" w:name="شركات-في-مرحلة-النمو"/>
      <w:bookmarkEnd w:id="23"/>
      <w:r>
        <w:t>شركات في مرحلة النمو</w:t>
      </w:r>
    </w:p>
    <w:p w14:paraId="086057B5" w14:textId="77777777" w:rsidR="00C62F59" w:rsidRDefault="00000000">
      <w:pPr>
        <w:pStyle w:val="Compact"/>
        <w:numPr>
          <w:ilvl w:val="0"/>
          <w:numId w:val="18"/>
        </w:numPr>
      </w:pPr>
      <w:r>
        <w:t>أتمتة ERP/BI – 2) KPI/OKR – 3) تحسين رأس المال العامل – 4) التمويل البنكي/السندي – 5) إدارة المخاطر.</w:t>
      </w:r>
    </w:p>
    <w:p w14:paraId="73117A24" w14:textId="77777777" w:rsidR="00C62F59" w:rsidRDefault="00000000">
      <w:pPr>
        <w:pStyle w:val="Heading3"/>
      </w:pPr>
      <w:bookmarkStart w:id="25" w:name="مؤسسات-كبيرة"/>
      <w:bookmarkEnd w:id="24"/>
      <w:r>
        <w:t>مؤسسات كبيرة</w:t>
      </w:r>
    </w:p>
    <w:p w14:paraId="0087AA8C" w14:textId="77777777" w:rsidR="00C62F59" w:rsidRDefault="00000000">
      <w:pPr>
        <w:pStyle w:val="Compact"/>
        <w:numPr>
          <w:ilvl w:val="0"/>
          <w:numId w:val="19"/>
        </w:numPr>
      </w:pPr>
      <w:r>
        <w:t>مراجعات داخلية – 2) ضمان/تدقيق – 3) نمذجة صفقات – 4) تحول مالي – 5) إدارة أداء متقدّمة.</w:t>
      </w:r>
    </w:p>
    <w:p w14:paraId="6FA66CE3" w14:textId="77777777" w:rsidR="00C62F59" w:rsidRDefault="00000000">
      <w:r>
        <w:pict w14:anchorId="308241A3">
          <v:rect id="_x0000_i1033" style="width:0;height:1.5pt" o:hralign="center" o:hrstd="t" o:hr="t"/>
        </w:pict>
      </w:r>
    </w:p>
    <w:p w14:paraId="5EAC2ADD" w14:textId="77777777" w:rsidR="00C62F59" w:rsidRDefault="00000000">
      <w:pPr>
        <w:pStyle w:val="Heading2"/>
      </w:pPr>
      <w:bookmarkStart w:id="26" w:name="التغطية-الجغرافية-والفروع"/>
      <w:bookmarkEnd w:id="22"/>
      <w:bookmarkEnd w:id="25"/>
      <w:r>
        <w:t>8) التغطية الجغرافية والفروع</w:t>
      </w:r>
    </w:p>
    <w:p w14:paraId="0DF542F8" w14:textId="77777777" w:rsidR="00C62F59" w:rsidRDefault="00000000">
      <w:pPr>
        <w:pStyle w:val="FirstParagraph"/>
      </w:pPr>
      <w:r>
        <w:rPr>
          <w:b/>
          <w:bCs/>
        </w:rPr>
        <w:t>المملكة المتحدة (UK):</w:t>
      </w:r>
      <w:r>
        <w:t xml:space="preserve"> 128 City Road, London, United Kingdom, EC1V 2NX</w:t>
      </w:r>
      <w:r>
        <w:br/>
      </w:r>
      <w:r>
        <w:rPr>
          <w:b/>
          <w:bCs/>
        </w:rPr>
        <w:t>الولايات المتحدة (US):</w:t>
      </w:r>
      <w:r>
        <w:t xml:space="preserve"> 30 N Gould St, Ste R, Sheridan, WY 82801</w:t>
      </w:r>
      <w:r>
        <w:br/>
      </w:r>
      <w:r>
        <w:rPr>
          <w:b/>
          <w:bCs/>
        </w:rPr>
        <w:t>الإمارات العربية المتحدة (UAE):</w:t>
      </w:r>
      <w:r>
        <w:t xml:space="preserve"> أبوظبي – City of Lights، برج Addax (جزيرة الريم)</w:t>
      </w:r>
    </w:p>
    <w:p w14:paraId="1516E00A" w14:textId="77777777" w:rsidR="00C62F59" w:rsidRDefault="00000000">
      <w:pPr>
        <w:pStyle w:val="BlockText"/>
      </w:pPr>
      <w:r>
        <w:t>تختلف الأطر التنظيمية حسب الدولة؛ نُجري مواءمات خدمة محلية عبر شركاء مرخّصين.</w:t>
      </w:r>
    </w:p>
    <w:p w14:paraId="299D9F19" w14:textId="77777777" w:rsidR="00C62F59" w:rsidRDefault="00000000">
      <w:r>
        <w:pict w14:anchorId="101CC496">
          <v:rect id="_x0000_i1034" style="width:0;height:1.5pt" o:hralign="center" o:hrstd="t" o:hr="t"/>
        </w:pict>
      </w:r>
    </w:p>
    <w:p w14:paraId="1EED5627" w14:textId="77777777" w:rsidR="00C62F59" w:rsidRDefault="00000000">
      <w:pPr>
        <w:pStyle w:val="Heading2"/>
      </w:pPr>
      <w:bookmarkStart w:id="27" w:name="الأسئلة-الشائعة-faq"/>
      <w:bookmarkEnd w:id="26"/>
      <w:r>
        <w:t>9) الأسئلة الشائعة (FAQ)</w:t>
      </w:r>
    </w:p>
    <w:p w14:paraId="120EE85E" w14:textId="77777777" w:rsidR="00C62F59" w:rsidRDefault="00000000">
      <w:pPr>
        <w:pStyle w:val="FirstParagraph"/>
      </w:pPr>
      <w:r>
        <w:rPr>
          <w:b/>
          <w:bCs/>
        </w:rPr>
        <w:t>هل يمكنكم إعداد القوائم المالية وفق معايير مختلفة؟</w:t>
      </w:r>
      <w:r>
        <w:br/>
        <w:t>نعم، IFRS/UK GAAP/US GAAP، مع جسور تسوية عند الحاجة.</w:t>
      </w:r>
      <w:r>
        <w:br/>
      </w:r>
      <w:r>
        <w:rPr>
          <w:b/>
          <w:bCs/>
        </w:rPr>
        <w:t>هل تقدّمون خدمات تدقيق خارجية كاملة؟</w:t>
      </w:r>
      <w:r>
        <w:br/>
        <w:t>نعم/أو بالتعاون مع شركاء مرخّصين حسب الولاية مع الحفاظ على الاستقلالية.</w:t>
      </w:r>
      <w:r>
        <w:br/>
      </w:r>
      <w:r>
        <w:rPr>
          <w:b/>
          <w:bCs/>
        </w:rPr>
        <w:t>كم تستغرق دراسة الجدوى؟</w:t>
      </w:r>
      <w:r>
        <w:br/>
        <w:t>يعتمد على نطاق المشروع وتوافر البيانات؛ نقدّم جدول عمل مفصّل عند الإحالة.</w:t>
      </w:r>
      <w:r>
        <w:br/>
      </w:r>
      <w:r>
        <w:rPr>
          <w:b/>
          <w:bCs/>
        </w:rPr>
        <w:t>هل تتعاملون مع العملات المشفّرة؟</w:t>
      </w:r>
      <w:r>
        <w:br/>
        <w:t>نعم، مع ضوابط امتثال ومحاسبة متخصصة.</w:t>
      </w:r>
    </w:p>
    <w:p w14:paraId="60F51B97" w14:textId="77777777" w:rsidR="00C62F59" w:rsidRDefault="00000000">
      <w:r>
        <w:pict w14:anchorId="3AAE7513">
          <v:rect id="_x0000_i1035" style="width:0;height:1.5pt" o:hralign="center" o:hrstd="t" o:hr="t"/>
        </w:pict>
      </w:r>
    </w:p>
    <w:p w14:paraId="36304799" w14:textId="77777777" w:rsidR="00C62F59" w:rsidRDefault="00000000">
      <w:pPr>
        <w:pStyle w:val="Heading2"/>
      </w:pPr>
      <w:bookmarkStart w:id="28" w:name="المستندات-والسياسات"/>
      <w:bookmarkEnd w:id="27"/>
      <w:r>
        <w:t>10) المستندات والسياسات</w:t>
      </w:r>
    </w:p>
    <w:p w14:paraId="753786F4" w14:textId="77777777" w:rsidR="00C62F59" w:rsidRDefault="00000000">
      <w:pPr>
        <w:pStyle w:val="Compact"/>
        <w:numPr>
          <w:ilvl w:val="0"/>
          <w:numId w:val="20"/>
        </w:numPr>
      </w:pPr>
      <w:r>
        <w:t>الشروط والأحكام العامة</w:t>
      </w:r>
      <w:r>
        <w:br/>
      </w:r>
    </w:p>
    <w:p w14:paraId="6E413EB1" w14:textId="77777777" w:rsidR="00C62F59" w:rsidRDefault="00000000">
      <w:pPr>
        <w:pStyle w:val="Compact"/>
        <w:numPr>
          <w:ilvl w:val="0"/>
          <w:numId w:val="20"/>
        </w:numPr>
      </w:pPr>
      <w:r>
        <w:t>سياسة الخصوصية وحماية البيانات</w:t>
      </w:r>
      <w:r>
        <w:br/>
      </w:r>
    </w:p>
    <w:p w14:paraId="580EF679" w14:textId="77777777" w:rsidR="00C62F59" w:rsidRDefault="00000000">
      <w:pPr>
        <w:pStyle w:val="Compact"/>
        <w:numPr>
          <w:ilvl w:val="0"/>
          <w:numId w:val="20"/>
        </w:numPr>
      </w:pPr>
      <w:r>
        <w:t>سياسة مكافحة غسل الأموال وتمويل الإرهاب (AML/CFT)</w:t>
      </w:r>
      <w:r>
        <w:br/>
      </w:r>
    </w:p>
    <w:p w14:paraId="511268A2" w14:textId="77777777" w:rsidR="00C62F59" w:rsidRDefault="00000000">
      <w:pPr>
        <w:pStyle w:val="Compact"/>
        <w:numPr>
          <w:ilvl w:val="0"/>
          <w:numId w:val="20"/>
        </w:numPr>
      </w:pPr>
      <w:r>
        <w:t>إفصاحات المخاطر</w:t>
      </w:r>
      <w:r>
        <w:br/>
      </w:r>
    </w:p>
    <w:p w14:paraId="4A44DF2D" w14:textId="77777777" w:rsidR="00C62F59" w:rsidRDefault="00000000">
      <w:pPr>
        <w:pStyle w:val="Compact"/>
        <w:numPr>
          <w:ilvl w:val="0"/>
          <w:numId w:val="20"/>
        </w:numPr>
      </w:pPr>
      <w:r>
        <w:t>وثائق الطرح/نشرات المعلومات/اتفاقيات الاكتتاب (عند المنتجات الاستثمارية)</w:t>
      </w:r>
      <w:r>
        <w:br/>
      </w:r>
    </w:p>
    <w:p w14:paraId="4F329065" w14:textId="77777777" w:rsidR="00C62F59" w:rsidRDefault="00000000">
      <w:pPr>
        <w:pStyle w:val="Compact"/>
        <w:numPr>
          <w:ilvl w:val="0"/>
          <w:numId w:val="20"/>
        </w:numPr>
      </w:pPr>
      <w:r>
        <w:t>سياسة الشكاوى وحل النزاعات</w:t>
      </w:r>
      <w:r>
        <w:br/>
      </w:r>
    </w:p>
    <w:p w14:paraId="61DA64BB" w14:textId="77777777" w:rsidR="00C62F59" w:rsidRDefault="00000000">
      <w:pPr>
        <w:pStyle w:val="Compact"/>
        <w:numPr>
          <w:ilvl w:val="0"/>
          <w:numId w:val="20"/>
        </w:numPr>
      </w:pPr>
      <w:r>
        <w:t>سياسة تضارب المصالح</w:t>
      </w:r>
      <w:r>
        <w:br/>
      </w:r>
    </w:p>
    <w:p w14:paraId="1257454F" w14:textId="77777777" w:rsidR="00C62F59" w:rsidRDefault="00000000">
      <w:pPr>
        <w:pStyle w:val="Compact"/>
        <w:numPr>
          <w:ilvl w:val="0"/>
          <w:numId w:val="20"/>
        </w:numPr>
      </w:pPr>
      <w:r>
        <w:t>سياسة الاستمرارية وخطط الطوارئ (BCP/DRP)</w:t>
      </w:r>
      <w:r>
        <w:br/>
      </w:r>
    </w:p>
    <w:p w14:paraId="390AA657" w14:textId="77777777" w:rsidR="00C62F59" w:rsidRDefault="00000000">
      <w:pPr>
        <w:pStyle w:val="Compact"/>
        <w:numPr>
          <w:ilvl w:val="0"/>
          <w:numId w:val="20"/>
        </w:numPr>
      </w:pPr>
      <w:r>
        <w:t>سياسة الأمن السيبراني وإدارة الثغرات</w:t>
      </w:r>
    </w:p>
    <w:p w14:paraId="689C2BBF" w14:textId="77777777" w:rsidR="00C62F59" w:rsidRDefault="00000000">
      <w:pPr>
        <w:pStyle w:val="BlockText"/>
      </w:pPr>
      <w:r>
        <w:t>تُنشر كروابط PDF قابلة للتنزيل وتُخصّص وفق الولاية (UK/US/UAE).</w:t>
      </w:r>
    </w:p>
    <w:p w14:paraId="4A473DEA" w14:textId="77777777" w:rsidR="00C62F59" w:rsidRDefault="00000000">
      <w:r>
        <w:pict w14:anchorId="51CE37C9">
          <v:rect id="_x0000_i1036" style="width:0;height:1.5pt" o:hralign="center" o:hrstd="t" o:hr="t"/>
        </w:pict>
      </w:r>
    </w:p>
    <w:p w14:paraId="2A1F19B1" w14:textId="77777777" w:rsidR="00C62F59" w:rsidRDefault="00000000">
      <w:pPr>
        <w:pStyle w:val="Heading2"/>
      </w:pPr>
      <w:bookmarkStart w:id="29" w:name="تواصل-معنا"/>
      <w:bookmarkEnd w:id="28"/>
      <w:r>
        <w:t>11) تواصل معنا</w:t>
      </w:r>
    </w:p>
    <w:p w14:paraId="0629736C" w14:textId="77777777" w:rsidR="00C62F59" w:rsidRDefault="00000000">
      <w:pPr>
        <w:pStyle w:val="FirstParagraph"/>
      </w:pPr>
      <w:r>
        <w:rPr>
          <w:b/>
          <w:bCs/>
        </w:rPr>
        <w:t>الاستشارات والخدمات:</w:t>
      </w:r>
      <w:r>
        <w:t xml:space="preserve"> services@capimaxfinance.com</w:t>
      </w:r>
      <w:r>
        <w:br/>
      </w:r>
      <w:r>
        <w:rPr>
          <w:b/>
          <w:bCs/>
        </w:rPr>
        <w:t>التقييم والنمذجة:</w:t>
      </w:r>
      <w:r>
        <w:t xml:space="preserve"> valuations@capimaxfinance.com</w:t>
      </w:r>
      <w:r>
        <w:br/>
      </w:r>
      <w:r>
        <w:rPr>
          <w:b/>
          <w:bCs/>
        </w:rPr>
        <w:t>دراسات الجدوى:</w:t>
      </w:r>
      <w:r>
        <w:t xml:space="preserve"> feasibility@capimaxfinance.com</w:t>
      </w:r>
      <w:r>
        <w:br/>
      </w:r>
      <w:r>
        <w:rPr>
          <w:b/>
          <w:bCs/>
        </w:rPr>
        <w:t>الدعم العام:</w:t>
      </w:r>
      <w:r>
        <w:t xml:space="preserve"> info@capimaxfinance.com</w:t>
      </w:r>
      <w:r>
        <w:br/>
      </w:r>
      <w:r>
        <w:rPr>
          <w:b/>
          <w:bCs/>
        </w:rPr>
        <w:t>العناوين:</w:t>
      </w:r>
      <w:r>
        <w:t xml:space="preserve"> كما في قسم الفروع</w:t>
      </w:r>
    </w:p>
    <w:p w14:paraId="7F3D9AB9" w14:textId="77777777" w:rsidR="00C62F59" w:rsidRDefault="00000000">
      <w:r>
        <w:pict w14:anchorId="6F3F0AB6">
          <v:rect id="_x0000_i1037" style="width:0;height:1.5pt" o:hralign="center" o:hrstd="t" o:hr="t"/>
        </w:pict>
      </w:r>
    </w:p>
    <w:p w14:paraId="796596A7" w14:textId="77777777" w:rsidR="00C62F59" w:rsidRDefault="00000000">
      <w:pPr>
        <w:pStyle w:val="Heading2"/>
      </w:pPr>
      <w:bookmarkStart w:id="30" w:name="تحذير-مهني-عام"/>
      <w:bookmarkEnd w:id="29"/>
      <w:r>
        <w:t>تحذير مهني عام</w:t>
      </w:r>
    </w:p>
    <w:p w14:paraId="495170CA" w14:textId="77777777" w:rsidR="00C62F59" w:rsidRDefault="00000000">
      <w:pPr>
        <w:pStyle w:val="FirstParagraph"/>
      </w:pPr>
      <w:r>
        <w:t>المعلومات المقدّمة عامة ولا تشكل نصيحة استثمارية/قانونية/ضريبية. يجب الاعتماد على الوثائق التعاقدية والتشريعات المحلية واستشارة مختص قبل اتخاذ أي قرار.</w:t>
      </w:r>
    </w:p>
    <w:p w14:paraId="5460D36B" w14:textId="77777777" w:rsidR="00C62F59" w:rsidRDefault="00000000">
      <w:r>
        <w:pict w14:anchorId="608AC926">
          <v:rect id="_x0000_i1038" style="width:0;height:1.5pt" o:hralign="center" o:hrstd="t" o:hr="t"/>
        </w:pict>
      </w:r>
    </w:p>
    <w:p w14:paraId="219B8824" w14:textId="77777777" w:rsidR="00C62F59" w:rsidRDefault="00000000">
      <w:pPr>
        <w:pStyle w:val="Heading2"/>
      </w:pPr>
      <w:bookmarkStart w:id="31" w:name="ملاحظات-تنفيذية-للفريق-التقنيالتصميم"/>
      <w:bookmarkEnd w:id="30"/>
      <w:r>
        <w:t>ملاحظات تنفيذية (للفريق التقني/التصميم)</w:t>
      </w:r>
    </w:p>
    <w:p w14:paraId="66C27F81" w14:textId="77777777" w:rsidR="00C62F59" w:rsidRDefault="00000000">
      <w:pPr>
        <w:pStyle w:val="Compact"/>
        <w:numPr>
          <w:ilvl w:val="0"/>
          <w:numId w:val="21"/>
        </w:numPr>
      </w:pPr>
      <w:r>
        <w:t>ثنائية اللغة (عربي/English)، WCAG 2.1، أداء عالٍ وأمن معلومات.</w:t>
      </w:r>
      <w:r>
        <w:br/>
      </w:r>
    </w:p>
    <w:p w14:paraId="4EA25B11" w14:textId="77777777" w:rsidR="00C62F59" w:rsidRDefault="00000000">
      <w:pPr>
        <w:pStyle w:val="Compact"/>
        <w:numPr>
          <w:ilvl w:val="0"/>
          <w:numId w:val="21"/>
        </w:numPr>
      </w:pPr>
      <w:r>
        <w:t>تكامل KYC/AML، توقيع إلكتروني، فواتير إلكترونية، وربط مصرفي.</w:t>
      </w:r>
      <w:r>
        <w:br/>
      </w:r>
    </w:p>
    <w:p w14:paraId="458C87E6" w14:textId="77777777" w:rsidR="00C62F59" w:rsidRDefault="00000000">
      <w:pPr>
        <w:pStyle w:val="Compact"/>
        <w:numPr>
          <w:ilvl w:val="0"/>
          <w:numId w:val="21"/>
        </w:numPr>
      </w:pPr>
      <w:r>
        <w:t>قوالب صفحات خدمات/حالات/مدوّنة معرفية؛ مركز موارد (دليل IFRS، قوالب نموذج مالي).</w:t>
      </w:r>
      <w:r>
        <w:br/>
      </w:r>
    </w:p>
    <w:p w14:paraId="3B464B89" w14:textId="77777777" w:rsidR="00C62F59" w:rsidRDefault="00000000">
      <w:pPr>
        <w:pStyle w:val="Compact"/>
        <w:numPr>
          <w:ilvl w:val="0"/>
          <w:numId w:val="21"/>
        </w:numPr>
      </w:pPr>
      <w:r>
        <w:t xml:space="preserve">روابط تنزيل PDF لعروض الخدمات </w:t>
      </w:r>
      <w:proofErr w:type="spellStart"/>
      <w:r>
        <w:t>وملف</w:t>
      </w:r>
      <w:proofErr w:type="spellEnd"/>
      <w:r>
        <w:t xml:space="preserve"> </w:t>
      </w:r>
      <w:proofErr w:type="spellStart"/>
      <w:r>
        <w:t>تعريفي</w:t>
      </w:r>
      <w:proofErr w:type="spellEnd"/>
      <w:r>
        <w:t xml:space="preserve"> (Company Profile).</w:t>
      </w:r>
    </w:p>
    <w:p w14:paraId="366506CA" w14:textId="7FB47ACE" w:rsidR="00802DC6" w:rsidRDefault="00802DC6" w:rsidP="00802DC6">
      <w:pPr>
        <w:pStyle w:val="Compact"/>
        <w:jc w:val="center"/>
        <w:rPr>
          <w:b/>
          <w:bCs/>
          <w:rtl/>
        </w:rPr>
      </w:pPr>
      <w:r w:rsidRPr="00802DC6">
        <w:rPr>
          <w:rFonts w:hint="cs"/>
          <w:b/>
          <w:bCs/>
          <w:rtl/>
        </w:rPr>
        <w:t xml:space="preserve">مركز مستندات تحقق وتحميل </w:t>
      </w:r>
      <w:proofErr w:type="spellStart"/>
      <w:r w:rsidRPr="00802DC6">
        <w:rPr>
          <w:rFonts w:hint="cs"/>
          <w:b/>
          <w:bCs/>
          <w:rtl/>
        </w:rPr>
        <w:t>هامم</w:t>
      </w:r>
      <w:proofErr w:type="spellEnd"/>
    </w:p>
    <w:p w14:paraId="694AA298" w14:textId="1F105097" w:rsidR="00215ECD" w:rsidRPr="00802DC6" w:rsidRDefault="00215ECD" w:rsidP="00802DC6">
      <w:pPr>
        <w:pStyle w:val="Compact"/>
        <w:jc w:val="center"/>
        <w:rPr>
          <w:b/>
          <w:bCs/>
        </w:rPr>
      </w:pPr>
      <w:r>
        <w:rPr>
          <w:rFonts w:hint="cs"/>
          <w:b/>
          <w:bCs/>
          <w:rtl/>
        </w:rPr>
        <w:t xml:space="preserve">ربط </w:t>
      </w:r>
      <w:bookmarkEnd w:id="0"/>
      <w:bookmarkEnd w:id="31"/>
    </w:p>
    <w:sectPr w:rsidR="00215ECD" w:rsidRPr="00802D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005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0287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AA4A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66E8281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066027915">
    <w:abstractNumId w:val="0"/>
  </w:num>
  <w:num w:numId="2" w16cid:durableId="1810319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8431594">
    <w:abstractNumId w:val="1"/>
  </w:num>
  <w:num w:numId="4" w16cid:durableId="830293120">
    <w:abstractNumId w:val="1"/>
  </w:num>
  <w:num w:numId="5" w16cid:durableId="1631396686">
    <w:abstractNumId w:val="1"/>
  </w:num>
  <w:num w:numId="6" w16cid:durableId="554782526">
    <w:abstractNumId w:val="1"/>
  </w:num>
  <w:num w:numId="7" w16cid:durableId="506217496">
    <w:abstractNumId w:val="1"/>
  </w:num>
  <w:num w:numId="8" w16cid:durableId="1495217398">
    <w:abstractNumId w:val="1"/>
  </w:num>
  <w:num w:numId="9" w16cid:durableId="1120222624">
    <w:abstractNumId w:val="1"/>
  </w:num>
  <w:num w:numId="10" w16cid:durableId="481963975">
    <w:abstractNumId w:val="1"/>
  </w:num>
  <w:num w:numId="11" w16cid:durableId="1251349522">
    <w:abstractNumId w:val="1"/>
  </w:num>
  <w:num w:numId="12" w16cid:durableId="1785229548">
    <w:abstractNumId w:val="1"/>
  </w:num>
  <w:num w:numId="13" w16cid:durableId="90005821">
    <w:abstractNumId w:val="1"/>
  </w:num>
  <w:num w:numId="14" w16cid:durableId="932321459">
    <w:abstractNumId w:val="1"/>
  </w:num>
  <w:num w:numId="15" w16cid:durableId="581136970">
    <w:abstractNumId w:val="1"/>
  </w:num>
  <w:num w:numId="16" w16cid:durableId="2002388047">
    <w:abstractNumId w:val="1"/>
  </w:num>
  <w:num w:numId="17" w16cid:durableId="8133784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856712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488064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87915840">
    <w:abstractNumId w:val="1"/>
  </w:num>
  <w:num w:numId="21" w16cid:durableId="2899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59"/>
    <w:rsid w:val="00215ECD"/>
    <w:rsid w:val="00491D14"/>
    <w:rsid w:val="00636061"/>
    <w:rsid w:val="00802DC6"/>
    <w:rsid w:val="0089322A"/>
    <w:rsid w:val="00C6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4E6A"/>
  <w15:docId w15:val="{6AFAF73F-D825-4CF2-AC8B-C87E8D54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ibrahim gad</dc:creator>
  <cp:keywords/>
  <cp:lastModifiedBy>ibrahim gad</cp:lastModifiedBy>
  <cp:revision>2</cp:revision>
  <dcterms:created xsi:type="dcterms:W3CDTF">2025-08-20T17:32:00Z</dcterms:created>
  <dcterms:modified xsi:type="dcterms:W3CDTF">2025-08-20T17:32:00Z</dcterms:modified>
</cp:coreProperties>
</file>