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pacing w:val="0"/>
          <w:kern w:val="0"/>
          <w:sz w:val="24"/>
          <w:szCs w:val="24"/>
        </w:rPr>
        <w:id w:val="-558396153"/>
        <w:docPartObj>
          <w:docPartGallery w:val="Cover Pages"/>
          <w:docPartUnique/>
        </w:docPartObj>
      </w:sdtPr>
      <w:sdtContent>
        <w:p w14:paraId="5E7948C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56BCD6AE"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6D6965F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0D2776E1"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5CEDEBAC"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26CEDD95"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4139B94"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38CFEB9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26B8FE9"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FB802D3"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6B86BC5B" w14:textId="063A3183" w:rsidR="001E5710" w:rsidRDefault="00094905" w:rsidP="00D10D8C">
          <w:pPr>
            <w:pStyle w:val="Titel"/>
            <w:jc w:val="center"/>
            <w:rPr>
              <w:lang w:val="en-US"/>
            </w:rPr>
          </w:pPr>
          <w:r w:rsidRPr="00094905">
            <w:rPr>
              <w:lang w:val="en-US"/>
            </w:rPr>
            <w:t>Nanopore ITS Sequencing for Fungal Species Identification in Clinical Isolates</w:t>
          </w:r>
        </w:p>
        <w:p w14:paraId="044E748F" w14:textId="77777777" w:rsidR="006219C6" w:rsidRPr="006219C6" w:rsidRDefault="006219C6" w:rsidP="006219C6">
          <w:pPr>
            <w:rPr>
              <w:lang w:val="en-US" w:eastAsia="en-US"/>
            </w:rPr>
          </w:pPr>
        </w:p>
        <w:p w14:paraId="177A76D8" w14:textId="2CFC54C1" w:rsidR="00D10D8C" w:rsidRDefault="00B61A79" w:rsidP="00BA58E1">
          <w:pPr>
            <w:rPr>
              <w:sz w:val="18"/>
              <w:vertAlign w:val="superscript"/>
              <w:lang w:val="en-US"/>
            </w:rPr>
          </w:pPr>
          <w:r>
            <w:rPr>
              <w:sz w:val="18"/>
              <w:lang w:val="en-US"/>
            </w:rPr>
            <w:t>HM</w:t>
          </w:r>
          <w:r w:rsidRPr="003C38EE">
            <w:rPr>
              <w:sz w:val="18"/>
              <w:lang w:val="en-US"/>
            </w:rPr>
            <w:t xml:space="preserve">. Adriaanse </w:t>
          </w:r>
          <w:r w:rsidRPr="003C38EE">
            <w:rPr>
              <w:sz w:val="18"/>
              <w:vertAlign w:val="superscript"/>
              <w:lang w:val="en-US"/>
            </w:rPr>
            <w:t>1</w:t>
          </w:r>
        </w:p>
        <w:p w14:paraId="5336AB4D" w14:textId="77777777" w:rsidR="00BA58E1" w:rsidRDefault="0084437D" w:rsidP="00BA58E1">
          <w:pPr>
            <w:spacing w:after="215"/>
            <w:ind w:left="-5"/>
            <w:rPr>
              <w:sz w:val="18"/>
              <w:lang w:val="en-GB"/>
            </w:rPr>
          </w:pPr>
          <w:r w:rsidRPr="00375380">
            <w:rPr>
              <w:sz w:val="18"/>
              <w:vertAlign w:val="superscript"/>
              <w:lang w:val="en-GB"/>
            </w:rPr>
            <w:t xml:space="preserve">1 </w:t>
          </w:r>
          <w:r w:rsidRPr="00375380">
            <w:rPr>
              <w:sz w:val="18"/>
              <w:lang w:val="en-GB"/>
            </w:rPr>
            <w:t xml:space="preserve">Avans University of Applied Sciences, Academy of </w:t>
          </w:r>
          <w:r>
            <w:rPr>
              <w:sz w:val="18"/>
              <w:lang w:val="en-GB"/>
            </w:rPr>
            <w:t>Life Sciences and Technology</w:t>
          </w:r>
          <w:r w:rsidRPr="00375380">
            <w:rPr>
              <w:sz w:val="18"/>
              <w:lang w:val="en-GB"/>
            </w:rPr>
            <w:t>, Bio</w:t>
          </w:r>
          <w:r>
            <w:rPr>
              <w:sz w:val="18"/>
              <w:lang w:val="en-GB"/>
            </w:rPr>
            <w:t>informatics</w:t>
          </w:r>
        </w:p>
        <w:p w14:paraId="7DFB6DD3" w14:textId="0B96434B" w:rsidR="00BA58E1" w:rsidRDefault="00BA58E1" w:rsidP="00BA58E1">
          <w:pPr>
            <w:spacing w:after="215"/>
            <w:ind w:left="-5"/>
            <w:rPr>
              <w:sz w:val="18"/>
              <w:lang w:val="en-GB"/>
            </w:rPr>
          </w:pPr>
          <w:r w:rsidRPr="00BA58E1">
            <w:rPr>
              <w:sz w:val="18"/>
              <w:lang w:val="en-GB"/>
            </w:rPr>
            <w:t>In collaboration with the Institute of Neuropathology</w:t>
          </w:r>
          <w:r w:rsidR="00B405E4">
            <w:rPr>
              <w:sz w:val="18"/>
              <w:lang w:val="en-GB"/>
            </w:rPr>
            <w:t xml:space="preserve"> in </w:t>
          </w:r>
          <w:r w:rsidRPr="00BA58E1">
            <w:rPr>
              <w:sz w:val="18"/>
              <w:lang w:val="en-GB"/>
            </w:rPr>
            <w:t>Münster, Germany</w:t>
          </w:r>
        </w:p>
        <w:p w14:paraId="49985429" w14:textId="2A28F421" w:rsidR="00BA58E1" w:rsidRDefault="00BA58E1" w:rsidP="00BA58E1">
          <w:pPr>
            <w:spacing w:after="215"/>
            <w:ind w:left="-5"/>
            <w:rPr>
              <w:sz w:val="18"/>
              <w:lang w:val="en-GB"/>
            </w:rPr>
          </w:pPr>
          <w:r w:rsidRPr="00BA58E1">
            <w:rPr>
              <w:sz w:val="18"/>
              <w:lang w:val="en-GB"/>
            </w:rPr>
            <w:t xml:space="preserve">Corresponding author: </w:t>
          </w:r>
          <w:hyperlink r:id="rId10" w:history="1">
            <w:r w:rsidRPr="007B6572">
              <w:rPr>
                <w:rStyle w:val="Hyperlink"/>
                <w:sz w:val="18"/>
                <w:lang w:val="en-GB"/>
              </w:rPr>
              <w:t>hm.adriaanse@student.avans.nl</w:t>
            </w:r>
          </w:hyperlink>
        </w:p>
        <w:p w14:paraId="7DF555A0" w14:textId="77777777" w:rsidR="00BA58E1" w:rsidRDefault="00BA58E1" w:rsidP="00BA58E1">
          <w:pPr>
            <w:spacing w:after="215"/>
            <w:ind w:left="-5"/>
            <w:rPr>
              <w:sz w:val="18"/>
              <w:lang w:val="en-GB"/>
            </w:rPr>
          </w:pPr>
          <w:r>
            <w:rPr>
              <w:sz w:val="18"/>
              <w:lang w:val="en-GB"/>
            </w:rPr>
            <w:t>Supervisor: Eefje Schrauwen</w:t>
          </w:r>
        </w:p>
        <w:p w14:paraId="00445A49" w14:textId="180A100D" w:rsidR="00F04320" w:rsidRPr="00BA58E1" w:rsidRDefault="00BA58E1" w:rsidP="00BA58E1">
          <w:pPr>
            <w:spacing w:after="215"/>
            <w:ind w:left="-5"/>
            <w:rPr>
              <w:sz w:val="18"/>
              <w:lang w:val="en-GB"/>
            </w:rPr>
          </w:pPr>
          <w:r>
            <w:rPr>
              <w:sz w:val="18"/>
              <w:lang w:val="en-GB"/>
            </w:rPr>
            <w:t xml:space="preserve">Date: </w:t>
          </w:r>
          <w:r w:rsidR="00094905">
            <w:rPr>
              <w:sz w:val="18"/>
              <w:lang w:val="en-GB"/>
            </w:rPr>
            <w:t>20-6-2025</w:t>
          </w:r>
        </w:p>
      </w:sdtContent>
    </w:sdt>
    <w:p w14:paraId="1734276B" w14:textId="77777777" w:rsidR="004D4BAD" w:rsidRDefault="004D4BAD" w:rsidP="00FB4A78">
      <w:pPr>
        <w:pStyle w:val="Kop1"/>
        <w:rPr>
          <w:rFonts w:ascii="Calibri" w:hAnsi="Calibri" w:cs="Calibri"/>
          <w:sz w:val="22"/>
          <w:szCs w:val="22"/>
          <w:lang w:val="en-US"/>
        </w:rPr>
      </w:pPr>
    </w:p>
    <w:p w14:paraId="3B6DE6BE" w14:textId="77777777" w:rsidR="00351431" w:rsidRDefault="00351431" w:rsidP="00351431">
      <w:pPr>
        <w:rPr>
          <w:lang w:val="en-US"/>
        </w:rPr>
      </w:pPr>
    </w:p>
    <w:p w14:paraId="02BEE117" w14:textId="77777777" w:rsidR="00351431" w:rsidRDefault="00351431" w:rsidP="00351431">
      <w:pPr>
        <w:rPr>
          <w:lang w:val="en-US"/>
        </w:rPr>
      </w:pPr>
    </w:p>
    <w:p w14:paraId="466A663C" w14:textId="77777777" w:rsidR="00351431" w:rsidRDefault="00351431" w:rsidP="00351431">
      <w:pPr>
        <w:rPr>
          <w:lang w:val="en-US"/>
        </w:rPr>
      </w:pPr>
    </w:p>
    <w:p w14:paraId="1ECB476D" w14:textId="77777777" w:rsidR="00351431" w:rsidRDefault="00351431" w:rsidP="00351431">
      <w:pPr>
        <w:rPr>
          <w:lang w:val="en-US"/>
        </w:rPr>
      </w:pPr>
    </w:p>
    <w:p w14:paraId="01110AE2" w14:textId="77777777" w:rsidR="00351431" w:rsidRDefault="00351431" w:rsidP="00351431">
      <w:pPr>
        <w:rPr>
          <w:lang w:val="en-US"/>
        </w:rPr>
      </w:pPr>
    </w:p>
    <w:p w14:paraId="47506FAD" w14:textId="77777777" w:rsidR="00351431" w:rsidRDefault="00351431" w:rsidP="00351431">
      <w:pPr>
        <w:rPr>
          <w:lang w:val="en-US"/>
        </w:rPr>
      </w:pPr>
    </w:p>
    <w:p w14:paraId="6CED0F5B" w14:textId="77777777" w:rsidR="00351431" w:rsidRDefault="00351431" w:rsidP="00351431">
      <w:pPr>
        <w:rPr>
          <w:lang w:val="en-US"/>
        </w:rPr>
      </w:pPr>
    </w:p>
    <w:p w14:paraId="08848BE8" w14:textId="77777777" w:rsidR="003856A8" w:rsidRDefault="003856A8" w:rsidP="00351431">
      <w:pPr>
        <w:rPr>
          <w:lang w:val="en-US"/>
        </w:rPr>
      </w:pPr>
    </w:p>
    <w:p w14:paraId="442D1FE5" w14:textId="77777777" w:rsidR="003856A8" w:rsidRDefault="003856A8" w:rsidP="00351431">
      <w:pPr>
        <w:rPr>
          <w:lang w:val="en-US"/>
        </w:rPr>
      </w:pPr>
    </w:p>
    <w:p w14:paraId="72228EC0" w14:textId="77777777" w:rsidR="003856A8" w:rsidRDefault="003856A8" w:rsidP="00351431">
      <w:pPr>
        <w:rPr>
          <w:lang w:val="en-US"/>
        </w:rPr>
      </w:pPr>
    </w:p>
    <w:p w14:paraId="3D1DC233" w14:textId="77777777" w:rsidR="003856A8" w:rsidRDefault="003856A8" w:rsidP="00351431">
      <w:pPr>
        <w:rPr>
          <w:lang w:val="en-US"/>
        </w:rPr>
      </w:pPr>
    </w:p>
    <w:p w14:paraId="2F9E56E6" w14:textId="77777777" w:rsidR="003856A8" w:rsidRDefault="003856A8" w:rsidP="00351431">
      <w:pPr>
        <w:rPr>
          <w:lang w:val="en-US"/>
        </w:rPr>
      </w:pPr>
    </w:p>
    <w:p w14:paraId="71B2236D" w14:textId="77777777" w:rsidR="003856A8" w:rsidRDefault="003856A8" w:rsidP="00351431">
      <w:pPr>
        <w:rPr>
          <w:lang w:val="en-US"/>
        </w:rPr>
      </w:pPr>
    </w:p>
    <w:p w14:paraId="311DF493" w14:textId="68C27E94" w:rsidR="003856A8" w:rsidRDefault="003856A8" w:rsidP="00351431">
      <w:pPr>
        <w:rPr>
          <w:lang w:val="en-US"/>
        </w:rPr>
      </w:pPr>
    </w:p>
    <w:p w14:paraId="06C760C6" w14:textId="77777777" w:rsidR="003856A8" w:rsidRDefault="003856A8" w:rsidP="00351431">
      <w:pPr>
        <w:rPr>
          <w:lang w:val="en-US"/>
        </w:rPr>
      </w:pPr>
    </w:p>
    <w:p w14:paraId="35EA5162" w14:textId="77777777" w:rsidR="00C566EB" w:rsidRDefault="00C566EB" w:rsidP="00351431">
      <w:pPr>
        <w:rPr>
          <w:lang w:val="en-US"/>
        </w:rPr>
      </w:pPr>
    </w:p>
    <w:p w14:paraId="4B6C2809" w14:textId="77777777" w:rsidR="00C566EB" w:rsidRDefault="00C566EB" w:rsidP="00351431">
      <w:pPr>
        <w:rPr>
          <w:lang w:val="en-US"/>
        </w:rPr>
      </w:pPr>
    </w:p>
    <w:p w14:paraId="72AC84F2" w14:textId="77777777" w:rsidR="00C566EB" w:rsidRDefault="00C566EB" w:rsidP="00351431">
      <w:pPr>
        <w:rPr>
          <w:lang w:val="en-US"/>
        </w:rPr>
      </w:pPr>
    </w:p>
    <w:p w14:paraId="2F1EE6D6" w14:textId="77777777" w:rsidR="00C566EB" w:rsidRDefault="00C566EB" w:rsidP="00351431">
      <w:pPr>
        <w:rPr>
          <w:lang w:val="en-US"/>
        </w:rPr>
      </w:pPr>
    </w:p>
    <w:p w14:paraId="0C7B90EB" w14:textId="77777777" w:rsidR="00C566EB" w:rsidRDefault="00C566EB" w:rsidP="00351431">
      <w:pPr>
        <w:rPr>
          <w:lang w:val="en-US"/>
        </w:rPr>
      </w:pPr>
    </w:p>
    <w:p w14:paraId="67811066" w14:textId="4F8A6CC5" w:rsidR="003856A8" w:rsidRDefault="003856A8" w:rsidP="00351431">
      <w:pPr>
        <w:rPr>
          <w:lang w:val="en-US"/>
        </w:rPr>
      </w:pPr>
      <w:r>
        <w:rPr>
          <w:lang w:val="en-US"/>
        </w:rPr>
        <w:br/>
      </w:r>
      <w:r>
        <w:rPr>
          <w:lang w:val="en-US"/>
        </w:rPr>
        <w:br/>
      </w:r>
    </w:p>
    <w:p w14:paraId="00544C98" w14:textId="77777777" w:rsidR="003856A8" w:rsidRDefault="003856A8" w:rsidP="00351431">
      <w:pPr>
        <w:rPr>
          <w:lang w:val="en-US"/>
        </w:rPr>
      </w:pPr>
    </w:p>
    <w:p w14:paraId="6AFA18C9" w14:textId="291DB256" w:rsidR="003856A8" w:rsidRPr="003856A8" w:rsidRDefault="003856A8" w:rsidP="00351431">
      <w:pPr>
        <w:rPr>
          <w:rFonts w:ascii="Calibri" w:hAnsi="Calibri" w:cs="Calibri"/>
          <w:b/>
          <w:bCs/>
          <w:sz w:val="21"/>
          <w:szCs w:val="21"/>
          <w:lang w:val="en-US"/>
        </w:rPr>
      </w:pPr>
      <w:r w:rsidRPr="003856A8">
        <w:rPr>
          <w:rFonts w:ascii="Calibri" w:hAnsi="Calibri" w:cs="Calibri"/>
          <w:b/>
          <w:bCs/>
          <w:sz w:val="21"/>
          <w:szCs w:val="21"/>
          <w:lang w:val="en-US"/>
        </w:rPr>
        <w:lastRenderedPageBreak/>
        <w:t>ABSTRACT</w:t>
      </w:r>
    </w:p>
    <w:p w14:paraId="1BD4C25B" w14:textId="77777777" w:rsidR="003856A8" w:rsidRPr="00D3520D" w:rsidRDefault="003856A8" w:rsidP="00351431">
      <w:pPr>
        <w:rPr>
          <w:sz w:val="21"/>
          <w:szCs w:val="21"/>
          <w:lang w:val="en-US"/>
        </w:rPr>
      </w:pPr>
      <w:r w:rsidRPr="00D3520D">
        <w:rPr>
          <w:sz w:val="21"/>
          <w:szCs w:val="21"/>
          <w:lang w:val="en-US"/>
        </w:rPr>
        <w:t xml:space="preserve">Accurate identification of fungal pathogens is essential in clinical settings, especially when traditional culturing methods fail. This study evaluated whether Nanopore sequencing of PCR-amplified ITS regions can support species-level identification of clinical fungal isolates. Ten isolates were amplified using the ITS1-F_KYO2a and RCA95m primers and sequenced with Oxford Nanopore technology. Three bioinformatics approaches were compared: (1) taxonomic classification using GermGenie, (2) mapping-based specificity assessment using Minimap2 and Samtools, and (3) identification from consensus sequences generated by Flye or wf-amplicon, followed by ITSx and BLAST. </w:t>
      </w:r>
    </w:p>
    <w:p w14:paraId="097A7566" w14:textId="77777777" w:rsidR="003856A8" w:rsidRPr="00D3520D" w:rsidRDefault="003856A8" w:rsidP="00351431">
      <w:pPr>
        <w:rPr>
          <w:sz w:val="21"/>
          <w:szCs w:val="21"/>
          <w:lang w:val="en-US"/>
        </w:rPr>
      </w:pPr>
    </w:p>
    <w:p w14:paraId="422BE5B4" w14:textId="77777777" w:rsidR="003856A8" w:rsidRPr="00D3520D" w:rsidRDefault="003856A8" w:rsidP="00351431">
      <w:pPr>
        <w:rPr>
          <w:sz w:val="21"/>
          <w:szCs w:val="21"/>
          <w:lang w:val="en-US"/>
        </w:rPr>
      </w:pPr>
      <w:r w:rsidRPr="00D3520D">
        <w:rPr>
          <w:sz w:val="21"/>
          <w:szCs w:val="21"/>
          <w:lang w:val="en-US"/>
        </w:rPr>
        <w:t xml:space="preserve">The wf-amplicon variant calling workflow correctly identified 9 out of 10 isolates and outperformed both Flye and wf-amplicon de novo. GermGenie allowed rapid screening but misclassified most isolates, likely due to database limitations and off-target amplification. Mapping results showed large differences in specificity, influenced by genomic divergence and primer binding. However, identification success did not consistently correlate with mapping percentage or read quality. This highlights the importance of workflow design and error correction in ITS-based fungal classification. </w:t>
      </w:r>
    </w:p>
    <w:p w14:paraId="1BBA2256" w14:textId="77777777" w:rsidR="003856A8" w:rsidRPr="00D3520D" w:rsidRDefault="003856A8" w:rsidP="00351431">
      <w:pPr>
        <w:rPr>
          <w:sz w:val="21"/>
          <w:szCs w:val="21"/>
          <w:lang w:val="en-US"/>
        </w:rPr>
      </w:pPr>
    </w:p>
    <w:p w14:paraId="209A7793" w14:textId="6F09C1FA" w:rsidR="00351431" w:rsidRPr="00D3520D" w:rsidRDefault="003856A8" w:rsidP="00351431">
      <w:pPr>
        <w:rPr>
          <w:sz w:val="21"/>
          <w:szCs w:val="21"/>
          <w:lang w:val="en-US"/>
        </w:rPr>
      </w:pPr>
      <w:r w:rsidRPr="00D3520D">
        <w:rPr>
          <w:sz w:val="21"/>
          <w:szCs w:val="21"/>
          <w:lang w:val="en-US"/>
        </w:rPr>
        <w:t>Although this study used high-quality DNA, the methods and findings are relevant for future work on degraded samples, such as FFPE tissue. Improved performance may be achieved by using well-annotated ITS databases and including multiple reference genomes per species. The pipeline presented here provides a flexible approach for fungal identification using long-read sequencing.</w:t>
      </w:r>
    </w:p>
    <w:p w14:paraId="0E58FE92" w14:textId="77777777" w:rsidR="00351431" w:rsidRPr="00D3520D" w:rsidRDefault="00351431" w:rsidP="00351431">
      <w:pPr>
        <w:rPr>
          <w:sz w:val="21"/>
          <w:szCs w:val="21"/>
          <w:lang w:val="en-US"/>
        </w:rPr>
      </w:pPr>
    </w:p>
    <w:p w14:paraId="155805BC" w14:textId="5774D0BF" w:rsidR="00351431" w:rsidRPr="00D3520D" w:rsidRDefault="003856A8" w:rsidP="00351431">
      <w:pPr>
        <w:rPr>
          <w:sz w:val="21"/>
          <w:szCs w:val="21"/>
          <w:lang w:val="en-US"/>
        </w:rPr>
      </w:pPr>
      <w:r w:rsidRPr="00D3520D">
        <w:rPr>
          <w:sz w:val="21"/>
          <w:szCs w:val="21"/>
          <w:lang w:val="en-US"/>
        </w:rPr>
        <w:t>Keywords: Nanopore sequencing, ITS region, PCR specificity, taxonomic classification</w:t>
      </w:r>
    </w:p>
    <w:p w14:paraId="05DE6B98" w14:textId="77777777" w:rsidR="00351431" w:rsidRDefault="00351431" w:rsidP="00351431">
      <w:pPr>
        <w:rPr>
          <w:lang w:val="en-US"/>
        </w:rPr>
      </w:pPr>
    </w:p>
    <w:p w14:paraId="5F46A4AA" w14:textId="77777777" w:rsidR="00351431" w:rsidRDefault="00351431" w:rsidP="00351431">
      <w:pPr>
        <w:rPr>
          <w:lang w:val="en-US"/>
        </w:rPr>
      </w:pPr>
    </w:p>
    <w:p w14:paraId="7C2010E7" w14:textId="77777777" w:rsidR="00351431" w:rsidRDefault="00351431" w:rsidP="00351431">
      <w:pPr>
        <w:rPr>
          <w:lang w:val="en-US"/>
        </w:rPr>
      </w:pPr>
    </w:p>
    <w:p w14:paraId="1D6CB168" w14:textId="77777777" w:rsidR="00351431" w:rsidRDefault="00351431" w:rsidP="00351431">
      <w:pPr>
        <w:rPr>
          <w:lang w:val="en-US"/>
        </w:rPr>
      </w:pPr>
    </w:p>
    <w:p w14:paraId="13F43D13" w14:textId="77777777" w:rsidR="00351431" w:rsidRDefault="00351431" w:rsidP="00351431">
      <w:pPr>
        <w:rPr>
          <w:lang w:val="en-US"/>
        </w:rPr>
      </w:pPr>
    </w:p>
    <w:p w14:paraId="411BF075" w14:textId="77777777" w:rsidR="00351431" w:rsidRDefault="00351431" w:rsidP="00351431">
      <w:pPr>
        <w:rPr>
          <w:lang w:val="en-US"/>
        </w:rPr>
      </w:pPr>
    </w:p>
    <w:p w14:paraId="4633D2A0" w14:textId="77777777" w:rsidR="00351431" w:rsidRDefault="00351431" w:rsidP="00351431">
      <w:pPr>
        <w:rPr>
          <w:lang w:val="en-US"/>
        </w:rPr>
      </w:pPr>
    </w:p>
    <w:p w14:paraId="38AA261A" w14:textId="77777777" w:rsidR="00DE6027" w:rsidRDefault="00DE6027" w:rsidP="00351431">
      <w:pPr>
        <w:rPr>
          <w:lang w:val="en-US"/>
        </w:rPr>
      </w:pPr>
    </w:p>
    <w:p w14:paraId="62CDF3F3" w14:textId="77777777" w:rsidR="00DE6027" w:rsidRDefault="00DE6027" w:rsidP="00351431">
      <w:pPr>
        <w:rPr>
          <w:lang w:val="en-US"/>
        </w:rPr>
      </w:pPr>
    </w:p>
    <w:p w14:paraId="3907511F" w14:textId="77777777" w:rsidR="00DE6027" w:rsidRDefault="00DE6027" w:rsidP="00351431">
      <w:pPr>
        <w:rPr>
          <w:lang w:val="en-US"/>
        </w:rPr>
      </w:pPr>
    </w:p>
    <w:p w14:paraId="2769A0C1" w14:textId="77777777" w:rsidR="00DE6027" w:rsidRDefault="00DE6027" w:rsidP="00351431">
      <w:pPr>
        <w:rPr>
          <w:lang w:val="en-US"/>
        </w:rPr>
      </w:pPr>
    </w:p>
    <w:p w14:paraId="7823A4E6" w14:textId="77777777" w:rsidR="00DE6027" w:rsidRDefault="00DE6027" w:rsidP="00351431">
      <w:pPr>
        <w:rPr>
          <w:lang w:val="en-US"/>
        </w:rPr>
      </w:pPr>
    </w:p>
    <w:p w14:paraId="04D1BDDE" w14:textId="77777777" w:rsidR="00DE6027" w:rsidRDefault="00DE6027" w:rsidP="00351431">
      <w:pPr>
        <w:rPr>
          <w:lang w:val="en-US"/>
        </w:rPr>
      </w:pPr>
    </w:p>
    <w:p w14:paraId="7382E682" w14:textId="77777777" w:rsidR="00DE6027" w:rsidRDefault="00DE6027" w:rsidP="00351431">
      <w:pPr>
        <w:rPr>
          <w:lang w:val="en-US"/>
        </w:rPr>
      </w:pPr>
    </w:p>
    <w:p w14:paraId="35313032" w14:textId="77777777" w:rsidR="00DE6027" w:rsidRDefault="00DE6027" w:rsidP="00351431">
      <w:pPr>
        <w:rPr>
          <w:lang w:val="en-US"/>
        </w:rPr>
      </w:pPr>
    </w:p>
    <w:p w14:paraId="58A13647" w14:textId="77777777" w:rsidR="00DE6027" w:rsidRDefault="00DE6027" w:rsidP="00351431">
      <w:pPr>
        <w:rPr>
          <w:lang w:val="en-US"/>
        </w:rPr>
      </w:pPr>
    </w:p>
    <w:p w14:paraId="575908BE" w14:textId="77777777" w:rsidR="00DE6027" w:rsidRDefault="00DE6027" w:rsidP="00351431">
      <w:pPr>
        <w:rPr>
          <w:lang w:val="en-US"/>
        </w:rPr>
      </w:pPr>
    </w:p>
    <w:p w14:paraId="6598E605" w14:textId="77777777" w:rsidR="00DE6027" w:rsidRDefault="00DE6027" w:rsidP="00351431">
      <w:pPr>
        <w:rPr>
          <w:lang w:val="en-US"/>
        </w:rPr>
      </w:pPr>
    </w:p>
    <w:p w14:paraId="392AB5B7" w14:textId="77777777" w:rsidR="00DE6027" w:rsidRDefault="00DE6027" w:rsidP="00351431">
      <w:pPr>
        <w:rPr>
          <w:lang w:val="en-US"/>
        </w:rPr>
      </w:pPr>
    </w:p>
    <w:p w14:paraId="7C67EC5E" w14:textId="77777777" w:rsidR="00351431" w:rsidRDefault="00351431" w:rsidP="00351431">
      <w:pPr>
        <w:rPr>
          <w:lang w:val="en-US"/>
        </w:rPr>
      </w:pPr>
    </w:p>
    <w:p w14:paraId="6FE97098" w14:textId="77777777" w:rsidR="00351431" w:rsidRDefault="00351431" w:rsidP="00351431">
      <w:pPr>
        <w:rPr>
          <w:lang w:val="en-US"/>
        </w:rPr>
      </w:pPr>
    </w:p>
    <w:p w14:paraId="0D6872EF" w14:textId="77777777" w:rsidR="00351431" w:rsidRDefault="00351431" w:rsidP="00351431">
      <w:pPr>
        <w:rPr>
          <w:lang w:val="en-US"/>
        </w:rPr>
      </w:pPr>
    </w:p>
    <w:p w14:paraId="70000AE5" w14:textId="77777777" w:rsidR="00D3520D" w:rsidRDefault="00D3520D" w:rsidP="00351431">
      <w:pPr>
        <w:rPr>
          <w:lang w:val="en-US"/>
        </w:rPr>
      </w:pPr>
    </w:p>
    <w:p w14:paraId="6EA53C78" w14:textId="77777777" w:rsidR="00D3520D" w:rsidRDefault="00D3520D" w:rsidP="00351431">
      <w:pPr>
        <w:rPr>
          <w:lang w:val="en-US"/>
        </w:rPr>
      </w:pPr>
    </w:p>
    <w:p w14:paraId="2FE1CCFE" w14:textId="77777777" w:rsidR="00D3520D" w:rsidRDefault="00D3520D" w:rsidP="00351431">
      <w:pPr>
        <w:rPr>
          <w:lang w:val="en-US"/>
        </w:rPr>
      </w:pPr>
    </w:p>
    <w:p w14:paraId="09B30969" w14:textId="77777777" w:rsidR="00D3520D" w:rsidRDefault="00D3520D" w:rsidP="00351431">
      <w:pPr>
        <w:rPr>
          <w:lang w:val="en-US"/>
        </w:rPr>
      </w:pPr>
    </w:p>
    <w:p w14:paraId="30BF5733" w14:textId="77777777" w:rsidR="00D3520D" w:rsidRDefault="00D3520D" w:rsidP="00351431">
      <w:pPr>
        <w:rPr>
          <w:lang w:val="en-US"/>
        </w:rPr>
      </w:pPr>
    </w:p>
    <w:p w14:paraId="6DCE274B" w14:textId="77777777" w:rsidR="00D3520D" w:rsidRDefault="00D3520D" w:rsidP="00351431">
      <w:pPr>
        <w:rPr>
          <w:lang w:val="en-US"/>
        </w:rPr>
      </w:pPr>
    </w:p>
    <w:p w14:paraId="0CD8CA04" w14:textId="77777777" w:rsidR="00D3520D" w:rsidRPr="00351431" w:rsidRDefault="00D3520D" w:rsidP="00351431">
      <w:pPr>
        <w:rPr>
          <w:lang w:val="en-US"/>
        </w:rPr>
      </w:pPr>
    </w:p>
    <w:sdt>
      <w:sdtPr>
        <w:rPr>
          <w:rFonts w:ascii="Times New Roman" w:eastAsia="Times New Roman" w:hAnsi="Times New Roman" w:cs="Times New Roman"/>
          <w:color w:val="auto"/>
          <w:sz w:val="24"/>
          <w:szCs w:val="24"/>
        </w:rPr>
        <w:id w:val="948899634"/>
        <w:docPartObj>
          <w:docPartGallery w:val="Table of Contents"/>
          <w:docPartUnique/>
        </w:docPartObj>
      </w:sdtPr>
      <w:sdtEndPr>
        <w:rPr>
          <w:b/>
          <w:bCs/>
          <w:sz w:val="16"/>
          <w:szCs w:val="16"/>
        </w:rPr>
      </w:sdtEndPr>
      <w:sdtContent>
        <w:p w14:paraId="6A762B97" w14:textId="4139113A" w:rsidR="00241406" w:rsidRDefault="00751281">
          <w:pPr>
            <w:pStyle w:val="Kopvaninhoudsopgave"/>
          </w:pPr>
          <w:r>
            <w:t>Index</w:t>
          </w:r>
        </w:p>
        <w:p w14:paraId="4D26596F" w14:textId="3529EB33" w:rsidR="00351431" w:rsidRPr="00351431" w:rsidRDefault="00241406">
          <w:pPr>
            <w:pStyle w:val="Inhopg1"/>
            <w:tabs>
              <w:tab w:val="right" w:leader="dot" w:pos="9062"/>
            </w:tabs>
            <w:rPr>
              <w:rFonts w:asciiTheme="minorHAnsi" w:eastAsiaTheme="minorEastAsia" w:hAnsiTheme="minorHAnsi" w:cstheme="minorBidi"/>
              <w:noProof/>
              <w:kern w:val="2"/>
              <w:sz w:val="16"/>
              <w:szCs w:val="16"/>
              <w14:ligatures w14:val="standardContextual"/>
            </w:rPr>
          </w:pPr>
          <w:r w:rsidRPr="00351431">
            <w:rPr>
              <w:sz w:val="16"/>
              <w:szCs w:val="16"/>
            </w:rPr>
            <w:fldChar w:fldCharType="begin"/>
          </w:r>
          <w:r w:rsidRPr="00351431">
            <w:rPr>
              <w:sz w:val="16"/>
              <w:szCs w:val="16"/>
            </w:rPr>
            <w:instrText xml:space="preserve"> TOC \o "1-3" \h \z \u </w:instrText>
          </w:r>
          <w:r w:rsidRPr="00351431">
            <w:rPr>
              <w:sz w:val="16"/>
              <w:szCs w:val="16"/>
            </w:rPr>
            <w:fldChar w:fldCharType="separate"/>
          </w:r>
          <w:hyperlink w:anchor="_Toc201242189" w:history="1">
            <w:r w:rsidR="00351431" w:rsidRPr="00351431">
              <w:rPr>
                <w:rStyle w:val="Hyperlink"/>
                <w:rFonts w:ascii="Calibri" w:hAnsi="Calibri" w:cs="Calibri"/>
                <w:noProof/>
                <w:sz w:val="16"/>
                <w:szCs w:val="16"/>
                <w:lang w:val="en-US"/>
              </w:rPr>
              <w:t>INTRODUCTION</w:t>
            </w:r>
            <w:r w:rsidR="00351431" w:rsidRPr="00351431">
              <w:rPr>
                <w:noProof/>
                <w:webHidden/>
                <w:sz w:val="16"/>
                <w:szCs w:val="16"/>
              </w:rPr>
              <w:tab/>
            </w:r>
            <w:r w:rsidR="00351431" w:rsidRPr="00351431">
              <w:rPr>
                <w:noProof/>
                <w:webHidden/>
                <w:sz w:val="16"/>
                <w:szCs w:val="16"/>
              </w:rPr>
              <w:fldChar w:fldCharType="begin"/>
            </w:r>
            <w:r w:rsidR="00351431" w:rsidRPr="00351431">
              <w:rPr>
                <w:noProof/>
                <w:webHidden/>
                <w:sz w:val="16"/>
                <w:szCs w:val="16"/>
              </w:rPr>
              <w:instrText xml:space="preserve"> PAGEREF _Toc201242189 \h </w:instrText>
            </w:r>
            <w:r w:rsidR="00351431" w:rsidRPr="00351431">
              <w:rPr>
                <w:noProof/>
                <w:webHidden/>
                <w:sz w:val="16"/>
                <w:szCs w:val="16"/>
              </w:rPr>
            </w:r>
            <w:r w:rsidR="00351431" w:rsidRPr="00351431">
              <w:rPr>
                <w:noProof/>
                <w:webHidden/>
                <w:sz w:val="16"/>
                <w:szCs w:val="16"/>
              </w:rPr>
              <w:fldChar w:fldCharType="separate"/>
            </w:r>
            <w:r w:rsidR="00337648">
              <w:rPr>
                <w:noProof/>
                <w:webHidden/>
                <w:sz w:val="16"/>
                <w:szCs w:val="16"/>
              </w:rPr>
              <w:t>3</w:t>
            </w:r>
            <w:r w:rsidR="00351431" w:rsidRPr="00351431">
              <w:rPr>
                <w:noProof/>
                <w:webHidden/>
                <w:sz w:val="16"/>
                <w:szCs w:val="16"/>
              </w:rPr>
              <w:fldChar w:fldCharType="end"/>
            </w:r>
          </w:hyperlink>
        </w:p>
        <w:p w14:paraId="5341E29F" w14:textId="1B6EE5B7"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190" w:history="1">
            <w:r w:rsidRPr="00351431">
              <w:rPr>
                <w:rStyle w:val="Hyperlink"/>
                <w:rFonts w:ascii="Calibri" w:hAnsi="Calibri" w:cs="Calibri"/>
                <w:noProof/>
                <w:sz w:val="16"/>
                <w:szCs w:val="16"/>
                <w:lang w:val="en-US"/>
              </w:rPr>
              <w:t>THEORETICAL BACKGROUND</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_Toc201242190 \h </w:instrText>
            </w:r>
            <w:r w:rsidRPr="00351431">
              <w:rPr>
                <w:noProof/>
                <w:webHidden/>
                <w:sz w:val="16"/>
                <w:szCs w:val="16"/>
              </w:rPr>
            </w:r>
            <w:r w:rsidRPr="00351431">
              <w:rPr>
                <w:noProof/>
                <w:webHidden/>
                <w:sz w:val="16"/>
                <w:szCs w:val="16"/>
              </w:rPr>
              <w:fldChar w:fldCharType="separate"/>
            </w:r>
            <w:r w:rsidR="00337648">
              <w:rPr>
                <w:noProof/>
                <w:webHidden/>
                <w:sz w:val="16"/>
                <w:szCs w:val="16"/>
              </w:rPr>
              <w:t>3</w:t>
            </w:r>
            <w:r w:rsidRPr="00351431">
              <w:rPr>
                <w:noProof/>
                <w:webHidden/>
                <w:sz w:val="16"/>
                <w:szCs w:val="16"/>
              </w:rPr>
              <w:fldChar w:fldCharType="end"/>
            </w:r>
          </w:hyperlink>
        </w:p>
        <w:p w14:paraId="219FCBCD" w14:textId="34ADA424"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1" w:history="1">
            <w:r w:rsidRPr="00351431">
              <w:rPr>
                <w:rStyle w:val="Hyperlink"/>
                <w:rFonts w:ascii="Calibri" w:hAnsi="Calibri" w:cs="Calibri"/>
                <w:b/>
                <w:bCs/>
                <w:noProof/>
                <w:sz w:val="16"/>
                <w:szCs w:val="16"/>
                <w:lang w:val="en-US" w:eastAsia="en-US"/>
              </w:rPr>
              <w:t>Clinical Importance of Fungal Infections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_Toc201242191 \h </w:instrText>
            </w:r>
            <w:r w:rsidRPr="00351431">
              <w:rPr>
                <w:noProof/>
                <w:webHidden/>
                <w:sz w:val="16"/>
                <w:szCs w:val="16"/>
              </w:rPr>
            </w:r>
            <w:r w:rsidRPr="00351431">
              <w:rPr>
                <w:noProof/>
                <w:webHidden/>
                <w:sz w:val="16"/>
                <w:szCs w:val="16"/>
              </w:rPr>
              <w:fldChar w:fldCharType="separate"/>
            </w:r>
            <w:r w:rsidR="00337648">
              <w:rPr>
                <w:noProof/>
                <w:webHidden/>
                <w:sz w:val="16"/>
                <w:szCs w:val="16"/>
              </w:rPr>
              <w:t>3</w:t>
            </w:r>
            <w:r w:rsidRPr="00351431">
              <w:rPr>
                <w:noProof/>
                <w:webHidden/>
                <w:sz w:val="16"/>
                <w:szCs w:val="16"/>
              </w:rPr>
              <w:fldChar w:fldCharType="end"/>
            </w:r>
          </w:hyperlink>
        </w:p>
        <w:p w14:paraId="0A5A2961" w14:textId="113EB9A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2" w:history="1">
            <w:r w:rsidRPr="00351431">
              <w:rPr>
                <w:rStyle w:val="Hyperlink"/>
                <w:rFonts w:ascii="Calibri" w:hAnsi="Calibri" w:cs="Calibri"/>
                <w:b/>
                <w:bCs/>
                <w:noProof/>
                <w:sz w:val="16"/>
                <w:szCs w:val="16"/>
                <w:lang w:val="en-US" w:eastAsia="en-US"/>
              </w:rPr>
              <w:t>The ITS Region as a Fungal DNA Barcode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_Toc201242192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3FF220AA" w14:textId="0C3CA8E5"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3" w:history="1">
            <w:r w:rsidRPr="00351431">
              <w:rPr>
                <w:rStyle w:val="Hyperlink"/>
                <w:rFonts w:ascii="Calibri" w:hAnsi="Calibri" w:cs="Calibri"/>
                <w:b/>
                <w:bCs/>
                <w:noProof/>
                <w:sz w:val="16"/>
                <w:szCs w:val="16"/>
                <w:lang w:val="en-US" w:eastAsia="en-US"/>
              </w:rPr>
              <w:t>ITS Sequencing from FFPE Tissue: Challenges and Strategies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_Toc201242193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46DBFCF6" w14:textId="3159BF48"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4" w:history="1">
            <w:r w:rsidRPr="00351431">
              <w:rPr>
                <w:rStyle w:val="Hyperlink"/>
                <w:rFonts w:ascii="Calibri" w:hAnsi="Calibri" w:cs="Calibri"/>
                <w:b/>
                <w:bCs/>
                <w:noProof/>
                <w:sz w:val="16"/>
                <w:szCs w:val="16"/>
                <w:lang w:val="en-US" w:eastAsia="en-US"/>
              </w:rPr>
              <w:t>Next-Generation Sequencing for Fungal Detection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_Toc201242194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00845618" w14:textId="75DE789B"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5" w:history="1">
            <w:r w:rsidRPr="00351431">
              <w:rPr>
                <w:rStyle w:val="Hyperlink"/>
                <w:rFonts w:ascii="Calibri" w:hAnsi="Calibri" w:cs="Calibri"/>
                <w:b/>
                <w:bCs/>
                <w:noProof/>
                <w:sz w:val="16"/>
                <w:szCs w:val="16"/>
                <w:lang w:val="en-US" w:eastAsia="en-US"/>
              </w:rPr>
              <w:t>Primer Design for Broad Fungal Amplification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_Toc201242195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6FE77955" w14:textId="2860B1D4"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6" w:history="1">
            <w:r w:rsidRPr="00351431">
              <w:rPr>
                <w:rStyle w:val="Hyperlink"/>
                <w:rFonts w:ascii="Calibri" w:hAnsi="Calibri" w:cs="Calibri"/>
                <w:b/>
                <w:bCs/>
                <w:noProof/>
                <w:sz w:val="16"/>
                <w:szCs w:val="16"/>
                <w:lang w:val="en-US" w:eastAsia="en-US"/>
              </w:rPr>
              <w:t>Challenges in Fungal Taxonomic Classification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_Toc201242196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1E26AEF0" w14:textId="3A16BFCA"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7" w:history="1">
            <w:r w:rsidRPr="00351431">
              <w:rPr>
                <w:rStyle w:val="Hyperlink"/>
                <w:rFonts w:ascii="Calibri" w:hAnsi="Calibri" w:cs="Calibri"/>
                <w:b/>
                <w:bCs/>
                <w:noProof/>
                <w:sz w:val="16"/>
                <w:szCs w:val="16"/>
                <w:lang w:val="en-US" w:eastAsia="en-US"/>
              </w:rPr>
              <w:t>Quality Control in Nanopore Sequencing</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_Toc201242197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4D11F259" w14:textId="48EACE5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8" w:history="1">
            <w:r w:rsidRPr="00351431">
              <w:rPr>
                <w:rStyle w:val="Hyperlink"/>
                <w:rFonts w:ascii="Calibri" w:hAnsi="Calibri" w:cs="Calibri"/>
                <w:b/>
                <w:bCs/>
                <w:noProof/>
                <w:sz w:val="16"/>
                <w:szCs w:val="16"/>
                <w:lang w:val="en-US" w:eastAsia="en-US"/>
              </w:rPr>
              <w:t>ITSx for Targeted Extraction of ITS Regions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_Toc201242198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448B0CE9" w14:textId="364ABB49"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9" w:history="1">
            <w:r w:rsidRPr="00351431">
              <w:rPr>
                <w:rStyle w:val="Hyperlink"/>
                <w:rFonts w:ascii="Calibri" w:hAnsi="Calibri" w:cs="Calibri"/>
                <w:b/>
                <w:bCs/>
                <w:noProof/>
                <w:sz w:val="16"/>
                <w:szCs w:val="16"/>
                <w:lang w:val="en-US" w:eastAsia="en-US"/>
              </w:rPr>
              <w:t>GermGenie and Reference Databases for ITS Classification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_Toc201242199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257B128D" w14:textId="4C2653B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0" w:history="1">
            <w:r w:rsidRPr="00351431">
              <w:rPr>
                <w:rStyle w:val="Hyperlink"/>
                <w:rFonts w:ascii="Calibri" w:hAnsi="Calibri" w:cs="Calibri"/>
                <w:b/>
                <w:bCs/>
                <w:noProof/>
                <w:sz w:val="16"/>
                <w:szCs w:val="16"/>
                <w:lang w:val="en-US" w:eastAsia="en-US"/>
              </w:rPr>
              <w:t>Read Mapping with Minimap2 and Bedtools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_Toc201242200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7D835EC5" w14:textId="757CB475"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1" w:history="1">
            <w:r w:rsidRPr="00351431">
              <w:rPr>
                <w:rStyle w:val="Hyperlink"/>
                <w:rFonts w:ascii="Calibri" w:hAnsi="Calibri" w:cs="Calibri"/>
                <w:noProof/>
                <w:sz w:val="16"/>
                <w:szCs w:val="16"/>
                <w:lang w:val="en-US"/>
              </w:rPr>
              <w:t>MATERIAL AND METHODS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_Toc201242201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33D7AA92" w14:textId="19312E05"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2" w:history="1">
            <w:r w:rsidRPr="00351431">
              <w:rPr>
                <w:rStyle w:val="Hyperlink"/>
                <w:rFonts w:ascii="Calibri" w:hAnsi="Calibri" w:cs="Calibri"/>
                <w:b/>
                <w:bCs/>
                <w:noProof/>
                <w:sz w:val="16"/>
                <w:szCs w:val="16"/>
                <w:lang w:val="en-US"/>
              </w:rPr>
              <w:t>Materials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_Toc201242202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73B77861" w14:textId="5A126C3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3" w:history="1">
            <w:r w:rsidRPr="00351431">
              <w:rPr>
                <w:rStyle w:val="Hyperlink"/>
                <w:rFonts w:ascii="Calibri" w:hAnsi="Calibri" w:cs="Calibri"/>
                <w:b/>
                <w:bCs/>
                <w:noProof/>
                <w:sz w:val="16"/>
                <w:szCs w:val="16"/>
                <w:lang w:val="en-US"/>
              </w:rPr>
              <w:t>Methods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_Toc201242203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60921D2B" w14:textId="7980D050"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4" w:history="1">
            <w:r w:rsidRPr="00351431">
              <w:rPr>
                <w:rStyle w:val="Hyperlink"/>
                <w:rFonts w:ascii="Calibri" w:hAnsi="Calibri" w:cs="Calibri"/>
                <w:noProof/>
                <w:sz w:val="16"/>
                <w:szCs w:val="16"/>
                <w:lang w:val="en-US"/>
              </w:rPr>
              <w:t>RESULTS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_Toc201242204 \h </w:instrText>
            </w:r>
            <w:r w:rsidRPr="00351431">
              <w:rPr>
                <w:noProof/>
                <w:webHidden/>
                <w:sz w:val="16"/>
                <w:szCs w:val="16"/>
              </w:rPr>
            </w:r>
            <w:r w:rsidRPr="00351431">
              <w:rPr>
                <w:noProof/>
                <w:webHidden/>
                <w:sz w:val="16"/>
                <w:szCs w:val="16"/>
              </w:rPr>
              <w:fldChar w:fldCharType="separate"/>
            </w:r>
            <w:r w:rsidR="00337648">
              <w:rPr>
                <w:noProof/>
                <w:webHidden/>
                <w:sz w:val="16"/>
                <w:szCs w:val="16"/>
              </w:rPr>
              <w:t>7</w:t>
            </w:r>
            <w:r w:rsidRPr="00351431">
              <w:rPr>
                <w:noProof/>
                <w:webHidden/>
                <w:sz w:val="16"/>
                <w:szCs w:val="16"/>
              </w:rPr>
              <w:fldChar w:fldCharType="end"/>
            </w:r>
          </w:hyperlink>
        </w:p>
        <w:p w14:paraId="6075E53E" w14:textId="55447FDD"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5" w:history="1">
            <w:r w:rsidRPr="00351431">
              <w:rPr>
                <w:rStyle w:val="Hyperlink"/>
                <w:rFonts w:ascii="Calibri" w:hAnsi="Calibri" w:cs="Calibri"/>
                <w:b/>
                <w:bCs/>
                <w:noProof/>
                <w:sz w:val="16"/>
                <w:szCs w:val="16"/>
                <w:lang w:val="en-US"/>
              </w:rPr>
              <w:t>Read quality and length assessment using NanoPlot and Filtlong</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_Toc201242205 \h </w:instrText>
            </w:r>
            <w:r w:rsidRPr="00351431">
              <w:rPr>
                <w:noProof/>
                <w:webHidden/>
                <w:sz w:val="16"/>
                <w:szCs w:val="16"/>
              </w:rPr>
            </w:r>
            <w:r w:rsidRPr="00351431">
              <w:rPr>
                <w:noProof/>
                <w:webHidden/>
                <w:sz w:val="16"/>
                <w:szCs w:val="16"/>
              </w:rPr>
              <w:fldChar w:fldCharType="separate"/>
            </w:r>
            <w:r w:rsidR="00337648">
              <w:rPr>
                <w:noProof/>
                <w:webHidden/>
                <w:sz w:val="16"/>
                <w:szCs w:val="16"/>
              </w:rPr>
              <w:t>7</w:t>
            </w:r>
            <w:r w:rsidRPr="00351431">
              <w:rPr>
                <w:noProof/>
                <w:webHidden/>
                <w:sz w:val="16"/>
                <w:szCs w:val="16"/>
              </w:rPr>
              <w:fldChar w:fldCharType="end"/>
            </w:r>
          </w:hyperlink>
        </w:p>
        <w:p w14:paraId="25E86792" w14:textId="1635E8B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6" w:history="1">
            <w:r w:rsidRPr="00351431">
              <w:rPr>
                <w:rStyle w:val="Hyperlink"/>
                <w:rFonts w:ascii="Calibri" w:hAnsi="Calibri" w:cs="Calibri"/>
                <w:b/>
                <w:bCs/>
                <w:noProof/>
                <w:sz w:val="16"/>
                <w:szCs w:val="16"/>
                <w:lang w:val="en-US" w:eastAsia="en-US"/>
              </w:rPr>
              <w:t>Taxonomic classification using GermGenie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_Toc201242206 \h </w:instrText>
            </w:r>
            <w:r w:rsidRPr="00351431">
              <w:rPr>
                <w:noProof/>
                <w:webHidden/>
                <w:sz w:val="16"/>
                <w:szCs w:val="16"/>
              </w:rPr>
            </w:r>
            <w:r w:rsidRPr="00351431">
              <w:rPr>
                <w:noProof/>
                <w:webHidden/>
                <w:sz w:val="16"/>
                <w:szCs w:val="16"/>
              </w:rPr>
              <w:fldChar w:fldCharType="separate"/>
            </w:r>
            <w:r w:rsidR="00337648">
              <w:rPr>
                <w:noProof/>
                <w:webHidden/>
                <w:sz w:val="16"/>
                <w:szCs w:val="16"/>
              </w:rPr>
              <w:t>8</w:t>
            </w:r>
            <w:r w:rsidRPr="00351431">
              <w:rPr>
                <w:noProof/>
                <w:webHidden/>
                <w:sz w:val="16"/>
                <w:szCs w:val="16"/>
              </w:rPr>
              <w:fldChar w:fldCharType="end"/>
            </w:r>
          </w:hyperlink>
        </w:p>
        <w:p w14:paraId="5FDA2307" w14:textId="614AEAF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7" w:history="1">
            <w:r w:rsidRPr="00351431">
              <w:rPr>
                <w:rStyle w:val="Hyperlink"/>
                <w:rFonts w:ascii="Calibri" w:hAnsi="Calibri" w:cs="Calibri"/>
                <w:b/>
                <w:bCs/>
                <w:noProof/>
                <w:sz w:val="16"/>
                <w:szCs w:val="16"/>
                <w:lang w:val="en-US" w:eastAsia="en-US"/>
              </w:rPr>
              <w:t>Accuracy of Species Identification Based on Consensus Sequences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_Toc201242207 \h </w:instrText>
            </w:r>
            <w:r w:rsidRPr="00351431">
              <w:rPr>
                <w:noProof/>
                <w:webHidden/>
                <w:sz w:val="16"/>
                <w:szCs w:val="16"/>
              </w:rPr>
            </w:r>
            <w:r w:rsidRPr="00351431">
              <w:rPr>
                <w:noProof/>
                <w:webHidden/>
                <w:sz w:val="16"/>
                <w:szCs w:val="16"/>
              </w:rPr>
              <w:fldChar w:fldCharType="separate"/>
            </w:r>
            <w:r w:rsidR="00337648">
              <w:rPr>
                <w:noProof/>
                <w:webHidden/>
                <w:sz w:val="16"/>
                <w:szCs w:val="16"/>
              </w:rPr>
              <w:t>9</w:t>
            </w:r>
            <w:r w:rsidRPr="00351431">
              <w:rPr>
                <w:noProof/>
                <w:webHidden/>
                <w:sz w:val="16"/>
                <w:szCs w:val="16"/>
              </w:rPr>
              <w:fldChar w:fldCharType="end"/>
            </w:r>
          </w:hyperlink>
        </w:p>
        <w:p w14:paraId="4E7EBF53" w14:textId="4A9C70E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8" w:history="1">
            <w:r w:rsidRPr="00351431">
              <w:rPr>
                <w:rStyle w:val="Hyperlink"/>
                <w:rFonts w:ascii="Calibri" w:hAnsi="Calibri" w:cs="Calibri"/>
                <w:b/>
                <w:bCs/>
                <w:noProof/>
                <w:sz w:val="16"/>
                <w:szCs w:val="16"/>
                <w:lang w:val="en-US" w:eastAsia="en-US"/>
              </w:rPr>
              <w:t>Association Between Primer Recovery, Read Mapping, Abundance, and Tool Performance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_Toc201242208 \h </w:instrText>
            </w:r>
            <w:r w:rsidRPr="00351431">
              <w:rPr>
                <w:noProof/>
                <w:webHidden/>
                <w:sz w:val="16"/>
                <w:szCs w:val="16"/>
              </w:rPr>
            </w:r>
            <w:r w:rsidRPr="00351431">
              <w:rPr>
                <w:noProof/>
                <w:webHidden/>
                <w:sz w:val="16"/>
                <w:szCs w:val="16"/>
              </w:rPr>
              <w:fldChar w:fldCharType="separate"/>
            </w:r>
            <w:r w:rsidR="00337648">
              <w:rPr>
                <w:noProof/>
                <w:webHidden/>
                <w:sz w:val="16"/>
                <w:szCs w:val="16"/>
              </w:rPr>
              <w:t>10</w:t>
            </w:r>
            <w:r w:rsidRPr="00351431">
              <w:rPr>
                <w:noProof/>
                <w:webHidden/>
                <w:sz w:val="16"/>
                <w:szCs w:val="16"/>
              </w:rPr>
              <w:fldChar w:fldCharType="end"/>
            </w:r>
          </w:hyperlink>
        </w:p>
        <w:p w14:paraId="6F7EAFB0" w14:textId="285A08E3"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9" w:history="1">
            <w:r w:rsidRPr="00351431">
              <w:rPr>
                <w:rStyle w:val="Hyperlink"/>
                <w:rFonts w:ascii="Calibri" w:hAnsi="Calibri" w:cs="Calibri"/>
                <w:noProof/>
                <w:sz w:val="16"/>
                <w:szCs w:val="16"/>
                <w:lang w:val="en-US" w:eastAsia="en-US"/>
              </w:rPr>
              <w:t>DISCUSSION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_Toc201242209 \h </w:instrText>
            </w:r>
            <w:r w:rsidRPr="00351431">
              <w:rPr>
                <w:noProof/>
                <w:webHidden/>
                <w:sz w:val="16"/>
                <w:szCs w:val="16"/>
              </w:rPr>
            </w:r>
            <w:r w:rsidRPr="00351431">
              <w:rPr>
                <w:noProof/>
                <w:webHidden/>
                <w:sz w:val="16"/>
                <w:szCs w:val="16"/>
              </w:rPr>
              <w:fldChar w:fldCharType="separate"/>
            </w:r>
            <w:r w:rsidR="00337648">
              <w:rPr>
                <w:noProof/>
                <w:webHidden/>
                <w:sz w:val="16"/>
                <w:szCs w:val="16"/>
              </w:rPr>
              <w:t>11</w:t>
            </w:r>
            <w:r w:rsidRPr="00351431">
              <w:rPr>
                <w:noProof/>
                <w:webHidden/>
                <w:sz w:val="16"/>
                <w:szCs w:val="16"/>
              </w:rPr>
              <w:fldChar w:fldCharType="end"/>
            </w:r>
          </w:hyperlink>
        </w:p>
        <w:p w14:paraId="6A26D94A" w14:textId="0B0819EA"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10" w:history="1">
            <w:r w:rsidRPr="00351431">
              <w:rPr>
                <w:rStyle w:val="Hyperlink"/>
                <w:rFonts w:ascii="Calibri" w:hAnsi="Calibri" w:cs="Calibri"/>
                <w:noProof/>
                <w:sz w:val="16"/>
                <w:szCs w:val="16"/>
                <w:lang w:val="en-US" w:eastAsia="en-US"/>
              </w:rPr>
              <w:t>CONCLUSION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_Toc201242210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0EFB544C" w14:textId="5C31896D" w:rsidR="00351431" w:rsidRPr="00351431" w:rsidRDefault="00351431" w:rsidP="00351431">
          <w:pPr>
            <w:pStyle w:val="Inhopg1"/>
            <w:tabs>
              <w:tab w:val="right" w:leader="dot" w:pos="9062"/>
            </w:tabs>
            <w:rPr>
              <w:noProof/>
              <w:color w:val="467886" w:themeColor="hyperlink"/>
              <w:sz w:val="16"/>
              <w:szCs w:val="16"/>
              <w:u w:val="single"/>
            </w:rPr>
          </w:pPr>
          <w:hyperlink w:anchor="_Toc201242211" w:history="1">
            <w:r w:rsidRPr="00351431">
              <w:rPr>
                <w:rStyle w:val="Hyperlink"/>
                <w:rFonts w:ascii="Calibri" w:hAnsi="Calibri" w:cs="Calibri"/>
                <w:noProof/>
                <w:sz w:val="16"/>
                <w:szCs w:val="16"/>
                <w:lang w:val="en-US" w:eastAsia="en-US"/>
              </w:rPr>
              <w:t>AVAILABILITY OF DATA AND MATERIALS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_Toc201242211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6EE81399" w14:textId="77E32587"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12" w:history="1">
            <w:r w:rsidRPr="00351431">
              <w:rPr>
                <w:rStyle w:val="Hyperlink"/>
                <w:rFonts w:ascii="Calibri" w:hAnsi="Calibri" w:cs="Calibri"/>
                <w:noProof/>
                <w:sz w:val="16"/>
                <w:szCs w:val="16"/>
                <w:lang w:val="en-US" w:eastAsia="en-US"/>
              </w:rPr>
              <w:t>ACKNOWLEDGMENTS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_Toc201242212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527341EE" w14:textId="5844D947" w:rsidR="00241406" w:rsidRPr="00351431" w:rsidRDefault="00241406">
          <w:pPr>
            <w:rPr>
              <w:sz w:val="16"/>
              <w:szCs w:val="16"/>
            </w:rPr>
          </w:pPr>
          <w:r w:rsidRPr="00351431">
            <w:rPr>
              <w:b/>
              <w:bCs/>
              <w:sz w:val="16"/>
              <w:szCs w:val="16"/>
            </w:rPr>
            <w:fldChar w:fldCharType="end"/>
          </w:r>
        </w:p>
      </w:sdtContent>
    </w:sdt>
    <w:p w14:paraId="27BD19CA" w14:textId="77777777" w:rsidR="00241406" w:rsidRPr="00241406" w:rsidRDefault="00241406" w:rsidP="00241406">
      <w:pPr>
        <w:rPr>
          <w:lang w:val="en-US"/>
        </w:rPr>
        <w:sectPr w:rsidR="00241406" w:rsidRPr="00241406">
          <w:pgSz w:w="11906" w:h="16838"/>
          <w:pgMar w:top="1417" w:right="1417" w:bottom="1417" w:left="1417" w:header="708" w:footer="708" w:gutter="0"/>
          <w:cols w:space="708"/>
          <w:docGrid w:linePitch="360"/>
        </w:sectPr>
      </w:pPr>
    </w:p>
    <w:p w14:paraId="63D5A1C1" w14:textId="77777777" w:rsidR="00351431" w:rsidRDefault="00351431" w:rsidP="00351431">
      <w:pPr>
        <w:rPr>
          <w:lang w:val="en-US"/>
        </w:rPr>
      </w:pPr>
      <w:bookmarkStart w:id="0" w:name="_Toc201242189"/>
    </w:p>
    <w:p w14:paraId="6AC367CE" w14:textId="77777777" w:rsidR="00351431" w:rsidRDefault="00351431" w:rsidP="00351431">
      <w:pPr>
        <w:rPr>
          <w:lang w:val="en-US"/>
        </w:rPr>
      </w:pPr>
    </w:p>
    <w:p w14:paraId="68F75CB0" w14:textId="77777777" w:rsidR="00351431" w:rsidRDefault="00351431" w:rsidP="00351431">
      <w:pPr>
        <w:rPr>
          <w:lang w:val="en-US"/>
        </w:rPr>
      </w:pPr>
    </w:p>
    <w:p w14:paraId="056911AC" w14:textId="77777777" w:rsidR="00351431" w:rsidRDefault="00351431" w:rsidP="00351431">
      <w:pPr>
        <w:rPr>
          <w:lang w:val="en-US"/>
        </w:rPr>
      </w:pPr>
    </w:p>
    <w:p w14:paraId="2C0AD59D" w14:textId="77777777" w:rsidR="00351431" w:rsidRDefault="00351431" w:rsidP="00351431">
      <w:pPr>
        <w:rPr>
          <w:lang w:val="en-US"/>
        </w:rPr>
      </w:pPr>
    </w:p>
    <w:p w14:paraId="58F227E1" w14:textId="77777777" w:rsidR="00351431" w:rsidRDefault="00351431" w:rsidP="00351431">
      <w:pPr>
        <w:rPr>
          <w:lang w:val="en-US"/>
        </w:rPr>
      </w:pPr>
    </w:p>
    <w:p w14:paraId="1AEC8687" w14:textId="77777777" w:rsidR="00351431" w:rsidRDefault="00351431" w:rsidP="00351431">
      <w:pPr>
        <w:rPr>
          <w:lang w:val="en-US"/>
        </w:rPr>
      </w:pPr>
    </w:p>
    <w:p w14:paraId="15847233" w14:textId="77777777" w:rsidR="00351431" w:rsidRDefault="00351431" w:rsidP="00351431">
      <w:pPr>
        <w:rPr>
          <w:lang w:val="en-US"/>
        </w:rPr>
      </w:pPr>
    </w:p>
    <w:p w14:paraId="3282E835" w14:textId="77777777" w:rsidR="00351431" w:rsidRDefault="00351431" w:rsidP="00351431">
      <w:pPr>
        <w:rPr>
          <w:lang w:val="en-US"/>
        </w:rPr>
      </w:pPr>
    </w:p>
    <w:p w14:paraId="6CCD9D07" w14:textId="77777777" w:rsidR="00351431" w:rsidRDefault="00351431" w:rsidP="00351431">
      <w:pPr>
        <w:rPr>
          <w:lang w:val="en-US"/>
        </w:rPr>
      </w:pPr>
    </w:p>
    <w:p w14:paraId="606B28E5" w14:textId="77777777" w:rsidR="00351431" w:rsidRDefault="00351431" w:rsidP="00351431">
      <w:pPr>
        <w:rPr>
          <w:lang w:val="en-US"/>
        </w:rPr>
      </w:pPr>
    </w:p>
    <w:p w14:paraId="24AD2689" w14:textId="77777777" w:rsidR="00351431" w:rsidRDefault="00351431" w:rsidP="00351431">
      <w:pPr>
        <w:rPr>
          <w:lang w:val="en-US"/>
        </w:rPr>
      </w:pPr>
    </w:p>
    <w:p w14:paraId="648332AA" w14:textId="77777777" w:rsidR="00351431" w:rsidRDefault="00351431" w:rsidP="00351431">
      <w:pPr>
        <w:rPr>
          <w:lang w:val="en-US"/>
        </w:rPr>
      </w:pPr>
    </w:p>
    <w:p w14:paraId="3D9BC4C3" w14:textId="77777777" w:rsidR="00351431" w:rsidRDefault="00351431" w:rsidP="00351431">
      <w:pPr>
        <w:rPr>
          <w:lang w:val="en-US"/>
        </w:rPr>
      </w:pPr>
    </w:p>
    <w:p w14:paraId="539DAD10" w14:textId="77777777" w:rsidR="00351431" w:rsidRDefault="00351431" w:rsidP="00351431">
      <w:pPr>
        <w:rPr>
          <w:lang w:val="en-US"/>
        </w:rPr>
      </w:pPr>
    </w:p>
    <w:p w14:paraId="420A4D9B" w14:textId="77777777" w:rsidR="00D3520D" w:rsidRDefault="00D3520D" w:rsidP="00351431">
      <w:pPr>
        <w:rPr>
          <w:lang w:val="en-US"/>
        </w:rPr>
      </w:pPr>
    </w:p>
    <w:p w14:paraId="3B686D37" w14:textId="77777777" w:rsidR="00D3520D" w:rsidRDefault="00D3520D" w:rsidP="00351431">
      <w:pPr>
        <w:rPr>
          <w:lang w:val="en-US"/>
        </w:rPr>
      </w:pPr>
    </w:p>
    <w:p w14:paraId="5672A61F" w14:textId="77777777" w:rsidR="00351431" w:rsidRDefault="00351431" w:rsidP="00351431">
      <w:pPr>
        <w:rPr>
          <w:lang w:val="en-US"/>
        </w:rPr>
      </w:pPr>
    </w:p>
    <w:p w14:paraId="6ABAEEE1" w14:textId="77777777" w:rsidR="00351431" w:rsidRDefault="00351431" w:rsidP="00351431">
      <w:pPr>
        <w:rPr>
          <w:lang w:val="en-US"/>
        </w:rPr>
      </w:pPr>
    </w:p>
    <w:p w14:paraId="473F1138" w14:textId="77777777" w:rsidR="00351431" w:rsidRDefault="00351431" w:rsidP="00351431">
      <w:pPr>
        <w:rPr>
          <w:lang w:val="en-US"/>
        </w:rPr>
      </w:pPr>
    </w:p>
    <w:p w14:paraId="2BD9BCAC" w14:textId="4CC605B4" w:rsidR="008B1012" w:rsidRPr="007B28F7" w:rsidRDefault="00750B74" w:rsidP="00FB4A78">
      <w:pPr>
        <w:pStyle w:val="Kop1"/>
        <w:rPr>
          <w:sz w:val="22"/>
          <w:szCs w:val="22"/>
          <w:lang w:val="en-US"/>
        </w:rPr>
      </w:pPr>
      <w:r>
        <w:rPr>
          <w:rFonts w:ascii="Calibri" w:hAnsi="Calibri" w:cs="Calibri"/>
          <w:sz w:val="22"/>
          <w:szCs w:val="22"/>
          <w:lang w:val="en-US"/>
        </w:rPr>
        <w:lastRenderedPageBreak/>
        <w:t>INTRODUCTION</w:t>
      </w:r>
      <w:bookmarkEnd w:id="0"/>
    </w:p>
    <w:p w14:paraId="2EC2056D" w14:textId="0FBB487C" w:rsidR="0002578A" w:rsidRDefault="007B0F84" w:rsidP="00E823DD">
      <w:pPr>
        <w:rPr>
          <w:sz w:val="21"/>
          <w:szCs w:val="21"/>
          <w:lang w:val="en-US"/>
        </w:rPr>
      </w:pPr>
      <w:r w:rsidRPr="007B0F84">
        <w:rPr>
          <w:sz w:val="21"/>
          <w:szCs w:val="21"/>
          <w:lang w:val="en-US"/>
        </w:rPr>
        <w:t xml:space="preserve">Infectious diseases continue to pose a major challenge in clinical diagnostics, especially in immunocompromised patients where rapid and accurate pathogen identification is essential for guiding treatment. Traditional diagnostic methods, such as microbial culturing, are often slow and unreliable for organisms that are difficult or impossible to cultivate. Fungal pathogens, in particular, are notoriously challenging to culture and identify using conventional approaches. As a result, molecular diagnostics based on sequencing technologies are increasingly being adopted for direct detection of microbial DNA from clinical samples </w:t>
      </w:r>
      <w:sdt>
        <w:sdtPr>
          <w:rPr>
            <w:sz w:val="21"/>
            <w:szCs w:val="21"/>
            <w:lang w:val="en-US"/>
          </w:rPr>
          <w:id w:val="-939991074"/>
          <w:citation/>
        </w:sdtPr>
        <w:sdtContent>
          <w:r w:rsidR="00A12BBE">
            <w:rPr>
              <w:sz w:val="21"/>
              <w:szCs w:val="21"/>
              <w:lang w:val="en-US"/>
            </w:rPr>
            <w:fldChar w:fldCharType="begin"/>
          </w:r>
          <w:r w:rsidR="00A12BBE" w:rsidRPr="00A12BBE">
            <w:rPr>
              <w:sz w:val="21"/>
              <w:szCs w:val="21"/>
              <w:lang w:val="en-US"/>
            </w:rPr>
            <w:instrText xml:space="preserve"> CITATION GuW19 \l 1043 </w:instrText>
          </w:r>
          <w:r w:rsidR="00A12BBE">
            <w:rPr>
              <w:sz w:val="21"/>
              <w:szCs w:val="21"/>
              <w:lang w:val="en-US"/>
            </w:rPr>
            <w:fldChar w:fldCharType="separate"/>
          </w:r>
          <w:r w:rsidR="009A72D0" w:rsidRPr="009A72D0">
            <w:rPr>
              <w:noProof/>
              <w:sz w:val="21"/>
              <w:szCs w:val="21"/>
              <w:lang w:val="en-US"/>
            </w:rPr>
            <w:t>[1]</w:t>
          </w:r>
          <w:r w:rsidR="00A12BBE">
            <w:rPr>
              <w:sz w:val="21"/>
              <w:szCs w:val="21"/>
              <w:lang w:val="en-US"/>
            </w:rPr>
            <w:fldChar w:fldCharType="end"/>
          </w:r>
        </w:sdtContent>
      </w:sdt>
      <w:r w:rsidR="00A12BBE">
        <w:rPr>
          <w:sz w:val="21"/>
          <w:szCs w:val="21"/>
          <w:lang w:val="en-US"/>
        </w:rPr>
        <w:t>.</w:t>
      </w:r>
    </w:p>
    <w:p w14:paraId="5D284B26" w14:textId="77777777" w:rsidR="007803A6" w:rsidRDefault="007803A6" w:rsidP="00E823DD">
      <w:pPr>
        <w:rPr>
          <w:sz w:val="21"/>
          <w:szCs w:val="21"/>
          <w:lang w:val="en-US"/>
        </w:rPr>
      </w:pPr>
    </w:p>
    <w:p w14:paraId="0EB05DA3" w14:textId="043CD5BD" w:rsidR="007803A6" w:rsidRDefault="007803A6" w:rsidP="00E823DD">
      <w:pPr>
        <w:rPr>
          <w:sz w:val="21"/>
          <w:szCs w:val="21"/>
          <w:lang w:val="en-US"/>
        </w:rPr>
      </w:pPr>
      <w:r w:rsidRPr="007803A6">
        <w:rPr>
          <w:sz w:val="21"/>
          <w:szCs w:val="21"/>
          <w:lang w:val="en-US"/>
        </w:rPr>
        <w:t xml:space="preserve">Among available genetic markers, the internal transcribed spacer (ITS) region of the fungal rRNA operon has been widely accepted as the formal DNA barcode for fungi, owing to its high interspecific variability and universal presence in fungal genomes </w:t>
      </w:r>
      <w:sdt>
        <w:sdtPr>
          <w:rPr>
            <w:sz w:val="21"/>
            <w:szCs w:val="21"/>
            <w:lang w:val="en-US"/>
          </w:rPr>
          <w:id w:val="1136919814"/>
          <w:citation/>
        </w:sdtPr>
        <w:sdtContent>
          <w:r w:rsidR="00AF132E">
            <w:rPr>
              <w:sz w:val="21"/>
              <w:szCs w:val="21"/>
              <w:lang w:val="en-US"/>
            </w:rPr>
            <w:fldChar w:fldCharType="begin"/>
          </w:r>
          <w:r w:rsidR="00AF132E" w:rsidRPr="00AF132E">
            <w:rPr>
              <w:sz w:val="21"/>
              <w:szCs w:val="21"/>
              <w:lang w:val="en-US"/>
            </w:rPr>
            <w:instrText xml:space="preserve"> CITATION Muñ10 \l 1043 </w:instrText>
          </w:r>
          <w:r w:rsidR="00AF132E">
            <w:rPr>
              <w:sz w:val="21"/>
              <w:szCs w:val="21"/>
              <w:lang w:val="en-US"/>
            </w:rPr>
            <w:fldChar w:fldCharType="separate"/>
          </w:r>
          <w:r w:rsidR="009A72D0" w:rsidRPr="009A72D0">
            <w:rPr>
              <w:noProof/>
              <w:sz w:val="21"/>
              <w:szCs w:val="21"/>
              <w:lang w:val="en-US"/>
            </w:rPr>
            <w:t>[2]</w:t>
          </w:r>
          <w:r w:rsidR="00AF132E">
            <w:rPr>
              <w:sz w:val="21"/>
              <w:szCs w:val="21"/>
              <w:lang w:val="en-US"/>
            </w:rPr>
            <w:fldChar w:fldCharType="end"/>
          </w:r>
        </w:sdtContent>
      </w:sdt>
      <w:r w:rsidRPr="007803A6">
        <w:rPr>
          <w:sz w:val="21"/>
          <w:szCs w:val="21"/>
          <w:lang w:val="en-US"/>
        </w:rPr>
        <w:t>. Amplification and sequencing of this region allow for species-level identification in most fungal lineages</w:t>
      </w:r>
      <w:r w:rsidR="00A73AD1">
        <w:rPr>
          <w:sz w:val="21"/>
          <w:szCs w:val="21"/>
          <w:lang w:val="en-US"/>
        </w:rPr>
        <w:t xml:space="preserve">. </w:t>
      </w:r>
      <w:r w:rsidR="00A73AD1" w:rsidRPr="00A73AD1">
        <w:rPr>
          <w:sz w:val="21"/>
          <w:szCs w:val="21"/>
          <w:lang w:val="en-US"/>
        </w:rPr>
        <w:t>However, the full ITS region, which may span up to 2.5 to 3 kbp including flanking rRNA genes, is often difficult to amplify in degraded DNA samples such as formalin-fixed paraffin-embedded (FFPE) tissue. In bacterial diagnostics similar challenges have been overcome by targeting shorter overlapping 16S rRNA gene fragments that enable accurate taxonomic classification even in highly fragmented DNA.</w:t>
      </w:r>
      <w:r w:rsidR="00A73AD1">
        <w:rPr>
          <w:sz w:val="21"/>
          <w:szCs w:val="21"/>
          <w:lang w:val="en-US"/>
        </w:rPr>
        <w:t xml:space="preserve"> </w:t>
      </w:r>
      <w:sdt>
        <w:sdtPr>
          <w:rPr>
            <w:sz w:val="21"/>
            <w:szCs w:val="21"/>
            <w:lang w:val="en-US"/>
          </w:rPr>
          <w:id w:val="1480886337"/>
          <w:citation/>
        </w:sdtPr>
        <w:sdtContent>
          <w:r w:rsidR="00143C8A">
            <w:rPr>
              <w:sz w:val="21"/>
              <w:szCs w:val="21"/>
              <w:lang w:val="en-US"/>
            </w:rPr>
            <w:fldChar w:fldCharType="begin"/>
          </w:r>
          <w:r w:rsidR="00143C8A" w:rsidRPr="00143C8A">
            <w:rPr>
              <w:sz w:val="21"/>
              <w:szCs w:val="21"/>
              <w:lang w:val="en-US"/>
            </w:rPr>
            <w:instrText xml:space="preserve"> CITATION Mit19 \l 1043 </w:instrText>
          </w:r>
          <w:r w:rsidR="00143C8A">
            <w:rPr>
              <w:sz w:val="21"/>
              <w:szCs w:val="21"/>
              <w:lang w:val="en-US"/>
            </w:rPr>
            <w:fldChar w:fldCharType="separate"/>
          </w:r>
          <w:r w:rsidR="009A72D0" w:rsidRPr="009A72D0">
            <w:rPr>
              <w:noProof/>
              <w:sz w:val="21"/>
              <w:szCs w:val="21"/>
              <w:lang w:val="en-US"/>
            </w:rPr>
            <w:t>[3]</w:t>
          </w:r>
          <w:r w:rsidR="00143C8A">
            <w:rPr>
              <w:sz w:val="21"/>
              <w:szCs w:val="21"/>
              <w:lang w:val="en-US"/>
            </w:rPr>
            <w:fldChar w:fldCharType="end"/>
          </w:r>
        </w:sdtContent>
      </w:sdt>
      <w:r w:rsidRPr="007803A6">
        <w:rPr>
          <w:sz w:val="21"/>
          <w:szCs w:val="21"/>
          <w:lang w:val="en-US"/>
        </w:rPr>
        <w:t xml:space="preserve">. </w:t>
      </w:r>
      <w:r w:rsidR="00A73AD1" w:rsidRPr="00A73AD1">
        <w:rPr>
          <w:sz w:val="21"/>
          <w:szCs w:val="21"/>
          <w:lang w:val="en-US"/>
        </w:rPr>
        <w:t>In contrast, a validated fragment-based approach for fungal ITS sequencing remains underexplored</w:t>
      </w:r>
      <w:r w:rsidR="00A73AD1">
        <w:rPr>
          <w:sz w:val="21"/>
          <w:szCs w:val="21"/>
          <w:lang w:val="en-US"/>
        </w:rPr>
        <w:t>.</w:t>
      </w:r>
    </w:p>
    <w:p w14:paraId="583D7E3C" w14:textId="77777777" w:rsidR="0011430D" w:rsidRDefault="0011430D" w:rsidP="00E823DD">
      <w:pPr>
        <w:rPr>
          <w:sz w:val="21"/>
          <w:szCs w:val="21"/>
          <w:lang w:val="en-US"/>
        </w:rPr>
      </w:pPr>
    </w:p>
    <w:p w14:paraId="7F535BE3" w14:textId="18D13F90" w:rsidR="00F14913" w:rsidRDefault="0011430D" w:rsidP="001A07D9">
      <w:pPr>
        <w:rPr>
          <w:sz w:val="21"/>
          <w:szCs w:val="21"/>
          <w:lang w:val="en-US"/>
        </w:rPr>
      </w:pPr>
      <w:r w:rsidRPr="0011430D">
        <w:rPr>
          <w:sz w:val="21"/>
          <w:szCs w:val="21"/>
          <w:lang w:val="en-US"/>
        </w:rPr>
        <w:t>This study was initiated in order to investigate whether Nanopore sequencing of PCR-amplified ITS regions, using the primers ITS1-F_KYO2a and RCA95m, permits accurate fungal species identification from clinical fungal isolates. This approach serves as a model for evaluating the potential of ITS-based diagnostics in settings with degraded DNA, such as FFPE tissues, even though the current study focuses on DNA extracted from high-quality clinical fungal isolates.</w:t>
      </w:r>
    </w:p>
    <w:p w14:paraId="09F2CB26" w14:textId="77777777" w:rsidR="001A07D9" w:rsidRDefault="001A07D9" w:rsidP="001A07D9">
      <w:pPr>
        <w:rPr>
          <w:sz w:val="21"/>
          <w:szCs w:val="21"/>
          <w:lang w:val="en-US"/>
        </w:rPr>
      </w:pPr>
    </w:p>
    <w:p w14:paraId="2808B75F" w14:textId="1672102A" w:rsidR="0002578A" w:rsidRDefault="006D1E0E" w:rsidP="00E823DD">
      <w:pPr>
        <w:rPr>
          <w:sz w:val="21"/>
          <w:szCs w:val="21"/>
          <w:lang w:val="en-US"/>
        </w:rPr>
      </w:pPr>
      <w:r w:rsidRPr="006D1E0E">
        <w:rPr>
          <w:sz w:val="21"/>
          <w:szCs w:val="21"/>
          <w:lang w:val="en-US"/>
        </w:rPr>
        <w:t xml:space="preserve">To achieve this, ten clinically relevant fungal isolates were selected, and a large genomic region spanning ITS1, 5.8S, and ITS2 was amplified using the primers ITS1-F_KYO2a and RCA95m. The resulting amplicons were sequenced using Oxford Nanopore Technology (ONT), generating long-read data in FASTQ format. Initial quality control of the raw Nanopore reads was performed using NanoPlot and Filtlong to assess sequencing metrics and retain high-quality reads based on length and Phred score thresholds. These quality-filtered FASTQ reads were subsequently used in two parallel analyses. First, reads were aligned to fungal reference genomes using Minimap2 to assess mapping specificity. To evaluate potential off-target amplification, overlaps between mapped reads were examined using bedtools. Second, the filtered reads were subjected to direct taxonomic classification using GermGenie, which was applied to the FASTQ data in combination with a curated fungal ITS reference database. This allowed assessment of whether accurate species-level identification could be achieved without the need for prior consensus generation. In a separate pipeline, consensus sequences were generated from the filtered reads using Flye and </w:t>
      </w:r>
      <w:r w:rsidR="00A73AD1">
        <w:rPr>
          <w:sz w:val="21"/>
          <w:szCs w:val="21"/>
          <w:lang w:val="en-US"/>
        </w:rPr>
        <w:t>W</w:t>
      </w:r>
      <w:r w:rsidRPr="006D1E0E">
        <w:rPr>
          <w:sz w:val="21"/>
          <w:szCs w:val="21"/>
          <w:lang w:val="en-US"/>
        </w:rPr>
        <w:t>f-amplicon. These consensus sequences were then processed with ITSx, to identify and extract the ITS1 and ITS2 subregions</w:t>
      </w:r>
      <w:r w:rsidR="00A73AD1">
        <w:rPr>
          <w:sz w:val="21"/>
          <w:szCs w:val="21"/>
          <w:lang w:val="en-US"/>
        </w:rPr>
        <w:t xml:space="preserve">. </w:t>
      </w:r>
      <w:r w:rsidR="00A73AD1" w:rsidRPr="00A73AD1">
        <w:rPr>
          <w:sz w:val="21"/>
          <w:szCs w:val="21"/>
          <w:lang w:val="en-US"/>
        </w:rPr>
        <w:t>The extracted ITS regions were then analyzed using BLASTn searches against the UNITE fungal ITS reference database, enabling accurate taxonomic assignment based on sequence similarity.</w:t>
      </w:r>
    </w:p>
    <w:p w14:paraId="12A280B5" w14:textId="77777777" w:rsidR="006D1E0E" w:rsidRPr="00F344F5" w:rsidRDefault="006D1E0E" w:rsidP="00E823DD">
      <w:pPr>
        <w:rPr>
          <w:sz w:val="21"/>
          <w:szCs w:val="21"/>
          <w:lang w:val="en-US"/>
        </w:rPr>
      </w:pPr>
    </w:p>
    <w:p w14:paraId="2AEC06C1" w14:textId="77777777" w:rsidR="00B00751" w:rsidRDefault="00B00751" w:rsidP="006B3234">
      <w:pPr>
        <w:pStyle w:val="Kop1"/>
        <w:rPr>
          <w:rFonts w:ascii="Calibri" w:hAnsi="Calibri" w:cs="Calibri"/>
          <w:sz w:val="22"/>
          <w:szCs w:val="22"/>
          <w:lang w:val="en-US"/>
        </w:rPr>
        <w:sectPr w:rsidR="00B00751" w:rsidSect="00095C19">
          <w:type w:val="continuous"/>
          <w:pgSz w:w="11906" w:h="16838"/>
          <w:pgMar w:top="1417" w:right="1417" w:bottom="1417" w:left="1417" w:header="708" w:footer="708" w:gutter="0"/>
          <w:cols w:space="708"/>
          <w:docGrid w:linePitch="360"/>
        </w:sectPr>
      </w:pPr>
    </w:p>
    <w:p w14:paraId="5091515F" w14:textId="13D41CAB" w:rsidR="006B3234" w:rsidRDefault="00750B74" w:rsidP="006B3234">
      <w:pPr>
        <w:pStyle w:val="Kop1"/>
        <w:rPr>
          <w:rFonts w:ascii="Calibri" w:hAnsi="Calibri" w:cs="Calibri"/>
          <w:sz w:val="22"/>
          <w:szCs w:val="22"/>
          <w:lang w:val="en-US"/>
        </w:rPr>
      </w:pPr>
      <w:bookmarkStart w:id="1" w:name="_Toc201242190"/>
      <w:r>
        <w:rPr>
          <w:rFonts w:ascii="Calibri" w:hAnsi="Calibri" w:cs="Calibri"/>
          <w:sz w:val="22"/>
          <w:szCs w:val="22"/>
          <w:lang w:val="en-US"/>
        </w:rPr>
        <w:t>THEORETICAL BACKGROUND</w:t>
      </w:r>
      <w:bookmarkEnd w:id="1"/>
    </w:p>
    <w:p w14:paraId="1527EB55" w14:textId="77777777" w:rsidR="005917BB" w:rsidRDefault="005917BB" w:rsidP="008A673D">
      <w:pPr>
        <w:rPr>
          <w:lang w:val="en-US"/>
        </w:rPr>
        <w:sectPr w:rsidR="005917BB" w:rsidSect="00095C19">
          <w:type w:val="continuous"/>
          <w:pgSz w:w="11906" w:h="16838"/>
          <w:pgMar w:top="1417" w:right="1417" w:bottom="1417" w:left="1417" w:header="708" w:footer="708" w:gutter="0"/>
          <w:cols w:space="708"/>
          <w:docGrid w:linePitch="360"/>
        </w:sectPr>
      </w:pPr>
    </w:p>
    <w:p w14:paraId="3C9CD03E" w14:textId="77777777" w:rsidR="00A00193" w:rsidRPr="00351431" w:rsidRDefault="00A00193" w:rsidP="005A34CB">
      <w:pPr>
        <w:pStyle w:val="Kop2"/>
        <w:rPr>
          <w:rFonts w:ascii="Calibri" w:hAnsi="Calibri" w:cs="Calibri"/>
          <w:b/>
          <w:bCs/>
          <w:sz w:val="21"/>
          <w:szCs w:val="21"/>
          <w:lang w:val="en-US" w:eastAsia="en-US"/>
        </w:rPr>
      </w:pPr>
      <w:bookmarkStart w:id="2" w:name="_Toc201242191"/>
      <w:r w:rsidRPr="00351431">
        <w:rPr>
          <w:rFonts w:ascii="Calibri" w:hAnsi="Calibri" w:cs="Calibri"/>
          <w:b/>
          <w:bCs/>
          <w:sz w:val="21"/>
          <w:szCs w:val="21"/>
          <w:lang w:val="en-US" w:eastAsia="en-US"/>
        </w:rPr>
        <w:t>Clinical Importance of Fungal Infections</w:t>
      </w:r>
      <w:bookmarkEnd w:id="2"/>
      <w:r w:rsidRPr="00351431">
        <w:rPr>
          <w:rFonts w:ascii="Calibri" w:hAnsi="Calibri" w:cs="Calibri"/>
          <w:b/>
          <w:bCs/>
          <w:sz w:val="21"/>
          <w:szCs w:val="21"/>
          <w:lang w:val="en-US" w:eastAsia="en-US"/>
        </w:rPr>
        <w:t xml:space="preserve"> </w:t>
      </w:r>
    </w:p>
    <w:p w14:paraId="7EEB23A5" w14:textId="1F83F7CF" w:rsidR="00376138" w:rsidRDefault="0004362D" w:rsidP="00F006BE">
      <w:pPr>
        <w:rPr>
          <w:sz w:val="21"/>
          <w:szCs w:val="21"/>
          <w:lang w:val="en-US" w:eastAsia="en-US"/>
        </w:rPr>
      </w:pPr>
      <w:r w:rsidRPr="0004362D">
        <w:rPr>
          <w:sz w:val="21"/>
          <w:szCs w:val="21"/>
          <w:lang w:val="en-US" w:eastAsia="en-US"/>
        </w:rPr>
        <w:t>Fungal infections are increasingly recognized as an important cause of illness and death, particularly in individuals with weakened immune systems. This includes patients undergoing chemotherapy, organ transplantation or long-term treatment with specific medications. Invasive fungal infections of the central nervous system (CNS), although relatively uncommon, are often linked to poor outcomes and high mortality. Early and accurate detection of the fungal pathogen is crucial to ensure timely and effective antifungal treatment. Traditional diagnostic methods, such as histological examination and fungal culture, are often slow and lack sensitivity. They also frequently fail to identify the fungus at the species level, especially when dealing with slow-growing, non-culturable or visually similar organisms. Molecular techniques such as PCR and sequencing have emerged as faster and more reliable alternatives, offering improved accuracy and speed in fungal identification.</w:t>
      </w:r>
      <w:r w:rsidR="00BD64FE" w:rsidRPr="00BD64FE">
        <w:rPr>
          <w:sz w:val="21"/>
          <w:szCs w:val="21"/>
          <w:lang w:val="en-US" w:eastAsia="en-US"/>
        </w:rPr>
        <w:t xml:space="preserve"> </w:t>
      </w:r>
      <w:sdt>
        <w:sdtPr>
          <w:rPr>
            <w:sz w:val="21"/>
            <w:szCs w:val="21"/>
            <w:lang w:val="en-US" w:eastAsia="en-US"/>
          </w:rPr>
          <w:id w:val="954757080"/>
          <w:citation/>
        </w:sdtPr>
        <w:sdtContent>
          <w:r w:rsidR="00E129B4">
            <w:rPr>
              <w:sz w:val="21"/>
              <w:szCs w:val="21"/>
              <w:lang w:val="en-US" w:eastAsia="en-US"/>
            </w:rPr>
            <w:fldChar w:fldCharType="begin"/>
          </w:r>
          <w:r w:rsidR="00E129B4" w:rsidRPr="00094905">
            <w:rPr>
              <w:sz w:val="21"/>
              <w:szCs w:val="21"/>
              <w:lang w:val="en-US" w:eastAsia="en-US"/>
            </w:rPr>
            <w:instrText xml:space="preserve"> CITATION Alv24 \l 1043 </w:instrText>
          </w:r>
          <w:r w:rsidR="00E129B4">
            <w:rPr>
              <w:sz w:val="21"/>
              <w:szCs w:val="21"/>
              <w:lang w:val="en-US" w:eastAsia="en-US"/>
            </w:rPr>
            <w:fldChar w:fldCharType="separate"/>
          </w:r>
          <w:r w:rsidR="009A72D0" w:rsidRPr="00094905">
            <w:rPr>
              <w:noProof/>
              <w:sz w:val="21"/>
              <w:szCs w:val="21"/>
              <w:lang w:val="en-US" w:eastAsia="en-US"/>
            </w:rPr>
            <w:t>[4]</w:t>
          </w:r>
          <w:r w:rsidR="00E129B4">
            <w:rPr>
              <w:sz w:val="21"/>
              <w:szCs w:val="21"/>
              <w:lang w:val="en-US" w:eastAsia="en-US"/>
            </w:rPr>
            <w:fldChar w:fldCharType="end"/>
          </w:r>
        </w:sdtContent>
      </w:sdt>
    </w:p>
    <w:p w14:paraId="58E44604" w14:textId="77777777" w:rsidR="0004362D" w:rsidRDefault="0004362D" w:rsidP="00F006BE">
      <w:pPr>
        <w:rPr>
          <w:sz w:val="21"/>
          <w:szCs w:val="21"/>
          <w:lang w:val="en-US" w:eastAsia="en-US"/>
        </w:rPr>
      </w:pPr>
    </w:p>
    <w:p w14:paraId="41E31A34" w14:textId="77777777" w:rsidR="00376138" w:rsidRPr="005A34CB" w:rsidRDefault="00376138" w:rsidP="005A34CB">
      <w:pPr>
        <w:pStyle w:val="Kop2"/>
        <w:rPr>
          <w:rFonts w:ascii="Calibri" w:hAnsi="Calibri" w:cs="Calibri"/>
          <w:b/>
          <w:bCs/>
          <w:sz w:val="21"/>
          <w:szCs w:val="21"/>
          <w:lang w:val="en-US" w:eastAsia="en-US"/>
        </w:rPr>
      </w:pPr>
      <w:bookmarkStart w:id="3" w:name="_Toc201242192"/>
      <w:r w:rsidRPr="005A34CB">
        <w:rPr>
          <w:rFonts w:ascii="Calibri" w:hAnsi="Calibri" w:cs="Calibri"/>
          <w:b/>
          <w:bCs/>
          <w:sz w:val="21"/>
          <w:szCs w:val="21"/>
          <w:lang w:val="en-US" w:eastAsia="en-US"/>
        </w:rPr>
        <w:t>The ITS Region as a Fungal DNA Barcode</w:t>
      </w:r>
      <w:bookmarkEnd w:id="3"/>
      <w:r w:rsidRPr="005A34CB">
        <w:rPr>
          <w:rFonts w:ascii="Calibri" w:hAnsi="Calibri" w:cs="Calibri"/>
          <w:b/>
          <w:bCs/>
          <w:sz w:val="21"/>
          <w:szCs w:val="21"/>
          <w:lang w:val="en-US" w:eastAsia="en-US"/>
        </w:rPr>
        <w:t xml:space="preserve"> </w:t>
      </w:r>
    </w:p>
    <w:p w14:paraId="7670FA80" w14:textId="69479B9A" w:rsidR="0016754C" w:rsidRDefault="00376138" w:rsidP="00F006BE">
      <w:pPr>
        <w:rPr>
          <w:sz w:val="21"/>
          <w:szCs w:val="21"/>
          <w:lang w:val="en-US" w:eastAsia="en-US"/>
        </w:rPr>
      </w:pPr>
      <w:r w:rsidRPr="00376138">
        <w:rPr>
          <w:sz w:val="21"/>
          <w:szCs w:val="21"/>
          <w:lang w:val="en-US" w:eastAsia="en-US"/>
        </w:rPr>
        <w:t>The internal transcribed spacer (ITS) region of the nuclear ribosomal DNA (rDNA) is considered the universal barcode for fungi due to its presence across all fungal taxa and its high interspecific variability. It comprises two hypervariable regions, ITS1 and ITS2, separated by the conserved 5.8S rRNA gene. ITS1 lies between the 18S and 5.8S rRNA genes, and ITS2 between the 5.8S and 28S genes. This architecture enables both the design of universal primers and the discrimination between closely related species. ITS sequencing has become the gold standard for fungal taxonomic identification in both environmental and clinical contexts. It enables the detection of diverse fungi</w:t>
      </w:r>
      <w:r w:rsidR="0027161A">
        <w:rPr>
          <w:sz w:val="21"/>
          <w:szCs w:val="21"/>
          <w:lang w:val="en-US" w:eastAsia="en-US"/>
        </w:rPr>
        <w:t xml:space="preserve">, </w:t>
      </w:r>
      <w:r w:rsidRPr="00376138">
        <w:rPr>
          <w:sz w:val="21"/>
          <w:szCs w:val="21"/>
          <w:lang w:val="en-US" w:eastAsia="en-US"/>
        </w:rPr>
        <w:t>including rare and unculturable species</w:t>
      </w:r>
      <w:r w:rsidR="00BF793E">
        <w:rPr>
          <w:sz w:val="21"/>
          <w:szCs w:val="21"/>
          <w:lang w:val="en-US" w:eastAsia="en-US"/>
        </w:rPr>
        <w:t xml:space="preserve">. This can be </w:t>
      </w:r>
      <w:r w:rsidRPr="00376138">
        <w:rPr>
          <w:sz w:val="21"/>
          <w:szCs w:val="21"/>
          <w:lang w:val="en-US" w:eastAsia="en-US"/>
        </w:rPr>
        <w:t xml:space="preserve">directly from complex samples such as tissue biopsies or cerebrospinal fluid. Large publicly available databases such as UNITE and GenBank contain thousands of ITS reference sequences, facilitating species-level identification based on sequence homology. However, challenges remain. Intragenomic ITS variability within a single fungal genome can lead to </w:t>
      </w:r>
      <w:r w:rsidR="00DB6792">
        <w:rPr>
          <w:sz w:val="21"/>
          <w:szCs w:val="21"/>
          <w:lang w:val="en-US" w:eastAsia="en-US"/>
        </w:rPr>
        <w:t>unclear</w:t>
      </w:r>
      <w:r w:rsidRPr="00376138">
        <w:rPr>
          <w:sz w:val="21"/>
          <w:szCs w:val="21"/>
          <w:lang w:val="en-US" w:eastAsia="en-US"/>
        </w:rPr>
        <w:t xml:space="preserve"> results, and closely related species may have nearly identical ITS sequences.</w:t>
      </w:r>
      <w:r w:rsidR="00143C8A">
        <w:rPr>
          <w:sz w:val="21"/>
          <w:szCs w:val="21"/>
          <w:lang w:val="en-US" w:eastAsia="en-US"/>
        </w:rPr>
        <w:t xml:space="preserve"> </w:t>
      </w:r>
      <w:sdt>
        <w:sdtPr>
          <w:rPr>
            <w:sz w:val="21"/>
            <w:szCs w:val="21"/>
            <w:lang w:val="en-US" w:eastAsia="en-US"/>
          </w:rPr>
          <w:id w:val="2077005966"/>
          <w:citation/>
        </w:sdtPr>
        <w:sdtContent>
          <w:r w:rsidR="00683F50">
            <w:rPr>
              <w:sz w:val="21"/>
              <w:szCs w:val="21"/>
              <w:lang w:val="en-US" w:eastAsia="en-US"/>
            </w:rPr>
            <w:fldChar w:fldCharType="begin"/>
          </w:r>
          <w:r w:rsidR="00683F50" w:rsidRPr="00DB6792">
            <w:rPr>
              <w:sz w:val="21"/>
              <w:szCs w:val="21"/>
              <w:lang w:val="en-US" w:eastAsia="en-US"/>
            </w:rPr>
            <w:instrText xml:space="preserve"> CITATION Sch121 \l 1043 </w:instrText>
          </w:r>
          <w:r w:rsidR="00683F50">
            <w:rPr>
              <w:sz w:val="21"/>
              <w:szCs w:val="21"/>
              <w:lang w:val="en-US" w:eastAsia="en-US"/>
            </w:rPr>
            <w:fldChar w:fldCharType="separate"/>
          </w:r>
          <w:r w:rsidR="009A72D0" w:rsidRPr="009A72D0">
            <w:rPr>
              <w:noProof/>
              <w:sz w:val="21"/>
              <w:szCs w:val="21"/>
              <w:lang w:val="en-US" w:eastAsia="en-US"/>
            </w:rPr>
            <w:t>[5]</w:t>
          </w:r>
          <w:r w:rsidR="00683F50">
            <w:rPr>
              <w:sz w:val="21"/>
              <w:szCs w:val="21"/>
              <w:lang w:val="en-US" w:eastAsia="en-US"/>
            </w:rPr>
            <w:fldChar w:fldCharType="end"/>
          </w:r>
        </w:sdtContent>
      </w:sdt>
      <w:r w:rsidR="00683F50">
        <w:rPr>
          <w:sz w:val="21"/>
          <w:szCs w:val="21"/>
          <w:lang w:val="en-US" w:eastAsia="en-US"/>
        </w:rPr>
        <w:t xml:space="preserve"> </w:t>
      </w:r>
      <w:sdt>
        <w:sdtPr>
          <w:rPr>
            <w:sz w:val="21"/>
            <w:szCs w:val="21"/>
            <w:lang w:val="en-US" w:eastAsia="en-US"/>
          </w:rPr>
          <w:id w:val="-231775751"/>
          <w:citation/>
        </w:sdtPr>
        <w:sdtContent>
          <w:r w:rsidR="00683F50">
            <w:rPr>
              <w:sz w:val="21"/>
              <w:szCs w:val="21"/>
              <w:lang w:val="en-US" w:eastAsia="en-US"/>
            </w:rPr>
            <w:fldChar w:fldCharType="begin"/>
          </w:r>
          <w:r w:rsidR="00683F50" w:rsidRPr="00DB6792">
            <w:rPr>
              <w:sz w:val="21"/>
              <w:szCs w:val="21"/>
              <w:lang w:val="en-US" w:eastAsia="en-US"/>
            </w:rPr>
            <w:instrText xml:space="preserve"> CITATION Bel10 \l 1043 </w:instrText>
          </w:r>
          <w:r w:rsidR="00683F50">
            <w:rPr>
              <w:sz w:val="21"/>
              <w:szCs w:val="21"/>
              <w:lang w:val="en-US" w:eastAsia="en-US"/>
            </w:rPr>
            <w:fldChar w:fldCharType="separate"/>
          </w:r>
          <w:r w:rsidR="009A72D0" w:rsidRPr="009A72D0">
            <w:rPr>
              <w:noProof/>
              <w:sz w:val="21"/>
              <w:szCs w:val="21"/>
              <w:lang w:val="en-US" w:eastAsia="en-US"/>
            </w:rPr>
            <w:t>[6]</w:t>
          </w:r>
          <w:r w:rsidR="00683F50">
            <w:rPr>
              <w:sz w:val="21"/>
              <w:szCs w:val="21"/>
              <w:lang w:val="en-US" w:eastAsia="en-US"/>
            </w:rPr>
            <w:fldChar w:fldCharType="end"/>
          </w:r>
        </w:sdtContent>
      </w:sdt>
    </w:p>
    <w:p w14:paraId="34B9E13C" w14:textId="77777777" w:rsidR="0016754C" w:rsidRPr="00351431" w:rsidRDefault="0016754C" w:rsidP="00241406">
      <w:pPr>
        <w:pStyle w:val="Kop2"/>
        <w:rPr>
          <w:rFonts w:ascii="Calibri" w:hAnsi="Calibri" w:cs="Calibri"/>
          <w:b/>
          <w:bCs/>
          <w:sz w:val="21"/>
          <w:szCs w:val="21"/>
          <w:lang w:val="en-US" w:eastAsia="en-US"/>
        </w:rPr>
      </w:pPr>
      <w:bookmarkStart w:id="4" w:name="_Toc201242193"/>
      <w:r w:rsidRPr="00351431">
        <w:rPr>
          <w:rFonts w:ascii="Calibri" w:hAnsi="Calibri" w:cs="Calibri"/>
          <w:b/>
          <w:bCs/>
          <w:sz w:val="21"/>
          <w:szCs w:val="21"/>
          <w:lang w:val="en-US" w:eastAsia="en-US"/>
        </w:rPr>
        <w:t>ITS Sequencing from FFPE Tissue: Challenges and Strategies</w:t>
      </w:r>
      <w:bookmarkEnd w:id="4"/>
      <w:r w:rsidRPr="00351431">
        <w:rPr>
          <w:rFonts w:ascii="Calibri" w:hAnsi="Calibri" w:cs="Calibri"/>
          <w:b/>
          <w:bCs/>
          <w:sz w:val="21"/>
          <w:szCs w:val="21"/>
          <w:lang w:val="en-US" w:eastAsia="en-US"/>
        </w:rPr>
        <w:t xml:space="preserve"> </w:t>
      </w:r>
    </w:p>
    <w:p w14:paraId="0DA2C4DB" w14:textId="29F06178" w:rsidR="00893389" w:rsidRPr="007235EF" w:rsidRDefault="0016754C" w:rsidP="00893389">
      <w:pPr>
        <w:rPr>
          <w:sz w:val="21"/>
          <w:szCs w:val="21"/>
          <w:lang w:val="en-US" w:eastAsia="en-US"/>
        </w:rPr>
      </w:pPr>
      <w:r w:rsidRPr="0016754C">
        <w:rPr>
          <w:sz w:val="21"/>
          <w:szCs w:val="21"/>
          <w:lang w:val="en-US" w:eastAsia="en-US"/>
        </w:rPr>
        <w:t xml:space="preserve">Formalin-fixed, paraffin-embedded (FFPE) tissue samples represent a valuable resource in clinical and retrospective research, but the fixation process introduces significant challenges for molecular analyses. Formalin-induced crosslinking and fragmentation severely compromise DNA quality, often reducing fragment lengths to 100–300 base pairs and introducing chemical modifications such as deamination or base substitutions </w:t>
      </w:r>
      <w:sdt>
        <w:sdtPr>
          <w:rPr>
            <w:sz w:val="21"/>
            <w:szCs w:val="21"/>
            <w:lang w:val="en-US" w:eastAsia="en-US"/>
          </w:rPr>
          <w:id w:val="617494196"/>
          <w:citation/>
        </w:sdtPr>
        <w:sdtContent>
          <w:r w:rsidR="001F7C01">
            <w:rPr>
              <w:sz w:val="21"/>
              <w:szCs w:val="21"/>
              <w:lang w:val="en-US" w:eastAsia="en-US"/>
            </w:rPr>
            <w:fldChar w:fldCharType="begin"/>
          </w:r>
          <w:r w:rsidR="001F7C01" w:rsidRPr="001F7C01">
            <w:rPr>
              <w:sz w:val="21"/>
              <w:szCs w:val="21"/>
              <w:lang w:val="en-US" w:eastAsia="en-US"/>
            </w:rPr>
            <w:instrText xml:space="preserve"> CITATION DoH15 \l 1043 </w:instrText>
          </w:r>
          <w:r w:rsidR="001F7C01">
            <w:rPr>
              <w:sz w:val="21"/>
              <w:szCs w:val="21"/>
              <w:lang w:val="en-US" w:eastAsia="en-US"/>
            </w:rPr>
            <w:fldChar w:fldCharType="separate"/>
          </w:r>
          <w:r w:rsidR="009A72D0" w:rsidRPr="009A72D0">
            <w:rPr>
              <w:noProof/>
              <w:sz w:val="21"/>
              <w:szCs w:val="21"/>
              <w:lang w:val="en-US" w:eastAsia="en-US"/>
            </w:rPr>
            <w:t>[7]</w:t>
          </w:r>
          <w:r w:rsidR="001F7C01">
            <w:rPr>
              <w:sz w:val="21"/>
              <w:szCs w:val="21"/>
              <w:lang w:val="en-US" w:eastAsia="en-US"/>
            </w:rPr>
            <w:fldChar w:fldCharType="end"/>
          </w:r>
        </w:sdtContent>
      </w:sdt>
      <w:r w:rsidR="001F7C01">
        <w:rPr>
          <w:sz w:val="21"/>
          <w:szCs w:val="21"/>
          <w:lang w:val="en-US" w:eastAsia="en-US"/>
        </w:rPr>
        <w:t xml:space="preserve"> </w:t>
      </w:r>
      <w:sdt>
        <w:sdtPr>
          <w:rPr>
            <w:sz w:val="21"/>
            <w:szCs w:val="21"/>
            <w:lang w:val="en-US" w:eastAsia="en-US"/>
          </w:rPr>
          <w:id w:val="1144385929"/>
          <w:citation/>
        </w:sdtPr>
        <w:sdtContent>
          <w:r w:rsidR="001F7C01">
            <w:rPr>
              <w:sz w:val="21"/>
              <w:szCs w:val="21"/>
              <w:lang w:val="en-US" w:eastAsia="en-US"/>
            </w:rPr>
            <w:fldChar w:fldCharType="begin"/>
          </w:r>
          <w:r w:rsidR="001F7C01" w:rsidRPr="001F7C01">
            <w:rPr>
              <w:sz w:val="21"/>
              <w:szCs w:val="21"/>
              <w:lang w:val="en-US" w:eastAsia="en-US"/>
            </w:rPr>
            <w:instrText xml:space="preserve"> CITATION Sri02 \l 1043 </w:instrText>
          </w:r>
          <w:r w:rsidR="001F7C01">
            <w:rPr>
              <w:sz w:val="21"/>
              <w:szCs w:val="21"/>
              <w:lang w:val="en-US" w:eastAsia="en-US"/>
            </w:rPr>
            <w:fldChar w:fldCharType="separate"/>
          </w:r>
          <w:r w:rsidR="009A72D0" w:rsidRPr="009A72D0">
            <w:rPr>
              <w:noProof/>
              <w:sz w:val="21"/>
              <w:szCs w:val="21"/>
              <w:lang w:val="en-US" w:eastAsia="en-US"/>
            </w:rPr>
            <w:t>[8]</w:t>
          </w:r>
          <w:r w:rsidR="001F7C01">
            <w:rPr>
              <w:sz w:val="21"/>
              <w:szCs w:val="21"/>
              <w:lang w:val="en-US" w:eastAsia="en-US"/>
            </w:rPr>
            <w:fldChar w:fldCharType="end"/>
          </w:r>
        </w:sdtContent>
      </w:sdt>
      <w:r w:rsidRPr="0016754C">
        <w:rPr>
          <w:sz w:val="21"/>
          <w:szCs w:val="21"/>
          <w:lang w:val="en-US" w:eastAsia="en-US"/>
        </w:rPr>
        <w:t>. These changes hinder PCR amplification, particularly of longer regions like full-length ITS1</w:t>
      </w:r>
      <w:r w:rsidR="00DB6792">
        <w:rPr>
          <w:sz w:val="21"/>
          <w:szCs w:val="21"/>
          <w:lang w:val="en-US" w:eastAsia="en-US"/>
        </w:rPr>
        <w:t>-</w:t>
      </w:r>
      <w:r w:rsidRPr="0016754C">
        <w:rPr>
          <w:sz w:val="21"/>
          <w:szCs w:val="21"/>
          <w:lang w:val="en-US" w:eastAsia="en-US"/>
        </w:rPr>
        <w:t>5.8S</w:t>
      </w:r>
      <w:r w:rsidR="00DB6792">
        <w:rPr>
          <w:sz w:val="21"/>
          <w:szCs w:val="21"/>
          <w:lang w:val="en-US" w:eastAsia="en-US"/>
        </w:rPr>
        <w:t>-</w:t>
      </w:r>
      <w:r w:rsidRPr="0016754C">
        <w:rPr>
          <w:sz w:val="21"/>
          <w:szCs w:val="21"/>
          <w:lang w:val="en-US" w:eastAsia="en-US"/>
        </w:rPr>
        <w:t xml:space="preserve">ITS2. Amplification artifacts, low yields, and sequencing errors are common in FFPE-derived DNA. To overcome this, several strategies have been explored: using high-fidelity polymerases resistant to inhibitors, targeting shorter ITS subregions to accommodate fragmented DNA, or applying hybrid capture enrichment methods. Enzymatic repair protocols like uracil-DNA glycosylase (UDG) treatment have also been tested, but none fully resolve the issues of DNA fragmentation and crosslinking </w:t>
      </w:r>
      <w:sdt>
        <w:sdtPr>
          <w:rPr>
            <w:sz w:val="21"/>
            <w:szCs w:val="21"/>
            <w:lang w:val="en-US" w:eastAsia="en-US"/>
          </w:rPr>
          <w:id w:val="-580219525"/>
          <w:citation/>
        </w:sdtPr>
        <w:sdtContent>
          <w:r w:rsidR="00F53458">
            <w:rPr>
              <w:sz w:val="21"/>
              <w:szCs w:val="21"/>
              <w:lang w:val="en-US" w:eastAsia="en-US"/>
            </w:rPr>
            <w:fldChar w:fldCharType="begin"/>
          </w:r>
          <w:r w:rsidR="00F53458" w:rsidRPr="00F53458">
            <w:rPr>
              <w:sz w:val="21"/>
              <w:szCs w:val="21"/>
              <w:lang w:val="en-US" w:eastAsia="en-US"/>
            </w:rPr>
            <w:instrText xml:space="preserve"> CITATION Qua04 \l 1043 </w:instrText>
          </w:r>
          <w:r w:rsidR="00F53458">
            <w:rPr>
              <w:sz w:val="21"/>
              <w:szCs w:val="21"/>
              <w:lang w:val="en-US" w:eastAsia="en-US"/>
            </w:rPr>
            <w:fldChar w:fldCharType="separate"/>
          </w:r>
          <w:r w:rsidR="009A72D0" w:rsidRPr="009A72D0">
            <w:rPr>
              <w:noProof/>
              <w:sz w:val="21"/>
              <w:szCs w:val="21"/>
              <w:lang w:val="en-US" w:eastAsia="en-US"/>
            </w:rPr>
            <w:t>[9]</w:t>
          </w:r>
          <w:r w:rsidR="00F53458">
            <w:rPr>
              <w:sz w:val="21"/>
              <w:szCs w:val="21"/>
              <w:lang w:val="en-US" w:eastAsia="en-US"/>
            </w:rPr>
            <w:fldChar w:fldCharType="end"/>
          </w:r>
        </w:sdtContent>
      </w:sdt>
      <w:sdt>
        <w:sdtPr>
          <w:rPr>
            <w:sz w:val="21"/>
            <w:szCs w:val="21"/>
            <w:lang w:val="en-US" w:eastAsia="en-US"/>
          </w:rPr>
          <w:id w:val="1401936597"/>
          <w:citation/>
        </w:sdtPr>
        <w:sdtContent>
          <w:r w:rsidR="00F53458">
            <w:rPr>
              <w:sz w:val="21"/>
              <w:szCs w:val="21"/>
              <w:lang w:val="en-US" w:eastAsia="en-US"/>
            </w:rPr>
            <w:fldChar w:fldCharType="begin"/>
          </w:r>
          <w:r w:rsidR="00F53458" w:rsidRPr="00F53458">
            <w:rPr>
              <w:sz w:val="21"/>
              <w:szCs w:val="21"/>
              <w:lang w:val="en-US" w:eastAsia="en-US"/>
            </w:rPr>
            <w:instrText xml:space="preserve"> CITATION Pau11 \l 1043 </w:instrText>
          </w:r>
          <w:r w:rsidR="00F53458">
            <w:rPr>
              <w:sz w:val="21"/>
              <w:szCs w:val="21"/>
              <w:lang w:val="en-US" w:eastAsia="en-US"/>
            </w:rPr>
            <w:fldChar w:fldCharType="separate"/>
          </w:r>
          <w:r w:rsidR="009A72D0">
            <w:rPr>
              <w:noProof/>
              <w:sz w:val="21"/>
              <w:szCs w:val="21"/>
              <w:lang w:val="en-US" w:eastAsia="en-US"/>
            </w:rPr>
            <w:t xml:space="preserve"> </w:t>
          </w:r>
          <w:r w:rsidR="009A72D0" w:rsidRPr="009A72D0">
            <w:rPr>
              <w:noProof/>
              <w:sz w:val="21"/>
              <w:szCs w:val="21"/>
              <w:lang w:val="en-US" w:eastAsia="en-US"/>
            </w:rPr>
            <w:t>[10]</w:t>
          </w:r>
          <w:r w:rsidR="00F53458">
            <w:rPr>
              <w:sz w:val="21"/>
              <w:szCs w:val="21"/>
              <w:lang w:val="en-US" w:eastAsia="en-US"/>
            </w:rPr>
            <w:fldChar w:fldCharType="end"/>
          </w:r>
        </w:sdtContent>
      </w:sdt>
      <w:r w:rsidRPr="0016754C">
        <w:rPr>
          <w:sz w:val="21"/>
          <w:szCs w:val="21"/>
          <w:lang w:val="en-US" w:eastAsia="en-US"/>
        </w:rPr>
        <w:t xml:space="preserve">. </w:t>
      </w:r>
    </w:p>
    <w:p w14:paraId="3F9D3489" w14:textId="6A173F9F" w:rsidR="00007124" w:rsidRPr="00E45F1A" w:rsidRDefault="00007124" w:rsidP="00E45F1A">
      <w:pPr>
        <w:pStyle w:val="Kop2"/>
        <w:rPr>
          <w:rFonts w:ascii="Calibri" w:hAnsi="Calibri" w:cs="Calibri"/>
          <w:b/>
          <w:bCs/>
          <w:sz w:val="21"/>
          <w:szCs w:val="21"/>
          <w:lang w:val="en-US" w:eastAsia="en-US"/>
        </w:rPr>
      </w:pPr>
      <w:bookmarkStart w:id="5" w:name="_Toc201242194"/>
      <w:r w:rsidRPr="00E45F1A">
        <w:rPr>
          <w:rFonts w:ascii="Calibri" w:hAnsi="Calibri" w:cs="Calibri"/>
          <w:b/>
          <w:bCs/>
          <w:sz w:val="21"/>
          <w:szCs w:val="21"/>
          <w:lang w:val="en-US" w:eastAsia="en-US"/>
        </w:rPr>
        <w:t>Next-Generation Sequencing for Fungal Detection</w:t>
      </w:r>
      <w:bookmarkEnd w:id="5"/>
      <w:r w:rsidRPr="00E45F1A">
        <w:rPr>
          <w:rFonts w:ascii="Calibri" w:hAnsi="Calibri" w:cs="Calibri"/>
          <w:b/>
          <w:bCs/>
          <w:sz w:val="21"/>
          <w:szCs w:val="21"/>
          <w:lang w:val="en-US" w:eastAsia="en-US"/>
        </w:rPr>
        <w:t xml:space="preserve"> </w:t>
      </w:r>
    </w:p>
    <w:p w14:paraId="7A27A6C3" w14:textId="5A237FE4" w:rsidR="00007124" w:rsidRDefault="00007124" w:rsidP="00F006BE">
      <w:pPr>
        <w:rPr>
          <w:sz w:val="21"/>
          <w:szCs w:val="21"/>
          <w:lang w:val="en-US" w:eastAsia="en-US"/>
        </w:rPr>
      </w:pPr>
      <w:r w:rsidRPr="00007124">
        <w:rPr>
          <w:sz w:val="21"/>
          <w:szCs w:val="21"/>
          <w:lang w:val="en-US" w:eastAsia="en-US"/>
        </w:rPr>
        <w:t xml:space="preserve">Next-Generation Sequencing (NGS) provides a high-throughput, culture-independent means of detecting and identifying pathogens in clinical samples. In amplicon-based NGS, specific genetic loci are amplified by PCR prior to sequencing. For fungal identification, the ITS region is most commonly targeted due to its taxonomic resolution. </w:t>
      </w:r>
      <w:r w:rsidR="003A0A5A" w:rsidRPr="003A0A5A">
        <w:rPr>
          <w:sz w:val="21"/>
          <w:szCs w:val="21"/>
          <w:lang w:val="en-US" w:eastAsia="en-US"/>
        </w:rPr>
        <w:t>NGS is especially useful for infections with multiple microbes or when only small amounts of DNA are present. It can detect fungal DNA even if there is a lot of human or bacterial DNA in the sample. Also, it doesn’t require the fungi to be alive, which is important for formalin-fixed samples.</w:t>
      </w:r>
      <w:r w:rsidRPr="00007124">
        <w:rPr>
          <w:sz w:val="21"/>
          <w:szCs w:val="21"/>
          <w:lang w:val="en-US" w:eastAsia="en-US"/>
        </w:rPr>
        <w:t xml:space="preserve"> Oxford Nanopore Technology (ONT), which produces long sequencing reads in real time, offers unique advantages for spanning entire ITS regions and resolving complex mixtures, albeit at the cost of higher per-read error rates</w:t>
      </w:r>
      <w:r w:rsidR="00B641BB">
        <w:rPr>
          <w:sz w:val="21"/>
          <w:szCs w:val="21"/>
          <w:lang w:val="en-US" w:eastAsia="en-US"/>
        </w:rPr>
        <w:t xml:space="preserve">. </w:t>
      </w:r>
      <w:sdt>
        <w:sdtPr>
          <w:rPr>
            <w:sz w:val="21"/>
            <w:szCs w:val="21"/>
            <w:lang w:val="en-US"/>
          </w:rPr>
          <w:id w:val="761723578"/>
          <w:citation/>
        </w:sdtPr>
        <w:sdtContent>
          <w:r w:rsidR="00B641BB">
            <w:rPr>
              <w:sz w:val="21"/>
              <w:szCs w:val="21"/>
              <w:lang w:val="en-US"/>
            </w:rPr>
            <w:fldChar w:fldCharType="begin"/>
          </w:r>
          <w:r w:rsidR="00B641BB" w:rsidRPr="00143C8A">
            <w:rPr>
              <w:sz w:val="21"/>
              <w:szCs w:val="21"/>
              <w:lang w:val="en-US"/>
            </w:rPr>
            <w:instrText xml:space="preserve"> CITATION Mit19 \l 1043 </w:instrText>
          </w:r>
          <w:r w:rsidR="00B641BB">
            <w:rPr>
              <w:sz w:val="21"/>
              <w:szCs w:val="21"/>
              <w:lang w:val="en-US"/>
            </w:rPr>
            <w:fldChar w:fldCharType="separate"/>
          </w:r>
          <w:r w:rsidR="009A72D0" w:rsidRPr="009A72D0">
            <w:rPr>
              <w:noProof/>
              <w:sz w:val="21"/>
              <w:szCs w:val="21"/>
              <w:lang w:val="en-US"/>
            </w:rPr>
            <w:t>[3]</w:t>
          </w:r>
          <w:r w:rsidR="00B641BB">
            <w:rPr>
              <w:sz w:val="21"/>
              <w:szCs w:val="21"/>
              <w:lang w:val="en-US"/>
            </w:rPr>
            <w:fldChar w:fldCharType="end"/>
          </w:r>
        </w:sdtContent>
      </w:sdt>
      <w:r w:rsidR="00EB2AB5">
        <w:rPr>
          <w:sz w:val="21"/>
          <w:szCs w:val="21"/>
          <w:lang w:val="en-US" w:eastAsia="en-US"/>
        </w:rPr>
        <w:t xml:space="preserve"> </w:t>
      </w:r>
      <w:sdt>
        <w:sdtPr>
          <w:rPr>
            <w:sz w:val="21"/>
            <w:szCs w:val="21"/>
            <w:lang w:val="en-US" w:eastAsia="en-US"/>
          </w:rPr>
          <w:id w:val="-1863587802"/>
          <w:citation/>
        </w:sdtPr>
        <w:sdtContent>
          <w:r w:rsidR="00B641BB">
            <w:rPr>
              <w:sz w:val="21"/>
              <w:szCs w:val="21"/>
              <w:lang w:val="en-US" w:eastAsia="en-US"/>
            </w:rPr>
            <w:fldChar w:fldCharType="begin"/>
          </w:r>
          <w:r w:rsidR="00B641BB" w:rsidRPr="00B641BB">
            <w:rPr>
              <w:sz w:val="21"/>
              <w:szCs w:val="21"/>
              <w:lang w:val="en-US" w:eastAsia="en-US"/>
            </w:rPr>
            <w:instrText xml:space="preserve"> CITATION Bel10 \l 1043 </w:instrText>
          </w:r>
          <w:r w:rsidR="00B641BB">
            <w:rPr>
              <w:sz w:val="21"/>
              <w:szCs w:val="21"/>
              <w:lang w:val="en-US" w:eastAsia="en-US"/>
            </w:rPr>
            <w:fldChar w:fldCharType="separate"/>
          </w:r>
          <w:r w:rsidR="009A72D0" w:rsidRPr="009A72D0">
            <w:rPr>
              <w:noProof/>
              <w:sz w:val="21"/>
              <w:szCs w:val="21"/>
              <w:lang w:val="en-US" w:eastAsia="en-US"/>
            </w:rPr>
            <w:t>[6]</w:t>
          </w:r>
          <w:r w:rsidR="00B641BB">
            <w:rPr>
              <w:sz w:val="21"/>
              <w:szCs w:val="21"/>
              <w:lang w:val="en-US" w:eastAsia="en-US"/>
            </w:rPr>
            <w:fldChar w:fldCharType="end"/>
          </w:r>
        </w:sdtContent>
      </w:sdt>
    </w:p>
    <w:p w14:paraId="1F6468DA" w14:textId="77777777" w:rsidR="00893389" w:rsidRDefault="00893389" w:rsidP="00F006BE">
      <w:pPr>
        <w:rPr>
          <w:sz w:val="21"/>
          <w:szCs w:val="21"/>
          <w:lang w:val="en-US" w:eastAsia="en-US"/>
        </w:rPr>
      </w:pPr>
    </w:p>
    <w:p w14:paraId="3185CDF4" w14:textId="77777777" w:rsidR="00E45F1A" w:rsidRPr="00E45F1A" w:rsidRDefault="004F1FDD" w:rsidP="00E45F1A">
      <w:pPr>
        <w:pStyle w:val="Kop2"/>
        <w:rPr>
          <w:rFonts w:ascii="Calibri" w:hAnsi="Calibri" w:cs="Calibri"/>
          <w:b/>
          <w:bCs/>
          <w:sz w:val="21"/>
          <w:szCs w:val="21"/>
          <w:lang w:val="en-US" w:eastAsia="en-US"/>
        </w:rPr>
      </w:pPr>
      <w:bookmarkStart w:id="6" w:name="_Toc201242195"/>
      <w:r w:rsidRPr="00E45F1A">
        <w:rPr>
          <w:rFonts w:ascii="Calibri" w:hAnsi="Calibri" w:cs="Calibri"/>
          <w:b/>
          <w:bCs/>
          <w:sz w:val="21"/>
          <w:szCs w:val="21"/>
          <w:lang w:val="en-US" w:eastAsia="en-US"/>
        </w:rPr>
        <w:t>Primer Design for Broad Fungal Amplification</w:t>
      </w:r>
      <w:bookmarkEnd w:id="6"/>
    </w:p>
    <w:p w14:paraId="41C46953" w14:textId="2B2DE0C7" w:rsidR="00744DD4" w:rsidRDefault="00B11B36" w:rsidP="00F006BE">
      <w:pPr>
        <w:rPr>
          <w:sz w:val="21"/>
          <w:szCs w:val="21"/>
          <w:lang w:val="en-US" w:eastAsia="en-US"/>
        </w:rPr>
      </w:pPr>
      <w:r w:rsidRPr="00B11B36">
        <w:rPr>
          <w:sz w:val="21"/>
          <w:szCs w:val="21"/>
          <w:lang w:val="en-US" w:eastAsia="en-US"/>
        </w:rPr>
        <w:t>Effective primer selection is essential for the reliable amplification of the ITS region across a wide range of fungal taxa. In this study, the forward primer ITS1</w:t>
      </w:r>
      <w:r w:rsidR="00E16E33">
        <w:rPr>
          <w:sz w:val="21"/>
          <w:szCs w:val="21"/>
          <w:lang w:val="en-US" w:eastAsia="en-US"/>
        </w:rPr>
        <w:t>-</w:t>
      </w:r>
      <w:r w:rsidRPr="00B11B36">
        <w:rPr>
          <w:sz w:val="21"/>
          <w:szCs w:val="21"/>
          <w:lang w:val="en-US" w:eastAsia="en-US"/>
        </w:rPr>
        <w:t>F</w:t>
      </w:r>
      <w:r w:rsidR="00E16E33">
        <w:rPr>
          <w:sz w:val="21"/>
          <w:szCs w:val="21"/>
          <w:lang w:val="en-US" w:eastAsia="en-US"/>
        </w:rPr>
        <w:t>_</w:t>
      </w:r>
      <w:r w:rsidRPr="00B11B36">
        <w:rPr>
          <w:sz w:val="21"/>
          <w:szCs w:val="21"/>
          <w:lang w:val="en-US" w:eastAsia="en-US"/>
        </w:rPr>
        <w:t>KYO2a (Fw1) and the reverse primer RCA95m (Rv5)</w:t>
      </w:r>
      <w:r w:rsidR="002B1C34">
        <w:rPr>
          <w:sz w:val="21"/>
          <w:szCs w:val="21"/>
          <w:lang w:val="en-US" w:eastAsia="en-US"/>
        </w:rPr>
        <w:t xml:space="preserve"> was used</w:t>
      </w:r>
      <w:r w:rsidRPr="00B11B36">
        <w:rPr>
          <w:sz w:val="21"/>
          <w:szCs w:val="21"/>
          <w:lang w:val="en-US" w:eastAsia="en-US"/>
        </w:rPr>
        <w:t xml:space="preserve">. ITS1-F_KYO2a binds near the 3′ end of the small subunit (SSU) rRNA gene, directly upstream of the ITS1 region and the 5.8S rRNA gene. </w:t>
      </w:r>
      <w:r w:rsidR="00090DBE" w:rsidRPr="00090DBE">
        <w:rPr>
          <w:sz w:val="21"/>
          <w:szCs w:val="21"/>
          <w:lang w:val="en-US" w:eastAsia="en-US"/>
        </w:rPr>
        <w:t>The RCA95m primer binds just after the ITS2 region and extends into the large subunit (LSU) rRNA gene, allowing amplification of a longer ITS region that includes ITS1, 5.8S, and ITS2.</w:t>
      </w:r>
      <w:r w:rsidR="00090DBE">
        <w:rPr>
          <w:sz w:val="21"/>
          <w:szCs w:val="21"/>
          <w:lang w:val="en-US" w:eastAsia="en-US"/>
        </w:rPr>
        <w:t xml:space="preserve"> </w:t>
      </w:r>
      <w:r w:rsidRPr="00B11B36">
        <w:rPr>
          <w:sz w:val="21"/>
          <w:szCs w:val="21"/>
          <w:lang w:val="en-US" w:eastAsia="en-US"/>
        </w:rPr>
        <w:t xml:space="preserve">This primer combination is particularly suitable for long-read sequencing platforms such as Oxford Nanopore, which benefit from longer input fragments for improved base calling and taxonomic resolution. Amplifying the full ITS1–5.8S–ITS2 region provides more phylogenetic information than partial ITS1 or ITS2 fragments alone, thereby enhancing the accuracy of fungal identification. A schematic overview of the fungal rRNA operon and the relative positions of the primers used in this study is shown in Figure </w:t>
      </w:r>
      <w:r w:rsidR="00F234F3">
        <w:rPr>
          <w:sz w:val="21"/>
          <w:szCs w:val="21"/>
          <w:lang w:val="en-US" w:eastAsia="en-US"/>
        </w:rPr>
        <w:t>1.</w:t>
      </w:r>
      <w:r>
        <w:rPr>
          <w:sz w:val="21"/>
          <w:szCs w:val="21"/>
          <w:lang w:val="en-US" w:eastAsia="en-US"/>
        </w:rPr>
        <w:t xml:space="preserve"> </w:t>
      </w:r>
    </w:p>
    <w:p w14:paraId="20E500EA" w14:textId="77777777" w:rsidR="003B76E0" w:rsidRDefault="003B76E0" w:rsidP="00F006BE">
      <w:pPr>
        <w:rPr>
          <w:sz w:val="21"/>
          <w:szCs w:val="21"/>
          <w:lang w:val="en-US" w:eastAsia="en-US"/>
        </w:rPr>
      </w:pPr>
    </w:p>
    <w:p w14:paraId="2B94BB0E" w14:textId="71D0EDA2" w:rsidR="003B76E0" w:rsidRDefault="003B76E0" w:rsidP="003B76E0">
      <w:pPr>
        <w:pStyle w:val="Bijschrift"/>
        <w:rPr>
          <w:sz w:val="21"/>
          <w:szCs w:val="21"/>
          <w:lang w:val="en-US" w:eastAsia="en-US"/>
        </w:rPr>
      </w:pPr>
      <w:r w:rsidRPr="009051E6">
        <w:rPr>
          <w:rFonts w:ascii="Calibri" w:hAnsi="Calibri" w:cs="Calibri"/>
          <w:sz w:val="16"/>
          <w:szCs w:val="16"/>
          <w:lang w:val="en-US"/>
        </w:rPr>
        <w:t xml:space="preserve">Figure </w:t>
      </w:r>
      <w:r w:rsidRPr="009051E6">
        <w:rPr>
          <w:rFonts w:ascii="Calibri" w:hAnsi="Calibri" w:cs="Calibri"/>
          <w:sz w:val="16"/>
          <w:szCs w:val="16"/>
        </w:rPr>
        <w:fldChar w:fldCharType="begin"/>
      </w:r>
      <w:r w:rsidRPr="009051E6">
        <w:rPr>
          <w:rFonts w:ascii="Calibri" w:hAnsi="Calibri" w:cs="Calibri"/>
          <w:sz w:val="16"/>
          <w:szCs w:val="16"/>
          <w:lang w:val="en-US"/>
        </w:rPr>
        <w:instrText xml:space="preserve"> SEQ Figure \* ARABIC </w:instrText>
      </w:r>
      <w:r w:rsidRPr="009051E6">
        <w:rPr>
          <w:rFonts w:ascii="Calibri" w:hAnsi="Calibri" w:cs="Calibri"/>
          <w:sz w:val="16"/>
          <w:szCs w:val="16"/>
        </w:rPr>
        <w:fldChar w:fldCharType="separate"/>
      </w:r>
      <w:r w:rsidR="00337648">
        <w:rPr>
          <w:rFonts w:ascii="Calibri" w:hAnsi="Calibri" w:cs="Calibri"/>
          <w:noProof/>
          <w:sz w:val="16"/>
          <w:szCs w:val="16"/>
          <w:lang w:val="en-US"/>
        </w:rPr>
        <w:t>1</w:t>
      </w:r>
      <w:r w:rsidRPr="009051E6">
        <w:rPr>
          <w:rFonts w:ascii="Calibri" w:hAnsi="Calibri" w:cs="Calibri"/>
          <w:sz w:val="16"/>
          <w:szCs w:val="16"/>
        </w:rPr>
        <w:fldChar w:fldCharType="end"/>
      </w:r>
      <w:r w:rsidRPr="009051E6">
        <w:rPr>
          <w:rFonts w:ascii="Calibri" w:hAnsi="Calibri" w:cs="Calibri"/>
          <w:sz w:val="16"/>
          <w:szCs w:val="16"/>
          <w:lang w:val="en-US"/>
        </w:rPr>
        <w:t>: Schematic representation of the fungal rRNA operon, highlighting the primers used in this study for ITS region amplification. The forward primer ITS1-F_KYO2a (Fw1) targets the ITS1 region between the small subunit (SSU) and the 5.8S rRNA gene, while the reverse primer RCA95M (Rv5) extends beyond ITS2 into the large subunit (LSU) rRNA gene</w:t>
      </w:r>
      <w:r w:rsidRPr="008F78E2">
        <w:rPr>
          <w:rFonts w:ascii="Calibri" w:hAnsi="Calibri" w:cs="Calibri"/>
          <w:sz w:val="16"/>
          <w:szCs w:val="16"/>
          <w:lang w:val="en-US"/>
        </w:rPr>
        <w:t>.</w:t>
      </w:r>
    </w:p>
    <w:p w14:paraId="4FCD34DA" w14:textId="2BB6F374" w:rsidR="00B11B36" w:rsidRDefault="00AB39E0" w:rsidP="003B76E0">
      <w:pPr>
        <w:keepNext/>
      </w:pPr>
      <w:r>
        <w:rPr>
          <w:noProof/>
          <w14:ligatures w14:val="standardContextual"/>
        </w:rPr>
        <w:lastRenderedPageBreak/>
        <w:drawing>
          <wp:inline distT="0" distB="0" distL="0" distR="0" wp14:anchorId="16B2AC01" wp14:editId="1618FBD6">
            <wp:extent cx="2655570" cy="1272540"/>
            <wp:effectExtent l="0" t="0" r="0" b="3810"/>
            <wp:docPr id="4"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 nummer&#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55570" cy="1272540"/>
                    </a:xfrm>
                    <a:prstGeom prst="rect">
                      <a:avLst/>
                    </a:prstGeom>
                  </pic:spPr>
                </pic:pic>
              </a:graphicData>
            </a:graphic>
          </wp:inline>
        </w:drawing>
      </w:r>
    </w:p>
    <w:p w14:paraId="77309CC9" w14:textId="77777777" w:rsidR="003B76E0" w:rsidRPr="003B76E0" w:rsidRDefault="003B76E0" w:rsidP="003B76E0">
      <w:pPr>
        <w:keepNext/>
      </w:pPr>
    </w:p>
    <w:p w14:paraId="697DD835" w14:textId="77777777" w:rsidR="00DD05ED" w:rsidRPr="00E45F1A" w:rsidRDefault="00744DD4" w:rsidP="00E45F1A">
      <w:pPr>
        <w:pStyle w:val="Kop2"/>
        <w:rPr>
          <w:rFonts w:ascii="Calibri" w:hAnsi="Calibri" w:cs="Calibri"/>
          <w:b/>
          <w:bCs/>
          <w:sz w:val="21"/>
          <w:szCs w:val="21"/>
          <w:lang w:val="en-US" w:eastAsia="en-US"/>
        </w:rPr>
      </w:pPr>
      <w:bookmarkStart w:id="7" w:name="_Toc201242196"/>
      <w:r w:rsidRPr="00E45F1A">
        <w:rPr>
          <w:rFonts w:ascii="Calibri" w:hAnsi="Calibri" w:cs="Calibri"/>
          <w:b/>
          <w:bCs/>
          <w:sz w:val="21"/>
          <w:szCs w:val="21"/>
          <w:lang w:val="en-US" w:eastAsia="en-US"/>
        </w:rPr>
        <w:t>Challenges in Fungal Taxonomic Classification</w:t>
      </w:r>
      <w:bookmarkEnd w:id="7"/>
    </w:p>
    <w:p w14:paraId="61552996" w14:textId="751F336D" w:rsidR="00744DD4" w:rsidRDefault="00744DD4" w:rsidP="00F006BE">
      <w:pPr>
        <w:rPr>
          <w:sz w:val="21"/>
          <w:szCs w:val="21"/>
          <w:lang w:val="en-US" w:eastAsia="en-US"/>
        </w:rPr>
      </w:pPr>
      <w:r w:rsidRPr="00744DD4">
        <w:rPr>
          <w:sz w:val="21"/>
          <w:szCs w:val="21"/>
          <w:lang w:val="en-US" w:eastAsia="en-US"/>
        </w:rPr>
        <w:t>Fungal taxonomy remains challenging due to intragenomic variation, high genetic diversity, and incomplete reference databases. Unlike the 16S rRNA gene used in bacterial classification, fungal markers such as ITS can exhibit multiple copies within a genome that are not identical, leading to intra-individual sequence variation</w:t>
      </w:r>
      <w:r w:rsidR="00666CF5">
        <w:rPr>
          <w:sz w:val="21"/>
          <w:szCs w:val="21"/>
          <w:lang w:val="en-US" w:eastAsia="en-US"/>
        </w:rPr>
        <w:t xml:space="preserve"> </w:t>
      </w:r>
      <w:sdt>
        <w:sdtPr>
          <w:rPr>
            <w:sz w:val="21"/>
            <w:szCs w:val="21"/>
            <w:lang w:val="en-US" w:eastAsia="en-US"/>
          </w:rPr>
          <w:id w:val="-958411704"/>
          <w:citation/>
        </w:sdtPr>
        <w:sdtContent>
          <w:r w:rsidR="00512665">
            <w:rPr>
              <w:sz w:val="21"/>
              <w:szCs w:val="21"/>
              <w:lang w:val="en-US" w:eastAsia="en-US"/>
            </w:rPr>
            <w:fldChar w:fldCharType="begin"/>
          </w:r>
          <w:r w:rsidR="00512665" w:rsidRPr="00512665">
            <w:rPr>
              <w:sz w:val="21"/>
              <w:szCs w:val="21"/>
              <w:lang w:val="en-US" w:eastAsia="en-US"/>
            </w:rPr>
            <w:instrText xml:space="preserve"> CITATION Sam11 \l 1043 </w:instrText>
          </w:r>
          <w:r w:rsidR="00512665">
            <w:rPr>
              <w:sz w:val="21"/>
              <w:szCs w:val="21"/>
              <w:lang w:val="en-US" w:eastAsia="en-US"/>
            </w:rPr>
            <w:fldChar w:fldCharType="separate"/>
          </w:r>
          <w:r w:rsidR="009A72D0" w:rsidRPr="009A72D0">
            <w:rPr>
              <w:noProof/>
              <w:sz w:val="21"/>
              <w:szCs w:val="21"/>
              <w:lang w:val="en-US" w:eastAsia="en-US"/>
            </w:rPr>
            <w:t>[11]</w:t>
          </w:r>
          <w:r w:rsidR="00512665">
            <w:rPr>
              <w:sz w:val="21"/>
              <w:szCs w:val="21"/>
              <w:lang w:val="en-US" w:eastAsia="en-US"/>
            </w:rPr>
            <w:fldChar w:fldCharType="end"/>
          </w:r>
        </w:sdtContent>
      </w:sdt>
      <w:r w:rsidRPr="00744DD4">
        <w:rPr>
          <w:sz w:val="21"/>
          <w:szCs w:val="21"/>
          <w:lang w:val="en-US" w:eastAsia="en-US"/>
        </w:rPr>
        <w:t xml:space="preserve">. Misannotated or missing entries in public databases further complicate classification, particularly for rare or poorly studied fungi. Metagenomic samples such as FFPE tissue, may also contain contaminant DNA that generates spurious identifications. </w:t>
      </w:r>
      <w:r w:rsidR="00AA42AA" w:rsidRPr="00AA42AA">
        <w:rPr>
          <w:sz w:val="21"/>
          <w:szCs w:val="21"/>
          <w:lang w:val="en-US" w:eastAsia="en-US"/>
        </w:rPr>
        <w:t>Better reference databases and using more than one genetic marker are important for accurate fungal classification</w:t>
      </w:r>
      <w:r w:rsidR="00637C04">
        <w:rPr>
          <w:sz w:val="21"/>
          <w:szCs w:val="21"/>
          <w:lang w:val="en-US" w:eastAsia="en-US"/>
        </w:rPr>
        <w:t>.</w:t>
      </w:r>
      <w:r w:rsidR="00512665">
        <w:rPr>
          <w:sz w:val="21"/>
          <w:szCs w:val="21"/>
          <w:lang w:val="en-US" w:eastAsia="en-US"/>
        </w:rPr>
        <w:t xml:space="preserve"> </w:t>
      </w:r>
      <w:sdt>
        <w:sdtPr>
          <w:rPr>
            <w:sz w:val="21"/>
            <w:szCs w:val="21"/>
            <w:lang w:val="en-US" w:eastAsia="en-US"/>
          </w:rPr>
          <w:id w:val="433320487"/>
          <w:citation/>
        </w:sdtPr>
        <w:sdtContent>
          <w:r w:rsidR="00512665">
            <w:rPr>
              <w:sz w:val="21"/>
              <w:szCs w:val="21"/>
              <w:lang w:val="en-US" w:eastAsia="en-US"/>
            </w:rPr>
            <w:fldChar w:fldCharType="begin"/>
          </w:r>
          <w:r w:rsidR="00512665" w:rsidRPr="00512665">
            <w:rPr>
              <w:sz w:val="21"/>
              <w:szCs w:val="21"/>
              <w:lang w:val="en-US" w:eastAsia="en-US"/>
            </w:rPr>
            <w:instrText xml:space="preserve"> CITATION Hen19 \l 1043 </w:instrText>
          </w:r>
          <w:r w:rsidR="00512665">
            <w:rPr>
              <w:sz w:val="21"/>
              <w:szCs w:val="21"/>
              <w:lang w:val="en-US" w:eastAsia="en-US"/>
            </w:rPr>
            <w:fldChar w:fldCharType="separate"/>
          </w:r>
          <w:r w:rsidR="009A72D0" w:rsidRPr="009A72D0">
            <w:rPr>
              <w:noProof/>
              <w:sz w:val="21"/>
              <w:szCs w:val="21"/>
              <w:lang w:val="en-US" w:eastAsia="en-US"/>
            </w:rPr>
            <w:t>[12]</w:t>
          </w:r>
          <w:r w:rsidR="00512665">
            <w:rPr>
              <w:sz w:val="21"/>
              <w:szCs w:val="21"/>
              <w:lang w:val="en-US" w:eastAsia="en-US"/>
            </w:rPr>
            <w:fldChar w:fldCharType="end"/>
          </w:r>
        </w:sdtContent>
      </w:sdt>
    </w:p>
    <w:p w14:paraId="620273C3" w14:textId="77777777" w:rsidR="00744DD4" w:rsidRDefault="00744DD4" w:rsidP="00F006BE">
      <w:pPr>
        <w:rPr>
          <w:sz w:val="21"/>
          <w:szCs w:val="21"/>
          <w:lang w:val="en-US" w:eastAsia="en-US"/>
        </w:rPr>
      </w:pPr>
    </w:p>
    <w:p w14:paraId="4A10E150" w14:textId="77777777" w:rsidR="00744DD4" w:rsidRPr="00F176EC" w:rsidRDefault="00744DD4" w:rsidP="00F176EC">
      <w:pPr>
        <w:pStyle w:val="Kop2"/>
        <w:rPr>
          <w:rFonts w:ascii="Calibri" w:hAnsi="Calibri" w:cs="Calibri"/>
          <w:b/>
          <w:bCs/>
          <w:sz w:val="21"/>
          <w:szCs w:val="21"/>
          <w:lang w:val="en-US" w:eastAsia="en-US"/>
        </w:rPr>
      </w:pPr>
      <w:bookmarkStart w:id="8" w:name="_Toc201242197"/>
      <w:r w:rsidRPr="00F176EC">
        <w:rPr>
          <w:rFonts w:ascii="Calibri" w:hAnsi="Calibri" w:cs="Calibri"/>
          <w:b/>
          <w:bCs/>
          <w:sz w:val="21"/>
          <w:szCs w:val="21"/>
          <w:lang w:val="en-US" w:eastAsia="en-US"/>
        </w:rPr>
        <w:t>Quality Control in Nanopore Sequencing</w:t>
      </w:r>
      <w:bookmarkEnd w:id="8"/>
      <w:r w:rsidRPr="00F176EC">
        <w:rPr>
          <w:rFonts w:ascii="Calibri" w:hAnsi="Calibri" w:cs="Calibri"/>
          <w:b/>
          <w:bCs/>
          <w:sz w:val="21"/>
          <w:szCs w:val="21"/>
          <w:lang w:val="en-US" w:eastAsia="en-US"/>
        </w:rPr>
        <w:t xml:space="preserve"> </w:t>
      </w:r>
    </w:p>
    <w:p w14:paraId="2E41CB7A" w14:textId="55CDA0B7" w:rsidR="00744DD4" w:rsidRDefault="00744DD4" w:rsidP="00F006BE">
      <w:pPr>
        <w:rPr>
          <w:sz w:val="21"/>
          <w:szCs w:val="21"/>
          <w:lang w:val="en-US" w:eastAsia="en-US"/>
        </w:rPr>
      </w:pPr>
      <w:r w:rsidRPr="00744DD4">
        <w:rPr>
          <w:sz w:val="21"/>
          <w:szCs w:val="21"/>
          <w:lang w:val="en-US" w:eastAsia="en-US"/>
        </w:rPr>
        <w:t xml:space="preserve">Given the relatively high error rates of nanopore sequencing, </w:t>
      </w:r>
      <w:r w:rsidR="00427110" w:rsidRPr="00427110">
        <w:rPr>
          <w:sz w:val="21"/>
          <w:szCs w:val="21"/>
          <w:lang w:val="en-US" w:eastAsia="en-US"/>
        </w:rPr>
        <w:t>careful</w:t>
      </w:r>
      <w:r w:rsidR="00427110">
        <w:rPr>
          <w:sz w:val="21"/>
          <w:szCs w:val="21"/>
          <w:lang w:val="en-US" w:eastAsia="en-US"/>
        </w:rPr>
        <w:t xml:space="preserve"> </w:t>
      </w:r>
      <w:r w:rsidRPr="00744DD4">
        <w:rPr>
          <w:sz w:val="21"/>
          <w:szCs w:val="21"/>
          <w:lang w:val="en-US" w:eastAsia="en-US"/>
        </w:rPr>
        <w:t xml:space="preserve">quality control is essential. Tools such as NanoPlot and Filtlong are employed to assess and filter raw reads prior to downstream analysis. NanoPlot provides graphical summaries of read length, quality, and base composition, enabling visual assessment of sequencing performance. Filtlong filters reads based on quality scores and length thresholds, retaining only high-confidence sequences for analysis. This step ensures the </w:t>
      </w:r>
      <w:r w:rsidR="00E73A97">
        <w:rPr>
          <w:sz w:val="21"/>
          <w:szCs w:val="21"/>
          <w:lang w:val="en-US" w:eastAsia="en-US"/>
        </w:rPr>
        <w:t>quality</w:t>
      </w:r>
      <w:r w:rsidRPr="00744DD4">
        <w:rPr>
          <w:sz w:val="21"/>
          <w:szCs w:val="21"/>
          <w:lang w:val="en-US" w:eastAsia="en-US"/>
        </w:rPr>
        <w:t xml:space="preserve"> of downstream processes, such as taxonomic classification or alignment.</w:t>
      </w:r>
      <w:r w:rsidR="00512665">
        <w:rPr>
          <w:sz w:val="21"/>
          <w:szCs w:val="21"/>
          <w:lang w:val="en-US" w:eastAsia="en-US"/>
        </w:rPr>
        <w:t xml:space="preserve"> </w:t>
      </w:r>
      <w:sdt>
        <w:sdtPr>
          <w:rPr>
            <w:sz w:val="21"/>
            <w:szCs w:val="21"/>
            <w:lang w:val="en-US" w:eastAsia="en-US"/>
          </w:rPr>
          <w:id w:val="613863173"/>
          <w:citation/>
        </w:sdtPr>
        <w:sdtContent>
          <w:r w:rsidR="00512665">
            <w:rPr>
              <w:sz w:val="21"/>
              <w:szCs w:val="21"/>
              <w:lang w:val="en-US" w:eastAsia="en-US"/>
            </w:rPr>
            <w:fldChar w:fldCharType="begin"/>
          </w:r>
          <w:r w:rsidR="00512665" w:rsidRPr="00E73A97">
            <w:rPr>
              <w:sz w:val="21"/>
              <w:szCs w:val="21"/>
              <w:lang w:val="en-US" w:eastAsia="en-US"/>
            </w:rPr>
            <w:instrText xml:space="preserve"> CITATION Nan \l 1043 </w:instrText>
          </w:r>
          <w:r w:rsidR="00512665">
            <w:rPr>
              <w:sz w:val="21"/>
              <w:szCs w:val="21"/>
              <w:lang w:val="en-US" w:eastAsia="en-US"/>
            </w:rPr>
            <w:fldChar w:fldCharType="separate"/>
          </w:r>
          <w:r w:rsidR="009A72D0" w:rsidRPr="009A72D0">
            <w:rPr>
              <w:noProof/>
              <w:sz w:val="21"/>
              <w:szCs w:val="21"/>
              <w:lang w:val="en-US" w:eastAsia="en-US"/>
            </w:rPr>
            <w:t>[13]</w:t>
          </w:r>
          <w:r w:rsidR="00512665">
            <w:rPr>
              <w:sz w:val="21"/>
              <w:szCs w:val="21"/>
              <w:lang w:val="en-US" w:eastAsia="en-US"/>
            </w:rPr>
            <w:fldChar w:fldCharType="end"/>
          </w:r>
        </w:sdtContent>
      </w:sdt>
      <w:r w:rsidR="00512665">
        <w:rPr>
          <w:sz w:val="21"/>
          <w:szCs w:val="21"/>
          <w:lang w:val="en-US" w:eastAsia="en-US"/>
        </w:rPr>
        <w:t xml:space="preserve"> </w:t>
      </w:r>
      <w:sdt>
        <w:sdtPr>
          <w:rPr>
            <w:sz w:val="21"/>
            <w:szCs w:val="21"/>
            <w:lang w:val="en-US" w:eastAsia="en-US"/>
          </w:rPr>
          <w:id w:val="-750110562"/>
          <w:citation/>
        </w:sdtPr>
        <w:sdtContent>
          <w:r w:rsidR="00512665">
            <w:rPr>
              <w:sz w:val="21"/>
              <w:szCs w:val="21"/>
              <w:lang w:val="en-US" w:eastAsia="en-US"/>
            </w:rPr>
            <w:fldChar w:fldCharType="begin"/>
          </w:r>
          <w:r w:rsidR="00512665" w:rsidRPr="00E73A97">
            <w:rPr>
              <w:sz w:val="21"/>
              <w:szCs w:val="21"/>
              <w:lang w:val="en-US" w:eastAsia="en-US"/>
            </w:rPr>
            <w:instrText xml:space="preserve"> CITATION Fil \l 1043 </w:instrText>
          </w:r>
          <w:r w:rsidR="00512665">
            <w:rPr>
              <w:sz w:val="21"/>
              <w:szCs w:val="21"/>
              <w:lang w:val="en-US" w:eastAsia="en-US"/>
            </w:rPr>
            <w:fldChar w:fldCharType="separate"/>
          </w:r>
          <w:r w:rsidR="009A72D0" w:rsidRPr="009A72D0">
            <w:rPr>
              <w:noProof/>
              <w:sz w:val="21"/>
              <w:szCs w:val="21"/>
              <w:lang w:val="en-US" w:eastAsia="en-US"/>
            </w:rPr>
            <w:t>[14]</w:t>
          </w:r>
          <w:r w:rsidR="00512665">
            <w:rPr>
              <w:sz w:val="21"/>
              <w:szCs w:val="21"/>
              <w:lang w:val="en-US" w:eastAsia="en-US"/>
            </w:rPr>
            <w:fldChar w:fldCharType="end"/>
          </w:r>
        </w:sdtContent>
      </w:sdt>
    </w:p>
    <w:p w14:paraId="67034BCA" w14:textId="77777777" w:rsidR="007A2CE9" w:rsidRDefault="007A2CE9" w:rsidP="00F006BE">
      <w:pPr>
        <w:rPr>
          <w:sz w:val="21"/>
          <w:szCs w:val="21"/>
          <w:lang w:val="en-US" w:eastAsia="en-US"/>
        </w:rPr>
      </w:pPr>
    </w:p>
    <w:p w14:paraId="009533CE" w14:textId="77777777" w:rsidR="007A2CE9" w:rsidRPr="00F176EC" w:rsidRDefault="007A2CE9" w:rsidP="00F176EC">
      <w:pPr>
        <w:pStyle w:val="Kop2"/>
        <w:rPr>
          <w:rFonts w:ascii="Calibri" w:hAnsi="Calibri" w:cs="Calibri"/>
          <w:b/>
          <w:bCs/>
          <w:sz w:val="21"/>
          <w:szCs w:val="21"/>
          <w:lang w:val="en-US" w:eastAsia="en-US"/>
        </w:rPr>
      </w:pPr>
      <w:bookmarkStart w:id="9" w:name="_Toc201242198"/>
      <w:r w:rsidRPr="00F176EC">
        <w:rPr>
          <w:rFonts w:ascii="Calibri" w:hAnsi="Calibri" w:cs="Calibri"/>
          <w:b/>
          <w:bCs/>
          <w:sz w:val="21"/>
          <w:szCs w:val="21"/>
          <w:lang w:val="en-US" w:eastAsia="en-US"/>
        </w:rPr>
        <w:t>ITSx for Targeted Extraction of ITS Regions</w:t>
      </w:r>
      <w:bookmarkEnd w:id="9"/>
      <w:r w:rsidRPr="00F176EC">
        <w:rPr>
          <w:rFonts w:ascii="Calibri" w:hAnsi="Calibri" w:cs="Calibri"/>
          <w:b/>
          <w:bCs/>
          <w:sz w:val="21"/>
          <w:szCs w:val="21"/>
          <w:lang w:val="en-US" w:eastAsia="en-US"/>
        </w:rPr>
        <w:t xml:space="preserve"> </w:t>
      </w:r>
    </w:p>
    <w:p w14:paraId="0629A530" w14:textId="20A2972F" w:rsidR="007A2CE9" w:rsidRDefault="007A2CE9" w:rsidP="00F006BE">
      <w:pPr>
        <w:rPr>
          <w:sz w:val="21"/>
          <w:szCs w:val="21"/>
          <w:lang w:val="en-US" w:eastAsia="en-US"/>
        </w:rPr>
      </w:pPr>
      <w:r w:rsidRPr="007A2CE9">
        <w:rPr>
          <w:sz w:val="21"/>
          <w:szCs w:val="21"/>
          <w:lang w:val="en-US" w:eastAsia="en-US"/>
        </w:rPr>
        <w:t>ITSx is a specialized tool for extracting ITS1, ITS2, and 5.8S rRNA regions from raw DNA sequences. It uses Hidden Markov Models (HMMs) trained on fungal rDNA to accurately identify and separate ITS regions from flanking sequences</w:t>
      </w:r>
      <w:r w:rsidR="0035715B">
        <w:rPr>
          <w:sz w:val="21"/>
          <w:szCs w:val="21"/>
          <w:lang w:val="en-US" w:eastAsia="en-US"/>
        </w:rPr>
        <w:t xml:space="preserve">. </w:t>
      </w:r>
      <w:r w:rsidRPr="007A2CE9">
        <w:rPr>
          <w:sz w:val="21"/>
          <w:szCs w:val="21"/>
          <w:lang w:val="en-US" w:eastAsia="en-US"/>
        </w:rPr>
        <w:t>By isolating only the relevant barcode regions, ITSx improves both taxonomic resolution and computational efficiency. This is particularly important for long-read sequencing data, where reads may span entire operons or include irrelevant non-target regions.</w:t>
      </w:r>
      <w:r w:rsidR="00700F1F">
        <w:rPr>
          <w:sz w:val="21"/>
          <w:szCs w:val="21"/>
          <w:lang w:val="en-US" w:eastAsia="en-US"/>
        </w:rPr>
        <w:t xml:space="preserve"> </w:t>
      </w:r>
      <w:r w:rsidR="00700F1F" w:rsidRPr="00700F1F">
        <w:rPr>
          <w:sz w:val="21"/>
          <w:szCs w:val="21"/>
          <w:lang w:val="en-US" w:eastAsia="en-US"/>
        </w:rPr>
        <w:t xml:space="preserve">ITSx requires FASTA-formatted input, but sequencing data is typically generated in FASTQ format. To generate FASTA input for ITSx, tools such as Flye (for de novo assembly), </w:t>
      </w:r>
      <w:r w:rsidR="00700F1F">
        <w:rPr>
          <w:sz w:val="21"/>
          <w:szCs w:val="21"/>
          <w:lang w:val="en-US" w:eastAsia="en-US"/>
        </w:rPr>
        <w:t>W</w:t>
      </w:r>
      <w:r w:rsidR="00700F1F" w:rsidRPr="00700F1F">
        <w:rPr>
          <w:sz w:val="21"/>
          <w:szCs w:val="21"/>
          <w:lang w:val="en-US" w:eastAsia="en-US"/>
        </w:rPr>
        <w:t>f-amplicon (for consensus sequence generation), or Seqtk (for direct FASTQ-to-FASTA conversion) can be used.</w:t>
      </w:r>
      <w:r w:rsidRPr="007A2CE9">
        <w:rPr>
          <w:sz w:val="21"/>
          <w:szCs w:val="21"/>
          <w:lang w:val="en-US" w:eastAsia="en-US"/>
        </w:rPr>
        <w:t xml:space="preserve"> </w:t>
      </w:r>
      <w:sdt>
        <w:sdtPr>
          <w:rPr>
            <w:sz w:val="21"/>
            <w:szCs w:val="21"/>
            <w:lang w:val="en-US" w:eastAsia="en-US"/>
          </w:rPr>
          <w:id w:val="-1424952240"/>
          <w:citation/>
        </w:sdtPr>
        <w:sdtContent>
          <w:r w:rsidR="00BE49D9">
            <w:rPr>
              <w:sz w:val="21"/>
              <w:szCs w:val="21"/>
              <w:lang w:val="en-US" w:eastAsia="en-US"/>
            </w:rPr>
            <w:fldChar w:fldCharType="begin"/>
          </w:r>
          <w:r w:rsidR="00BE49D9" w:rsidRPr="00700F1F">
            <w:rPr>
              <w:sz w:val="21"/>
              <w:szCs w:val="21"/>
              <w:lang w:val="en-US" w:eastAsia="en-US"/>
            </w:rPr>
            <w:instrText xml:space="preserve"> CITATION Ben13 \l 1043 </w:instrText>
          </w:r>
          <w:r w:rsidR="00BE49D9">
            <w:rPr>
              <w:sz w:val="21"/>
              <w:szCs w:val="21"/>
              <w:lang w:val="en-US" w:eastAsia="en-US"/>
            </w:rPr>
            <w:fldChar w:fldCharType="separate"/>
          </w:r>
          <w:r w:rsidR="009A72D0" w:rsidRPr="009A72D0">
            <w:rPr>
              <w:noProof/>
              <w:sz w:val="21"/>
              <w:szCs w:val="21"/>
              <w:lang w:val="en-US" w:eastAsia="en-US"/>
            </w:rPr>
            <w:t>[15]</w:t>
          </w:r>
          <w:r w:rsidR="00BE49D9">
            <w:rPr>
              <w:sz w:val="21"/>
              <w:szCs w:val="21"/>
              <w:lang w:val="en-US" w:eastAsia="en-US"/>
            </w:rPr>
            <w:fldChar w:fldCharType="end"/>
          </w:r>
        </w:sdtContent>
      </w:sdt>
    </w:p>
    <w:p w14:paraId="16521D58" w14:textId="77777777" w:rsidR="007A2CE9" w:rsidRDefault="007A2CE9" w:rsidP="00F006BE">
      <w:pPr>
        <w:rPr>
          <w:sz w:val="21"/>
          <w:szCs w:val="21"/>
          <w:lang w:val="en-US" w:eastAsia="en-US"/>
        </w:rPr>
      </w:pPr>
    </w:p>
    <w:p w14:paraId="3411B127" w14:textId="77777777" w:rsidR="0039760D" w:rsidRPr="00F176EC" w:rsidRDefault="007A2CE9" w:rsidP="00F176EC">
      <w:pPr>
        <w:pStyle w:val="Kop2"/>
        <w:rPr>
          <w:rFonts w:ascii="Calibri" w:hAnsi="Calibri" w:cs="Calibri"/>
          <w:b/>
          <w:bCs/>
          <w:sz w:val="21"/>
          <w:szCs w:val="21"/>
          <w:lang w:val="en-US" w:eastAsia="en-US"/>
        </w:rPr>
      </w:pPr>
      <w:bookmarkStart w:id="10" w:name="_Toc201242199"/>
      <w:r w:rsidRPr="00F176EC">
        <w:rPr>
          <w:rFonts w:ascii="Calibri" w:hAnsi="Calibri" w:cs="Calibri"/>
          <w:b/>
          <w:bCs/>
          <w:sz w:val="21"/>
          <w:szCs w:val="21"/>
          <w:lang w:val="en-US" w:eastAsia="en-US"/>
        </w:rPr>
        <w:t>GermGenie and Reference Databases for ITS Classification</w:t>
      </w:r>
      <w:bookmarkEnd w:id="10"/>
      <w:r w:rsidRPr="00F176EC">
        <w:rPr>
          <w:rFonts w:ascii="Calibri" w:hAnsi="Calibri" w:cs="Calibri"/>
          <w:b/>
          <w:bCs/>
          <w:sz w:val="21"/>
          <w:szCs w:val="21"/>
          <w:lang w:val="en-US" w:eastAsia="en-US"/>
        </w:rPr>
        <w:t xml:space="preserve"> </w:t>
      </w:r>
    </w:p>
    <w:p w14:paraId="63A1E8B4" w14:textId="5BF993E5" w:rsidR="007A2CE9" w:rsidRDefault="00C54003" w:rsidP="00F006BE">
      <w:pPr>
        <w:rPr>
          <w:sz w:val="21"/>
          <w:szCs w:val="21"/>
          <w:lang w:val="en-US" w:eastAsia="en-US"/>
        </w:rPr>
      </w:pPr>
      <w:r w:rsidRPr="00C54003">
        <w:rPr>
          <w:sz w:val="21"/>
          <w:szCs w:val="21"/>
          <w:lang w:val="en-US" w:eastAsia="en-US"/>
        </w:rPr>
        <w:t>GermGenie is a taxonomic classifier built on the Emu framework, which was originally developed for bacterial 16S rRNA analysis. In this study, GermGenie was adapted to classify fungal ITS reads by replacing the standard 16S database with a ITS reference database such as UNITE. Like E</w:t>
      </w:r>
      <w:r w:rsidR="00513CAB">
        <w:rPr>
          <w:sz w:val="21"/>
          <w:szCs w:val="21"/>
          <w:lang w:val="en-US" w:eastAsia="en-US"/>
        </w:rPr>
        <w:t>MU</w:t>
      </w:r>
      <w:r w:rsidRPr="00C54003">
        <w:rPr>
          <w:sz w:val="21"/>
          <w:szCs w:val="21"/>
          <w:lang w:val="en-US" w:eastAsia="en-US"/>
        </w:rPr>
        <w:t>, it matches reads to the reference and produces taxon-level abundance profiles. The accuracy of species identification depends strongly on the quality and completeness of the reference database used</w:t>
      </w:r>
      <w:r w:rsidR="007A2CE9" w:rsidRPr="007A2CE9">
        <w:rPr>
          <w:sz w:val="21"/>
          <w:szCs w:val="21"/>
          <w:lang w:val="en-US" w:eastAsia="en-US"/>
        </w:rPr>
        <w:t>.</w:t>
      </w:r>
      <w:r w:rsidR="00BE49D9">
        <w:rPr>
          <w:sz w:val="21"/>
          <w:szCs w:val="21"/>
          <w:lang w:val="en-US" w:eastAsia="en-US"/>
        </w:rPr>
        <w:t xml:space="preserve"> </w:t>
      </w:r>
      <w:sdt>
        <w:sdtPr>
          <w:rPr>
            <w:sz w:val="21"/>
            <w:szCs w:val="21"/>
            <w:lang w:val="en-US" w:eastAsia="en-US"/>
          </w:rPr>
          <w:id w:val="-1307246623"/>
          <w:citation/>
        </w:sdtPr>
        <w:sdtContent>
          <w:r w:rsidR="00BE49D9">
            <w:rPr>
              <w:sz w:val="21"/>
              <w:szCs w:val="21"/>
              <w:lang w:val="en-US" w:eastAsia="en-US"/>
            </w:rPr>
            <w:fldChar w:fldCharType="begin"/>
          </w:r>
          <w:r w:rsidR="00BE49D9" w:rsidRPr="00C54003">
            <w:rPr>
              <w:sz w:val="21"/>
              <w:szCs w:val="21"/>
              <w:lang w:val="en-US" w:eastAsia="en-US"/>
            </w:rPr>
            <w:instrText xml:space="preserve"> CITATION Bod \l 1043 </w:instrText>
          </w:r>
          <w:r w:rsidR="00BE49D9">
            <w:rPr>
              <w:sz w:val="21"/>
              <w:szCs w:val="21"/>
              <w:lang w:val="en-US" w:eastAsia="en-US"/>
            </w:rPr>
            <w:fldChar w:fldCharType="separate"/>
          </w:r>
          <w:r w:rsidR="009A72D0" w:rsidRPr="009A72D0">
            <w:rPr>
              <w:noProof/>
              <w:sz w:val="21"/>
              <w:szCs w:val="21"/>
              <w:lang w:val="en-US" w:eastAsia="en-US"/>
            </w:rPr>
            <w:t>[16]</w:t>
          </w:r>
          <w:r w:rsidR="00BE49D9">
            <w:rPr>
              <w:sz w:val="21"/>
              <w:szCs w:val="21"/>
              <w:lang w:val="en-US" w:eastAsia="en-US"/>
            </w:rPr>
            <w:fldChar w:fldCharType="end"/>
          </w:r>
        </w:sdtContent>
      </w:sdt>
    </w:p>
    <w:p w14:paraId="3D602B6F" w14:textId="77777777" w:rsidR="007A2CE9" w:rsidRDefault="007A2CE9" w:rsidP="00F006BE">
      <w:pPr>
        <w:rPr>
          <w:sz w:val="21"/>
          <w:szCs w:val="21"/>
          <w:lang w:val="en-US" w:eastAsia="en-US"/>
        </w:rPr>
      </w:pPr>
    </w:p>
    <w:p w14:paraId="759C2DE4" w14:textId="7CCC57B0" w:rsidR="0039760D" w:rsidRPr="00F176EC" w:rsidRDefault="007A2CE9" w:rsidP="00F176EC">
      <w:pPr>
        <w:pStyle w:val="Kop2"/>
        <w:rPr>
          <w:rFonts w:ascii="Calibri" w:hAnsi="Calibri" w:cs="Calibri"/>
          <w:b/>
          <w:bCs/>
          <w:sz w:val="21"/>
          <w:szCs w:val="21"/>
          <w:lang w:val="en-US" w:eastAsia="en-US"/>
        </w:rPr>
      </w:pPr>
      <w:bookmarkStart w:id="11" w:name="_Toc201242200"/>
      <w:r w:rsidRPr="00F176EC">
        <w:rPr>
          <w:rFonts w:ascii="Calibri" w:hAnsi="Calibri" w:cs="Calibri"/>
          <w:b/>
          <w:bCs/>
          <w:sz w:val="21"/>
          <w:szCs w:val="21"/>
          <w:lang w:val="en-US" w:eastAsia="en-US"/>
        </w:rPr>
        <w:t>Read Mapping with Minimap2 and Bedtools</w:t>
      </w:r>
      <w:bookmarkEnd w:id="11"/>
      <w:r w:rsidRPr="00F176EC">
        <w:rPr>
          <w:rFonts w:ascii="Calibri" w:hAnsi="Calibri" w:cs="Calibri"/>
          <w:b/>
          <w:bCs/>
          <w:sz w:val="21"/>
          <w:szCs w:val="21"/>
          <w:lang w:val="en-US" w:eastAsia="en-US"/>
        </w:rPr>
        <w:t xml:space="preserve"> </w:t>
      </w:r>
    </w:p>
    <w:p w14:paraId="1CB006D6" w14:textId="4D19AF7B" w:rsidR="00095C19" w:rsidRDefault="007A2CE9" w:rsidP="00F006BE">
      <w:pPr>
        <w:rPr>
          <w:sz w:val="21"/>
          <w:szCs w:val="21"/>
          <w:lang w:val="en-US" w:eastAsia="en-US"/>
        </w:rPr>
        <w:sectPr w:rsidR="00095C19" w:rsidSect="00095C19">
          <w:type w:val="continuous"/>
          <w:pgSz w:w="11906" w:h="16838"/>
          <w:pgMar w:top="1417" w:right="1417" w:bottom="1417" w:left="1417" w:header="708" w:footer="708" w:gutter="0"/>
          <w:cols w:space="708"/>
          <w:docGrid w:linePitch="360"/>
        </w:sectPr>
      </w:pPr>
      <w:r w:rsidRPr="007A2CE9">
        <w:rPr>
          <w:sz w:val="21"/>
          <w:szCs w:val="21"/>
          <w:lang w:val="en-US" w:eastAsia="en-US"/>
        </w:rPr>
        <w:t>To validate amplification success and assess mapping specificity, reads can be aligned to fungal reference genomes using Minimap2</w:t>
      </w:r>
      <w:r w:rsidR="003409E2">
        <w:rPr>
          <w:sz w:val="21"/>
          <w:szCs w:val="21"/>
          <w:lang w:val="en-US" w:eastAsia="en-US"/>
        </w:rPr>
        <w:t>. This is</w:t>
      </w:r>
      <w:r w:rsidRPr="007A2CE9">
        <w:rPr>
          <w:sz w:val="21"/>
          <w:szCs w:val="21"/>
          <w:lang w:val="en-US" w:eastAsia="en-US"/>
        </w:rPr>
        <w:t xml:space="preserve"> a long-read aligner optimized for platforms like ONT. Minimap2 uses a seed-chaining algorithm to align even error-prone or fragmented reads with high speed and accuracy. In this study, aligned reads were further processed using Bedtools to determine whether they mapped specifically or aspecifically to off-target regions. This post-mapping validation is essential for evaluating PCR specificity and detecting potential mispriming event</w:t>
      </w:r>
      <w:r w:rsidR="003E752D">
        <w:rPr>
          <w:sz w:val="21"/>
          <w:szCs w:val="21"/>
          <w:lang w:val="en-US" w:eastAsia="en-US"/>
        </w:rPr>
        <w:t>s.</w:t>
      </w:r>
      <w:r w:rsidR="008268C1">
        <w:rPr>
          <w:sz w:val="21"/>
          <w:szCs w:val="21"/>
          <w:lang w:val="en-US" w:eastAsia="en-US"/>
        </w:rPr>
        <w:t xml:space="preserve"> </w:t>
      </w:r>
      <w:sdt>
        <w:sdtPr>
          <w:rPr>
            <w:sz w:val="21"/>
            <w:szCs w:val="21"/>
            <w:lang w:val="en-US" w:eastAsia="en-US"/>
          </w:rPr>
          <w:id w:val="-1641878621"/>
          <w:citation/>
        </w:sdtPr>
        <w:sdtContent>
          <w:r w:rsidR="008268C1">
            <w:rPr>
              <w:sz w:val="21"/>
              <w:szCs w:val="21"/>
              <w:lang w:val="en-US" w:eastAsia="en-US"/>
            </w:rPr>
            <w:fldChar w:fldCharType="begin"/>
          </w:r>
          <w:r w:rsidR="008268C1" w:rsidRPr="00094905">
            <w:rPr>
              <w:sz w:val="21"/>
              <w:szCs w:val="21"/>
              <w:lang w:val="en-US" w:eastAsia="en-US"/>
            </w:rPr>
            <w:instrText xml:space="preserve"> CITATION Min \l 1043 </w:instrText>
          </w:r>
          <w:r w:rsidR="008268C1">
            <w:rPr>
              <w:sz w:val="21"/>
              <w:szCs w:val="21"/>
              <w:lang w:val="en-US" w:eastAsia="en-US"/>
            </w:rPr>
            <w:fldChar w:fldCharType="separate"/>
          </w:r>
          <w:r w:rsidR="009A72D0" w:rsidRPr="00094905">
            <w:rPr>
              <w:noProof/>
              <w:sz w:val="21"/>
              <w:szCs w:val="21"/>
              <w:lang w:val="en-US" w:eastAsia="en-US"/>
            </w:rPr>
            <w:t>[17]</w:t>
          </w:r>
          <w:r w:rsidR="008268C1">
            <w:rPr>
              <w:sz w:val="21"/>
              <w:szCs w:val="21"/>
              <w:lang w:val="en-US" w:eastAsia="en-US"/>
            </w:rPr>
            <w:fldChar w:fldCharType="end"/>
          </w:r>
        </w:sdtContent>
      </w:sdt>
      <w:r w:rsidR="00B51DF7">
        <w:rPr>
          <w:sz w:val="21"/>
          <w:szCs w:val="21"/>
          <w:lang w:val="en-US" w:eastAsia="en-US"/>
        </w:rPr>
        <w:t xml:space="preserve"> </w:t>
      </w:r>
      <w:sdt>
        <w:sdtPr>
          <w:rPr>
            <w:sz w:val="21"/>
            <w:szCs w:val="21"/>
            <w:lang w:val="en-US" w:eastAsia="en-US"/>
          </w:rPr>
          <w:id w:val="868797003"/>
          <w:citation/>
        </w:sdtPr>
        <w:sdtContent>
          <w:r w:rsidR="00B51DF7">
            <w:rPr>
              <w:sz w:val="21"/>
              <w:szCs w:val="21"/>
              <w:lang w:val="en-US" w:eastAsia="en-US"/>
            </w:rPr>
            <w:fldChar w:fldCharType="begin"/>
          </w:r>
          <w:r w:rsidR="00B51DF7" w:rsidRPr="00094905">
            <w:rPr>
              <w:sz w:val="21"/>
              <w:szCs w:val="21"/>
              <w:lang w:val="en-US" w:eastAsia="en-US"/>
            </w:rPr>
            <w:instrText xml:space="preserve"> CITATION arq \l 1043 </w:instrText>
          </w:r>
          <w:r w:rsidR="00B51DF7">
            <w:rPr>
              <w:sz w:val="21"/>
              <w:szCs w:val="21"/>
              <w:lang w:val="en-US" w:eastAsia="en-US"/>
            </w:rPr>
            <w:fldChar w:fldCharType="separate"/>
          </w:r>
          <w:r w:rsidR="009A72D0" w:rsidRPr="00094905">
            <w:rPr>
              <w:noProof/>
              <w:sz w:val="21"/>
              <w:szCs w:val="21"/>
              <w:lang w:val="en-US" w:eastAsia="en-US"/>
            </w:rPr>
            <w:t>[18]</w:t>
          </w:r>
          <w:r w:rsidR="00B51DF7">
            <w:rPr>
              <w:sz w:val="21"/>
              <w:szCs w:val="21"/>
              <w:lang w:val="en-US" w:eastAsia="en-US"/>
            </w:rPr>
            <w:fldChar w:fldCharType="end"/>
          </w:r>
        </w:sdtContent>
      </w:sdt>
    </w:p>
    <w:p w14:paraId="1159F0B1" w14:textId="0FCD8BF0" w:rsidR="00F176EC" w:rsidRPr="00095C19" w:rsidRDefault="00F176EC" w:rsidP="00095C19">
      <w:pPr>
        <w:rPr>
          <w:sz w:val="21"/>
          <w:szCs w:val="21"/>
          <w:lang w:val="en-US" w:eastAsia="en-US"/>
        </w:rPr>
        <w:sectPr w:rsidR="00F176EC" w:rsidRPr="00095C19" w:rsidSect="00F176EC">
          <w:type w:val="continuous"/>
          <w:pgSz w:w="11906" w:h="16838"/>
          <w:pgMar w:top="1417" w:right="1417" w:bottom="1417" w:left="1417" w:header="708" w:footer="708" w:gutter="0"/>
          <w:cols w:num="2" w:space="708"/>
          <w:docGrid w:linePitch="360"/>
        </w:sectPr>
      </w:pPr>
    </w:p>
    <w:p w14:paraId="5A665D3E" w14:textId="1A1ED213" w:rsidR="00295880" w:rsidRPr="007B28F7" w:rsidRDefault="00844AA3" w:rsidP="00844AA3">
      <w:pPr>
        <w:pStyle w:val="Kop1"/>
        <w:rPr>
          <w:rFonts w:ascii="Calibri" w:hAnsi="Calibri" w:cs="Calibri"/>
          <w:sz w:val="22"/>
          <w:szCs w:val="22"/>
          <w:lang w:val="en-US"/>
        </w:rPr>
      </w:pPr>
      <w:bookmarkStart w:id="12" w:name="_Toc201242201"/>
      <w:r w:rsidRPr="007B28F7">
        <w:rPr>
          <w:rFonts w:ascii="Calibri" w:hAnsi="Calibri" w:cs="Calibri"/>
          <w:sz w:val="22"/>
          <w:szCs w:val="22"/>
          <w:lang w:val="en-US"/>
        </w:rPr>
        <w:lastRenderedPageBreak/>
        <w:t>M</w:t>
      </w:r>
      <w:r w:rsidR="00750B74">
        <w:rPr>
          <w:rFonts w:ascii="Calibri" w:hAnsi="Calibri" w:cs="Calibri"/>
          <w:sz w:val="22"/>
          <w:szCs w:val="22"/>
          <w:lang w:val="en-US"/>
        </w:rPr>
        <w:t>ATERIAL AND METHODS</w:t>
      </w:r>
      <w:bookmarkEnd w:id="12"/>
    </w:p>
    <w:p w14:paraId="08F01095" w14:textId="37AE6DEC" w:rsidR="00844AA3" w:rsidRDefault="00EA0EB7" w:rsidP="006E21FA">
      <w:pPr>
        <w:pStyle w:val="Kop2"/>
        <w:rPr>
          <w:rFonts w:ascii="Calibri" w:hAnsi="Calibri" w:cs="Calibri"/>
          <w:b/>
          <w:bCs/>
          <w:sz w:val="21"/>
          <w:szCs w:val="21"/>
          <w:lang w:val="en-US"/>
        </w:rPr>
      </w:pPr>
      <w:bookmarkStart w:id="13" w:name="_Toc201242202"/>
      <w:r w:rsidRPr="006E21FA">
        <w:rPr>
          <w:rFonts w:ascii="Calibri" w:hAnsi="Calibri" w:cs="Calibri"/>
          <w:b/>
          <w:bCs/>
          <w:sz w:val="21"/>
          <w:szCs w:val="21"/>
          <w:lang w:val="en-US"/>
        </w:rPr>
        <w:t>Materials</w:t>
      </w:r>
      <w:bookmarkEnd w:id="13"/>
    </w:p>
    <w:p w14:paraId="4097584A" w14:textId="77777777" w:rsidR="00513CAB" w:rsidRDefault="00513CAB" w:rsidP="00ED1428">
      <w:pPr>
        <w:rPr>
          <w:sz w:val="21"/>
          <w:szCs w:val="21"/>
          <w:lang w:val="en-US"/>
        </w:rPr>
      </w:pPr>
      <w:r w:rsidRPr="00513CAB">
        <w:rPr>
          <w:sz w:val="21"/>
          <w:szCs w:val="21"/>
          <w:lang w:val="en-US"/>
        </w:rPr>
        <w:t xml:space="preserve">Sequencing data were obtained from ten clinical fungal isolates. DNA was extracted and PCR-amplified using primers ITS1-F_KYO2a (forward) and RCA95m (reverse), targeting the ITS1–5.8S–ITS2 region (~2,600–3,000 bp). Oxford Nanopore MinION sequencing produced single-end reads in FASTQ format. Raw files per barcode (barcode01–barcode10) were stored in the project_data/ directory. </w:t>
      </w:r>
    </w:p>
    <w:p w14:paraId="1D0CFE73" w14:textId="77777777" w:rsidR="00513CAB" w:rsidRDefault="00513CAB" w:rsidP="00ED1428">
      <w:pPr>
        <w:rPr>
          <w:sz w:val="21"/>
          <w:szCs w:val="21"/>
          <w:lang w:val="en-US"/>
        </w:rPr>
      </w:pPr>
    </w:p>
    <w:p w14:paraId="46093ADF" w14:textId="0922F490" w:rsidR="00513CAB" w:rsidRDefault="00513CAB" w:rsidP="00ED1428">
      <w:pPr>
        <w:rPr>
          <w:sz w:val="21"/>
          <w:szCs w:val="21"/>
          <w:lang w:val="en-US"/>
        </w:rPr>
      </w:pPr>
      <w:r w:rsidRPr="00513CAB">
        <w:rPr>
          <w:sz w:val="21"/>
          <w:szCs w:val="21"/>
          <w:lang w:val="en-US"/>
        </w:rPr>
        <w:t xml:space="preserve">Taxonomic identification was performed using BLAST against the UNITE fungal ITS database (UNITE_public_19.02.2025.fasta.gz, doi:10.15156/BIO/3301227) and GermGenie classification against a custom EMU ITS database (sh_general_release_10.05.2021.tgz, doi:10.15156/BIO/1280049). </w:t>
      </w:r>
    </w:p>
    <w:p w14:paraId="6A13D2A9" w14:textId="77777777" w:rsidR="00513CAB" w:rsidRDefault="00513CAB" w:rsidP="00ED1428">
      <w:pPr>
        <w:rPr>
          <w:sz w:val="21"/>
          <w:szCs w:val="21"/>
          <w:lang w:val="en-US"/>
        </w:rPr>
      </w:pPr>
    </w:p>
    <w:p w14:paraId="045BA90A" w14:textId="77777777" w:rsidR="00513CAB" w:rsidRDefault="00513CAB" w:rsidP="00ED1428">
      <w:pPr>
        <w:rPr>
          <w:sz w:val="21"/>
          <w:szCs w:val="21"/>
          <w:lang w:val="en-US"/>
        </w:rPr>
      </w:pPr>
      <w:r w:rsidRPr="00513CAB">
        <w:rPr>
          <w:sz w:val="21"/>
          <w:szCs w:val="21"/>
          <w:lang w:val="en-US"/>
        </w:rPr>
        <w:t>Reference genomes of ten fungal species (e.g</w:t>
      </w:r>
      <w:r w:rsidRPr="00513CAB">
        <w:rPr>
          <w:i/>
          <w:iCs/>
          <w:sz w:val="21"/>
          <w:szCs w:val="21"/>
          <w:lang w:val="en-US"/>
        </w:rPr>
        <w:t>., Candida albicans</w:t>
      </w:r>
      <w:r w:rsidRPr="00513CAB">
        <w:rPr>
          <w:sz w:val="21"/>
          <w:szCs w:val="21"/>
          <w:lang w:val="en-US"/>
        </w:rPr>
        <w:t xml:space="preserve">, </w:t>
      </w:r>
      <w:r w:rsidRPr="00513CAB">
        <w:rPr>
          <w:i/>
          <w:iCs/>
          <w:sz w:val="21"/>
          <w:szCs w:val="21"/>
          <w:lang w:val="en-US"/>
        </w:rPr>
        <w:t>Lichtheimia ramosa</w:t>
      </w:r>
      <w:r w:rsidRPr="00513CAB">
        <w:rPr>
          <w:sz w:val="21"/>
          <w:szCs w:val="21"/>
          <w:lang w:val="en-US"/>
        </w:rPr>
        <w:t xml:space="preserve">, </w:t>
      </w:r>
      <w:r w:rsidRPr="00787398">
        <w:rPr>
          <w:i/>
          <w:iCs/>
          <w:sz w:val="21"/>
          <w:szCs w:val="21"/>
          <w:lang w:val="en-US"/>
        </w:rPr>
        <w:t>Aspergillus fumigatus</w:t>
      </w:r>
      <w:r w:rsidRPr="00513CAB">
        <w:rPr>
          <w:sz w:val="21"/>
          <w:szCs w:val="21"/>
          <w:lang w:val="en-US"/>
        </w:rPr>
        <w:t>) were retrieved from NCBI RefSeq and stored in the All_fna/ directory for mapping-based validation.</w:t>
      </w:r>
      <w:r>
        <w:rPr>
          <w:sz w:val="21"/>
          <w:szCs w:val="21"/>
          <w:lang w:val="en-US"/>
        </w:rPr>
        <w:t xml:space="preserve"> </w:t>
      </w:r>
    </w:p>
    <w:p w14:paraId="383DAAB8" w14:textId="77777777" w:rsidR="00513CAB" w:rsidRDefault="00513CAB" w:rsidP="00ED1428">
      <w:pPr>
        <w:rPr>
          <w:sz w:val="21"/>
          <w:szCs w:val="21"/>
          <w:lang w:val="en-US"/>
        </w:rPr>
      </w:pPr>
    </w:p>
    <w:p w14:paraId="2B6D7A98" w14:textId="4B708F7E" w:rsidR="00ED1428" w:rsidRPr="00A22F42" w:rsidRDefault="00ED1428" w:rsidP="00ED1428">
      <w:pPr>
        <w:rPr>
          <w:sz w:val="21"/>
          <w:szCs w:val="21"/>
          <w:lang w:val="en-US"/>
        </w:rPr>
      </w:pPr>
      <w:r w:rsidRPr="00ED1428">
        <w:rPr>
          <w:sz w:val="21"/>
          <w:szCs w:val="21"/>
          <w:lang w:val="en-US"/>
        </w:rPr>
        <w:t>These materials are described in more detail in the Materials section of the project repository</w:t>
      </w:r>
      <w:r w:rsidR="00A22F42">
        <w:rPr>
          <w:sz w:val="21"/>
          <w:szCs w:val="21"/>
          <w:lang w:val="en-US"/>
        </w:rPr>
        <w:t xml:space="preserve"> (</w:t>
      </w:r>
      <w:hyperlink r:id="rId12" w:anchor="materials" w:history="1">
        <w:r w:rsidR="00A22F42" w:rsidRPr="00580F77">
          <w:rPr>
            <w:rStyle w:val="Hyperlink"/>
            <w:sz w:val="21"/>
            <w:szCs w:val="21"/>
            <w:lang w:val="en-US"/>
          </w:rPr>
          <w:t>https://github.com/DaanAdriaanse/fungal-ITS-identification-pipeline#materials</w:t>
        </w:r>
      </w:hyperlink>
      <w:r w:rsidR="00A22F42">
        <w:rPr>
          <w:lang w:val="en-US"/>
        </w:rPr>
        <w:t>).</w:t>
      </w:r>
    </w:p>
    <w:p w14:paraId="74A843A5" w14:textId="77777777" w:rsidR="00542A0E" w:rsidRPr="00ED1428" w:rsidRDefault="00542A0E" w:rsidP="00ED1428">
      <w:pPr>
        <w:rPr>
          <w:sz w:val="21"/>
          <w:szCs w:val="21"/>
          <w:lang w:val="en-US"/>
        </w:rPr>
      </w:pPr>
    </w:p>
    <w:p w14:paraId="69678202" w14:textId="0E5DC169" w:rsidR="008C41AD" w:rsidRPr="006E21FA" w:rsidRDefault="008C41AD" w:rsidP="006E21FA">
      <w:pPr>
        <w:pStyle w:val="Kop2"/>
        <w:rPr>
          <w:rFonts w:ascii="Calibri" w:hAnsi="Calibri" w:cs="Calibri"/>
          <w:b/>
          <w:bCs/>
          <w:sz w:val="21"/>
          <w:szCs w:val="21"/>
          <w:lang w:val="en-US"/>
        </w:rPr>
      </w:pPr>
      <w:bookmarkStart w:id="14" w:name="_Toc201242203"/>
      <w:r w:rsidRPr="006E21FA">
        <w:rPr>
          <w:rFonts w:ascii="Calibri" w:hAnsi="Calibri" w:cs="Calibri"/>
          <w:b/>
          <w:bCs/>
          <w:sz w:val="21"/>
          <w:szCs w:val="21"/>
          <w:lang w:val="en-US"/>
        </w:rPr>
        <w:t>Methods</w:t>
      </w:r>
      <w:bookmarkEnd w:id="14"/>
    </w:p>
    <w:p w14:paraId="15D97DD2" w14:textId="77777777" w:rsidR="009C3EE3" w:rsidRPr="009C3EE3" w:rsidRDefault="009C3EE3" w:rsidP="008C41AD">
      <w:pPr>
        <w:rPr>
          <w:b/>
          <w:bCs/>
          <w:sz w:val="21"/>
          <w:szCs w:val="21"/>
          <w:lang w:val="en-US" w:eastAsia="en-US"/>
        </w:rPr>
      </w:pPr>
      <w:r w:rsidRPr="009C3EE3">
        <w:rPr>
          <w:b/>
          <w:bCs/>
          <w:sz w:val="21"/>
          <w:szCs w:val="21"/>
          <w:lang w:val="en-US" w:eastAsia="en-US"/>
        </w:rPr>
        <w:t xml:space="preserve">Process Description </w:t>
      </w:r>
    </w:p>
    <w:p w14:paraId="290CB85B" w14:textId="3E3DCE82" w:rsidR="009C3EE3" w:rsidRPr="00A22F42" w:rsidRDefault="009C3EE3" w:rsidP="008C41AD">
      <w:pPr>
        <w:rPr>
          <w:sz w:val="21"/>
          <w:szCs w:val="21"/>
          <w:lang w:val="en-US" w:eastAsia="en-US"/>
        </w:rPr>
      </w:pPr>
      <w:r w:rsidRPr="009C3EE3">
        <w:rPr>
          <w:sz w:val="21"/>
          <w:szCs w:val="21"/>
          <w:lang w:val="en-US" w:eastAsia="en-US"/>
        </w:rPr>
        <w:t>The full analysis was divided into a preprocessing phase and three subworkflows. Each step is described in detail in the GitHub repository</w:t>
      </w:r>
      <w:r w:rsidR="00A22F42">
        <w:rPr>
          <w:sz w:val="21"/>
          <w:szCs w:val="21"/>
          <w:lang w:val="en-US" w:eastAsia="en-US"/>
        </w:rPr>
        <w:t xml:space="preserve"> (</w:t>
      </w:r>
      <w:hyperlink r:id="rId13" w:history="1">
        <w:r w:rsidRPr="00580F77">
          <w:rPr>
            <w:rStyle w:val="Hyperlink"/>
            <w:sz w:val="21"/>
            <w:szCs w:val="21"/>
            <w:lang w:val="en-US" w:eastAsia="en-US"/>
          </w:rPr>
          <w:t>https://github.com/DaanAdriaanse/fungal-ITS-identification-pipeline</w:t>
        </w:r>
      </w:hyperlink>
      <w:r w:rsidR="00A22F42" w:rsidRPr="00A22F42">
        <w:rPr>
          <w:sz w:val="21"/>
          <w:szCs w:val="21"/>
          <w:lang w:val="en-US" w:eastAsia="en-US"/>
        </w:rPr>
        <w:t>)</w:t>
      </w:r>
      <w:r w:rsidR="00A22F42">
        <w:rPr>
          <w:sz w:val="21"/>
          <w:szCs w:val="21"/>
          <w:lang w:val="en-US" w:eastAsia="en-US"/>
        </w:rPr>
        <w:t>.</w:t>
      </w:r>
    </w:p>
    <w:p w14:paraId="7B273962" w14:textId="77777777" w:rsidR="00477BDC" w:rsidRDefault="00477BDC" w:rsidP="008C41AD">
      <w:pPr>
        <w:rPr>
          <w:sz w:val="21"/>
          <w:szCs w:val="21"/>
          <w:lang w:val="en-US" w:eastAsia="en-US"/>
        </w:rPr>
      </w:pPr>
    </w:p>
    <w:p w14:paraId="3D2F0EEE" w14:textId="77777777" w:rsidR="00477BDC" w:rsidRPr="00E823D3" w:rsidRDefault="009C3EE3" w:rsidP="008C41AD">
      <w:pPr>
        <w:rPr>
          <w:b/>
          <w:bCs/>
          <w:sz w:val="21"/>
          <w:szCs w:val="21"/>
          <w:lang w:val="en-US" w:eastAsia="en-US"/>
        </w:rPr>
      </w:pPr>
      <w:r w:rsidRPr="00E823D3">
        <w:rPr>
          <w:b/>
          <w:bCs/>
          <w:sz w:val="21"/>
          <w:szCs w:val="21"/>
          <w:lang w:val="en-US" w:eastAsia="en-US"/>
        </w:rPr>
        <w:t xml:space="preserve">Preprocessing </w:t>
      </w:r>
    </w:p>
    <w:p w14:paraId="4CE3B03A" w14:textId="6D2163D1" w:rsidR="00E823D3" w:rsidRDefault="009C3EE3" w:rsidP="008C41AD">
      <w:pPr>
        <w:rPr>
          <w:sz w:val="21"/>
          <w:szCs w:val="21"/>
          <w:lang w:val="en-US" w:eastAsia="en-US"/>
        </w:rPr>
      </w:pPr>
      <w:r w:rsidRPr="009C3EE3">
        <w:rPr>
          <w:sz w:val="21"/>
          <w:szCs w:val="21"/>
          <w:lang w:val="en-US" w:eastAsia="en-US"/>
        </w:rPr>
        <w:t>Raw reads were quality filtered using Filtlong and evaluated using NanoPlot. This step is documented in the Preprocessing section of the repository</w:t>
      </w:r>
      <w:r w:rsidR="00CB1453">
        <w:rPr>
          <w:sz w:val="21"/>
          <w:szCs w:val="21"/>
          <w:lang w:val="en-US" w:eastAsia="en-US"/>
        </w:rPr>
        <w:t xml:space="preserve"> (</w:t>
      </w:r>
      <w:hyperlink r:id="rId14" w:anchor="preprocessing-read-filtering--quality-control" w:history="1">
        <w:r w:rsidR="00CB1453" w:rsidRPr="00580F77">
          <w:rPr>
            <w:rStyle w:val="Hyperlink"/>
            <w:sz w:val="21"/>
            <w:szCs w:val="21"/>
            <w:lang w:val="en-US" w:eastAsia="en-US"/>
          </w:rPr>
          <w:t>https://github.com/DaanAdriaanse/fungal-ITS-identification-pipeline#preprocessing-read-filtering--quality-control</w:t>
        </w:r>
      </w:hyperlink>
      <w:r w:rsidR="00CB1453">
        <w:rPr>
          <w:sz w:val="21"/>
          <w:szCs w:val="21"/>
          <w:lang w:val="en-US" w:eastAsia="en-US"/>
        </w:rPr>
        <w:t>).</w:t>
      </w:r>
    </w:p>
    <w:p w14:paraId="26D98BE7" w14:textId="77777777" w:rsidR="0072662E" w:rsidRDefault="0072662E" w:rsidP="008C41AD">
      <w:pPr>
        <w:rPr>
          <w:sz w:val="21"/>
          <w:szCs w:val="21"/>
          <w:lang w:val="en-US" w:eastAsia="en-US"/>
        </w:rPr>
      </w:pPr>
    </w:p>
    <w:p w14:paraId="67DE7830" w14:textId="77777777" w:rsidR="00E823D3" w:rsidRPr="00E823D3" w:rsidRDefault="009C3EE3" w:rsidP="008C41AD">
      <w:pPr>
        <w:rPr>
          <w:b/>
          <w:bCs/>
          <w:sz w:val="21"/>
          <w:szCs w:val="21"/>
          <w:lang w:val="en-US" w:eastAsia="en-US"/>
        </w:rPr>
      </w:pPr>
      <w:r w:rsidRPr="00E823D3">
        <w:rPr>
          <w:b/>
          <w:bCs/>
          <w:sz w:val="21"/>
          <w:szCs w:val="21"/>
          <w:lang w:val="en-US" w:eastAsia="en-US"/>
        </w:rPr>
        <w:t xml:space="preserve">Sub-Workflow 1: Mapping and Specificity </w:t>
      </w:r>
    </w:p>
    <w:p w14:paraId="35773780" w14:textId="777B3303" w:rsidR="0095776D" w:rsidRDefault="009C3EE3" w:rsidP="008C41AD">
      <w:pPr>
        <w:rPr>
          <w:sz w:val="21"/>
          <w:szCs w:val="21"/>
          <w:lang w:val="en-US" w:eastAsia="en-US"/>
        </w:rPr>
      </w:pPr>
      <w:r w:rsidRPr="009C3EE3">
        <w:rPr>
          <w:sz w:val="21"/>
          <w:szCs w:val="21"/>
          <w:lang w:val="en-US" w:eastAsia="en-US"/>
        </w:rPr>
        <w:t>This workflow assessed whether reads mapped to the intended ITS region of their species: Reads were aligned to reference genomes using Minimap2</w:t>
      </w:r>
      <w:r w:rsidR="00C45E93">
        <w:rPr>
          <w:sz w:val="21"/>
          <w:szCs w:val="21"/>
          <w:lang w:val="en-US" w:eastAsia="en-US"/>
        </w:rPr>
        <w:t>.</w:t>
      </w:r>
      <w:r w:rsidRPr="009C3EE3">
        <w:rPr>
          <w:sz w:val="21"/>
          <w:szCs w:val="21"/>
          <w:lang w:val="en-US" w:eastAsia="en-US"/>
        </w:rPr>
        <w:t xml:space="preserve"> Mapping output was processed with Samtools and analyzed with Bedtools</w:t>
      </w:r>
      <w:r w:rsidR="00C45E93">
        <w:rPr>
          <w:sz w:val="21"/>
          <w:szCs w:val="21"/>
          <w:lang w:val="en-US" w:eastAsia="en-US"/>
        </w:rPr>
        <w:t xml:space="preserve"> and</w:t>
      </w:r>
      <w:r w:rsidRPr="009C3EE3">
        <w:rPr>
          <w:sz w:val="21"/>
          <w:szCs w:val="21"/>
          <w:lang w:val="en-US" w:eastAsia="en-US"/>
        </w:rPr>
        <w:t xml:space="preserve"> BLASTn was used to locate primer binding sites </w:t>
      </w:r>
      <w:r w:rsidR="00D739B8">
        <w:rPr>
          <w:sz w:val="21"/>
          <w:szCs w:val="21"/>
          <w:lang w:val="en-US" w:eastAsia="en-US"/>
        </w:rPr>
        <w:t xml:space="preserve">to calculate the percentage of </w:t>
      </w:r>
      <w:r w:rsidR="00C45E93">
        <w:rPr>
          <w:sz w:val="21"/>
          <w:szCs w:val="21"/>
          <w:lang w:val="en-US" w:eastAsia="en-US"/>
        </w:rPr>
        <w:t>specific mapped reads.</w:t>
      </w:r>
      <w:r w:rsidR="0095776D">
        <w:rPr>
          <w:sz w:val="21"/>
          <w:szCs w:val="21"/>
          <w:lang w:val="en-US" w:eastAsia="en-US"/>
        </w:rPr>
        <w:t xml:space="preserve"> </w:t>
      </w:r>
      <w:r w:rsidRPr="009C3EE3">
        <w:rPr>
          <w:sz w:val="21"/>
          <w:szCs w:val="21"/>
          <w:lang w:val="en-US" w:eastAsia="en-US"/>
        </w:rPr>
        <w:t>This workflow is described in Sub-Workflow 1</w:t>
      </w:r>
      <w:r w:rsidR="0095776D">
        <w:rPr>
          <w:sz w:val="21"/>
          <w:szCs w:val="21"/>
          <w:lang w:val="en-US" w:eastAsia="en-US"/>
        </w:rPr>
        <w:t xml:space="preserve"> (</w:t>
      </w:r>
      <w:hyperlink r:id="rId15" w:anchor="sub-workflow-1-mapping--specificity" w:history="1">
        <w:r w:rsidR="0095776D" w:rsidRPr="00580F77">
          <w:rPr>
            <w:rStyle w:val="Hyperlink"/>
            <w:sz w:val="21"/>
            <w:szCs w:val="21"/>
            <w:lang w:val="en-US" w:eastAsia="en-US"/>
          </w:rPr>
          <w:t>https://github.com/DaanAdriaanse/fungal-ITS-identification-pipeline#sub-workflow-1-mapping--specificity</w:t>
        </w:r>
      </w:hyperlink>
      <w:r w:rsidR="0095776D">
        <w:rPr>
          <w:sz w:val="21"/>
          <w:szCs w:val="21"/>
          <w:lang w:val="en-US" w:eastAsia="en-US"/>
        </w:rPr>
        <w:t>).</w:t>
      </w:r>
    </w:p>
    <w:p w14:paraId="2510ABA1" w14:textId="77777777" w:rsidR="00AF70E7" w:rsidRDefault="00AF70E7" w:rsidP="008C41AD">
      <w:pPr>
        <w:rPr>
          <w:sz w:val="21"/>
          <w:szCs w:val="21"/>
          <w:lang w:val="en-US" w:eastAsia="en-US"/>
        </w:rPr>
      </w:pPr>
    </w:p>
    <w:p w14:paraId="0809938C" w14:textId="77777777" w:rsidR="0095776D" w:rsidRPr="0095776D" w:rsidRDefault="009C3EE3" w:rsidP="008C41AD">
      <w:pPr>
        <w:rPr>
          <w:b/>
          <w:bCs/>
          <w:sz w:val="21"/>
          <w:szCs w:val="21"/>
          <w:lang w:val="en-US" w:eastAsia="en-US"/>
        </w:rPr>
      </w:pPr>
      <w:r w:rsidRPr="0095776D">
        <w:rPr>
          <w:b/>
          <w:bCs/>
          <w:sz w:val="21"/>
          <w:szCs w:val="21"/>
          <w:lang w:val="en-US" w:eastAsia="en-US"/>
        </w:rPr>
        <w:t xml:space="preserve">Sub-Workflow 2: GermGenie Classification </w:t>
      </w:r>
    </w:p>
    <w:p w14:paraId="01F38FEA" w14:textId="2D056EB8" w:rsidR="0095776D" w:rsidRDefault="009C3EE3" w:rsidP="008C41AD">
      <w:pPr>
        <w:rPr>
          <w:sz w:val="21"/>
          <w:szCs w:val="21"/>
          <w:lang w:val="en-US" w:eastAsia="en-US"/>
        </w:rPr>
      </w:pPr>
      <w:r w:rsidRPr="009C3EE3">
        <w:rPr>
          <w:sz w:val="21"/>
          <w:szCs w:val="21"/>
          <w:lang w:val="en-US" w:eastAsia="en-US"/>
        </w:rPr>
        <w:t>Unassembled filtered reads were directly classified taxonomically using GermGenie, powered by the EMU classifier and a prebuilt UNITE ITS database. This rapid screening method is explained in Sub-Workflow 2</w:t>
      </w:r>
      <w:r w:rsidR="0036773F">
        <w:rPr>
          <w:sz w:val="21"/>
          <w:szCs w:val="21"/>
          <w:lang w:val="en-US" w:eastAsia="en-US"/>
        </w:rPr>
        <w:t xml:space="preserve"> (</w:t>
      </w:r>
      <w:hyperlink r:id="rId16" w:anchor="sub-workflow-2-germgenie" w:history="1">
        <w:r w:rsidR="0036773F" w:rsidRPr="00580F77">
          <w:rPr>
            <w:rStyle w:val="Hyperlink"/>
            <w:sz w:val="21"/>
            <w:szCs w:val="21"/>
            <w:lang w:val="en-US" w:eastAsia="en-US"/>
          </w:rPr>
          <w:t>https://github.com/DaanAdriaanse/fungal-ITS-identification-pipeline#sub-workflow-2-germgenie</w:t>
        </w:r>
      </w:hyperlink>
      <w:r w:rsidR="0036773F">
        <w:rPr>
          <w:sz w:val="21"/>
          <w:szCs w:val="21"/>
          <w:lang w:val="en-US" w:eastAsia="en-US"/>
        </w:rPr>
        <w:t>).</w:t>
      </w:r>
    </w:p>
    <w:p w14:paraId="19F8BD66" w14:textId="77777777" w:rsidR="0095776D" w:rsidRDefault="0095776D" w:rsidP="008C41AD">
      <w:pPr>
        <w:rPr>
          <w:sz w:val="21"/>
          <w:szCs w:val="21"/>
          <w:lang w:val="en-US" w:eastAsia="en-US"/>
        </w:rPr>
      </w:pPr>
    </w:p>
    <w:p w14:paraId="745EA750" w14:textId="77777777" w:rsidR="0052272E" w:rsidRPr="0052272E" w:rsidRDefault="009C3EE3" w:rsidP="008C41AD">
      <w:pPr>
        <w:rPr>
          <w:b/>
          <w:bCs/>
          <w:sz w:val="21"/>
          <w:szCs w:val="21"/>
          <w:lang w:val="en-US" w:eastAsia="en-US"/>
        </w:rPr>
      </w:pPr>
      <w:r w:rsidRPr="0052272E">
        <w:rPr>
          <w:b/>
          <w:bCs/>
          <w:sz w:val="21"/>
          <w:szCs w:val="21"/>
          <w:lang w:val="en-US" w:eastAsia="en-US"/>
        </w:rPr>
        <w:t>Sub-Workflow 3: Consensus-Based</w:t>
      </w:r>
      <w:r w:rsidR="0036773F" w:rsidRPr="0052272E">
        <w:rPr>
          <w:b/>
          <w:bCs/>
          <w:sz w:val="21"/>
          <w:szCs w:val="21"/>
          <w:lang w:val="en-US" w:eastAsia="en-US"/>
        </w:rPr>
        <w:t>/Convertfasta-based</w:t>
      </w:r>
      <w:r w:rsidRPr="0052272E">
        <w:rPr>
          <w:b/>
          <w:bCs/>
          <w:sz w:val="21"/>
          <w:szCs w:val="21"/>
          <w:lang w:val="en-US" w:eastAsia="en-US"/>
        </w:rPr>
        <w:t xml:space="preserve"> Identification </w:t>
      </w:r>
    </w:p>
    <w:p w14:paraId="34C5A6BC" w14:textId="09F971A3" w:rsidR="0025345A" w:rsidRDefault="009C3EE3" w:rsidP="008C41AD">
      <w:pPr>
        <w:rPr>
          <w:sz w:val="21"/>
          <w:szCs w:val="21"/>
          <w:lang w:val="en-US" w:eastAsia="en-US"/>
        </w:rPr>
      </w:pPr>
      <w:r w:rsidRPr="009C3EE3">
        <w:rPr>
          <w:sz w:val="21"/>
          <w:szCs w:val="21"/>
          <w:lang w:val="en-US" w:eastAsia="en-US"/>
        </w:rPr>
        <w:t>Reads were converted or assembled into consensus sequences and processed via: Flye (de novo assembly)</w:t>
      </w:r>
      <w:r w:rsidR="0025345A">
        <w:rPr>
          <w:sz w:val="21"/>
          <w:szCs w:val="21"/>
          <w:lang w:val="en-US" w:eastAsia="en-US"/>
        </w:rPr>
        <w:t xml:space="preserve">, </w:t>
      </w:r>
      <w:r w:rsidRPr="009C3EE3">
        <w:rPr>
          <w:sz w:val="21"/>
          <w:szCs w:val="21"/>
          <w:lang w:val="en-US" w:eastAsia="en-US"/>
        </w:rPr>
        <w:t>wf-amplicon (variant calling and de novo mode</w:t>
      </w:r>
      <w:r w:rsidR="0052272E">
        <w:rPr>
          <w:sz w:val="21"/>
          <w:szCs w:val="21"/>
          <w:lang w:val="en-US" w:eastAsia="en-US"/>
        </w:rPr>
        <w:t>,</w:t>
      </w:r>
      <w:r w:rsidRPr="009C3EE3">
        <w:rPr>
          <w:sz w:val="21"/>
          <w:szCs w:val="21"/>
          <w:lang w:val="en-US" w:eastAsia="en-US"/>
        </w:rPr>
        <w:t xml:space="preserve"> seqtk (FASTQ </w:t>
      </w:r>
      <w:r w:rsidR="0052272E">
        <w:rPr>
          <w:sz w:val="21"/>
          <w:szCs w:val="21"/>
          <w:lang w:val="en-US" w:eastAsia="en-US"/>
        </w:rPr>
        <w:t>to</w:t>
      </w:r>
      <w:r w:rsidRPr="009C3EE3">
        <w:rPr>
          <w:sz w:val="21"/>
          <w:szCs w:val="21"/>
          <w:lang w:val="en-US" w:eastAsia="en-US"/>
        </w:rPr>
        <w:t xml:space="preserve"> FASTA conversion)</w:t>
      </w:r>
      <w:r w:rsidR="0025345A">
        <w:rPr>
          <w:sz w:val="21"/>
          <w:szCs w:val="21"/>
          <w:lang w:val="en-US" w:eastAsia="en-US"/>
        </w:rPr>
        <w:t xml:space="preserve">. The </w:t>
      </w:r>
      <w:r w:rsidRPr="009C3EE3">
        <w:rPr>
          <w:sz w:val="21"/>
          <w:szCs w:val="21"/>
          <w:lang w:val="en-US" w:eastAsia="en-US"/>
        </w:rPr>
        <w:t>ITS regions were extracted using ITSx, then identified via BLASTn using the UNITE+INSD database. See Sub-Workflow 3 for details</w:t>
      </w:r>
      <w:r w:rsidR="00724F93">
        <w:rPr>
          <w:sz w:val="21"/>
          <w:szCs w:val="21"/>
          <w:lang w:val="en-US" w:eastAsia="en-US"/>
        </w:rPr>
        <w:t xml:space="preserve"> (</w:t>
      </w:r>
      <w:hyperlink r:id="rId17" w:anchor="sub-workflow-3-consensus-basedconvertfasta-based-identification" w:history="1">
        <w:r w:rsidR="00724F93" w:rsidRPr="00580F77">
          <w:rPr>
            <w:rStyle w:val="Hyperlink"/>
            <w:sz w:val="21"/>
            <w:szCs w:val="21"/>
            <w:lang w:val="en-US" w:eastAsia="en-US"/>
          </w:rPr>
          <w:t>https://github.com/DaanAdriaanse/fungal-ITS-identification-pipeline#sub-workflow-3-consensus-basedconvertfasta-based-identification</w:t>
        </w:r>
      </w:hyperlink>
      <w:r w:rsidR="00724F93">
        <w:rPr>
          <w:sz w:val="21"/>
          <w:szCs w:val="21"/>
          <w:lang w:val="en-US" w:eastAsia="en-US"/>
        </w:rPr>
        <w:t>).</w:t>
      </w:r>
    </w:p>
    <w:p w14:paraId="45C586F0" w14:textId="77777777" w:rsidR="0025345A" w:rsidRDefault="0025345A" w:rsidP="008C41AD">
      <w:pPr>
        <w:rPr>
          <w:sz w:val="21"/>
          <w:szCs w:val="21"/>
          <w:lang w:val="en-US" w:eastAsia="en-US"/>
        </w:rPr>
      </w:pPr>
    </w:p>
    <w:p w14:paraId="7AE59C97" w14:textId="7CE76E4D" w:rsidR="00793E3C" w:rsidRPr="00793E3C" w:rsidRDefault="00793E3C" w:rsidP="008C41AD">
      <w:pPr>
        <w:rPr>
          <w:b/>
          <w:bCs/>
          <w:sz w:val="21"/>
          <w:szCs w:val="21"/>
          <w:lang w:val="en-US" w:eastAsia="en-US"/>
        </w:rPr>
      </w:pPr>
      <w:r w:rsidRPr="00793E3C">
        <w:rPr>
          <w:b/>
          <w:bCs/>
          <w:sz w:val="21"/>
          <w:szCs w:val="21"/>
          <w:lang w:val="en-US" w:eastAsia="en-US"/>
        </w:rPr>
        <w:t>S</w:t>
      </w:r>
      <w:r w:rsidR="009C3EE3" w:rsidRPr="00793E3C">
        <w:rPr>
          <w:b/>
          <w:bCs/>
          <w:sz w:val="21"/>
          <w:szCs w:val="21"/>
          <w:lang w:val="en-US" w:eastAsia="en-US"/>
        </w:rPr>
        <w:t xml:space="preserve">tatistical Analysis </w:t>
      </w:r>
    </w:p>
    <w:p w14:paraId="0DFE059D" w14:textId="6E8151C5" w:rsidR="004B3244" w:rsidRDefault="003C2AD9" w:rsidP="008C41AD">
      <w:pPr>
        <w:rPr>
          <w:sz w:val="21"/>
          <w:szCs w:val="21"/>
          <w:lang w:val="en-US" w:eastAsia="en-US"/>
        </w:rPr>
      </w:pPr>
      <w:r w:rsidRPr="003C2AD9">
        <w:rPr>
          <w:sz w:val="21"/>
          <w:szCs w:val="21"/>
          <w:lang w:val="en-US" w:eastAsia="en-US"/>
        </w:rPr>
        <w:t xml:space="preserve">This project focused on the implementation and validation of a bioinformatics pipeline for fungal ITS identification. As no hypothesis testing or experimental comparison between treatment groups was performed, traditional statistical analysis and power calculations were not applicable. Instead, performance and accuracy were evaluated descriptively using per-sample read-based values. These included the percentage of reads mapping to the expected ITS region (mapping specificity), the relative abundance of </w:t>
      </w:r>
      <w:r w:rsidRPr="003C2AD9">
        <w:rPr>
          <w:sz w:val="21"/>
          <w:szCs w:val="21"/>
          <w:lang w:val="en-US" w:eastAsia="en-US"/>
        </w:rPr>
        <w:lastRenderedPageBreak/>
        <w:t>taxa detected by EMU classification, and BLAST-based identification values. Results were interpreted per barcode to assess the precision, specificity and overall reliability of each subworkflow in the pipeline.</w:t>
      </w:r>
    </w:p>
    <w:p w14:paraId="6C14A16A" w14:textId="77777777" w:rsidR="003C2AD9" w:rsidRDefault="003C2AD9" w:rsidP="008C41AD">
      <w:pPr>
        <w:rPr>
          <w:sz w:val="21"/>
          <w:szCs w:val="21"/>
          <w:lang w:val="en-US" w:eastAsia="en-US"/>
        </w:rPr>
      </w:pPr>
    </w:p>
    <w:p w14:paraId="573A39D9" w14:textId="77777777" w:rsidR="002D0907" w:rsidRPr="0036318B" w:rsidRDefault="009C3EE3" w:rsidP="008C41AD">
      <w:pPr>
        <w:rPr>
          <w:b/>
          <w:bCs/>
          <w:sz w:val="21"/>
          <w:szCs w:val="21"/>
          <w:lang w:val="en-US" w:eastAsia="en-US"/>
        </w:rPr>
      </w:pPr>
      <w:r w:rsidRPr="0036318B">
        <w:rPr>
          <w:b/>
          <w:bCs/>
          <w:sz w:val="21"/>
          <w:szCs w:val="21"/>
          <w:lang w:val="en-US" w:eastAsia="en-US"/>
        </w:rPr>
        <w:t xml:space="preserve">Programming and Script Availability </w:t>
      </w:r>
    </w:p>
    <w:p w14:paraId="0456EF5B" w14:textId="1280116F" w:rsidR="0036318B" w:rsidRDefault="005E0C66" w:rsidP="008C41AD">
      <w:pPr>
        <w:rPr>
          <w:sz w:val="21"/>
          <w:szCs w:val="21"/>
          <w:lang w:val="en-US" w:eastAsia="en-US"/>
        </w:rPr>
      </w:pPr>
      <w:r w:rsidRPr="005E0C66">
        <w:rPr>
          <w:sz w:val="21"/>
          <w:szCs w:val="21"/>
          <w:lang w:val="en-US" w:eastAsia="en-US"/>
        </w:rPr>
        <w:t>All scripts and environments used in this project are fully documented in the GitHub repository. Each preprocessing step and subworkflow includes its own command-line scripts, Conda installation instructions, and organized input/output folder structure. This setup allows the pipeline to be run step-by-step or adapted for future projects.</w:t>
      </w:r>
    </w:p>
    <w:p w14:paraId="66F1BB3D" w14:textId="77777777" w:rsidR="004C66C9" w:rsidRDefault="004C66C9" w:rsidP="008C41AD">
      <w:pPr>
        <w:rPr>
          <w:sz w:val="21"/>
          <w:szCs w:val="21"/>
          <w:lang w:val="en-US" w:eastAsia="en-US"/>
        </w:rPr>
      </w:pPr>
    </w:p>
    <w:p w14:paraId="119FE33E" w14:textId="62A905A6" w:rsidR="005E0C66" w:rsidRPr="004C66C9" w:rsidRDefault="009C3EE3" w:rsidP="008C41AD">
      <w:pPr>
        <w:rPr>
          <w:b/>
          <w:bCs/>
          <w:sz w:val="21"/>
          <w:szCs w:val="21"/>
          <w:lang w:val="en-US" w:eastAsia="en-US"/>
        </w:rPr>
      </w:pPr>
      <w:r w:rsidRPr="004C66C9">
        <w:rPr>
          <w:b/>
          <w:bCs/>
          <w:sz w:val="21"/>
          <w:szCs w:val="21"/>
          <w:lang w:val="en-US" w:eastAsia="en-US"/>
        </w:rPr>
        <w:t xml:space="preserve">Implementation </w:t>
      </w:r>
    </w:p>
    <w:p w14:paraId="28E819AC" w14:textId="1F6AEAEC" w:rsidR="00A802C0" w:rsidRDefault="00297A8B" w:rsidP="008C41AD">
      <w:pPr>
        <w:rPr>
          <w:sz w:val="21"/>
          <w:szCs w:val="21"/>
          <w:lang w:val="en-US" w:eastAsia="en-US"/>
        </w:rPr>
      </w:pPr>
      <w:r w:rsidRPr="00297A8B">
        <w:rPr>
          <w:sz w:val="21"/>
          <w:szCs w:val="21"/>
          <w:lang w:val="en-US" w:eastAsia="en-US"/>
        </w:rPr>
        <w:t xml:space="preserve">This project involved the development of a modular command-line pipeline for fungal ITS identification based on Nanopore amplicon data. The pipeline was structured in separate parts that could be executed independently or as a full workflow. The main components included preprocessing for read filtering and quality control, mapping to fungal reference genomes, and downstream validation of mapped regions. Mapping results were processed further using Samtools to sort, index and extract aligned reads. Bedtools was then used to convert BAM files to BED format and to merge or summarize mapped genomic regions. Taxonomic classification was carried out using GermGenie, which applies the EMU classifier with a prebuilt UNITE ITS database. </w:t>
      </w:r>
      <w:r w:rsidR="00224961">
        <w:rPr>
          <w:sz w:val="21"/>
          <w:szCs w:val="21"/>
          <w:lang w:val="en-US" w:eastAsia="en-US"/>
        </w:rPr>
        <w:t xml:space="preserve">Also </w:t>
      </w:r>
      <w:r w:rsidRPr="00297A8B">
        <w:rPr>
          <w:sz w:val="21"/>
          <w:szCs w:val="21"/>
          <w:lang w:val="en-US" w:eastAsia="en-US"/>
        </w:rPr>
        <w:t>a consensus-based identification workflow was set up using Flye and wf-amplicon, both in de novo and reference-guided modes. All FASTA sequences, whether generated by assembly or direct conversion, were processed using ITSx to extract ITS1 and ITS2 regions. These were then identified through BLASTn searches against the UNITE+INSD database.</w:t>
      </w:r>
    </w:p>
    <w:p w14:paraId="450D4A76" w14:textId="77777777" w:rsidR="003D1437" w:rsidRDefault="003D1437" w:rsidP="008C41AD">
      <w:pPr>
        <w:rPr>
          <w:sz w:val="21"/>
          <w:szCs w:val="21"/>
          <w:lang w:val="en-US" w:eastAsia="en-US"/>
        </w:rPr>
      </w:pPr>
    </w:p>
    <w:p w14:paraId="54FB4763" w14:textId="143D6ED5" w:rsidR="00E42F6E" w:rsidRPr="00F344F5" w:rsidRDefault="00E42F6E" w:rsidP="00E42F6E">
      <w:pPr>
        <w:pStyle w:val="Kop1"/>
        <w:rPr>
          <w:sz w:val="22"/>
          <w:szCs w:val="22"/>
          <w:lang w:val="en-US"/>
        </w:rPr>
      </w:pPr>
      <w:bookmarkStart w:id="15" w:name="_Toc201242204"/>
      <w:r w:rsidRPr="00F344F5">
        <w:rPr>
          <w:rFonts w:ascii="Calibri" w:hAnsi="Calibri" w:cs="Calibri"/>
          <w:sz w:val="22"/>
          <w:szCs w:val="22"/>
          <w:lang w:val="en-US"/>
        </w:rPr>
        <w:t>R</w:t>
      </w:r>
      <w:r w:rsidR="00750B74">
        <w:rPr>
          <w:rFonts w:ascii="Calibri" w:hAnsi="Calibri" w:cs="Calibri"/>
          <w:sz w:val="22"/>
          <w:szCs w:val="22"/>
          <w:lang w:val="en-US"/>
        </w:rPr>
        <w:t>ESULTS</w:t>
      </w:r>
      <w:bookmarkEnd w:id="15"/>
    </w:p>
    <w:p w14:paraId="6F5E12ED" w14:textId="1E3C5F0E" w:rsidR="00E42F6E" w:rsidRPr="006E21FA" w:rsidRDefault="00D61BD0" w:rsidP="006E21FA">
      <w:pPr>
        <w:pStyle w:val="Kop2"/>
        <w:rPr>
          <w:rFonts w:ascii="Calibri" w:hAnsi="Calibri" w:cs="Calibri"/>
          <w:b/>
          <w:bCs/>
          <w:sz w:val="21"/>
          <w:szCs w:val="21"/>
          <w:lang w:val="en-US"/>
        </w:rPr>
      </w:pPr>
      <w:bookmarkStart w:id="16" w:name="_Toc201242205"/>
      <w:r w:rsidRPr="006E21FA">
        <w:rPr>
          <w:rFonts w:ascii="Calibri" w:hAnsi="Calibri" w:cs="Calibri"/>
          <w:b/>
          <w:bCs/>
          <w:sz w:val="21"/>
          <w:szCs w:val="21"/>
          <w:lang w:val="en-US"/>
        </w:rPr>
        <w:t>Read quality and length assessment using NanoPlot and Filtlong</w:t>
      </w:r>
      <w:bookmarkEnd w:id="16"/>
    </w:p>
    <w:p w14:paraId="7995A411" w14:textId="4125005F" w:rsidR="007A6FDB" w:rsidRPr="00351431" w:rsidRDefault="00232CBB" w:rsidP="00351431">
      <w:pPr>
        <w:rPr>
          <w:sz w:val="21"/>
          <w:szCs w:val="21"/>
          <w:lang w:val="en-US" w:eastAsia="en-US"/>
        </w:rPr>
      </w:pPr>
      <w:r w:rsidRPr="00232CBB">
        <w:rPr>
          <w:sz w:val="21"/>
          <w:szCs w:val="21"/>
          <w:lang w:val="en-US" w:eastAsia="en-US"/>
        </w:rPr>
        <w:t>Nanopore sequencing was performed on PCR-amplified ITS regions from ten clinical fungal isolates. The raw sequencing output (FASTQ files) was first analyzed using NanoPlot to visualize the distribution of read length and Phred quality scores per sample. This initial quality check revealed considerable variation in both parameters across the datasets This filtering step was performed to eliminate low-quality or short reads that could compromise taxonomic classification, while still maintaining sufficient data coverage per isolate.</w:t>
      </w:r>
    </w:p>
    <w:p w14:paraId="07C54179" w14:textId="77777777" w:rsidR="007A6FDB" w:rsidRDefault="007A6FDB" w:rsidP="007A6FDB">
      <w:pPr>
        <w:jc w:val="both"/>
        <w:rPr>
          <w:lang w:val="en-US" w:eastAsia="en-US"/>
        </w:rPr>
      </w:pPr>
    </w:p>
    <w:p w14:paraId="0D5C3A24" w14:textId="484BDB0D" w:rsidR="0025331A" w:rsidRPr="00A945B3" w:rsidRDefault="00A945B3" w:rsidP="00A945B3">
      <w:pPr>
        <w:pStyle w:val="Bijschrift"/>
        <w:rPr>
          <w:rFonts w:ascii="Calibri" w:hAnsi="Calibri" w:cs="Calibri"/>
          <w:noProof/>
          <w:sz w:val="16"/>
          <w:szCs w:val="16"/>
          <w:lang w:val="en-US" w:eastAsia="en-US"/>
        </w:rPr>
      </w:pPr>
      <w:r w:rsidRPr="00A945B3">
        <w:rPr>
          <w:rFonts w:ascii="Calibri" w:hAnsi="Calibri" w:cs="Calibri"/>
          <w:sz w:val="16"/>
          <w:szCs w:val="16"/>
          <w:lang w:val="en-US"/>
        </w:rPr>
        <w:t xml:space="preserve">Table </w:t>
      </w:r>
      <w:r w:rsidRPr="00A945B3">
        <w:rPr>
          <w:rFonts w:ascii="Calibri" w:hAnsi="Calibri" w:cs="Calibri"/>
          <w:sz w:val="16"/>
          <w:szCs w:val="16"/>
        </w:rPr>
        <w:fldChar w:fldCharType="begin"/>
      </w:r>
      <w:r w:rsidRPr="00A945B3">
        <w:rPr>
          <w:rFonts w:ascii="Calibri" w:hAnsi="Calibri" w:cs="Calibri"/>
          <w:sz w:val="16"/>
          <w:szCs w:val="16"/>
          <w:lang w:val="en-US"/>
        </w:rPr>
        <w:instrText xml:space="preserve"> SEQ Table \* ARABIC </w:instrText>
      </w:r>
      <w:r w:rsidRPr="00A945B3">
        <w:rPr>
          <w:rFonts w:ascii="Calibri" w:hAnsi="Calibri" w:cs="Calibri"/>
          <w:sz w:val="16"/>
          <w:szCs w:val="16"/>
        </w:rPr>
        <w:fldChar w:fldCharType="separate"/>
      </w:r>
      <w:r w:rsidR="00337648">
        <w:rPr>
          <w:rFonts w:ascii="Calibri" w:hAnsi="Calibri" w:cs="Calibri"/>
          <w:noProof/>
          <w:sz w:val="16"/>
          <w:szCs w:val="16"/>
          <w:lang w:val="en-US"/>
        </w:rPr>
        <w:t>1</w:t>
      </w:r>
      <w:r w:rsidRPr="00A945B3">
        <w:rPr>
          <w:rFonts w:ascii="Calibri" w:hAnsi="Calibri" w:cs="Calibri"/>
          <w:sz w:val="16"/>
          <w:szCs w:val="16"/>
        </w:rPr>
        <w:fldChar w:fldCharType="end"/>
      </w:r>
      <w:r w:rsidRPr="00A945B3">
        <w:rPr>
          <w:rFonts w:ascii="Calibri" w:hAnsi="Calibri" w:cs="Calibri"/>
          <w:sz w:val="16"/>
          <w:szCs w:val="16"/>
          <w:lang w:val="en-US"/>
        </w:rPr>
        <w:t xml:space="preserve">: </w:t>
      </w:r>
      <w:r>
        <w:rPr>
          <w:rFonts w:ascii="Calibri" w:hAnsi="Calibri" w:cs="Calibri"/>
          <w:sz w:val="16"/>
          <w:szCs w:val="16"/>
          <w:lang w:val="en-US" w:eastAsia="en-US"/>
        </w:rPr>
        <w:t>T</w:t>
      </w:r>
      <w:r w:rsidRPr="00A945B3">
        <w:rPr>
          <w:rFonts w:ascii="Calibri" w:hAnsi="Calibri" w:cs="Calibri"/>
          <w:sz w:val="16"/>
          <w:szCs w:val="16"/>
          <w:lang w:val="en-US" w:eastAsia="en-US"/>
        </w:rPr>
        <w:t xml:space="preserve">he mean read length, average Phred quality score, and total number of reads per isolate, both before and after Filtlong filtering. </w:t>
      </w:r>
    </w:p>
    <w:p w14:paraId="3A5F3435" w14:textId="65D01B9B" w:rsidR="00E0614B" w:rsidRPr="007A6FDB" w:rsidRDefault="004F6F01" w:rsidP="007A6FDB">
      <w:pPr>
        <w:jc w:val="both"/>
        <w:rPr>
          <w:lang w:val="en-US" w:eastAsia="en-US"/>
        </w:rPr>
      </w:pPr>
      <w:r w:rsidRPr="004F6F01">
        <w:rPr>
          <w:noProof/>
          <w:lang w:val="en-US" w:eastAsia="en-US"/>
        </w:rPr>
        <w:drawing>
          <wp:inline distT="0" distB="0" distL="0" distR="0" wp14:anchorId="7BBFF92C" wp14:editId="4EB4A43D">
            <wp:extent cx="5760720" cy="2631440"/>
            <wp:effectExtent l="0" t="0" r="0" b="0"/>
            <wp:docPr id="112083810"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3810" name="Afbeelding 1" descr="Afbeelding met tekst, schermopname, nummer, Lettertype&#10;&#10;Door AI gegenereerde inhoud is mogelijk onjuist."/>
                    <pic:cNvPicPr/>
                  </pic:nvPicPr>
                  <pic:blipFill>
                    <a:blip r:embed="rId18"/>
                    <a:stretch>
                      <a:fillRect/>
                    </a:stretch>
                  </pic:blipFill>
                  <pic:spPr>
                    <a:xfrm>
                      <a:off x="0" y="0"/>
                      <a:ext cx="5760720" cy="2631440"/>
                    </a:xfrm>
                    <a:prstGeom prst="rect">
                      <a:avLst/>
                    </a:prstGeom>
                  </pic:spPr>
                </pic:pic>
              </a:graphicData>
            </a:graphic>
          </wp:inline>
        </w:drawing>
      </w:r>
    </w:p>
    <w:p w14:paraId="6EB1BC6D" w14:textId="21157988" w:rsidR="00AD0C93" w:rsidRDefault="00962BF9" w:rsidP="00361F57">
      <w:pPr>
        <w:rPr>
          <w:sz w:val="21"/>
          <w:szCs w:val="21"/>
          <w:lang w:val="en-US" w:eastAsia="en-US"/>
        </w:rPr>
      </w:pPr>
      <w:r w:rsidRPr="00962BF9">
        <w:rPr>
          <w:sz w:val="21"/>
          <w:szCs w:val="21"/>
          <w:lang w:val="en-US" w:eastAsia="en-US"/>
        </w:rPr>
        <w:t xml:space="preserve">Mean read lengths after filtering varied between 1,910 and 4,360 bp, confirming the success of long-range PCR in most samples. </w:t>
      </w:r>
      <w:r w:rsidRPr="00BD3C85">
        <w:rPr>
          <w:i/>
          <w:iCs/>
          <w:sz w:val="21"/>
          <w:szCs w:val="21"/>
          <w:lang w:val="en-US" w:eastAsia="en-US"/>
        </w:rPr>
        <w:t>C</w:t>
      </w:r>
      <w:r w:rsidR="00495124">
        <w:rPr>
          <w:i/>
          <w:iCs/>
          <w:sz w:val="21"/>
          <w:szCs w:val="21"/>
          <w:lang w:val="en-US" w:eastAsia="en-US"/>
        </w:rPr>
        <w:t>.</w:t>
      </w:r>
      <w:r w:rsidRPr="00BD3C85">
        <w:rPr>
          <w:i/>
          <w:iCs/>
          <w:sz w:val="21"/>
          <w:szCs w:val="21"/>
          <w:lang w:val="en-US" w:eastAsia="en-US"/>
        </w:rPr>
        <w:t xml:space="preserve"> albicans</w:t>
      </w:r>
      <w:r w:rsidRPr="00962BF9">
        <w:rPr>
          <w:sz w:val="21"/>
          <w:szCs w:val="21"/>
          <w:lang w:val="en-US" w:eastAsia="en-US"/>
        </w:rPr>
        <w:t xml:space="preserve"> and </w:t>
      </w:r>
      <w:r w:rsidRPr="00BD3C85">
        <w:rPr>
          <w:i/>
          <w:iCs/>
          <w:sz w:val="21"/>
          <w:szCs w:val="21"/>
          <w:lang w:val="en-US" w:eastAsia="en-US"/>
        </w:rPr>
        <w:t>C</w:t>
      </w:r>
      <w:r w:rsidR="00495124">
        <w:rPr>
          <w:i/>
          <w:iCs/>
          <w:sz w:val="21"/>
          <w:szCs w:val="21"/>
          <w:lang w:val="en-US" w:eastAsia="en-US"/>
        </w:rPr>
        <w:t>.</w:t>
      </w:r>
      <w:r w:rsidRPr="00BD3C85">
        <w:rPr>
          <w:i/>
          <w:iCs/>
          <w:sz w:val="21"/>
          <w:szCs w:val="21"/>
          <w:lang w:val="en-US" w:eastAsia="en-US"/>
        </w:rPr>
        <w:t xml:space="preserve"> neoformans</w:t>
      </w:r>
      <w:r w:rsidRPr="00962BF9">
        <w:rPr>
          <w:sz w:val="21"/>
          <w:szCs w:val="21"/>
          <w:lang w:val="en-US" w:eastAsia="en-US"/>
        </w:rPr>
        <w:t xml:space="preserve"> showed the longest filtered reads (&gt;3900 bp), reflecting efficient amplification and high-quality template DNA. </w:t>
      </w:r>
      <w:r w:rsidRPr="00BD3C85">
        <w:rPr>
          <w:i/>
          <w:iCs/>
          <w:sz w:val="21"/>
          <w:szCs w:val="21"/>
          <w:lang w:val="en-US" w:eastAsia="en-US"/>
        </w:rPr>
        <w:t>A</w:t>
      </w:r>
      <w:r w:rsidR="00495124">
        <w:rPr>
          <w:i/>
          <w:iCs/>
          <w:sz w:val="21"/>
          <w:szCs w:val="21"/>
          <w:lang w:val="en-US" w:eastAsia="en-US"/>
        </w:rPr>
        <w:t>.</w:t>
      </w:r>
      <w:r w:rsidRPr="00BD3C85">
        <w:rPr>
          <w:i/>
          <w:iCs/>
          <w:sz w:val="21"/>
          <w:szCs w:val="21"/>
          <w:lang w:val="en-US" w:eastAsia="en-US"/>
        </w:rPr>
        <w:t xml:space="preserve"> fumigatus</w:t>
      </w:r>
      <w:r w:rsidRPr="00962BF9">
        <w:rPr>
          <w:sz w:val="21"/>
          <w:szCs w:val="21"/>
          <w:lang w:val="en-US" w:eastAsia="en-US"/>
        </w:rPr>
        <w:t xml:space="preserve"> and </w:t>
      </w:r>
      <w:r w:rsidRPr="00BD3C85">
        <w:rPr>
          <w:i/>
          <w:iCs/>
          <w:sz w:val="21"/>
          <w:szCs w:val="21"/>
          <w:lang w:val="en-US" w:eastAsia="en-US"/>
        </w:rPr>
        <w:t>A</w:t>
      </w:r>
      <w:r w:rsidR="00495124">
        <w:rPr>
          <w:i/>
          <w:iCs/>
          <w:sz w:val="21"/>
          <w:szCs w:val="21"/>
          <w:lang w:val="en-US" w:eastAsia="en-US"/>
        </w:rPr>
        <w:t>.</w:t>
      </w:r>
      <w:r w:rsidRPr="00BD3C85">
        <w:rPr>
          <w:i/>
          <w:iCs/>
          <w:sz w:val="21"/>
          <w:szCs w:val="21"/>
          <w:lang w:val="en-US" w:eastAsia="en-US"/>
        </w:rPr>
        <w:t xml:space="preserve"> flavus</w:t>
      </w:r>
      <w:r w:rsidRPr="00962BF9">
        <w:rPr>
          <w:sz w:val="21"/>
          <w:szCs w:val="21"/>
          <w:lang w:val="en-US" w:eastAsia="en-US"/>
        </w:rPr>
        <w:t xml:space="preserve"> had shorter average read lengths, yet their filtered datasets still met the quality requirements for ITS identification. The isolate </w:t>
      </w:r>
      <w:r w:rsidRPr="00BD3C85">
        <w:rPr>
          <w:i/>
          <w:iCs/>
          <w:sz w:val="21"/>
          <w:szCs w:val="21"/>
          <w:lang w:val="en-US" w:eastAsia="en-US"/>
        </w:rPr>
        <w:t>T</w:t>
      </w:r>
      <w:r w:rsidR="00495124">
        <w:rPr>
          <w:i/>
          <w:iCs/>
          <w:sz w:val="21"/>
          <w:szCs w:val="21"/>
          <w:lang w:val="en-US" w:eastAsia="en-US"/>
        </w:rPr>
        <w:t xml:space="preserve">. </w:t>
      </w:r>
      <w:r w:rsidRPr="00BD3C85">
        <w:rPr>
          <w:i/>
          <w:iCs/>
          <w:sz w:val="21"/>
          <w:szCs w:val="21"/>
          <w:lang w:val="en-US" w:eastAsia="en-US"/>
        </w:rPr>
        <w:t>indotineae</w:t>
      </w:r>
      <w:r w:rsidRPr="00962BF9">
        <w:rPr>
          <w:sz w:val="21"/>
          <w:szCs w:val="21"/>
          <w:lang w:val="en-US" w:eastAsia="en-US"/>
        </w:rPr>
        <w:t xml:space="preserve"> yielded the highest total read count, both before (39,579 reads) and after filtering </w:t>
      </w:r>
      <w:r w:rsidRPr="00962BF9">
        <w:rPr>
          <w:sz w:val="21"/>
          <w:szCs w:val="21"/>
          <w:lang w:val="en-US" w:eastAsia="en-US"/>
        </w:rPr>
        <w:lastRenderedPageBreak/>
        <w:t xml:space="preserve">(22,343 reads), and also achieved the highest mean Phred score (21.0), indicating </w:t>
      </w:r>
      <w:r w:rsidR="00957564">
        <w:rPr>
          <w:sz w:val="21"/>
          <w:szCs w:val="21"/>
          <w:lang w:val="en-US" w:eastAsia="en-US"/>
        </w:rPr>
        <w:t>excellence</w:t>
      </w:r>
      <w:r w:rsidRPr="00962BF9">
        <w:rPr>
          <w:sz w:val="21"/>
          <w:szCs w:val="21"/>
          <w:lang w:val="en-US" w:eastAsia="en-US"/>
        </w:rPr>
        <w:t xml:space="preserve"> sequencing performance.</w:t>
      </w:r>
    </w:p>
    <w:p w14:paraId="782D5CE6" w14:textId="05DD819C" w:rsidR="002343F2" w:rsidRDefault="002343F2" w:rsidP="00361F57">
      <w:pPr>
        <w:rPr>
          <w:sz w:val="21"/>
          <w:szCs w:val="21"/>
          <w:lang w:val="en-US" w:eastAsia="en-US"/>
        </w:rPr>
      </w:pPr>
    </w:p>
    <w:p w14:paraId="1B1A8349" w14:textId="6477ADFB" w:rsidR="002343F2" w:rsidRDefault="002343F2" w:rsidP="00361F57">
      <w:pPr>
        <w:rPr>
          <w:sz w:val="21"/>
          <w:szCs w:val="21"/>
          <w:lang w:val="en-US" w:eastAsia="en-US"/>
        </w:rPr>
      </w:pPr>
      <w:r w:rsidRPr="002343F2">
        <w:rPr>
          <w:sz w:val="21"/>
          <w:szCs w:val="21"/>
          <w:lang w:val="en-US" w:eastAsia="en-US"/>
        </w:rPr>
        <w:t>these results show that all filtered datasets had adequate read quality and length to support accurate identification of the ITS region and consistent species-level classification. This highlights the reliability of the sequencing and filtering workflow across a range of clinically relevant fungal isolates</w:t>
      </w:r>
    </w:p>
    <w:p w14:paraId="4DDA4877" w14:textId="365992ED" w:rsidR="00962BF9" w:rsidRDefault="00962BF9" w:rsidP="00361F57">
      <w:pPr>
        <w:rPr>
          <w:sz w:val="21"/>
          <w:szCs w:val="21"/>
          <w:lang w:val="en-US" w:eastAsia="en-US"/>
        </w:rPr>
      </w:pPr>
    </w:p>
    <w:p w14:paraId="565A1C23" w14:textId="05453024" w:rsidR="00BB1BB8" w:rsidRPr="006E21FA" w:rsidRDefault="004D04B9" w:rsidP="006E21FA">
      <w:pPr>
        <w:pStyle w:val="Kop2"/>
        <w:rPr>
          <w:rFonts w:ascii="Calibri" w:hAnsi="Calibri" w:cs="Calibri"/>
          <w:b/>
          <w:bCs/>
          <w:sz w:val="21"/>
          <w:szCs w:val="21"/>
          <w:lang w:val="en-US" w:eastAsia="en-US"/>
        </w:rPr>
      </w:pPr>
      <w:bookmarkStart w:id="17" w:name="_Toc201242206"/>
      <w:r w:rsidRPr="006E21FA">
        <w:rPr>
          <w:rFonts w:ascii="Calibri" w:hAnsi="Calibri" w:cs="Calibri"/>
          <w:b/>
          <w:bCs/>
          <w:sz w:val="21"/>
          <w:szCs w:val="21"/>
          <w:lang w:val="en-US" w:eastAsia="en-US"/>
        </w:rPr>
        <w:t>Taxonomic classification using GermGenie</w:t>
      </w:r>
      <w:bookmarkEnd w:id="17"/>
    </w:p>
    <w:p w14:paraId="7DB086FA" w14:textId="34836BD0" w:rsidR="002A349C" w:rsidRDefault="002B0955" w:rsidP="00361F57">
      <w:pPr>
        <w:rPr>
          <w:sz w:val="21"/>
          <w:szCs w:val="21"/>
          <w:lang w:val="en-US" w:eastAsia="en-US"/>
        </w:rPr>
      </w:pPr>
      <w:r w:rsidRPr="002B0955">
        <w:rPr>
          <w:sz w:val="21"/>
          <w:szCs w:val="21"/>
          <w:lang w:val="en-US" w:eastAsia="en-US"/>
        </w:rPr>
        <w:t>Following quality control, taxonomic classification was performed using a modified version of GermGenie, adapted for fungal ITS sequence data. The top four most abundant fungal species per sample, as classified by GermGenie</w:t>
      </w:r>
      <w:r w:rsidR="0025331A">
        <w:rPr>
          <w:sz w:val="21"/>
          <w:szCs w:val="21"/>
          <w:lang w:val="en-US" w:eastAsia="en-US"/>
        </w:rPr>
        <w:t xml:space="preserve"> </w:t>
      </w:r>
      <w:r w:rsidRPr="002B0955">
        <w:rPr>
          <w:sz w:val="21"/>
          <w:szCs w:val="21"/>
          <w:lang w:val="en-US" w:eastAsia="en-US"/>
        </w:rPr>
        <w:t xml:space="preserve">are visualized in Figure </w:t>
      </w:r>
      <w:r w:rsidR="0025331A">
        <w:rPr>
          <w:sz w:val="21"/>
          <w:szCs w:val="21"/>
          <w:lang w:val="en-US" w:eastAsia="en-US"/>
        </w:rPr>
        <w:t>4</w:t>
      </w:r>
      <w:r w:rsidRPr="002B0955">
        <w:rPr>
          <w:sz w:val="21"/>
          <w:szCs w:val="21"/>
          <w:lang w:val="en-US" w:eastAsia="en-US"/>
        </w:rPr>
        <w:t>. These results demonstrate that the tool was able to differentiate a variety of fungal taxa across the ten clinical isolates; however, its accuracy in species-level identification was inconsistent.</w:t>
      </w:r>
    </w:p>
    <w:p w14:paraId="467F1366" w14:textId="1AB61F13" w:rsidR="00D547CE" w:rsidRDefault="00D547CE" w:rsidP="00361F57">
      <w:pPr>
        <w:rPr>
          <w:sz w:val="21"/>
          <w:szCs w:val="21"/>
          <w:lang w:val="en-US" w:eastAsia="en-US"/>
        </w:rPr>
      </w:pPr>
    </w:p>
    <w:p w14:paraId="59551D41" w14:textId="23F09CE1" w:rsidR="00AD0C93" w:rsidRPr="002A349C" w:rsidRDefault="002A349C" w:rsidP="002A349C">
      <w:pPr>
        <w:pStyle w:val="Bijschrift"/>
        <w:rPr>
          <w:sz w:val="21"/>
          <w:szCs w:val="21"/>
          <w:lang w:val="en-US" w:eastAsia="en-US"/>
        </w:rPr>
      </w:pPr>
      <w:r w:rsidRPr="002A349C">
        <w:rPr>
          <w:rFonts w:ascii="Calibri" w:hAnsi="Calibri" w:cs="Calibri"/>
          <w:noProof/>
          <w:sz w:val="20"/>
          <w:szCs w:val="20"/>
          <w:lang w:val="en-US" w:eastAsia="en-US"/>
        </w:rPr>
        <w:drawing>
          <wp:anchor distT="0" distB="0" distL="114300" distR="114300" simplePos="0" relativeHeight="251648000" behindDoc="0" locked="0" layoutInCell="1" allowOverlap="1" wp14:anchorId="3AB91A4C" wp14:editId="02081626">
            <wp:simplePos x="0" y="0"/>
            <wp:positionH relativeFrom="margin">
              <wp:align>left</wp:align>
            </wp:positionH>
            <wp:positionV relativeFrom="paragraph">
              <wp:posOffset>493395</wp:posOffset>
            </wp:positionV>
            <wp:extent cx="4189095" cy="2096770"/>
            <wp:effectExtent l="0" t="0" r="1905" b="0"/>
            <wp:wrapTopAndBottom/>
            <wp:docPr id="1771001854" name="Afbeelding 1" descr="Afbeelding met tekst, schermopname, diagram, Kleurrijkheid&#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1854" name="Afbeelding 1" descr="Afbeelding met tekst, schermopname, diagram, Kleurrijkheid&#10;&#10;Door AI gegenereerde inhoud is mogelijk onjuis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9095" cy="2096770"/>
                    </a:xfrm>
                    <a:prstGeom prst="rect">
                      <a:avLst/>
                    </a:prstGeom>
                  </pic:spPr>
                </pic:pic>
              </a:graphicData>
            </a:graphic>
            <wp14:sizeRelH relativeFrom="page">
              <wp14:pctWidth>0</wp14:pctWidth>
            </wp14:sizeRelH>
            <wp14:sizeRelV relativeFrom="page">
              <wp14:pctHeight>0</wp14:pctHeight>
            </wp14:sizeRelV>
          </wp:anchor>
        </w:drawing>
      </w:r>
      <w:r w:rsidRPr="002A349C">
        <w:rPr>
          <w:rFonts w:ascii="Calibri" w:hAnsi="Calibri" w:cs="Calibri"/>
          <w:sz w:val="16"/>
          <w:szCs w:val="16"/>
          <w:lang w:val="en-US"/>
        </w:rPr>
        <w:t xml:space="preserve">Figure </w:t>
      </w:r>
      <w:r w:rsidRPr="002A349C">
        <w:rPr>
          <w:rFonts w:ascii="Calibri" w:hAnsi="Calibri" w:cs="Calibri"/>
          <w:sz w:val="16"/>
          <w:szCs w:val="16"/>
        </w:rPr>
        <w:fldChar w:fldCharType="begin"/>
      </w:r>
      <w:r w:rsidRPr="002A349C">
        <w:rPr>
          <w:rFonts w:ascii="Calibri" w:hAnsi="Calibri" w:cs="Calibri"/>
          <w:sz w:val="16"/>
          <w:szCs w:val="16"/>
          <w:lang w:val="en-US"/>
        </w:rPr>
        <w:instrText xml:space="preserve"> SEQ Figure \* ARABIC </w:instrText>
      </w:r>
      <w:r w:rsidRPr="002A349C">
        <w:rPr>
          <w:rFonts w:ascii="Calibri" w:hAnsi="Calibri" w:cs="Calibri"/>
          <w:sz w:val="16"/>
          <w:szCs w:val="16"/>
        </w:rPr>
        <w:fldChar w:fldCharType="separate"/>
      </w:r>
      <w:r w:rsidR="00337648">
        <w:rPr>
          <w:rFonts w:ascii="Calibri" w:hAnsi="Calibri" w:cs="Calibri"/>
          <w:noProof/>
          <w:sz w:val="16"/>
          <w:szCs w:val="16"/>
          <w:lang w:val="en-US"/>
        </w:rPr>
        <w:t>2</w:t>
      </w:r>
      <w:r w:rsidRPr="002A349C">
        <w:rPr>
          <w:rFonts w:ascii="Calibri" w:hAnsi="Calibri" w:cs="Calibri"/>
          <w:sz w:val="16"/>
          <w:szCs w:val="16"/>
        </w:rPr>
        <w:fldChar w:fldCharType="end"/>
      </w:r>
      <w:r w:rsidRPr="002A349C">
        <w:rPr>
          <w:rFonts w:ascii="Calibri" w:hAnsi="Calibri" w:cs="Calibri"/>
          <w:sz w:val="16"/>
          <w:szCs w:val="16"/>
          <w:lang w:val="en-US"/>
        </w:rPr>
        <w:t>: Relative abundance of the top four fungal species detected per clinical sample based on GermGenie ITS classification. Each bar represents one isolate, with stacked colors indicating the four most abundant taxa</w:t>
      </w:r>
      <w:r w:rsidR="0041727C">
        <w:rPr>
          <w:rFonts w:ascii="Calibri" w:hAnsi="Calibri" w:cs="Calibri"/>
          <w:sz w:val="16"/>
          <w:szCs w:val="16"/>
          <w:lang w:val="en-US"/>
        </w:rPr>
        <w:t>.</w:t>
      </w:r>
    </w:p>
    <w:p w14:paraId="673F7C59" w14:textId="7718A779" w:rsidR="00D0092F" w:rsidRDefault="00124E21" w:rsidP="00361F57">
      <w:pPr>
        <w:rPr>
          <w:sz w:val="21"/>
          <w:szCs w:val="21"/>
          <w:lang w:val="en-US" w:eastAsia="en-US"/>
        </w:rPr>
      </w:pPr>
      <w:r>
        <w:rPr>
          <w:noProof/>
        </w:rPr>
        <mc:AlternateContent>
          <mc:Choice Requires="wps">
            <w:drawing>
              <wp:anchor distT="0" distB="0" distL="114300" distR="114300" simplePos="0" relativeHeight="251661312" behindDoc="0" locked="0" layoutInCell="1" allowOverlap="1" wp14:anchorId="24E81AB7" wp14:editId="67625B17">
                <wp:simplePos x="0" y="0"/>
                <wp:positionH relativeFrom="column">
                  <wp:posOffset>3659417</wp:posOffset>
                </wp:positionH>
                <wp:positionV relativeFrom="paragraph">
                  <wp:posOffset>2281095</wp:posOffset>
                </wp:positionV>
                <wp:extent cx="1834515" cy="457200"/>
                <wp:effectExtent l="0" t="0" r="0" b="0"/>
                <wp:wrapSquare wrapText="bothSides"/>
                <wp:docPr id="1940962917" name="Tekstvak 1"/>
                <wp:cNvGraphicFramePr/>
                <a:graphic xmlns:a="http://schemas.openxmlformats.org/drawingml/2006/main">
                  <a:graphicData uri="http://schemas.microsoft.com/office/word/2010/wordprocessingShape">
                    <wps:wsp>
                      <wps:cNvSpPr txBox="1"/>
                      <wps:spPr>
                        <a:xfrm>
                          <a:off x="0" y="0"/>
                          <a:ext cx="1834515" cy="457200"/>
                        </a:xfrm>
                        <a:prstGeom prst="rect">
                          <a:avLst/>
                        </a:prstGeom>
                        <a:solidFill>
                          <a:prstClr val="white"/>
                        </a:solidFill>
                        <a:ln>
                          <a:noFill/>
                        </a:ln>
                      </wps:spPr>
                      <wps:txbx>
                        <w:txbxContent>
                          <w:p w14:paraId="7CF4D8D4" w14:textId="3A3A353F" w:rsidR="005D466D" w:rsidRPr="005D466D" w:rsidRDefault="005D466D" w:rsidP="005D466D">
                            <w:pPr>
                              <w:pStyle w:val="Bijschrift"/>
                              <w:rPr>
                                <w:rFonts w:ascii="Calibri" w:hAnsi="Calibri" w:cs="Calibri"/>
                                <w:noProof/>
                                <w:sz w:val="16"/>
                                <w:szCs w:val="16"/>
                                <w:lang w:val="en-US" w:eastAsia="en-US"/>
                              </w:rPr>
                            </w:pPr>
                            <w:r w:rsidRPr="005D466D">
                              <w:rPr>
                                <w:rFonts w:ascii="Calibri" w:hAnsi="Calibri" w:cs="Calibri"/>
                                <w:sz w:val="16"/>
                                <w:szCs w:val="16"/>
                                <w:lang w:val="en-US"/>
                              </w:rPr>
                              <w:t xml:space="preserve">Table </w:t>
                            </w:r>
                            <w:r w:rsidRPr="005D466D">
                              <w:rPr>
                                <w:rFonts w:ascii="Calibri" w:hAnsi="Calibri" w:cs="Calibri"/>
                                <w:sz w:val="16"/>
                                <w:szCs w:val="16"/>
                              </w:rPr>
                              <w:fldChar w:fldCharType="begin"/>
                            </w:r>
                            <w:r w:rsidRPr="005D466D">
                              <w:rPr>
                                <w:rFonts w:ascii="Calibri" w:hAnsi="Calibri" w:cs="Calibri"/>
                                <w:sz w:val="16"/>
                                <w:szCs w:val="16"/>
                                <w:lang w:val="en-US"/>
                              </w:rPr>
                              <w:instrText xml:space="preserve"> SEQ Table \* ARABIC </w:instrText>
                            </w:r>
                            <w:r w:rsidRPr="005D466D">
                              <w:rPr>
                                <w:rFonts w:ascii="Calibri" w:hAnsi="Calibri" w:cs="Calibri"/>
                                <w:sz w:val="16"/>
                                <w:szCs w:val="16"/>
                              </w:rPr>
                              <w:fldChar w:fldCharType="separate"/>
                            </w:r>
                            <w:r w:rsidR="00337648">
                              <w:rPr>
                                <w:rFonts w:ascii="Calibri" w:hAnsi="Calibri" w:cs="Calibri"/>
                                <w:noProof/>
                                <w:sz w:val="16"/>
                                <w:szCs w:val="16"/>
                                <w:lang w:val="en-US"/>
                              </w:rPr>
                              <w:t>2</w:t>
                            </w:r>
                            <w:r w:rsidRPr="005D466D">
                              <w:rPr>
                                <w:rFonts w:ascii="Calibri" w:hAnsi="Calibri" w:cs="Calibri"/>
                                <w:sz w:val="16"/>
                                <w:szCs w:val="16"/>
                              </w:rPr>
                              <w:fldChar w:fldCharType="end"/>
                            </w:r>
                            <w:r w:rsidRPr="005D466D">
                              <w:rPr>
                                <w:rFonts w:ascii="Calibri" w:hAnsi="Calibri" w:cs="Calibri"/>
                                <w:sz w:val="16"/>
                                <w:szCs w:val="16"/>
                                <w:lang w:val="en-US"/>
                              </w:rPr>
                              <w:t xml:space="preserve">: </w:t>
                            </w:r>
                            <w:r w:rsidR="00124E21" w:rsidRPr="00124E21">
                              <w:rPr>
                                <w:rFonts w:ascii="Calibri" w:hAnsi="Calibri" w:cs="Calibri"/>
                                <w:sz w:val="16"/>
                                <w:szCs w:val="16"/>
                                <w:lang w:val="en-US"/>
                              </w:rPr>
                              <w:t>Relative abundance of the fungal species, as determined by GermGenie.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E81AB7" id="_x0000_t202" coordsize="21600,21600" o:spt="202" path="m,l,21600r21600,l21600,xe">
                <v:stroke joinstyle="miter"/>
                <v:path gradientshapeok="t" o:connecttype="rect"/>
              </v:shapetype>
              <v:shape id="Tekstvak 1" o:spid="_x0000_s1026" type="#_x0000_t202" style="position:absolute;margin-left:288.15pt;margin-top:179.6pt;width:144.4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" stroked="f">
                <v:textbox inset="0,0,0,0">
                  <w:txbxContent>
                    <w:p w14:paraId="7CF4D8D4" w14:textId="3A3A353F" w:rsidR="005D466D" w:rsidRPr="005D466D" w:rsidRDefault="005D466D" w:rsidP="005D466D">
                      <w:pPr>
                        <w:pStyle w:val="Bijschrift"/>
                        <w:rPr>
                          <w:rFonts w:ascii="Calibri" w:hAnsi="Calibri" w:cs="Calibri"/>
                          <w:noProof/>
                          <w:sz w:val="16"/>
                          <w:szCs w:val="16"/>
                          <w:lang w:val="en-US" w:eastAsia="en-US"/>
                        </w:rPr>
                      </w:pPr>
                      <w:r w:rsidRPr="005D466D">
                        <w:rPr>
                          <w:rFonts w:ascii="Calibri" w:hAnsi="Calibri" w:cs="Calibri"/>
                          <w:sz w:val="16"/>
                          <w:szCs w:val="16"/>
                          <w:lang w:val="en-US"/>
                        </w:rPr>
                        <w:t xml:space="preserve">Table </w:t>
                      </w:r>
                      <w:r w:rsidRPr="005D466D">
                        <w:rPr>
                          <w:rFonts w:ascii="Calibri" w:hAnsi="Calibri" w:cs="Calibri"/>
                          <w:sz w:val="16"/>
                          <w:szCs w:val="16"/>
                        </w:rPr>
                        <w:fldChar w:fldCharType="begin"/>
                      </w:r>
                      <w:r w:rsidRPr="005D466D">
                        <w:rPr>
                          <w:rFonts w:ascii="Calibri" w:hAnsi="Calibri" w:cs="Calibri"/>
                          <w:sz w:val="16"/>
                          <w:szCs w:val="16"/>
                          <w:lang w:val="en-US"/>
                        </w:rPr>
                        <w:instrText xml:space="preserve"> SEQ Table \* ARABIC </w:instrText>
                      </w:r>
                      <w:r w:rsidRPr="005D466D">
                        <w:rPr>
                          <w:rFonts w:ascii="Calibri" w:hAnsi="Calibri" w:cs="Calibri"/>
                          <w:sz w:val="16"/>
                          <w:szCs w:val="16"/>
                        </w:rPr>
                        <w:fldChar w:fldCharType="separate"/>
                      </w:r>
                      <w:r w:rsidR="00337648">
                        <w:rPr>
                          <w:rFonts w:ascii="Calibri" w:hAnsi="Calibri" w:cs="Calibri"/>
                          <w:noProof/>
                          <w:sz w:val="16"/>
                          <w:szCs w:val="16"/>
                          <w:lang w:val="en-US"/>
                        </w:rPr>
                        <w:t>2</w:t>
                      </w:r>
                      <w:r w:rsidRPr="005D466D">
                        <w:rPr>
                          <w:rFonts w:ascii="Calibri" w:hAnsi="Calibri" w:cs="Calibri"/>
                          <w:sz w:val="16"/>
                          <w:szCs w:val="16"/>
                        </w:rPr>
                        <w:fldChar w:fldCharType="end"/>
                      </w:r>
                      <w:r w:rsidRPr="005D466D">
                        <w:rPr>
                          <w:rFonts w:ascii="Calibri" w:hAnsi="Calibri" w:cs="Calibri"/>
                          <w:sz w:val="16"/>
                          <w:szCs w:val="16"/>
                          <w:lang w:val="en-US"/>
                        </w:rPr>
                        <w:t xml:space="preserve">: </w:t>
                      </w:r>
                      <w:r w:rsidR="00124E21" w:rsidRPr="00124E21">
                        <w:rPr>
                          <w:rFonts w:ascii="Calibri" w:hAnsi="Calibri" w:cs="Calibri"/>
                          <w:sz w:val="16"/>
                          <w:szCs w:val="16"/>
                          <w:lang w:val="en-US"/>
                        </w:rPr>
                        <w:t>Relative abundance of the fungal species, as determined by GermGenie.</w:t>
                      </w:r>
                    </w:p>
                  </w:txbxContent>
                </v:textbox>
                <w10:wrap type="square"/>
              </v:shape>
            </w:pict>
          </mc:Fallback>
        </mc:AlternateContent>
      </w:r>
    </w:p>
    <w:p w14:paraId="09BC7A0B" w14:textId="773A8B35" w:rsidR="00FA3E11" w:rsidRDefault="009F650D" w:rsidP="00361F57">
      <w:pPr>
        <w:rPr>
          <w:sz w:val="21"/>
          <w:szCs w:val="21"/>
          <w:lang w:val="en-US" w:eastAsia="en-US"/>
        </w:rPr>
      </w:pPr>
      <w:r w:rsidRPr="009F650D">
        <w:rPr>
          <w:noProof/>
          <w:sz w:val="21"/>
          <w:szCs w:val="21"/>
          <w:lang w:val="en-US" w:eastAsia="en-US"/>
        </w:rPr>
        <w:drawing>
          <wp:anchor distT="0" distB="0" distL="114300" distR="114300" simplePos="0" relativeHeight="251674624" behindDoc="0" locked="0" layoutInCell="1" allowOverlap="1" wp14:anchorId="10458130" wp14:editId="4174285F">
            <wp:simplePos x="0" y="0"/>
            <wp:positionH relativeFrom="column">
              <wp:posOffset>3627077</wp:posOffset>
            </wp:positionH>
            <wp:positionV relativeFrom="paragraph">
              <wp:posOffset>171319</wp:posOffset>
            </wp:positionV>
            <wp:extent cx="1872615" cy="2379980"/>
            <wp:effectExtent l="0" t="0" r="0" b="1270"/>
            <wp:wrapSquare wrapText="bothSides"/>
            <wp:docPr id="1389103907"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3907" name="Afbeelding 1" descr="Afbeelding met tekst, schermopname, Lettertype, nummer&#10;&#10;Door AI gegenereerde inhoud is mogelijk onjuist."/>
                    <pic:cNvPicPr/>
                  </pic:nvPicPr>
                  <pic:blipFill>
                    <a:blip r:embed="rId20">
                      <a:extLst>
                        <a:ext uri="{28A0092B-C50C-407E-A947-70E740481C1C}">
                          <a14:useLocalDpi xmlns:a14="http://schemas.microsoft.com/office/drawing/2010/main" val="0"/>
                        </a:ext>
                      </a:extLst>
                    </a:blip>
                    <a:stretch>
                      <a:fillRect/>
                    </a:stretch>
                  </pic:blipFill>
                  <pic:spPr>
                    <a:xfrm>
                      <a:off x="0" y="0"/>
                      <a:ext cx="1872615" cy="2379980"/>
                    </a:xfrm>
                    <a:prstGeom prst="rect">
                      <a:avLst/>
                    </a:prstGeom>
                  </pic:spPr>
                </pic:pic>
              </a:graphicData>
            </a:graphic>
            <wp14:sizeRelH relativeFrom="page">
              <wp14:pctWidth>0</wp14:pctWidth>
            </wp14:sizeRelH>
            <wp14:sizeRelV relativeFrom="page">
              <wp14:pctHeight>0</wp14:pctHeight>
            </wp14:sizeRelV>
          </wp:anchor>
        </w:drawing>
      </w:r>
      <w:r w:rsidRPr="009F650D">
        <w:rPr>
          <w:noProof/>
          <w:lang w:val="en-US"/>
          <w14:ligatures w14:val="standardContextual"/>
        </w:rPr>
        <w:t xml:space="preserve"> </w:t>
      </w:r>
      <w:r w:rsidRPr="009F650D">
        <w:rPr>
          <w:sz w:val="21"/>
          <w:szCs w:val="21"/>
          <w:lang w:val="en-US" w:eastAsia="en-US"/>
        </w:rPr>
        <w:t xml:space="preserve"> </w:t>
      </w:r>
      <w:r w:rsidR="00994207" w:rsidRPr="00994207">
        <w:rPr>
          <w:sz w:val="21"/>
          <w:szCs w:val="21"/>
          <w:lang w:val="en-US" w:eastAsia="en-US"/>
        </w:rPr>
        <w:t xml:space="preserve">Of the ten samples, only one isolate, </w:t>
      </w:r>
      <w:r w:rsidR="00994207" w:rsidRPr="00B455C8">
        <w:rPr>
          <w:i/>
          <w:iCs/>
          <w:sz w:val="21"/>
          <w:szCs w:val="21"/>
          <w:lang w:val="en-US" w:eastAsia="en-US"/>
        </w:rPr>
        <w:t>M</w:t>
      </w:r>
      <w:r w:rsidR="00495124">
        <w:rPr>
          <w:i/>
          <w:iCs/>
          <w:sz w:val="21"/>
          <w:szCs w:val="21"/>
          <w:lang w:val="en-US" w:eastAsia="en-US"/>
        </w:rPr>
        <w:t xml:space="preserve">. </w:t>
      </w:r>
      <w:r w:rsidR="00994207" w:rsidRPr="00B455C8">
        <w:rPr>
          <w:i/>
          <w:iCs/>
          <w:sz w:val="21"/>
          <w:szCs w:val="21"/>
          <w:lang w:val="en-US" w:eastAsia="en-US"/>
        </w:rPr>
        <w:t>pachydermatis</w:t>
      </w:r>
      <w:r w:rsidR="00994207" w:rsidRPr="00994207">
        <w:rPr>
          <w:sz w:val="21"/>
          <w:szCs w:val="21"/>
          <w:lang w:val="en-US" w:eastAsia="en-US"/>
        </w:rPr>
        <w:t>, was correctly classified with high confidence, showing a dominant relative abundance of 86.62 percent, in agreement with the expected species (</w:t>
      </w:r>
      <w:r w:rsidR="00826FD0">
        <w:rPr>
          <w:sz w:val="21"/>
          <w:szCs w:val="21"/>
          <w:lang w:val="en-US" w:eastAsia="en-US"/>
        </w:rPr>
        <w:t>table 4)</w:t>
      </w:r>
      <w:r w:rsidR="00994207" w:rsidRPr="00994207">
        <w:rPr>
          <w:sz w:val="21"/>
          <w:szCs w:val="21"/>
          <w:lang w:val="en-US" w:eastAsia="en-US"/>
        </w:rPr>
        <w:t xml:space="preserve">. For all other samples, GermGenie failed to identify the correct dominant species. For example, </w:t>
      </w:r>
      <w:r w:rsidR="00994207" w:rsidRPr="00B455C8">
        <w:rPr>
          <w:i/>
          <w:iCs/>
          <w:sz w:val="21"/>
          <w:szCs w:val="21"/>
          <w:lang w:val="en-US" w:eastAsia="en-US"/>
        </w:rPr>
        <w:t>T</w:t>
      </w:r>
      <w:r w:rsidR="00495124">
        <w:rPr>
          <w:i/>
          <w:iCs/>
          <w:sz w:val="21"/>
          <w:szCs w:val="21"/>
          <w:lang w:val="en-US" w:eastAsia="en-US"/>
        </w:rPr>
        <w:t>.</w:t>
      </w:r>
      <w:r w:rsidR="00994207" w:rsidRPr="00B455C8">
        <w:rPr>
          <w:i/>
          <w:iCs/>
          <w:sz w:val="21"/>
          <w:szCs w:val="21"/>
          <w:lang w:val="en-US" w:eastAsia="en-US"/>
        </w:rPr>
        <w:t xml:space="preserve"> indotineae</w:t>
      </w:r>
      <w:r w:rsidR="00994207" w:rsidRPr="00994207">
        <w:rPr>
          <w:sz w:val="21"/>
          <w:szCs w:val="21"/>
          <w:lang w:val="en-US" w:eastAsia="en-US"/>
        </w:rPr>
        <w:t xml:space="preserve"> was not detected at all (0 percent), despite being one of the isolates with the highest number of high-quality reads. Similarly, </w:t>
      </w:r>
      <w:r w:rsidR="00994207" w:rsidRPr="00FE7021">
        <w:rPr>
          <w:i/>
          <w:iCs/>
          <w:sz w:val="21"/>
          <w:szCs w:val="21"/>
          <w:lang w:val="en-US" w:eastAsia="en-US"/>
        </w:rPr>
        <w:t>L</w:t>
      </w:r>
      <w:r w:rsidR="00495124">
        <w:rPr>
          <w:i/>
          <w:iCs/>
          <w:sz w:val="21"/>
          <w:szCs w:val="21"/>
          <w:lang w:val="en-US" w:eastAsia="en-US"/>
        </w:rPr>
        <w:t xml:space="preserve">. </w:t>
      </w:r>
      <w:r w:rsidR="00994207" w:rsidRPr="00FE7021">
        <w:rPr>
          <w:i/>
          <w:iCs/>
          <w:sz w:val="21"/>
          <w:szCs w:val="21"/>
          <w:lang w:val="en-US" w:eastAsia="en-US"/>
        </w:rPr>
        <w:t>ramosa</w:t>
      </w:r>
      <w:r w:rsidR="00994207" w:rsidRPr="00994207">
        <w:rPr>
          <w:sz w:val="21"/>
          <w:szCs w:val="21"/>
          <w:lang w:val="en-US" w:eastAsia="en-US"/>
        </w:rPr>
        <w:t xml:space="preserve">, </w:t>
      </w:r>
      <w:r w:rsidR="00994207" w:rsidRPr="00D76A36">
        <w:rPr>
          <w:i/>
          <w:iCs/>
          <w:sz w:val="21"/>
          <w:szCs w:val="21"/>
          <w:lang w:val="en-US" w:eastAsia="en-US"/>
        </w:rPr>
        <w:t>A</w:t>
      </w:r>
      <w:r w:rsidR="00495124">
        <w:rPr>
          <w:i/>
          <w:iCs/>
          <w:sz w:val="21"/>
          <w:szCs w:val="21"/>
          <w:lang w:val="en-US" w:eastAsia="en-US"/>
        </w:rPr>
        <w:t>.</w:t>
      </w:r>
      <w:r w:rsidR="00994207" w:rsidRPr="00D76A36">
        <w:rPr>
          <w:i/>
          <w:iCs/>
          <w:sz w:val="21"/>
          <w:szCs w:val="21"/>
          <w:lang w:val="en-US" w:eastAsia="en-US"/>
        </w:rPr>
        <w:t xml:space="preserve"> fumigatus</w:t>
      </w:r>
      <w:r w:rsidR="00994207" w:rsidRPr="00994207">
        <w:rPr>
          <w:sz w:val="21"/>
          <w:szCs w:val="21"/>
          <w:lang w:val="en-US" w:eastAsia="en-US"/>
        </w:rPr>
        <w:t xml:space="preserve">, </w:t>
      </w:r>
      <w:r w:rsidR="00495124">
        <w:rPr>
          <w:i/>
          <w:iCs/>
          <w:sz w:val="21"/>
          <w:szCs w:val="21"/>
          <w:lang w:val="en-US" w:eastAsia="en-US"/>
        </w:rPr>
        <w:t>C.</w:t>
      </w:r>
      <w:r w:rsidR="00994207" w:rsidRPr="00D76A36">
        <w:rPr>
          <w:i/>
          <w:iCs/>
          <w:sz w:val="21"/>
          <w:szCs w:val="21"/>
          <w:lang w:val="en-US" w:eastAsia="en-US"/>
        </w:rPr>
        <w:t xml:space="preserve"> tropicalis</w:t>
      </w:r>
      <w:r w:rsidR="00994207" w:rsidRPr="00994207">
        <w:rPr>
          <w:sz w:val="21"/>
          <w:szCs w:val="21"/>
          <w:lang w:val="en-US" w:eastAsia="en-US"/>
        </w:rPr>
        <w:t xml:space="preserve">, and </w:t>
      </w:r>
      <w:r w:rsidR="00994207" w:rsidRPr="00D76A36">
        <w:rPr>
          <w:i/>
          <w:iCs/>
          <w:sz w:val="21"/>
          <w:szCs w:val="21"/>
          <w:lang w:val="en-US" w:eastAsia="en-US"/>
        </w:rPr>
        <w:t>C</w:t>
      </w:r>
      <w:r w:rsidR="00495124">
        <w:rPr>
          <w:i/>
          <w:iCs/>
          <w:sz w:val="21"/>
          <w:szCs w:val="21"/>
          <w:lang w:val="en-US" w:eastAsia="en-US"/>
        </w:rPr>
        <w:t>.</w:t>
      </w:r>
      <w:r w:rsidR="00994207" w:rsidRPr="00D76A36">
        <w:rPr>
          <w:i/>
          <w:iCs/>
          <w:sz w:val="21"/>
          <w:szCs w:val="21"/>
          <w:lang w:val="en-US" w:eastAsia="en-US"/>
        </w:rPr>
        <w:t xml:space="preserve"> parapsilosis</w:t>
      </w:r>
      <w:r w:rsidR="00994207" w:rsidRPr="00994207">
        <w:rPr>
          <w:sz w:val="21"/>
          <w:szCs w:val="21"/>
          <w:lang w:val="en-US" w:eastAsia="en-US"/>
        </w:rPr>
        <w:t xml:space="preserve"> were either absent or detected at low abundance in samples where they were known to be present. Unexpected taxa were frequently reported instead, including species from </w:t>
      </w:r>
      <w:r w:rsidR="00CA3825" w:rsidRPr="00D76A36">
        <w:rPr>
          <w:i/>
          <w:iCs/>
          <w:sz w:val="21"/>
          <w:szCs w:val="21"/>
          <w:lang w:val="en-US" w:eastAsia="en-US"/>
        </w:rPr>
        <w:t>C</w:t>
      </w:r>
      <w:r w:rsidR="00495124">
        <w:rPr>
          <w:i/>
          <w:iCs/>
          <w:sz w:val="21"/>
          <w:szCs w:val="21"/>
          <w:lang w:val="en-US" w:eastAsia="en-US"/>
        </w:rPr>
        <w:t xml:space="preserve">. </w:t>
      </w:r>
      <w:r w:rsidR="00CA3825" w:rsidRPr="00D76A36">
        <w:rPr>
          <w:i/>
          <w:iCs/>
          <w:sz w:val="21"/>
          <w:szCs w:val="21"/>
          <w:lang w:val="en-US" w:eastAsia="en-US"/>
        </w:rPr>
        <w:t>Albicans</w:t>
      </w:r>
      <w:r w:rsidR="00994207" w:rsidRPr="00D76A36">
        <w:rPr>
          <w:i/>
          <w:iCs/>
          <w:sz w:val="21"/>
          <w:szCs w:val="21"/>
          <w:lang w:val="en-US" w:eastAsia="en-US"/>
        </w:rPr>
        <w:t xml:space="preserve">, </w:t>
      </w:r>
      <w:r w:rsidR="004627E7" w:rsidRPr="00D76A36">
        <w:rPr>
          <w:i/>
          <w:iCs/>
          <w:sz w:val="21"/>
          <w:szCs w:val="21"/>
          <w:lang w:val="en-US" w:eastAsia="en-US"/>
        </w:rPr>
        <w:t>Serendipita spp</w:t>
      </w:r>
      <w:r w:rsidR="004627E7" w:rsidRPr="004627E7">
        <w:rPr>
          <w:sz w:val="21"/>
          <w:szCs w:val="21"/>
          <w:lang w:val="en-US" w:eastAsia="en-US"/>
        </w:rPr>
        <w:t xml:space="preserve">., and </w:t>
      </w:r>
      <w:r w:rsidR="004627E7" w:rsidRPr="00D76A36">
        <w:rPr>
          <w:i/>
          <w:iCs/>
          <w:sz w:val="21"/>
          <w:szCs w:val="21"/>
          <w:lang w:val="en-US" w:eastAsia="en-US"/>
        </w:rPr>
        <w:t>Saccharomycetales</w:t>
      </w:r>
      <w:r w:rsidR="004627E7">
        <w:rPr>
          <w:sz w:val="21"/>
          <w:szCs w:val="21"/>
          <w:lang w:val="en-US" w:eastAsia="en-US"/>
        </w:rPr>
        <w:t xml:space="preserve">. </w:t>
      </w:r>
      <w:r w:rsidR="00994207" w:rsidRPr="00994207">
        <w:rPr>
          <w:sz w:val="21"/>
          <w:szCs w:val="21"/>
          <w:lang w:val="en-US" w:eastAsia="en-US"/>
        </w:rPr>
        <w:t xml:space="preserve">The presence of these taxa could not be biologically confirmed and may reflect misclassification, database bias, or spurious sequence matches due to limited resolution in the classifier. </w:t>
      </w:r>
    </w:p>
    <w:p w14:paraId="62458ADE" w14:textId="77777777" w:rsidR="00FA3E11" w:rsidRDefault="00FA3E11" w:rsidP="00361F57">
      <w:pPr>
        <w:rPr>
          <w:sz w:val="21"/>
          <w:szCs w:val="21"/>
          <w:lang w:val="en-US" w:eastAsia="en-US"/>
        </w:rPr>
      </w:pPr>
    </w:p>
    <w:p w14:paraId="03551651" w14:textId="608BB56E" w:rsidR="0055010D" w:rsidRDefault="00994207" w:rsidP="00361F57">
      <w:pPr>
        <w:rPr>
          <w:sz w:val="21"/>
          <w:szCs w:val="21"/>
          <w:lang w:val="en-US" w:eastAsia="en-US"/>
        </w:rPr>
      </w:pPr>
      <w:r w:rsidRPr="00994207">
        <w:rPr>
          <w:sz w:val="21"/>
          <w:szCs w:val="21"/>
          <w:lang w:val="en-US" w:eastAsia="en-US"/>
        </w:rPr>
        <w:t>These findings suggest that GermGenie</w:t>
      </w:r>
      <w:r w:rsidR="006160E6">
        <w:rPr>
          <w:sz w:val="21"/>
          <w:szCs w:val="21"/>
          <w:lang w:val="en-US" w:eastAsia="en-US"/>
        </w:rPr>
        <w:t xml:space="preserve"> </w:t>
      </w:r>
      <w:r w:rsidRPr="00994207">
        <w:rPr>
          <w:sz w:val="21"/>
          <w:szCs w:val="21"/>
          <w:lang w:val="en-US" w:eastAsia="en-US"/>
        </w:rPr>
        <w:t xml:space="preserve">in its current fungal configuration, lacks the specificity and taxonomic precision required for reliable ITS-based fungal identification across diverse clinical samples. Further development, including improved database curation and fungal-specific classification models, is necessary before the tool can be considered </w:t>
      </w:r>
      <w:r w:rsidRPr="00455E7F">
        <w:rPr>
          <w:sz w:val="21"/>
          <w:szCs w:val="21"/>
          <w:lang w:val="en-US" w:eastAsia="en-US"/>
        </w:rPr>
        <w:t>suitable</w:t>
      </w:r>
      <w:r w:rsidR="00455E7F">
        <w:rPr>
          <w:sz w:val="21"/>
          <w:szCs w:val="21"/>
          <w:lang w:val="en-US" w:eastAsia="en-US"/>
        </w:rPr>
        <w:t>.</w:t>
      </w:r>
    </w:p>
    <w:p w14:paraId="7E9A95D8" w14:textId="7313B423" w:rsidR="0055010D" w:rsidRPr="008110F6" w:rsidRDefault="00D9798D" w:rsidP="008110F6">
      <w:pPr>
        <w:pStyle w:val="Kop2"/>
        <w:rPr>
          <w:rFonts w:ascii="Calibri" w:hAnsi="Calibri" w:cs="Calibri"/>
          <w:b/>
          <w:bCs/>
          <w:sz w:val="21"/>
          <w:szCs w:val="21"/>
          <w:lang w:val="en-US" w:eastAsia="en-US"/>
        </w:rPr>
      </w:pPr>
      <w:bookmarkStart w:id="18" w:name="_Toc201242207"/>
      <w:r w:rsidRPr="008110F6">
        <w:rPr>
          <w:rFonts w:ascii="Calibri" w:hAnsi="Calibri" w:cs="Calibri"/>
          <w:b/>
          <w:bCs/>
          <w:sz w:val="21"/>
          <w:szCs w:val="21"/>
          <w:lang w:val="en-US" w:eastAsia="en-US"/>
        </w:rPr>
        <w:t>Accuracy of Species Identification Based on Consensus Sequences</w:t>
      </w:r>
      <w:bookmarkEnd w:id="18"/>
    </w:p>
    <w:p w14:paraId="753735CD" w14:textId="69825FE7" w:rsidR="008110F6" w:rsidRDefault="008110F6" w:rsidP="00361F57">
      <w:pPr>
        <w:rPr>
          <w:sz w:val="21"/>
          <w:szCs w:val="21"/>
          <w:lang w:val="en-US" w:eastAsia="en-US"/>
        </w:rPr>
      </w:pPr>
      <w:r w:rsidRPr="008110F6">
        <w:rPr>
          <w:sz w:val="21"/>
          <w:szCs w:val="21"/>
          <w:lang w:val="en-US" w:eastAsia="en-US"/>
        </w:rPr>
        <w:t xml:space="preserve">The performance of three consensus generation tools was evaluated: Flye, wf-amplicon de novo assembly, and wf-amplicon variant calling. Each tool was tested on ten clinical fungal isolates, and results were </w:t>
      </w:r>
      <w:r w:rsidRPr="008110F6">
        <w:rPr>
          <w:sz w:val="21"/>
          <w:szCs w:val="21"/>
          <w:lang w:val="en-US" w:eastAsia="en-US"/>
        </w:rPr>
        <w:lastRenderedPageBreak/>
        <w:t>assessed based on three criteria: successful generation of a consensus sequence, detection of ITS1 and ITS2 regions using ITSx, and whether the top BLAST hit matched the expected species.</w:t>
      </w:r>
    </w:p>
    <w:p w14:paraId="78F667FB" w14:textId="77777777" w:rsidR="00FE25A9" w:rsidRDefault="00FE25A9" w:rsidP="00361F57">
      <w:pPr>
        <w:rPr>
          <w:sz w:val="21"/>
          <w:szCs w:val="21"/>
          <w:lang w:val="en-US" w:eastAsia="en-US"/>
        </w:rPr>
      </w:pPr>
    </w:p>
    <w:p w14:paraId="24BC31B3" w14:textId="1FA7B4BA" w:rsidR="007D6B6C" w:rsidRPr="00FE25A9" w:rsidRDefault="00FE25A9" w:rsidP="00FE25A9">
      <w:pPr>
        <w:pStyle w:val="Bijschrift"/>
        <w:rPr>
          <w:rFonts w:ascii="Calibri" w:hAnsi="Calibri" w:cs="Calibri"/>
          <w:sz w:val="16"/>
          <w:szCs w:val="16"/>
          <w:lang w:val="en-US" w:eastAsia="en-US"/>
        </w:rPr>
      </w:pPr>
      <w:r w:rsidRPr="00FE25A9">
        <w:rPr>
          <w:rFonts w:ascii="Calibri" w:hAnsi="Calibri" w:cs="Calibri"/>
          <w:sz w:val="16"/>
          <w:szCs w:val="16"/>
          <w:lang w:val="en-US"/>
        </w:rPr>
        <w:t xml:space="preserve">Table </w:t>
      </w:r>
      <w:r w:rsidRPr="00FE25A9">
        <w:rPr>
          <w:rFonts w:ascii="Calibri" w:hAnsi="Calibri" w:cs="Calibri"/>
          <w:sz w:val="16"/>
          <w:szCs w:val="16"/>
        </w:rPr>
        <w:fldChar w:fldCharType="begin"/>
      </w:r>
      <w:r w:rsidRPr="00FE25A9">
        <w:rPr>
          <w:rFonts w:ascii="Calibri" w:hAnsi="Calibri" w:cs="Calibri"/>
          <w:sz w:val="16"/>
          <w:szCs w:val="16"/>
          <w:lang w:val="en-US"/>
        </w:rPr>
        <w:instrText xml:space="preserve"> SEQ Table \* ARABIC </w:instrText>
      </w:r>
      <w:r w:rsidRPr="00FE25A9">
        <w:rPr>
          <w:rFonts w:ascii="Calibri" w:hAnsi="Calibri" w:cs="Calibri"/>
          <w:sz w:val="16"/>
          <w:szCs w:val="16"/>
        </w:rPr>
        <w:fldChar w:fldCharType="separate"/>
      </w:r>
      <w:r w:rsidR="00337648">
        <w:rPr>
          <w:rFonts w:ascii="Calibri" w:hAnsi="Calibri" w:cs="Calibri"/>
          <w:noProof/>
          <w:sz w:val="16"/>
          <w:szCs w:val="16"/>
          <w:lang w:val="en-US"/>
        </w:rPr>
        <w:t>3</w:t>
      </w:r>
      <w:r w:rsidRPr="00FE25A9">
        <w:rPr>
          <w:rFonts w:ascii="Calibri" w:hAnsi="Calibri" w:cs="Calibri"/>
          <w:sz w:val="16"/>
          <w:szCs w:val="16"/>
        </w:rPr>
        <w:fldChar w:fldCharType="end"/>
      </w:r>
      <w:r w:rsidRPr="00FE25A9">
        <w:rPr>
          <w:rFonts w:ascii="Calibri" w:hAnsi="Calibri" w:cs="Calibri"/>
          <w:sz w:val="16"/>
          <w:szCs w:val="16"/>
          <w:lang w:val="en-US"/>
        </w:rPr>
        <w:t>: Consensus generation, ITS region detection, and species-level identification for ten clinical fungal isolates using three reconstruction tools: Flye, wf-amplicon de novo, and wf-amplicon variant calling. For each tool, the presence of a consensus sequence, the detection of ITS1 and ITS2 regions (via ITSx), and the top BLAST hit are reported.</w:t>
      </w:r>
    </w:p>
    <w:p w14:paraId="7DFE2832" w14:textId="3511B437" w:rsidR="006A701F" w:rsidRDefault="00204033" w:rsidP="00361F57">
      <w:pPr>
        <w:rPr>
          <w:sz w:val="21"/>
          <w:szCs w:val="21"/>
          <w:lang w:val="en-US" w:eastAsia="en-US"/>
        </w:rPr>
      </w:pPr>
      <w:r w:rsidRPr="00204033">
        <w:rPr>
          <w:noProof/>
          <w:sz w:val="21"/>
          <w:szCs w:val="21"/>
          <w:lang w:val="en-US" w:eastAsia="en-US"/>
        </w:rPr>
        <w:drawing>
          <wp:inline distT="0" distB="0" distL="0" distR="0" wp14:anchorId="033B815E" wp14:editId="05DA7970">
            <wp:extent cx="5760720" cy="3606165"/>
            <wp:effectExtent l="0" t="0" r="0" b="0"/>
            <wp:docPr id="1688716742"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6742" name="Afbeelding 1" descr="Afbeelding met tekst, schermopname, nummer, Lettertype&#10;&#10;Door AI gegenereerde inhoud is mogelijk onjuist."/>
                    <pic:cNvPicPr/>
                  </pic:nvPicPr>
                  <pic:blipFill>
                    <a:blip r:embed="rId21"/>
                    <a:stretch>
                      <a:fillRect/>
                    </a:stretch>
                  </pic:blipFill>
                  <pic:spPr>
                    <a:xfrm>
                      <a:off x="0" y="0"/>
                      <a:ext cx="5760720" cy="3606165"/>
                    </a:xfrm>
                    <a:prstGeom prst="rect">
                      <a:avLst/>
                    </a:prstGeom>
                  </pic:spPr>
                </pic:pic>
              </a:graphicData>
            </a:graphic>
          </wp:inline>
        </w:drawing>
      </w:r>
    </w:p>
    <w:p w14:paraId="1D2EA3A5" w14:textId="77777777" w:rsidR="007D6B6C" w:rsidRDefault="007D6B6C" w:rsidP="00361F57">
      <w:pPr>
        <w:rPr>
          <w:sz w:val="21"/>
          <w:szCs w:val="21"/>
          <w:lang w:val="en-US" w:eastAsia="en-US"/>
        </w:rPr>
      </w:pPr>
    </w:p>
    <w:p w14:paraId="077028A6" w14:textId="77777777" w:rsidR="00D84419" w:rsidRDefault="00D84419" w:rsidP="00361F57">
      <w:pPr>
        <w:rPr>
          <w:sz w:val="21"/>
          <w:szCs w:val="21"/>
          <w:lang w:val="en-US" w:eastAsia="en-US"/>
        </w:rPr>
      </w:pPr>
    </w:p>
    <w:p w14:paraId="09236EDB" w14:textId="21E583E5" w:rsidR="00D84419" w:rsidRDefault="00D84419" w:rsidP="00361F57">
      <w:pPr>
        <w:rPr>
          <w:sz w:val="21"/>
          <w:szCs w:val="21"/>
          <w:lang w:val="en-US" w:eastAsia="en-US"/>
        </w:rPr>
      </w:pPr>
      <w:r w:rsidRPr="00D84419">
        <w:rPr>
          <w:sz w:val="21"/>
          <w:szCs w:val="21"/>
          <w:lang w:val="en-US" w:eastAsia="en-US"/>
        </w:rPr>
        <w:t xml:space="preserve">Flye generated consensus sequences in five out of ten isolates. The consensus lengths varied from 1,544 base pairs in </w:t>
      </w:r>
      <w:r w:rsidRPr="00A745FD">
        <w:rPr>
          <w:i/>
          <w:iCs/>
          <w:sz w:val="21"/>
          <w:szCs w:val="21"/>
          <w:lang w:val="en-US" w:eastAsia="en-US"/>
        </w:rPr>
        <w:t>C</w:t>
      </w:r>
      <w:r w:rsidR="00A745FD" w:rsidRPr="00A745FD">
        <w:rPr>
          <w:i/>
          <w:iCs/>
          <w:sz w:val="21"/>
          <w:szCs w:val="21"/>
          <w:lang w:val="en-US" w:eastAsia="en-US"/>
        </w:rPr>
        <w:t>.</w:t>
      </w:r>
      <w:r w:rsidRPr="00A745FD">
        <w:rPr>
          <w:i/>
          <w:iCs/>
          <w:sz w:val="21"/>
          <w:szCs w:val="21"/>
          <w:lang w:val="en-US" w:eastAsia="en-US"/>
        </w:rPr>
        <w:t xml:space="preserve"> neoformans</w:t>
      </w:r>
      <w:r w:rsidRPr="00D84419">
        <w:rPr>
          <w:sz w:val="21"/>
          <w:szCs w:val="21"/>
          <w:lang w:val="en-US" w:eastAsia="en-US"/>
        </w:rPr>
        <w:t xml:space="preserve"> to</w:t>
      </w:r>
      <w:r w:rsidR="00881695">
        <w:rPr>
          <w:sz w:val="21"/>
          <w:szCs w:val="21"/>
          <w:lang w:val="en-US" w:eastAsia="en-US"/>
        </w:rPr>
        <w:t xml:space="preserve"> 3,</w:t>
      </w:r>
      <w:r w:rsidR="0003238B">
        <w:rPr>
          <w:sz w:val="21"/>
          <w:szCs w:val="21"/>
          <w:lang w:val="en-US" w:eastAsia="en-US"/>
        </w:rPr>
        <w:t>523</w:t>
      </w:r>
      <w:r w:rsidRPr="00D84419">
        <w:rPr>
          <w:sz w:val="21"/>
          <w:szCs w:val="21"/>
          <w:lang w:val="en-US" w:eastAsia="en-US"/>
        </w:rPr>
        <w:t xml:space="preserve"> base pairs in </w:t>
      </w:r>
      <w:r w:rsidR="0003238B" w:rsidRPr="00A745FD">
        <w:rPr>
          <w:i/>
          <w:iCs/>
          <w:sz w:val="21"/>
          <w:szCs w:val="21"/>
          <w:lang w:val="en-US" w:eastAsia="en-US"/>
        </w:rPr>
        <w:t>M</w:t>
      </w:r>
      <w:r w:rsidR="00A745FD" w:rsidRPr="00A745FD">
        <w:rPr>
          <w:i/>
          <w:iCs/>
          <w:sz w:val="21"/>
          <w:szCs w:val="21"/>
          <w:lang w:val="en-US" w:eastAsia="en-US"/>
        </w:rPr>
        <w:t xml:space="preserve">. </w:t>
      </w:r>
      <w:r w:rsidR="0003238B" w:rsidRPr="00A745FD">
        <w:rPr>
          <w:i/>
          <w:iCs/>
          <w:sz w:val="21"/>
          <w:szCs w:val="21"/>
          <w:lang w:val="en-US" w:eastAsia="en-US"/>
        </w:rPr>
        <w:t>pachydermatis</w:t>
      </w:r>
      <w:r w:rsidRPr="00D84419">
        <w:rPr>
          <w:sz w:val="21"/>
          <w:szCs w:val="21"/>
          <w:lang w:val="en-US" w:eastAsia="en-US"/>
        </w:rPr>
        <w:t>. ITSx successfully detected both ITS1 and ITS2 regions in only four of these five cases. However despite ITS detection, only two samples (</w:t>
      </w:r>
      <w:r w:rsidRPr="00A745FD">
        <w:rPr>
          <w:i/>
          <w:iCs/>
          <w:sz w:val="21"/>
          <w:szCs w:val="21"/>
          <w:lang w:val="en-US" w:eastAsia="en-US"/>
        </w:rPr>
        <w:t>C</w:t>
      </w:r>
      <w:r w:rsidR="00A745FD" w:rsidRPr="00A745FD">
        <w:rPr>
          <w:i/>
          <w:iCs/>
          <w:sz w:val="21"/>
          <w:szCs w:val="21"/>
          <w:lang w:val="en-US" w:eastAsia="en-US"/>
        </w:rPr>
        <w:t xml:space="preserve">. </w:t>
      </w:r>
      <w:r w:rsidRPr="00A745FD">
        <w:rPr>
          <w:i/>
          <w:iCs/>
          <w:sz w:val="21"/>
          <w:szCs w:val="21"/>
          <w:lang w:val="en-US" w:eastAsia="en-US"/>
        </w:rPr>
        <w:t xml:space="preserve"> neoformans</w:t>
      </w:r>
      <w:r w:rsidRPr="00D84419">
        <w:rPr>
          <w:sz w:val="21"/>
          <w:szCs w:val="21"/>
          <w:lang w:val="en-US" w:eastAsia="en-US"/>
        </w:rPr>
        <w:t xml:space="preserve"> and </w:t>
      </w:r>
      <w:r w:rsidRPr="00A745FD">
        <w:rPr>
          <w:i/>
          <w:iCs/>
          <w:sz w:val="21"/>
          <w:szCs w:val="21"/>
          <w:lang w:val="en-US" w:eastAsia="en-US"/>
        </w:rPr>
        <w:t>L</w:t>
      </w:r>
      <w:r w:rsidR="00A745FD" w:rsidRPr="00A745FD">
        <w:rPr>
          <w:i/>
          <w:iCs/>
          <w:sz w:val="21"/>
          <w:szCs w:val="21"/>
          <w:lang w:val="en-US" w:eastAsia="en-US"/>
        </w:rPr>
        <w:t xml:space="preserve">. </w:t>
      </w:r>
      <w:r w:rsidRPr="00A745FD">
        <w:rPr>
          <w:i/>
          <w:iCs/>
          <w:sz w:val="21"/>
          <w:szCs w:val="21"/>
          <w:lang w:val="en-US" w:eastAsia="en-US"/>
        </w:rPr>
        <w:t>ramosa</w:t>
      </w:r>
      <w:r w:rsidRPr="00D84419">
        <w:rPr>
          <w:sz w:val="21"/>
          <w:szCs w:val="21"/>
          <w:lang w:val="en-US" w:eastAsia="en-US"/>
        </w:rPr>
        <w:t xml:space="preserve">) were correctly identified by BLAST. The remaining three produced incorrect matches. </w:t>
      </w:r>
      <w:r w:rsidRPr="00FA351A">
        <w:rPr>
          <w:i/>
          <w:iCs/>
          <w:sz w:val="21"/>
          <w:szCs w:val="21"/>
          <w:lang w:val="en-US" w:eastAsia="en-US"/>
        </w:rPr>
        <w:t>A</w:t>
      </w:r>
      <w:r w:rsidR="00FA351A" w:rsidRPr="00FA351A">
        <w:rPr>
          <w:i/>
          <w:iCs/>
          <w:sz w:val="21"/>
          <w:szCs w:val="21"/>
          <w:lang w:val="en-US" w:eastAsia="en-US"/>
        </w:rPr>
        <w:t xml:space="preserve">. </w:t>
      </w:r>
      <w:r w:rsidRPr="00FA351A">
        <w:rPr>
          <w:i/>
          <w:iCs/>
          <w:sz w:val="21"/>
          <w:szCs w:val="21"/>
          <w:lang w:val="en-US" w:eastAsia="en-US"/>
        </w:rPr>
        <w:t>fumigatus</w:t>
      </w:r>
      <w:r w:rsidRPr="00D84419">
        <w:rPr>
          <w:sz w:val="21"/>
          <w:szCs w:val="21"/>
          <w:lang w:val="en-US" w:eastAsia="en-US"/>
        </w:rPr>
        <w:t xml:space="preserve"> and </w:t>
      </w:r>
      <w:r w:rsidRPr="00FA351A">
        <w:rPr>
          <w:i/>
          <w:iCs/>
          <w:sz w:val="21"/>
          <w:szCs w:val="21"/>
          <w:lang w:val="en-US" w:eastAsia="en-US"/>
        </w:rPr>
        <w:t>A</w:t>
      </w:r>
      <w:r w:rsidR="00FA351A" w:rsidRPr="00FA351A">
        <w:rPr>
          <w:i/>
          <w:iCs/>
          <w:sz w:val="21"/>
          <w:szCs w:val="21"/>
          <w:lang w:val="en-US" w:eastAsia="en-US"/>
        </w:rPr>
        <w:t>.</w:t>
      </w:r>
      <w:r w:rsidRPr="00FA351A">
        <w:rPr>
          <w:i/>
          <w:iCs/>
          <w:sz w:val="21"/>
          <w:szCs w:val="21"/>
          <w:lang w:val="en-US" w:eastAsia="en-US"/>
        </w:rPr>
        <w:t xml:space="preserve"> flavus</w:t>
      </w:r>
      <w:r w:rsidRPr="00D84419">
        <w:rPr>
          <w:sz w:val="21"/>
          <w:szCs w:val="21"/>
          <w:lang w:val="en-US" w:eastAsia="en-US"/>
        </w:rPr>
        <w:t xml:space="preserve"> were both misidentified as </w:t>
      </w:r>
      <w:r w:rsidRPr="00FA351A">
        <w:rPr>
          <w:i/>
          <w:iCs/>
          <w:sz w:val="21"/>
          <w:szCs w:val="21"/>
          <w:lang w:val="en-US" w:eastAsia="en-US"/>
        </w:rPr>
        <w:t>C</w:t>
      </w:r>
      <w:r w:rsidR="00204033">
        <w:rPr>
          <w:i/>
          <w:iCs/>
          <w:sz w:val="21"/>
          <w:szCs w:val="21"/>
          <w:lang w:val="en-US" w:eastAsia="en-US"/>
        </w:rPr>
        <w:t>.</w:t>
      </w:r>
      <w:r w:rsidRPr="00FA351A">
        <w:rPr>
          <w:i/>
          <w:iCs/>
          <w:sz w:val="21"/>
          <w:szCs w:val="21"/>
          <w:lang w:val="en-US" w:eastAsia="en-US"/>
        </w:rPr>
        <w:t xml:space="preserve"> parapsilosis</w:t>
      </w:r>
      <w:r w:rsidRPr="00D84419">
        <w:rPr>
          <w:sz w:val="21"/>
          <w:szCs w:val="21"/>
          <w:lang w:val="en-US" w:eastAsia="en-US"/>
        </w:rPr>
        <w:t xml:space="preserve">. In </w:t>
      </w:r>
      <w:r w:rsidRPr="00FA351A">
        <w:rPr>
          <w:i/>
          <w:iCs/>
          <w:sz w:val="21"/>
          <w:szCs w:val="21"/>
          <w:lang w:val="en-US" w:eastAsia="en-US"/>
        </w:rPr>
        <w:t>T</w:t>
      </w:r>
      <w:r w:rsidR="00FA351A" w:rsidRPr="00FA351A">
        <w:rPr>
          <w:i/>
          <w:iCs/>
          <w:sz w:val="21"/>
          <w:szCs w:val="21"/>
          <w:lang w:val="en-US" w:eastAsia="en-US"/>
        </w:rPr>
        <w:t xml:space="preserve">. </w:t>
      </w:r>
      <w:r w:rsidRPr="00FA351A">
        <w:rPr>
          <w:i/>
          <w:iCs/>
          <w:sz w:val="21"/>
          <w:szCs w:val="21"/>
          <w:lang w:val="en-US" w:eastAsia="en-US"/>
        </w:rPr>
        <w:t>indotineae</w:t>
      </w:r>
      <w:r w:rsidR="00FA351A">
        <w:rPr>
          <w:sz w:val="21"/>
          <w:szCs w:val="21"/>
          <w:lang w:val="en-US" w:eastAsia="en-US"/>
        </w:rPr>
        <w:t xml:space="preserve"> </w:t>
      </w:r>
      <w:r w:rsidRPr="00D84419">
        <w:rPr>
          <w:sz w:val="21"/>
          <w:szCs w:val="21"/>
          <w:lang w:val="en-US" w:eastAsia="en-US"/>
        </w:rPr>
        <w:t xml:space="preserve">the top BLAST hit was </w:t>
      </w:r>
      <w:r w:rsidRPr="00FA351A">
        <w:rPr>
          <w:i/>
          <w:iCs/>
          <w:sz w:val="21"/>
          <w:szCs w:val="21"/>
          <w:lang w:val="en-US" w:eastAsia="en-US"/>
        </w:rPr>
        <w:t>Malassezia sp.</w:t>
      </w:r>
      <w:r w:rsidRPr="00D84419">
        <w:rPr>
          <w:sz w:val="21"/>
          <w:szCs w:val="21"/>
          <w:lang w:val="en-US" w:eastAsia="en-US"/>
        </w:rPr>
        <w:t>, a taxonomically unrelated organism. In the other five samples, Flye failed to produce a usable consensus</w:t>
      </w:r>
      <w:r w:rsidR="00FA351A">
        <w:rPr>
          <w:sz w:val="21"/>
          <w:szCs w:val="21"/>
          <w:lang w:val="en-US" w:eastAsia="en-US"/>
        </w:rPr>
        <w:t xml:space="preserve"> </w:t>
      </w:r>
      <w:r w:rsidRPr="00D84419">
        <w:rPr>
          <w:sz w:val="21"/>
          <w:szCs w:val="21"/>
          <w:lang w:val="en-US" w:eastAsia="en-US"/>
        </w:rPr>
        <w:t>and no ITS regions or BLAST results were available. These findings suggest that Flye often fails to reconstruct usable ITS sequences and lacks reliability for ITS-based fungal identification.</w:t>
      </w:r>
    </w:p>
    <w:p w14:paraId="48C570CF" w14:textId="77777777" w:rsidR="00542ADE" w:rsidRDefault="00542ADE" w:rsidP="00361F57">
      <w:pPr>
        <w:rPr>
          <w:sz w:val="21"/>
          <w:szCs w:val="21"/>
          <w:lang w:val="en-US" w:eastAsia="en-US"/>
        </w:rPr>
      </w:pPr>
    </w:p>
    <w:p w14:paraId="1A7DF090" w14:textId="2E581B97" w:rsidR="001D5D72" w:rsidRDefault="0061235E" w:rsidP="00361F57">
      <w:pPr>
        <w:rPr>
          <w:sz w:val="21"/>
          <w:szCs w:val="21"/>
          <w:lang w:val="en-US" w:eastAsia="en-US"/>
        </w:rPr>
      </w:pPr>
      <w:r>
        <w:rPr>
          <w:sz w:val="21"/>
          <w:szCs w:val="21"/>
          <w:lang w:val="en-US" w:eastAsia="en-US"/>
        </w:rPr>
        <w:t>W</w:t>
      </w:r>
      <w:r w:rsidR="00DC211D" w:rsidRPr="00DC211D">
        <w:rPr>
          <w:sz w:val="21"/>
          <w:szCs w:val="21"/>
          <w:lang w:val="en-US" w:eastAsia="en-US"/>
        </w:rPr>
        <w:t xml:space="preserve">f-amplicon de novo generated consensus sequences in four isolates, with lengths ranging from 2,775 to 3,523 base pairs. ITS1 and ITS2 regions were detected in three out of these four cases, although in </w:t>
      </w:r>
      <w:r w:rsidR="00DC211D" w:rsidRPr="0061235E">
        <w:rPr>
          <w:i/>
          <w:iCs/>
          <w:sz w:val="21"/>
          <w:szCs w:val="21"/>
          <w:lang w:val="en-US" w:eastAsia="en-US"/>
        </w:rPr>
        <w:t>A</w:t>
      </w:r>
      <w:r w:rsidRPr="0061235E">
        <w:rPr>
          <w:i/>
          <w:iCs/>
          <w:sz w:val="21"/>
          <w:szCs w:val="21"/>
          <w:lang w:val="en-US" w:eastAsia="en-US"/>
        </w:rPr>
        <w:t xml:space="preserve">. </w:t>
      </w:r>
      <w:r w:rsidR="00DC211D" w:rsidRPr="0061235E">
        <w:rPr>
          <w:i/>
          <w:iCs/>
          <w:sz w:val="21"/>
          <w:szCs w:val="21"/>
          <w:lang w:val="en-US" w:eastAsia="en-US"/>
        </w:rPr>
        <w:t>fumigatus</w:t>
      </w:r>
      <w:r>
        <w:rPr>
          <w:sz w:val="21"/>
          <w:szCs w:val="21"/>
          <w:lang w:val="en-US" w:eastAsia="en-US"/>
        </w:rPr>
        <w:t xml:space="preserve"> </w:t>
      </w:r>
      <w:r w:rsidR="00DC211D" w:rsidRPr="00DC211D">
        <w:rPr>
          <w:sz w:val="21"/>
          <w:szCs w:val="21"/>
          <w:lang w:val="en-US" w:eastAsia="en-US"/>
        </w:rPr>
        <w:t xml:space="preserve">no ITS regions were identified by ITSx. Only </w:t>
      </w:r>
      <w:r w:rsidR="00DC211D" w:rsidRPr="0061235E">
        <w:rPr>
          <w:i/>
          <w:iCs/>
          <w:sz w:val="21"/>
          <w:szCs w:val="21"/>
          <w:lang w:val="en-US" w:eastAsia="en-US"/>
        </w:rPr>
        <w:t>M</w:t>
      </w:r>
      <w:r w:rsidRPr="0061235E">
        <w:rPr>
          <w:i/>
          <w:iCs/>
          <w:sz w:val="21"/>
          <w:szCs w:val="21"/>
          <w:lang w:val="en-US" w:eastAsia="en-US"/>
        </w:rPr>
        <w:t>.</w:t>
      </w:r>
      <w:r w:rsidR="00DC211D" w:rsidRPr="0061235E">
        <w:rPr>
          <w:i/>
          <w:iCs/>
          <w:sz w:val="21"/>
          <w:szCs w:val="21"/>
          <w:lang w:val="en-US" w:eastAsia="en-US"/>
        </w:rPr>
        <w:t xml:space="preserve"> pachydermatis</w:t>
      </w:r>
      <w:r w:rsidR="00DC211D" w:rsidRPr="00DC211D">
        <w:rPr>
          <w:sz w:val="21"/>
          <w:szCs w:val="21"/>
          <w:lang w:val="en-US" w:eastAsia="en-US"/>
        </w:rPr>
        <w:t xml:space="preserve"> was correctly classified by BLAST. In </w:t>
      </w:r>
      <w:r w:rsidR="00DC211D" w:rsidRPr="0061235E">
        <w:rPr>
          <w:i/>
          <w:iCs/>
          <w:sz w:val="21"/>
          <w:szCs w:val="21"/>
          <w:lang w:val="en-US" w:eastAsia="en-US"/>
        </w:rPr>
        <w:t>T</w:t>
      </w:r>
      <w:r w:rsidRPr="0061235E">
        <w:rPr>
          <w:i/>
          <w:iCs/>
          <w:sz w:val="21"/>
          <w:szCs w:val="21"/>
          <w:lang w:val="en-US" w:eastAsia="en-US"/>
        </w:rPr>
        <w:t>.</w:t>
      </w:r>
      <w:r w:rsidR="00DC211D" w:rsidRPr="0061235E">
        <w:rPr>
          <w:i/>
          <w:iCs/>
          <w:sz w:val="21"/>
          <w:szCs w:val="21"/>
          <w:lang w:val="en-US" w:eastAsia="en-US"/>
        </w:rPr>
        <w:t xml:space="preserve"> indotineae</w:t>
      </w:r>
      <w:r>
        <w:rPr>
          <w:sz w:val="21"/>
          <w:szCs w:val="21"/>
          <w:lang w:val="en-US" w:eastAsia="en-US"/>
        </w:rPr>
        <w:t xml:space="preserve"> </w:t>
      </w:r>
      <w:r w:rsidR="00DC211D" w:rsidRPr="00DC211D">
        <w:rPr>
          <w:sz w:val="21"/>
          <w:szCs w:val="21"/>
          <w:lang w:val="en-US" w:eastAsia="en-US"/>
        </w:rPr>
        <w:t>ITS regions were present (694 bp and 274 bp), but the BLAST result was again incorrect (</w:t>
      </w:r>
      <w:r w:rsidR="00DC211D" w:rsidRPr="0061235E">
        <w:rPr>
          <w:i/>
          <w:iCs/>
          <w:sz w:val="21"/>
          <w:szCs w:val="21"/>
          <w:lang w:val="en-US" w:eastAsia="en-US"/>
        </w:rPr>
        <w:t>Malassezia sp</w:t>
      </w:r>
      <w:r w:rsidR="00DC211D" w:rsidRPr="00DC211D">
        <w:rPr>
          <w:sz w:val="21"/>
          <w:szCs w:val="21"/>
          <w:lang w:val="en-US" w:eastAsia="en-US"/>
        </w:rPr>
        <w:t>.). No consensus could be produced for the majority of the samples. These results demonstrate that wf-amplicon de novo performs inconsistently and cannot be considered a reliable approach for routine ITS-based identification.</w:t>
      </w:r>
    </w:p>
    <w:p w14:paraId="5CDDD576" w14:textId="77777777" w:rsidR="00DC211D" w:rsidRDefault="00DC211D" w:rsidP="00361F57">
      <w:pPr>
        <w:rPr>
          <w:sz w:val="21"/>
          <w:szCs w:val="21"/>
          <w:lang w:val="en-US" w:eastAsia="en-US"/>
        </w:rPr>
      </w:pPr>
    </w:p>
    <w:p w14:paraId="478C3179" w14:textId="1A13FB8B" w:rsidR="00CB7930" w:rsidRDefault="0061235E" w:rsidP="00361F57">
      <w:pPr>
        <w:rPr>
          <w:sz w:val="21"/>
          <w:szCs w:val="21"/>
          <w:lang w:val="en-US" w:eastAsia="en-US"/>
        </w:rPr>
      </w:pPr>
      <w:r>
        <w:rPr>
          <w:sz w:val="21"/>
          <w:szCs w:val="21"/>
          <w:lang w:val="en-US" w:eastAsia="en-US"/>
        </w:rPr>
        <w:t>W</w:t>
      </w:r>
      <w:r w:rsidR="00DC211D" w:rsidRPr="00DC211D">
        <w:rPr>
          <w:sz w:val="21"/>
          <w:szCs w:val="21"/>
          <w:lang w:val="en-US" w:eastAsia="en-US"/>
        </w:rPr>
        <w:t xml:space="preserve">f-amplicon variant calling generated consensus sequences for all ten isolates. The consensus lengths ranged from 492 to 797 base pairs. ITSx detected both ITS1 and ITS2 regions in every case, with ITS1 lengths ranging from 123 to 338 base pairs, and ITS2 lengths ranging from 139 to 342 base pairs. BLAST analysis returned the correct species for nine out of ten isolates. Accurate identifications were obtained for </w:t>
      </w:r>
      <w:r w:rsidR="00DC211D" w:rsidRPr="00CD604E">
        <w:rPr>
          <w:i/>
          <w:iCs/>
          <w:sz w:val="21"/>
          <w:szCs w:val="21"/>
          <w:lang w:val="en-US" w:eastAsia="en-US"/>
        </w:rPr>
        <w:t>C</w:t>
      </w:r>
      <w:r w:rsidR="00CD604E" w:rsidRPr="00CD604E">
        <w:rPr>
          <w:i/>
          <w:iCs/>
          <w:sz w:val="21"/>
          <w:szCs w:val="21"/>
          <w:lang w:val="en-US" w:eastAsia="en-US"/>
        </w:rPr>
        <w:t>.</w:t>
      </w:r>
      <w:r w:rsidR="00DC211D" w:rsidRPr="00CD604E">
        <w:rPr>
          <w:i/>
          <w:iCs/>
          <w:sz w:val="21"/>
          <w:szCs w:val="21"/>
          <w:lang w:val="en-US" w:eastAsia="en-US"/>
        </w:rPr>
        <w:t xml:space="preserve"> albicans</w:t>
      </w:r>
      <w:r w:rsidR="00DC211D" w:rsidRPr="00DC211D">
        <w:rPr>
          <w:sz w:val="21"/>
          <w:szCs w:val="21"/>
          <w:lang w:val="en-US" w:eastAsia="en-US"/>
        </w:rPr>
        <w:t xml:space="preserve">, </w:t>
      </w:r>
      <w:r w:rsidR="00DC211D" w:rsidRPr="00CD604E">
        <w:rPr>
          <w:i/>
          <w:iCs/>
          <w:sz w:val="21"/>
          <w:szCs w:val="21"/>
          <w:lang w:val="en-US" w:eastAsia="en-US"/>
        </w:rPr>
        <w:t>C</w:t>
      </w:r>
      <w:r w:rsidR="00CD604E" w:rsidRPr="00CD604E">
        <w:rPr>
          <w:i/>
          <w:iCs/>
          <w:sz w:val="21"/>
          <w:szCs w:val="21"/>
          <w:lang w:val="en-US" w:eastAsia="en-US"/>
        </w:rPr>
        <w:t xml:space="preserve">. </w:t>
      </w:r>
      <w:r w:rsidR="00DC211D" w:rsidRPr="00CD604E">
        <w:rPr>
          <w:i/>
          <w:iCs/>
          <w:sz w:val="21"/>
          <w:szCs w:val="21"/>
          <w:lang w:val="en-US" w:eastAsia="en-US"/>
        </w:rPr>
        <w:t>neoformans</w:t>
      </w:r>
      <w:r w:rsidR="00DC211D" w:rsidRPr="00DC211D">
        <w:rPr>
          <w:sz w:val="21"/>
          <w:szCs w:val="21"/>
          <w:lang w:val="en-US" w:eastAsia="en-US"/>
        </w:rPr>
        <w:t xml:space="preserve">, </w:t>
      </w:r>
      <w:r w:rsidR="00DC211D" w:rsidRPr="00CD604E">
        <w:rPr>
          <w:i/>
          <w:iCs/>
          <w:sz w:val="21"/>
          <w:szCs w:val="21"/>
          <w:lang w:val="en-US" w:eastAsia="en-US"/>
        </w:rPr>
        <w:t>L</w:t>
      </w:r>
      <w:r w:rsidR="00CD604E" w:rsidRPr="00CD604E">
        <w:rPr>
          <w:i/>
          <w:iCs/>
          <w:sz w:val="21"/>
          <w:szCs w:val="21"/>
          <w:lang w:val="en-US" w:eastAsia="en-US"/>
        </w:rPr>
        <w:t>.</w:t>
      </w:r>
      <w:r w:rsidR="00DC211D" w:rsidRPr="00CD604E">
        <w:rPr>
          <w:i/>
          <w:iCs/>
          <w:sz w:val="21"/>
          <w:szCs w:val="21"/>
          <w:lang w:val="en-US" w:eastAsia="en-US"/>
        </w:rPr>
        <w:t xml:space="preserve"> ramosa</w:t>
      </w:r>
      <w:r w:rsidR="00DC211D" w:rsidRPr="00DC211D">
        <w:rPr>
          <w:sz w:val="21"/>
          <w:szCs w:val="21"/>
          <w:lang w:val="en-US" w:eastAsia="en-US"/>
        </w:rPr>
        <w:t xml:space="preserve">, </w:t>
      </w:r>
      <w:r w:rsidR="00DC211D" w:rsidRPr="00CD604E">
        <w:rPr>
          <w:i/>
          <w:iCs/>
          <w:sz w:val="21"/>
          <w:szCs w:val="21"/>
          <w:lang w:val="en-US" w:eastAsia="en-US"/>
        </w:rPr>
        <w:t>T</w:t>
      </w:r>
      <w:r w:rsidR="00CD604E" w:rsidRPr="00CD604E">
        <w:rPr>
          <w:i/>
          <w:iCs/>
          <w:sz w:val="21"/>
          <w:szCs w:val="21"/>
          <w:lang w:val="en-US" w:eastAsia="en-US"/>
        </w:rPr>
        <w:t>.</w:t>
      </w:r>
      <w:r w:rsidR="00DC211D" w:rsidRPr="00CD604E">
        <w:rPr>
          <w:i/>
          <w:iCs/>
          <w:sz w:val="21"/>
          <w:szCs w:val="21"/>
          <w:lang w:val="en-US" w:eastAsia="en-US"/>
        </w:rPr>
        <w:t xml:space="preserve"> asahii</w:t>
      </w:r>
      <w:r w:rsidR="00DC211D" w:rsidRPr="00DC211D">
        <w:rPr>
          <w:sz w:val="21"/>
          <w:szCs w:val="21"/>
          <w:lang w:val="en-US" w:eastAsia="en-US"/>
        </w:rPr>
        <w:t xml:space="preserve">, </w:t>
      </w:r>
      <w:r w:rsidR="00DC211D" w:rsidRPr="00CD604E">
        <w:rPr>
          <w:i/>
          <w:iCs/>
          <w:sz w:val="21"/>
          <w:szCs w:val="21"/>
          <w:lang w:val="en-US" w:eastAsia="en-US"/>
        </w:rPr>
        <w:t>T</w:t>
      </w:r>
      <w:r w:rsidR="00CD604E" w:rsidRPr="00CD604E">
        <w:rPr>
          <w:i/>
          <w:iCs/>
          <w:sz w:val="21"/>
          <w:szCs w:val="21"/>
          <w:lang w:val="en-US" w:eastAsia="en-US"/>
        </w:rPr>
        <w:t xml:space="preserve">. </w:t>
      </w:r>
      <w:r w:rsidR="00DC211D" w:rsidRPr="00CD604E">
        <w:rPr>
          <w:i/>
          <w:iCs/>
          <w:sz w:val="21"/>
          <w:szCs w:val="21"/>
          <w:lang w:val="en-US" w:eastAsia="en-US"/>
        </w:rPr>
        <w:t>indotineae</w:t>
      </w:r>
      <w:r w:rsidR="00DC211D" w:rsidRPr="00DC211D">
        <w:rPr>
          <w:sz w:val="21"/>
          <w:szCs w:val="21"/>
          <w:lang w:val="en-US" w:eastAsia="en-US"/>
        </w:rPr>
        <w:t xml:space="preserve">, </w:t>
      </w:r>
      <w:r w:rsidR="00DC211D" w:rsidRPr="00CD604E">
        <w:rPr>
          <w:i/>
          <w:iCs/>
          <w:sz w:val="21"/>
          <w:szCs w:val="21"/>
          <w:lang w:val="en-US" w:eastAsia="en-US"/>
        </w:rPr>
        <w:t>A</w:t>
      </w:r>
      <w:r w:rsidR="00CD604E" w:rsidRPr="00CD604E">
        <w:rPr>
          <w:i/>
          <w:iCs/>
          <w:sz w:val="21"/>
          <w:szCs w:val="21"/>
          <w:lang w:val="en-US" w:eastAsia="en-US"/>
        </w:rPr>
        <w:t xml:space="preserve">. </w:t>
      </w:r>
      <w:r w:rsidR="00DC211D" w:rsidRPr="00CD604E">
        <w:rPr>
          <w:i/>
          <w:iCs/>
          <w:sz w:val="21"/>
          <w:szCs w:val="21"/>
          <w:lang w:val="en-US" w:eastAsia="en-US"/>
        </w:rPr>
        <w:t>fumigatus</w:t>
      </w:r>
      <w:r w:rsidR="00DC211D" w:rsidRPr="00DC211D">
        <w:rPr>
          <w:sz w:val="21"/>
          <w:szCs w:val="21"/>
          <w:lang w:val="en-US" w:eastAsia="en-US"/>
        </w:rPr>
        <w:t xml:space="preserve">, </w:t>
      </w:r>
      <w:r w:rsidR="00DC211D" w:rsidRPr="00CD604E">
        <w:rPr>
          <w:i/>
          <w:iCs/>
          <w:sz w:val="21"/>
          <w:szCs w:val="21"/>
          <w:lang w:val="en-US" w:eastAsia="en-US"/>
        </w:rPr>
        <w:t>A</w:t>
      </w:r>
      <w:r w:rsidR="00CD604E" w:rsidRPr="00CD604E">
        <w:rPr>
          <w:i/>
          <w:iCs/>
          <w:sz w:val="21"/>
          <w:szCs w:val="21"/>
          <w:lang w:val="en-US" w:eastAsia="en-US"/>
        </w:rPr>
        <w:t xml:space="preserve">. </w:t>
      </w:r>
      <w:r w:rsidR="00DC211D" w:rsidRPr="00CD604E">
        <w:rPr>
          <w:i/>
          <w:iCs/>
          <w:sz w:val="21"/>
          <w:szCs w:val="21"/>
          <w:lang w:val="en-US" w:eastAsia="en-US"/>
        </w:rPr>
        <w:t>flavus</w:t>
      </w:r>
      <w:r w:rsidR="00DC211D" w:rsidRPr="00DC211D">
        <w:rPr>
          <w:sz w:val="21"/>
          <w:szCs w:val="21"/>
          <w:lang w:val="en-US" w:eastAsia="en-US"/>
        </w:rPr>
        <w:t xml:space="preserve">, </w:t>
      </w:r>
      <w:r w:rsidR="00DC211D" w:rsidRPr="00CD604E">
        <w:rPr>
          <w:i/>
          <w:iCs/>
          <w:sz w:val="21"/>
          <w:szCs w:val="21"/>
          <w:lang w:val="en-US" w:eastAsia="en-US"/>
        </w:rPr>
        <w:t>C</w:t>
      </w:r>
      <w:r w:rsidR="00CD604E" w:rsidRPr="00CD604E">
        <w:rPr>
          <w:i/>
          <w:iCs/>
          <w:sz w:val="21"/>
          <w:szCs w:val="21"/>
          <w:lang w:val="en-US" w:eastAsia="en-US"/>
        </w:rPr>
        <w:t xml:space="preserve">. </w:t>
      </w:r>
      <w:r w:rsidR="00DC211D" w:rsidRPr="00CD604E">
        <w:rPr>
          <w:i/>
          <w:iCs/>
          <w:sz w:val="21"/>
          <w:szCs w:val="21"/>
          <w:lang w:val="en-US" w:eastAsia="en-US"/>
        </w:rPr>
        <w:t>parapsilosis</w:t>
      </w:r>
      <w:r w:rsidR="00DC211D" w:rsidRPr="00DC211D">
        <w:rPr>
          <w:sz w:val="21"/>
          <w:szCs w:val="21"/>
          <w:lang w:val="en-US" w:eastAsia="en-US"/>
        </w:rPr>
        <w:t xml:space="preserve">, and </w:t>
      </w:r>
      <w:r w:rsidR="00DC211D" w:rsidRPr="00CD604E">
        <w:rPr>
          <w:i/>
          <w:iCs/>
          <w:sz w:val="21"/>
          <w:szCs w:val="21"/>
          <w:lang w:val="en-US" w:eastAsia="en-US"/>
        </w:rPr>
        <w:t>M</w:t>
      </w:r>
      <w:r w:rsidR="00CD604E" w:rsidRPr="00CD604E">
        <w:rPr>
          <w:i/>
          <w:iCs/>
          <w:sz w:val="21"/>
          <w:szCs w:val="21"/>
          <w:lang w:val="en-US" w:eastAsia="en-US"/>
        </w:rPr>
        <w:t>.</w:t>
      </w:r>
      <w:r w:rsidR="00DC211D" w:rsidRPr="00CD604E">
        <w:rPr>
          <w:i/>
          <w:iCs/>
          <w:sz w:val="21"/>
          <w:szCs w:val="21"/>
          <w:lang w:val="en-US" w:eastAsia="en-US"/>
        </w:rPr>
        <w:t xml:space="preserve"> pachydermatis</w:t>
      </w:r>
      <w:r w:rsidR="00DC211D" w:rsidRPr="00DC211D">
        <w:rPr>
          <w:sz w:val="21"/>
          <w:szCs w:val="21"/>
          <w:lang w:val="en-US" w:eastAsia="en-US"/>
        </w:rPr>
        <w:t xml:space="preserve">. Only </w:t>
      </w:r>
      <w:r w:rsidR="00DC211D" w:rsidRPr="00CD604E">
        <w:rPr>
          <w:i/>
          <w:iCs/>
          <w:sz w:val="21"/>
          <w:szCs w:val="21"/>
          <w:lang w:val="en-US" w:eastAsia="en-US"/>
        </w:rPr>
        <w:t>C</w:t>
      </w:r>
      <w:r w:rsidR="00CD604E" w:rsidRPr="00CD604E">
        <w:rPr>
          <w:i/>
          <w:iCs/>
          <w:sz w:val="21"/>
          <w:szCs w:val="21"/>
          <w:lang w:val="en-US" w:eastAsia="en-US"/>
        </w:rPr>
        <w:t>.</w:t>
      </w:r>
      <w:r w:rsidR="00DC211D" w:rsidRPr="00CD604E">
        <w:rPr>
          <w:i/>
          <w:iCs/>
          <w:sz w:val="21"/>
          <w:szCs w:val="21"/>
          <w:lang w:val="en-US" w:eastAsia="en-US"/>
        </w:rPr>
        <w:t xml:space="preserve"> tropicalis</w:t>
      </w:r>
      <w:r w:rsidR="00DC211D" w:rsidRPr="00DC211D">
        <w:rPr>
          <w:sz w:val="21"/>
          <w:szCs w:val="21"/>
          <w:lang w:val="en-US" w:eastAsia="en-US"/>
        </w:rPr>
        <w:t xml:space="preserve"> was misidentified as </w:t>
      </w:r>
      <w:r w:rsidR="00DC211D" w:rsidRPr="00CD604E">
        <w:rPr>
          <w:i/>
          <w:iCs/>
          <w:sz w:val="21"/>
          <w:szCs w:val="21"/>
          <w:lang w:val="en-US" w:eastAsia="en-US"/>
        </w:rPr>
        <w:t>Oligophagomyces castellii</w:t>
      </w:r>
      <w:r w:rsidR="00DC211D" w:rsidRPr="00DC211D">
        <w:rPr>
          <w:sz w:val="21"/>
          <w:szCs w:val="21"/>
          <w:lang w:val="en-US" w:eastAsia="en-US"/>
        </w:rPr>
        <w:t xml:space="preserve">. The consistent success across all isolates, coupled with complete ITS detection and high species-level accuracy, indicates </w:t>
      </w:r>
      <w:r w:rsidR="00DC211D" w:rsidRPr="00DC211D">
        <w:rPr>
          <w:sz w:val="21"/>
          <w:szCs w:val="21"/>
          <w:lang w:val="en-US" w:eastAsia="en-US"/>
        </w:rPr>
        <w:lastRenderedPageBreak/>
        <w:t>that wf-amplicon variant calling is the most reliable method for ITS-based fungal identification among the tested approaches.</w:t>
      </w:r>
    </w:p>
    <w:p w14:paraId="7FAACDC1" w14:textId="77777777" w:rsidR="00E308A5" w:rsidRDefault="00E308A5" w:rsidP="00361F57">
      <w:pPr>
        <w:rPr>
          <w:sz w:val="21"/>
          <w:szCs w:val="21"/>
          <w:lang w:val="en-US" w:eastAsia="en-US"/>
        </w:rPr>
      </w:pPr>
    </w:p>
    <w:p w14:paraId="79A7BF00" w14:textId="769F25EC" w:rsidR="00E308A5" w:rsidRDefault="00E308A5" w:rsidP="00E308A5">
      <w:pPr>
        <w:pStyle w:val="Kop2"/>
        <w:rPr>
          <w:rFonts w:ascii="Calibri" w:hAnsi="Calibri" w:cs="Calibri"/>
          <w:b/>
          <w:bCs/>
          <w:sz w:val="21"/>
          <w:szCs w:val="21"/>
          <w:lang w:val="en-US" w:eastAsia="en-US"/>
        </w:rPr>
      </w:pPr>
      <w:bookmarkStart w:id="19" w:name="_Toc201242208"/>
      <w:r w:rsidRPr="00E308A5">
        <w:rPr>
          <w:rFonts w:ascii="Calibri" w:hAnsi="Calibri" w:cs="Calibri"/>
          <w:b/>
          <w:bCs/>
          <w:sz w:val="21"/>
          <w:szCs w:val="21"/>
          <w:lang w:val="en-US" w:eastAsia="en-US"/>
        </w:rPr>
        <w:t>Association Between Primer Recovery, Read Mapping, Abundance, and Tool Performance</w:t>
      </w:r>
      <w:bookmarkEnd w:id="19"/>
    </w:p>
    <w:p w14:paraId="4FC3089A" w14:textId="590F0959" w:rsidR="00F43691" w:rsidRDefault="00F43691" w:rsidP="00F43691">
      <w:pPr>
        <w:rPr>
          <w:sz w:val="21"/>
          <w:szCs w:val="21"/>
          <w:lang w:val="en-US" w:eastAsia="en-US"/>
        </w:rPr>
      </w:pPr>
      <w:r w:rsidRPr="00F43691">
        <w:rPr>
          <w:sz w:val="21"/>
          <w:szCs w:val="21"/>
          <w:lang w:val="en-US" w:eastAsia="en-US"/>
        </w:rPr>
        <w:t>To examine whether experimental parameters affected identification success, we compared the number of BLAST-matched primers, the percentage of specifically mapped reads</w:t>
      </w:r>
      <w:r w:rsidR="00B060AC">
        <w:rPr>
          <w:sz w:val="21"/>
          <w:szCs w:val="21"/>
          <w:lang w:val="en-US" w:eastAsia="en-US"/>
        </w:rPr>
        <w:t>, r</w:t>
      </w:r>
      <w:r w:rsidRPr="00F43691">
        <w:rPr>
          <w:sz w:val="21"/>
          <w:szCs w:val="21"/>
          <w:lang w:val="en-US" w:eastAsia="en-US"/>
        </w:rPr>
        <w:t xml:space="preserve">elative abundance (GermGenie) </w:t>
      </w:r>
      <w:r w:rsidR="00B060AC">
        <w:rPr>
          <w:sz w:val="21"/>
          <w:szCs w:val="21"/>
          <w:lang w:val="en-US" w:eastAsia="en-US"/>
        </w:rPr>
        <w:t xml:space="preserve">and </w:t>
      </w:r>
      <w:r w:rsidR="00B060AC" w:rsidRPr="00F43691">
        <w:rPr>
          <w:sz w:val="21"/>
          <w:szCs w:val="21"/>
          <w:lang w:val="en-US" w:eastAsia="en-US"/>
        </w:rPr>
        <w:t xml:space="preserve">the identification performance of Flye, </w:t>
      </w:r>
      <w:r w:rsidR="005535EE">
        <w:rPr>
          <w:sz w:val="21"/>
          <w:szCs w:val="21"/>
          <w:lang w:val="en-US" w:eastAsia="en-US"/>
        </w:rPr>
        <w:t>W</w:t>
      </w:r>
      <w:r w:rsidR="00B060AC" w:rsidRPr="00F43691">
        <w:rPr>
          <w:sz w:val="21"/>
          <w:szCs w:val="21"/>
          <w:lang w:val="en-US" w:eastAsia="en-US"/>
        </w:rPr>
        <w:t xml:space="preserve">f-amplicon de novo, and </w:t>
      </w:r>
      <w:r w:rsidR="005535EE">
        <w:rPr>
          <w:sz w:val="21"/>
          <w:szCs w:val="21"/>
          <w:lang w:val="en-US" w:eastAsia="en-US"/>
        </w:rPr>
        <w:t>W</w:t>
      </w:r>
      <w:r w:rsidR="00B060AC" w:rsidRPr="00F43691">
        <w:rPr>
          <w:sz w:val="21"/>
          <w:szCs w:val="21"/>
          <w:lang w:val="en-US" w:eastAsia="en-US"/>
        </w:rPr>
        <w:t xml:space="preserve">f-amplicon variant calling </w:t>
      </w:r>
      <w:r w:rsidRPr="00F43691">
        <w:rPr>
          <w:sz w:val="21"/>
          <w:szCs w:val="21"/>
          <w:lang w:val="en-US" w:eastAsia="en-US"/>
        </w:rPr>
        <w:t>across ten fungal isolates</w:t>
      </w:r>
      <w:r w:rsidR="00B060AC">
        <w:rPr>
          <w:sz w:val="21"/>
          <w:szCs w:val="21"/>
          <w:lang w:val="en-US" w:eastAsia="en-US"/>
        </w:rPr>
        <w:t xml:space="preserve"> </w:t>
      </w:r>
      <w:r w:rsidRPr="00F43691">
        <w:rPr>
          <w:sz w:val="21"/>
          <w:szCs w:val="21"/>
          <w:lang w:val="en-US" w:eastAsia="en-US"/>
        </w:rPr>
        <w:t xml:space="preserve">(Table </w:t>
      </w:r>
      <w:r w:rsidR="005E72CB">
        <w:rPr>
          <w:sz w:val="21"/>
          <w:szCs w:val="21"/>
          <w:lang w:val="en-US" w:eastAsia="en-US"/>
        </w:rPr>
        <w:t>4</w:t>
      </w:r>
      <w:r w:rsidRPr="00F43691">
        <w:rPr>
          <w:sz w:val="21"/>
          <w:szCs w:val="21"/>
          <w:lang w:val="en-US" w:eastAsia="en-US"/>
        </w:rPr>
        <w:t>).</w:t>
      </w:r>
    </w:p>
    <w:p w14:paraId="41C6B9AB" w14:textId="77777777" w:rsidR="00255C4E" w:rsidRDefault="00255C4E" w:rsidP="00F43691">
      <w:pPr>
        <w:rPr>
          <w:sz w:val="21"/>
          <w:szCs w:val="21"/>
          <w:lang w:val="en-US" w:eastAsia="en-US"/>
        </w:rPr>
      </w:pPr>
    </w:p>
    <w:p w14:paraId="7E136724" w14:textId="17917C84" w:rsidR="00623CF5" w:rsidRPr="00255C4E" w:rsidRDefault="00255C4E" w:rsidP="00255C4E">
      <w:pPr>
        <w:pStyle w:val="Bijschrift"/>
        <w:rPr>
          <w:rFonts w:ascii="Calibri" w:hAnsi="Calibri" w:cs="Calibri"/>
          <w:sz w:val="16"/>
          <w:szCs w:val="16"/>
          <w:lang w:val="en-US" w:eastAsia="en-US"/>
        </w:rPr>
      </w:pPr>
      <w:r w:rsidRPr="00255C4E">
        <w:rPr>
          <w:rFonts w:ascii="Calibri" w:hAnsi="Calibri" w:cs="Calibri"/>
          <w:sz w:val="16"/>
          <w:szCs w:val="16"/>
          <w:lang w:val="en-US"/>
        </w:rPr>
        <w:t xml:space="preserve">Table </w:t>
      </w:r>
      <w:r w:rsidRPr="00255C4E">
        <w:rPr>
          <w:rFonts w:ascii="Calibri" w:hAnsi="Calibri" w:cs="Calibri"/>
          <w:sz w:val="16"/>
          <w:szCs w:val="16"/>
        </w:rPr>
        <w:fldChar w:fldCharType="begin"/>
      </w:r>
      <w:r w:rsidRPr="00255C4E">
        <w:rPr>
          <w:rFonts w:ascii="Calibri" w:hAnsi="Calibri" w:cs="Calibri"/>
          <w:sz w:val="16"/>
          <w:szCs w:val="16"/>
          <w:lang w:val="en-US"/>
        </w:rPr>
        <w:instrText xml:space="preserve"> SEQ Table \* ARABIC </w:instrText>
      </w:r>
      <w:r w:rsidRPr="00255C4E">
        <w:rPr>
          <w:rFonts w:ascii="Calibri" w:hAnsi="Calibri" w:cs="Calibri"/>
          <w:sz w:val="16"/>
          <w:szCs w:val="16"/>
        </w:rPr>
        <w:fldChar w:fldCharType="separate"/>
      </w:r>
      <w:r w:rsidR="00337648">
        <w:rPr>
          <w:rFonts w:ascii="Calibri" w:hAnsi="Calibri" w:cs="Calibri"/>
          <w:noProof/>
          <w:sz w:val="16"/>
          <w:szCs w:val="16"/>
          <w:lang w:val="en-US"/>
        </w:rPr>
        <w:t>4</w:t>
      </w:r>
      <w:r w:rsidRPr="00255C4E">
        <w:rPr>
          <w:rFonts w:ascii="Calibri" w:hAnsi="Calibri" w:cs="Calibri"/>
          <w:sz w:val="16"/>
          <w:szCs w:val="16"/>
        </w:rPr>
        <w:fldChar w:fldCharType="end"/>
      </w:r>
      <w:r w:rsidRPr="00255C4E">
        <w:rPr>
          <w:rFonts w:ascii="Calibri" w:hAnsi="Calibri" w:cs="Calibri"/>
          <w:sz w:val="16"/>
          <w:szCs w:val="16"/>
          <w:lang w:val="en-US"/>
        </w:rPr>
        <w:t xml:space="preserve">: shows the number of BLAST-matched forward and reverse primers per isolate, the percentage of specifically mapped reads, and the relative abundance as estimated by GermGenie. Identification outcomes are listed for Flye, wf-amplicon de novo, and wf-amplicon variant calling, with </w:t>
      </w:r>
      <w:r w:rsidRPr="00255C4E">
        <w:rPr>
          <w:rFonts w:ascii="Segoe UI Symbol" w:hAnsi="Segoe UI Symbol" w:cs="Segoe UI Symbol"/>
          <w:sz w:val="16"/>
          <w:szCs w:val="16"/>
          <w:lang w:val="en-US"/>
        </w:rPr>
        <w:t>✓</w:t>
      </w:r>
      <w:r w:rsidRPr="00255C4E">
        <w:rPr>
          <w:rFonts w:ascii="Calibri" w:hAnsi="Calibri" w:cs="Calibri"/>
          <w:sz w:val="16"/>
          <w:szCs w:val="16"/>
          <w:lang w:val="en-US"/>
        </w:rPr>
        <w:t xml:space="preserve"> indicating a correct species-level match and </w:t>
      </w:r>
      <w:r w:rsidR="005E72CB">
        <w:rPr>
          <w:rFonts w:ascii="Calibri" w:hAnsi="Calibri" w:cs="Calibri"/>
          <w:sz w:val="16"/>
          <w:szCs w:val="16"/>
          <w:lang w:val="en-US"/>
        </w:rPr>
        <w:t xml:space="preserve">- </w:t>
      </w:r>
      <w:r w:rsidRPr="00255C4E">
        <w:rPr>
          <w:rFonts w:ascii="Calibri" w:hAnsi="Calibri" w:cs="Calibri"/>
          <w:sz w:val="16"/>
          <w:szCs w:val="16"/>
          <w:lang w:val="en-US"/>
        </w:rPr>
        <w:t>indicating a misclassification or no identification.</w:t>
      </w:r>
    </w:p>
    <w:p w14:paraId="2D3664D6" w14:textId="5B91BF1E" w:rsidR="00F43691" w:rsidRPr="00F43691" w:rsidRDefault="005E72CB" w:rsidP="00F43691">
      <w:pPr>
        <w:rPr>
          <w:sz w:val="21"/>
          <w:szCs w:val="21"/>
          <w:lang w:val="en-US" w:eastAsia="en-US"/>
        </w:rPr>
      </w:pPr>
      <w:r w:rsidRPr="005E72CB">
        <w:rPr>
          <w:noProof/>
          <w:sz w:val="21"/>
          <w:szCs w:val="21"/>
          <w:lang w:val="en-US" w:eastAsia="en-US"/>
        </w:rPr>
        <w:drawing>
          <wp:inline distT="0" distB="0" distL="0" distR="0" wp14:anchorId="015DCA5A" wp14:editId="51069F06">
            <wp:extent cx="5760720" cy="1868170"/>
            <wp:effectExtent l="0" t="0" r="0" b="0"/>
            <wp:docPr id="1883823200"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3200" name="Afbeelding 1" descr="Afbeelding met tekst, schermopname, nummer, Lettertype&#10;&#10;Door AI gegenereerde inhoud is mogelijk onjuist."/>
                    <pic:cNvPicPr/>
                  </pic:nvPicPr>
                  <pic:blipFill>
                    <a:blip r:embed="rId22"/>
                    <a:stretch>
                      <a:fillRect/>
                    </a:stretch>
                  </pic:blipFill>
                  <pic:spPr>
                    <a:xfrm>
                      <a:off x="0" y="0"/>
                      <a:ext cx="5760720" cy="1868170"/>
                    </a:xfrm>
                    <a:prstGeom prst="rect">
                      <a:avLst/>
                    </a:prstGeom>
                  </pic:spPr>
                </pic:pic>
              </a:graphicData>
            </a:graphic>
          </wp:inline>
        </w:drawing>
      </w:r>
    </w:p>
    <w:p w14:paraId="20422EA1" w14:textId="39B316D8" w:rsidR="00E308A5" w:rsidRDefault="00E308A5" w:rsidP="00E308A5">
      <w:pPr>
        <w:rPr>
          <w:sz w:val="21"/>
          <w:szCs w:val="21"/>
          <w:lang w:val="en-US" w:eastAsia="en-US"/>
        </w:rPr>
      </w:pPr>
    </w:p>
    <w:p w14:paraId="727BB6ED" w14:textId="065802AE" w:rsidR="00544ADC" w:rsidRDefault="00E8405B" w:rsidP="00E8405B">
      <w:pPr>
        <w:rPr>
          <w:sz w:val="21"/>
          <w:szCs w:val="21"/>
          <w:lang w:val="en-US" w:eastAsia="en-US"/>
        </w:rPr>
      </w:pPr>
      <w:r w:rsidRPr="00E8405B">
        <w:rPr>
          <w:sz w:val="21"/>
          <w:szCs w:val="21"/>
          <w:lang w:val="en-US" w:eastAsia="en-US"/>
        </w:rPr>
        <w:t xml:space="preserve">The number of matched primers ranged from 1 to 66 per direction. In some cases, isolates with many primer matches and high mapping rates were correctly identified. </w:t>
      </w:r>
      <w:r w:rsidRPr="007072E3">
        <w:rPr>
          <w:i/>
          <w:iCs/>
          <w:sz w:val="21"/>
          <w:szCs w:val="21"/>
          <w:lang w:val="en-US" w:eastAsia="en-US"/>
        </w:rPr>
        <w:t>L</w:t>
      </w:r>
      <w:r w:rsidR="007072E3" w:rsidRPr="007072E3">
        <w:rPr>
          <w:i/>
          <w:iCs/>
          <w:sz w:val="21"/>
          <w:szCs w:val="21"/>
          <w:lang w:val="en-US" w:eastAsia="en-US"/>
        </w:rPr>
        <w:t>.</w:t>
      </w:r>
      <w:r w:rsidRPr="007072E3">
        <w:rPr>
          <w:i/>
          <w:iCs/>
          <w:sz w:val="21"/>
          <w:szCs w:val="21"/>
          <w:lang w:val="en-US" w:eastAsia="en-US"/>
        </w:rPr>
        <w:t xml:space="preserve"> ramosa</w:t>
      </w:r>
      <w:r w:rsidRPr="00E8405B">
        <w:rPr>
          <w:sz w:val="21"/>
          <w:szCs w:val="21"/>
          <w:lang w:val="en-US" w:eastAsia="en-US"/>
        </w:rPr>
        <w:t xml:space="preserve"> showed 66 forward and 66 reverse matches, a mapping rate of 98.81%, and was correctly classified by Flye and the variant workflow. Similarly, </w:t>
      </w:r>
      <w:r w:rsidR="00F63354" w:rsidRPr="00F63354">
        <w:rPr>
          <w:i/>
          <w:iCs/>
          <w:sz w:val="21"/>
          <w:szCs w:val="21"/>
          <w:lang w:val="en-US" w:eastAsia="en-US"/>
        </w:rPr>
        <w:t>M.</w:t>
      </w:r>
      <w:r w:rsidRPr="00F63354">
        <w:rPr>
          <w:i/>
          <w:iCs/>
          <w:sz w:val="21"/>
          <w:szCs w:val="21"/>
          <w:lang w:val="en-US" w:eastAsia="en-US"/>
        </w:rPr>
        <w:t xml:space="preserve"> pachydermatis</w:t>
      </w:r>
      <w:r w:rsidRPr="00E8405B">
        <w:rPr>
          <w:sz w:val="21"/>
          <w:szCs w:val="21"/>
          <w:lang w:val="en-US" w:eastAsia="en-US"/>
        </w:rPr>
        <w:t xml:space="preserve"> had 99.98% mapping, high relative abundance (86.62%), and was correctly identified by </w:t>
      </w:r>
      <w:r w:rsidR="00F63354">
        <w:rPr>
          <w:sz w:val="21"/>
          <w:szCs w:val="21"/>
          <w:lang w:val="en-US" w:eastAsia="en-US"/>
        </w:rPr>
        <w:t>W</w:t>
      </w:r>
      <w:r w:rsidRPr="00E8405B">
        <w:rPr>
          <w:sz w:val="21"/>
          <w:szCs w:val="21"/>
          <w:lang w:val="en-US" w:eastAsia="en-US"/>
        </w:rPr>
        <w:t>f-amplicon de novo and variant calling.</w:t>
      </w:r>
    </w:p>
    <w:p w14:paraId="7F961720" w14:textId="77777777" w:rsidR="00C121F9" w:rsidRDefault="00C121F9" w:rsidP="00E8405B">
      <w:pPr>
        <w:rPr>
          <w:sz w:val="21"/>
          <w:szCs w:val="21"/>
          <w:lang w:val="en-US" w:eastAsia="en-US"/>
        </w:rPr>
      </w:pPr>
    </w:p>
    <w:p w14:paraId="3905CB49" w14:textId="51F1B289" w:rsidR="00C121F9" w:rsidRDefault="00C121F9" w:rsidP="00E8405B">
      <w:pPr>
        <w:rPr>
          <w:sz w:val="21"/>
          <w:szCs w:val="21"/>
          <w:lang w:val="en-US" w:eastAsia="en-US"/>
        </w:rPr>
      </w:pPr>
      <w:r w:rsidRPr="00C121F9">
        <w:rPr>
          <w:sz w:val="21"/>
          <w:szCs w:val="21"/>
          <w:lang w:val="en-US" w:eastAsia="en-US"/>
        </w:rPr>
        <w:t xml:space="preserve">However, such cases did not reflect a consistent trend. </w:t>
      </w:r>
      <w:r w:rsidRPr="00F63354">
        <w:rPr>
          <w:i/>
          <w:iCs/>
          <w:sz w:val="21"/>
          <w:szCs w:val="21"/>
          <w:lang w:val="en-US" w:eastAsia="en-US"/>
        </w:rPr>
        <w:t>C</w:t>
      </w:r>
      <w:r w:rsidR="00F63354" w:rsidRPr="00F63354">
        <w:rPr>
          <w:i/>
          <w:iCs/>
          <w:sz w:val="21"/>
          <w:szCs w:val="21"/>
          <w:lang w:val="en-US" w:eastAsia="en-US"/>
        </w:rPr>
        <w:t xml:space="preserve">. </w:t>
      </w:r>
      <w:r w:rsidRPr="00F63354">
        <w:rPr>
          <w:i/>
          <w:iCs/>
          <w:sz w:val="21"/>
          <w:szCs w:val="21"/>
          <w:lang w:val="en-US" w:eastAsia="en-US"/>
        </w:rPr>
        <w:t>albicans</w:t>
      </w:r>
      <w:r w:rsidRPr="00C121F9">
        <w:rPr>
          <w:sz w:val="21"/>
          <w:szCs w:val="21"/>
          <w:lang w:val="en-US" w:eastAsia="en-US"/>
        </w:rPr>
        <w:t xml:space="preserve">, with only one forward and one reverse primer, 100% mapping, and 11.86% relative abundance, was not correctly identified by Flye or de novo. </w:t>
      </w:r>
      <w:r w:rsidRPr="00802216">
        <w:rPr>
          <w:i/>
          <w:iCs/>
          <w:sz w:val="21"/>
          <w:szCs w:val="21"/>
          <w:lang w:val="en-US" w:eastAsia="en-US"/>
        </w:rPr>
        <w:t>C</w:t>
      </w:r>
      <w:r w:rsidR="00802216" w:rsidRPr="00802216">
        <w:rPr>
          <w:i/>
          <w:iCs/>
          <w:sz w:val="21"/>
          <w:szCs w:val="21"/>
          <w:lang w:val="en-US" w:eastAsia="en-US"/>
        </w:rPr>
        <w:t xml:space="preserve">. </w:t>
      </w:r>
      <w:r w:rsidRPr="00802216">
        <w:rPr>
          <w:i/>
          <w:iCs/>
          <w:sz w:val="21"/>
          <w:szCs w:val="21"/>
          <w:lang w:val="en-US" w:eastAsia="en-US"/>
        </w:rPr>
        <w:t>parapsilosis</w:t>
      </w:r>
      <w:r w:rsidRPr="00C121F9">
        <w:rPr>
          <w:sz w:val="21"/>
          <w:szCs w:val="21"/>
          <w:lang w:val="en-US" w:eastAsia="en-US"/>
        </w:rPr>
        <w:t>, with similarly favorable mapping and primer recovery, was also misclassified by both tools but correctly identified by the variant workflow. These examples show that correct identification was not reliably predicted by high mapping rates or low primer counts alone.</w:t>
      </w:r>
    </w:p>
    <w:p w14:paraId="34D8A1AB" w14:textId="77777777" w:rsidR="0044467D" w:rsidRDefault="0044467D" w:rsidP="00E8405B">
      <w:pPr>
        <w:rPr>
          <w:sz w:val="21"/>
          <w:szCs w:val="21"/>
          <w:lang w:val="en-US" w:eastAsia="en-US"/>
        </w:rPr>
      </w:pPr>
    </w:p>
    <w:p w14:paraId="3932EAD8" w14:textId="3040F215" w:rsidR="005323EB" w:rsidRDefault="005323EB" w:rsidP="00E8405B">
      <w:pPr>
        <w:rPr>
          <w:sz w:val="21"/>
          <w:szCs w:val="21"/>
          <w:lang w:val="en-US" w:eastAsia="en-US"/>
        </w:rPr>
      </w:pPr>
      <w:r w:rsidRPr="005323EB">
        <w:rPr>
          <w:sz w:val="21"/>
          <w:szCs w:val="21"/>
          <w:lang w:val="en-US" w:eastAsia="en-US"/>
        </w:rPr>
        <w:t xml:space="preserve">Extremely low mapping percentages (&lt;10%) were observed in </w:t>
      </w:r>
      <w:r w:rsidRPr="00802216">
        <w:rPr>
          <w:i/>
          <w:iCs/>
          <w:sz w:val="21"/>
          <w:szCs w:val="21"/>
          <w:lang w:val="en-US" w:eastAsia="en-US"/>
        </w:rPr>
        <w:t>T</w:t>
      </w:r>
      <w:r w:rsidR="00802216" w:rsidRPr="00802216">
        <w:rPr>
          <w:i/>
          <w:iCs/>
          <w:sz w:val="21"/>
          <w:szCs w:val="21"/>
          <w:lang w:val="en-US" w:eastAsia="en-US"/>
        </w:rPr>
        <w:t>.</w:t>
      </w:r>
      <w:r w:rsidRPr="00802216">
        <w:rPr>
          <w:i/>
          <w:iCs/>
          <w:sz w:val="21"/>
          <w:szCs w:val="21"/>
          <w:lang w:val="en-US" w:eastAsia="en-US"/>
        </w:rPr>
        <w:t xml:space="preserve"> indotineae</w:t>
      </w:r>
      <w:r w:rsidRPr="005323EB">
        <w:rPr>
          <w:sz w:val="21"/>
          <w:szCs w:val="21"/>
          <w:lang w:val="en-US" w:eastAsia="en-US"/>
        </w:rPr>
        <w:t xml:space="preserve"> (1.08%) and </w:t>
      </w:r>
      <w:r w:rsidRPr="00802216">
        <w:rPr>
          <w:i/>
          <w:iCs/>
          <w:sz w:val="21"/>
          <w:szCs w:val="21"/>
          <w:lang w:val="en-US" w:eastAsia="en-US"/>
        </w:rPr>
        <w:t>A</w:t>
      </w:r>
      <w:r w:rsidR="00802216" w:rsidRPr="00802216">
        <w:rPr>
          <w:i/>
          <w:iCs/>
          <w:sz w:val="21"/>
          <w:szCs w:val="21"/>
          <w:lang w:val="en-US" w:eastAsia="en-US"/>
        </w:rPr>
        <w:t xml:space="preserve">. </w:t>
      </w:r>
      <w:r w:rsidRPr="00802216">
        <w:rPr>
          <w:i/>
          <w:iCs/>
          <w:sz w:val="21"/>
          <w:szCs w:val="21"/>
          <w:lang w:val="en-US" w:eastAsia="en-US"/>
        </w:rPr>
        <w:t>fumigatus</w:t>
      </w:r>
      <w:r w:rsidRPr="005323EB">
        <w:rPr>
          <w:sz w:val="21"/>
          <w:szCs w:val="21"/>
          <w:lang w:val="en-US" w:eastAsia="en-US"/>
        </w:rPr>
        <w:t xml:space="preserve"> (8.52%), neither of which were identified correctly by Flye or </w:t>
      </w:r>
      <w:r w:rsidR="00802216">
        <w:rPr>
          <w:sz w:val="21"/>
          <w:szCs w:val="21"/>
          <w:lang w:val="en-US" w:eastAsia="en-US"/>
        </w:rPr>
        <w:t>W</w:t>
      </w:r>
      <w:r w:rsidRPr="005323EB">
        <w:rPr>
          <w:sz w:val="21"/>
          <w:szCs w:val="21"/>
          <w:lang w:val="en-US" w:eastAsia="en-US"/>
        </w:rPr>
        <w:t xml:space="preserve">f-amplicon de novo. Despite this, both were successfully resolved by the variant workflow. Other isolates with moderate mapping values, such as </w:t>
      </w:r>
      <w:r w:rsidRPr="0090634E">
        <w:rPr>
          <w:i/>
          <w:iCs/>
          <w:sz w:val="21"/>
          <w:szCs w:val="21"/>
          <w:lang w:val="en-US" w:eastAsia="en-US"/>
        </w:rPr>
        <w:t>A</w:t>
      </w:r>
      <w:r w:rsidR="0090634E" w:rsidRPr="0090634E">
        <w:rPr>
          <w:i/>
          <w:iCs/>
          <w:sz w:val="21"/>
          <w:szCs w:val="21"/>
          <w:lang w:val="en-US" w:eastAsia="en-US"/>
        </w:rPr>
        <w:t>.</w:t>
      </w:r>
      <w:r w:rsidRPr="0090634E">
        <w:rPr>
          <w:i/>
          <w:iCs/>
          <w:sz w:val="21"/>
          <w:szCs w:val="21"/>
          <w:lang w:val="en-US" w:eastAsia="en-US"/>
        </w:rPr>
        <w:t xml:space="preserve"> flavus</w:t>
      </w:r>
      <w:r w:rsidRPr="005323EB">
        <w:rPr>
          <w:sz w:val="21"/>
          <w:szCs w:val="21"/>
          <w:lang w:val="en-US" w:eastAsia="en-US"/>
        </w:rPr>
        <w:t xml:space="preserve"> (56.01%) and </w:t>
      </w:r>
      <w:r w:rsidRPr="0090634E">
        <w:rPr>
          <w:i/>
          <w:iCs/>
          <w:sz w:val="21"/>
          <w:szCs w:val="21"/>
          <w:lang w:val="en-US" w:eastAsia="en-US"/>
        </w:rPr>
        <w:t>T</w:t>
      </w:r>
      <w:r w:rsidR="0090634E" w:rsidRPr="0090634E">
        <w:rPr>
          <w:i/>
          <w:iCs/>
          <w:sz w:val="21"/>
          <w:szCs w:val="21"/>
          <w:lang w:val="en-US" w:eastAsia="en-US"/>
        </w:rPr>
        <w:t xml:space="preserve">. </w:t>
      </w:r>
      <w:r w:rsidRPr="0090634E">
        <w:rPr>
          <w:i/>
          <w:iCs/>
          <w:sz w:val="21"/>
          <w:szCs w:val="21"/>
          <w:lang w:val="en-US" w:eastAsia="en-US"/>
        </w:rPr>
        <w:t>asahii</w:t>
      </w:r>
      <w:r w:rsidRPr="005323EB">
        <w:rPr>
          <w:sz w:val="21"/>
          <w:szCs w:val="21"/>
          <w:lang w:val="en-US" w:eastAsia="en-US"/>
        </w:rPr>
        <w:t xml:space="preserve"> (58.17%), were also only correctly classified by </w:t>
      </w:r>
      <w:r w:rsidR="0090634E">
        <w:rPr>
          <w:sz w:val="21"/>
          <w:szCs w:val="21"/>
          <w:lang w:val="en-US" w:eastAsia="en-US"/>
        </w:rPr>
        <w:t>W</w:t>
      </w:r>
      <w:r w:rsidRPr="005323EB">
        <w:rPr>
          <w:sz w:val="21"/>
          <w:szCs w:val="21"/>
          <w:lang w:val="en-US" w:eastAsia="en-US"/>
        </w:rPr>
        <w:t>f-amplicon variant calling.</w:t>
      </w:r>
    </w:p>
    <w:p w14:paraId="74A16EAF" w14:textId="77777777" w:rsidR="005323EB" w:rsidRDefault="005323EB" w:rsidP="00E8405B">
      <w:pPr>
        <w:rPr>
          <w:sz w:val="21"/>
          <w:szCs w:val="21"/>
          <w:lang w:val="en-US" w:eastAsia="en-US"/>
        </w:rPr>
      </w:pPr>
    </w:p>
    <w:p w14:paraId="1BB66F8F" w14:textId="39EAD5E0" w:rsidR="005323EB" w:rsidRDefault="005323EB" w:rsidP="00E8405B">
      <w:pPr>
        <w:rPr>
          <w:sz w:val="21"/>
          <w:szCs w:val="21"/>
          <w:lang w:val="en-US" w:eastAsia="en-US"/>
        </w:rPr>
      </w:pPr>
      <w:r w:rsidRPr="005323EB">
        <w:rPr>
          <w:sz w:val="21"/>
          <w:szCs w:val="21"/>
          <w:lang w:val="en-US" w:eastAsia="en-US"/>
        </w:rPr>
        <w:t xml:space="preserve">Relative abundance values from GermGenie did not show a consistent relationship with classification performance. While </w:t>
      </w:r>
      <w:r w:rsidRPr="0090634E">
        <w:rPr>
          <w:i/>
          <w:iCs/>
          <w:sz w:val="21"/>
          <w:szCs w:val="21"/>
          <w:lang w:val="en-US" w:eastAsia="en-US"/>
        </w:rPr>
        <w:t>M. pachydermatis</w:t>
      </w:r>
      <w:r w:rsidRPr="005323EB">
        <w:rPr>
          <w:sz w:val="21"/>
          <w:szCs w:val="21"/>
          <w:lang w:val="en-US" w:eastAsia="en-US"/>
        </w:rPr>
        <w:t xml:space="preserve"> had the highest abundance and was correctly identified, </w:t>
      </w:r>
      <w:r w:rsidRPr="0090634E">
        <w:rPr>
          <w:i/>
          <w:iCs/>
          <w:sz w:val="21"/>
          <w:szCs w:val="21"/>
          <w:lang w:val="en-US" w:eastAsia="en-US"/>
        </w:rPr>
        <w:t>C. albicans</w:t>
      </w:r>
      <w:r w:rsidRPr="005323EB">
        <w:rPr>
          <w:sz w:val="21"/>
          <w:szCs w:val="21"/>
          <w:lang w:val="en-US" w:eastAsia="en-US"/>
        </w:rPr>
        <w:t xml:space="preserve"> and </w:t>
      </w:r>
      <w:r w:rsidRPr="0090634E">
        <w:rPr>
          <w:i/>
          <w:iCs/>
          <w:sz w:val="21"/>
          <w:szCs w:val="21"/>
          <w:lang w:val="en-US" w:eastAsia="en-US"/>
        </w:rPr>
        <w:t>C. neoformans</w:t>
      </w:r>
      <w:r w:rsidRPr="005323EB">
        <w:rPr>
          <w:sz w:val="21"/>
          <w:szCs w:val="21"/>
          <w:lang w:val="en-US" w:eastAsia="en-US"/>
        </w:rPr>
        <w:t xml:space="preserve"> also had relatively high abundance (&gt;11%) but were not consistently classified across tools. In contrast, </w:t>
      </w:r>
      <w:r w:rsidRPr="000908F1">
        <w:rPr>
          <w:i/>
          <w:iCs/>
          <w:sz w:val="21"/>
          <w:szCs w:val="21"/>
          <w:lang w:val="en-US" w:eastAsia="en-US"/>
        </w:rPr>
        <w:t>T. asahii</w:t>
      </w:r>
      <w:r w:rsidRPr="005323EB">
        <w:rPr>
          <w:sz w:val="21"/>
          <w:szCs w:val="21"/>
          <w:lang w:val="en-US" w:eastAsia="en-US"/>
        </w:rPr>
        <w:t xml:space="preserve"> and </w:t>
      </w:r>
      <w:r w:rsidRPr="000908F1">
        <w:rPr>
          <w:i/>
          <w:iCs/>
          <w:sz w:val="21"/>
          <w:szCs w:val="21"/>
          <w:lang w:val="en-US" w:eastAsia="en-US"/>
        </w:rPr>
        <w:t>A. flavus</w:t>
      </w:r>
      <w:r w:rsidRPr="005323EB">
        <w:rPr>
          <w:sz w:val="21"/>
          <w:szCs w:val="21"/>
          <w:lang w:val="en-US" w:eastAsia="en-US"/>
        </w:rPr>
        <w:t>, which had low relative abundances (2.37% and 0.12%, respectively) were successfully identified using the variant method.</w:t>
      </w:r>
    </w:p>
    <w:p w14:paraId="20B2774E" w14:textId="77777777" w:rsidR="00290875" w:rsidRDefault="00290875" w:rsidP="00E8405B">
      <w:pPr>
        <w:rPr>
          <w:sz w:val="21"/>
          <w:szCs w:val="21"/>
          <w:lang w:val="en-US" w:eastAsia="en-US"/>
        </w:rPr>
      </w:pPr>
    </w:p>
    <w:p w14:paraId="48CB6233" w14:textId="286214FE" w:rsidR="00290875" w:rsidRDefault="00290875" w:rsidP="00E8405B">
      <w:pPr>
        <w:rPr>
          <w:sz w:val="21"/>
          <w:szCs w:val="21"/>
          <w:lang w:val="en-US" w:eastAsia="en-US"/>
        </w:rPr>
      </w:pPr>
      <w:r w:rsidRPr="00290875">
        <w:rPr>
          <w:sz w:val="21"/>
          <w:szCs w:val="21"/>
          <w:lang w:val="en-US" w:eastAsia="en-US"/>
        </w:rPr>
        <w:t xml:space="preserve">Flye correctly identified 2 out of 10 samples, </w:t>
      </w:r>
      <w:r w:rsidR="005429F3">
        <w:rPr>
          <w:sz w:val="21"/>
          <w:szCs w:val="21"/>
          <w:lang w:val="en-US" w:eastAsia="en-US"/>
        </w:rPr>
        <w:t>W</w:t>
      </w:r>
      <w:r w:rsidRPr="00290875">
        <w:rPr>
          <w:sz w:val="21"/>
          <w:szCs w:val="21"/>
          <w:lang w:val="en-US" w:eastAsia="en-US"/>
        </w:rPr>
        <w:t xml:space="preserve">f-amplicon de novo identified 1, and </w:t>
      </w:r>
      <w:r w:rsidR="005429F3">
        <w:rPr>
          <w:sz w:val="21"/>
          <w:szCs w:val="21"/>
          <w:lang w:val="en-US" w:eastAsia="en-US"/>
        </w:rPr>
        <w:t>W</w:t>
      </w:r>
      <w:r w:rsidRPr="00290875">
        <w:rPr>
          <w:sz w:val="21"/>
          <w:szCs w:val="21"/>
          <w:lang w:val="en-US" w:eastAsia="en-US"/>
        </w:rPr>
        <w:t xml:space="preserve">f-amplicon variant calling identified 9. No direct or consistent relationship was observed between the number of BLAST-matched primers, specific mapping percentage, or abundance and the success of identification across all tools. Only the </w:t>
      </w:r>
      <w:r w:rsidR="005429F3">
        <w:rPr>
          <w:sz w:val="21"/>
          <w:szCs w:val="21"/>
          <w:lang w:val="en-US" w:eastAsia="en-US"/>
        </w:rPr>
        <w:t>W</w:t>
      </w:r>
      <w:r w:rsidRPr="00290875">
        <w:rPr>
          <w:sz w:val="21"/>
          <w:szCs w:val="21"/>
          <w:lang w:val="en-US" w:eastAsia="en-US"/>
        </w:rPr>
        <w:t>f-amplicon variant workflow consistently produced correct classifications, even in samples with limited primer recovery, low mapping, or low abundance.</w:t>
      </w:r>
    </w:p>
    <w:p w14:paraId="0F04BCFA" w14:textId="77777777" w:rsidR="001C033A" w:rsidRDefault="001C033A" w:rsidP="00E8405B">
      <w:pPr>
        <w:rPr>
          <w:sz w:val="21"/>
          <w:szCs w:val="21"/>
          <w:lang w:val="en-US" w:eastAsia="en-US"/>
        </w:rPr>
      </w:pPr>
    </w:p>
    <w:p w14:paraId="7A7EA562" w14:textId="77777777" w:rsidR="001C033A" w:rsidRDefault="001C033A" w:rsidP="00E8405B">
      <w:pPr>
        <w:rPr>
          <w:sz w:val="21"/>
          <w:szCs w:val="21"/>
          <w:lang w:val="en-US" w:eastAsia="en-US"/>
        </w:rPr>
      </w:pPr>
    </w:p>
    <w:p w14:paraId="589D0EC5" w14:textId="73514406" w:rsidR="001C033A" w:rsidRDefault="001C033A" w:rsidP="001C033A">
      <w:pPr>
        <w:pStyle w:val="Kop1"/>
        <w:rPr>
          <w:rFonts w:ascii="Calibri" w:hAnsi="Calibri" w:cs="Calibri"/>
          <w:sz w:val="22"/>
          <w:szCs w:val="22"/>
          <w:lang w:val="en-US" w:eastAsia="en-US"/>
        </w:rPr>
      </w:pPr>
      <w:bookmarkStart w:id="20" w:name="_Toc201242209"/>
      <w:r>
        <w:rPr>
          <w:rFonts w:ascii="Calibri" w:hAnsi="Calibri" w:cs="Calibri"/>
          <w:sz w:val="22"/>
          <w:szCs w:val="22"/>
          <w:lang w:val="en-US" w:eastAsia="en-US"/>
        </w:rPr>
        <w:lastRenderedPageBreak/>
        <w:t>DISCUSSION</w:t>
      </w:r>
      <w:bookmarkEnd w:id="20"/>
    </w:p>
    <w:p w14:paraId="425A7549" w14:textId="19D3F07D" w:rsidR="001C033A" w:rsidRDefault="00C011A1" w:rsidP="001C033A">
      <w:pPr>
        <w:rPr>
          <w:sz w:val="21"/>
          <w:szCs w:val="21"/>
          <w:lang w:val="en-US" w:eastAsia="en-US"/>
        </w:rPr>
      </w:pPr>
      <w:r w:rsidRPr="00C011A1">
        <w:rPr>
          <w:sz w:val="21"/>
          <w:szCs w:val="21"/>
          <w:lang w:val="en-US" w:eastAsia="en-US"/>
        </w:rPr>
        <w:t xml:space="preserve">This study evaluated the </w:t>
      </w:r>
      <w:r w:rsidR="00FA55EC" w:rsidRPr="00FA55EC">
        <w:rPr>
          <w:sz w:val="21"/>
          <w:szCs w:val="21"/>
          <w:lang w:val="en-US" w:eastAsia="en-US"/>
        </w:rPr>
        <w:t>applicability</w:t>
      </w:r>
      <w:r w:rsidR="00FA55EC">
        <w:rPr>
          <w:sz w:val="21"/>
          <w:szCs w:val="21"/>
          <w:lang w:val="en-US" w:eastAsia="en-US"/>
        </w:rPr>
        <w:t xml:space="preserve"> </w:t>
      </w:r>
      <w:r w:rsidRPr="00C011A1">
        <w:rPr>
          <w:sz w:val="21"/>
          <w:szCs w:val="21"/>
          <w:lang w:val="en-US" w:eastAsia="en-US"/>
        </w:rPr>
        <w:t xml:space="preserve">of using Nanopore-based sequencing of the fungal ITS region for species-level identification of clinical isolates, with the broader goal of informing workflows applicable to FFPE-derived DNA. All analyses were based on the same input: quality-filtered Nanopore FASTQ reads of PCR-amplified ITS regions from ten fungal isolates. The study workflow was divided into three parallel approaches: taxonomic screening using GermGenie, specificity analysis using Minimap2 and Samtools, and ITS identification using reconstruction tools Flye, </w:t>
      </w:r>
      <w:r w:rsidR="005429F3">
        <w:rPr>
          <w:sz w:val="21"/>
          <w:szCs w:val="21"/>
          <w:lang w:val="en-US" w:eastAsia="en-US"/>
        </w:rPr>
        <w:t>W</w:t>
      </w:r>
      <w:r w:rsidRPr="00C011A1">
        <w:rPr>
          <w:sz w:val="21"/>
          <w:szCs w:val="21"/>
          <w:lang w:val="en-US" w:eastAsia="en-US"/>
        </w:rPr>
        <w:t xml:space="preserve">f-amplicon de novo, and </w:t>
      </w:r>
      <w:r w:rsidR="005429F3">
        <w:rPr>
          <w:sz w:val="21"/>
          <w:szCs w:val="21"/>
          <w:lang w:val="en-US" w:eastAsia="en-US"/>
        </w:rPr>
        <w:t>W</w:t>
      </w:r>
      <w:r w:rsidRPr="00C011A1">
        <w:rPr>
          <w:sz w:val="21"/>
          <w:szCs w:val="21"/>
          <w:lang w:val="en-US" w:eastAsia="en-US"/>
        </w:rPr>
        <w:t>f-amplicon variant calling in combination with ITSx and BLAST.</w:t>
      </w:r>
    </w:p>
    <w:p w14:paraId="39358F8E" w14:textId="77777777" w:rsidR="00C011A1" w:rsidRDefault="00C011A1" w:rsidP="001C033A">
      <w:pPr>
        <w:rPr>
          <w:sz w:val="21"/>
          <w:szCs w:val="21"/>
          <w:lang w:val="en-US" w:eastAsia="en-US"/>
        </w:rPr>
      </w:pPr>
    </w:p>
    <w:p w14:paraId="4F700FCB" w14:textId="23E611C9" w:rsidR="002C1A8E" w:rsidRDefault="00494C56" w:rsidP="001C033A">
      <w:pPr>
        <w:rPr>
          <w:sz w:val="21"/>
          <w:szCs w:val="21"/>
          <w:lang w:val="en-US" w:eastAsia="en-US"/>
        </w:rPr>
      </w:pPr>
      <w:r w:rsidRPr="00494C56">
        <w:rPr>
          <w:sz w:val="21"/>
          <w:szCs w:val="21"/>
          <w:lang w:val="en-US" w:eastAsia="en-US"/>
        </w:rPr>
        <w:t xml:space="preserve">The main finding was that the </w:t>
      </w:r>
      <w:r w:rsidR="005429F3">
        <w:rPr>
          <w:sz w:val="21"/>
          <w:szCs w:val="21"/>
          <w:lang w:val="en-US" w:eastAsia="en-US"/>
        </w:rPr>
        <w:t>W</w:t>
      </w:r>
      <w:r w:rsidRPr="00494C56">
        <w:rPr>
          <w:sz w:val="21"/>
          <w:szCs w:val="21"/>
          <w:lang w:val="en-US" w:eastAsia="en-US"/>
        </w:rPr>
        <w:t>f-amplicon variant calling workflow produced the highest accuracy, correctly identifying 9 out of 10 clinical isolates at species level. Flye only produced usable sequences for five samples, of which only two were correctly classified. Similarly, wf-amplicon de novo generated results for four isolates, but only one was correctly identified. These differences highlight the reliability of the variant workflow in clinical ITS sequencing.</w:t>
      </w:r>
      <w:r w:rsidR="00D83EE6">
        <w:rPr>
          <w:sz w:val="21"/>
          <w:szCs w:val="21"/>
          <w:lang w:val="en-US" w:eastAsia="en-US"/>
        </w:rPr>
        <w:t xml:space="preserve"> </w:t>
      </w:r>
      <w:r w:rsidR="00C474E8" w:rsidRPr="00C474E8">
        <w:rPr>
          <w:sz w:val="21"/>
          <w:szCs w:val="21"/>
          <w:lang w:val="en-US" w:eastAsia="en-US"/>
        </w:rPr>
        <w:t>These differences in performance can be explained by how each workflow processes the data. The variant calling mode aligns reads directly to a reference sequence and uses Medaka to call variants and generate a polished consensus. This guided approach helps preserve sequence accuracy even when the raw reads contain errors and is well suited for clinical samples with degraded or noisy input</w:t>
      </w:r>
      <w:r w:rsidR="00BF6E8F">
        <w:rPr>
          <w:sz w:val="21"/>
          <w:szCs w:val="21"/>
          <w:lang w:val="en-US" w:eastAsia="en-US"/>
        </w:rPr>
        <w:t xml:space="preserve"> </w:t>
      </w:r>
      <w:sdt>
        <w:sdtPr>
          <w:rPr>
            <w:sz w:val="21"/>
            <w:szCs w:val="21"/>
            <w:lang w:val="en-US" w:eastAsia="en-US"/>
          </w:rPr>
          <w:id w:val="-957877733"/>
          <w:citation/>
        </w:sdtPr>
        <w:sdtContent>
          <w:r w:rsidR="00BF6E8F">
            <w:rPr>
              <w:sz w:val="21"/>
              <w:szCs w:val="21"/>
              <w:lang w:val="en-US" w:eastAsia="en-US"/>
            </w:rPr>
            <w:fldChar w:fldCharType="begin"/>
          </w:r>
          <w:r w:rsidR="00BF6E8F" w:rsidRPr="00BF6E8F">
            <w:rPr>
              <w:sz w:val="21"/>
              <w:szCs w:val="21"/>
              <w:lang w:val="en-US" w:eastAsia="en-US"/>
            </w:rPr>
            <w:instrText xml:space="preserve"> CITATION sho \l 1043 </w:instrText>
          </w:r>
          <w:r w:rsidR="00BF6E8F">
            <w:rPr>
              <w:sz w:val="21"/>
              <w:szCs w:val="21"/>
              <w:lang w:val="en-US" w:eastAsia="en-US"/>
            </w:rPr>
            <w:fldChar w:fldCharType="separate"/>
          </w:r>
          <w:r w:rsidR="009A72D0" w:rsidRPr="009A72D0">
            <w:rPr>
              <w:noProof/>
              <w:sz w:val="21"/>
              <w:szCs w:val="21"/>
              <w:lang w:val="en-US" w:eastAsia="en-US"/>
            </w:rPr>
            <w:t>[19]</w:t>
          </w:r>
          <w:r w:rsidR="00BF6E8F">
            <w:rPr>
              <w:sz w:val="21"/>
              <w:szCs w:val="21"/>
              <w:lang w:val="en-US" w:eastAsia="en-US"/>
            </w:rPr>
            <w:fldChar w:fldCharType="end"/>
          </w:r>
        </w:sdtContent>
      </w:sdt>
      <w:r w:rsidR="00C474E8" w:rsidRPr="00C474E8">
        <w:rPr>
          <w:sz w:val="21"/>
          <w:szCs w:val="21"/>
          <w:lang w:val="en-US" w:eastAsia="en-US"/>
        </w:rPr>
        <w:t>. The de novo mode assembles a draft consensus without a reference, using miniasm or spoa for shorter amplicons, and then polishes the result with Medaka. While this method can reconstruct full-length amplicons, it is more sensitive to low coverage and sequence variation, which may lead to errors or loss of sequences.</w:t>
      </w:r>
      <w:r w:rsidR="008E156E">
        <w:rPr>
          <w:sz w:val="21"/>
          <w:szCs w:val="21"/>
          <w:lang w:val="en-US" w:eastAsia="en-US"/>
        </w:rPr>
        <w:t xml:space="preserve"> </w:t>
      </w:r>
      <w:sdt>
        <w:sdtPr>
          <w:rPr>
            <w:sz w:val="21"/>
            <w:szCs w:val="21"/>
            <w:lang w:val="en-US" w:eastAsia="en-US"/>
          </w:rPr>
          <w:id w:val="421374207"/>
          <w:citation/>
        </w:sdtPr>
        <w:sdtContent>
          <w:r w:rsidR="00382483">
            <w:rPr>
              <w:sz w:val="21"/>
              <w:szCs w:val="21"/>
              <w:lang w:val="en-US" w:eastAsia="en-US"/>
            </w:rPr>
            <w:fldChar w:fldCharType="begin"/>
          </w:r>
          <w:r w:rsidR="00382483" w:rsidRPr="00094905">
            <w:rPr>
              <w:sz w:val="21"/>
              <w:szCs w:val="21"/>
              <w:lang w:val="en-US" w:eastAsia="en-US"/>
            </w:rPr>
            <w:instrText xml:space="preserve"> CITATION Vas17 \l 1043 </w:instrText>
          </w:r>
          <w:r w:rsidR="00382483">
            <w:rPr>
              <w:sz w:val="21"/>
              <w:szCs w:val="21"/>
              <w:lang w:val="en-US" w:eastAsia="en-US"/>
            </w:rPr>
            <w:fldChar w:fldCharType="separate"/>
          </w:r>
          <w:r w:rsidR="009A72D0" w:rsidRPr="009A72D0">
            <w:rPr>
              <w:noProof/>
              <w:sz w:val="21"/>
              <w:szCs w:val="21"/>
              <w:lang w:val="en-US" w:eastAsia="en-US"/>
            </w:rPr>
            <w:t>[20]</w:t>
          </w:r>
          <w:r w:rsidR="00382483">
            <w:rPr>
              <w:sz w:val="21"/>
              <w:szCs w:val="21"/>
              <w:lang w:val="en-US" w:eastAsia="en-US"/>
            </w:rPr>
            <w:fldChar w:fldCharType="end"/>
          </w:r>
        </w:sdtContent>
      </w:sdt>
      <w:r w:rsidR="00C474E8" w:rsidRPr="00C474E8">
        <w:rPr>
          <w:sz w:val="21"/>
          <w:szCs w:val="21"/>
          <w:lang w:val="en-US" w:eastAsia="en-US"/>
        </w:rPr>
        <w:t xml:space="preserve"> </w:t>
      </w:r>
      <w:r w:rsidR="000D56BF" w:rsidRPr="000D56BF">
        <w:rPr>
          <w:sz w:val="21"/>
          <w:szCs w:val="21"/>
          <w:lang w:val="en-US" w:eastAsia="en-US"/>
        </w:rPr>
        <w:t>Flye builds assemblies entirely from scratch without a reference. This makes it more prone to fragmented or misassembled ITS sequences, especially when coverage is low or when repetitive regions interfere with assembly</w:t>
      </w:r>
      <w:r w:rsidR="00E83610">
        <w:rPr>
          <w:sz w:val="21"/>
          <w:szCs w:val="21"/>
          <w:lang w:val="en-US" w:eastAsia="en-US"/>
        </w:rPr>
        <w:t xml:space="preserve"> </w:t>
      </w:r>
      <w:sdt>
        <w:sdtPr>
          <w:rPr>
            <w:sz w:val="21"/>
            <w:szCs w:val="21"/>
            <w:lang w:val="en-US" w:eastAsia="en-US"/>
          </w:rPr>
          <w:id w:val="-475998220"/>
          <w:citation/>
        </w:sdtPr>
        <w:sdtContent>
          <w:r w:rsidR="00E83610">
            <w:rPr>
              <w:sz w:val="21"/>
              <w:szCs w:val="21"/>
              <w:lang w:val="en-US" w:eastAsia="en-US"/>
            </w:rPr>
            <w:fldChar w:fldCharType="begin"/>
          </w:r>
          <w:r w:rsidR="00E83610" w:rsidRPr="00E83610">
            <w:rPr>
              <w:sz w:val="21"/>
              <w:szCs w:val="21"/>
              <w:lang w:val="en-US" w:eastAsia="en-US"/>
            </w:rPr>
            <w:instrText xml:space="preserve"> CITATION Sha20 \l 1043 </w:instrText>
          </w:r>
          <w:r w:rsidR="00E83610">
            <w:rPr>
              <w:sz w:val="21"/>
              <w:szCs w:val="21"/>
              <w:lang w:val="en-US" w:eastAsia="en-US"/>
            </w:rPr>
            <w:fldChar w:fldCharType="separate"/>
          </w:r>
          <w:r w:rsidR="009A72D0" w:rsidRPr="009A72D0">
            <w:rPr>
              <w:noProof/>
              <w:sz w:val="21"/>
              <w:szCs w:val="21"/>
              <w:lang w:val="en-US" w:eastAsia="en-US"/>
            </w:rPr>
            <w:t>[21]</w:t>
          </w:r>
          <w:r w:rsidR="00E83610">
            <w:rPr>
              <w:sz w:val="21"/>
              <w:szCs w:val="21"/>
              <w:lang w:val="en-US" w:eastAsia="en-US"/>
            </w:rPr>
            <w:fldChar w:fldCharType="end"/>
          </w:r>
        </w:sdtContent>
      </w:sdt>
      <w:r w:rsidR="000D56BF" w:rsidRPr="000D56BF">
        <w:rPr>
          <w:sz w:val="21"/>
          <w:szCs w:val="21"/>
          <w:lang w:val="en-US" w:eastAsia="en-US"/>
        </w:rPr>
        <w:t>.</w:t>
      </w:r>
    </w:p>
    <w:p w14:paraId="4EF44D79" w14:textId="77777777" w:rsidR="00D83EE6" w:rsidRDefault="00D83EE6" w:rsidP="001C033A">
      <w:pPr>
        <w:rPr>
          <w:sz w:val="21"/>
          <w:szCs w:val="21"/>
          <w:lang w:val="en-US" w:eastAsia="en-US"/>
        </w:rPr>
      </w:pPr>
    </w:p>
    <w:p w14:paraId="67B0B6C9" w14:textId="514B0902" w:rsidR="00971F78" w:rsidRDefault="00B10BBB" w:rsidP="001C033A">
      <w:pPr>
        <w:rPr>
          <w:sz w:val="21"/>
          <w:szCs w:val="21"/>
          <w:lang w:val="en-US" w:eastAsia="en-US"/>
        </w:rPr>
      </w:pPr>
      <w:r w:rsidRPr="00B10BBB">
        <w:rPr>
          <w:sz w:val="21"/>
          <w:szCs w:val="21"/>
          <w:lang w:val="en-US" w:eastAsia="en-US"/>
        </w:rPr>
        <w:t xml:space="preserve">GermGenie was applied directly to the filtered FASTQ reads to assess whether rapid reference-based identification could be achieved without reconstruction. Using a fungal ITS reference database, GermGenie correctly identified </w:t>
      </w:r>
      <w:r w:rsidRPr="00B10BBB">
        <w:rPr>
          <w:i/>
          <w:iCs/>
          <w:sz w:val="21"/>
          <w:szCs w:val="21"/>
          <w:lang w:val="en-US" w:eastAsia="en-US"/>
        </w:rPr>
        <w:t>M. pachydermatis</w:t>
      </w:r>
      <w:r w:rsidRPr="00B10BBB">
        <w:rPr>
          <w:sz w:val="21"/>
          <w:szCs w:val="21"/>
          <w:lang w:val="en-US" w:eastAsia="en-US"/>
        </w:rPr>
        <w:t xml:space="preserve"> but misclassified most other isolates and often detected unrelated taxa across samples. These results show that while GermGenie enables fast screening, its reliability for ITS-based fungal classification remains limited without improved database quality. This may be due to an incomplete or poorly curated reference database and possible off-target amplification during PCR, which can introduce non-specific reads and lower taxonomic resolution.</w:t>
      </w:r>
    </w:p>
    <w:p w14:paraId="1C1968C5" w14:textId="77777777" w:rsidR="00B10BBB" w:rsidRDefault="00B10BBB" w:rsidP="001C033A">
      <w:pPr>
        <w:rPr>
          <w:sz w:val="21"/>
          <w:szCs w:val="21"/>
          <w:lang w:val="en-US" w:eastAsia="en-US"/>
        </w:rPr>
      </w:pPr>
    </w:p>
    <w:p w14:paraId="05766C7C" w14:textId="48132FAE" w:rsidR="005A4829" w:rsidRDefault="00971F78" w:rsidP="001C033A">
      <w:pPr>
        <w:rPr>
          <w:sz w:val="21"/>
          <w:szCs w:val="21"/>
          <w:lang w:val="en-US" w:eastAsia="en-US"/>
        </w:rPr>
      </w:pPr>
      <w:r>
        <w:rPr>
          <w:sz w:val="21"/>
          <w:szCs w:val="21"/>
          <w:lang w:val="en-US" w:eastAsia="en-US"/>
        </w:rPr>
        <w:t>T</w:t>
      </w:r>
      <w:r w:rsidRPr="00971F78">
        <w:rPr>
          <w:sz w:val="21"/>
          <w:szCs w:val="21"/>
          <w:lang w:val="en-US" w:eastAsia="en-US"/>
        </w:rPr>
        <w:t>o assess PCR specificity, Minimap2 and Samtools were used to align filtered reads against fungal reference genomes. Specific mapping percentages ranged from 1.08% (</w:t>
      </w:r>
      <w:r w:rsidR="00B10BBB" w:rsidRPr="00B10BBB">
        <w:rPr>
          <w:i/>
          <w:iCs/>
          <w:sz w:val="21"/>
          <w:szCs w:val="21"/>
          <w:lang w:val="en-US" w:eastAsia="en-US"/>
        </w:rPr>
        <w:t>T.</w:t>
      </w:r>
      <w:r w:rsidRPr="00B10BBB">
        <w:rPr>
          <w:i/>
          <w:iCs/>
          <w:sz w:val="21"/>
          <w:szCs w:val="21"/>
          <w:lang w:val="en-US" w:eastAsia="en-US"/>
        </w:rPr>
        <w:t xml:space="preserve"> indotineae</w:t>
      </w:r>
      <w:r w:rsidRPr="00971F78">
        <w:rPr>
          <w:sz w:val="21"/>
          <w:szCs w:val="21"/>
          <w:lang w:val="en-US" w:eastAsia="en-US"/>
        </w:rPr>
        <w:t>) to 100% (</w:t>
      </w:r>
      <w:r w:rsidRPr="00B10BBB">
        <w:rPr>
          <w:i/>
          <w:iCs/>
          <w:sz w:val="21"/>
          <w:szCs w:val="21"/>
          <w:lang w:val="en-US" w:eastAsia="en-US"/>
        </w:rPr>
        <w:t>C</w:t>
      </w:r>
      <w:r w:rsidR="00B10BBB" w:rsidRPr="00B10BBB">
        <w:rPr>
          <w:i/>
          <w:iCs/>
          <w:sz w:val="21"/>
          <w:szCs w:val="21"/>
          <w:lang w:val="en-US" w:eastAsia="en-US"/>
        </w:rPr>
        <w:t xml:space="preserve">. </w:t>
      </w:r>
      <w:r w:rsidRPr="00B10BBB">
        <w:rPr>
          <w:i/>
          <w:iCs/>
          <w:sz w:val="21"/>
          <w:szCs w:val="21"/>
          <w:lang w:val="en-US" w:eastAsia="en-US"/>
        </w:rPr>
        <w:t>albicans</w:t>
      </w:r>
      <w:r w:rsidRPr="00971F78">
        <w:rPr>
          <w:sz w:val="21"/>
          <w:szCs w:val="21"/>
          <w:lang w:val="en-US" w:eastAsia="en-US"/>
        </w:rPr>
        <w:t xml:space="preserve">). </w:t>
      </w:r>
      <w:r w:rsidR="00EE2627" w:rsidRPr="00EE2627">
        <w:rPr>
          <w:sz w:val="21"/>
          <w:szCs w:val="21"/>
          <w:lang w:val="en-US" w:eastAsia="en-US"/>
        </w:rPr>
        <w:t xml:space="preserve">The observed variation in mapping percentages across samples can be attributed primarily to two factors: genomic divergence and primer specificity. In cases where the sequenced isolate differs substantially from the available reference genome, mapping efficiency decreases due to sequence mismatches. This likely explains the low mapping rates observed for </w:t>
      </w:r>
      <w:r w:rsidR="00EE2627" w:rsidRPr="00035BAD">
        <w:rPr>
          <w:i/>
          <w:iCs/>
          <w:sz w:val="21"/>
          <w:szCs w:val="21"/>
          <w:lang w:val="en-US" w:eastAsia="en-US"/>
        </w:rPr>
        <w:t>T</w:t>
      </w:r>
      <w:r w:rsidR="00035BAD" w:rsidRPr="00035BAD">
        <w:rPr>
          <w:i/>
          <w:iCs/>
          <w:sz w:val="21"/>
          <w:szCs w:val="21"/>
          <w:lang w:val="en-US" w:eastAsia="en-US"/>
        </w:rPr>
        <w:t xml:space="preserve">. </w:t>
      </w:r>
      <w:r w:rsidR="00EE2627" w:rsidRPr="00035BAD">
        <w:rPr>
          <w:i/>
          <w:iCs/>
          <w:sz w:val="21"/>
          <w:szCs w:val="21"/>
          <w:lang w:val="en-US" w:eastAsia="en-US"/>
        </w:rPr>
        <w:t>indotineae</w:t>
      </w:r>
      <w:r w:rsidR="00EE2627" w:rsidRPr="00EE2627">
        <w:rPr>
          <w:sz w:val="21"/>
          <w:szCs w:val="21"/>
          <w:lang w:val="en-US" w:eastAsia="en-US"/>
        </w:rPr>
        <w:t xml:space="preserve"> and </w:t>
      </w:r>
      <w:r w:rsidR="00EE2627" w:rsidRPr="00035BAD">
        <w:rPr>
          <w:i/>
          <w:iCs/>
          <w:sz w:val="21"/>
          <w:szCs w:val="21"/>
          <w:lang w:val="en-US" w:eastAsia="en-US"/>
        </w:rPr>
        <w:t>A</w:t>
      </w:r>
      <w:r w:rsidR="00035BAD" w:rsidRPr="00035BAD">
        <w:rPr>
          <w:i/>
          <w:iCs/>
          <w:sz w:val="21"/>
          <w:szCs w:val="21"/>
          <w:lang w:val="en-US" w:eastAsia="en-US"/>
        </w:rPr>
        <w:t xml:space="preserve">. </w:t>
      </w:r>
      <w:r w:rsidR="00EE2627" w:rsidRPr="00035BAD">
        <w:rPr>
          <w:i/>
          <w:iCs/>
          <w:sz w:val="21"/>
          <w:szCs w:val="21"/>
          <w:lang w:val="en-US" w:eastAsia="en-US"/>
        </w:rPr>
        <w:t>fumigatus</w:t>
      </w:r>
      <w:r w:rsidR="00EE2627" w:rsidRPr="00EE2627">
        <w:rPr>
          <w:sz w:val="21"/>
          <w:szCs w:val="21"/>
          <w:lang w:val="en-US" w:eastAsia="en-US"/>
        </w:rPr>
        <w:t xml:space="preserve"> </w:t>
      </w:r>
      <w:sdt>
        <w:sdtPr>
          <w:rPr>
            <w:sz w:val="21"/>
            <w:szCs w:val="21"/>
            <w:lang w:val="en-US" w:eastAsia="en-US"/>
          </w:rPr>
          <w:id w:val="1969471646"/>
          <w:citation/>
        </w:sdtPr>
        <w:sdtContent>
          <w:r w:rsidR="00C27C6E">
            <w:rPr>
              <w:sz w:val="21"/>
              <w:szCs w:val="21"/>
              <w:lang w:val="en-US" w:eastAsia="en-US"/>
            </w:rPr>
            <w:fldChar w:fldCharType="begin"/>
          </w:r>
          <w:r w:rsidR="00C27C6E" w:rsidRPr="00C27C6E">
            <w:rPr>
              <w:sz w:val="21"/>
              <w:szCs w:val="21"/>
              <w:lang w:val="en-US" w:eastAsia="en-US"/>
            </w:rPr>
            <w:instrText xml:space="preserve"> CITATION Loi19 \l 1043 </w:instrText>
          </w:r>
          <w:r w:rsidR="00C27C6E">
            <w:rPr>
              <w:sz w:val="21"/>
              <w:szCs w:val="21"/>
              <w:lang w:val="en-US" w:eastAsia="en-US"/>
            </w:rPr>
            <w:fldChar w:fldCharType="separate"/>
          </w:r>
          <w:r w:rsidR="009A72D0" w:rsidRPr="009A72D0">
            <w:rPr>
              <w:noProof/>
              <w:sz w:val="21"/>
              <w:szCs w:val="21"/>
              <w:lang w:val="en-US" w:eastAsia="en-US"/>
            </w:rPr>
            <w:t>[22]</w:t>
          </w:r>
          <w:r w:rsidR="00C27C6E">
            <w:rPr>
              <w:sz w:val="21"/>
              <w:szCs w:val="21"/>
              <w:lang w:val="en-US" w:eastAsia="en-US"/>
            </w:rPr>
            <w:fldChar w:fldCharType="end"/>
          </w:r>
        </w:sdtContent>
      </w:sdt>
      <w:r w:rsidR="00C27C6E">
        <w:rPr>
          <w:sz w:val="21"/>
          <w:szCs w:val="21"/>
          <w:lang w:val="en-US" w:eastAsia="en-US"/>
        </w:rPr>
        <w:t xml:space="preserve"> . </w:t>
      </w:r>
      <w:r w:rsidR="00EE2627" w:rsidRPr="00EE2627">
        <w:rPr>
          <w:sz w:val="21"/>
          <w:szCs w:val="21"/>
          <w:lang w:val="en-US" w:eastAsia="en-US"/>
        </w:rPr>
        <w:t>Additionally, non-specific primer binding can lead to off-target amplification, producing reads that do not correspond to the ITS region and therefore fail to align specifically</w:t>
      </w:r>
      <w:r w:rsidR="00C27C6E">
        <w:rPr>
          <w:sz w:val="21"/>
          <w:szCs w:val="21"/>
          <w:lang w:val="en-US" w:eastAsia="en-US"/>
        </w:rPr>
        <w:t xml:space="preserve"> </w:t>
      </w:r>
      <w:sdt>
        <w:sdtPr>
          <w:rPr>
            <w:sz w:val="21"/>
            <w:szCs w:val="21"/>
            <w:lang w:val="en-US" w:eastAsia="en-US"/>
          </w:rPr>
          <w:id w:val="1494761474"/>
          <w:citation/>
        </w:sdtPr>
        <w:sdtContent>
          <w:r w:rsidR="00D70441">
            <w:rPr>
              <w:sz w:val="21"/>
              <w:szCs w:val="21"/>
              <w:lang w:val="en-US" w:eastAsia="en-US"/>
            </w:rPr>
            <w:fldChar w:fldCharType="begin"/>
          </w:r>
          <w:r w:rsidR="00D70441" w:rsidRPr="00D70441">
            <w:rPr>
              <w:sz w:val="21"/>
              <w:szCs w:val="21"/>
              <w:lang w:val="en-US" w:eastAsia="en-US"/>
            </w:rPr>
            <w:instrText xml:space="preserve"> CITATION Bel101 \l 1043 </w:instrText>
          </w:r>
          <w:r w:rsidR="00D70441">
            <w:rPr>
              <w:sz w:val="21"/>
              <w:szCs w:val="21"/>
              <w:lang w:val="en-US" w:eastAsia="en-US"/>
            </w:rPr>
            <w:fldChar w:fldCharType="separate"/>
          </w:r>
          <w:r w:rsidR="009A72D0" w:rsidRPr="009A72D0">
            <w:rPr>
              <w:noProof/>
              <w:sz w:val="21"/>
              <w:szCs w:val="21"/>
              <w:lang w:val="en-US" w:eastAsia="en-US"/>
            </w:rPr>
            <w:t>[23]</w:t>
          </w:r>
          <w:r w:rsidR="00D70441">
            <w:rPr>
              <w:sz w:val="21"/>
              <w:szCs w:val="21"/>
              <w:lang w:val="en-US" w:eastAsia="en-US"/>
            </w:rPr>
            <w:fldChar w:fldCharType="end"/>
          </w:r>
        </w:sdtContent>
      </w:sdt>
      <w:r w:rsidR="00EE2627" w:rsidRPr="00EE2627">
        <w:rPr>
          <w:sz w:val="21"/>
          <w:szCs w:val="21"/>
          <w:lang w:val="en-US" w:eastAsia="en-US"/>
        </w:rPr>
        <w:t>. Together, these factors demonstrate that high-quality mapping is not solely dependent on read quality, but also on the match between primers, the target region, and the available reference genomes.</w:t>
      </w:r>
      <w:r w:rsidR="00DD2794">
        <w:rPr>
          <w:sz w:val="21"/>
          <w:szCs w:val="21"/>
          <w:lang w:val="en-US" w:eastAsia="en-US"/>
        </w:rPr>
        <w:t xml:space="preserve"> </w:t>
      </w:r>
    </w:p>
    <w:p w14:paraId="679CA690" w14:textId="77777777" w:rsidR="005A4829" w:rsidRDefault="005A4829" w:rsidP="001C033A">
      <w:pPr>
        <w:rPr>
          <w:sz w:val="21"/>
          <w:szCs w:val="21"/>
          <w:lang w:val="en-US" w:eastAsia="en-US"/>
        </w:rPr>
      </w:pPr>
    </w:p>
    <w:p w14:paraId="057D1EAD" w14:textId="2B2C8FFD" w:rsidR="00971F78" w:rsidRDefault="00971F78" w:rsidP="001C033A">
      <w:pPr>
        <w:rPr>
          <w:sz w:val="21"/>
          <w:szCs w:val="21"/>
          <w:lang w:val="en-US" w:eastAsia="en-US"/>
        </w:rPr>
      </w:pPr>
      <w:r w:rsidRPr="00971F78">
        <w:rPr>
          <w:sz w:val="21"/>
          <w:szCs w:val="21"/>
          <w:lang w:val="en-US" w:eastAsia="en-US"/>
        </w:rPr>
        <w:t xml:space="preserve">Although high specificity may support accurate classification, the results showed that identification success did not consistently correlate with mapping percentage. For example, </w:t>
      </w:r>
      <w:r w:rsidRPr="00D70441">
        <w:rPr>
          <w:i/>
          <w:iCs/>
          <w:sz w:val="21"/>
          <w:szCs w:val="21"/>
          <w:lang w:val="en-US" w:eastAsia="en-US"/>
        </w:rPr>
        <w:t>C. albicans</w:t>
      </w:r>
      <w:r w:rsidRPr="00971F78">
        <w:rPr>
          <w:sz w:val="21"/>
          <w:szCs w:val="21"/>
          <w:lang w:val="en-US" w:eastAsia="en-US"/>
        </w:rPr>
        <w:t xml:space="preserve"> had high specificity and abundance but was not correctly identified by Flye or wf-amplicon de novo. On the other hand, </w:t>
      </w:r>
      <w:r w:rsidRPr="00D70441">
        <w:rPr>
          <w:i/>
          <w:iCs/>
          <w:sz w:val="21"/>
          <w:szCs w:val="21"/>
          <w:lang w:val="en-US" w:eastAsia="en-US"/>
        </w:rPr>
        <w:t>T. indotineae</w:t>
      </w:r>
      <w:r w:rsidRPr="00971F78">
        <w:rPr>
          <w:sz w:val="21"/>
          <w:szCs w:val="21"/>
          <w:lang w:val="en-US" w:eastAsia="en-US"/>
        </w:rPr>
        <w:t xml:space="preserve"> had low mapping and was not detected by GermGenie, yet was correctly identified by </w:t>
      </w:r>
      <w:r w:rsidR="00DD2794">
        <w:rPr>
          <w:sz w:val="21"/>
          <w:szCs w:val="21"/>
          <w:lang w:val="en-US" w:eastAsia="en-US"/>
        </w:rPr>
        <w:t>W</w:t>
      </w:r>
      <w:r w:rsidRPr="00971F78">
        <w:rPr>
          <w:sz w:val="21"/>
          <w:szCs w:val="21"/>
          <w:lang w:val="en-US" w:eastAsia="en-US"/>
        </w:rPr>
        <w:t>f-amplicon variant calling.</w:t>
      </w:r>
    </w:p>
    <w:p w14:paraId="6436F80A" w14:textId="77777777" w:rsidR="00D26E12" w:rsidRDefault="00D26E12" w:rsidP="001C033A">
      <w:pPr>
        <w:rPr>
          <w:sz w:val="21"/>
          <w:szCs w:val="21"/>
          <w:lang w:val="en-US" w:eastAsia="en-US"/>
        </w:rPr>
      </w:pPr>
    </w:p>
    <w:p w14:paraId="5D6CF963" w14:textId="1DD480CA" w:rsidR="00D26E12" w:rsidRDefault="00D26E12" w:rsidP="001C033A">
      <w:pPr>
        <w:rPr>
          <w:sz w:val="21"/>
          <w:szCs w:val="21"/>
          <w:lang w:val="en-US" w:eastAsia="en-US"/>
        </w:rPr>
      </w:pPr>
      <w:r w:rsidRPr="00D26E12">
        <w:rPr>
          <w:sz w:val="21"/>
          <w:szCs w:val="21"/>
          <w:lang w:val="en-US" w:eastAsia="en-US"/>
        </w:rPr>
        <w:t>No consistent pattern was observed between the number of BLAST-detected primers, mapping specificity, relative abundance, and identification outcome. Some isolates with favorable input characteristics were misclassified, while others with lower-quality indicators were correctly identified. These findings suggest that differences in tool architecture, such as error correction and alignment strategy, have a stronger influence on identification success than read quality metrics alone.</w:t>
      </w:r>
    </w:p>
    <w:p w14:paraId="168AB4A6" w14:textId="77777777" w:rsidR="000349BE" w:rsidRDefault="000349BE" w:rsidP="001C033A">
      <w:pPr>
        <w:rPr>
          <w:sz w:val="21"/>
          <w:szCs w:val="21"/>
          <w:lang w:val="en-US" w:eastAsia="en-US"/>
        </w:rPr>
      </w:pPr>
    </w:p>
    <w:p w14:paraId="72D8B508" w14:textId="4C067122" w:rsidR="000349BE" w:rsidRDefault="000349BE" w:rsidP="001C033A">
      <w:pPr>
        <w:rPr>
          <w:sz w:val="21"/>
          <w:szCs w:val="21"/>
          <w:lang w:val="en-US" w:eastAsia="en-US"/>
        </w:rPr>
      </w:pPr>
      <w:r w:rsidRPr="000349BE">
        <w:rPr>
          <w:sz w:val="21"/>
          <w:szCs w:val="21"/>
          <w:lang w:val="en-US" w:eastAsia="en-US"/>
        </w:rPr>
        <w:t xml:space="preserve">This study has several limitations. The sample size was limited to ten isolates, and no actual FFPE-derived DNA was analyzed. Only one primer pair and a single fungal reference database were used. GermGenie </w:t>
      </w:r>
      <w:r w:rsidRPr="000349BE">
        <w:rPr>
          <w:sz w:val="21"/>
          <w:szCs w:val="21"/>
          <w:lang w:val="en-US" w:eastAsia="en-US"/>
        </w:rPr>
        <w:lastRenderedPageBreak/>
        <w:t>was adapted for fungal ITS classification but was limited by database content and resolution. Other classifiers were not tested, and no evaluation was made of detection sensitivity in mixed samples.</w:t>
      </w:r>
    </w:p>
    <w:p w14:paraId="677EE9CF" w14:textId="74B303FB" w:rsidR="003E206A" w:rsidRDefault="003E206A" w:rsidP="001C033A">
      <w:pPr>
        <w:rPr>
          <w:sz w:val="21"/>
          <w:szCs w:val="21"/>
          <w:lang w:val="en-US" w:eastAsia="en-US"/>
        </w:rPr>
      </w:pPr>
    </w:p>
    <w:p w14:paraId="3082D004" w14:textId="0E61F283" w:rsidR="00873810" w:rsidRDefault="00424088" w:rsidP="001C033A">
      <w:pPr>
        <w:rPr>
          <w:sz w:val="21"/>
          <w:szCs w:val="21"/>
          <w:lang w:val="en-US" w:eastAsia="en-US"/>
        </w:rPr>
      </w:pPr>
      <w:r w:rsidRPr="00424088">
        <w:rPr>
          <w:sz w:val="21"/>
          <w:szCs w:val="21"/>
          <w:lang w:val="en-US" w:eastAsia="en-US"/>
        </w:rPr>
        <w:t xml:space="preserve">Future studies could expand the dataset by including a broader range of fungal species, degraded DNA sources such as FFPE tissue, and alternative primer sets that reduce amplification bias. </w:t>
      </w:r>
      <w:r w:rsidR="0007344F" w:rsidRPr="0007344F">
        <w:rPr>
          <w:sz w:val="21"/>
          <w:szCs w:val="21"/>
          <w:lang w:val="en-US" w:eastAsia="en-US"/>
        </w:rPr>
        <w:t>It would be useful to test GermGenie in combination with a custom fungal ITS database to improve classification, especially in cases where non-specific amplification produces off-target reads.</w:t>
      </w:r>
      <w:r w:rsidRPr="00424088">
        <w:rPr>
          <w:sz w:val="21"/>
          <w:szCs w:val="21"/>
          <w:lang w:val="en-US" w:eastAsia="en-US"/>
        </w:rPr>
        <w:t xml:space="preserve"> For example, the UNITE database could be integrated to improve taxonomic coverage and classification accuracy. One way to address the challenge of genomic divergence is by including multiple reference genomes per species or strain group, rather than relying on a single representative. This would improve read mapping and variant calling in cases where the sequenced isolate differs from the available reference.</w:t>
      </w:r>
    </w:p>
    <w:p w14:paraId="1C928C1F" w14:textId="7957A56B" w:rsidR="00873810" w:rsidRPr="00BB2666" w:rsidRDefault="00BB2666" w:rsidP="00BB2666">
      <w:pPr>
        <w:pStyle w:val="Kop1"/>
        <w:rPr>
          <w:rFonts w:ascii="Calibri" w:hAnsi="Calibri" w:cs="Calibri"/>
          <w:sz w:val="22"/>
          <w:szCs w:val="22"/>
          <w:lang w:val="en-US" w:eastAsia="en-US"/>
        </w:rPr>
      </w:pPr>
      <w:bookmarkStart w:id="21" w:name="_Toc201242210"/>
      <w:r>
        <w:rPr>
          <w:rFonts w:ascii="Calibri" w:hAnsi="Calibri" w:cs="Calibri"/>
          <w:sz w:val="22"/>
          <w:szCs w:val="22"/>
          <w:lang w:val="en-US" w:eastAsia="en-US"/>
        </w:rPr>
        <w:t>CONCLUSION</w:t>
      </w:r>
      <w:bookmarkEnd w:id="21"/>
    </w:p>
    <w:p w14:paraId="19FD30CC" w14:textId="4A9A9A41" w:rsidR="00873810" w:rsidRDefault="00873810" w:rsidP="001C033A">
      <w:pPr>
        <w:rPr>
          <w:sz w:val="21"/>
          <w:szCs w:val="21"/>
          <w:lang w:val="en-US" w:eastAsia="en-US"/>
        </w:rPr>
      </w:pPr>
      <w:r w:rsidRPr="00873810">
        <w:rPr>
          <w:sz w:val="21"/>
          <w:szCs w:val="21"/>
          <w:lang w:val="en-US" w:eastAsia="en-US"/>
        </w:rPr>
        <w:t xml:space="preserve">This study showed that Nanopore sequencing of the fungal ITS region can be used for species-level identification of clinical isolates. Of all tested methods, the </w:t>
      </w:r>
      <w:r w:rsidR="00B772E5">
        <w:rPr>
          <w:sz w:val="21"/>
          <w:szCs w:val="21"/>
          <w:lang w:val="en-US" w:eastAsia="en-US"/>
        </w:rPr>
        <w:t>W</w:t>
      </w:r>
      <w:r w:rsidRPr="00873810">
        <w:rPr>
          <w:sz w:val="21"/>
          <w:szCs w:val="21"/>
          <w:lang w:val="en-US" w:eastAsia="en-US"/>
        </w:rPr>
        <w:t xml:space="preserve">f-amplicon variant calling workflow in combination with ITSx and BLAST delivered the most accurate results. This method identified 9 out of 10 isolates correctly and proved to be the most reliable option. The tools Flye and wf-amplicon de novo were less consistent. They produced fewer usable consensus sequences and had lower identification success. This shows that not all reconstruction workflows are equally suitable for ITS-based identification. GermGenie was tested separately on the filtered read data. It allowed for quick screening but lacked precision for reliable species identification. </w:t>
      </w:r>
      <w:r w:rsidR="00C830F9" w:rsidRPr="00C830F9">
        <w:rPr>
          <w:sz w:val="21"/>
          <w:szCs w:val="21"/>
          <w:lang w:val="en-US" w:eastAsia="en-US"/>
        </w:rPr>
        <w:t>The mapping results from Minimap2 and Samtools provided useful insight into PCR specificity. In several isolates, not all amplification was specific to the target region, as off-target reads were also detected. This shows that PCR performance may vary between fungal species</w:t>
      </w:r>
      <w:r w:rsidR="00C830F9">
        <w:rPr>
          <w:sz w:val="21"/>
          <w:szCs w:val="21"/>
          <w:lang w:val="en-US" w:eastAsia="en-US"/>
        </w:rPr>
        <w:t xml:space="preserve">. </w:t>
      </w:r>
      <w:r w:rsidRPr="00873810">
        <w:rPr>
          <w:sz w:val="21"/>
          <w:szCs w:val="21"/>
          <w:lang w:val="en-US" w:eastAsia="en-US"/>
        </w:rPr>
        <w:t>The outcomes of this project contribute to the development of fungal identification workflows that may also be applied to degraded DNA such as from FFPE samples. To improve accuracy further, better reference databases are needed.</w:t>
      </w:r>
    </w:p>
    <w:p w14:paraId="22FCB74E" w14:textId="77777777" w:rsidR="00EB35E2" w:rsidRDefault="00EB35E2" w:rsidP="001C033A">
      <w:pPr>
        <w:rPr>
          <w:sz w:val="21"/>
          <w:szCs w:val="21"/>
          <w:lang w:val="en-US" w:eastAsia="en-US"/>
        </w:rPr>
      </w:pPr>
    </w:p>
    <w:p w14:paraId="276B95C9" w14:textId="178645D7" w:rsidR="00EB35E2" w:rsidRDefault="00EB35E2" w:rsidP="00EB35E2">
      <w:pPr>
        <w:pStyle w:val="Kop1"/>
        <w:rPr>
          <w:rFonts w:ascii="Calibri" w:hAnsi="Calibri" w:cs="Calibri"/>
          <w:sz w:val="22"/>
          <w:szCs w:val="22"/>
          <w:lang w:val="en-US" w:eastAsia="en-US"/>
        </w:rPr>
      </w:pPr>
      <w:bookmarkStart w:id="22" w:name="_Toc201242211"/>
      <w:r>
        <w:rPr>
          <w:rFonts w:ascii="Calibri" w:hAnsi="Calibri" w:cs="Calibri"/>
          <w:sz w:val="22"/>
          <w:szCs w:val="22"/>
          <w:lang w:val="en-US" w:eastAsia="en-US"/>
        </w:rPr>
        <w:t>AVAILABILITY OF DATA AND MATERIALS</w:t>
      </w:r>
      <w:bookmarkEnd w:id="22"/>
    </w:p>
    <w:p w14:paraId="7C7CE94E" w14:textId="30234065" w:rsidR="002677E4" w:rsidRDefault="002677E4" w:rsidP="00EB35E2">
      <w:pPr>
        <w:rPr>
          <w:sz w:val="21"/>
          <w:szCs w:val="21"/>
          <w:lang w:val="en-US" w:eastAsia="en-US"/>
        </w:rPr>
      </w:pPr>
      <w:r w:rsidRPr="002677E4">
        <w:rPr>
          <w:sz w:val="21"/>
          <w:szCs w:val="21"/>
          <w:lang w:val="en-US" w:eastAsia="en-US"/>
        </w:rPr>
        <w:t>The datasets that were generated and analysed in this study are availabl</w:t>
      </w:r>
      <w:r w:rsidR="009A72D0">
        <w:rPr>
          <w:sz w:val="21"/>
          <w:szCs w:val="21"/>
          <w:lang w:val="en-US" w:eastAsia="en-US"/>
        </w:rPr>
        <w:t>e</w:t>
      </w:r>
      <w:r w:rsidRPr="002677E4">
        <w:rPr>
          <w:sz w:val="21"/>
          <w:szCs w:val="21"/>
          <w:lang w:val="en-US" w:eastAsia="en-US"/>
        </w:rPr>
        <w:t xml:space="preserve">. The full sequencing dataset, which consists of ten FASTQ files (one for each barcoded clinical fungal isolate), is available via Google Drive </w:t>
      </w:r>
      <w:r>
        <w:rPr>
          <w:sz w:val="21"/>
          <w:szCs w:val="21"/>
          <w:lang w:val="en-US" w:eastAsia="en-US"/>
        </w:rPr>
        <w:t>(</w:t>
      </w:r>
      <w:hyperlink r:id="rId23" w:history="1">
        <w:r w:rsidRPr="00580F77">
          <w:rPr>
            <w:rStyle w:val="Hyperlink"/>
            <w:sz w:val="21"/>
            <w:szCs w:val="21"/>
            <w:lang w:val="en-US" w:eastAsia="en-US"/>
          </w:rPr>
          <w:t>https://github.com/DaanAdriaanse/fungal-ITS-identification-pipeline/blob/main/DataAccess.md</w:t>
        </w:r>
      </w:hyperlink>
      <w:r>
        <w:rPr>
          <w:sz w:val="21"/>
          <w:szCs w:val="21"/>
          <w:lang w:val="en-US" w:eastAsia="en-US"/>
        </w:rPr>
        <w:t>)</w:t>
      </w:r>
      <w:r w:rsidR="00F6012A">
        <w:rPr>
          <w:sz w:val="21"/>
          <w:szCs w:val="21"/>
          <w:lang w:val="en-US" w:eastAsia="en-US"/>
        </w:rPr>
        <w:t>.</w:t>
      </w:r>
    </w:p>
    <w:p w14:paraId="05B5A665" w14:textId="77777777" w:rsidR="00F6012A" w:rsidRDefault="00F6012A" w:rsidP="00EB35E2">
      <w:pPr>
        <w:rPr>
          <w:sz w:val="21"/>
          <w:szCs w:val="21"/>
          <w:lang w:val="en-US" w:eastAsia="en-US"/>
        </w:rPr>
      </w:pPr>
    </w:p>
    <w:p w14:paraId="473D085C" w14:textId="0D79D35D" w:rsidR="00F6012A" w:rsidRDefault="002677E4" w:rsidP="00EB35E2">
      <w:pPr>
        <w:rPr>
          <w:sz w:val="21"/>
          <w:szCs w:val="21"/>
          <w:lang w:val="en-US" w:eastAsia="en-US"/>
        </w:rPr>
      </w:pPr>
      <w:r w:rsidRPr="002677E4">
        <w:rPr>
          <w:sz w:val="21"/>
          <w:szCs w:val="21"/>
          <w:lang w:val="en-US" w:eastAsia="en-US"/>
        </w:rPr>
        <w:t xml:space="preserve">All analysis scripts, workflow documentation, and example output files are publicly available in the GitHub repository </w:t>
      </w:r>
      <w:r w:rsidR="00F6012A">
        <w:rPr>
          <w:sz w:val="21"/>
          <w:szCs w:val="21"/>
          <w:lang w:val="en-US" w:eastAsia="en-US"/>
        </w:rPr>
        <w:t>(</w:t>
      </w:r>
      <w:hyperlink r:id="rId24" w:history="1">
        <w:r w:rsidR="00F6012A" w:rsidRPr="00580F77">
          <w:rPr>
            <w:rStyle w:val="Hyperlink"/>
            <w:sz w:val="21"/>
            <w:szCs w:val="21"/>
            <w:lang w:val="en-US" w:eastAsia="en-US"/>
          </w:rPr>
          <w:t>https://github.com/DaanAdriaanse/fungal-ITS-identification-pipeline</w:t>
        </w:r>
      </w:hyperlink>
      <w:r w:rsidR="00F6012A">
        <w:rPr>
          <w:sz w:val="21"/>
          <w:szCs w:val="21"/>
          <w:lang w:val="en-US" w:eastAsia="en-US"/>
        </w:rPr>
        <w:t>).</w:t>
      </w:r>
    </w:p>
    <w:p w14:paraId="57792E9C" w14:textId="040F156B" w:rsidR="00492866" w:rsidRPr="003D0997" w:rsidRDefault="00492866" w:rsidP="00492866">
      <w:pPr>
        <w:pStyle w:val="Kop1"/>
        <w:rPr>
          <w:rFonts w:ascii="Calibri" w:hAnsi="Calibri" w:cs="Calibri"/>
          <w:sz w:val="22"/>
          <w:szCs w:val="22"/>
          <w:lang w:val="en-US" w:eastAsia="en-US"/>
        </w:rPr>
      </w:pPr>
      <w:bookmarkStart w:id="23" w:name="_Toc201242212"/>
      <w:r w:rsidRPr="003D0997">
        <w:rPr>
          <w:rFonts w:ascii="Calibri" w:hAnsi="Calibri" w:cs="Calibri"/>
          <w:sz w:val="22"/>
          <w:szCs w:val="22"/>
          <w:lang w:val="en-US" w:eastAsia="en-US"/>
        </w:rPr>
        <w:t>ACKNOWLEDGMENTS</w:t>
      </w:r>
      <w:bookmarkEnd w:id="23"/>
    </w:p>
    <w:p w14:paraId="18FFDAC6" w14:textId="5743DB52" w:rsidR="00EB35E2" w:rsidRDefault="00C662A2" w:rsidP="00EB35E2">
      <w:pPr>
        <w:rPr>
          <w:sz w:val="21"/>
          <w:szCs w:val="21"/>
          <w:lang w:val="en-US" w:eastAsia="en-US"/>
        </w:rPr>
      </w:pPr>
      <w:r w:rsidRPr="00633BBA">
        <w:rPr>
          <w:sz w:val="21"/>
          <w:szCs w:val="21"/>
          <w:lang w:val="en-US" w:eastAsia="en-US"/>
        </w:rPr>
        <w:t xml:space="preserve">The author would like to thank </w:t>
      </w:r>
      <w:r w:rsidR="00B10E12" w:rsidRPr="00633BBA">
        <w:rPr>
          <w:sz w:val="21"/>
          <w:szCs w:val="21"/>
          <w:lang w:val="en-US" w:eastAsia="en-US"/>
        </w:rPr>
        <w:t xml:space="preserve">Dr. </w:t>
      </w:r>
      <w:r w:rsidRPr="00633BBA">
        <w:rPr>
          <w:sz w:val="21"/>
          <w:szCs w:val="21"/>
          <w:lang w:val="en-US" w:eastAsia="en-US"/>
        </w:rPr>
        <w:t>Eefje Schrauwen for her guidance and supervision throughout this research project. Additional thanks go to</w:t>
      </w:r>
      <w:r w:rsidR="005B7103">
        <w:rPr>
          <w:sz w:val="21"/>
          <w:szCs w:val="21"/>
          <w:lang w:val="en-US" w:eastAsia="en-US"/>
        </w:rPr>
        <w:t xml:space="preserve"> </w:t>
      </w:r>
      <w:r w:rsidRPr="00633BBA">
        <w:rPr>
          <w:sz w:val="21"/>
          <w:szCs w:val="21"/>
          <w:lang w:val="en-US" w:eastAsia="en-US"/>
        </w:rPr>
        <w:t>Sander Boden and Bazante Sanders for their valuable support and input during data analysis and interpretation.</w:t>
      </w:r>
    </w:p>
    <w:p w14:paraId="15F3154F" w14:textId="77777777" w:rsidR="00924D50" w:rsidRDefault="00924D50" w:rsidP="00EB35E2">
      <w:pPr>
        <w:rPr>
          <w:sz w:val="21"/>
          <w:szCs w:val="21"/>
          <w:lang w:val="en-US" w:eastAsia="en-US"/>
        </w:rPr>
      </w:pPr>
    </w:p>
    <w:p w14:paraId="55B66B20" w14:textId="77777777" w:rsidR="00E129B4" w:rsidRDefault="00E129B4" w:rsidP="00EB35E2">
      <w:pPr>
        <w:rPr>
          <w:sz w:val="21"/>
          <w:szCs w:val="21"/>
          <w:lang w:val="en-US" w:eastAsia="en-US"/>
        </w:rPr>
      </w:pPr>
    </w:p>
    <w:p w14:paraId="5CF0FE65" w14:textId="77777777" w:rsidR="00E129B4" w:rsidRDefault="00E129B4" w:rsidP="00EB35E2">
      <w:pPr>
        <w:rPr>
          <w:sz w:val="21"/>
          <w:szCs w:val="21"/>
          <w:lang w:val="en-US" w:eastAsia="en-US"/>
        </w:rPr>
      </w:pPr>
    </w:p>
    <w:p w14:paraId="01CD5474" w14:textId="77777777" w:rsidR="00E129B4" w:rsidRDefault="00E129B4" w:rsidP="00EB35E2">
      <w:pPr>
        <w:rPr>
          <w:sz w:val="21"/>
          <w:szCs w:val="21"/>
          <w:lang w:val="en-US" w:eastAsia="en-US"/>
        </w:rPr>
      </w:pPr>
    </w:p>
    <w:p w14:paraId="1A0EECB4" w14:textId="77777777" w:rsidR="00E129B4" w:rsidRDefault="00E129B4" w:rsidP="00EB35E2">
      <w:pPr>
        <w:rPr>
          <w:sz w:val="21"/>
          <w:szCs w:val="21"/>
          <w:lang w:val="en-US" w:eastAsia="en-US"/>
        </w:rPr>
      </w:pPr>
    </w:p>
    <w:p w14:paraId="6CBEFF8A" w14:textId="77777777" w:rsidR="00E129B4" w:rsidRDefault="00E129B4" w:rsidP="00EB35E2">
      <w:pPr>
        <w:rPr>
          <w:sz w:val="21"/>
          <w:szCs w:val="21"/>
          <w:lang w:val="en-US" w:eastAsia="en-US"/>
        </w:rPr>
      </w:pPr>
    </w:p>
    <w:p w14:paraId="6603516A" w14:textId="77777777" w:rsidR="004E65EF" w:rsidRDefault="004E65EF" w:rsidP="004E65EF">
      <w:pPr>
        <w:rPr>
          <w:lang w:val="en-US"/>
        </w:rPr>
      </w:pPr>
    </w:p>
    <w:sdt>
      <w:sdtPr>
        <w:rPr>
          <w:rFonts w:ascii="Times New Roman" w:eastAsia="Times New Roman" w:hAnsi="Times New Roman" w:cs="Times New Roman"/>
          <w:color w:val="auto"/>
          <w:sz w:val="24"/>
          <w:szCs w:val="24"/>
        </w:rPr>
        <w:id w:val="1395623149"/>
        <w:docPartObj>
          <w:docPartGallery w:val="Bibliographies"/>
          <w:docPartUnique/>
        </w:docPartObj>
      </w:sdtPr>
      <w:sdtEndPr>
        <w:rPr>
          <w:sz w:val="22"/>
          <w:szCs w:val="22"/>
        </w:rPr>
      </w:sdtEndPr>
      <w:sdtContent>
        <w:p w14:paraId="0262EA4D" w14:textId="04908FB6" w:rsidR="00E129B4" w:rsidRDefault="00E129B4">
          <w:pPr>
            <w:pStyle w:val="Kop1"/>
          </w:pPr>
          <w:r>
            <w:t>Reference</w:t>
          </w:r>
        </w:p>
        <w:sdt>
          <w:sdtPr>
            <w:id w:val="111145805"/>
            <w:bibliography/>
          </w:sdtPr>
          <w:sdtEndPr>
            <w:rPr>
              <w:sz w:val="22"/>
              <w:szCs w:val="22"/>
            </w:rPr>
          </w:sdtEndPr>
          <w:sdtContent>
            <w:p w14:paraId="199ADD99" w14:textId="77777777" w:rsidR="009A72D0" w:rsidRDefault="00E129B4" w:rsidP="00EB35E2">
              <w:pPr>
                <w:rPr>
                  <w:rFonts w:asciiTheme="minorHAnsi" w:eastAsiaTheme="minorHAnsi" w:hAnsiTheme="minorHAnsi" w:cstheme="minorBidi"/>
                  <w:noProof/>
                  <w:kern w:val="2"/>
                  <w:lang w:eastAsia="en-US"/>
                  <w14:ligatures w14:val="standardContextual"/>
                </w:rPr>
              </w:pPr>
              <w:r w:rsidRPr="00E129B4">
                <w:rPr>
                  <w:sz w:val="22"/>
                  <w:szCs w:val="22"/>
                </w:rPr>
                <w:fldChar w:fldCharType="begin"/>
              </w:r>
              <w:r w:rsidRPr="00E129B4">
                <w:rPr>
                  <w:sz w:val="22"/>
                  <w:szCs w:val="22"/>
                </w:rPr>
                <w:instrText>BIBLIOGRAPHY</w:instrText>
              </w:r>
              <w:r w:rsidRPr="00E129B4">
                <w:rPr>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
                <w:gridCol w:w="8680"/>
              </w:tblGrid>
              <w:tr w:rsidR="009A72D0" w:rsidRPr="0069791F" w14:paraId="285B536C" w14:textId="77777777">
                <w:trPr>
                  <w:divId w:val="1939023993"/>
                  <w:tblCellSpacing w:w="15" w:type="dxa"/>
                </w:trPr>
                <w:tc>
                  <w:tcPr>
                    <w:tcW w:w="50" w:type="pct"/>
                    <w:hideMark/>
                  </w:tcPr>
                  <w:p w14:paraId="4FF56359" w14:textId="202DD6EC" w:rsidR="009A72D0" w:rsidRPr="009A72D0" w:rsidRDefault="009A72D0">
                    <w:pPr>
                      <w:pStyle w:val="Bibliografie"/>
                      <w:rPr>
                        <w:noProof/>
                        <w:sz w:val="19"/>
                        <w:szCs w:val="19"/>
                      </w:rPr>
                    </w:pPr>
                    <w:r w:rsidRPr="009A72D0">
                      <w:rPr>
                        <w:noProof/>
                        <w:sz w:val="19"/>
                        <w:szCs w:val="19"/>
                      </w:rPr>
                      <w:t xml:space="preserve">[1] </w:t>
                    </w:r>
                  </w:p>
                </w:tc>
                <w:tc>
                  <w:tcPr>
                    <w:tcW w:w="0" w:type="auto"/>
                    <w:hideMark/>
                  </w:tcPr>
                  <w:p w14:paraId="13F13A6E" w14:textId="77777777" w:rsidR="009A72D0" w:rsidRPr="009A72D0" w:rsidRDefault="009A72D0">
                    <w:pPr>
                      <w:pStyle w:val="Bibliografie"/>
                      <w:rPr>
                        <w:noProof/>
                        <w:sz w:val="19"/>
                        <w:szCs w:val="19"/>
                        <w:lang w:val="en-US"/>
                      </w:rPr>
                    </w:pPr>
                    <w:r w:rsidRPr="009A72D0">
                      <w:rPr>
                        <w:noProof/>
                        <w:sz w:val="19"/>
                        <w:szCs w:val="19"/>
                      </w:rPr>
                      <w:t xml:space="preserve">W. Gu, . S. Miller en . </w:t>
                    </w:r>
                    <w:r w:rsidRPr="009A72D0">
                      <w:rPr>
                        <w:noProof/>
                        <w:sz w:val="19"/>
                        <w:szCs w:val="19"/>
                        <w:lang w:val="en-US"/>
                      </w:rPr>
                      <w:t xml:space="preserve">C. Y. Chiu, „Clinical Metagenomic Next-Generation Sequencing for Pathogen Detection,” </w:t>
                    </w:r>
                    <w:r w:rsidRPr="009A72D0">
                      <w:rPr>
                        <w:i/>
                        <w:iCs/>
                        <w:noProof/>
                        <w:sz w:val="19"/>
                        <w:szCs w:val="19"/>
                        <w:lang w:val="en-US"/>
                      </w:rPr>
                      <w:t xml:space="preserve">National Library of Medicine, </w:t>
                    </w:r>
                    <w:r w:rsidRPr="009A72D0">
                      <w:rPr>
                        <w:noProof/>
                        <w:sz w:val="19"/>
                        <w:szCs w:val="19"/>
                        <w:lang w:val="en-US"/>
                      </w:rPr>
                      <w:t xml:space="preserve">2019. </w:t>
                    </w:r>
                  </w:p>
                </w:tc>
              </w:tr>
              <w:tr w:rsidR="009A72D0" w:rsidRPr="0069791F" w14:paraId="31F03374" w14:textId="77777777">
                <w:trPr>
                  <w:divId w:val="1939023993"/>
                  <w:tblCellSpacing w:w="15" w:type="dxa"/>
                </w:trPr>
                <w:tc>
                  <w:tcPr>
                    <w:tcW w:w="50" w:type="pct"/>
                    <w:hideMark/>
                  </w:tcPr>
                  <w:p w14:paraId="529C1852" w14:textId="77777777" w:rsidR="009A72D0" w:rsidRPr="009A72D0" w:rsidRDefault="009A72D0">
                    <w:pPr>
                      <w:pStyle w:val="Bibliografie"/>
                      <w:rPr>
                        <w:noProof/>
                        <w:sz w:val="19"/>
                        <w:szCs w:val="19"/>
                      </w:rPr>
                    </w:pPr>
                    <w:r w:rsidRPr="009A72D0">
                      <w:rPr>
                        <w:noProof/>
                        <w:sz w:val="19"/>
                        <w:szCs w:val="19"/>
                      </w:rPr>
                      <w:lastRenderedPageBreak/>
                      <w:t xml:space="preserve">[2] </w:t>
                    </w:r>
                  </w:p>
                </w:tc>
                <w:tc>
                  <w:tcPr>
                    <w:tcW w:w="0" w:type="auto"/>
                    <w:hideMark/>
                  </w:tcPr>
                  <w:p w14:paraId="495DE392" w14:textId="77777777" w:rsidR="009A72D0" w:rsidRPr="009A72D0" w:rsidRDefault="009A72D0">
                    <w:pPr>
                      <w:pStyle w:val="Bibliografie"/>
                      <w:rPr>
                        <w:noProof/>
                        <w:sz w:val="19"/>
                        <w:szCs w:val="19"/>
                        <w:lang w:val="en-US"/>
                      </w:rPr>
                    </w:pPr>
                    <w:r w:rsidRPr="009A72D0">
                      <w:rPr>
                        <w:noProof/>
                        <w:sz w:val="19"/>
                        <w:szCs w:val="19"/>
                      </w:rPr>
                      <w:t xml:space="preserve">C. Muñoz-Cadavid , S. Rudd, S. R. Zaki, M. Patel en . </w:t>
                    </w:r>
                    <w:r w:rsidRPr="009A72D0">
                      <w:rPr>
                        <w:noProof/>
                        <w:sz w:val="19"/>
                        <w:szCs w:val="19"/>
                        <w:lang w:val="en-US"/>
                      </w:rPr>
                      <w:t xml:space="preserve">S. A. Moser, „Improving Molecular Detection of Fungal DNA in Formalin-Fixed Paraffin-Embedded Tissues: Comparison of Five Tissue DNA Extraction Methods Using Panfungal PCR,” </w:t>
                    </w:r>
                    <w:r w:rsidRPr="009A72D0">
                      <w:rPr>
                        <w:i/>
                        <w:iCs/>
                        <w:noProof/>
                        <w:sz w:val="19"/>
                        <w:szCs w:val="19"/>
                        <w:lang w:val="en-US"/>
                      </w:rPr>
                      <w:t xml:space="preserve">National Library of Medicine, </w:t>
                    </w:r>
                    <w:r w:rsidRPr="009A72D0">
                      <w:rPr>
                        <w:noProof/>
                        <w:sz w:val="19"/>
                        <w:szCs w:val="19"/>
                        <w:lang w:val="en-US"/>
                      </w:rPr>
                      <w:t xml:space="preserve">2010. </w:t>
                    </w:r>
                  </w:p>
                </w:tc>
              </w:tr>
              <w:tr w:rsidR="009A72D0" w14:paraId="648B9140" w14:textId="77777777">
                <w:trPr>
                  <w:divId w:val="1939023993"/>
                  <w:tblCellSpacing w:w="15" w:type="dxa"/>
                </w:trPr>
                <w:tc>
                  <w:tcPr>
                    <w:tcW w:w="50" w:type="pct"/>
                    <w:hideMark/>
                  </w:tcPr>
                  <w:p w14:paraId="66F2B3B1" w14:textId="77777777" w:rsidR="009A72D0" w:rsidRPr="009A72D0" w:rsidRDefault="009A72D0">
                    <w:pPr>
                      <w:pStyle w:val="Bibliografie"/>
                      <w:rPr>
                        <w:noProof/>
                        <w:sz w:val="19"/>
                        <w:szCs w:val="19"/>
                      </w:rPr>
                    </w:pPr>
                    <w:r w:rsidRPr="009A72D0">
                      <w:rPr>
                        <w:noProof/>
                        <w:sz w:val="19"/>
                        <w:szCs w:val="19"/>
                      </w:rPr>
                      <w:t xml:space="preserve">[3] </w:t>
                    </w:r>
                  </w:p>
                </w:tc>
                <w:tc>
                  <w:tcPr>
                    <w:tcW w:w="0" w:type="auto"/>
                    <w:hideMark/>
                  </w:tcPr>
                  <w:p w14:paraId="07E4833E" w14:textId="77777777" w:rsidR="009A72D0" w:rsidRPr="009A72D0" w:rsidRDefault="009A72D0">
                    <w:pPr>
                      <w:pStyle w:val="Bibliografie"/>
                      <w:rPr>
                        <w:noProof/>
                        <w:sz w:val="19"/>
                        <w:szCs w:val="19"/>
                      </w:rPr>
                    </w:pPr>
                    <w:r w:rsidRPr="009A72D0">
                      <w:rPr>
                        <w:noProof/>
                        <w:sz w:val="19"/>
                        <w:szCs w:val="19"/>
                        <w:lang w:val="en-US"/>
                      </w:rPr>
                      <w:t xml:space="preserve">S. L. Mitchell en . P. J. Simner, „Next-Generation Sequencing in Clinical Microbiology: Are We There Yet?,” </w:t>
                    </w:r>
                    <w:r w:rsidRPr="009A72D0">
                      <w:rPr>
                        <w:i/>
                        <w:iCs/>
                        <w:noProof/>
                        <w:sz w:val="19"/>
                        <w:szCs w:val="19"/>
                        <w:lang w:val="en-US"/>
                      </w:rPr>
                      <w:t xml:space="preserve">Clinics in Laboratory Medicine, </w:t>
                    </w:r>
                    <w:r w:rsidRPr="009A72D0">
                      <w:rPr>
                        <w:noProof/>
                        <w:sz w:val="19"/>
                        <w:szCs w:val="19"/>
                        <w:lang w:val="en-US"/>
                      </w:rPr>
                      <w:t xml:space="preserve">vol. </w:t>
                    </w:r>
                    <w:r w:rsidRPr="009A72D0">
                      <w:rPr>
                        <w:noProof/>
                        <w:sz w:val="19"/>
                        <w:szCs w:val="19"/>
                      </w:rPr>
                      <w:t xml:space="preserve">Volume 39, pp. 405-418, 2019. </w:t>
                    </w:r>
                  </w:p>
                </w:tc>
              </w:tr>
              <w:tr w:rsidR="009A72D0" w14:paraId="03677A77" w14:textId="77777777">
                <w:trPr>
                  <w:divId w:val="1939023993"/>
                  <w:tblCellSpacing w:w="15" w:type="dxa"/>
                </w:trPr>
                <w:tc>
                  <w:tcPr>
                    <w:tcW w:w="50" w:type="pct"/>
                    <w:hideMark/>
                  </w:tcPr>
                  <w:p w14:paraId="59503923" w14:textId="77777777" w:rsidR="009A72D0" w:rsidRPr="009A72D0" w:rsidRDefault="009A72D0">
                    <w:pPr>
                      <w:pStyle w:val="Bibliografie"/>
                      <w:rPr>
                        <w:noProof/>
                        <w:sz w:val="19"/>
                        <w:szCs w:val="19"/>
                      </w:rPr>
                    </w:pPr>
                    <w:r w:rsidRPr="009A72D0">
                      <w:rPr>
                        <w:noProof/>
                        <w:sz w:val="19"/>
                        <w:szCs w:val="19"/>
                      </w:rPr>
                      <w:t xml:space="preserve">[4] </w:t>
                    </w:r>
                  </w:p>
                </w:tc>
                <w:tc>
                  <w:tcPr>
                    <w:tcW w:w="0" w:type="auto"/>
                    <w:hideMark/>
                  </w:tcPr>
                  <w:p w14:paraId="75ACDB56" w14:textId="77777777" w:rsidR="009A72D0" w:rsidRPr="009A72D0" w:rsidRDefault="009A72D0">
                    <w:pPr>
                      <w:pStyle w:val="Bibliografie"/>
                      <w:rPr>
                        <w:noProof/>
                        <w:sz w:val="19"/>
                        <w:szCs w:val="19"/>
                      </w:rPr>
                    </w:pPr>
                    <w:r w:rsidRPr="009A72D0">
                      <w:rPr>
                        <w:noProof/>
                        <w:sz w:val="19"/>
                        <w:szCs w:val="19"/>
                        <w:lang w:val="en-US"/>
                      </w:rPr>
                      <w:t xml:space="preserve">L. F. Alviz, B. A. Jones en S. P. Agnihotri, „Identifying CNS infections in transplantation and immunomodulatory therapy,” vol. </w:t>
                    </w:r>
                    <w:r w:rsidRPr="009A72D0">
                      <w:rPr>
                        <w:noProof/>
                        <w:sz w:val="19"/>
                        <w:szCs w:val="19"/>
                      </w:rPr>
                      <w:t xml:space="preserve">Aug 27, 2024. </w:t>
                    </w:r>
                  </w:p>
                </w:tc>
              </w:tr>
              <w:tr w:rsidR="009A72D0" w:rsidRPr="0069791F" w14:paraId="2203E14E" w14:textId="77777777">
                <w:trPr>
                  <w:divId w:val="1939023993"/>
                  <w:tblCellSpacing w:w="15" w:type="dxa"/>
                </w:trPr>
                <w:tc>
                  <w:tcPr>
                    <w:tcW w:w="50" w:type="pct"/>
                    <w:hideMark/>
                  </w:tcPr>
                  <w:p w14:paraId="33D1E366" w14:textId="77777777" w:rsidR="009A72D0" w:rsidRPr="009A72D0" w:rsidRDefault="009A72D0">
                    <w:pPr>
                      <w:pStyle w:val="Bibliografie"/>
                      <w:rPr>
                        <w:noProof/>
                        <w:sz w:val="19"/>
                        <w:szCs w:val="19"/>
                      </w:rPr>
                    </w:pPr>
                    <w:r w:rsidRPr="009A72D0">
                      <w:rPr>
                        <w:noProof/>
                        <w:sz w:val="19"/>
                        <w:szCs w:val="19"/>
                      </w:rPr>
                      <w:t xml:space="preserve">[5] </w:t>
                    </w:r>
                  </w:p>
                </w:tc>
                <w:tc>
                  <w:tcPr>
                    <w:tcW w:w="0" w:type="auto"/>
                    <w:hideMark/>
                  </w:tcPr>
                  <w:p w14:paraId="160D946D" w14:textId="77777777" w:rsidR="009A72D0" w:rsidRPr="009A72D0" w:rsidRDefault="009A72D0">
                    <w:pPr>
                      <w:pStyle w:val="Bibliografie"/>
                      <w:rPr>
                        <w:noProof/>
                        <w:sz w:val="19"/>
                        <w:szCs w:val="19"/>
                        <w:lang w:val="en-US"/>
                      </w:rPr>
                    </w:pPr>
                    <w:r w:rsidRPr="009A72D0">
                      <w:rPr>
                        <w:noProof/>
                        <w:sz w:val="19"/>
                        <w:szCs w:val="19"/>
                        <w:lang w:val="en-US"/>
                      </w:rPr>
                      <w:t xml:space="preserve">C. L. Schoch, K. A. Seifert, . S. Huhndorf, V. Robert, . J. L. Spouge en W. Chen, „Nuclear ribosomal internal transcribed spacer (ITS) region as a universal DNA barcode marker for Fungi,” </w:t>
                    </w:r>
                    <w:r w:rsidRPr="009A72D0">
                      <w:rPr>
                        <w:i/>
                        <w:iCs/>
                        <w:noProof/>
                        <w:sz w:val="19"/>
                        <w:szCs w:val="19"/>
                        <w:lang w:val="en-US"/>
                      </w:rPr>
                      <w:t xml:space="preserve">PNAS, </w:t>
                    </w:r>
                    <w:r w:rsidRPr="009A72D0">
                      <w:rPr>
                        <w:noProof/>
                        <w:sz w:val="19"/>
                        <w:szCs w:val="19"/>
                        <w:lang w:val="en-US"/>
                      </w:rPr>
                      <w:t xml:space="preserve">2012. </w:t>
                    </w:r>
                  </w:p>
                </w:tc>
              </w:tr>
              <w:tr w:rsidR="009A72D0" w:rsidRPr="0069791F" w14:paraId="5D9CABB7" w14:textId="77777777">
                <w:trPr>
                  <w:divId w:val="1939023993"/>
                  <w:tblCellSpacing w:w="15" w:type="dxa"/>
                </w:trPr>
                <w:tc>
                  <w:tcPr>
                    <w:tcW w:w="50" w:type="pct"/>
                    <w:hideMark/>
                  </w:tcPr>
                  <w:p w14:paraId="09E740A9" w14:textId="77777777" w:rsidR="009A72D0" w:rsidRPr="009A72D0" w:rsidRDefault="009A72D0">
                    <w:pPr>
                      <w:pStyle w:val="Bibliografie"/>
                      <w:rPr>
                        <w:noProof/>
                        <w:sz w:val="19"/>
                        <w:szCs w:val="19"/>
                      </w:rPr>
                    </w:pPr>
                    <w:r w:rsidRPr="009A72D0">
                      <w:rPr>
                        <w:noProof/>
                        <w:sz w:val="19"/>
                        <w:szCs w:val="19"/>
                      </w:rPr>
                      <w:t xml:space="preserve">[6] </w:t>
                    </w:r>
                  </w:p>
                </w:tc>
                <w:tc>
                  <w:tcPr>
                    <w:tcW w:w="0" w:type="auto"/>
                    <w:hideMark/>
                  </w:tcPr>
                  <w:p w14:paraId="07A84646" w14:textId="77777777" w:rsidR="009A72D0" w:rsidRPr="009A72D0" w:rsidRDefault="009A72D0">
                    <w:pPr>
                      <w:pStyle w:val="Bibliografie"/>
                      <w:rPr>
                        <w:noProof/>
                        <w:sz w:val="19"/>
                        <w:szCs w:val="19"/>
                        <w:lang w:val="en-US"/>
                      </w:rPr>
                    </w:pPr>
                    <w:r w:rsidRPr="009A72D0">
                      <w:rPr>
                        <w:noProof/>
                        <w:sz w:val="19"/>
                        <w:szCs w:val="19"/>
                        <w:lang w:val="en-US"/>
                      </w:rPr>
                      <w:t xml:space="preserve">E. Bellemain, T. Carlsen, . C. Brochmann, . E. Coissac, P. Taberlet en H. Kauserud, „ITS as an environmental DNA barcode for fungi: an in silico approach reveals potential PCR biases,” </w:t>
                    </w:r>
                    <w:r w:rsidRPr="009A72D0">
                      <w:rPr>
                        <w:i/>
                        <w:iCs/>
                        <w:noProof/>
                        <w:sz w:val="19"/>
                        <w:szCs w:val="19"/>
                        <w:lang w:val="en-US"/>
                      </w:rPr>
                      <w:t xml:space="preserve">BMC Microbiology, </w:t>
                    </w:r>
                    <w:r w:rsidRPr="009A72D0">
                      <w:rPr>
                        <w:noProof/>
                        <w:sz w:val="19"/>
                        <w:szCs w:val="19"/>
                        <w:lang w:val="en-US"/>
                      </w:rPr>
                      <w:t xml:space="preserve">2010. </w:t>
                    </w:r>
                  </w:p>
                </w:tc>
              </w:tr>
              <w:tr w:rsidR="009A72D0" w14:paraId="139328CF" w14:textId="77777777">
                <w:trPr>
                  <w:divId w:val="1939023993"/>
                  <w:tblCellSpacing w:w="15" w:type="dxa"/>
                </w:trPr>
                <w:tc>
                  <w:tcPr>
                    <w:tcW w:w="50" w:type="pct"/>
                    <w:hideMark/>
                  </w:tcPr>
                  <w:p w14:paraId="5E7485D6" w14:textId="77777777" w:rsidR="009A72D0" w:rsidRPr="009A72D0" w:rsidRDefault="009A72D0">
                    <w:pPr>
                      <w:pStyle w:val="Bibliografie"/>
                      <w:rPr>
                        <w:noProof/>
                        <w:sz w:val="19"/>
                        <w:szCs w:val="19"/>
                      </w:rPr>
                    </w:pPr>
                    <w:r w:rsidRPr="009A72D0">
                      <w:rPr>
                        <w:noProof/>
                        <w:sz w:val="19"/>
                        <w:szCs w:val="19"/>
                      </w:rPr>
                      <w:t xml:space="preserve">[7] </w:t>
                    </w:r>
                  </w:p>
                </w:tc>
                <w:tc>
                  <w:tcPr>
                    <w:tcW w:w="0" w:type="auto"/>
                    <w:hideMark/>
                  </w:tcPr>
                  <w:p w14:paraId="373F5456" w14:textId="77777777" w:rsidR="009A72D0" w:rsidRPr="009A72D0" w:rsidRDefault="009A72D0">
                    <w:pPr>
                      <w:pStyle w:val="Bibliografie"/>
                      <w:rPr>
                        <w:noProof/>
                        <w:sz w:val="19"/>
                        <w:szCs w:val="19"/>
                      </w:rPr>
                    </w:pPr>
                    <w:r w:rsidRPr="009A72D0">
                      <w:rPr>
                        <w:noProof/>
                        <w:sz w:val="19"/>
                        <w:szCs w:val="19"/>
                        <w:lang w:val="en-US"/>
                      </w:rPr>
                      <w:t xml:space="preserve">H. Do en A. Dobrovic, „Sequence artifacts in DNA from formalin-fixed tissues: causes and strategies for minimization,” </w:t>
                    </w:r>
                    <w:r w:rsidRPr="009A72D0">
                      <w:rPr>
                        <w:i/>
                        <w:iCs/>
                        <w:noProof/>
                        <w:sz w:val="19"/>
                        <w:szCs w:val="19"/>
                        <w:lang w:val="en-US"/>
                      </w:rPr>
                      <w:t xml:space="preserve">Clinical Chemistry, </w:t>
                    </w:r>
                    <w:r w:rsidRPr="009A72D0">
                      <w:rPr>
                        <w:noProof/>
                        <w:sz w:val="19"/>
                        <w:szCs w:val="19"/>
                        <w:lang w:val="en-US"/>
                      </w:rPr>
                      <w:t xml:space="preserve">vol. </w:t>
                    </w:r>
                    <w:r w:rsidRPr="009A72D0">
                      <w:rPr>
                        <w:noProof/>
                        <w:sz w:val="19"/>
                        <w:szCs w:val="19"/>
                      </w:rPr>
                      <w:t xml:space="preserve">Volume 61, nr. Issue 1, p. 64–71, 2015. </w:t>
                    </w:r>
                  </w:p>
                </w:tc>
              </w:tr>
              <w:tr w:rsidR="009A72D0" w:rsidRPr="0069791F" w14:paraId="369F6751" w14:textId="77777777">
                <w:trPr>
                  <w:divId w:val="1939023993"/>
                  <w:tblCellSpacing w:w="15" w:type="dxa"/>
                </w:trPr>
                <w:tc>
                  <w:tcPr>
                    <w:tcW w:w="50" w:type="pct"/>
                    <w:hideMark/>
                  </w:tcPr>
                  <w:p w14:paraId="0F913E35" w14:textId="77777777" w:rsidR="009A72D0" w:rsidRPr="009A72D0" w:rsidRDefault="009A72D0">
                    <w:pPr>
                      <w:pStyle w:val="Bibliografie"/>
                      <w:rPr>
                        <w:noProof/>
                        <w:sz w:val="19"/>
                        <w:szCs w:val="19"/>
                      </w:rPr>
                    </w:pPr>
                    <w:r w:rsidRPr="009A72D0">
                      <w:rPr>
                        <w:noProof/>
                        <w:sz w:val="19"/>
                        <w:szCs w:val="19"/>
                      </w:rPr>
                      <w:t xml:space="preserve">[8] </w:t>
                    </w:r>
                  </w:p>
                </w:tc>
                <w:tc>
                  <w:tcPr>
                    <w:tcW w:w="0" w:type="auto"/>
                    <w:hideMark/>
                  </w:tcPr>
                  <w:p w14:paraId="520C22C9" w14:textId="77777777" w:rsidR="009A72D0" w:rsidRPr="009A72D0" w:rsidRDefault="009A72D0">
                    <w:pPr>
                      <w:pStyle w:val="Bibliografie"/>
                      <w:rPr>
                        <w:noProof/>
                        <w:sz w:val="19"/>
                        <w:szCs w:val="19"/>
                        <w:lang w:val="en-US"/>
                      </w:rPr>
                    </w:pPr>
                    <w:r w:rsidRPr="009A72D0">
                      <w:rPr>
                        <w:noProof/>
                        <w:sz w:val="19"/>
                        <w:szCs w:val="19"/>
                      </w:rPr>
                      <w:t xml:space="preserve">M. Srinivasan, D. Sedmak en . </w:t>
                    </w:r>
                    <w:r w:rsidRPr="009A72D0">
                      <w:rPr>
                        <w:noProof/>
                        <w:sz w:val="19"/>
                        <w:szCs w:val="19"/>
                        <w:lang w:val="en-US"/>
                      </w:rPr>
                      <w:t xml:space="preserve">S. Jewell, „Effect of Fixatives and Tissue Processing on the Content and Integrity of Nucleic Acids,” </w:t>
                    </w:r>
                    <w:r w:rsidRPr="009A72D0">
                      <w:rPr>
                        <w:i/>
                        <w:iCs/>
                        <w:noProof/>
                        <w:sz w:val="19"/>
                        <w:szCs w:val="19"/>
                        <w:lang w:val="en-US"/>
                      </w:rPr>
                      <w:t xml:space="preserve">The American Journal of Pathology, </w:t>
                    </w:r>
                    <w:r w:rsidRPr="009A72D0">
                      <w:rPr>
                        <w:noProof/>
                        <w:sz w:val="19"/>
                        <w:szCs w:val="19"/>
                        <w:lang w:val="en-US"/>
                      </w:rPr>
                      <w:t xml:space="preserve">pp. 1961-1971, 2002. </w:t>
                    </w:r>
                  </w:p>
                </w:tc>
              </w:tr>
              <w:tr w:rsidR="009A72D0" w14:paraId="7FBB4140" w14:textId="77777777">
                <w:trPr>
                  <w:divId w:val="1939023993"/>
                  <w:tblCellSpacing w:w="15" w:type="dxa"/>
                </w:trPr>
                <w:tc>
                  <w:tcPr>
                    <w:tcW w:w="50" w:type="pct"/>
                    <w:hideMark/>
                  </w:tcPr>
                  <w:p w14:paraId="1C4B504A" w14:textId="77777777" w:rsidR="009A72D0" w:rsidRPr="009A72D0" w:rsidRDefault="009A72D0">
                    <w:pPr>
                      <w:pStyle w:val="Bibliografie"/>
                      <w:rPr>
                        <w:noProof/>
                        <w:sz w:val="19"/>
                        <w:szCs w:val="19"/>
                      </w:rPr>
                    </w:pPr>
                    <w:r w:rsidRPr="009A72D0">
                      <w:rPr>
                        <w:noProof/>
                        <w:sz w:val="19"/>
                        <w:szCs w:val="19"/>
                      </w:rPr>
                      <w:t xml:space="preserve">[9] </w:t>
                    </w:r>
                  </w:p>
                </w:tc>
                <w:tc>
                  <w:tcPr>
                    <w:tcW w:w="0" w:type="auto"/>
                    <w:hideMark/>
                  </w:tcPr>
                  <w:p w14:paraId="1053F3C3" w14:textId="77777777" w:rsidR="009A72D0" w:rsidRPr="009A72D0" w:rsidRDefault="009A72D0">
                    <w:pPr>
                      <w:pStyle w:val="Bibliografie"/>
                      <w:rPr>
                        <w:noProof/>
                        <w:sz w:val="19"/>
                        <w:szCs w:val="19"/>
                      </w:rPr>
                    </w:pPr>
                    <w:r w:rsidRPr="009A72D0">
                      <w:rPr>
                        <w:noProof/>
                        <w:sz w:val="19"/>
                        <w:szCs w:val="19"/>
                        <w:lang w:val="en-US"/>
                      </w:rPr>
                      <w:t xml:space="preserve">N. Quach, M. F. Goodman en D. Shibata, „In vitro mutation artifacts after formalin fixation and error prone translesion synthesis during PCR,” </w:t>
                    </w:r>
                    <w:r w:rsidRPr="009A72D0">
                      <w:rPr>
                        <w:i/>
                        <w:iCs/>
                        <w:noProof/>
                        <w:sz w:val="19"/>
                        <w:szCs w:val="19"/>
                        <w:lang w:val="en-US"/>
                      </w:rPr>
                      <w:t xml:space="preserve">BMC Clinical Pathology, </w:t>
                    </w:r>
                    <w:r w:rsidRPr="009A72D0">
                      <w:rPr>
                        <w:noProof/>
                        <w:sz w:val="19"/>
                        <w:szCs w:val="19"/>
                        <w:lang w:val="en-US"/>
                      </w:rPr>
                      <w:t xml:space="preserve">vol. </w:t>
                    </w:r>
                    <w:r w:rsidRPr="009A72D0">
                      <w:rPr>
                        <w:noProof/>
                        <w:sz w:val="19"/>
                        <w:szCs w:val="19"/>
                      </w:rPr>
                      <w:t xml:space="preserve">Volume 4, 2004. </w:t>
                    </w:r>
                  </w:p>
                </w:tc>
              </w:tr>
              <w:tr w:rsidR="009A72D0" w:rsidRPr="0069791F" w14:paraId="1221C9E6" w14:textId="77777777">
                <w:trPr>
                  <w:divId w:val="1939023993"/>
                  <w:tblCellSpacing w:w="15" w:type="dxa"/>
                </w:trPr>
                <w:tc>
                  <w:tcPr>
                    <w:tcW w:w="50" w:type="pct"/>
                    <w:hideMark/>
                  </w:tcPr>
                  <w:p w14:paraId="4DC3240B" w14:textId="77777777" w:rsidR="009A72D0" w:rsidRPr="009A72D0" w:rsidRDefault="009A72D0">
                    <w:pPr>
                      <w:pStyle w:val="Bibliografie"/>
                      <w:rPr>
                        <w:noProof/>
                        <w:sz w:val="19"/>
                        <w:szCs w:val="19"/>
                      </w:rPr>
                    </w:pPr>
                    <w:r w:rsidRPr="009A72D0">
                      <w:rPr>
                        <w:noProof/>
                        <w:sz w:val="19"/>
                        <w:szCs w:val="19"/>
                      </w:rPr>
                      <w:t xml:space="preserve">[10] </w:t>
                    </w:r>
                  </w:p>
                </w:tc>
                <w:tc>
                  <w:tcPr>
                    <w:tcW w:w="0" w:type="auto"/>
                    <w:hideMark/>
                  </w:tcPr>
                  <w:p w14:paraId="524A9422" w14:textId="77777777" w:rsidR="009A72D0" w:rsidRPr="009A72D0" w:rsidRDefault="009A72D0">
                    <w:pPr>
                      <w:pStyle w:val="Bibliografie"/>
                      <w:rPr>
                        <w:noProof/>
                        <w:sz w:val="19"/>
                        <w:szCs w:val="19"/>
                        <w:lang w:val="en-US"/>
                      </w:rPr>
                    </w:pPr>
                    <w:r w:rsidRPr="009A72D0">
                      <w:rPr>
                        <w:noProof/>
                        <w:sz w:val="19"/>
                        <w:szCs w:val="19"/>
                        <w:lang w:val="en-US"/>
                      </w:rPr>
                      <w:t xml:space="preserve">F. Pauly, R. Marienfeld, C. Miller en C. Schubert, „Damage induced by formalin fixation and paraffin embedding compromises genome integrity and reduces PCR amplification yield,” </w:t>
                    </w:r>
                    <w:r w:rsidRPr="009A72D0">
                      <w:rPr>
                        <w:i/>
                        <w:iCs/>
                        <w:noProof/>
                        <w:sz w:val="19"/>
                        <w:szCs w:val="19"/>
                        <w:lang w:val="en-US"/>
                      </w:rPr>
                      <w:t xml:space="preserve">Journal of Molecular Diagnostics, </w:t>
                    </w:r>
                    <w:r w:rsidRPr="009A72D0">
                      <w:rPr>
                        <w:noProof/>
                        <w:sz w:val="19"/>
                        <w:szCs w:val="19"/>
                        <w:lang w:val="en-US"/>
                      </w:rPr>
                      <w:t xml:space="preserve">pp. 295-303, 2011. </w:t>
                    </w:r>
                  </w:p>
                </w:tc>
              </w:tr>
              <w:tr w:rsidR="009A72D0" w:rsidRPr="0069791F" w14:paraId="60F577E2" w14:textId="77777777">
                <w:trPr>
                  <w:divId w:val="1939023993"/>
                  <w:tblCellSpacing w:w="15" w:type="dxa"/>
                </w:trPr>
                <w:tc>
                  <w:tcPr>
                    <w:tcW w:w="50" w:type="pct"/>
                    <w:hideMark/>
                  </w:tcPr>
                  <w:p w14:paraId="354B4576" w14:textId="77777777" w:rsidR="009A72D0" w:rsidRPr="009A72D0" w:rsidRDefault="009A72D0">
                    <w:pPr>
                      <w:pStyle w:val="Bibliografie"/>
                      <w:rPr>
                        <w:noProof/>
                        <w:sz w:val="19"/>
                        <w:szCs w:val="19"/>
                      </w:rPr>
                    </w:pPr>
                    <w:r w:rsidRPr="009A72D0">
                      <w:rPr>
                        <w:noProof/>
                        <w:sz w:val="19"/>
                        <w:szCs w:val="19"/>
                      </w:rPr>
                      <w:t xml:space="preserve">[11] </w:t>
                    </w:r>
                  </w:p>
                </w:tc>
                <w:tc>
                  <w:tcPr>
                    <w:tcW w:w="0" w:type="auto"/>
                    <w:hideMark/>
                  </w:tcPr>
                  <w:p w14:paraId="23B48F98" w14:textId="77777777" w:rsidR="009A72D0" w:rsidRPr="009A72D0" w:rsidRDefault="009A72D0">
                    <w:pPr>
                      <w:pStyle w:val="Bibliografie"/>
                      <w:rPr>
                        <w:noProof/>
                        <w:sz w:val="19"/>
                        <w:szCs w:val="19"/>
                        <w:lang w:val="en-US"/>
                      </w:rPr>
                    </w:pPr>
                    <w:r w:rsidRPr="009A72D0">
                      <w:rPr>
                        <w:noProof/>
                        <w:sz w:val="19"/>
                        <w:szCs w:val="19"/>
                        <w:lang w:val="en-US"/>
                      </w:rPr>
                      <w:t xml:space="preserve">R. A. Samson en . J. Houbraken, „Isolation and identification of fungi.,” </w:t>
                    </w:r>
                    <w:r w:rsidRPr="009A72D0">
                      <w:rPr>
                        <w:i/>
                        <w:iCs/>
                        <w:noProof/>
                        <w:sz w:val="19"/>
                        <w:szCs w:val="19"/>
                        <w:lang w:val="en-US"/>
                      </w:rPr>
                      <w:t xml:space="preserve">Microorganisms in home and indoor work environments, </w:t>
                    </w:r>
                    <w:r w:rsidRPr="009A72D0">
                      <w:rPr>
                        <w:noProof/>
                        <w:sz w:val="19"/>
                        <w:szCs w:val="19"/>
                        <w:lang w:val="en-US"/>
                      </w:rPr>
                      <w:t xml:space="preserve">pp. 265-278, 2011. </w:t>
                    </w:r>
                  </w:p>
                </w:tc>
              </w:tr>
              <w:tr w:rsidR="009A72D0" w:rsidRPr="0069791F" w14:paraId="7AEC0BA6" w14:textId="77777777">
                <w:trPr>
                  <w:divId w:val="1939023993"/>
                  <w:tblCellSpacing w:w="15" w:type="dxa"/>
                </w:trPr>
                <w:tc>
                  <w:tcPr>
                    <w:tcW w:w="50" w:type="pct"/>
                    <w:hideMark/>
                  </w:tcPr>
                  <w:p w14:paraId="440505BF" w14:textId="77777777" w:rsidR="009A72D0" w:rsidRPr="009A72D0" w:rsidRDefault="009A72D0">
                    <w:pPr>
                      <w:pStyle w:val="Bibliografie"/>
                      <w:rPr>
                        <w:noProof/>
                        <w:sz w:val="19"/>
                        <w:szCs w:val="19"/>
                      </w:rPr>
                    </w:pPr>
                    <w:r w:rsidRPr="009A72D0">
                      <w:rPr>
                        <w:noProof/>
                        <w:sz w:val="19"/>
                        <w:szCs w:val="19"/>
                      </w:rPr>
                      <w:t xml:space="preserve">[12] </w:t>
                    </w:r>
                  </w:p>
                </w:tc>
                <w:tc>
                  <w:tcPr>
                    <w:tcW w:w="0" w:type="auto"/>
                    <w:hideMark/>
                  </w:tcPr>
                  <w:p w14:paraId="0FBA58C4" w14:textId="77777777" w:rsidR="009A72D0" w:rsidRPr="009A72D0" w:rsidRDefault="009A72D0">
                    <w:pPr>
                      <w:pStyle w:val="Bibliografie"/>
                      <w:rPr>
                        <w:noProof/>
                        <w:sz w:val="19"/>
                        <w:szCs w:val="19"/>
                        <w:lang w:val="en-US"/>
                      </w:rPr>
                    </w:pPr>
                    <w:r w:rsidRPr="009A72D0">
                      <w:rPr>
                        <w:noProof/>
                        <w:sz w:val="19"/>
                        <w:szCs w:val="19"/>
                        <w:lang w:val="en-US"/>
                      </w:rPr>
                      <w:t xml:space="preserve">R. N. Henrik, S. Anslan, M. Bahram, C. Wurzbacher, P. Baldrian en L. Tedersoo, „Mycobiome diversity: high-throughput sequencing and identification of fungi,” </w:t>
                    </w:r>
                    <w:r w:rsidRPr="009A72D0">
                      <w:rPr>
                        <w:i/>
                        <w:iCs/>
                        <w:noProof/>
                        <w:sz w:val="19"/>
                        <w:szCs w:val="19"/>
                        <w:lang w:val="en-US"/>
                      </w:rPr>
                      <w:t xml:space="preserve">Nature Reviews Microbiology, </w:t>
                    </w:r>
                    <w:r w:rsidRPr="009A72D0">
                      <w:rPr>
                        <w:noProof/>
                        <w:sz w:val="19"/>
                        <w:szCs w:val="19"/>
                        <w:lang w:val="en-US"/>
                      </w:rPr>
                      <w:t xml:space="preserve">p. pages 95–109, 2019. </w:t>
                    </w:r>
                  </w:p>
                </w:tc>
              </w:tr>
              <w:tr w:rsidR="009A72D0" w:rsidRPr="0069791F" w14:paraId="456E5381" w14:textId="77777777">
                <w:trPr>
                  <w:divId w:val="1939023993"/>
                  <w:tblCellSpacing w:w="15" w:type="dxa"/>
                </w:trPr>
                <w:tc>
                  <w:tcPr>
                    <w:tcW w:w="50" w:type="pct"/>
                    <w:hideMark/>
                  </w:tcPr>
                  <w:p w14:paraId="4C87E533" w14:textId="77777777" w:rsidR="009A72D0" w:rsidRPr="009A72D0" w:rsidRDefault="009A72D0">
                    <w:pPr>
                      <w:pStyle w:val="Bibliografie"/>
                      <w:rPr>
                        <w:noProof/>
                        <w:sz w:val="19"/>
                        <w:szCs w:val="19"/>
                      </w:rPr>
                    </w:pPr>
                    <w:r w:rsidRPr="009A72D0">
                      <w:rPr>
                        <w:noProof/>
                        <w:sz w:val="19"/>
                        <w:szCs w:val="19"/>
                      </w:rPr>
                      <w:t xml:space="preserve">[13] </w:t>
                    </w:r>
                  </w:p>
                </w:tc>
                <w:tc>
                  <w:tcPr>
                    <w:tcW w:w="0" w:type="auto"/>
                    <w:hideMark/>
                  </w:tcPr>
                  <w:p w14:paraId="1470C626" w14:textId="77777777" w:rsidR="009A72D0" w:rsidRPr="009A72D0" w:rsidRDefault="009A72D0">
                    <w:pPr>
                      <w:pStyle w:val="Bibliografie"/>
                      <w:rPr>
                        <w:noProof/>
                        <w:sz w:val="19"/>
                        <w:szCs w:val="19"/>
                        <w:lang w:val="en-US"/>
                      </w:rPr>
                    </w:pPr>
                    <w:r w:rsidRPr="009A72D0">
                      <w:rPr>
                        <w:noProof/>
                        <w:sz w:val="19"/>
                        <w:szCs w:val="19"/>
                        <w:lang w:val="en-US"/>
                      </w:rPr>
                      <w:t>„Nanoplot,” [Online]. Available: https://github.com/wdecoster/NanoPlot.</w:t>
                    </w:r>
                  </w:p>
                </w:tc>
              </w:tr>
              <w:tr w:rsidR="009A72D0" w:rsidRPr="0069791F" w14:paraId="70A20C9D" w14:textId="77777777">
                <w:trPr>
                  <w:divId w:val="1939023993"/>
                  <w:tblCellSpacing w:w="15" w:type="dxa"/>
                </w:trPr>
                <w:tc>
                  <w:tcPr>
                    <w:tcW w:w="50" w:type="pct"/>
                    <w:hideMark/>
                  </w:tcPr>
                  <w:p w14:paraId="34866271" w14:textId="77777777" w:rsidR="009A72D0" w:rsidRPr="009A72D0" w:rsidRDefault="009A72D0">
                    <w:pPr>
                      <w:pStyle w:val="Bibliografie"/>
                      <w:rPr>
                        <w:noProof/>
                        <w:sz w:val="19"/>
                        <w:szCs w:val="19"/>
                      </w:rPr>
                    </w:pPr>
                    <w:r w:rsidRPr="009A72D0">
                      <w:rPr>
                        <w:noProof/>
                        <w:sz w:val="19"/>
                        <w:szCs w:val="19"/>
                      </w:rPr>
                      <w:t xml:space="preserve">[14] </w:t>
                    </w:r>
                  </w:p>
                </w:tc>
                <w:tc>
                  <w:tcPr>
                    <w:tcW w:w="0" w:type="auto"/>
                    <w:hideMark/>
                  </w:tcPr>
                  <w:p w14:paraId="227B5614" w14:textId="77777777" w:rsidR="009A72D0" w:rsidRPr="009A72D0" w:rsidRDefault="009A72D0">
                    <w:pPr>
                      <w:pStyle w:val="Bibliografie"/>
                      <w:rPr>
                        <w:noProof/>
                        <w:sz w:val="19"/>
                        <w:szCs w:val="19"/>
                        <w:lang w:val="en-US"/>
                      </w:rPr>
                    </w:pPr>
                    <w:r w:rsidRPr="009A72D0">
                      <w:rPr>
                        <w:noProof/>
                        <w:sz w:val="19"/>
                        <w:szCs w:val="19"/>
                        <w:lang w:val="en-US"/>
                      </w:rPr>
                      <w:t>„Filtlong,” [Online]. Available: https://github.com/rrwick/Filtlong.</w:t>
                    </w:r>
                  </w:p>
                </w:tc>
              </w:tr>
              <w:tr w:rsidR="009A72D0" w:rsidRPr="0069791F" w14:paraId="2CEFAA7C" w14:textId="77777777">
                <w:trPr>
                  <w:divId w:val="1939023993"/>
                  <w:tblCellSpacing w:w="15" w:type="dxa"/>
                </w:trPr>
                <w:tc>
                  <w:tcPr>
                    <w:tcW w:w="50" w:type="pct"/>
                    <w:hideMark/>
                  </w:tcPr>
                  <w:p w14:paraId="13CACA97" w14:textId="77777777" w:rsidR="009A72D0" w:rsidRPr="009A72D0" w:rsidRDefault="009A72D0">
                    <w:pPr>
                      <w:pStyle w:val="Bibliografie"/>
                      <w:rPr>
                        <w:noProof/>
                        <w:sz w:val="19"/>
                        <w:szCs w:val="19"/>
                      </w:rPr>
                    </w:pPr>
                    <w:r w:rsidRPr="009A72D0">
                      <w:rPr>
                        <w:noProof/>
                        <w:sz w:val="19"/>
                        <w:szCs w:val="19"/>
                      </w:rPr>
                      <w:t xml:space="preserve">[15] </w:t>
                    </w:r>
                  </w:p>
                </w:tc>
                <w:tc>
                  <w:tcPr>
                    <w:tcW w:w="0" w:type="auto"/>
                    <w:hideMark/>
                  </w:tcPr>
                  <w:p w14:paraId="65CAB787" w14:textId="77777777" w:rsidR="009A72D0" w:rsidRPr="009A72D0" w:rsidRDefault="009A72D0">
                    <w:pPr>
                      <w:pStyle w:val="Bibliografie"/>
                      <w:rPr>
                        <w:noProof/>
                        <w:sz w:val="19"/>
                        <w:szCs w:val="19"/>
                        <w:lang w:val="en-US"/>
                      </w:rPr>
                    </w:pPr>
                    <w:r w:rsidRPr="009A72D0">
                      <w:rPr>
                        <w:noProof/>
                        <w:sz w:val="19"/>
                        <w:szCs w:val="19"/>
                        <w:lang w:val="en-US"/>
                      </w:rPr>
                      <w:t xml:space="preserve">J. Bengtsson-Palme, Z. Wang, S. Branco en A. Godhe, „Improved software detection and extraction of ITS1 and ITS2 from ribosomal ITS sequences of fungi and other eukaryotes for analysis of,” </w:t>
                    </w:r>
                    <w:r w:rsidRPr="009A72D0">
                      <w:rPr>
                        <w:i/>
                        <w:iCs/>
                        <w:noProof/>
                        <w:sz w:val="19"/>
                        <w:szCs w:val="19"/>
                        <w:lang w:val="en-US"/>
                      </w:rPr>
                      <w:t xml:space="preserve">Methods in Ecology and Evolution, </w:t>
                    </w:r>
                    <w:r w:rsidRPr="009A72D0">
                      <w:rPr>
                        <w:noProof/>
                        <w:sz w:val="19"/>
                        <w:szCs w:val="19"/>
                        <w:lang w:val="en-US"/>
                      </w:rPr>
                      <w:t xml:space="preserve">2013. </w:t>
                    </w:r>
                  </w:p>
                </w:tc>
              </w:tr>
              <w:tr w:rsidR="009A72D0" w14:paraId="215CD300" w14:textId="77777777">
                <w:trPr>
                  <w:divId w:val="1939023993"/>
                  <w:tblCellSpacing w:w="15" w:type="dxa"/>
                </w:trPr>
                <w:tc>
                  <w:tcPr>
                    <w:tcW w:w="50" w:type="pct"/>
                    <w:hideMark/>
                  </w:tcPr>
                  <w:p w14:paraId="016C14DE" w14:textId="77777777" w:rsidR="009A72D0" w:rsidRPr="009A72D0" w:rsidRDefault="009A72D0">
                    <w:pPr>
                      <w:pStyle w:val="Bibliografie"/>
                      <w:rPr>
                        <w:noProof/>
                        <w:sz w:val="19"/>
                        <w:szCs w:val="19"/>
                      </w:rPr>
                    </w:pPr>
                    <w:r w:rsidRPr="009A72D0">
                      <w:rPr>
                        <w:noProof/>
                        <w:sz w:val="19"/>
                        <w:szCs w:val="19"/>
                      </w:rPr>
                      <w:t xml:space="preserve">[16] </w:t>
                    </w:r>
                  </w:p>
                </w:tc>
                <w:tc>
                  <w:tcPr>
                    <w:tcW w:w="0" w:type="auto"/>
                    <w:hideMark/>
                  </w:tcPr>
                  <w:p w14:paraId="2A693682" w14:textId="77777777" w:rsidR="009A72D0" w:rsidRPr="009A72D0" w:rsidRDefault="009A72D0">
                    <w:pPr>
                      <w:pStyle w:val="Bibliografie"/>
                      <w:rPr>
                        <w:noProof/>
                        <w:sz w:val="19"/>
                        <w:szCs w:val="19"/>
                      </w:rPr>
                    </w:pPr>
                    <w:r w:rsidRPr="009A72D0">
                      <w:rPr>
                        <w:noProof/>
                        <w:sz w:val="19"/>
                        <w:szCs w:val="19"/>
                      </w:rPr>
                      <w:t>S. Boden, „GermGenie,” [Online]. Available: https://github.com/Avans-ATLS/GermGenie.</w:t>
                    </w:r>
                  </w:p>
                </w:tc>
              </w:tr>
              <w:tr w:rsidR="009A72D0" w:rsidRPr="0069791F" w14:paraId="5988AA5D" w14:textId="77777777">
                <w:trPr>
                  <w:divId w:val="1939023993"/>
                  <w:tblCellSpacing w:w="15" w:type="dxa"/>
                </w:trPr>
                <w:tc>
                  <w:tcPr>
                    <w:tcW w:w="50" w:type="pct"/>
                    <w:hideMark/>
                  </w:tcPr>
                  <w:p w14:paraId="011767B4" w14:textId="77777777" w:rsidR="009A72D0" w:rsidRPr="009A72D0" w:rsidRDefault="009A72D0">
                    <w:pPr>
                      <w:pStyle w:val="Bibliografie"/>
                      <w:rPr>
                        <w:noProof/>
                        <w:sz w:val="19"/>
                        <w:szCs w:val="19"/>
                      </w:rPr>
                    </w:pPr>
                    <w:r w:rsidRPr="009A72D0">
                      <w:rPr>
                        <w:noProof/>
                        <w:sz w:val="19"/>
                        <w:szCs w:val="19"/>
                      </w:rPr>
                      <w:t xml:space="preserve">[17] </w:t>
                    </w:r>
                  </w:p>
                </w:tc>
                <w:tc>
                  <w:tcPr>
                    <w:tcW w:w="0" w:type="auto"/>
                    <w:hideMark/>
                  </w:tcPr>
                  <w:p w14:paraId="79F2252A" w14:textId="77777777" w:rsidR="009A72D0" w:rsidRPr="009A72D0" w:rsidRDefault="009A72D0">
                    <w:pPr>
                      <w:pStyle w:val="Bibliografie"/>
                      <w:rPr>
                        <w:noProof/>
                        <w:sz w:val="19"/>
                        <w:szCs w:val="19"/>
                        <w:lang w:val="en-US"/>
                      </w:rPr>
                    </w:pPr>
                    <w:r w:rsidRPr="009A72D0">
                      <w:rPr>
                        <w:noProof/>
                        <w:sz w:val="19"/>
                        <w:szCs w:val="19"/>
                        <w:lang w:val="en-US"/>
                      </w:rPr>
                      <w:t>„Minimap2,” [Online]. Available: https://github.com/lh3/minimap2.</w:t>
                    </w:r>
                  </w:p>
                </w:tc>
              </w:tr>
              <w:tr w:rsidR="009A72D0" w:rsidRPr="0069791F" w14:paraId="7758590B" w14:textId="77777777">
                <w:trPr>
                  <w:divId w:val="1939023993"/>
                  <w:tblCellSpacing w:w="15" w:type="dxa"/>
                </w:trPr>
                <w:tc>
                  <w:tcPr>
                    <w:tcW w:w="50" w:type="pct"/>
                    <w:hideMark/>
                  </w:tcPr>
                  <w:p w14:paraId="6AFCA758" w14:textId="77777777" w:rsidR="009A72D0" w:rsidRPr="009A72D0" w:rsidRDefault="009A72D0">
                    <w:pPr>
                      <w:pStyle w:val="Bibliografie"/>
                      <w:rPr>
                        <w:noProof/>
                        <w:sz w:val="19"/>
                        <w:szCs w:val="19"/>
                      </w:rPr>
                    </w:pPr>
                    <w:r w:rsidRPr="009A72D0">
                      <w:rPr>
                        <w:noProof/>
                        <w:sz w:val="19"/>
                        <w:szCs w:val="19"/>
                      </w:rPr>
                      <w:t xml:space="preserve">[18] </w:t>
                    </w:r>
                  </w:p>
                </w:tc>
                <w:tc>
                  <w:tcPr>
                    <w:tcW w:w="0" w:type="auto"/>
                    <w:hideMark/>
                  </w:tcPr>
                  <w:p w14:paraId="79ACDAF1" w14:textId="77777777" w:rsidR="009A72D0" w:rsidRPr="009A72D0" w:rsidRDefault="009A72D0">
                    <w:pPr>
                      <w:pStyle w:val="Bibliografie"/>
                      <w:rPr>
                        <w:noProof/>
                        <w:sz w:val="19"/>
                        <w:szCs w:val="19"/>
                        <w:lang w:val="en-US"/>
                      </w:rPr>
                    </w:pPr>
                    <w:r w:rsidRPr="009A72D0">
                      <w:rPr>
                        <w:noProof/>
                        <w:sz w:val="19"/>
                        <w:szCs w:val="19"/>
                        <w:lang w:val="en-US"/>
                      </w:rPr>
                      <w:t>arq5x, „bedtools,” [Online]. Available: https://github.com/arq5x/bedtools/tree/master.</w:t>
                    </w:r>
                  </w:p>
                </w:tc>
              </w:tr>
              <w:tr w:rsidR="009A72D0" w:rsidRPr="0069791F" w14:paraId="7888B545" w14:textId="77777777">
                <w:trPr>
                  <w:divId w:val="1939023993"/>
                  <w:tblCellSpacing w:w="15" w:type="dxa"/>
                </w:trPr>
                <w:tc>
                  <w:tcPr>
                    <w:tcW w:w="50" w:type="pct"/>
                    <w:hideMark/>
                  </w:tcPr>
                  <w:p w14:paraId="135CE0D4" w14:textId="77777777" w:rsidR="009A72D0" w:rsidRPr="009A72D0" w:rsidRDefault="009A72D0">
                    <w:pPr>
                      <w:pStyle w:val="Bibliografie"/>
                      <w:rPr>
                        <w:noProof/>
                        <w:sz w:val="19"/>
                        <w:szCs w:val="19"/>
                      </w:rPr>
                    </w:pPr>
                    <w:r w:rsidRPr="009A72D0">
                      <w:rPr>
                        <w:noProof/>
                        <w:sz w:val="19"/>
                        <w:szCs w:val="19"/>
                      </w:rPr>
                      <w:t xml:space="preserve">[19] </w:t>
                    </w:r>
                  </w:p>
                </w:tc>
                <w:tc>
                  <w:tcPr>
                    <w:tcW w:w="0" w:type="auto"/>
                    <w:hideMark/>
                  </w:tcPr>
                  <w:p w14:paraId="6D29D2CB" w14:textId="77777777" w:rsidR="009A72D0" w:rsidRPr="009A72D0" w:rsidRDefault="009A72D0">
                    <w:pPr>
                      <w:pStyle w:val="Bibliografie"/>
                      <w:rPr>
                        <w:noProof/>
                        <w:sz w:val="19"/>
                        <w:szCs w:val="19"/>
                        <w:lang w:val="en-US"/>
                      </w:rPr>
                    </w:pPr>
                    <w:r w:rsidRPr="009A72D0">
                      <w:rPr>
                        <w:noProof/>
                        <w:sz w:val="19"/>
                        <w:szCs w:val="19"/>
                        <w:lang w:val="en-US"/>
                      </w:rPr>
                      <w:t>shokrofont, „Medaka,” [Online]. Available: https://github.com/nanoporetech/medaka.</w:t>
                    </w:r>
                  </w:p>
                </w:tc>
              </w:tr>
              <w:tr w:rsidR="009A72D0" w:rsidRPr="0069791F" w14:paraId="1928832D" w14:textId="77777777">
                <w:trPr>
                  <w:divId w:val="1939023993"/>
                  <w:tblCellSpacing w:w="15" w:type="dxa"/>
                </w:trPr>
                <w:tc>
                  <w:tcPr>
                    <w:tcW w:w="50" w:type="pct"/>
                    <w:hideMark/>
                  </w:tcPr>
                  <w:p w14:paraId="2F9F1E44" w14:textId="77777777" w:rsidR="009A72D0" w:rsidRPr="009A72D0" w:rsidRDefault="009A72D0">
                    <w:pPr>
                      <w:pStyle w:val="Bibliografie"/>
                      <w:rPr>
                        <w:noProof/>
                        <w:sz w:val="19"/>
                        <w:szCs w:val="19"/>
                      </w:rPr>
                    </w:pPr>
                    <w:r w:rsidRPr="009A72D0">
                      <w:rPr>
                        <w:noProof/>
                        <w:sz w:val="19"/>
                        <w:szCs w:val="19"/>
                      </w:rPr>
                      <w:t xml:space="preserve">[20] </w:t>
                    </w:r>
                  </w:p>
                </w:tc>
                <w:tc>
                  <w:tcPr>
                    <w:tcW w:w="0" w:type="auto"/>
                    <w:hideMark/>
                  </w:tcPr>
                  <w:p w14:paraId="0658D679" w14:textId="77777777" w:rsidR="009A72D0" w:rsidRPr="009A72D0" w:rsidRDefault="009A72D0">
                    <w:pPr>
                      <w:pStyle w:val="Bibliografie"/>
                      <w:rPr>
                        <w:noProof/>
                        <w:sz w:val="19"/>
                        <w:szCs w:val="19"/>
                        <w:lang w:val="en-US"/>
                      </w:rPr>
                    </w:pPr>
                    <w:r w:rsidRPr="009A72D0">
                      <w:rPr>
                        <w:noProof/>
                        <w:sz w:val="19"/>
                        <w:szCs w:val="19"/>
                        <w:lang w:val="en-US"/>
                      </w:rPr>
                      <w:t xml:space="preserve">R. Vaser , I. Sović en N. Nagarajan , „Fast and accurate de novo genome assembly from long uncorrected reads,” </w:t>
                    </w:r>
                    <w:r w:rsidRPr="009A72D0">
                      <w:rPr>
                        <w:i/>
                        <w:iCs/>
                        <w:noProof/>
                        <w:sz w:val="19"/>
                        <w:szCs w:val="19"/>
                        <w:lang w:val="en-US"/>
                      </w:rPr>
                      <w:t xml:space="preserve">Genome Research, </w:t>
                    </w:r>
                    <w:r w:rsidRPr="009A72D0">
                      <w:rPr>
                        <w:noProof/>
                        <w:sz w:val="19"/>
                        <w:szCs w:val="19"/>
                        <w:lang w:val="en-US"/>
                      </w:rPr>
                      <w:t xml:space="preserve">2017. </w:t>
                    </w:r>
                  </w:p>
                </w:tc>
              </w:tr>
              <w:tr w:rsidR="009A72D0" w:rsidRPr="0069791F" w14:paraId="73F3D8C4" w14:textId="77777777">
                <w:trPr>
                  <w:divId w:val="1939023993"/>
                  <w:tblCellSpacing w:w="15" w:type="dxa"/>
                </w:trPr>
                <w:tc>
                  <w:tcPr>
                    <w:tcW w:w="50" w:type="pct"/>
                    <w:hideMark/>
                  </w:tcPr>
                  <w:p w14:paraId="423D170F" w14:textId="77777777" w:rsidR="009A72D0" w:rsidRPr="009A72D0" w:rsidRDefault="009A72D0">
                    <w:pPr>
                      <w:pStyle w:val="Bibliografie"/>
                      <w:rPr>
                        <w:noProof/>
                        <w:sz w:val="19"/>
                        <w:szCs w:val="19"/>
                      </w:rPr>
                    </w:pPr>
                    <w:r w:rsidRPr="009A72D0">
                      <w:rPr>
                        <w:noProof/>
                        <w:sz w:val="19"/>
                        <w:szCs w:val="19"/>
                      </w:rPr>
                      <w:t xml:space="preserve">[21] </w:t>
                    </w:r>
                  </w:p>
                </w:tc>
                <w:tc>
                  <w:tcPr>
                    <w:tcW w:w="0" w:type="auto"/>
                    <w:hideMark/>
                  </w:tcPr>
                  <w:p w14:paraId="3CAA7FC1" w14:textId="77777777" w:rsidR="009A72D0" w:rsidRPr="009A72D0" w:rsidRDefault="009A72D0">
                    <w:pPr>
                      <w:pStyle w:val="Bibliografie"/>
                      <w:rPr>
                        <w:noProof/>
                        <w:sz w:val="19"/>
                        <w:szCs w:val="19"/>
                        <w:lang w:val="en-US"/>
                      </w:rPr>
                    </w:pPr>
                    <w:r w:rsidRPr="009A72D0">
                      <w:rPr>
                        <w:noProof/>
                        <w:sz w:val="19"/>
                        <w:szCs w:val="19"/>
                        <w:lang w:val="en-US"/>
                      </w:rPr>
                      <w:t xml:space="preserve">K. Shafin, . T. Pesout , . R. Lorig-Roach, M. Haukness en C. Bosworth, „Nanopore sequencing and the Shasta toolkit enable efficient de novo assembly of eleven human genomes,” </w:t>
                    </w:r>
                    <w:r w:rsidRPr="009A72D0">
                      <w:rPr>
                        <w:i/>
                        <w:iCs/>
                        <w:noProof/>
                        <w:sz w:val="19"/>
                        <w:szCs w:val="19"/>
                        <w:lang w:val="en-US"/>
                      </w:rPr>
                      <w:t xml:space="preserve">Nature Portfolio, </w:t>
                    </w:r>
                    <w:r w:rsidRPr="009A72D0">
                      <w:rPr>
                        <w:noProof/>
                        <w:sz w:val="19"/>
                        <w:szCs w:val="19"/>
                        <w:lang w:val="en-US"/>
                      </w:rPr>
                      <w:t xml:space="preserve">2020. </w:t>
                    </w:r>
                  </w:p>
                </w:tc>
              </w:tr>
              <w:tr w:rsidR="009A72D0" w:rsidRPr="0069791F" w14:paraId="50AD7C62" w14:textId="77777777">
                <w:trPr>
                  <w:divId w:val="1939023993"/>
                  <w:tblCellSpacing w:w="15" w:type="dxa"/>
                </w:trPr>
                <w:tc>
                  <w:tcPr>
                    <w:tcW w:w="50" w:type="pct"/>
                    <w:hideMark/>
                  </w:tcPr>
                  <w:p w14:paraId="6CCFC63F" w14:textId="77777777" w:rsidR="009A72D0" w:rsidRPr="009A72D0" w:rsidRDefault="009A72D0">
                    <w:pPr>
                      <w:pStyle w:val="Bibliografie"/>
                      <w:rPr>
                        <w:noProof/>
                        <w:sz w:val="19"/>
                        <w:szCs w:val="19"/>
                      </w:rPr>
                    </w:pPr>
                    <w:r w:rsidRPr="009A72D0">
                      <w:rPr>
                        <w:noProof/>
                        <w:sz w:val="19"/>
                        <w:szCs w:val="19"/>
                      </w:rPr>
                      <w:t xml:space="preserve">[22] </w:t>
                    </w:r>
                  </w:p>
                </w:tc>
                <w:tc>
                  <w:tcPr>
                    <w:tcW w:w="0" w:type="auto"/>
                    <w:hideMark/>
                  </w:tcPr>
                  <w:p w14:paraId="79F54037" w14:textId="77777777" w:rsidR="009A72D0" w:rsidRPr="009A72D0" w:rsidRDefault="009A72D0">
                    <w:pPr>
                      <w:pStyle w:val="Bibliografie"/>
                      <w:rPr>
                        <w:noProof/>
                        <w:sz w:val="19"/>
                        <w:szCs w:val="19"/>
                        <w:lang w:val="en-US"/>
                      </w:rPr>
                    </w:pPr>
                    <w:r w:rsidRPr="009A72D0">
                      <w:rPr>
                        <w:noProof/>
                        <w:sz w:val="19"/>
                        <w:szCs w:val="19"/>
                        <w:lang w:val="en-US"/>
                      </w:rPr>
                      <w:t xml:space="preserve">K. Loit, K. Adamson, . M. Bahram , R. Puusepp en S. Anslan, „Relative Performance of MinION (Oxford Nanopore Technologies) versus Sequel (Pacific Biosciences) Third-Generation Sequencing Instruments in Identification of Agricultural and Forest Fungal Pathogens,” </w:t>
                    </w:r>
                    <w:r w:rsidRPr="009A72D0">
                      <w:rPr>
                        <w:i/>
                        <w:iCs/>
                        <w:noProof/>
                        <w:sz w:val="19"/>
                        <w:szCs w:val="19"/>
                        <w:lang w:val="en-US"/>
                      </w:rPr>
                      <w:t xml:space="preserve">Applied and Environmental Microbiology, </w:t>
                    </w:r>
                    <w:r w:rsidRPr="009A72D0">
                      <w:rPr>
                        <w:noProof/>
                        <w:sz w:val="19"/>
                        <w:szCs w:val="19"/>
                        <w:lang w:val="en-US"/>
                      </w:rPr>
                      <w:t xml:space="preserve">2019. </w:t>
                    </w:r>
                  </w:p>
                </w:tc>
              </w:tr>
              <w:tr w:rsidR="009A72D0" w14:paraId="48014F8B" w14:textId="77777777">
                <w:trPr>
                  <w:divId w:val="1939023993"/>
                  <w:tblCellSpacing w:w="15" w:type="dxa"/>
                </w:trPr>
                <w:tc>
                  <w:tcPr>
                    <w:tcW w:w="50" w:type="pct"/>
                    <w:hideMark/>
                  </w:tcPr>
                  <w:p w14:paraId="2A89A5ED" w14:textId="77777777" w:rsidR="009A72D0" w:rsidRPr="009A72D0" w:rsidRDefault="009A72D0">
                    <w:pPr>
                      <w:pStyle w:val="Bibliografie"/>
                      <w:rPr>
                        <w:noProof/>
                        <w:sz w:val="19"/>
                        <w:szCs w:val="19"/>
                      </w:rPr>
                    </w:pPr>
                    <w:r w:rsidRPr="009A72D0">
                      <w:rPr>
                        <w:noProof/>
                        <w:sz w:val="19"/>
                        <w:szCs w:val="19"/>
                      </w:rPr>
                      <w:t xml:space="preserve">[23] </w:t>
                    </w:r>
                  </w:p>
                </w:tc>
                <w:tc>
                  <w:tcPr>
                    <w:tcW w:w="0" w:type="auto"/>
                    <w:hideMark/>
                  </w:tcPr>
                  <w:p w14:paraId="7DAF4544" w14:textId="77777777" w:rsidR="009A72D0" w:rsidRPr="009A72D0" w:rsidRDefault="009A72D0">
                    <w:pPr>
                      <w:pStyle w:val="Bibliografie"/>
                      <w:rPr>
                        <w:noProof/>
                        <w:sz w:val="19"/>
                        <w:szCs w:val="19"/>
                      </w:rPr>
                    </w:pPr>
                    <w:r w:rsidRPr="009A72D0">
                      <w:rPr>
                        <w:noProof/>
                        <w:sz w:val="19"/>
                        <w:szCs w:val="19"/>
                        <w:lang w:val="en-US"/>
                      </w:rPr>
                      <w:t xml:space="preserve">E. Bellemain, T. Carlsen en C. Brochmann, „ITS as an environmental DNA barcode for fungi: An in silico approach reveals potential PCR biases. </w:t>
                    </w:r>
                    <w:r w:rsidRPr="009A72D0">
                      <w:rPr>
                        <w:noProof/>
                        <w:sz w:val="19"/>
                        <w:szCs w:val="19"/>
                      </w:rPr>
                      <w:t xml:space="preserve">BMC Microbiology, 10, 189,” </w:t>
                    </w:r>
                    <w:r w:rsidRPr="009A72D0">
                      <w:rPr>
                        <w:i/>
                        <w:iCs/>
                        <w:noProof/>
                        <w:sz w:val="19"/>
                        <w:szCs w:val="19"/>
                      </w:rPr>
                      <w:t xml:space="preserve">BMC Microbiology, </w:t>
                    </w:r>
                    <w:r w:rsidRPr="009A72D0">
                      <w:rPr>
                        <w:noProof/>
                        <w:sz w:val="19"/>
                        <w:szCs w:val="19"/>
                      </w:rPr>
                      <w:t xml:space="preserve">2010. </w:t>
                    </w:r>
                  </w:p>
                </w:tc>
              </w:tr>
              <w:tr w:rsidR="009A72D0" w14:paraId="327033ED" w14:textId="77777777" w:rsidTr="009A72D0">
                <w:trPr>
                  <w:divId w:val="1939023993"/>
                  <w:trHeight w:val="41"/>
                  <w:tblCellSpacing w:w="15" w:type="dxa"/>
                </w:trPr>
                <w:tc>
                  <w:tcPr>
                    <w:tcW w:w="50" w:type="pct"/>
                    <w:hideMark/>
                  </w:tcPr>
                  <w:p w14:paraId="75555B7D" w14:textId="77777777" w:rsidR="009A72D0" w:rsidRPr="009A72D0" w:rsidRDefault="009A72D0">
                    <w:pPr>
                      <w:pStyle w:val="Bibliografie"/>
                      <w:rPr>
                        <w:noProof/>
                        <w:sz w:val="19"/>
                        <w:szCs w:val="19"/>
                      </w:rPr>
                    </w:pPr>
                    <w:r w:rsidRPr="009A72D0">
                      <w:rPr>
                        <w:noProof/>
                        <w:sz w:val="19"/>
                        <w:szCs w:val="19"/>
                      </w:rPr>
                      <w:t xml:space="preserve">[24] </w:t>
                    </w:r>
                  </w:p>
                </w:tc>
                <w:tc>
                  <w:tcPr>
                    <w:tcW w:w="0" w:type="auto"/>
                    <w:hideMark/>
                  </w:tcPr>
                  <w:p w14:paraId="66A3BC00" w14:textId="77777777" w:rsidR="009A72D0" w:rsidRPr="009A72D0" w:rsidRDefault="009A72D0">
                    <w:pPr>
                      <w:pStyle w:val="Bibliografie"/>
                      <w:rPr>
                        <w:noProof/>
                        <w:sz w:val="19"/>
                        <w:szCs w:val="19"/>
                      </w:rPr>
                    </w:pPr>
                    <w:r w:rsidRPr="009A72D0">
                      <w:rPr>
                        <w:noProof/>
                        <w:sz w:val="19"/>
                        <w:szCs w:val="19"/>
                        <w:lang w:val="en-US"/>
                      </w:rPr>
                      <w:t xml:space="preserve">L. W. Hugerth en . A. F. Andersson, „Analysing Microbial Community Composition through Amplicon Sequencing: From Sampling to Hypothesis Testing,” </w:t>
                    </w:r>
                    <w:r w:rsidRPr="009A72D0">
                      <w:rPr>
                        <w:i/>
                        <w:iCs/>
                        <w:noProof/>
                        <w:sz w:val="19"/>
                        <w:szCs w:val="19"/>
                        <w:lang w:val="en-US"/>
                      </w:rPr>
                      <w:t xml:space="preserve">Frontiers, </w:t>
                    </w:r>
                    <w:r w:rsidRPr="009A72D0">
                      <w:rPr>
                        <w:noProof/>
                        <w:sz w:val="19"/>
                        <w:szCs w:val="19"/>
                        <w:lang w:val="en-US"/>
                      </w:rPr>
                      <w:t xml:space="preserve">vol. </w:t>
                    </w:r>
                    <w:r w:rsidRPr="009A72D0">
                      <w:rPr>
                        <w:noProof/>
                        <w:sz w:val="19"/>
                        <w:szCs w:val="19"/>
                      </w:rPr>
                      <w:t xml:space="preserve">Volume 8 , 2017. </w:t>
                    </w:r>
                  </w:p>
                </w:tc>
              </w:tr>
            </w:tbl>
            <w:p w14:paraId="1584E278" w14:textId="77777777" w:rsidR="009A72D0" w:rsidRDefault="009A72D0">
              <w:pPr>
                <w:divId w:val="1939023993"/>
                <w:rPr>
                  <w:noProof/>
                </w:rPr>
              </w:pPr>
            </w:p>
            <w:p w14:paraId="20A9E5E5" w14:textId="4BAED788" w:rsidR="009A72D0" w:rsidRPr="00E129B4" w:rsidRDefault="00E129B4" w:rsidP="00EB35E2">
              <w:pPr>
                <w:rPr>
                  <w:sz w:val="22"/>
                  <w:szCs w:val="22"/>
                </w:rPr>
              </w:pPr>
              <w:r w:rsidRPr="00E129B4">
                <w:rPr>
                  <w:b/>
                  <w:bCs/>
                  <w:sz w:val="22"/>
                  <w:szCs w:val="22"/>
                </w:rPr>
                <w:fldChar w:fldCharType="end"/>
              </w:r>
            </w:p>
          </w:sdtContent>
        </w:sdt>
      </w:sdtContent>
    </w:sdt>
    <w:sectPr w:rsidR="009A72D0" w:rsidRPr="00E129B4" w:rsidSect="004D4BA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8EDEC" w14:textId="77777777" w:rsidR="0008294D" w:rsidRDefault="0008294D" w:rsidP="007B28F7">
      <w:r>
        <w:separator/>
      </w:r>
    </w:p>
  </w:endnote>
  <w:endnote w:type="continuationSeparator" w:id="0">
    <w:p w14:paraId="34207A25" w14:textId="77777777" w:rsidR="0008294D" w:rsidRDefault="0008294D" w:rsidP="007B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AB846" w14:textId="77777777" w:rsidR="0008294D" w:rsidRDefault="0008294D" w:rsidP="007B28F7">
      <w:r>
        <w:separator/>
      </w:r>
    </w:p>
  </w:footnote>
  <w:footnote w:type="continuationSeparator" w:id="0">
    <w:p w14:paraId="78A525E5" w14:textId="77777777" w:rsidR="0008294D" w:rsidRDefault="0008294D" w:rsidP="007B28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A3"/>
    <w:rsid w:val="00007124"/>
    <w:rsid w:val="00021917"/>
    <w:rsid w:val="0002578A"/>
    <w:rsid w:val="0003238B"/>
    <w:rsid w:val="000349BE"/>
    <w:rsid w:val="00035BAD"/>
    <w:rsid w:val="0004362D"/>
    <w:rsid w:val="00067867"/>
    <w:rsid w:val="0007344F"/>
    <w:rsid w:val="0008294D"/>
    <w:rsid w:val="00087C1A"/>
    <w:rsid w:val="000908F1"/>
    <w:rsid w:val="00090DBE"/>
    <w:rsid w:val="00094905"/>
    <w:rsid w:val="00095C19"/>
    <w:rsid w:val="000A5B67"/>
    <w:rsid w:val="000D56BF"/>
    <w:rsid w:val="000E23C6"/>
    <w:rsid w:val="000F1D5B"/>
    <w:rsid w:val="000F649C"/>
    <w:rsid w:val="001119C0"/>
    <w:rsid w:val="00112726"/>
    <w:rsid w:val="0011430D"/>
    <w:rsid w:val="00117754"/>
    <w:rsid w:val="00124E21"/>
    <w:rsid w:val="001274B1"/>
    <w:rsid w:val="00132D75"/>
    <w:rsid w:val="00143C8A"/>
    <w:rsid w:val="0016754C"/>
    <w:rsid w:val="00170BC9"/>
    <w:rsid w:val="00196428"/>
    <w:rsid w:val="001A07D9"/>
    <w:rsid w:val="001C033A"/>
    <w:rsid w:val="001D5D72"/>
    <w:rsid w:val="001E5710"/>
    <w:rsid w:val="001E71FA"/>
    <w:rsid w:val="001F0EDA"/>
    <w:rsid w:val="001F7C01"/>
    <w:rsid w:val="002017DE"/>
    <w:rsid w:val="00204033"/>
    <w:rsid w:val="00216722"/>
    <w:rsid w:val="002228D9"/>
    <w:rsid w:val="00224961"/>
    <w:rsid w:val="00226D32"/>
    <w:rsid w:val="00232CBB"/>
    <w:rsid w:val="002343F2"/>
    <w:rsid w:val="00241406"/>
    <w:rsid w:val="00250BA3"/>
    <w:rsid w:val="0025331A"/>
    <w:rsid w:val="0025345A"/>
    <w:rsid w:val="00255C4E"/>
    <w:rsid w:val="002677E4"/>
    <w:rsid w:val="0027161A"/>
    <w:rsid w:val="00271C4B"/>
    <w:rsid w:val="00286750"/>
    <w:rsid w:val="00290256"/>
    <w:rsid w:val="00290875"/>
    <w:rsid w:val="00295880"/>
    <w:rsid w:val="00297A8B"/>
    <w:rsid w:val="002A349C"/>
    <w:rsid w:val="002B0955"/>
    <w:rsid w:val="002B1C34"/>
    <w:rsid w:val="002C1A8E"/>
    <w:rsid w:val="002D0907"/>
    <w:rsid w:val="002E29C0"/>
    <w:rsid w:val="003078EE"/>
    <w:rsid w:val="0031034E"/>
    <w:rsid w:val="00337648"/>
    <w:rsid w:val="003409E2"/>
    <w:rsid w:val="00351431"/>
    <w:rsid w:val="0035715B"/>
    <w:rsid w:val="00357E12"/>
    <w:rsid w:val="00361F57"/>
    <w:rsid w:val="0036318B"/>
    <w:rsid w:val="0036773F"/>
    <w:rsid w:val="00376138"/>
    <w:rsid w:val="00377754"/>
    <w:rsid w:val="00382483"/>
    <w:rsid w:val="003856A8"/>
    <w:rsid w:val="003937F6"/>
    <w:rsid w:val="0039760D"/>
    <w:rsid w:val="003A0A5A"/>
    <w:rsid w:val="003B1C8C"/>
    <w:rsid w:val="003B76E0"/>
    <w:rsid w:val="003C2AD9"/>
    <w:rsid w:val="003D0997"/>
    <w:rsid w:val="003D1437"/>
    <w:rsid w:val="003D1BD9"/>
    <w:rsid w:val="003D2BEB"/>
    <w:rsid w:val="003D3B33"/>
    <w:rsid w:val="003E206A"/>
    <w:rsid w:val="003E309A"/>
    <w:rsid w:val="003E42CC"/>
    <w:rsid w:val="003E752D"/>
    <w:rsid w:val="0041727C"/>
    <w:rsid w:val="00417E2D"/>
    <w:rsid w:val="00424088"/>
    <w:rsid w:val="00427110"/>
    <w:rsid w:val="0044467D"/>
    <w:rsid w:val="00455E7F"/>
    <w:rsid w:val="004613C6"/>
    <w:rsid w:val="004627E7"/>
    <w:rsid w:val="00476FBB"/>
    <w:rsid w:val="00477BDC"/>
    <w:rsid w:val="00492866"/>
    <w:rsid w:val="00494C56"/>
    <w:rsid w:val="00495124"/>
    <w:rsid w:val="004B3244"/>
    <w:rsid w:val="004B6A4C"/>
    <w:rsid w:val="004C2DBD"/>
    <w:rsid w:val="004C66C9"/>
    <w:rsid w:val="004D04B9"/>
    <w:rsid w:val="004D4BAD"/>
    <w:rsid w:val="004D5C78"/>
    <w:rsid w:val="004E65EF"/>
    <w:rsid w:val="004F1FDD"/>
    <w:rsid w:val="004F2FC6"/>
    <w:rsid w:val="004F6F01"/>
    <w:rsid w:val="00512665"/>
    <w:rsid w:val="00513CAB"/>
    <w:rsid w:val="00521D86"/>
    <w:rsid w:val="0052272E"/>
    <w:rsid w:val="005323EB"/>
    <w:rsid w:val="00537F1D"/>
    <w:rsid w:val="005429F3"/>
    <w:rsid w:val="00542A0E"/>
    <w:rsid w:val="00542ADE"/>
    <w:rsid w:val="00544ADC"/>
    <w:rsid w:val="0055010D"/>
    <w:rsid w:val="005535EE"/>
    <w:rsid w:val="00560CF1"/>
    <w:rsid w:val="0058408E"/>
    <w:rsid w:val="005917BB"/>
    <w:rsid w:val="005A34CB"/>
    <w:rsid w:val="005A4829"/>
    <w:rsid w:val="005A5F51"/>
    <w:rsid w:val="005B7103"/>
    <w:rsid w:val="005D466D"/>
    <w:rsid w:val="005E0C66"/>
    <w:rsid w:val="005E1607"/>
    <w:rsid w:val="005E72CB"/>
    <w:rsid w:val="005F76F8"/>
    <w:rsid w:val="00610E73"/>
    <w:rsid w:val="0061235E"/>
    <w:rsid w:val="006160E6"/>
    <w:rsid w:val="006219C6"/>
    <w:rsid w:val="00623CF5"/>
    <w:rsid w:val="006254F4"/>
    <w:rsid w:val="00633BBA"/>
    <w:rsid w:val="00637C04"/>
    <w:rsid w:val="00642C1F"/>
    <w:rsid w:val="00643AC5"/>
    <w:rsid w:val="00645DDA"/>
    <w:rsid w:val="00656734"/>
    <w:rsid w:val="00666CF5"/>
    <w:rsid w:val="00676F76"/>
    <w:rsid w:val="00683F50"/>
    <w:rsid w:val="0069791F"/>
    <w:rsid w:val="006A0212"/>
    <w:rsid w:val="006A191A"/>
    <w:rsid w:val="006A28AE"/>
    <w:rsid w:val="006A701F"/>
    <w:rsid w:val="006B3234"/>
    <w:rsid w:val="006C2742"/>
    <w:rsid w:val="006D1E0E"/>
    <w:rsid w:val="006E21FA"/>
    <w:rsid w:val="006F7112"/>
    <w:rsid w:val="00700F1F"/>
    <w:rsid w:val="007072E3"/>
    <w:rsid w:val="007147FD"/>
    <w:rsid w:val="007235EF"/>
    <w:rsid w:val="00724F93"/>
    <w:rsid w:val="0072662E"/>
    <w:rsid w:val="0072683C"/>
    <w:rsid w:val="00744DD4"/>
    <w:rsid w:val="00750B74"/>
    <w:rsid w:val="00751281"/>
    <w:rsid w:val="00753644"/>
    <w:rsid w:val="007561FF"/>
    <w:rsid w:val="0076055E"/>
    <w:rsid w:val="007679D4"/>
    <w:rsid w:val="00775742"/>
    <w:rsid w:val="007803A6"/>
    <w:rsid w:val="00787398"/>
    <w:rsid w:val="00793E3C"/>
    <w:rsid w:val="007A2CE9"/>
    <w:rsid w:val="007A6FDB"/>
    <w:rsid w:val="007B0F84"/>
    <w:rsid w:val="007B28F7"/>
    <w:rsid w:val="007D1D23"/>
    <w:rsid w:val="007D6B6C"/>
    <w:rsid w:val="007E45ED"/>
    <w:rsid w:val="007F00BD"/>
    <w:rsid w:val="00802216"/>
    <w:rsid w:val="008110F6"/>
    <w:rsid w:val="008268C1"/>
    <w:rsid w:val="00826FD0"/>
    <w:rsid w:val="008312CF"/>
    <w:rsid w:val="0084437D"/>
    <w:rsid w:val="00844AA3"/>
    <w:rsid w:val="00861D29"/>
    <w:rsid w:val="008636C6"/>
    <w:rsid w:val="00873810"/>
    <w:rsid w:val="00881695"/>
    <w:rsid w:val="00893389"/>
    <w:rsid w:val="008A0F3A"/>
    <w:rsid w:val="008A2CB1"/>
    <w:rsid w:val="008A673D"/>
    <w:rsid w:val="008B1012"/>
    <w:rsid w:val="008B5E8A"/>
    <w:rsid w:val="008C41AD"/>
    <w:rsid w:val="008D05CD"/>
    <w:rsid w:val="008E156E"/>
    <w:rsid w:val="008E791D"/>
    <w:rsid w:val="008F78E2"/>
    <w:rsid w:val="008F7925"/>
    <w:rsid w:val="009051E6"/>
    <w:rsid w:val="0090634E"/>
    <w:rsid w:val="00921315"/>
    <w:rsid w:val="00924D50"/>
    <w:rsid w:val="00933FE7"/>
    <w:rsid w:val="00957564"/>
    <w:rsid w:val="0095776D"/>
    <w:rsid w:val="00962BF9"/>
    <w:rsid w:val="00965519"/>
    <w:rsid w:val="00971F78"/>
    <w:rsid w:val="00994207"/>
    <w:rsid w:val="009A72D0"/>
    <w:rsid w:val="009C3EE3"/>
    <w:rsid w:val="009D7B14"/>
    <w:rsid w:val="009E2158"/>
    <w:rsid w:val="009F650D"/>
    <w:rsid w:val="00A00193"/>
    <w:rsid w:val="00A120B5"/>
    <w:rsid w:val="00A12BBE"/>
    <w:rsid w:val="00A227FD"/>
    <w:rsid w:val="00A22F42"/>
    <w:rsid w:val="00A4532D"/>
    <w:rsid w:val="00A472CC"/>
    <w:rsid w:val="00A513ED"/>
    <w:rsid w:val="00A61C77"/>
    <w:rsid w:val="00A73AD1"/>
    <w:rsid w:val="00A745FD"/>
    <w:rsid w:val="00A802C0"/>
    <w:rsid w:val="00A92BF6"/>
    <w:rsid w:val="00A945B3"/>
    <w:rsid w:val="00A95B27"/>
    <w:rsid w:val="00AA02F9"/>
    <w:rsid w:val="00AA42AA"/>
    <w:rsid w:val="00AB39E0"/>
    <w:rsid w:val="00AD0C93"/>
    <w:rsid w:val="00AD504F"/>
    <w:rsid w:val="00AD7BF1"/>
    <w:rsid w:val="00AE191B"/>
    <w:rsid w:val="00AF132E"/>
    <w:rsid w:val="00AF70E7"/>
    <w:rsid w:val="00AF78CB"/>
    <w:rsid w:val="00B00751"/>
    <w:rsid w:val="00B060AC"/>
    <w:rsid w:val="00B10BBB"/>
    <w:rsid w:val="00B10E12"/>
    <w:rsid w:val="00B11B36"/>
    <w:rsid w:val="00B13B3D"/>
    <w:rsid w:val="00B34A45"/>
    <w:rsid w:val="00B37FD2"/>
    <w:rsid w:val="00B405E4"/>
    <w:rsid w:val="00B455C8"/>
    <w:rsid w:val="00B47857"/>
    <w:rsid w:val="00B51DF7"/>
    <w:rsid w:val="00B51F11"/>
    <w:rsid w:val="00B57D1D"/>
    <w:rsid w:val="00B61A79"/>
    <w:rsid w:val="00B641BB"/>
    <w:rsid w:val="00B72A52"/>
    <w:rsid w:val="00B772E5"/>
    <w:rsid w:val="00B776BA"/>
    <w:rsid w:val="00BA58E1"/>
    <w:rsid w:val="00BB1BB8"/>
    <w:rsid w:val="00BB2666"/>
    <w:rsid w:val="00BD2E0E"/>
    <w:rsid w:val="00BD3C85"/>
    <w:rsid w:val="00BD64FE"/>
    <w:rsid w:val="00BE053B"/>
    <w:rsid w:val="00BE49D9"/>
    <w:rsid w:val="00BF6E8F"/>
    <w:rsid w:val="00BF793E"/>
    <w:rsid w:val="00C011A1"/>
    <w:rsid w:val="00C03FE9"/>
    <w:rsid w:val="00C121F9"/>
    <w:rsid w:val="00C164C0"/>
    <w:rsid w:val="00C27C6E"/>
    <w:rsid w:val="00C45E93"/>
    <w:rsid w:val="00C474E8"/>
    <w:rsid w:val="00C54003"/>
    <w:rsid w:val="00C566EB"/>
    <w:rsid w:val="00C662A2"/>
    <w:rsid w:val="00C703EC"/>
    <w:rsid w:val="00C71A3B"/>
    <w:rsid w:val="00C7498F"/>
    <w:rsid w:val="00C76B59"/>
    <w:rsid w:val="00C830F9"/>
    <w:rsid w:val="00C935ED"/>
    <w:rsid w:val="00C9407D"/>
    <w:rsid w:val="00C9464A"/>
    <w:rsid w:val="00CA0E9C"/>
    <w:rsid w:val="00CA3825"/>
    <w:rsid w:val="00CB1453"/>
    <w:rsid w:val="00CB701F"/>
    <w:rsid w:val="00CB7930"/>
    <w:rsid w:val="00CC2080"/>
    <w:rsid w:val="00CC5E30"/>
    <w:rsid w:val="00CD604E"/>
    <w:rsid w:val="00CE4635"/>
    <w:rsid w:val="00CE4F21"/>
    <w:rsid w:val="00D0092F"/>
    <w:rsid w:val="00D10D8C"/>
    <w:rsid w:val="00D12A59"/>
    <w:rsid w:val="00D250B8"/>
    <w:rsid w:val="00D25287"/>
    <w:rsid w:val="00D26E12"/>
    <w:rsid w:val="00D31BD4"/>
    <w:rsid w:val="00D3520D"/>
    <w:rsid w:val="00D4297F"/>
    <w:rsid w:val="00D52A25"/>
    <w:rsid w:val="00D547CE"/>
    <w:rsid w:val="00D55C3A"/>
    <w:rsid w:val="00D61BD0"/>
    <w:rsid w:val="00D70441"/>
    <w:rsid w:val="00D739B8"/>
    <w:rsid w:val="00D76A36"/>
    <w:rsid w:val="00D83EE6"/>
    <w:rsid w:val="00D84419"/>
    <w:rsid w:val="00D878BC"/>
    <w:rsid w:val="00D9798D"/>
    <w:rsid w:val="00DA7447"/>
    <w:rsid w:val="00DB6792"/>
    <w:rsid w:val="00DC211D"/>
    <w:rsid w:val="00DD05ED"/>
    <w:rsid w:val="00DD2794"/>
    <w:rsid w:val="00DE6027"/>
    <w:rsid w:val="00DE6BB3"/>
    <w:rsid w:val="00DF1F1D"/>
    <w:rsid w:val="00E0614B"/>
    <w:rsid w:val="00E074E6"/>
    <w:rsid w:val="00E129B4"/>
    <w:rsid w:val="00E16E33"/>
    <w:rsid w:val="00E17149"/>
    <w:rsid w:val="00E308A5"/>
    <w:rsid w:val="00E416D3"/>
    <w:rsid w:val="00E42F6E"/>
    <w:rsid w:val="00E45F1A"/>
    <w:rsid w:val="00E46351"/>
    <w:rsid w:val="00E57745"/>
    <w:rsid w:val="00E73A97"/>
    <w:rsid w:val="00E73DC9"/>
    <w:rsid w:val="00E756DC"/>
    <w:rsid w:val="00E802DD"/>
    <w:rsid w:val="00E823D3"/>
    <w:rsid w:val="00E823DD"/>
    <w:rsid w:val="00E83610"/>
    <w:rsid w:val="00E8405B"/>
    <w:rsid w:val="00EA0EB7"/>
    <w:rsid w:val="00EB2AB5"/>
    <w:rsid w:val="00EB35E2"/>
    <w:rsid w:val="00EC5A1C"/>
    <w:rsid w:val="00EC79F6"/>
    <w:rsid w:val="00ED1428"/>
    <w:rsid w:val="00EE2627"/>
    <w:rsid w:val="00EE2691"/>
    <w:rsid w:val="00EE3E01"/>
    <w:rsid w:val="00EF1E57"/>
    <w:rsid w:val="00EF2E57"/>
    <w:rsid w:val="00EF684F"/>
    <w:rsid w:val="00F006BE"/>
    <w:rsid w:val="00F04320"/>
    <w:rsid w:val="00F04F46"/>
    <w:rsid w:val="00F14913"/>
    <w:rsid w:val="00F16C5E"/>
    <w:rsid w:val="00F176EC"/>
    <w:rsid w:val="00F234F3"/>
    <w:rsid w:val="00F344F5"/>
    <w:rsid w:val="00F37E3A"/>
    <w:rsid w:val="00F42E3D"/>
    <w:rsid w:val="00F43691"/>
    <w:rsid w:val="00F525C0"/>
    <w:rsid w:val="00F53458"/>
    <w:rsid w:val="00F550C4"/>
    <w:rsid w:val="00F6012A"/>
    <w:rsid w:val="00F62DA6"/>
    <w:rsid w:val="00F63354"/>
    <w:rsid w:val="00F96E29"/>
    <w:rsid w:val="00FA351A"/>
    <w:rsid w:val="00FA3E11"/>
    <w:rsid w:val="00FA55EC"/>
    <w:rsid w:val="00FB297B"/>
    <w:rsid w:val="00FB4A78"/>
    <w:rsid w:val="00FC5EB8"/>
    <w:rsid w:val="00FE2373"/>
    <w:rsid w:val="00FE25A9"/>
    <w:rsid w:val="00FE2DA0"/>
    <w:rsid w:val="00FE7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7DD1"/>
  <w15:chartTrackingRefBased/>
  <w15:docId w15:val="{41915A17-67DD-40AC-8F21-E05F6CEA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4320"/>
    <w:pPr>
      <w:spacing w:after="0" w:line="240" w:lineRule="auto"/>
    </w:pPr>
    <w:rPr>
      <w:rFonts w:ascii="Times New Roman" w:eastAsia="Times New Roman" w:hAnsi="Times New Roman" w:cs="Times New Roman"/>
      <w:kern w:val="0"/>
      <w:lang w:eastAsia="nl-NL"/>
      <w14:ligatures w14:val="none"/>
    </w:rPr>
  </w:style>
  <w:style w:type="paragraph" w:styleId="Kop1">
    <w:name w:val="heading 1"/>
    <w:basedOn w:val="Standaard"/>
    <w:next w:val="Standaard"/>
    <w:link w:val="Kop1Char"/>
    <w:uiPriority w:val="9"/>
    <w:qFormat/>
    <w:rsid w:val="00250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50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50BA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50BA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50BA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50BA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50BA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50BA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50BA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0BA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50BA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50BA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50BA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50BA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50BA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50BA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50BA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50BA3"/>
    <w:rPr>
      <w:rFonts w:eastAsiaTheme="majorEastAsia" w:cstheme="majorBidi"/>
      <w:color w:val="272727" w:themeColor="text1" w:themeTint="D8"/>
    </w:rPr>
  </w:style>
  <w:style w:type="paragraph" w:styleId="Titel">
    <w:name w:val="Title"/>
    <w:basedOn w:val="Standaard"/>
    <w:next w:val="Standaard"/>
    <w:link w:val="TitelChar"/>
    <w:uiPriority w:val="10"/>
    <w:qFormat/>
    <w:rsid w:val="00250BA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0BA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50BA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50BA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50BA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50BA3"/>
    <w:rPr>
      <w:i/>
      <w:iCs/>
      <w:color w:val="404040" w:themeColor="text1" w:themeTint="BF"/>
    </w:rPr>
  </w:style>
  <w:style w:type="paragraph" w:styleId="Lijstalinea">
    <w:name w:val="List Paragraph"/>
    <w:basedOn w:val="Standaard"/>
    <w:uiPriority w:val="34"/>
    <w:qFormat/>
    <w:rsid w:val="00250BA3"/>
    <w:pPr>
      <w:ind w:left="720"/>
      <w:contextualSpacing/>
    </w:pPr>
  </w:style>
  <w:style w:type="character" w:styleId="Intensievebenadrukking">
    <w:name w:val="Intense Emphasis"/>
    <w:basedOn w:val="Standaardalinea-lettertype"/>
    <w:uiPriority w:val="21"/>
    <w:qFormat/>
    <w:rsid w:val="00250BA3"/>
    <w:rPr>
      <w:i/>
      <w:iCs/>
      <w:color w:val="0F4761" w:themeColor="accent1" w:themeShade="BF"/>
    </w:rPr>
  </w:style>
  <w:style w:type="paragraph" w:styleId="Duidelijkcitaat">
    <w:name w:val="Intense Quote"/>
    <w:basedOn w:val="Standaard"/>
    <w:next w:val="Standaard"/>
    <w:link w:val="DuidelijkcitaatChar"/>
    <w:uiPriority w:val="30"/>
    <w:qFormat/>
    <w:rsid w:val="0025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50BA3"/>
    <w:rPr>
      <w:i/>
      <w:iCs/>
      <w:color w:val="0F4761" w:themeColor="accent1" w:themeShade="BF"/>
    </w:rPr>
  </w:style>
  <w:style w:type="character" w:styleId="Intensieveverwijzing">
    <w:name w:val="Intense Reference"/>
    <w:basedOn w:val="Standaardalinea-lettertype"/>
    <w:uiPriority w:val="32"/>
    <w:qFormat/>
    <w:rsid w:val="00250BA3"/>
    <w:rPr>
      <w:b/>
      <w:bCs/>
      <w:smallCaps/>
      <w:color w:val="0F4761" w:themeColor="accent1" w:themeShade="BF"/>
      <w:spacing w:val="5"/>
    </w:rPr>
  </w:style>
  <w:style w:type="paragraph" w:styleId="Geenafstand">
    <w:name w:val="No Spacing"/>
    <w:basedOn w:val="Standaard"/>
    <w:link w:val="GeenafstandChar"/>
    <w:uiPriority w:val="1"/>
    <w:qFormat/>
    <w:rsid w:val="00F04320"/>
    <w:rPr>
      <w:rFonts w:asciiTheme="minorHAnsi" w:eastAsiaTheme="minorEastAsia" w:hAnsiTheme="minorHAnsi" w:cstheme="minorBidi"/>
      <w:sz w:val="22"/>
      <w:szCs w:val="22"/>
      <w:lang w:eastAsia="en-US"/>
    </w:rPr>
  </w:style>
  <w:style w:type="character" w:customStyle="1" w:styleId="GeenafstandChar">
    <w:name w:val="Geen afstand Char"/>
    <w:basedOn w:val="Standaardalinea-lettertype"/>
    <w:link w:val="Geenafstand"/>
    <w:uiPriority w:val="1"/>
    <w:rsid w:val="00F04320"/>
    <w:rPr>
      <w:rFonts w:eastAsiaTheme="minorEastAsia"/>
      <w:kern w:val="0"/>
      <w:sz w:val="22"/>
      <w:szCs w:val="22"/>
      <w14:ligatures w14:val="none"/>
    </w:rPr>
  </w:style>
  <w:style w:type="character" w:styleId="Hyperlink">
    <w:name w:val="Hyperlink"/>
    <w:basedOn w:val="Standaardalinea-lettertype"/>
    <w:uiPriority w:val="99"/>
    <w:unhideWhenUsed/>
    <w:rsid w:val="00F04320"/>
    <w:rPr>
      <w:color w:val="467886" w:themeColor="hyperlink"/>
      <w:u w:val="single"/>
    </w:rPr>
  </w:style>
  <w:style w:type="paragraph" w:styleId="Bijschrift">
    <w:name w:val="caption"/>
    <w:basedOn w:val="Standaard"/>
    <w:next w:val="Standaard"/>
    <w:uiPriority w:val="35"/>
    <w:unhideWhenUsed/>
    <w:qFormat/>
    <w:rsid w:val="00112726"/>
    <w:pPr>
      <w:spacing w:after="200"/>
    </w:pPr>
    <w:rPr>
      <w:i/>
      <w:iCs/>
      <w:color w:val="0E2841" w:themeColor="text2"/>
      <w:sz w:val="18"/>
      <w:szCs w:val="18"/>
    </w:rPr>
  </w:style>
  <w:style w:type="paragraph" w:styleId="Koptekst">
    <w:name w:val="header"/>
    <w:basedOn w:val="Standaard"/>
    <w:link w:val="KoptekstChar"/>
    <w:uiPriority w:val="99"/>
    <w:unhideWhenUsed/>
    <w:rsid w:val="007B28F7"/>
    <w:pPr>
      <w:tabs>
        <w:tab w:val="center" w:pos="4536"/>
        <w:tab w:val="right" w:pos="9072"/>
      </w:tabs>
    </w:pPr>
  </w:style>
  <w:style w:type="character" w:customStyle="1" w:styleId="KoptekstChar">
    <w:name w:val="Koptekst Char"/>
    <w:basedOn w:val="Standaardalinea-lettertype"/>
    <w:link w:val="Koptekst"/>
    <w:uiPriority w:val="99"/>
    <w:rsid w:val="007B28F7"/>
    <w:rPr>
      <w:rFonts w:ascii="Times New Roman" w:eastAsia="Times New Roman" w:hAnsi="Times New Roman" w:cs="Times New Roman"/>
      <w:kern w:val="0"/>
      <w:lang w:eastAsia="nl-NL"/>
      <w14:ligatures w14:val="none"/>
    </w:rPr>
  </w:style>
  <w:style w:type="paragraph" w:styleId="Voettekst">
    <w:name w:val="footer"/>
    <w:basedOn w:val="Standaard"/>
    <w:link w:val="VoettekstChar"/>
    <w:uiPriority w:val="99"/>
    <w:unhideWhenUsed/>
    <w:rsid w:val="007B28F7"/>
    <w:pPr>
      <w:tabs>
        <w:tab w:val="center" w:pos="4536"/>
        <w:tab w:val="right" w:pos="9072"/>
      </w:tabs>
    </w:pPr>
  </w:style>
  <w:style w:type="character" w:customStyle="1" w:styleId="VoettekstChar">
    <w:name w:val="Voettekst Char"/>
    <w:basedOn w:val="Standaardalinea-lettertype"/>
    <w:link w:val="Voettekst"/>
    <w:uiPriority w:val="99"/>
    <w:rsid w:val="007B28F7"/>
    <w:rPr>
      <w:rFonts w:ascii="Times New Roman" w:eastAsia="Times New Roman" w:hAnsi="Times New Roman" w:cs="Times New Roman"/>
      <w:kern w:val="0"/>
      <w:lang w:eastAsia="nl-NL"/>
      <w14:ligatures w14:val="none"/>
    </w:rPr>
  </w:style>
  <w:style w:type="character" w:styleId="Onopgelostemelding">
    <w:name w:val="Unresolved Mention"/>
    <w:basedOn w:val="Standaardalinea-lettertype"/>
    <w:uiPriority w:val="99"/>
    <w:semiHidden/>
    <w:unhideWhenUsed/>
    <w:rsid w:val="00BA58E1"/>
    <w:rPr>
      <w:color w:val="605E5C"/>
      <w:shd w:val="clear" w:color="auto" w:fill="E1DFDD"/>
    </w:rPr>
  </w:style>
  <w:style w:type="table" w:styleId="Onopgemaaktetabel3">
    <w:name w:val="Plain Table 3"/>
    <w:basedOn w:val="Standaardtabel"/>
    <w:uiPriority w:val="43"/>
    <w:rsid w:val="00642C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2C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2C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642C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vaninhoudsopgave">
    <w:name w:val="TOC Heading"/>
    <w:basedOn w:val="Kop1"/>
    <w:next w:val="Standaard"/>
    <w:uiPriority w:val="39"/>
    <w:unhideWhenUsed/>
    <w:qFormat/>
    <w:rsid w:val="00241406"/>
    <w:pPr>
      <w:spacing w:before="240" w:after="0" w:line="259" w:lineRule="auto"/>
      <w:outlineLvl w:val="9"/>
    </w:pPr>
    <w:rPr>
      <w:sz w:val="32"/>
      <w:szCs w:val="32"/>
    </w:rPr>
  </w:style>
  <w:style w:type="paragraph" w:styleId="Inhopg1">
    <w:name w:val="toc 1"/>
    <w:basedOn w:val="Standaard"/>
    <w:next w:val="Standaard"/>
    <w:autoRedefine/>
    <w:uiPriority w:val="39"/>
    <w:unhideWhenUsed/>
    <w:rsid w:val="00241406"/>
    <w:pPr>
      <w:spacing w:after="100"/>
    </w:pPr>
  </w:style>
  <w:style w:type="paragraph" w:styleId="Inhopg2">
    <w:name w:val="toc 2"/>
    <w:basedOn w:val="Standaard"/>
    <w:next w:val="Standaard"/>
    <w:autoRedefine/>
    <w:uiPriority w:val="39"/>
    <w:unhideWhenUsed/>
    <w:rsid w:val="00241406"/>
    <w:pPr>
      <w:spacing w:after="100"/>
      <w:ind w:left="240"/>
    </w:pPr>
  </w:style>
  <w:style w:type="character" w:styleId="GevolgdeHyperlink">
    <w:name w:val="FollowedHyperlink"/>
    <w:basedOn w:val="Standaardalinea-lettertype"/>
    <w:uiPriority w:val="99"/>
    <w:semiHidden/>
    <w:unhideWhenUsed/>
    <w:rsid w:val="005B7103"/>
    <w:rPr>
      <w:color w:val="96607D" w:themeColor="followedHyperlink"/>
      <w:u w:val="single"/>
    </w:rPr>
  </w:style>
  <w:style w:type="paragraph" w:styleId="Bibliografie">
    <w:name w:val="Bibliography"/>
    <w:basedOn w:val="Standaard"/>
    <w:next w:val="Standaard"/>
    <w:uiPriority w:val="37"/>
    <w:unhideWhenUsed/>
    <w:rsid w:val="0092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7422">
      <w:bodyDiv w:val="1"/>
      <w:marLeft w:val="0"/>
      <w:marRight w:val="0"/>
      <w:marTop w:val="0"/>
      <w:marBottom w:val="0"/>
      <w:divBdr>
        <w:top w:val="none" w:sz="0" w:space="0" w:color="auto"/>
        <w:left w:val="none" w:sz="0" w:space="0" w:color="auto"/>
        <w:bottom w:val="none" w:sz="0" w:space="0" w:color="auto"/>
        <w:right w:val="none" w:sz="0" w:space="0" w:color="auto"/>
      </w:divBdr>
    </w:div>
    <w:div w:id="57441690">
      <w:bodyDiv w:val="1"/>
      <w:marLeft w:val="0"/>
      <w:marRight w:val="0"/>
      <w:marTop w:val="0"/>
      <w:marBottom w:val="0"/>
      <w:divBdr>
        <w:top w:val="none" w:sz="0" w:space="0" w:color="auto"/>
        <w:left w:val="none" w:sz="0" w:space="0" w:color="auto"/>
        <w:bottom w:val="none" w:sz="0" w:space="0" w:color="auto"/>
        <w:right w:val="none" w:sz="0" w:space="0" w:color="auto"/>
      </w:divBdr>
    </w:div>
    <w:div w:id="141584593">
      <w:bodyDiv w:val="1"/>
      <w:marLeft w:val="0"/>
      <w:marRight w:val="0"/>
      <w:marTop w:val="0"/>
      <w:marBottom w:val="0"/>
      <w:divBdr>
        <w:top w:val="none" w:sz="0" w:space="0" w:color="auto"/>
        <w:left w:val="none" w:sz="0" w:space="0" w:color="auto"/>
        <w:bottom w:val="none" w:sz="0" w:space="0" w:color="auto"/>
        <w:right w:val="none" w:sz="0" w:space="0" w:color="auto"/>
      </w:divBdr>
    </w:div>
    <w:div w:id="184901549">
      <w:bodyDiv w:val="1"/>
      <w:marLeft w:val="0"/>
      <w:marRight w:val="0"/>
      <w:marTop w:val="0"/>
      <w:marBottom w:val="0"/>
      <w:divBdr>
        <w:top w:val="none" w:sz="0" w:space="0" w:color="auto"/>
        <w:left w:val="none" w:sz="0" w:space="0" w:color="auto"/>
        <w:bottom w:val="none" w:sz="0" w:space="0" w:color="auto"/>
        <w:right w:val="none" w:sz="0" w:space="0" w:color="auto"/>
      </w:divBdr>
    </w:div>
    <w:div w:id="203368507">
      <w:bodyDiv w:val="1"/>
      <w:marLeft w:val="0"/>
      <w:marRight w:val="0"/>
      <w:marTop w:val="0"/>
      <w:marBottom w:val="0"/>
      <w:divBdr>
        <w:top w:val="none" w:sz="0" w:space="0" w:color="auto"/>
        <w:left w:val="none" w:sz="0" w:space="0" w:color="auto"/>
        <w:bottom w:val="none" w:sz="0" w:space="0" w:color="auto"/>
        <w:right w:val="none" w:sz="0" w:space="0" w:color="auto"/>
      </w:divBdr>
    </w:div>
    <w:div w:id="221671575">
      <w:bodyDiv w:val="1"/>
      <w:marLeft w:val="0"/>
      <w:marRight w:val="0"/>
      <w:marTop w:val="0"/>
      <w:marBottom w:val="0"/>
      <w:divBdr>
        <w:top w:val="none" w:sz="0" w:space="0" w:color="auto"/>
        <w:left w:val="none" w:sz="0" w:space="0" w:color="auto"/>
        <w:bottom w:val="none" w:sz="0" w:space="0" w:color="auto"/>
        <w:right w:val="none" w:sz="0" w:space="0" w:color="auto"/>
      </w:divBdr>
    </w:div>
    <w:div w:id="234634872">
      <w:bodyDiv w:val="1"/>
      <w:marLeft w:val="0"/>
      <w:marRight w:val="0"/>
      <w:marTop w:val="0"/>
      <w:marBottom w:val="0"/>
      <w:divBdr>
        <w:top w:val="none" w:sz="0" w:space="0" w:color="auto"/>
        <w:left w:val="none" w:sz="0" w:space="0" w:color="auto"/>
        <w:bottom w:val="none" w:sz="0" w:space="0" w:color="auto"/>
        <w:right w:val="none" w:sz="0" w:space="0" w:color="auto"/>
      </w:divBdr>
    </w:div>
    <w:div w:id="246576384">
      <w:bodyDiv w:val="1"/>
      <w:marLeft w:val="0"/>
      <w:marRight w:val="0"/>
      <w:marTop w:val="0"/>
      <w:marBottom w:val="0"/>
      <w:divBdr>
        <w:top w:val="none" w:sz="0" w:space="0" w:color="auto"/>
        <w:left w:val="none" w:sz="0" w:space="0" w:color="auto"/>
        <w:bottom w:val="none" w:sz="0" w:space="0" w:color="auto"/>
        <w:right w:val="none" w:sz="0" w:space="0" w:color="auto"/>
      </w:divBdr>
    </w:div>
    <w:div w:id="250311623">
      <w:bodyDiv w:val="1"/>
      <w:marLeft w:val="0"/>
      <w:marRight w:val="0"/>
      <w:marTop w:val="0"/>
      <w:marBottom w:val="0"/>
      <w:divBdr>
        <w:top w:val="none" w:sz="0" w:space="0" w:color="auto"/>
        <w:left w:val="none" w:sz="0" w:space="0" w:color="auto"/>
        <w:bottom w:val="none" w:sz="0" w:space="0" w:color="auto"/>
        <w:right w:val="none" w:sz="0" w:space="0" w:color="auto"/>
      </w:divBdr>
    </w:div>
    <w:div w:id="278339073">
      <w:bodyDiv w:val="1"/>
      <w:marLeft w:val="0"/>
      <w:marRight w:val="0"/>
      <w:marTop w:val="0"/>
      <w:marBottom w:val="0"/>
      <w:divBdr>
        <w:top w:val="none" w:sz="0" w:space="0" w:color="auto"/>
        <w:left w:val="none" w:sz="0" w:space="0" w:color="auto"/>
        <w:bottom w:val="none" w:sz="0" w:space="0" w:color="auto"/>
        <w:right w:val="none" w:sz="0" w:space="0" w:color="auto"/>
      </w:divBdr>
    </w:div>
    <w:div w:id="291139585">
      <w:bodyDiv w:val="1"/>
      <w:marLeft w:val="0"/>
      <w:marRight w:val="0"/>
      <w:marTop w:val="0"/>
      <w:marBottom w:val="0"/>
      <w:divBdr>
        <w:top w:val="none" w:sz="0" w:space="0" w:color="auto"/>
        <w:left w:val="none" w:sz="0" w:space="0" w:color="auto"/>
        <w:bottom w:val="none" w:sz="0" w:space="0" w:color="auto"/>
        <w:right w:val="none" w:sz="0" w:space="0" w:color="auto"/>
      </w:divBdr>
    </w:div>
    <w:div w:id="292099649">
      <w:bodyDiv w:val="1"/>
      <w:marLeft w:val="0"/>
      <w:marRight w:val="0"/>
      <w:marTop w:val="0"/>
      <w:marBottom w:val="0"/>
      <w:divBdr>
        <w:top w:val="none" w:sz="0" w:space="0" w:color="auto"/>
        <w:left w:val="none" w:sz="0" w:space="0" w:color="auto"/>
        <w:bottom w:val="none" w:sz="0" w:space="0" w:color="auto"/>
        <w:right w:val="none" w:sz="0" w:space="0" w:color="auto"/>
      </w:divBdr>
    </w:div>
    <w:div w:id="352223170">
      <w:bodyDiv w:val="1"/>
      <w:marLeft w:val="0"/>
      <w:marRight w:val="0"/>
      <w:marTop w:val="0"/>
      <w:marBottom w:val="0"/>
      <w:divBdr>
        <w:top w:val="none" w:sz="0" w:space="0" w:color="auto"/>
        <w:left w:val="none" w:sz="0" w:space="0" w:color="auto"/>
        <w:bottom w:val="none" w:sz="0" w:space="0" w:color="auto"/>
        <w:right w:val="none" w:sz="0" w:space="0" w:color="auto"/>
      </w:divBdr>
    </w:div>
    <w:div w:id="358698411">
      <w:bodyDiv w:val="1"/>
      <w:marLeft w:val="0"/>
      <w:marRight w:val="0"/>
      <w:marTop w:val="0"/>
      <w:marBottom w:val="0"/>
      <w:divBdr>
        <w:top w:val="none" w:sz="0" w:space="0" w:color="auto"/>
        <w:left w:val="none" w:sz="0" w:space="0" w:color="auto"/>
        <w:bottom w:val="none" w:sz="0" w:space="0" w:color="auto"/>
        <w:right w:val="none" w:sz="0" w:space="0" w:color="auto"/>
      </w:divBdr>
    </w:div>
    <w:div w:id="365834503">
      <w:bodyDiv w:val="1"/>
      <w:marLeft w:val="0"/>
      <w:marRight w:val="0"/>
      <w:marTop w:val="0"/>
      <w:marBottom w:val="0"/>
      <w:divBdr>
        <w:top w:val="none" w:sz="0" w:space="0" w:color="auto"/>
        <w:left w:val="none" w:sz="0" w:space="0" w:color="auto"/>
        <w:bottom w:val="none" w:sz="0" w:space="0" w:color="auto"/>
        <w:right w:val="none" w:sz="0" w:space="0" w:color="auto"/>
      </w:divBdr>
    </w:div>
    <w:div w:id="378668803">
      <w:bodyDiv w:val="1"/>
      <w:marLeft w:val="0"/>
      <w:marRight w:val="0"/>
      <w:marTop w:val="0"/>
      <w:marBottom w:val="0"/>
      <w:divBdr>
        <w:top w:val="none" w:sz="0" w:space="0" w:color="auto"/>
        <w:left w:val="none" w:sz="0" w:space="0" w:color="auto"/>
        <w:bottom w:val="none" w:sz="0" w:space="0" w:color="auto"/>
        <w:right w:val="none" w:sz="0" w:space="0" w:color="auto"/>
      </w:divBdr>
    </w:div>
    <w:div w:id="382603603">
      <w:bodyDiv w:val="1"/>
      <w:marLeft w:val="0"/>
      <w:marRight w:val="0"/>
      <w:marTop w:val="0"/>
      <w:marBottom w:val="0"/>
      <w:divBdr>
        <w:top w:val="none" w:sz="0" w:space="0" w:color="auto"/>
        <w:left w:val="none" w:sz="0" w:space="0" w:color="auto"/>
        <w:bottom w:val="none" w:sz="0" w:space="0" w:color="auto"/>
        <w:right w:val="none" w:sz="0" w:space="0" w:color="auto"/>
      </w:divBdr>
    </w:div>
    <w:div w:id="398209602">
      <w:bodyDiv w:val="1"/>
      <w:marLeft w:val="0"/>
      <w:marRight w:val="0"/>
      <w:marTop w:val="0"/>
      <w:marBottom w:val="0"/>
      <w:divBdr>
        <w:top w:val="none" w:sz="0" w:space="0" w:color="auto"/>
        <w:left w:val="none" w:sz="0" w:space="0" w:color="auto"/>
        <w:bottom w:val="none" w:sz="0" w:space="0" w:color="auto"/>
        <w:right w:val="none" w:sz="0" w:space="0" w:color="auto"/>
      </w:divBdr>
    </w:div>
    <w:div w:id="416095580">
      <w:bodyDiv w:val="1"/>
      <w:marLeft w:val="0"/>
      <w:marRight w:val="0"/>
      <w:marTop w:val="0"/>
      <w:marBottom w:val="0"/>
      <w:divBdr>
        <w:top w:val="none" w:sz="0" w:space="0" w:color="auto"/>
        <w:left w:val="none" w:sz="0" w:space="0" w:color="auto"/>
        <w:bottom w:val="none" w:sz="0" w:space="0" w:color="auto"/>
        <w:right w:val="none" w:sz="0" w:space="0" w:color="auto"/>
      </w:divBdr>
    </w:div>
    <w:div w:id="466246521">
      <w:bodyDiv w:val="1"/>
      <w:marLeft w:val="0"/>
      <w:marRight w:val="0"/>
      <w:marTop w:val="0"/>
      <w:marBottom w:val="0"/>
      <w:divBdr>
        <w:top w:val="none" w:sz="0" w:space="0" w:color="auto"/>
        <w:left w:val="none" w:sz="0" w:space="0" w:color="auto"/>
        <w:bottom w:val="none" w:sz="0" w:space="0" w:color="auto"/>
        <w:right w:val="none" w:sz="0" w:space="0" w:color="auto"/>
      </w:divBdr>
    </w:div>
    <w:div w:id="494806231">
      <w:bodyDiv w:val="1"/>
      <w:marLeft w:val="0"/>
      <w:marRight w:val="0"/>
      <w:marTop w:val="0"/>
      <w:marBottom w:val="0"/>
      <w:divBdr>
        <w:top w:val="none" w:sz="0" w:space="0" w:color="auto"/>
        <w:left w:val="none" w:sz="0" w:space="0" w:color="auto"/>
        <w:bottom w:val="none" w:sz="0" w:space="0" w:color="auto"/>
        <w:right w:val="none" w:sz="0" w:space="0" w:color="auto"/>
      </w:divBdr>
    </w:div>
    <w:div w:id="503932908">
      <w:bodyDiv w:val="1"/>
      <w:marLeft w:val="0"/>
      <w:marRight w:val="0"/>
      <w:marTop w:val="0"/>
      <w:marBottom w:val="0"/>
      <w:divBdr>
        <w:top w:val="none" w:sz="0" w:space="0" w:color="auto"/>
        <w:left w:val="none" w:sz="0" w:space="0" w:color="auto"/>
        <w:bottom w:val="none" w:sz="0" w:space="0" w:color="auto"/>
        <w:right w:val="none" w:sz="0" w:space="0" w:color="auto"/>
      </w:divBdr>
    </w:div>
    <w:div w:id="505946423">
      <w:bodyDiv w:val="1"/>
      <w:marLeft w:val="0"/>
      <w:marRight w:val="0"/>
      <w:marTop w:val="0"/>
      <w:marBottom w:val="0"/>
      <w:divBdr>
        <w:top w:val="none" w:sz="0" w:space="0" w:color="auto"/>
        <w:left w:val="none" w:sz="0" w:space="0" w:color="auto"/>
        <w:bottom w:val="none" w:sz="0" w:space="0" w:color="auto"/>
        <w:right w:val="none" w:sz="0" w:space="0" w:color="auto"/>
      </w:divBdr>
    </w:div>
    <w:div w:id="517543645">
      <w:bodyDiv w:val="1"/>
      <w:marLeft w:val="0"/>
      <w:marRight w:val="0"/>
      <w:marTop w:val="0"/>
      <w:marBottom w:val="0"/>
      <w:divBdr>
        <w:top w:val="none" w:sz="0" w:space="0" w:color="auto"/>
        <w:left w:val="none" w:sz="0" w:space="0" w:color="auto"/>
        <w:bottom w:val="none" w:sz="0" w:space="0" w:color="auto"/>
        <w:right w:val="none" w:sz="0" w:space="0" w:color="auto"/>
      </w:divBdr>
    </w:div>
    <w:div w:id="532689910">
      <w:bodyDiv w:val="1"/>
      <w:marLeft w:val="0"/>
      <w:marRight w:val="0"/>
      <w:marTop w:val="0"/>
      <w:marBottom w:val="0"/>
      <w:divBdr>
        <w:top w:val="none" w:sz="0" w:space="0" w:color="auto"/>
        <w:left w:val="none" w:sz="0" w:space="0" w:color="auto"/>
        <w:bottom w:val="none" w:sz="0" w:space="0" w:color="auto"/>
        <w:right w:val="none" w:sz="0" w:space="0" w:color="auto"/>
      </w:divBdr>
    </w:div>
    <w:div w:id="535504691">
      <w:bodyDiv w:val="1"/>
      <w:marLeft w:val="0"/>
      <w:marRight w:val="0"/>
      <w:marTop w:val="0"/>
      <w:marBottom w:val="0"/>
      <w:divBdr>
        <w:top w:val="none" w:sz="0" w:space="0" w:color="auto"/>
        <w:left w:val="none" w:sz="0" w:space="0" w:color="auto"/>
        <w:bottom w:val="none" w:sz="0" w:space="0" w:color="auto"/>
        <w:right w:val="none" w:sz="0" w:space="0" w:color="auto"/>
      </w:divBdr>
    </w:div>
    <w:div w:id="586118751">
      <w:bodyDiv w:val="1"/>
      <w:marLeft w:val="0"/>
      <w:marRight w:val="0"/>
      <w:marTop w:val="0"/>
      <w:marBottom w:val="0"/>
      <w:divBdr>
        <w:top w:val="none" w:sz="0" w:space="0" w:color="auto"/>
        <w:left w:val="none" w:sz="0" w:space="0" w:color="auto"/>
        <w:bottom w:val="none" w:sz="0" w:space="0" w:color="auto"/>
        <w:right w:val="none" w:sz="0" w:space="0" w:color="auto"/>
      </w:divBdr>
    </w:div>
    <w:div w:id="599485249">
      <w:bodyDiv w:val="1"/>
      <w:marLeft w:val="0"/>
      <w:marRight w:val="0"/>
      <w:marTop w:val="0"/>
      <w:marBottom w:val="0"/>
      <w:divBdr>
        <w:top w:val="none" w:sz="0" w:space="0" w:color="auto"/>
        <w:left w:val="none" w:sz="0" w:space="0" w:color="auto"/>
        <w:bottom w:val="none" w:sz="0" w:space="0" w:color="auto"/>
        <w:right w:val="none" w:sz="0" w:space="0" w:color="auto"/>
      </w:divBdr>
    </w:div>
    <w:div w:id="614481167">
      <w:bodyDiv w:val="1"/>
      <w:marLeft w:val="0"/>
      <w:marRight w:val="0"/>
      <w:marTop w:val="0"/>
      <w:marBottom w:val="0"/>
      <w:divBdr>
        <w:top w:val="none" w:sz="0" w:space="0" w:color="auto"/>
        <w:left w:val="none" w:sz="0" w:space="0" w:color="auto"/>
        <w:bottom w:val="none" w:sz="0" w:space="0" w:color="auto"/>
        <w:right w:val="none" w:sz="0" w:space="0" w:color="auto"/>
      </w:divBdr>
    </w:div>
    <w:div w:id="622080303">
      <w:bodyDiv w:val="1"/>
      <w:marLeft w:val="0"/>
      <w:marRight w:val="0"/>
      <w:marTop w:val="0"/>
      <w:marBottom w:val="0"/>
      <w:divBdr>
        <w:top w:val="none" w:sz="0" w:space="0" w:color="auto"/>
        <w:left w:val="none" w:sz="0" w:space="0" w:color="auto"/>
        <w:bottom w:val="none" w:sz="0" w:space="0" w:color="auto"/>
        <w:right w:val="none" w:sz="0" w:space="0" w:color="auto"/>
      </w:divBdr>
    </w:div>
    <w:div w:id="640573202">
      <w:bodyDiv w:val="1"/>
      <w:marLeft w:val="0"/>
      <w:marRight w:val="0"/>
      <w:marTop w:val="0"/>
      <w:marBottom w:val="0"/>
      <w:divBdr>
        <w:top w:val="none" w:sz="0" w:space="0" w:color="auto"/>
        <w:left w:val="none" w:sz="0" w:space="0" w:color="auto"/>
        <w:bottom w:val="none" w:sz="0" w:space="0" w:color="auto"/>
        <w:right w:val="none" w:sz="0" w:space="0" w:color="auto"/>
      </w:divBdr>
    </w:div>
    <w:div w:id="647591757">
      <w:bodyDiv w:val="1"/>
      <w:marLeft w:val="0"/>
      <w:marRight w:val="0"/>
      <w:marTop w:val="0"/>
      <w:marBottom w:val="0"/>
      <w:divBdr>
        <w:top w:val="none" w:sz="0" w:space="0" w:color="auto"/>
        <w:left w:val="none" w:sz="0" w:space="0" w:color="auto"/>
        <w:bottom w:val="none" w:sz="0" w:space="0" w:color="auto"/>
        <w:right w:val="none" w:sz="0" w:space="0" w:color="auto"/>
      </w:divBdr>
    </w:div>
    <w:div w:id="668562330">
      <w:bodyDiv w:val="1"/>
      <w:marLeft w:val="0"/>
      <w:marRight w:val="0"/>
      <w:marTop w:val="0"/>
      <w:marBottom w:val="0"/>
      <w:divBdr>
        <w:top w:val="none" w:sz="0" w:space="0" w:color="auto"/>
        <w:left w:val="none" w:sz="0" w:space="0" w:color="auto"/>
        <w:bottom w:val="none" w:sz="0" w:space="0" w:color="auto"/>
        <w:right w:val="none" w:sz="0" w:space="0" w:color="auto"/>
      </w:divBdr>
    </w:div>
    <w:div w:id="673192924">
      <w:bodyDiv w:val="1"/>
      <w:marLeft w:val="0"/>
      <w:marRight w:val="0"/>
      <w:marTop w:val="0"/>
      <w:marBottom w:val="0"/>
      <w:divBdr>
        <w:top w:val="none" w:sz="0" w:space="0" w:color="auto"/>
        <w:left w:val="none" w:sz="0" w:space="0" w:color="auto"/>
        <w:bottom w:val="none" w:sz="0" w:space="0" w:color="auto"/>
        <w:right w:val="none" w:sz="0" w:space="0" w:color="auto"/>
      </w:divBdr>
    </w:div>
    <w:div w:id="682706898">
      <w:bodyDiv w:val="1"/>
      <w:marLeft w:val="0"/>
      <w:marRight w:val="0"/>
      <w:marTop w:val="0"/>
      <w:marBottom w:val="0"/>
      <w:divBdr>
        <w:top w:val="none" w:sz="0" w:space="0" w:color="auto"/>
        <w:left w:val="none" w:sz="0" w:space="0" w:color="auto"/>
        <w:bottom w:val="none" w:sz="0" w:space="0" w:color="auto"/>
        <w:right w:val="none" w:sz="0" w:space="0" w:color="auto"/>
      </w:divBdr>
    </w:div>
    <w:div w:id="712114798">
      <w:bodyDiv w:val="1"/>
      <w:marLeft w:val="0"/>
      <w:marRight w:val="0"/>
      <w:marTop w:val="0"/>
      <w:marBottom w:val="0"/>
      <w:divBdr>
        <w:top w:val="none" w:sz="0" w:space="0" w:color="auto"/>
        <w:left w:val="none" w:sz="0" w:space="0" w:color="auto"/>
        <w:bottom w:val="none" w:sz="0" w:space="0" w:color="auto"/>
        <w:right w:val="none" w:sz="0" w:space="0" w:color="auto"/>
      </w:divBdr>
    </w:div>
    <w:div w:id="716662687">
      <w:bodyDiv w:val="1"/>
      <w:marLeft w:val="0"/>
      <w:marRight w:val="0"/>
      <w:marTop w:val="0"/>
      <w:marBottom w:val="0"/>
      <w:divBdr>
        <w:top w:val="none" w:sz="0" w:space="0" w:color="auto"/>
        <w:left w:val="none" w:sz="0" w:space="0" w:color="auto"/>
        <w:bottom w:val="none" w:sz="0" w:space="0" w:color="auto"/>
        <w:right w:val="none" w:sz="0" w:space="0" w:color="auto"/>
      </w:divBdr>
    </w:div>
    <w:div w:id="722143138">
      <w:bodyDiv w:val="1"/>
      <w:marLeft w:val="0"/>
      <w:marRight w:val="0"/>
      <w:marTop w:val="0"/>
      <w:marBottom w:val="0"/>
      <w:divBdr>
        <w:top w:val="none" w:sz="0" w:space="0" w:color="auto"/>
        <w:left w:val="none" w:sz="0" w:space="0" w:color="auto"/>
        <w:bottom w:val="none" w:sz="0" w:space="0" w:color="auto"/>
        <w:right w:val="none" w:sz="0" w:space="0" w:color="auto"/>
      </w:divBdr>
    </w:div>
    <w:div w:id="726563356">
      <w:bodyDiv w:val="1"/>
      <w:marLeft w:val="0"/>
      <w:marRight w:val="0"/>
      <w:marTop w:val="0"/>
      <w:marBottom w:val="0"/>
      <w:divBdr>
        <w:top w:val="none" w:sz="0" w:space="0" w:color="auto"/>
        <w:left w:val="none" w:sz="0" w:space="0" w:color="auto"/>
        <w:bottom w:val="none" w:sz="0" w:space="0" w:color="auto"/>
        <w:right w:val="none" w:sz="0" w:space="0" w:color="auto"/>
      </w:divBdr>
    </w:div>
    <w:div w:id="745298105">
      <w:bodyDiv w:val="1"/>
      <w:marLeft w:val="0"/>
      <w:marRight w:val="0"/>
      <w:marTop w:val="0"/>
      <w:marBottom w:val="0"/>
      <w:divBdr>
        <w:top w:val="none" w:sz="0" w:space="0" w:color="auto"/>
        <w:left w:val="none" w:sz="0" w:space="0" w:color="auto"/>
        <w:bottom w:val="none" w:sz="0" w:space="0" w:color="auto"/>
        <w:right w:val="none" w:sz="0" w:space="0" w:color="auto"/>
      </w:divBdr>
    </w:div>
    <w:div w:id="750661877">
      <w:bodyDiv w:val="1"/>
      <w:marLeft w:val="0"/>
      <w:marRight w:val="0"/>
      <w:marTop w:val="0"/>
      <w:marBottom w:val="0"/>
      <w:divBdr>
        <w:top w:val="none" w:sz="0" w:space="0" w:color="auto"/>
        <w:left w:val="none" w:sz="0" w:space="0" w:color="auto"/>
        <w:bottom w:val="none" w:sz="0" w:space="0" w:color="auto"/>
        <w:right w:val="none" w:sz="0" w:space="0" w:color="auto"/>
      </w:divBdr>
    </w:div>
    <w:div w:id="754401426">
      <w:bodyDiv w:val="1"/>
      <w:marLeft w:val="0"/>
      <w:marRight w:val="0"/>
      <w:marTop w:val="0"/>
      <w:marBottom w:val="0"/>
      <w:divBdr>
        <w:top w:val="none" w:sz="0" w:space="0" w:color="auto"/>
        <w:left w:val="none" w:sz="0" w:space="0" w:color="auto"/>
        <w:bottom w:val="none" w:sz="0" w:space="0" w:color="auto"/>
        <w:right w:val="none" w:sz="0" w:space="0" w:color="auto"/>
      </w:divBdr>
    </w:div>
    <w:div w:id="756099675">
      <w:bodyDiv w:val="1"/>
      <w:marLeft w:val="0"/>
      <w:marRight w:val="0"/>
      <w:marTop w:val="0"/>
      <w:marBottom w:val="0"/>
      <w:divBdr>
        <w:top w:val="none" w:sz="0" w:space="0" w:color="auto"/>
        <w:left w:val="none" w:sz="0" w:space="0" w:color="auto"/>
        <w:bottom w:val="none" w:sz="0" w:space="0" w:color="auto"/>
        <w:right w:val="none" w:sz="0" w:space="0" w:color="auto"/>
      </w:divBdr>
    </w:div>
    <w:div w:id="781268771">
      <w:bodyDiv w:val="1"/>
      <w:marLeft w:val="0"/>
      <w:marRight w:val="0"/>
      <w:marTop w:val="0"/>
      <w:marBottom w:val="0"/>
      <w:divBdr>
        <w:top w:val="none" w:sz="0" w:space="0" w:color="auto"/>
        <w:left w:val="none" w:sz="0" w:space="0" w:color="auto"/>
        <w:bottom w:val="none" w:sz="0" w:space="0" w:color="auto"/>
        <w:right w:val="none" w:sz="0" w:space="0" w:color="auto"/>
      </w:divBdr>
    </w:div>
    <w:div w:id="811361355">
      <w:bodyDiv w:val="1"/>
      <w:marLeft w:val="0"/>
      <w:marRight w:val="0"/>
      <w:marTop w:val="0"/>
      <w:marBottom w:val="0"/>
      <w:divBdr>
        <w:top w:val="none" w:sz="0" w:space="0" w:color="auto"/>
        <w:left w:val="none" w:sz="0" w:space="0" w:color="auto"/>
        <w:bottom w:val="none" w:sz="0" w:space="0" w:color="auto"/>
        <w:right w:val="none" w:sz="0" w:space="0" w:color="auto"/>
      </w:divBdr>
    </w:div>
    <w:div w:id="815878412">
      <w:bodyDiv w:val="1"/>
      <w:marLeft w:val="0"/>
      <w:marRight w:val="0"/>
      <w:marTop w:val="0"/>
      <w:marBottom w:val="0"/>
      <w:divBdr>
        <w:top w:val="none" w:sz="0" w:space="0" w:color="auto"/>
        <w:left w:val="none" w:sz="0" w:space="0" w:color="auto"/>
        <w:bottom w:val="none" w:sz="0" w:space="0" w:color="auto"/>
        <w:right w:val="none" w:sz="0" w:space="0" w:color="auto"/>
      </w:divBdr>
    </w:div>
    <w:div w:id="818614454">
      <w:bodyDiv w:val="1"/>
      <w:marLeft w:val="0"/>
      <w:marRight w:val="0"/>
      <w:marTop w:val="0"/>
      <w:marBottom w:val="0"/>
      <w:divBdr>
        <w:top w:val="none" w:sz="0" w:space="0" w:color="auto"/>
        <w:left w:val="none" w:sz="0" w:space="0" w:color="auto"/>
        <w:bottom w:val="none" w:sz="0" w:space="0" w:color="auto"/>
        <w:right w:val="none" w:sz="0" w:space="0" w:color="auto"/>
      </w:divBdr>
    </w:div>
    <w:div w:id="823162586">
      <w:bodyDiv w:val="1"/>
      <w:marLeft w:val="0"/>
      <w:marRight w:val="0"/>
      <w:marTop w:val="0"/>
      <w:marBottom w:val="0"/>
      <w:divBdr>
        <w:top w:val="none" w:sz="0" w:space="0" w:color="auto"/>
        <w:left w:val="none" w:sz="0" w:space="0" w:color="auto"/>
        <w:bottom w:val="none" w:sz="0" w:space="0" w:color="auto"/>
        <w:right w:val="none" w:sz="0" w:space="0" w:color="auto"/>
      </w:divBdr>
    </w:div>
    <w:div w:id="832528722">
      <w:bodyDiv w:val="1"/>
      <w:marLeft w:val="0"/>
      <w:marRight w:val="0"/>
      <w:marTop w:val="0"/>
      <w:marBottom w:val="0"/>
      <w:divBdr>
        <w:top w:val="none" w:sz="0" w:space="0" w:color="auto"/>
        <w:left w:val="none" w:sz="0" w:space="0" w:color="auto"/>
        <w:bottom w:val="none" w:sz="0" w:space="0" w:color="auto"/>
        <w:right w:val="none" w:sz="0" w:space="0" w:color="auto"/>
      </w:divBdr>
    </w:div>
    <w:div w:id="857505678">
      <w:bodyDiv w:val="1"/>
      <w:marLeft w:val="0"/>
      <w:marRight w:val="0"/>
      <w:marTop w:val="0"/>
      <w:marBottom w:val="0"/>
      <w:divBdr>
        <w:top w:val="none" w:sz="0" w:space="0" w:color="auto"/>
        <w:left w:val="none" w:sz="0" w:space="0" w:color="auto"/>
        <w:bottom w:val="none" w:sz="0" w:space="0" w:color="auto"/>
        <w:right w:val="none" w:sz="0" w:space="0" w:color="auto"/>
      </w:divBdr>
    </w:div>
    <w:div w:id="865099477">
      <w:bodyDiv w:val="1"/>
      <w:marLeft w:val="0"/>
      <w:marRight w:val="0"/>
      <w:marTop w:val="0"/>
      <w:marBottom w:val="0"/>
      <w:divBdr>
        <w:top w:val="none" w:sz="0" w:space="0" w:color="auto"/>
        <w:left w:val="none" w:sz="0" w:space="0" w:color="auto"/>
        <w:bottom w:val="none" w:sz="0" w:space="0" w:color="auto"/>
        <w:right w:val="none" w:sz="0" w:space="0" w:color="auto"/>
      </w:divBdr>
    </w:div>
    <w:div w:id="888686403">
      <w:bodyDiv w:val="1"/>
      <w:marLeft w:val="0"/>
      <w:marRight w:val="0"/>
      <w:marTop w:val="0"/>
      <w:marBottom w:val="0"/>
      <w:divBdr>
        <w:top w:val="none" w:sz="0" w:space="0" w:color="auto"/>
        <w:left w:val="none" w:sz="0" w:space="0" w:color="auto"/>
        <w:bottom w:val="none" w:sz="0" w:space="0" w:color="auto"/>
        <w:right w:val="none" w:sz="0" w:space="0" w:color="auto"/>
      </w:divBdr>
    </w:div>
    <w:div w:id="889727252">
      <w:bodyDiv w:val="1"/>
      <w:marLeft w:val="0"/>
      <w:marRight w:val="0"/>
      <w:marTop w:val="0"/>
      <w:marBottom w:val="0"/>
      <w:divBdr>
        <w:top w:val="none" w:sz="0" w:space="0" w:color="auto"/>
        <w:left w:val="none" w:sz="0" w:space="0" w:color="auto"/>
        <w:bottom w:val="none" w:sz="0" w:space="0" w:color="auto"/>
        <w:right w:val="none" w:sz="0" w:space="0" w:color="auto"/>
      </w:divBdr>
    </w:div>
    <w:div w:id="961039688">
      <w:bodyDiv w:val="1"/>
      <w:marLeft w:val="0"/>
      <w:marRight w:val="0"/>
      <w:marTop w:val="0"/>
      <w:marBottom w:val="0"/>
      <w:divBdr>
        <w:top w:val="none" w:sz="0" w:space="0" w:color="auto"/>
        <w:left w:val="none" w:sz="0" w:space="0" w:color="auto"/>
        <w:bottom w:val="none" w:sz="0" w:space="0" w:color="auto"/>
        <w:right w:val="none" w:sz="0" w:space="0" w:color="auto"/>
      </w:divBdr>
    </w:div>
    <w:div w:id="970550366">
      <w:bodyDiv w:val="1"/>
      <w:marLeft w:val="0"/>
      <w:marRight w:val="0"/>
      <w:marTop w:val="0"/>
      <w:marBottom w:val="0"/>
      <w:divBdr>
        <w:top w:val="none" w:sz="0" w:space="0" w:color="auto"/>
        <w:left w:val="none" w:sz="0" w:space="0" w:color="auto"/>
        <w:bottom w:val="none" w:sz="0" w:space="0" w:color="auto"/>
        <w:right w:val="none" w:sz="0" w:space="0" w:color="auto"/>
      </w:divBdr>
    </w:div>
    <w:div w:id="972757600">
      <w:bodyDiv w:val="1"/>
      <w:marLeft w:val="0"/>
      <w:marRight w:val="0"/>
      <w:marTop w:val="0"/>
      <w:marBottom w:val="0"/>
      <w:divBdr>
        <w:top w:val="none" w:sz="0" w:space="0" w:color="auto"/>
        <w:left w:val="none" w:sz="0" w:space="0" w:color="auto"/>
        <w:bottom w:val="none" w:sz="0" w:space="0" w:color="auto"/>
        <w:right w:val="none" w:sz="0" w:space="0" w:color="auto"/>
      </w:divBdr>
    </w:div>
    <w:div w:id="987325173">
      <w:bodyDiv w:val="1"/>
      <w:marLeft w:val="0"/>
      <w:marRight w:val="0"/>
      <w:marTop w:val="0"/>
      <w:marBottom w:val="0"/>
      <w:divBdr>
        <w:top w:val="none" w:sz="0" w:space="0" w:color="auto"/>
        <w:left w:val="none" w:sz="0" w:space="0" w:color="auto"/>
        <w:bottom w:val="none" w:sz="0" w:space="0" w:color="auto"/>
        <w:right w:val="none" w:sz="0" w:space="0" w:color="auto"/>
      </w:divBdr>
    </w:div>
    <w:div w:id="994796366">
      <w:bodyDiv w:val="1"/>
      <w:marLeft w:val="0"/>
      <w:marRight w:val="0"/>
      <w:marTop w:val="0"/>
      <w:marBottom w:val="0"/>
      <w:divBdr>
        <w:top w:val="none" w:sz="0" w:space="0" w:color="auto"/>
        <w:left w:val="none" w:sz="0" w:space="0" w:color="auto"/>
        <w:bottom w:val="none" w:sz="0" w:space="0" w:color="auto"/>
        <w:right w:val="none" w:sz="0" w:space="0" w:color="auto"/>
      </w:divBdr>
    </w:div>
    <w:div w:id="1011445393">
      <w:bodyDiv w:val="1"/>
      <w:marLeft w:val="0"/>
      <w:marRight w:val="0"/>
      <w:marTop w:val="0"/>
      <w:marBottom w:val="0"/>
      <w:divBdr>
        <w:top w:val="none" w:sz="0" w:space="0" w:color="auto"/>
        <w:left w:val="none" w:sz="0" w:space="0" w:color="auto"/>
        <w:bottom w:val="none" w:sz="0" w:space="0" w:color="auto"/>
        <w:right w:val="none" w:sz="0" w:space="0" w:color="auto"/>
      </w:divBdr>
    </w:div>
    <w:div w:id="1014460088">
      <w:bodyDiv w:val="1"/>
      <w:marLeft w:val="0"/>
      <w:marRight w:val="0"/>
      <w:marTop w:val="0"/>
      <w:marBottom w:val="0"/>
      <w:divBdr>
        <w:top w:val="none" w:sz="0" w:space="0" w:color="auto"/>
        <w:left w:val="none" w:sz="0" w:space="0" w:color="auto"/>
        <w:bottom w:val="none" w:sz="0" w:space="0" w:color="auto"/>
        <w:right w:val="none" w:sz="0" w:space="0" w:color="auto"/>
      </w:divBdr>
    </w:div>
    <w:div w:id="1025403582">
      <w:bodyDiv w:val="1"/>
      <w:marLeft w:val="0"/>
      <w:marRight w:val="0"/>
      <w:marTop w:val="0"/>
      <w:marBottom w:val="0"/>
      <w:divBdr>
        <w:top w:val="none" w:sz="0" w:space="0" w:color="auto"/>
        <w:left w:val="none" w:sz="0" w:space="0" w:color="auto"/>
        <w:bottom w:val="none" w:sz="0" w:space="0" w:color="auto"/>
        <w:right w:val="none" w:sz="0" w:space="0" w:color="auto"/>
      </w:divBdr>
    </w:div>
    <w:div w:id="1034580109">
      <w:bodyDiv w:val="1"/>
      <w:marLeft w:val="0"/>
      <w:marRight w:val="0"/>
      <w:marTop w:val="0"/>
      <w:marBottom w:val="0"/>
      <w:divBdr>
        <w:top w:val="none" w:sz="0" w:space="0" w:color="auto"/>
        <w:left w:val="none" w:sz="0" w:space="0" w:color="auto"/>
        <w:bottom w:val="none" w:sz="0" w:space="0" w:color="auto"/>
        <w:right w:val="none" w:sz="0" w:space="0" w:color="auto"/>
      </w:divBdr>
    </w:div>
    <w:div w:id="1039359372">
      <w:bodyDiv w:val="1"/>
      <w:marLeft w:val="0"/>
      <w:marRight w:val="0"/>
      <w:marTop w:val="0"/>
      <w:marBottom w:val="0"/>
      <w:divBdr>
        <w:top w:val="none" w:sz="0" w:space="0" w:color="auto"/>
        <w:left w:val="none" w:sz="0" w:space="0" w:color="auto"/>
        <w:bottom w:val="none" w:sz="0" w:space="0" w:color="auto"/>
        <w:right w:val="none" w:sz="0" w:space="0" w:color="auto"/>
      </w:divBdr>
    </w:div>
    <w:div w:id="1065253902">
      <w:bodyDiv w:val="1"/>
      <w:marLeft w:val="0"/>
      <w:marRight w:val="0"/>
      <w:marTop w:val="0"/>
      <w:marBottom w:val="0"/>
      <w:divBdr>
        <w:top w:val="none" w:sz="0" w:space="0" w:color="auto"/>
        <w:left w:val="none" w:sz="0" w:space="0" w:color="auto"/>
        <w:bottom w:val="none" w:sz="0" w:space="0" w:color="auto"/>
        <w:right w:val="none" w:sz="0" w:space="0" w:color="auto"/>
      </w:divBdr>
    </w:div>
    <w:div w:id="1090813560">
      <w:bodyDiv w:val="1"/>
      <w:marLeft w:val="0"/>
      <w:marRight w:val="0"/>
      <w:marTop w:val="0"/>
      <w:marBottom w:val="0"/>
      <w:divBdr>
        <w:top w:val="none" w:sz="0" w:space="0" w:color="auto"/>
        <w:left w:val="none" w:sz="0" w:space="0" w:color="auto"/>
        <w:bottom w:val="none" w:sz="0" w:space="0" w:color="auto"/>
        <w:right w:val="none" w:sz="0" w:space="0" w:color="auto"/>
      </w:divBdr>
    </w:div>
    <w:div w:id="1093286265">
      <w:bodyDiv w:val="1"/>
      <w:marLeft w:val="0"/>
      <w:marRight w:val="0"/>
      <w:marTop w:val="0"/>
      <w:marBottom w:val="0"/>
      <w:divBdr>
        <w:top w:val="none" w:sz="0" w:space="0" w:color="auto"/>
        <w:left w:val="none" w:sz="0" w:space="0" w:color="auto"/>
        <w:bottom w:val="none" w:sz="0" w:space="0" w:color="auto"/>
        <w:right w:val="none" w:sz="0" w:space="0" w:color="auto"/>
      </w:divBdr>
    </w:div>
    <w:div w:id="1121068303">
      <w:bodyDiv w:val="1"/>
      <w:marLeft w:val="0"/>
      <w:marRight w:val="0"/>
      <w:marTop w:val="0"/>
      <w:marBottom w:val="0"/>
      <w:divBdr>
        <w:top w:val="none" w:sz="0" w:space="0" w:color="auto"/>
        <w:left w:val="none" w:sz="0" w:space="0" w:color="auto"/>
        <w:bottom w:val="none" w:sz="0" w:space="0" w:color="auto"/>
        <w:right w:val="none" w:sz="0" w:space="0" w:color="auto"/>
      </w:divBdr>
    </w:div>
    <w:div w:id="1164391029">
      <w:bodyDiv w:val="1"/>
      <w:marLeft w:val="0"/>
      <w:marRight w:val="0"/>
      <w:marTop w:val="0"/>
      <w:marBottom w:val="0"/>
      <w:divBdr>
        <w:top w:val="none" w:sz="0" w:space="0" w:color="auto"/>
        <w:left w:val="none" w:sz="0" w:space="0" w:color="auto"/>
        <w:bottom w:val="none" w:sz="0" w:space="0" w:color="auto"/>
        <w:right w:val="none" w:sz="0" w:space="0" w:color="auto"/>
      </w:divBdr>
    </w:div>
    <w:div w:id="1322154910">
      <w:bodyDiv w:val="1"/>
      <w:marLeft w:val="0"/>
      <w:marRight w:val="0"/>
      <w:marTop w:val="0"/>
      <w:marBottom w:val="0"/>
      <w:divBdr>
        <w:top w:val="none" w:sz="0" w:space="0" w:color="auto"/>
        <w:left w:val="none" w:sz="0" w:space="0" w:color="auto"/>
        <w:bottom w:val="none" w:sz="0" w:space="0" w:color="auto"/>
        <w:right w:val="none" w:sz="0" w:space="0" w:color="auto"/>
      </w:divBdr>
    </w:div>
    <w:div w:id="1326473706">
      <w:bodyDiv w:val="1"/>
      <w:marLeft w:val="0"/>
      <w:marRight w:val="0"/>
      <w:marTop w:val="0"/>
      <w:marBottom w:val="0"/>
      <w:divBdr>
        <w:top w:val="none" w:sz="0" w:space="0" w:color="auto"/>
        <w:left w:val="none" w:sz="0" w:space="0" w:color="auto"/>
        <w:bottom w:val="none" w:sz="0" w:space="0" w:color="auto"/>
        <w:right w:val="none" w:sz="0" w:space="0" w:color="auto"/>
      </w:divBdr>
    </w:div>
    <w:div w:id="1356730378">
      <w:bodyDiv w:val="1"/>
      <w:marLeft w:val="0"/>
      <w:marRight w:val="0"/>
      <w:marTop w:val="0"/>
      <w:marBottom w:val="0"/>
      <w:divBdr>
        <w:top w:val="none" w:sz="0" w:space="0" w:color="auto"/>
        <w:left w:val="none" w:sz="0" w:space="0" w:color="auto"/>
        <w:bottom w:val="none" w:sz="0" w:space="0" w:color="auto"/>
        <w:right w:val="none" w:sz="0" w:space="0" w:color="auto"/>
      </w:divBdr>
    </w:div>
    <w:div w:id="1368942533">
      <w:bodyDiv w:val="1"/>
      <w:marLeft w:val="0"/>
      <w:marRight w:val="0"/>
      <w:marTop w:val="0"/>
      <w:marBottom w:val="0"/>
      <w:divBdr>
        <w:top w:val="none" w:sz="0" w:space="0" w:color="auto"/>
        <w:left w:val="none" w:sz="0" w:space="0" w:color="auto"/>
        <w:bottom w:val="none" w:sz="0" w:space="0" w:color="auto"/>
        <w:right w:val="none" w:sz="0" w:space="0" w:color="auto"/>
      </w:divBdr>
    </w:div>
    <w:div w:id="1371149516">
      <w:bodyDiv w:val="1"/>
      <w:marLeft w:val="0"/>
      <w:marRight w:val="0"/>
      <w:marTop w:val="0"/>
      <w:marBottom w:val="0"/>
      <w:divBdr>
        <w:top w:val="none" w:sz="0" w:space="0" w:color="auto"/>
        <w:left w:val="none" w:sz="0" w:space="0" w:color="auto"/>
        <w:bottom w:val="none" w:sz="0" w:space="0" w:color="auto"/>
        <w:right w:val="none" w:sz="0" w:space="0" w:color="auto"/>
      </w:divBdr>
    </w:div>
    <w:div w:id="1379426982">
      <w:bodyDiv w:val="1"/>
      <w:marLeft w:val="0"/>
      <w:marRight w:val="0"/>
      <w:marTop w:val="0"/>
      <w:marBottom w:val="0"/>
      <w:divBdr>
        <w:top w:val="none" w:sz="0" w:space="0" w:color="auto"/>
        <w:left w:val="none" w:sz="0" w:space="0" w:color="auto"/>
        <w:bottom w:val="none" w:sz="0" w:space="0" w:color="auto"/>
        <w:right w:val="none" w:sz="0" w:space="0" w:color="auto"/>
      </w:divBdr>
    </w:div>
    <w:div w:id="1391659051">
      <w:bodyDiv w:val="1"/>
      <w:marLeft w:val="0"/>
      <w:marRight w:val="0"/>
      <w:marTop w:val="0"/>
      <w:marBottom w:val="0"/>
      <w:divBdr>
        <w:top w:val="none" w:sz="0" w:space="0" w:color="auto"/>
        <w:left w:val="none" w:sz="0" w:space="0" w:color="auto"/>
        <w:bottom w:val="none" w:sz="0" w:space="0" w:color="auto"/>
        <w:right w:val="none" w:sz="0" w:space="0" w:color="auto"/>
      </w:divBdr>
    </w:div>
    <w:div w:id="1434782504">
      <w:bodyDiv w:val="1"/>
      <w:marLeft w:val="0"/>
      <w:marRight w:val="0"/>
      <w:marTop w:val="0"/>
      <w:marBottom w:val="0"/>
      <w:divBdr>
        <w:top w:val="none" w:sz="0" w:space="0" w:color="auto"/>
        <w:left w:val="none" w:sz="0" w:space="0" w:color="auto"/>
        <w:bottom w:val="none" w:sz="0" w:space="0" w:color="auto"/>
        <w:right w:val="none" w:sz="0" w:space="0" w:color="auto"/>
      </w:divBdr>
    </w:div>
    <w:div w:id="1437019782">
      <w:bodyDiv w:val="1"/>
      <w:marLeft w:val="0"/>
      <w:marRight w:val="0"/>
      <w:marTop w:val="0"/>
      <w:marBottom w:val="0"/>
      <w:divBdr>
        <w:top w:val="none" w:sz="0" w:space="0" w:color="auto"/>
        <w:left w:val="none" w:sz="0" w:space="0" w:color="auto"/>
        <w:bottom w:val="none" w:sz="0" w:space="0" w:color="auto"/>
        <w:right w:val="none" w:sz="0" w:space="0" w:color="auto"/>
      </w:divBdr>
    </w:div>
    <w:div w:id="1445071882">
      <w:bodyDiv w:val="1"/>
      <w:marLeft w:val="0"/>
      <w:marRight w:val="0"/>
      <w:marTop w:val="0"/>
      <w:marBottom w:val="0"/>
      <w:divBdr>
        <w:top w:val="none" w:sz="0" w:space="0" w:color="auto"/>
        <w:left w:val="none" w:sz="0" w:space="0" w:color="auto"/>
        <w:bottom w:val="none" w:sz="0" w:space="0" w:color="auto"/>
        <w:right w:val="none" w:sz="0" w:space="0" w:color="auto"/>
      </w:divBdr>
    </w:div>
    <w:div w:id="1463423810">
      <w:bodyDiv w:val="1"/>
      <w:marLeft w:val="0"/>
      <w:marRight w:val="0"/>
      <w:marTop w:val="0"/>
      <w:marBottom w:val="0"/>
      <w:divBdr>
        <w:top w:val="none" w:sz="0" w:space="0" w:color="auto"/>
        <w:left w:val="none" w:sz="0" w:space="0" w:color="auto"/>
        <w:bottom w:val="none" w:sz="0" w:space="0" w:color="auto"/>
        <w:right w:val="none" w:sz="0" w:space="0" w:color="auto"/>
      </w:divBdr>
    </w:div>
    <w:div w:id="1470518862">
      <w:bodyDiv w:val="1"/>
      <w:marLeft w:val="0"/>
      <w:marRight w:val="0"/>
      <w:marTop w:val="0"/>
      <w:marBottom w:val="0"/>
      <w:divBdr>
        <w:top w:val="none" w:sz="0" w:space="0" w:color="auto"/>
        <w:left w:val="none" w:sz="0" w:space="0" w:color="auto"/>
        <w:bottom w:val="none" w:sz="0" w:space="0" w:color="auto"/>
        <w:right w:val="none" w:sz="0" w:space="0" w:color="auto"/>
      </w:divBdr>
    </w:div>
    <w:div w:id="1476028252">
      <w:bodyDiv w:val="1"/>
      <w:marLeft w:val="0"/>
      <w:marRight w:val="0"/>
      <w:marTop w:val="0"/>
      <w:marBottom w:val="0"/>
      <w:divBdr>
        <w:top w:val="none" w:sz="0" w:space="0" w:color="auto"/>
        <w:left w:val="none" w:sz="0" w:space="0" w:color="auto"/>
        <w:bottom w:val="none" w:sz="0" w:space="0" w:color="auto"/>
        <w:right w:val="none" w:sz="0" w:space="0" w:color="auto"/>
      </w:divBdr>
    </w:div>
    <w:div w:id="1481074003">
      <w:bodyDiv w:val="1"/>
      <w:marLeft w:val="0"/>
      <w:marRight w:val="0"/>
      <w:marTop w:val="0"/>
      <w:marBottom w:val="0"/>
      <w:divBdr>
        <w:top w:val="none" w:sz="0" w:space="0" w:color="auto"/>
        <w:left w:val="none" w:sz="0" w:space="0" w:color="auto"/>
        <w:bottom w:val="none" w:sz="0" w:space="0" w:color="auto"/>
        <w:right w:val="none" w:sz="0" w:space="0" w:color="auto"/>
      </w:divBdr>
    </w:div>
    <w:div w:id="1482965249">
      <w:bodyDiv w:val="1"/>
      <w:marLeft w:val="0"/>
      <w:marRight w:val="0"/>
      <w:marTop w:val="0"/>
      <w:marBottom w:val="0"/>
      <w:divBdr>
        <w:top w:val="none" w:sz="0" w:space="0" w:color="auto"/>
        <w:left w:val="none" w:sz="0" w:space="0" w:color="auto"/>
        <w:bottom w:val="none" w:sz="0" w:space="0" w:color="auto"/>
        <w:right w:val="none" w:sz="0" w:space="0" w:color="auto"/>
      </w:divBdr>
    </w:div>
    <w:div w:id="1503735915">
      <w:bodyDiv w:val="1"/>
      <w:marLeft w:val="0"/>
      <w:marRight w:val="0"/>
      <w:marTop w:val="0"/>
      <w:marBottom w:val="0"/>
      <w:divBdr>
        <w:top w:val="none" w:sz="0" w:space="0" w:color="auto"/>
        <w:left w:val="none" w:sz="0" w:space="0" w:color="auto"/>
        <w:bottom w:val="none" w:sz="0" w:space="0" w:color="auto"/>
        <w:right w:val="none" w:sz="0" w:space="0" w:color="auto"/>
      </w:divBdr>
    </w:div>
    <w:div w:id="1511719982">
      <w:bodyDiv w:val="1"/>
      <w:marLeft w:val="0"/>
      <w:marRight w:val="0"/>
      <w:marTop w:val="0"/>
      <w:marBottom w:val="0"/>
      <w:divBdr>
        <w:top w:val="none" w:sz="0" w:space="0" w:color="auto"/>
        <w:left w:val="none" w:sz="0" w:space="0" w:color="auto"/>
        <w:bottom w:val="none" w:sz="0" w:space="0" w:color="auto"/>
        <w:right w:val="none" w:sz="0" w:space="0" w:color="auto"/>
      </w:divBdr>
    </w:div>
    <w:div w:id="1514101959">
      <w:bodyDiv w:val="1"/>
      <w:marLeft w:val="0"/>
      <w:marRight w:val="0"/>
      <w:marTop w:val="0"/>
      <w:marBottom w:val="0"/>
      <w:divBdr>
        <w:top w:val="none" w:sz="0" w:space="0" w:color="auto"/>
        <w:left w:val="none" w:sz="0" w:space="0" w:color="auto"/>
        <w:bottom w:val="none" w:sz="0" w:space="0" w:color="auto"/>
        <w:right w:val="none" w:sz="0" w:space="0" w:color="auto"/>
      </w:divBdr>
    </w:div>
    <w:div w:id="1519853346">
      <w:bodyDiv w:val="1"/>
      <w:marLeft w:val="0"/>
      <w:marRight w:val="0"/>
      <w:marTop w:val="0"/>
      <w:marBottom w:val="0"/>
      <w:divBdr>
        <w:top w:val="none" w:sz="0" w:space="0" w:color="auto"/>
        <w:left w:val="none" w:sz="0" w:space="0" w:color="auto"/>
        <w:bottom w:val="none" w:sz="0" w:space="0" w:color="auto"/>
        <w:right w:val="none" w:sz="0" w:space="0" w:color="auto"/>
      </w:divBdr>
    </w:div>
    <w:div w:id="1523124638">
      <w:bodyDiv w:val="1"/>
      <w:marLeft w:val="0"/>
      <w:marRight w:val="0"/>
      <w:marTop w:val="0"/>
      <w:marBottom w:val="0"/>
      <w:divBdr>
        <w:top w:val="none" w:sz="0" w:space="0" w:color="auto"/>
        <w:left w:val="none" w:sz="0" w:space="0" w:color="auto"/>
        <w:bottom w:val="none" w:sz="0" w:space="0" w:color="auto"/>
        <w:right w:val="none" w:sz="0" w:space="0" w:color="auto"/>
      </w:divBdr>
    </w:div>
    <w:div w:id="1539775808">
      <w:bodyDiv w:val="1"/>
      <w:marLeft w:val="0"/>
      <w:marRight w:val="0"/>
      <w:marTop w:val="0"/>
      <w:marBottom w:val="0"/>
      <w:divBdr>
        <w:top w:val="none" w:sz="0" w:space="0" w:color="auto"/>
        <w:left w:val="none" w:sz="0" w:space="0" w:color="auto"/>
        <w:bottom w:val="none" w:sz="0" w:space="0" w:color="auto"/>
        <w:right w:val="none" w:sz="0" w:space="0" w:color="auto"/>
      </w:divBdr>
    </w:div>
    <w:div w:id="1561748952">
      <w:bodyDiv w:val="1"/>
      <w:marLeft w:val="0"/>
      <w:marRight w:val="0"/>
      <w:marTop w:val="0"/>
      <w:marBottom w:val="0"/>
      <w:divBdr>
        <w:top w:val="none" w:sz="0" w:space="0" w:color="auto"/>
        <w:left w:val="none" w:sz="0" w:space="0" w:color="auto"/>
        <w:bottom w:val="none" w:sz="0" w:space="0" w:color="auto"/>
        <w:right w:val="none" w:sz="0" w:space="0" w:color="auto"/>
      </w:divBdr>
    </w:div>
    <w:div w:id="1588005350">
      <w:bodyDiv w:val="1"/>
      <w:marLeft w:val="0"/>
      <w:marRight w:val="0"/>
      <w:marTop w:val="0"/>
      <w:marBottom w:val="0"/>
      <w:divBdr>
        <w:top w:val="none" w:sz="0" w:space="0" w:color="auto"/>
        <w:left w:val="none" w:sz="0" w:space="0" w:color="auto"/>
        <w:bottom w:val="none" w:sz="0" w:space="0" w:color="auto"/>
        <w:right w:val="none" w:sz="0" w:space="0" w:color="auto"/>
      </w:divBdr>
    </w:div>
    <w:div w:id="1592736005">
      <w:bodyDiv w:val="1"/>
      <w:marLeft w:val="0"/>
      <w:marRight w:val="0"/>
      <w:marTop w:val="0"/>
      <w:marBottom w:val="0"/>
      <w:divBdr>
        <w:top w:val="none" w:sz="0" w:space="0" w:color="auto"/>
        <w:left w:val="none" w:sz="0" w:space="0" w:color="auto"/>
        <w:bottom w:val="none" w:sz="0" w:space="0" w:color="auto"/>
        <w:right w:val="none" w:sz="0" w:space="0" w:color="auto"/>
      </w:divBdr>
    </w:div>
    <w:div w:id="1597010955">
      <w:bodyDiv w:val="1"/>
      <w:marLeft w:val="0"/>
      <w:marRight w:val="0"/>
      <w:marTop w:val="0"/>
      <w:marBottom w:val="0"/>
      <w:divBdr>
        <w:top w:val="none" w:sz="0" w:space="0" w:color="auto"/>
        <w:left w:val="none" w:sz="0" w:space="0" w:color="auto"/>
        <w:bottom w:val="none" w:sz="0" w:space="0" w:color="auto"/>
        <w:right w:val="none" w:sz="0" w:space="0" w:color="auto"/>
      </w:divBdr>
    </w:div>
    <w:div w:id="1597596812">
      <w:bodyDiv w:val="1"/>
      <w:marLeft w:val="0"/>
      <w:marRight w:val="0"/>
      <w:marTop w:val="0"/>
      <w:marBottom w:val="0"/>
      <w:divBdr>
        <w:top w:val="none" w:sz="0" w:space="0" w:color="auto"/>
        <w:left w:val="none" w:sz="0" w:space="0" w:color="auto"/>
        <w:bottom w:val="none" w:sz="0" w:space="0" w:color="auto"/>
        <w:right w:val="none" w:sz="0" w:space="0" w:color="auto"/>
      </w:divBdr>
    </w:div>
    <w:div w:id="1598977672">
      <w:bodyDiv w:val="1"/>
      <w:marLeft w:val="0"/>
      <w:marRight w:val="0"/>
      <w:marTop w:val="0"/>
      <w:marBottom w:val="0"/>
      <w:divBdr>
        <w:top w:val="none" w:sz="0" w:space="0" w:color="auto"/>
        <w:left w:val="none" w:sz="0" w:space="0" w:color="auto"/>
        <w:bottom w:val="none" w:sz="0" w:space="0" w:color="auto"/>
        <w:right w:val="none" w:sz="0" w:space="0" w:color="auto"/>
      </w:divBdr>
    </w:div>
    <w:div w:id="1615862744">
      <w:bodyDiv w:val="1"/>
      <w:marLeft w:val="0"/>
      <w:marRight w:val="0"/>
      <w:marTop w:val="0"/>
      <w:marBottom w:val="0"/>
      <w:divBdr>
        <w:top w:val="none" w:sz="0" w:space="0" w:color="auto"/>
        <w:left w:val="none" w:sz="0" w:space="0" w:color="auto"/>
        <w:bottom w:val="none" w:sz="0" w:space="0" w:color="auto"/>
        <w:right w:val="none" w:sz="0" w:space="0" w:color="auto"/>
      </w:divBdr>
    </w:div>
    <w:div w:id="1616013853">
      <w:bodyDiv w:val="1"/>
      <w:marLeft w:val="0"/>
      <w:marRight w:val="0"/>
      <w:marTop w:val="0"/>
      <w:marBottom w:val="0"/>
      <w:divBdr>
        <w:top w:val="none" w:sz="0" w:space="0" w:color="auto"/>
        <w:left w:val="none" w:sz="0" w:space="0" w:color="auto"/>
        <w:bottom w:val="none" w:sz="0" w:space="0" w:color="auto"/>
        <w:right w:val="none" w:sz="0" w:space="0" w:color="auto"/>
      </w:divBdr>
    </w:div>
    <w:div w:id="1617788890">
      <w:bodyDiv w:val="1"/>
      <w:marLeft w:val="0"/>
      <w:marRight w:val="0"/>
      <w:marTop w:val="0"/>
      <w:marBottom w:val="0"/>
      <w:divBdr>
        <w:top w:val="none" w:sz="0" w:space="0" w:color="auto"/>
        <w:left w:val="none" w:sz="0" w:space="0" w:color="auto"/>
        <w:bottom w:val="none" w:sz="0" w:space="0" w:color="auto"/>
        <w:right w:val="none" w:sz="0" w:space="0" w:color="auto"/>
      </w:divBdr>
    </w:div>
    <w:div w:id="1652952079">
      <w:bodyDiv w:val="1"/>
      <w:marLeft w:val="0"/>
      <w:marRight w:val="0"/>
      <w:marTop w:val="0"/>
      <w:marBottom w:val="0"/>
      <w:divBdr>
        <w:top w:val="none" w:sz="0" w:space="0" w:color="auto"/>
        <w:left w:val="none" w:sz="0" w:space="0" w:color="auto"/>
        <w:bottom w:val="none" w:sz="0" w:space="0" w:color="auto"/>
        <w:right w:val="none" w:sz="0" w:space="0" w:color="auto"/>
      </w:divBdr>
    </w:div>
    <w:div w:id="1668633086">
      <w:bodyDiv w:val="1"/>
      <w:marLeft w:val="0"/>
      <w:marRight w:val="0"/>
      <w:marTop w:val="0"/>
      <w:marBottom w:val="0"/>
      <w:divBdr>
        <w:top w:val="none" w:sz="0" w:space="0" w:color="auto"/>
        <w:left w:val="none" w:sz="0" w:space="0" w:color="auto"/>
        <w:bottom w:val="none" w:sz="0" w:space="0" w:color="auto"/>
        <w:right w:val="none" w:sz="0" w:space="0" w:color="auto"/>
      </w:divBdr>
    </w:div>
    <w:div w:id="1673490705">
      <w:bodyDiv w:val="1"/>
      <w:marLeft w:val="0"/>
      <w:marRight w:val="0"/>
      <w:marTop w:val="0"/>
      <w:marBottom w:val="0"/>
      <w:divBdr>
        <w:top w:val="none" w:sz="0" w:space="0" w:color="auto"/>
        <w:left w:val="none" w:sz="0" w:space="0" w:color="auto"/>
        <w:bottom w:val="none" w:sz="0" w:space="0" w:color="auto"/>
        <w:right w:val="none" w:sz="0" w:space="0" w:color="auto"/>
      </w:divBdr>
    </w:div>
    <w:div w:id="1682001112">
      <w:bodyDiv w:val="1"/>
      <w:marLeft w:val="0"/>
      <w:marRight w:val="0"/>
      <w:marTop w:val="0"/>
      <w:marBottom w:val="0"/>
      <w:divBdr>
        <w:top w:val="none" w:sz="0" w:space="0" w:color="auto"/>
        <w:left w:val="none" w:sz="0" w:space="0" w:color="auto"/>
        <w:bottom w:val="none" w:sz="0" w:space="0" w:color="auto"/>
        <w:right w:val="none" w:sz="0" w:space="0" w:color="auto"/>
      </w:divBdr>
    </w:div>
    <w:div w:id="1682128173">
      <w:bodyDiv w:val="1"/>
      <w:marLeft w:val="0"/>
      <w:marRight w:val="0"/>
      <w:marTop w:val="0"/>
      <w:marBottom w:val="0"/>
      <w:divBdr>
        <w:top w:val="none" w:sz="0" w:space="0" w:color="auto"/>
        <w:left w:val="none" w:sz="0" w:space="0" w:color="auto"/>
        <w:bottom w:val="none" w:sz="0" w:space="0" w:color="auto"/>
        <w:right w:val="none" w:sz="0" w:space="0" w:color="auto"/>
      </w:divBdr>
    </w:div>
    <w:div w:id="1687750712">
      <w:bodyDiv w:val="1"/>
      <w:marLeft w:val="0"/>
      <w:marRight w:val="0"/>
      <w:marTop w:val="0"/>
      <w:marBottom w:val="0"/>
      <w:divBdr>
        <w:top w:val="none" w:sz="0" w:space="0" w:color="auto"/>
        <w:left w:val="none" w:sz="0" w:space="0" w:color="auto"/>
        <w:bottom w:val="none" w:sz="0" w:space="0" w:color="auto"/>
        <w:right w:val="none" w:sz="0" w:space="0" w:color="auto"/>
      </w:divBdr>
    </w:div>
    <w:div w:id="1689209389">
      <w:bodyDiv w:val="1"/>
      <w:marLeft w:val="0"/>
      <w:marRight w:val="0"/>
      <w:marTop w:val="0"/>
      <w:marBottom w:val="0"/>
      <w:divBdr>
        <w:top w:val="none" w:sz="0" w:space="0" w:color="auto"/>
        <w:left w:val="none" w:sz="0" w:space="0" w:color="auto"/>
        <w:bottom w:val="none" w:sz="0" w:space="0" w:color="auto"/>
        <w:right w:val="none" w:sz="0" w:space="0" w:color="auto"/>
      </w:divBdr>
    </w:div>
    <w:div w:id="1701590291">
      <w:bodyDiv w:val="1"/>
      <w:marLeft w:val="0"/>
      <w:marRight w:val="0"/>
      <w:marTop w:val="0"/>
      <w:marBottom w:val="0"/>
      <w:divBdr>
        <w:top w:val="none" w:sz="0" w:space="0" w:color="auto"/>
        <w:left w:val="none" w:sz="0" w:space="0" w:color="auto"/>
        <w:bottom w:val="none" w:sz="0" w:space="0" w:color="auto"/>
        <w:right w:val="none" w:sz="0" w:space="0" w:color="auto"/>
      </w:divBdr>
    </w:div>
    <w:div w:id="1702124397">
      <w:bodyDiv w:val="1"/>
      <w:marLeft w:val="0"/>
      <w:marRight w:val="0"/>
      <w:marTop w:val="0"/>
      <w:marBottom w:val="0"/>
      <w:divBdr>
        <w:top w:val="none" w:sz="0" w:space="0" w:color="auto"/>
        <w:left w:val="none" w:sz="0" w:space="0" w:color="auto"/>
        <w:bottom w:val="none" w:sz="0" w:space="0" w:color="auto"/>
        <w:right w:val="none" w:sz="0" w:space="0" w:color="auto"/>
      </w:divBdr>
    </w:div>
    <w:div w:id="1728651855">
      <w:bodyDiv w:val="1"/>
      <w:marLeft w:val="0"/>
      <w:marRight w:val="0"/>
      <w:marTop w:val="0"/>
      <w:marBottom w:val="0"/>
      <w:divBdr>
        <w:top w:val="none" w:sz="0" w:space="0" w:color="auto"/>
        <w:left w:val="none" w:sz="0" w:space="0" w:color="auto"/>
        <w:bottom w:val="none" w:sz="0" w:space="0" w:color="auto"/>
        <w:right w:val="none" w:sz="0" w:space="0" w:color="auto"/>
      </w:divBdr>
    </w:div>
    <w:div w:id="1750688346">
      <w:bodyDiv w:val="1"/>
      <w:marLeft w:val="0"/>
      <w:marRight w:val="0"/>
      <w:marTop w:val="0"/>
      <w:marBottom w:val="0"/>
      <w:divBdr>
        <w:top w:val="none" w:sz="0" w:space="0" w:color="auto"/>
        <w:left w:val="none" w:sz="0" w:space="0" w:color="auto"/>
        <w:bottom w:val="none" w:sz="0" w:space="0" w:color="auto"/>
        <w:right w:val="none" w:sz="0" w:space="0" w:color="auto"/>
      </w:divBdr>
    </w:div>
    <w:div w:id="1793278646">
      <w:bodyDiv w:val="1"/>
      <w:marLeft w:val="0"/>
      <w:marRight w:val="0"/>
      <w:marTop w:val="0"/>
      <w:marBottom w:val="0"/>
      <w:divBdr>
        <w:top w:val="none" w:sz="0" w:space="0" w:color="auto"/>
        <w:left w:val="none" w:sz="0" w:space="0" w:color="auto"/>
        <w:bottom w:val="none" w:sz="0" w:space="0" w:color="auto"/>
        <w:right w:val="none" w:sz="0" w:space="0" w:color="auto"/>
      </w:divBdr>
    </w:div>
    <w:div w:id="1814329964">
      <w:bodyDiv w:val="1"/>
      <w:marLeft w:val="0"/>
      <w:marRight w:val="0"/>
      <w:marTop w:val="0"/>
      <w:marBottom w:val="0"/>
      <w:divBdr>
        <w:top w:val="none" w:sz="0" w:space="0" w:color="auto"/>
        <w:left w:val="none" w:sz="0" w:space="0" w:color="auto"/>
        <w:bottom w:val="none" w:sz="0" w:space="0" w:color="auto"/>
        <w:right w:val="none" w:sz="0" w:space="0" w:color="auto"/>
      </w:divBdr>
    </w:div>
    <w:div w:id="1817183832">
      <w:bodyDiv w:val="1"/>
      <w:marLeft w:val="0"/>
      <w:marRight w:val="0"/>
      <w:marTop w:val="0"/>
      <w:marBottom w:val="0"/>
      <w:divBdr>
        <w:top w:val="none" w:sz="0" w:space="0" w:color="auto"/>
        <w:left w:val="none" w:sz="0" w:space="0" w:color="auto"/>
        <w:bottom w:val="none" w:sz="0" w:space="0" w:color="auto"/>
        <w:right w:val="none" w:sz="0" w:space="0" w:color="auto"/>
      </w:divBdr>
    </w:div>
    <w:div w:id="1818646036">
      <w:bodyDiv w:val="1"/>
      <w:marLeft w:val="0"/>
      <w:marRight w:val="0"/>
      <w:marTop w:val="0"/>
      <w:marBottom w:val="0"/>
      <w:divBdr>
        <w:top w:val="none" w:sz="0" w:space="0" w:color="auto"/>
        <w:left w:val="none" w:sz="0" w:space="0" w:color="auto"/>
        <w:bottom w:val="none" w:sz="0" w:space="0" w:color="auto"/>
        <w:right w:val="none" w:sz="0" w:space="0" w:color="auto"/>
      </w:divBdr>
    </w:div>
    <w:div w:id="1829399087">
      <w:bodyDiv w:val="1"/>
      <w:marLeft w:val="0"/>
      <w:marRight w:val="0"/>
      <w:marTop w:val="0"/>
      <w:marBottom w:val="0"/>
      <w:divBdr>
        <w:top w:val="none" w:sz="0" w:space="0" w:color="auto"/>
        <w:left w:val="none" w:sz="0" w:space="0" w:color="auto"/>
        <w:bottom w:val="none" w:sz="0" w:space="0" w:color="auto"/>
        <w:right w:val="none" w:sz="0" w:space="0" w:color="auto"/>
      </w:divBdr>
    </w:div>
    <w:div w:id="1842617186">
      <w:bodyDiv w:val="1"/>
      <w:marLeft w:val="0"/>
      <w:marRight w:val="0"/>
      <w:marTop w:val="0"/>
      <w:marBottom w:val="0"/>
      <w:divBdr>
        <w:top w:val="none" w:sz="0" w:space="0" w:color="auto"/>
        <w:left w:val="none" w:sz="0" w:space="0" w:color="auto"/>
        <w:bottom w:val="none" w:sz="0" w:space="0" w:color="auto"/>
        <w:right w:val="none" w:sz="0" w:space="0" w:color="auto"/>
      </w:divBdr>
    </w:div>
    <w:div w:id="1898860370">
      <w:bodyDiv w:val="1"/>
      <w:marLeft w:val="0"/>
      <w:marRight w:val="0"/>
      <w:marTop w:val="0"/>
      <w:marBottom w:val="0"/>
      <w:divBdr>
        <w:top w:val="none" w:sz="0" w:space="0" w:color="auto"/>
        <w:left w:val="none" w:sz="0" w:space="0" w:color="auto"/>
        <w:bottom w:val="none" w:sz="0" w:space="0" w:color="auto"/>
        <w:right w:val="none" w:sz="0" w:space="0" w:color="auto"/>
      </w:divBdr>
    </w:div>
    <w:div w:id="1939023993">
      <w:bodyDiv w:val="1"/>
      <w:marLeft w:val="0"/>
      <w:marRight w:val="0"/>
      <w:marTop w:val="0"/>
      <w:marBottom w:val="0"/>
      <w:divBdr>
        <w:top w:val="none" w:sz="0" w:space="0" w:color="auto"/>
        <w:left w:val="none" w:sz="0" w:space="0" w:color="auto"/>
        <w:bottom w:val="none" w:sz="0" w:space="0" w:color="auto"/>
        <w:right w:val="none" w:sz="0" w:space="0" w:color="auto"/>
      </w:divBdr>
    </w:div>
    <w:div w:id="1945838690">
      <w:bodyDiv w:val="1"/>
      <w:marLeft w:val="0"/>
      <w:marRight w:val="0"/>
      <w:marTop w:val="0"/>
      <w:marBottom w:val="0"/>
      <w:divBdr>
        <w:top w:val="none" w:sz="0" w:space="0" w:color="auto"/>
        <w:left w:val="none" w:sz="0" w:space="0" w:color="auto"/>
        <w:bottom w:val="none" w:sz="0" w:space="0" w:color="auto"/>
        <w:right w:val="none" w:sz="0" w:space="0" w:color="auto"/>
      </w:divBdr>
    </w:div>
    <w:div w:id="1953169808">
      <w:bodyDiv w:val="1"/>
      <w:marLeft w:val="0"/>
      <w:marRight w:val="0"/>
      <w:marTop w:val="0"/>
      <w:marBottom w:val="0"/>
      <w:divBdr>
        <w:top w:val="none" w:sz="0" w:space="0" w:color="auto"/>
        <w:left w:val="none" w:sz="0" w:space="0" w:color="auto"/>
        <w:bottom w:val="none" w:sz="0" w:space="0" w:color="auto"/>
        <w:right w:val="none" w:sz="0" w:space="0" w:color="auto"/>
      </w:divBdr>
    </w:div>
    <w:div w:id="2021085859">
      <w:bodyDiv w:val="1"/>
      <w:marLeft w:val="0"/>
      <w:marRight w:val="0"/>
      <w:marTop w:val="0"/>
      <w:marBottom w:val="0"/>
      <w:divBdr>
        <w:top w:val="none" w:sz="0" w:space="0" w:color="auto"/>
        <w:left w:val="none" w:sz="0" w:space="0" w:color="auto"/>
        <w:bottom w:val="none" w:sz="0" w:space="0" w:color="auto"/>
        <w:right w:val="none" w:sz="0" w:space="0" w:color="auto"/>
      </w:divBdr>
    </w:div>
    <w:div w:id="2056848248">
      <w:bodyDiv w:val="1"/>
      <w:marLeft w:val="0"/>
      <w:marRight w:val="0"/>
      <w:marTop w:val="0"/>
      <w:marBottom w:val="0"/>
      <w:divBdr>
        <w:top w:val="none" w:sz="0" w:space="0" w:color="auto"/>
        <w:left w:val="none" w:sz="0" w:space="0" w:color="auto"/>
        <w:bottom w:val="none" w:sz="0" w:space="0" w:color="auto"/>
        <w:right w:val="none" w:sz="0" w:space="0" w:color="auto"/>
      </w:divBdr>
    </w:div>
    <w:div w:id="2070958265">
      <w:bodyDiv w:val="1"/>
      <w:marLeft w:val="0"/>
      <w:marRight w:val="0"/>
      <w:marTop w:val="0"/>
      <w:marBottom w:val="0"/>
      <w:divBdr>
        <w:top w:val="none" w:sz="0" w:space="0" w:color="auto"/>
        <w:left w:val="none" w:sz="0" w:space="0" w:color="auto"/>
        <w:bottom w:val="none" w:sz="0" w:space="0" w:color="auto"/>
        <w:right w:val="none" w:sz="0" w:space="0" w:color="auto"/>
      </w:divBdr>
    </w:div>
    <w:div w:id="20967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DaanAdriaanse/fungal-ITS-identification-pipelin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github.com/DaanAdriaanse/fungal-ITS-identification-pipeline" TargetMode="External"/><Relationship Id="rId17" Type="http://schemas.openxmlformats.org/officeDocument/2006/relationships/hyperlink" Target="https://github.com/DaanAdriaanse/fungal-ITS-identification-pipel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aanAdriaanse/fungal-ITS-identification-pipelin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DaanAdriaanse/fungal-ITS-identification-pipeline" TargetMode="External"/><Relationship Id="rId5" Type="http://schemas.openxmlformats.org/officeDocument/2006/relationships/styles" Target="styles.xml"/><Relationship Id="rId15" Type="http://schemas.openxmlformats.org/officeDocument/2006/relationships/hyperlink" Target="https://github.com/DaanAdriaanse/fungal-ITS-identification-pipeline" TargetMode="External"/><Relationship Id="rId23" Type="http://schemas.openxmlformats.org/officeDocument/2006/relationships/hyperlink" Target="https://github.com/DaanAdriaanse/fungal-ITS-identification-pipeline/blob/main/DataAccess.md" TargetMode="External"/><Relationship Id="rId10" Type="http://schemas.openxmlformats.org/officeDocument/2006/relationships/hyperlink" Target="mailto:hm.adriaanse@student.avans.nl"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DaanAdriaanse/fungal-ITS-identification-pipeline" TargetMode="External"/><Relationship Id="rId22"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e380b4-ea27-45e8-8edb-857fecd5b5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77A31D3C98A4DAFBB33AD9FC0333D" ma:contentTypeVersion="14" ma:contentTypeDescription="Create a new document." ma:contentTypeScope="" ma:versionID="9c31fea00c1ecc53bc752c68ae57edb1">
  <xsd:schema xmlns:xsd="http://www.w3.org/2001/XMLSchema" xmlns:xs="http://www.w3.org/2001/XMLSchema" xmlns:p="http://schemas.microsoft.com/office/2006/metadata/properties" xmlns:ns3="36e380b4-ea27-45e8-8edb-857fecd5b539" xmlns:ns4="89d1e197-d519-4b1f-adf5-ef5bae58e8e4" targetNamespace="http://schemas.microsoft.com/office/2006/metadata/properties" ma:root="true" ma:fieldsID="e9d681056326f4060acaa96e49ec9797" ns3:_="" ns4:_="">
    <xsd:import namespace="36e380b4-ea27-45e8-8edb-857fecd5b539"/>
    <xsd:import namespace="89d1e197-d519-4b1f-adf5-ef5bae58e8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380b4-ea27-45e8-8edb-857fecd5b5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d1e197-d519-4b1f-adf5-ef5bae58e8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GuW19</b:Tag>
    <b:SourceType>JournalArticle</b:SourceType>
    <b:Guid>{FBD2E203-5319-5E4C-8FA9-0754FBF5F8E9}</b:Guid>
    <b:Title>Clinical Metagenomic Next-Generation Sequencing for Pathogen Detection</b:Title>
    <b:JournalName>National Library of Medicine</b:JournalName>
    <b:Year>2019</b:Year>
    <b:Author>
      <b:Author>
        <b:NameList>
          <b:Person>
            <b:Last>Gu</b:Last>
            <b:First>Wei</b:First>
          </b:Person>
          <b:Person>
            <b:Last>Miller</b:Last>
            <b:First> Steve </b:First>
          </b:Person>
          <b:Person>
            <b:Last>Chiu</b:Last>
            <b:Middle>Y</b:Middle>
            <b:First> Charles</b:First>
          </b:Person>
        </b:NameList>
      </b:Author>
    </b:Author>
    <b:RefOrder>1</b:RefOrder>
  </b:Source>
  <b:Source>
    <b:Tag>Muñ10</b:Tag>
    <b:SourceType>JournalArticle</b:SourceType>
    <b:Guid>{1FE40DF9-C90E-5E47-8136-408EEEA29B6D}</b:Guid>
    <b:Title>Improving Molecular Detection of Fungal DNA in Formalin-Fixed Paraffin-Embedded Tissues: Comparison of Five Tissue DNA Extraction Methods Using Panfungal PCR</b:Title>
    <b:JournalName>National Library of Medicine</b:JournalName>
    <b:Year>2010</b:Year>
    <b:Author>
      <b:Author>
        <b:NameList>
          <b:Person>
            <b:Last>Muñoz-Cadavid </b:Last>
            <b:First>C</b:First>
          </b:Person>
          <b:Person>
            <b:Last>Rudd</b:Last>
            <b:First>S </b:First>
          </b:Person>
          <b:Person>
            <b:Last>Zaki</b:Last>
            <b:Middle>R</b:Middle>
            <b:First>S </b:First>
          </b:Person>
          <b:Person>
            <b:Last>Patel</b:Last>
            <b:First>M</b:First>
          </b:Person>
          <b:Person>
            <b:Last>Moser</b:Last>
            <b:Middle>A</b:Middle>
            <b:First> S</b:First>
          </b:Person>
        </b:NameList>
      </b:Author>
    </b:Author>
    <b:RefOrder>2</b:RefOrder>
  </b:Source>
  <b:Source>
    <b:Tag>Mit19</b:Tag>
    <b:SourceType>JournalArticle</b:SourceType>
    <b:Guid>{EA9B03F1-281B-A949-947E-EE74E0013BBC}</b:Guid>
    <b:Title>Next-Generation Sequencing in Clinical Microbiology: Are We There Yet?</b:Title>
    <b:JournalName>Clinics in Laboratory Medicine</b:JournalName>
    <b:Year>2019</b:Year>
    <b:Volume>Volume 39</b:Volume>
    <b:Pages>405-418</b:Pages>
    <b:Author>
      <b:Author>
        <b:NameList>
          <b:Person>
            <b:Last>Mitchell</b:Last>
            <b:Middle>L</b:Middle>
            <b:First>Stephanie </b:First>
          </b:Person>
          <b:Person>
            <b:Last>Simner</b:Last>
            <b:Middle>J</b:Middle>
            <b:First> Patricia </b:First>
          </b:Person>
        </b:NameList>
      </b:Author>
    </b:Author>
    <b:RefOrder>3</b:RefOrder>
  </b:Source>
  <b:Source>
    <b:Tag>Sch121</b:Tag>
    <b:SourceType>JournalArticle</b:SourceType>
    <b:Guid>{9B72A197-B815-164A-8F60-9277370942D0}</b:Guid>
    <b:Title>Nuclear ribosomal internal transcribed spacer (ITS) region as a universal DNA barcode marker for Fungi</b:Title>
    <b:JournalName>PNAS</b:JournalName>
    <b:Year>2012</b:Year>
    <b:Author>
      <b:Author>
        <b:NameList>
          <b:Person>
            <b:Last>Schoch</b:Last>
            <b:Middle>L</b:Middle>
            <b:First>Conrad </b:First>
          </b:Person>
          <b:Person>
            <b:Last>Seifert</b:Last>
            <b:Middle>A</b:Middle>
            <b:First>Keith </b:First>
          </b:Person>
          <b:Person>
            <b:Last>Huhndorf</b:Last>
            <b:First> Sabine</b:First>
          </b:Person>
          <b:Person>
            <b:Last>Robert</b:Last>
            <b:First>Vincent</b:First>
          </b:Person>
          <b:Person>
            <b:Last>Spouge</b:Last>
            <b:Middle>L</b:Middle>
            <b:First> John </b:First>
          </b:Person>
          <b:Person>
            <b:Last>Chen</b:Last>
            <b:First>Wen</b:First>
          </b:Person>
        </b:NameList>
      </b:Author>
    </b:Author>
    <b:RefOrder>5</b:RefOrder>
  </b:Source>
  <b:Source>
    <b:Tag>Bel10</b:Tag>
    <b:SourceType>JournalArticle</b:SourceType>
    <b:Guid>{26D9D10F-7DD0-9646-B4FD-33A781B18BD2}</b:Guid>
    <b:Title>ITS as an environmental DNA barcode for fungi: an in silico approach reveals potential PCR biases</b:Title>
    <b:JournalName>BMC Microbiology</b:JournalName>
    <b:Year>2010</b:Year>
    <b:Author>
      <b:Author>
        <b:NameList>
          <b:Person>
            <b:Last>Bellemain</b:Last>
            <b:First>Eva</b:First>
          </b:Person>
          <b:Person>
            <b:Last>Carlsen</b:Last>
            <b:First>Tor</b:First>
          </b:Person>
          <b:Person>
            <b:Last>Brochmann</b:Last>
            <b:First> Christian</b:First>
          </b:Person>
          <b:Person>
            <b:Last>Coissac</b:Last>
            <b:First> Eric</b:First>
          </b:Person>
          <b:Person>
            <b:Last>Taberlet</b:Last>
            <b:First>Pierre</b:First>
          </b:Person>
          <b:Person>
            <b:Last>Kauserud</b:Last>
            <b:First>Håvard </b:First>
          </b:Person>
        </b:NameList>
      </b:Author>
    </b:Author>
    <b:RefOrder>6</b:RefOrder>
  </b:Source>
  <b:Source>
    <b:Tag>DoH15</b:Tag>
    <b:SourceType>JournalArticle</b:SourceType>
    <b:Guid>{6B51D4C1-20B6-6240-8DB1-1F6C08A4E79A}</b:Guid>
    <b:Title>Sequence artifacts in DNA from formalin-fixed tissues: causes and strategies for minimization</b:Title>
    <b:JournalName>Clinical Chemistry</b:JournalName>
    <b:Year>2015</b:Year>
    <b:Volume>Volume 61</b:Volume>
    <b:Issue>Issue 1</b:Issue>
    <b:Pages>64–71</b:Pages>
    <b:Author>
      <b:Author>
        <b:NameList>
          <b:Person>
            <b:Last>Do</b:Last>
            <b:First>Hongdo</b:First>
          </b:Person>
          <b:Person>
            <b:Last>Dobrovic</b:Last>
            <b:First>Alexander</b:First>
          </b:Person>
        </b:NameList>
      </b:Author>
    </b:Author>
    <b:RefOrder>7</b:RefOrder>
  </b:Source>
  <b:Source>
    <b:Tag>Sri02</b:Tag>
    <b:SourceType>JournalArticle</b:SourceType>
    <b:Guid>{AF0F2F63-C1C0-9043-9F18-F1578259CEB8}</b:Guid>
    <b:Title>Effect of Fixatives and Tissue Processing on the Content and Integrity of Nucleic Acids</b:Title>
    <b:JournalName>The American Journal of Pathology</b:JournalName>
    <b:Year>2002</b:Year>
    <b:Pages>1961-1971</b:Pages>
    <b:Author>
      <b:Author>
        <b:NameList>
          <b:Person>
            <b:Last>Srinivasan</b:Last>
            <b:First>Mythily </b:First>
          </b:Person>
          <b:Person>
            <b:Last>Sedmak</b:Last>
            <b:First>Daniel </b:First>
          </b:Person>
          <b:Person>
            <b:Last>Jewell</b:Last>
            <b:First> Scott</b:First>
          </b:Person>
        </b:NameList>
      </b:Author>
    </b:Author>
    <b:RefOrder>8</b:RefOrder>
  </b:Source>
  <b:Source>
    <b:Tag>Qua04</b:Tag>
    <b:SourceType>JournalArticle</b:SourceType>
    <b:Guid>{DAFC0210-F803-6343-AB14-93713B6E313E}</b:Guid>
    <b:Title>In vitro mutation artifacts after formalin fixation and error prone translesion synthesis during PCR</b:Title>
    <b:JournalName>BMC Clinical Pathology</b:JournalName>
    <b:Year>2004</b:Year>
    <b:Volume>Volume 4</b:Volume>
    <b:Author>
      <b:Author>
        <b:NameList>
          <b:Person>
            <b:Last>Quach</b:Last>
            <b:First>Nancy</b:First>
          </b:Person>
          <b:Person>
            <b:Last>Goodman</b:Last>
            <b:Middle>F</b:Middle>
            <b:First>Myron </b:First>
          </b:Person>
          <b:Person>
            <b:Last>Shibata</b:Last>
            <b:First>Darryl</b:First>
          </b:Person>
        </b:NameList>
      </b:Author>
    </b:Author>
    <b:RefOrder>9</b:RefOrder>
  </b:Source>
  <b:Source>
    <b:Tag>Pau11</b:Tag>
    <b:SourceType>JournalArticle</b:SourceType>
    <b:Guid>{4D92AD78-9041-7E48-BE67-BB5A87785D75}</b:Guid>
    <b:Title>Damage induced by formalin fixation and paraffin embedding compromises genome integrity and reduces PCR amplification yield</b:Title>
    <b:JournalName>Journal of Molecular Diagnostics</b:JournalName>
    <b:Year>2011</b:Year>
    <b:Pages>295-303</b:Pages>
    <b:Author>
      <b:Author>
        <b:NameList>
          <b:Person>
            <b:Last>Pauly</b:Last>
            <b:First>F</b:First>
          </b:Person>
          <b:Person>
            <b:Last>Marienfeld</b:Last>
            <b:First>R</b:First>
          </b:Person>
          <b:Person>
            <b:Last>Miller</b:Last>
            <b:First>C</b:First>
          </b:Person>
          <b:Person>
            <b:Last>Schubert</b:Last>
            <b:First>C</b:First>
          </b:Person>
        </b:NameList>
      </b:Author>
    </b:Author>
    <b:RefOrder>10</b:RefOrder>
  </b:Source>
  <b:Source>
    <b:Tag>Hug17</b:Tag>
    <b:SourceType>JournalArticle</b:SourceType>
    <b:Guid>{771F4191-A6B4-FB44-B1E5-F70A87A95EC9}</b:Guid>
    <b:Title>Analysing Microbial Community Composition through Amplicon Sequencing: From Sampling to Hypothesis Testing</b:Title>
    <b:JournalName>Frontiers</b:JournalName>
    <b:Year>2017</b:Year>
    <b:Volume>Volume 8 </b:Volume>
    <b:Author>
      <b:Author>
        <b:NameList>
          <b:Person>
            <b:Last>Hugerth</b:Last>
            <b:Middle>W</b:Middle>
            <b:First>Luisa </b:First>
          </b:Person>
          <b:Person>
            <b:Last>Andersson</b:Last>
            <b:Middle>F</b:Middle>
            <b:First> Anders  </b:First>
          </b:Person>
        </b:NameList>
      </b:Author>
    </b:Author>
    <b:RefOrder>24</b:RefOrder>
  </b:Source>
  <b:Source>
    <b:Tag>Sam11</b:Tag>
    <b:SourceType>JournalArticle</b:SourceType>
    <b:Guid>{0154AE75-6679-994F-B2E7-3FF69476DC9F}</b:Guid>
    <b:Title>Isolation and identification of fungi.</b:Title>
    <b:JournalName>Microorganisms in home and indoor work environments</b:JournalName>
    <b:Year>2011</b:Year>
    <b:Pages> 265-278</b:Pages>
    <b:Author>
      <b:Author>
        <b:NameList>
          <b:Person>
            <b:Last>Samson</b:Last>
            <b:Middle>A</b:Middle>
            <b:First>R</b:First>
          </b:Person>
          <b:Person>
            <b:Last>Houbraken</b:Last>
            <b:First> J</b:First>
          </b:Person>
        </b:NameList>
      </b:Author>
    </b:Author>
    <b:RefOrder>11</b:RefOrder>
  </b:Source>
  <b:Source>
    <b:Tag>Hen19</b:Tag>
    <b:SourceType>JournalArticle</b:SourceType>
    <b:Guid>{A087B05C-41F5-894F-B0D8-E32482B641BB}</b:Guid>
    <b:Title>Mycobiome diversity: high-throughput sequencing and identification of fungi</b:Title>
    <b:JournalName>Nature Reviews Microbiology</b:JournalName>
    <b:Year>2019</b:Year>
    <b:Pages>pages 95–109</b:Pages>
    <b:Author>
      <b:Author>
        <b:NameList>
          <b:Person>
            <b:Last>Henrik</b:Last>
            <b:Middle>Nilsson</b:Middle>
            <b:First>R</b:First>
          </b:Person>
          <b:Person>
            <b:Last>Anslan</b:Last>
            <b:First>Sten</b:First>
          </b:Person>
          <b:Person>
            <b:Last>Bahram</b:Last>
            <b:First>Mohammad</b:First>
          </b:Person>
          <b:Person>
            <b:Last>Wurzbacher</b:Last>
            <b:First>Christian</b:First>
          </b:Person>
          <b:Person>
            <b:Last>Baldrian</b:Last>
            <b:First>Petr</b:First>
          </b:Person>
          <b:Person>
            <b:Last>Tedersoo</b:Last>
            <b:First>Leho </b:First>
          </b:Person>
        </b:NameList>
      </b:Author>
    </b:Author>
    <b:RefOrder>12</b:RefOrder>
  </b:Source>
  <b:Source>
    <b:Tag>Nan</b:Tag>
    <b:SourceType>InternetSite</b:SourceType>
    <b:Guid>{450AA827-0F8C-9342-9395-C12498571B3F}</b:Guid>
    <b:Title>Nanoplot</b:Title>
    <b:URL>https://github.com/wdecoster/NanoPlot</b:URL>
    <b:RefOrder>13</b:RefOrder>
  </b:Source>
  <b:Source>
    <b:Tag>Fil</b:Tag>
    <b:SourceType>InternetSite</b:SourceType>
    <b:Guid>{5D8402C5-99C1-8C49-A44A-D65867E1ACE7}</b:Guid>
    <b:Title>Filtlong</b:Title>
    <b:URL>https://github.com/rrwick/Filtlong</b:URL>
    <b:RefOrder>14</b:RefOrder>
  </b:Source>
  <b:Source>
    <b:Tag>Ben13</b:Tag>
    <b:SourceType>JournalArticle</b:SourceType>
    <b:Guid>{E41695FC-DEFE-0E45-ACAE-69A14C3698AC}</b:Guid>
    <b:Title>Improved software detection and extraction of ITS1 and ITS2 from ribosomal ITS sequences of fungi and other eukaryotes for analysis of</b:Title>
    <b:JournalName>Methods in Ecology and Evolution</b:JournalName>
    <b:Year>2013</b:Year>
    <b:Author>
      <b:Author>
        <b:NameList>
          <b:Person>
            <b:Last>Bengtsson-Palme</b:Last>
            <b:First>Johan </b:First>
          </b:Person>
          <b:Person>
            <b:Last>Wang</b:Last>
            <b:First>Zheng</b:First>
          </b:Person>
          <b:Person>
            <b:Last>Branco</b:Last>
            <b:First>Sara</b:First>
          </b:Person>
          <b:Person>
            <b:Last>Godhe</b:Last>
            <b:First>Anna</b:First>
          </b:Person>
        </b:NameList>
      </b:Author>
    </b:Author>
    <b:RefOrder>15</b:RefOrder>
  </b:Source>
  <b:Source>
    <b:Tag>Min</b:Tag>
    <b:SourceType>InternetSite</b:SourceType>
    <b:Guid>{11EA7EF9-D72D-8743-8D03-092E02BC070B}</b:Guid>
    <b:Title>Minimap2</b:Title>
    <b:URL>https://github.com/lh3/minimap2</b:URL>
    <b:RefOrder>17</b:RefOrder>
  </b:Source>
  <b:Source>
    <b:Tag>Bod</b:Tag>
    <b:SourceType>InternetSite</b:SourceType>
    <b:Guid>{31C7CCC7-B0EF-A546-A1E3-345F918EEF4C}</b:Guid>
    <b:Title>GermGenie</b:Title>
    <b:URL>https://github.com/Avans-ATLS/GermGenie</b:URL>
    <b:Author>
      <b:Author>
        <b:NameList>
          <b:Person>
            <b:Last>Boden</b:Last>
            <b:First>Sander</b:First>
          </b:Person>
        </b:NameList>
      </b:Author>
    </b:Author>
    <b:RefOrder>16</b:RefOrder>
  </b:Source>
  <b:Source>
    <b:Tag>arq</b:Tag>
    <b:SourceType>InternetSite</b:SourceType>
    <b:Guid>{86B7C0B3-7068-4D90-B9E8-D2BFC332D650}</b:Guid>
    <b:Title>bedtools</b:Title>
    <b:Author>
      <b:Author>
        <b:NameList>
          <b:Person>
            <b:Last>arq5x</b:Last>
          </b:Person>
        </b:NameList>
      </b:Author>
    </b:Author>
    <b:URL>https://github.com/arq5x/bedtools/tree/master</b:URL>
    <b:RefOrder>18</b:RefOrder>
  </b:Source>
  <b:Source>
    <b:Tag>Alv24</b:Tag>
    <b:SourceType>JournalArticle</b:SourceType>
    <b:Guid>{E982EFB5-0E03-4A76-B004-BEC7CE114840}</b:Guid>
    <b:Title>Identifying CNS infections in transplantation and immunomodulatory therapy</b:Title>
    <b:Year> 2024</b:Year>
    <b:Volume>Aug 27</b:Volume>
    <b:Author>
      <b:Author>
        <b:NameList>
          <b:Person>
            <b:Last>Alviz</b:Last>
            <b:Middle>F</b:Middle>
            <b:First>Luisa</b:First>
          </b:Person>
          <b:Person>
            <b:Last>Jones</b:Last>
            <b:Middle>A </b:Middle>
            <b:First>Benjamin </b:First>
          </b:Person>
          <b:Person>
            <b:Last>Agnihotri</b:Last>
            <b:Middle>P </b:Middle>
            <b:First>Shruti </b:First>
          </b:Person>
        </b:NameList>
      </b:Author>
    </b:Author>
    <b:RefOrder>4</b:RefOrder>
  </b:Source>
  <b:Source>
    <b:Tag>sho</b:Tag>
    <b:SourceType>InternetSite</b:SourceType>
    <b:Guid>{F5A069DB-104E-4C36-94DB-97045AD95D51}</b:Guid>
    <b:Title>Medaka</b:Title>
    <b:Author>
      <b:Author>
        <b:NameList>
          <b:Person>
            <b:Last>shokrofont</b:Last>
          </b:Person>
        </b:NameList>
      </b:Author>
    </b:Author>
    <b:URL>https://github.com/nanoporetech/medaka</b:URL>
    <b:RefOrder>19</b:RefOrder>
  </b:Source>
  <b:Source>
    <b:Tag>Vas17</b:Tag>
    <b:SourceType>JournalArticle</b:SourceType>
    <b:Guid>{94B98A2A-FDDB-4A64-AB90-E820F308D902}</b:Guid>
    <b:Title>Fast and accurate de novo genome assembly from long uncorrected reads</b:Title>
    <b:Year>2017</b:Year>
    <b:JournalName>Genome Research</b:JournalName>
    <b:Author>
      <b:Author>
        <b:NameList>
          <b:Person>
            <b:Last>Vaser </b:Last>
            <b:First>Robert </b:First>
          </b:Person>
          <b:Person>
            <b:Last>Sović </b:Last>
            <b:First>Ivan </b:First>
          </b:Person>
          <b:Person>
            <b:Last>Nagarajan </b:Last>
            <b:First>Niranjan </b:First>
          </b:Person>
        </b:NameList>
      </b:Author>
    </b:Author>
    <b:RefOrder>20</b:RefOrder>
  </b:Source>
  <b:Source>
    <b:Tag>Sha20</b:Tag>
    <b:SourceType>JournalArticle</b:SourceType>
    <b:Guid>{D5724F01-4DFC-4CC2-83D1-8E000F5B0282}</b:Guid>
    <b:Title>Nanopore sequencing and the Shasta toolkit enable efficient de novo assembly of eleven human genomes</b:Title>
    <b:JournalName>Nature Portfolio</b:JournalName>
    <b:Year>2020</b:Year>
    <b:Author>
      <b:Author>
        <b:NameList>
          <b:Person>
            <b:Last>Shafin</b:Last>
            <b:First>Kishwar </b:First>
          </b:Person>
          <b:Person>
            <b:Last>Pesout </b:Last>
            <b:First> Trevor  </b:First>
          </b:Person>
          <b:Person>
            <b:Last>Lorig-Roach</b:Last>
            <b:First> Ryan </b:First>
          </b:Person>
          <b:Person>
            <b:Last>Haukness</b:Last>
            <b:First>Marina </b:First>
          </b:Person>
          <b:Person>
            <b:Last>Bosworth</b:Last>
            <b:First>Colleen </b:First>
          </b:Person>
        </b:NameList>
      </b:Author>
    </b:Author>
    <b:RefOrder>21</b:RefOrder>
  </b:Source>
  <b:Source>
    <b:Tag>Loi19</b:Tag>
    <b:SourceType>JournalArticle</b:SourceType>
    <b:Guid>{AD2C5E2F-2E83-48CA-BD94-5522BE4442EE}</b:Guid>
    <b:Title>Relative Performance of MinION (Oxford Nanopore Technologies) versus Sequel (Pacific Biosciences) Third-Generation Sequencing Instruments in Identification of Agricultural and Forest Fungal Pathogens</b:Title>
    <b:JournalName>Applied and Environmental Microbiology</b:JournalName>
    <b:Year>2019</b:Year>
    <b:Author>
      <b:Author>
        <b:NameList>
          <b:Person>
            <b:Last>Loit</b:Last>
            <b:First>Kaire</b:First>
          </b:Person>
          <b:Person>
            <b:Last> Adamson</b:Last>
            <b:First>Kalev </b:First>
          </b:Person>
          <b:Person>
            <b:Last>Bahram </b:Last>
            <b:First> Mohammad</b:First>
          </b:Person>
          <b:Person>
            <b:Last>Puusepp</b:Last>
            <b:First>Rasmus </b:First>
          </b:Person>
          <b:Person>
            <b:Last>Anslan</b:Last>
            <b:First>Sten </b:First>
          </b:Person>
        </b:NameList>
      </b:Author>
    </b:Author>
    <b:RefOrder>22</b:RefOrder>
  </b:Source>
  <b:Source>
    <b:Tag>Bel101</b:Tag>
    <b:SourceType>JournalArticle</b:SourceType>
    <b:Guid>{247A9ADB-6757-4BFC-A43E-4615DBCC2C9B}</b:Guid>
    <b:Title>ITS as an environmental DNA barcode for fungi: An in silico approach reveals potential PCR biases. BMC Microbiology, 10, 189</b:Title>
    <b:JournalName>BMC Microbiology</b:JournalName>
    <b:Year>2010</b:Year>
    <b:Author>
      <b:Author>
        <b:NameList>
          <b:Person>
            <b:Last>Bellemain</b:Last>
            <b:First>Eva</b:First>
          </b:Person>
          <b:Person>
            <b:Last>Carlsen</b:Last>
            <b:First>Tor </b:First>
          </b:Person>
          <b:Person>
            <b:Last>Brochmann</b:Last>
            <b:First>Christian </b:First>
          </b:Person>
        </b:NameList>
      </b:Author>
    </b:Author>
    <b:RefOrder>23</b:RefOrder>
  </b:Source>
</b:Sources>
</file>

<file path=customXml/itemProps1.xml><?xml version="1.0" encoding="utf-8"?>
<ds:datastoreItem xmlns:ds="http://schemas.openxmlformats.org/officeDocument/2006/customXml" ds:itemID="{CA526640-39FB-4BBD-ACAA-C7856AC420AD}">
  <ds:schemaRefs>
    <ds:schemaRef ds:uri="http://schemas.microsoft.com/office/2006/metadata/properties"/>
    <ds:schemaRef ds:uri="http://schemas.microsoft.com/office/infopath/2007/PartnerControls"/>
    <ds:schemaRef ds:uri="36e380b4-ea27-45e8-8edb-857fecd5b539"/>
  </ds:schemaRefs>
</ds:datastoreItem>
</file>

<file path=customXml/itemProps2.xml><?xml version="1.0" encoding="utf-8"?>
<ds:datastoreItem xmlns:ds="http://schemas.openxmlformats.org/officeDocument/2006/customXml" ds:itemID="{47DFAFA5-7195-44D8-8E36-E35D4EFC9B20}">
  <ds:schemaRefs>
    <ds:schemaRef ds:uri="http://schemas.microsoft.com/sharepoint/v3/contenttype/forms"/>
  </ds:schemaRefs>
</ds:datastoreItem>
</file>

<file path=customXml/itemProps3.xml><?xml version="1.0" encoding="utf-8"?>
<ds:datastoreItem xmlns:ds="http://schemas.openxmlformats.org/officeDocument/2006/customXml" ds:itemID="{925F958F-8351-427E-B07C-24656A2D4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380b4-ea27-45e8-8edb-857fecd5b539"/>
    <ds:schemaRef ds:uri="89d1e197-d519-4b1f-adf5-ef5bae58e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FB4C30-7DB6-4551-B2AA-949D71C25F7F}">
  <ds:schemaRefs>
    <ds:schemaRef ds:uri="http://schemas.openxmlformats.org/officeDocument/2006/bibliography"/>
  </ds:schemaRefs>
</ds:datastoreItem>
</file>

<file path=docMetadata/LabelInfo.xml><?xml version="1.0" encoding="utf-8"?>
<clbl:labelList xmlns:clbl="http://schemas.microsoft.com/office/2020/mipLabelMetadata">
  <clbl:label id="{87c50b58-2ef2-423d-a4db-1fa7c84efcfa}" enabled="0" method="" siteId="{87c50b58-2ef2-423d-a4db-1fa7c84efcfa}" removed="1"/>
</clbl:labelList>
</file>

<file path=docProps/app.xml><?xml version="1.0" encoding="utf-8"?>
<Properties xmlns="http://schemas.openxmlformats.org/officeDocument/2006/extended-properties" xmlns:vt="http://schemas.openxmlformats.org/officeDocument/2006/docPropsVTypes">
  <Template>Normal</Template>
  <TotalTime>15</TotalTime>
  <Pages>14</Pages>
  <Words>7149</Words>
  <Characters>39324</Characters>
  <Application>Microsoft Office Word</Application>
  <DocSecurity>0</DocSecurity>
  <Lines>327</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Adriaanse</dc:creator>
  <cp:keywords/>
  <dc:description/>
  <cp:lastModifiedBy>Daan Adriaanse</cp:lastModifiedBy>
  <cp:revision>15</cp:revision>
  <dcterms:created xsi:type="dcterms:W3CDTF">2025-06-20T08:51:00Z</dcterms:created>
  <dcterms:modified xsi:type="dcterms:W3CDTF">2025-06-20T10:08:00Z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0x010100ED277A31D3C98A4DAFBB33AD9FC0333D</vt:lpwstr>
  </property>
</Properties>
</file>