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FD14B6" w14:textId="1C17CC20" w:rsidR="008522B6" w:rsidRPr="008522B6" w:rsidRDefault="008522B6" w:rsidP="008522B6">
      <w:pPr>
        <w:jc w:val="center"/>
        <w:rPr>
          <w:sz w:val="48"/>
          <w:szCs w:val="48"/>
        </w:rPr>
      </w:pPr>
      <w:r w:rsidRPr="008522B6">
        <w:rPr>
          <w:sz w:val="48"/>
          <w:szCs w:val="48"/>
        </w:rPr>
        <w:t>DevOps Writeup</w:t>
      </w:r>
    </w:p>
    <w:p w14:paraId="737153B4" w14:textId="77777777" w:rsidR="008522B6" w:rsidRDefault="008522B6" w:rsidP="008522B6">
      <w:pPr>
        <w:pStyle w:val="Heading1"/>
      </w:pPr>
      <w:r>
        <w:t>1.0 Introduction</w:t>
      </w:r>
    </w:p>
    <w:p w14:paraId="5DA50AA3" w14:textId="4E99FCC2" w:rsidR="008522B6" w:rsidRDefault="008522B6" w:rsidP="008522B6">
      <w:pPr>
        <w:pStyle w:val="Heading1"/>
      </w:pPr>
      <w:r>
        <w:t>2</w:t>
      </w:r>
      <w:r>
        <w:t xml:space="preserve">.0 </w:t>
      </w:r>
      <w:r>
        <w:t>The three ways</w:t>
      </w:r>
    </w:p>
    <w:p w14:paraId="1F95FEEF" w14:textId="7734991C" w:rsidR="008522B6" w:rsidRDefault="008522B6" w:rsidP="008522B6">
      <w:pPr>
        <w:pStyle w:val="Heading1"/>
      </w:pPr>
      <w:r>
        <w:t>3</w:t>
      </w:r>
      <w:r>
        <w:t xml:space="preserve">.0 </w:t>
      </w:r>
      <w:r>
        <w:t>Source control</w:t>
      </w:r>
    </w:p>
    <w:p w14:paraId="5861E9FE" w14:textId="06866F34" w:rsidR="008522B6" w:rsidRDefault="008522B6" w:rsidP="008522B6">
      <w:pPr>
        <w:pStyle w:val="Heading1"/>
      </w:pPr>
      <w:r>
        <w:t>4</w:t>
      </w:r>
      <w:r>
        <w:t xml:space="preserve">.0 </w:t>
      </w:r>
      <w:r>
        <w:t>Flows -CI &amp; CD concepts</w:t>
      </w:r>
    </w:p>
    <w:p w14:paraId="3F5AA6F1" w14:textId="5FFE56B3" w:rsidR="008522B6" w:rsidRDefault="008522B6" w:rsidP="008522B6">
      <w:pPr>
        <w:pStyle w:val="Heading1"/>
      </w:pPr>
      <w:r>
        <w:t>5</w:t>
      </w:r>
      <w:r>
        <w:t xml:space="preserve">.0 </w:t>
      </w:r>
      <w:r>
        <w:t>CI in Jenkins</w:t>
      </w:r>
    </w:p>
    <w:p w14:paraId="13C33416" w14:textId="5DD0FE89" w:rsidR="008522B6" w:rsidRDefault="008522B6" w:rsidP="008522B6">
      <w:pPr>
        <w:pStyle w:val="Heading1"/>
      </w:pPr>
      <w:r>
        <w:t>6</w:t>
      </w:r>
      <w:r>
        <w:t xml:space="preserve">.0 </w:t>
      </w:r>
      <w:r>
        <w:t>DTAP &amp; environments on demand</w:t>
      </w:r>
    </w:p>
    <w:p w14:paraId="42B1DCE0" w14:textId="6A243089" w:rsidR="008522B6" w:rsidRDefault="008522B6" w:rsidP="008522B6">
      <w:pPr>
        <w:pStyle w:val="Heading1"/>
      </w:pPr>
      <w:r>
        <w:t>7</w:t>
      </w:r>
      <w:r>
        <w:t xml:space="preserve">.0 </w:t>
      </w:r>
      <w:r w:rsidR="004D4F10">
        <w:t>Flows &amp; feedback – Integrated testing</w:t>
      </w:r>
    </w:p>
    <w:p w14:paraId="3C734FA6" w14:textId="5CDF355E" w:rsidR="008522B6" w:rsidRDefault="008522B6" w:rsidP="008522B6">
      <w:pPr>
        <w:pStyle w:val="Heading1"/>
      </w:pPr>
      <w:r>
        <w:t>8</w:t>
      </w:r>
      <w:r>
        <w:t xml:space="preserve">.0 </w:t>
      </w:r>
      <w:r w:rsidR="004D4F10">
        <w:t xml:space="preserve">Flows &amp; feedback – </w:t>
      </w:r>
      <w:r w:rsidR="004D4F10">
        <w:t>Monitoring and reporting</w:t>
      </w:r>
    </w:p>
    <w:p w14:paraId="2EC357B7" w14:textId="0DC96DCD" w:rsidR="008522B6" w:rsidRDefault="008522B6" w:rsidP="008522B6">
      <w:pPr>
        <w:pStyle w:val="Heading1"/>
      </w:pPr>
      <w:r>
        <w:t>9</w:t>
      </w:r>
      <w:r>
        <w:t xml:space="preserve">.0 </w:t>
      </w:r>
      <w:r w:rsidR="004D4F10">
        <w:t xml:space="preserve">Integration exercise </w:t>
      </w:r>
    </w:p>
    <w:p w14:paraId="61F2E441" w14:textId="77777777" w:rsidR="008522B6" w:rsidRPr="008522B6" w:rsidRDefault="008522B6" w:rsidP="008522B6">
      <w:pPr>
        <w:pStyle w:val="Heading1"/>
      </w:pPr>
    </w:p>
    <w:sectPr w:rsidR="008522B6" w:rsidRPr="008522B6" w:rsidSect="004D4F10">
      <w:pgSz w:w="11906" w:h="16838"/>
      <w:pgMar w:top="1134" w:right="1191" w:bottom="1134" w:left="119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E27F30"/>
    <w:multiLevelType w:val="hybridMultilevel"/>
    <w:tmpl w:val="73CCDD1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186446"/>
    <w:multiLevelType w:val="hybridMultilevel"/>
    <w:tmpl w:val="3C8298D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2B6"/>
    <w:rsid w:val="004D4F10"/>
    <w:rsid w:val="008522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9B796A"/>
  <w15:chartTrackingRefBased/>
  <w15:docId w15:val="{D2ED30A9-7E57-4A01-A8BA-D29504D41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22B6"/>
    <w:rPr>
      <w:sz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8522B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2F5496" w:themeColor="accent1" w:themeShade="BF"/>
      <w:sz w:val="48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22B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F5496" w:themeColor="accent1" w:themeShade="BF"/>
      <w:sz w:val="40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22B6"/>
    <w:rPr>
      <w:rFonts w:asciiTheme="majorHAnsi" w:eastAsiaTheme="majorEastAsia" w:hAnsiTheme="majorHAnsi" w:cstheme="majorBidi"/>
      <w:b/>
      <w:color w:val="2F5496" w:themeColor="accent1" w:themeShade="BF"/>
      <w:sz w:val="4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22B6"/>
    <w:rPr>
      <w:rFonts w:asciiTheme="majorHAnsi" w:eastAsiaTheme="majorEastAsia" w:hAnsiTheme="majorHAnsi" w:cstheme="majorBidi"/>
      <w:b/>
      <w:color w:val="2F5496" w:themeColor="accent1" w:themeShade="BF"/>
      <w:sz w:val="40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39</Words>
  <Characters>228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daan detre</dc:creator>
  <cp:keywords/>
  <dc:description/>
  <cp:lastModifiedBy>daan detre</cp:lastModifiedBy>
  <cp:revision>1</cp:revision>
  <dcterms:created xsi:type="dcterms:W3CDTF">2022-01-13T11:43:00Z</dcterms:created>
  <dcterms:modified xsi:type="dcterms:W3CDTF">2022-01-13T11:51:00Z</dcterms:modified>
</cp:coreProperties>
</file>