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2826C0">
      <w:pPr>
        <w:jc w:val="center"/>
        <w:rPr>
          <w:b/>
        </w:rPr>
      </w:pPr>
    </w:p>
    <w:p w:rsidR="005A0238" w:rsidRDefault="005A0238" w:rsidP="005A0238">
      <w:pPr>
        <w:spacing w:line="276" w:lineRule="auto"/>
        <w:jc w:val="center"/>
        <w:rPr>
          <w:b/>
          <w:bCs/>
          <w:color w:val="000000"/>
          <w:sz w:val="26"/>
          <w:szCs w:val="26"/>
        </w:rPr>
      </w:pPr>
      <w:r>
        <w:rPr>
          <w:b/>
          <w:bCs/>
          <w:color w:val="000000"/>
          <w:sz w:val="26"/>
          <w:szCs w:val="26"/>
        </w:rPr>
        <w:t>EFICIÊNCIA DOS INVESTIMENTOS D</w:t>
      </w:r>
      <w:r w:rsidRPr="001718DD">
        <w:rPr>
          <w:b/>
          <w:bCs/>
          <w:color w:val="000000"/>
          <w:sz w:val="26"/>
          <w:szCs w:val="26"/>
        </w:rPr>
        <w:t>AS PRESTADORAS DE</w:t>
      </w:r>
      <w:r>
        <w:rPr>
          <w:b/>
          <w:bCs/>
          <w:color w:val="000000"/>
          <w:sz w:val="26"/>
          <w:szCs w:val="26"/>
        </w:rPr>
        <w:t xml:space="preserve"> SERVIÇO</w:t>
      </w:r>
      <w:r w:rsidRPr="001718DD">
        <w:rPr>
          <w:b/>
          <w:bCs/>
          <w:color w:val="000000"/>
          <w:sz w:val="26"/>
          <w:szCs w:val="26"/>
        </w:rPr>
        <w:t xml:space="preserve"> </w:t>
      </w:r>
      <w:r>
        <w:rPr>
          <w:b/>
          <w:bCs/>
          <w:color w:val="000000"/>
          <w:sz w:val="26"/>
          <w:szCs w:val="26"/>
        </w:rPr>
        <w:t xml:space="preserve">DE SANEAMENTO DOS MUNICIPIOS DE SANTA CATARINA </w:t>
      </w:r>
    </w:p>
    <w:p w:rsidR="002826C0" w:rsidRPr="00D60CE5" w:rsidRDefault="002826C0" w:rsidP="00022D88">
      <w:pPr>
        <w:ind w:firstLine="0"/>
        <w:rPr>
          <w:b/>
          <w:szCs w:val="24"/>
        </w:rPr>
      </w:pPr>
    </w:p>
    <w:p w:rsidR="00D60CE5" w:rsidRPr="00244C0A" w:rsidRDefault="00D60CE5" w:rsidP="00D60CE5">
      <w:pPr>
        <w:jc w:val="center"/>
        <w:rPr>
          <w:b/>
          <w:szCs w:val="24"/>
        </w:rPr>
      </w:pPr>
      <w:r>
        <w:rPr>
          <w:b/>
          <w:szCs w:val="24"/>
        </w:rPr>
        <w:t>Vitória Rosa Portella</w:t>
      </w:r>
    </w:p>
    <w:p w:rsidR="00D60CE5" w:rsidRPr="008339A4" w:rsidRDefault="00D60CE5" w:rsidP="00D60CE5">
      <w:pPr>
        <w:jc w:val="center"/>
        <w:rPr>
          <w:szCs w:val="24"/>
        </w:rPr>
      </w:pPr>
      <w:r>
        <w:rPr>
          <w:szCs w:val="24"/>
        </w:rPr>
        <w:t xml:space="preserve">Universidade Federal de Santa Catarina </w:t>
      </w:r>
      <w:r w:rsidRPr="008339A4">
        <w:rPr>
          <w:szCs w:val="24"/>
        </w:rPr>
        <w:t>(</w:t>
      </w:r>
      <w:r>
        <w:rPr>
          <w:szCs w:val="24"/>
        </w:rPr>
        <w:t>UFSC</w:t>
      </w:r>
      <w:r w:rsidRPr="008339A4">
        <w:rPr>
          <w:szCs w:val="24"/>
        </w:rPr>
        <w:t>)</w:t>
      </w:r>
    </w:p>
    <w:p w:rsidR="00022D88" w:rsidRDefault="00D60CE5" w:rsidP="00D60CE5">
      <w:pPr>
        <w:jc w:val="center"/>
        <w:rPr>
          <w:i/>
          <w:szCs w:val="24"/>
        </w:rPr>
      </w:pPr>
      <w:r w:rsidRPr="00D60CE5">
        <w:rPr>
          <w:i/>
          <w:szCs w:val="24"/>
        </w:rPr>
        <w:t>vitoria_portella@hotmail.com</w:t>
      </w:r>
    </w:p>
    <w:p w:rsidR="00D60CE5" w:rsidRDefault="00D60CE5" w:rsidP="00D60CE5">
      <w:pPr>
        <w:jc w:val="center"/>
        <w:rPr>
          <w:i/>
          <w:szCs w:val="24"/>
        </w:rPr>
      </w:pPr>
    </w:p>
    <w:p w:rsidR="00022D88" w:rsidRPr="00244C0A" w:rsidRDefault="00022D88" w:rsidP="00022D88">
      <w:pPr>
        <w:jc w:val="center"/>
        <w:rPr>
          <w:b/>
          <w:szCs w:val="24"/>
        </w:rPr>
      </w:pPr>
      <w:r>
        <w:rPr>
          <w:b/>
          <w:szCs w:val="24"/>
        </w:rPr>
        <w:t>Rodolfo Rocha dos Santos</w:t>
      </w:r>
    </w:p>
    <w:p w:rsidR="00022D88" w:rsidRPr="008339A4" w:rsidRDefault="00022D88" w:rsidP="00022D88">
      <w:pPr>
        <w:jc w:val="center"/>
        <w:rPr>
          <w:szCs w:val="24"/>
        </w:rPr>
      </w:pPr>
      <w:r>
        <w:rPr>
          <w:szCs w:val="24"/>
        </w:rPr>
        <w:t xml:space="preserve">Universidade Federal de Santa Catarina </w:t>
      </w:r>
      <w:r w:rsidRPr="008339A4">
        <w:rPr>
          <w:szCs w:val="24"/>
        </w:rPr>
        <w:t>(</w:t>
      </w:r>
      <w:r>
        <w:rPr>
          <w:szCs w:val="24"/>
        </w:rPr>
        <w:t>UFSC</w:t>
      </w:r>
      <w:r w:rsidRPr="008339A4">
        <w:rPr>
          <w:szCs w:val="24"/>
        </w:rPr>
        <w:t>)</w:t>
      </w:r>
    </w:p>
    <w:p w:rsidR="00022D88" w:rsidRDefault="00D60CE5" w:rsidP="00022D88">
      <w:pPr>
        <w:jc w:val="center"/>
        <w:rPr>
          <w:i/>
          <w:szCs w:val="24"/>
        </w:rPr>
      </w:pPr>
      <w:r w:rsidRPr="00D60CE5">
        <w:rPr>
          <w:i/>
          <w:szCs w:val="24"/>
        </w:rPr>
        <w:t>rodolfo.rocha87@hotmail.com</w:t>
      </w:r>
    </w:p>
    <w:p w:rsidR="00D60CE5" w:rsidRPr="00D60CE5" w:rsidRDefault="00D60CE5" w:rsidP="00022D88">
      <w:pPr>
        <w:jc w:val="center"/>
        <w:rPr>
          <w:i/>
          <w:szCs w:val="24"/>
        </w:rPr>
      </w:pPr>
    </w:p>
    <w:p w:rsidR="00D60CE5" w:rsidRPr="00D60CE5" w:rsidRDefault="00D60CE5" w:rsidP="00D60CE5">
      <w:pPr>
        <w:jc w:val="center"/>
        <w:rPr>
          <w:b/>
          <w:szCs w:val="24"/>
        </w:rPr>
      </w:pPr>
      <w:r w:rsidRPr="00D60CE5">
        <w:rPr>
          <w:b/>
          <w:szCs w:val="24"/>
        </w:rPr>
        <w:t>José Alonso Borba</w:t>
      </w:r>
    </w:p>
    <w:p w:rsidR="00D60CE5" w:rsidRPr="008339A4" w:rsidRDefault="00D60CE5" w:rsidP="00D60CE5">
      <w:pPr>
        <w:jc w:val="center"/>
        <w:rPr>
          <w:szCs w:val="24"/>
        </w:rPr>
      </w:pPr>
      <w:r>
        <w:rPr>
          <w:szCs w:val="24"/>
        </w:rPr>
        <w:t xml:space="preserve">Universidade Federal de Santa Catarina </w:t>
      </w:r>
      <w:r w:rsidRPr="008339A4">
        <w:rPr>
          <w:szCs w:val="24"/>
        </w:rPr>
        <w:t>(</w:t>
      </w:r>
      <w:r>
        <w:rPr>
          <w:szCs w:val="24"/>
        </w:rPr>
        <w:t>UFSC</w:t>
      </w:r>
      <w:r w:rsidRPr="008339A4">
        <w:rPr>
          <w:szCs w:val="24"/>
        </w:rPr>
        <w:t>)</w:t>
      </w:r>
    </w:p>
    <w:p w:rsidR="00D60CE5" w:rsidRDefault="00D60CE5" w:rsidP="00D60CE5">
      <w:pPr>
        <w:jc w:val="center"/>
        <w:rPr>
          <w:i/>
          <w:szCs w:val="24"/>
        </w:rPr>
      </w:pPr>
      <w:r w:rsidRPr="00022D88">
        <w:rPr>
          <w:i/>
          <w:szCs w:val="24"/>
        </w:rPr>
        <w:t>jalonsoborba@hotmail.com</w:t>
      </w:r>
    </w:p>
    <w:p w:rsidR="00022D88" w:rsidRDefault="00022D88" w:rsidP="002826C0">
      <w:pPr>
        <w:jc w:val="center"/>
        <w:rPr>
          <w:i/>
          <w:szCs w:val="24"/>
        </w:rPr>
      </w:pPr>
    </w:p>
    <w:p w:rsidR="002826C0" w:rsidRPr="00F05FBB" w:rsidRDefault="002826C0" w:rsidP="00307B3B">
      <w:pPr>
        <w:ind w:firstLine="0"/>
        <w:rPr>
          <w:b/>
          <w:color w:val="999999"/>
        </w:rPr>
      </w:pPr>
    </w:p>
    <w:p w:rsidR="002826C0" w:rsidRDefault="002826C0" w:rsidP="002826C0">
      <w:pPr>
        <w:ind w:firstLine="0"/>
        <w:rPr>
          <w:b/>
          <w:szCs w:val="24"/>
        </w:rPr>
      </w:pPr>
      <w:r>
        <w:rPr>
          <w:b/>
          <w:szCs w:val="24"/>
        </w:rPr>
        <w:t>Resumo</w:t>
      </w:r>
      <w:r w:rsidRPr="00D2342D">
        <w:rPr>
          <w:b/>
          <w:szCs w:val="24"/>
        </w:rPr>
        <w:t xml:space="preserve"> </w:t>
      </w:r>
    </w:p>
    <w:p w:rsidR="005A0238" w:rsidRPr="005A0238" w:rsidRDefault="005A0238" w:rsidP="005A0238">
      <w:pPr>
        <w:ind w:firstLine="0"/>
        <w:rPr>
          <w:szCs w:val="24"/>
        </w:rPr>
      </w:pPr>
      <w:r w:rsidRPr="005A0238">
        <w:rPr>
          <w:szCs w:val="24"/>
        </w:rPr>
        <w:t xml:space="preserve">O uso eficiente dos recursos hídricos, bem como os investimentos no setor de saneamento vem sendo discutidos principalmente devido aos efeitos ambientais e sociais que a falta de abastecimento de água e o tratamento de esgoto podem causar a sociedade. O objetivo deste estudo é </w:t>
      </w:r>
      <w:r w:rsidRPr="005A0238">
        <w:rPr>
          <w:color w:val="000000"/>
          <w:szCs w:val="24"/>
        </w:rPr>
        <w:t xml:space="preserve">verificar quais fatores externos afetam a eficiência dos investimentos em saneamento básico das empresas responsáveis por esse setor nos municípios de Santa Catarina. </w:t>
      </w:r>
      <w:r w:rsidRPr="005A0238">
        <w:rPr>
          <w:szCs w:val="24"/>
        </w:rPr>
        <w:t xml:space="preserve">Para medir a eficiência dos investimentos, foi utilizado a </w:t>
      </w:r>
      <w:r w:rsidRPr="005A0238">
        <w:rPr>
          <w:color w:val="000000"/>
          <w:szCs w:val="24"/>
        </w:rPr>
        <w:t>Análise Envoltória de Dados (DEA</w:t>
      </w:r>
      <w:r w:rsidRPr="005A0238">
        <w:rPr>
          <w:szCs w:val="24"/>
        </w:rPr>
        <w:t>) a partir dos dados disponibilizados pelo Sistema Nacional de Informação Sobre Saneamento (SNIS) entre os anos de 2010 a 2013. Após o cálculo da escala de eficiência foi utilizada o</w:t>
      </w:r>
      <w:r w:rsidRPr="005A0238">
        <w:rPr>
          <w:color w:val="000000"/>
          <w:szCs w:val="24"/>
        </w:rPr>
        <w:t xml:space="preserve"> modelo de regressão </w:t>
      </w:r>
      <w:proofErr w:type="spellStart"/>
      <w:r w:rsidRPr="005A0238">
        <w:rPr>
          <w:color w:val="000000"/>
          <w:szCs w:val="24"/>
        </w:rPr>
        <w:t>Tobit</w:t>
      </w:r>
      <w:proofErr w:type="spellEnd"/>
      <w:r w:rsidRPr="005A0238">
        <w:rPr>
          <w:color w:val="000000"/>
          <w:szCs w:val="24"/>
        </w:rPr>
        <w:t xml:space="preserve"> com dados em painel e outro modelo de regressão com efeitos aleatórios, </w:t>
      </w:r>
      <w:r w:rsidRPr="005A0238">
        <w:rPr>
          <w:szCs w:val="24"/>
        </w:rPr>
        <w:t xml:space="preserve">com as variáveis independentes IDHM, PIB e densidade demográfica. Tanto para o </w:t>
      </w:r>
      <w:r w:rsidRPr="005A0238">
        <w:rPr>
          <w:rFonts w:eastAsia="Calibri"/>
          <w:bCs/>
          <w:color w:val="000000"/>
          <w:szCs w:val="24"/>
          <w:lang w:eastAsia="en-US"/>
        </w:rPr>
        <w:t xml:space="preserve">modelo de regressão de efeitos aleatórios com dados em painel, como o modelo </w:t>
      </w:r>
      <w:proofErr w:type="spellStart"/>
      <w:r w:rsidRPr="005A0238">
        <w:rPr>
          <w:rFonts w:eastAsia="Calibri"/>
          <w:bCs/>
          <w:color w:val="000000"/>
          <w:szCs w:val="24"/>
          <w:lang w:eastAsia="en-US"/>
        </w:rPr>
        <w:t>Tobit</w:t>
      </w:r>
      <w:proofErr w:type="spellEnd"/>
      <w:r w:rsidRPr="005A0238">
        <w:rPr>
          <w:rFonts w:eastAsia="Calibri"/>
          <w:bCs/>
          <w:color w:val="000000"/>
          <w:szCs w:val="24"/>
          <w:lang w:eastAsia="en-US"/>
        </w:rPr>
        <w:t xml:space="preserve"> as variáveis densidade demográfica e PIB mostraram uma relação estatisticamente significante com a escala de eficiência construída pelo modelo DEA proposto dos investimentos em saneamento básico das empresas que compuseram a amostra.</w:t>
      </w:r>
    </w:p>
    <w:p w:rsidR="002826C0" w:rsidRPr="005A0238" w:rsidRDefault="002826C0" w:rsidP="002826C0">
      <w:pPr>
        <w:rPr>
          <w:b/>
          <w:szCs w:val="24"/>
        </w:rPr>
      </w:pPr>
    </w:p>
    <w:p w:rsidR="002826C0" w:rsidRDefault="002826C0" w:rsidP="005A0238">
      <w:pPr>
        <w:ind w:firstLine="0"/>
        <w:rPr>
          <w:szCs w:val="24"/>
        </w:rPr>
      </w:pPr>
      <w:r w:rsidRPr="005A0238">
        <w:rPr>
          <w:b/>
          <w:szCs w:val="24"/>
        </w:rPr>
        <w:t xml:space="preserve">Palavras-chave: </w:t>
      </w:r>
      <w:r w:rsidR="005A0238" w:rsidRPr="005A0238">
        <w:rPr>
          <w:szCs w:val="24"/>
        </w:rPr>
        <w:t>Saneamento Básico; Eficiência dos Investimentos; Santa Catarina.</w:t>
      </w:r>
    </w:p>
    <w:p w:rsidR="005A0238" w:rsidRPr="005A0238" w:rsidRDefault="005A0238" w:rsidP="005A0238">
      <w:pPr>
        <w:ind w:firstLine="0"/>
        <w:rPr>
          <w:b/>
          <w:szCs w:val="24"/>
        </w:rPr>
      </w:pPr>
    </w:p>
    <w:p w:rsidR="005A0238" w:rsidRPr="005A0238" w:rsidRDefault="002826C0" w:rsidP="005A0238">
      <w:pPr>
        <w:spacing w:line="276" w:lineRule="auto"/>
        <w:ind w:firstLine="0"/>
        <w:rPr>
          <w:bCs/>
          <w:color w:val="FF0000"/>
          <w:szCs w:val="26"/>
        </w:rPr>
      </w:pPr>
      <w:r w:rsidRPr="004251EF">
        <w:rPr>
          <w:b/>
          <w:szCs w:val="24"/>
        </w:rPr>
        <w:t>Área Temática</w:t>
      </w:r>
      <w:r>
        <w:rPr>
          <w:szCs w:val="24"/>
        </w:rPr>
        <w:t>:</w:t>
      </w:r>
      <w:r w:rsidR="005A0238">
        <w:rPr>
          <w:szCs w:val="24"/>
        </w:rPr>
        <w:t xml:space="preserve"> </w:t>
      </w:r>
      <w:r w:rsidR="005A0238">
        <w:rPr>
          <w:bCs/>
          <w:szCs w:val="26"/>
        </w:rPr>
        <w:t>C</w:t>
      </w:r>
      <w:r w:rsidR="005A0238" w:rsidRPr="005A0238">
        <w:rPr>
          <w:bCs/>
          <w:szCs w:val="26"/>
        </w:rPr>
        <w:t>ontabilidade governamental e do terceiro setor</w:t>
      </w:r>
    </w:p>
    <w:p w:rsidR="002826C0" w:rsidRPr="00D2342D" w:rsidRDefault="002826C0" w:rsidP="002826C0">
      <w:pPr>
        <w:ind w:firstLine="0"/>
        <w:rPr>
          <w:b/>
          <w:szCs w:val="24"/>
        </w:rPr>
      </w:pPr>
    </w:p>
    <w:p w:rsidR="00F05FBB" w:rsidRPr="00D2342D" w:rsidRDefault="00F05FBB" w:rsidP="00F05FBB">
      <w:pPr>
        <w:rPr>
          <w:b/>
          <w:szCs w:val="24"/>
        </w:rPr>
      </w:pPr>
    </w:p>
    <w:p w:rsidR="002056D7" w:rsidRDefault="002056D7" w:rsidP="00307B3B">
      <w:pPr>
        <w:pStyle w:val="Ttulo1"/>
        <w:numPr>
          <w:ilvl w:val="0"/>
          <w:numId w:val="0"/>
        </w:numPr>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AA3FF4" w:rsidRDefault="00E24E18" w:rsidP="002056D7">
      <w:pPr>
        <w:pStyle w:val="Ttulo1"/>
      </w:pPr>
      <w:r w:rsidRPr="00AA3FF4">
        <w:lastRenderedPageBreak/>
        <w:t>INTRODUÇÃO</w:t>
      </w:r>
    </w:p>
    <w:p w:rsidR="00307B3B" w:rsidRPr="00307B3B" w:rsidRDefault="00307B3B" w:rsidP="00307B3B">
      <w:pPr>
        <w:spacing w:line="360" w:lineRule="auto"/>
        <w:rPr>
          <w:szCs w:val="26"/>
        </w:rPr>
      </w:pPr>
      <w:r w:rsidRPr="00307B3B">
        <w:rPr>
          <w:szCs w:val="26"/>
        </w:rPr>
        <w:t xml:space="preserve">O uso eficiente dos recursos hídricos no Brasil vem sendo discutido principalmente devido aos efeitos ambientais e sociais que a falta de abastecimento de água e o tratamento de esgoto podem causar a sociedade. Uma vez que são recursos indispensáveis, a ausência pode causar desequilíbrio, dado que a falta de tratamento pode afetar a qualidade de vida da população, bem como a economia e os recursos ambientais. </w:t>
      </w:r>
    </w:p>
    <w:p w:rsidR="00307B3B" w:rsidRPr="00307B3B" w:rsidRDefault="00307B3B" w:rsidP="00307B3B">
      <w:pPr>
        <w:spacing w:line="360" w:lineRule="auto"/>
        <w:rPr>
          <w:szCs w:val="26"/>
        </w:rPr>
      </w:pPr>
      <w:r w:rsidRPr="00307B3B">
        <w:rPr>
          <w:rFonts w:eastAsia="Calibri"/>
          <w:szCs w:val="26"/>
          <w:lang w:eastAsia="en-US"/>
        </w:rPr>
        <w:t xml:space="preserve">Segundo Sampaio e Sampaio (2007), a escassez de coleta de esgoto ocasiona aumento da poluição e acarreta em diversos problemas socioeconômicos, assim como as externalidades negativas ocasionadas pela ausência de infraestrutura, em grande parte, à falta de investimento no setor que aumenta significativamente os gastos públicos, por exemplo, aumento de internamentos hospitalares pela falta de saneamento básico. </w:t>
      </w:r>
    </w:p>
    <w:p w:rsidR="00307B3B" w:rsidRPr="00307B3B" w:rsidRDefault="00307B3B" w:rsidP="00307B3B">
      <w:pPr>
        <w:spacing w:line="360" w:lineRule="auto"/>
        <w:rPr>
          <w:szCs w:val="26"/>
        </w:rPr>
      </w:pPr>
      <w:r w:rsidRPr="00307B3B">
        <w:rPr>
          <w:szCs w:val="26"/>
        </w:rPr>
        <w:t xml:space="preserve">Historicamente, o investimento em saneamento ocorreu de forma pontual no Brasil, sendo predominantemente realizado pelo setor público. Além disso, soma-se o fato de que a falta de uma definição clara das responsabilidades peculiares à união, estados, distrito federal e municípios tornou difusa a aplicação dos recursos em saneamento, não respeitando uma visão de planejamento global dos investimentos. (LEONETI, PRADO, OLIVEIRA; 2011). </w:t>
      </w:r>
    </w:p>
    <w:p w:rsidR="00307B3B" w:rsidRPr="00307B3B" w:rsidRDefault="00307B3B" w:rsidP="00307B3B">
      <w:pPr>
        <w:spacing w:line="360" w:lineRule="auto"/>
        <w:rPr>
          <w:szCs w:val="26"/>
        </w:rPr>
      </w:pPr>
      <w:r w:rsidRPr="00307B3B">
        <w:rPr>
          <w:color w:val="000000"/>
          <w:szCs w:val="26"/>
        </w:rPr>
        <w:t xml:space="preserve">Assim, de acordo com Carmo e Távora (2003) o saneamento básico brasileiro está sendo estudado a fim de que as empresas responsáveis pelos serviços de água e captação de esgoto sejam modernizadas, seja em âmbito estadual ou municipal, com o propósito de se conhecer a qualidade, amplitude e eficiências desses serviços. </w:t>
      </w:r>
    </w:p>
    <w:p w:rsidR="00307B3B" w:rsidRPr="00307B3B" w:rsidRDefault="00307B3B" w:rsidP="00307B3B">
      <w:pPr>
        <w:spacing w:line="360" w:lineRule="auto"/>
        <w:rPr>
          <w:color w:val="000000"/>
          <w:szCs w:val="26"/>
        </w:rPr>
      </w:pPr>
      <w:proofErr w:type="spellStart"/>
      <w:r w:rsidRPr="00307B3B">
        <w:rPr>
          <w:color w:val="000000"/>
          <w:szCs w:val="26"/>
        </w:rPr>
        <w:t>Paludo</w:t>
      </w:r>
      <w:proofErr w:type="spellEnd"/>
      <w:r w:rsidRPr="00307B3B">
        <w:rPr>
          <w:color w:val="000000"/>
          <w:szCs w:val="26"/>
        </w:rPr>
        <w:t xml:space="preserve"> e Borba (2013) afirmam que há uma contradição no setor de saneamento no estado de Santa Catarina, pois ao mesmo tempo em que a abrangência da rede de água está acima da média nacional, a rede de esgotamento sanitário é uma das piores do Brasil. O estado de Santa Catarina tem um índice de cobertura de abastecimento de água em 85,6% e de apenas 15,5% de esgotamento sanitário, um dos mais baixos do país (SNIS, 2010). </w:t>
      </w:r>
    </w:p>
    <w:p w:rsidR="00307B3B" w:rsidRPr="00307B3B" w:rsidRDefault="00307B3B" w:rsidP="00307B3B">
      <w:pPr>
        <w:spacing w:line="360" w:lineRule="auto"/>
        <w:rPr>
          <w:color w:val="000000"/>
          <w:szCs w:val="26"/>
        </w:rPr>
      </w:pPr>
      <w:r w:rsidRPr="00307B3B">
        <w:rPr>
          <w:color w:val="000000"/>
          <w:szCs w:val="26"/>
        </w:rPr>
        <w:t xml:space="preserve">Para Vieira et al. (2009) são raros os municípios de Santa Catarina que dispõem de sistemas </w:t>
      </w:r>
      <w:r w:rsidRPr="00307B3B">
        <w:rPr>
          <w:color w:val="000000"/>
          <w:szCs w:val="26"/>
        </w:rPr>
        <w:lastRenderedPageBreak/>
        <w:t xml:space="preserve">de efluentes domésticos no setor de saneamento básico, </w:t>
      </w:r>
      <w:r w:rsidRPr="00307B3B">
        <w:rPr>
          <w:szCs w:val="26"/>
        </w:rPr>
        <w:t xml:space="preserve">apesar do abastecimento de água no estado de Santa Catarina ser abrangente a população em comparação aos demais estados brasileiros, ainda assim o tratamento de esgoto é muito baixo. </w:t>
      </w:r>
    </w:p>
    <w:p w:rsidR="00307B3B" w:rsidRPr="00307B3B" w:rsidRDefault="00307B3B" w:rsidP="00307B3B">
      <w:pPr>
        <w:spacing w:line="360" w:lineRule="auto"/>
        <w:rPr>
          <w:color w:val="000000"/>
          <w:szCs w:val="26"/>
        </w:rPr>
      </w:pPr>
      <w:r w:rsidRPr="00307B3B">
        <w:rPr>
          <w:color w:val="000000"/>
          <w:szCs w:val="26"/>
        </w:rPr>
        <w:t>A necessidade de investimento no setor de saneamento requer a aplicação de métodos que possibilitem mensurar o desempenho das empresas responsáveis pelo tratamento, distribuição e coleta de água e esgoto, segundo Galvão (2009) entre as causas que justificam o menor avanço da infraestrutura de saneamento básico é a dependência de elevados investimentos por conta do uso indevido dos recursos públicos, que acarreta na falta de eficácia da infraestrutura instalada.</w:t>
      </w:r>
    </w:p>
    <w:p w:rsidR="00307B3B" w:rsidRPr="00307B3B" w:rsidRDefault="00307B3B" w:rsidP="00307B3B">
      <w:pPr>
        <w:spacing w:line="360" w:lineRule="auto"/>
        <w:rPr>
          <w:color w:val="000000"/>
          <w:szCs w:val="26"/>
        </w:rPr>
      </w:pPr>
      <w:r w:rsidRPr="00307B3B">
        <w:rPr>
          <w:color w:val="000000"/>
          <w:szCs w:val="26"/>
        </w:rPr>
        <w:t xml:space="preserve">O problema de pesquisa do presente trabalho se dispõe a entender quais fatores afetam a eficiência dos investimentos com saneamento básico das empresas responsáveis por esse setor nos municípios de Santa Catarina, tendo em vista que a ineficiência das mesmas pode por ocasionar menor benefício à sociedade e um menor bem-estar social. Dessa maneira, o desconhecimento dos fatores que afetam a eficiência dos investimentos em saneamento básico por parte dessas empresas pode afetar negativamente a sociedade. </w:t>
      </w:r>
    </w:p>
    <w:p w:rsidR="00307B3B" w:rsidRDefault="00307B3B" w:rsidP="00307B3B">
      <w:pPr>
        <w:spacing w:line="360" w:lineRule="auto"/>
        <w:rPr>
          <w:color w:val="000000"/>
          <w:szCs w:val="26"/>
        </w:rPr>
      </w:pPr>
      <w:r w:rsidRPr="00307B3B">
        <w:rPr>
          <w:color w:val="000000"/>
          <w:szCs w:val="26"/>
        </w:rPr>
        <w:t>Para guiar a análise deste problema, elabora-se a seguinte questão de pesquisa: quais os fatores que afetam a eficiência dos investimentos em saneamento básico das empresas responsáveis por essa função nos municípios de Santa Catarina? Assim, este estudo tem como objetivo verificar quais fatores externos afetam a eficiência dos investimentos em saneamento básico das empresas responsáveis por esse setor nos municípios de Santa Catarina. Para tanto, espera-se obter uma escala de eficiência através da construção de um modelo de Análise Envoltória de Dados (DEA) e posteriormente verificar quais os fatores externos que afetam tal eficiência.</w:t>
      </w:r>
    </w:p>
    <w:p w:rsidR="00B50759" w:rsidRPr="00B50759" w:rsidRDefault="00B50759" w:rsidP="00B50759">
      <w:pPr>
        <w:pStyle w:val="Ttulo1"/>
      </w:pPr>
      <w:r w:rsidRPr="00B50759">
        <w:t>REFERENCIAL TEÓRICO</w:t>
      </w:r>
    </w:p>
    <w:p w:rsidR="00B50759" w:rsidRPr="005C2492" w:rsidRDefault="005C2492" w:rsidP="005C2492">
      <w:pPr>
        <w:pStyle w:val="Ttulo2"/>
        <w:spacing w:after="240"/>
        <w:rPr>
          <w:b/>
        </w:rPr>
      </w:pPr>
      <w:r w:rsidRPr="005C2492">
        <w:rPr>
          <w:b/>
          <w:caps w:val="0"/>
        </w:rPr>
        <w:t xml:space="preserve">Investimentos E Características Do Setor De Saneamento </w:t>
      </w:r>
    </w:p>
    <w:p w:rsidR="00B50759" w:rsidRPr="00B50759" w:rsidRDefault="00B50759" w:rsidP="00B50759">
      <w:pPr>
        <w:spacing w:line="360" w:lineRule="auto"/>
        <w:ind w:firstLine="708"/>
        <w:rPr>
          <w:szCs w:val="26"/>
        </w:rPr>
      </w:pPr>
      <w:r w:rsidRPr="00B50759">
        <w:rPr>
          <w:szCs w:val="26"/>
        </w:rPr>
        <w:t xml:space="preserve">De acordo com a FUNASA (2003) grande parte dos investimentos realizados no setor de saneamento são emergenciais e muitas vezes não são bem gerenciados. Para a fundação a problemática em torno dos investimentos no setor são ocasionados pela ausência de políticas para </w:t>
      </w:r>
      <w:r w:rsidRPr="00B50759">
        <w:rPr>
          <w:szCs w:val="26"/>
        </w:rPr>
        <w:lastRenderedPageBreak/>
        <w:t xml:space="preserve">estabelecer uma organização institucional mínima que possa assumir o compromisso de resolução dos problemas de saneamento. Outra razão para falta de investimentos é a carência de recursos (predominantemente em municípios de pequeno e médio portes) e de técnicos capacitados que auxiliem as prefeituras na organização e manutenção dos sistemas de água e de esgoto. </w:t>
      </w:r>
    </w:p>
    <w:p w:rsidR="00B50759" w:rsidRPr="00B50759" w:rsidRDefault="00B50759" w:rsidP="00B50759">
      <w:pPr>
        <w:pStyle w:val="Default"/>
        <w:spacing w:line="360" w:lineRule="auto"/>
        <w:ind w:firstLine="708"/>
        <w:jc w:val="both"/>
        <w:rPr>
          <w:rFonts w:ascii="Times New Roman" w:hAnsi="Times New Roman" w:cs="Times New Roman"/>
          <w:color w:val="auto"/>
          <w:szCs w:val="26"/>
        </w:rPr>
      </w:pPr>
      <w:r w:rsidRPr="00B50759">
        <w:rPr>
          <w:rFonts w:ascii="Times New Roman" w:hAnsi="Times New Roman" w:cs="Times New Roman"/>
          <w:szCs w:val="26"/>
        </w:rPr>
        <w:t xml:space="preserve">Segundo Conforto (2000) a </w:t>
      </w:r>
      <w:r w:rsidRPr="00B50759">
        <w:rPr>
          <w:rFonts w:ascii="Times New Roman" w:hAnsi="Times New Roman" w:cs="Times New Roman"/>
          <w:color w:val="auto"/>
          <w:szCs w:val="26"/>
        </w:rPr>
        <w:t xml:space="preserve">indefinição das questões fundamentais no ordenamento jurídico-legal do setor de saneamento dificulta a modernização e maximização da qualidade dos serviços, e também o favorecimento de investimentos para o setor. Para o autor essas indefinições dificultam </w:t>
      </w:r>
      <w:r w:rsidRPr="00B50759">
        <w:rPr>
          <w:szCs w:val="26"/>
        </w:rPr>
        <w:t>os processos de</w:t>
      </w:r>
      <w:r w:rsidRPr="00B50759">
        <w:rPr>
          <w:rFonts w:ascii="Times New Roman" w:hAnsi="Times New Roman" w:cs="Times New Roman"/>
          <w:color w:val="auto"/>
          <w:szCs w:val="26"/>
        </w:rPr>
        <w:t xml:space="preserve"> concessões a empresas privadas, a desestatização ou municipalização das companhias estaduais, permitindo que os municípios concedam os serviços locais de água e esgoto através de contratos falhos, inadequados ou insuficientes em relação qualidade dos serviços. </w:t>
      </w:r>
    </w:p>
    <w:p w:rsidR="00B50759" w:rsidRPr="00B50759" w:rsidRDefault="00B50759" w:rsidP="00B50759">
      <w:pPr>
        <w:pStyle w:val="Default"/>
        <w:spacing w:line="360" w:lineRule="auto"/>
        <w:ind w:firstLine="708"/>
        <w:jc w:val="both"/>
        <w:rPr>
          <w:szCs w:val="26"/>
        </w:rPr>
      </w:pPr>
      <w:r w:rsidRPr="00B50759">
        <w:rPr>
          <w:szCs w:val="26"/>
        </w:rPr>
        <w:t>As justificativas para uma pequena evolução na infraestrutura de saneamento básico é sua dependência com elevados investimentos, resultantes da falta de articulação intergovernamental e políticas públicas do setor (GALVÃO, 2009).</w:t>
      </w:r>
      <w:r w:rsidRPr="00B50759">
        <w:rPr>
          <w:sz w:val="22"/>
        </w:rPr>
        <w:t xml:space="preserve"> </w:t>
      </w:r>
      <w:r w:rsidRPr="00B50759">
        <w:rPr>
          <w:szCs w:val="26"/>
        </w:rPr>
        <w:t xml:space="preserve"> Ainda segundo o autor a escassez de recursos para investimentos juntamente com o processo de término de contratos de concessão, acarretou durante os anos 90 em disputas em torno da titularidade dos municípios brasileiros para prestação dos serviços de saneamento.</w:t>
      </w:r>
    </w:p>
    <w:p w:rsidR="005C2492" w:rsidRDefault="00B50759" w:rsidP="005C2492">
      <w:pPr>
        <w:spacing w:line="360" w:lineRule="auto"/>
        <w:rPr>
          <w:color w:val="000000"/>
          <w:szCs w:val="26"/>
        </w:rPr>
      </w:pPr>
      <w:r w:rsidRPr="00B50759">
        <w:rPr>
          <w:szCs w:val="26"/>
        </w:rPr>
        <w:t xml:space="preserve"> O processo de municipalização dos serviços de abastecimento de água e esgotamento está incluído na perspectiva do estado de Santa Catarina, uma vez que segundo </w:t>
      </w:r>
      <w:proofErr w:type="spellStart"/>
      <w:r w:rsidRPr="00B50759">
        <w:rPr>
          <w:szCs w:val="26"/>
        </w:rPr>
        <w:t>Paludo</w:t>
      </w:r>
      <w:proofErr w:type="spellEnd"/>
      <w:r w:rsidRPr="00B50759">
        <w:rPr>
          <w:szCs w:val="26"/>
        </w:rPr>
        <w:t xml:space="preserve"> e Borba (2013)  grande parte dos contratos de concessões no estado eram realizados com a </w:t>
      </w:r>
      <w:r w:rsidRPr="00B50759">
        <w:rPr>
          <w:color w:val="000000"/>
          <w:szCs w:val="26"/>
        </w:rPr>
        <w:t xml:space="preserve">Companhia de Águas e Saneamento (CASAN) e venceram os prazos e não houve renovação por parte dos municípios, os mesmos criaram então suas próprias autarquias chamadas de Serviço Autônomo Municipal de Água e Esgoto (SAMAE), terceirizando assim totalmente ou parcialmente os serviços de água e esgoto, ou ainda realizaram concessões com empresas privadas. </w:t>
      </w:r>
    </w:p>
    <w:p w:rsidR="008C18C9" w:rsidRDefault="008C18C9" w:rsidP="005C2492">
      <w:pPr>
        <w:spacing w:line="360" w:lineRule="auto"/>
        <w:rPr>
          <w:color w:val="000000"/>
          <w:szCs w:val="26"/>
        </w:rPr>
      </w:pPr>
    </w:p>
    <w:p w:rsidR="00B50759" w:rsidRPr="005C2492" w:rsidRDefault="005C2492" w:rsidP="005C2492">
      <w:pPr>
        <w:pStyle w:val="Ttulo2"/>
        <w:spacing w:before="240"/>
        <w:rPr>
          <w:b/>
          <w:color w:val="000000"/>
        </w:rPr>
      </w:pPr>
      <w:r w:rsidRPr="005C2492">
        <w:rPr>
          <w:b/>
          <w:caps w:val="0"/>
        </w:rPr>
        <w:lastRenderedPageBreak/>
        <w:t xml:space="preserve">Estudos Anteriores </w:t>
      </w:r>
    </w:p>
    <w:p w:rsidR="00B50759" w:rsidRPr="00B50759" w:rsidRDefault="00B50759" w:rsidP="005C2492">
      <w:pPr>
        <w:spacing w:before="240" w:line="360" w:lineRule="auto"/>
        <w:rPr>
          <w:szCs w:val="26"/>
        </w:rPr>
      </w:pPr>
      <w:r w:rsidRPr="00B50759">
        <w:rPr>
          <w:szCs w:val="26"/>
        </w:rPr>
        <w:t xml:space="preserve">Alguns estudos anteriores procuraram investigar a eficiência dos serviços de saneamento básico, como o estudo de </w:t>
      </w:r>
      <w:proofErr w:type="spellStart"/>
      <w:r w:rsidRPr="00B50759">
        <w:rPr>
          <w:szCs w:val="26"/>
        </w:rPr>
        <w:t>Brettenny</w:t>
      </w:r>
      <w:proofErr w:type="spellEnd"/>
      <w:r w:rsidRPr="00B50759">
        <w:rPr>
          <w:szCs w:val="26"/>
        </w:rPr>
        <w:t xml:space="preserve"> e Sharp (2016) que utilizou a metodologia de análise envoltória de dados para avaliar a eficiência dos serviços de água e esgoto das áreas urbanas e rurais da África do Sul, visto que o país introduziu sistemas de avaliação para melhoramento da qualidade dos serviços de água e saneamento. De modo geral os resultados do estudo indicam que os municípios investigados têm desempenho adequado em termos de eficiência técnicos relativos.</w:t>
      </w:r>
    </w:p>
    <w:p w:rsidR="00B50759" w:rsidRPr="00B50759" w:rsidRDefault="00B50759" w:rsidP="00B50759">
      <w:pPr>
        <w:spacing w:line="360" w:lineRule="auto"/>
        <w:rPr>
          <w:szCs w:val="26"/>
        </w:rPr>
      </w:pPr>
      <w:r w:rsidRPr="00B50759">
        <w:rPr>
          <w:szCs w:val="26"/>
        </w:rPr>
        <w:t xml:space="preserve">Já o estudo de </w:t>
      </w:r>
      <w:proofErr w:type="spellStart"/>
      <w:r w:rsidRPr="00B50759">
        <w:rPr>
          <w:szCs w:val="26"/>
        </w:rPr>
        <w:t>M</w:t>
      </w:r>
      <w:r w:rsidRPr="00B50759">
        <w:rPr>
          <w:rFonts w:eastAsia="Calibri"/>
          <w:szCs w:val="26"/>
          <w:lang w:eastAsia="en-US"/>
        </w:rPr>
        <w:t>olinos-Senante</w:t>
      </w:r>
      <w:proofErr w:type="spellEnd"/>
      <w:r w:rsidRPr="00B50759">
        <w:rPr>
          <w:rFonts w:eastAsia="Calibri"/>
          <w:szCs w:val="26"/>
          <w:lang w:eastAsia="en-US"/>
        </w:rPr>
        <w:t xml:space="preserve"> et al.</w:t>
      </w:r>
      <w:r w:rsidRPr="00B50759">
        <w:rPr>
          <w:szCs w:val="26"/>
        </w:rPr>
        <w:t xml:space="preserve"> (2016) teve como proposito investigar o papel da qualidade do serviço aos clientes na avaliação da eficiência das empresas de água na Inglaterra e no País de Gales. Os achados do artigo indicam que a avaliação da eficiência tradicional revela um elevado nível de eficiência técnica, sugerindo que a companhias da água ingleses e galês é maduro e que um dos desafios que elas enfrentam é melhorar a qualidade do serviço. </w:t>
      </w:r>
    </w:p>
    <w:p w:rsidR="00B50759" w:rsidRPr="00B50759" w:rsidRDefault="00B50759" w:rsidP="00B50759">
      <w:pPr>
        <w:spacing w:line="360" w:lineRule="auto"/>
        <w:rPr>
          <w:rFonts w:cs="LBIBIM+TimesNewRoman"/>
          <w:color w:val="000000"/>
          <w:szCs w:val="26"/>
        </w:rPr>
      </w:pPr>
      <w:r w:rsidRPr="00B50759">
        <w:rPr>
          <w:szCs w:val="26"/>
        </w:rPr>
        <w:t xml:space="preserve">Em panorama nacional o estudo de Carmo e Távora (2003) teve como objetivo avaliar a eficiência de 26 </w:t>
      </w:r>
      <w:proofErr w:type="spellStart"/>
      <w:r w:rsidRPr="00B50759">
        <w:rPr>
          <w:szCs w:val="26"/>
        </w:rPr>
        <w:t>CESBs</w:t>
      </w:r>
      <w:proofErr w:type="spellEnd"/>
      <w:r w:rsidRPr="00B50759">
        <w:rPr>
          <w:szCs w:val="26"/>
        </w:rPr>
        <w:t xml:space="preserve"> (Companhias Estaduais de Saneamento Básico) do Brasil, com dados do ano de 2000 retirados do </w:t>
      </w:r>
      <w:r w:rsidRPr="00B50759">
        <w:rPr>
          <w:color w:val="000000"/>
          <w:szCs w:val="26"/>
        </w:rPr>
        <w:t xml:space="preserve">SNIS (Sistema Nacional de Informações sobre Saneamento). </w:t>
      </w:r>
      <w:r w:rsidRPr="00B50759">
        <w:rPr>
          <w:rFonts w:cs="LBIBIM+TimesNewRoman"/>
          <w:color w:val="000000"/>
          <w:szCs w:val="26"/>
        </w:rPr>
        <w:t xml:space="preserve">As companhias estaduais de saneamento básico, de um modo geral apresentaram bons resultados nos dois modelos DEA apresentados pelos autores. </w:t>
      </w:r>
    </w:p>
    <w:p w:rsidR="00B50759" w:rsidRPr="00B50759" w:rsidRDefault="00B50759" w:rsidP="00B50759">
      <w:pPr>
        <w:spacing w:line="360" w:lineRule="auto"/>
        <w:rPr>
          <w:color w:val="000000"/>
          <w:szCs w:val="26"/>
        </w:rPr>
      </w:pPr>
      <w:r w:rsidRPr="00B50759">
        <w:rPr>
          <w:rFonts w:cs="LBIBIM+TimesNewRoman"/>
          <w:color w:val="000000"/>
          <w:szCs w:val="26"/>
        </w:rPr>
        <w:t xml:space="preserve">O estudo de </w:t>
      </w:r>
      <w:proofErr w:type="spellStart"/>
      <w:r w:rsidRPr="00B50759">
        <w:rPr>
          <w:rFonts w:cs="LBIBIM+TimesNewRoman"/>
          <w:color w:val="000000"/>
          <w:szCs w:val="26"/>
        </w:rPr>
        <w:t>Tupper</w:t>
      </w:r>
      <w:proofErr w:type="spellEnd"/>
      <w:r w:rsidRPr="00B50759">
        <w:rPr>
          <w:rFonts w:cs="LBIBIM+TimesNewRoman"/>
          <w:color w:val="000000"/>
          <w:szCs w:val="26"/>
        </w:rPr>
        <w:t xml:space="preserve"> e Resende (2004) por sua vez investigou a eficiência das empresas de água e esgoto brasileiras entre os anos de 1996 a 2000. E entre as conclusões dos autores estão de que os scores de eficiência relativos estão limitados pela regulamentação básica do setor de saneamento brasileiro.   </w:t>
      </w:r>
    </w:p>
    <w:p w:rsidR="00B50759" w:rsidRPr="00B50759" w:rsidRDefault="00B50759" w:rsidP="00B50759">
      <w:pPr>
        <w:spacing w:line="360" w:lineRule="auto"/>
        <w:rPr>
          <w:color w:val="000000"/>
          <w:szCs w:val="26"/>
        </w:rPr>
      </w:pPr>
      <w:r w:rsidRPr="00B50759">
        <w:rPr>
          <w:color w:val="000000"/>
          <w:szCs w:val="26"/>
        </w:rPr>
        <w:t>Já o estudo de Motta e Moreira (2006) teve como um dos objetivos analisar o desempenho dos serviços de saneamento no Brasil, considerando-se o seu âmbito territorial (estadual ou municipal) e da natureza da sua gestão (pública ou privada). Entre as principais conclusões do estudo estão que as evidências encontradas neste estudo sugerem que na ausência de incentivos de eficiência, os operadores dissipam seu potencial de produtividade aplicando tarifas mais altas.</w:t>
      </w:r>
    </w:p>
    <w:p w:rsidR="00B50759" w:rsidRPr="00B50759" w:rsidRDefault="00B50759" w:rsidP="00B50759">
      <w:pPr>
        <w:spacing w:line="360" w:lineRule="auto"/>
        <w:rPr>
          <w:szCs w:val="26"/>
        </w:rPr>
      </w:pPr>
      <w:r w:rsidRPr="00B50759">
        <w:rPr>
          <w:szCs w:val="26"/>
        </w:rPr>
        <w:lastRenderedPageBreak/>
        <w:t xml:space="preserve">Já o estudo de Faria, </w:t>
      </w:r>
      <w:proofErr w:type="spellStart"/>
      <w:r w:rsidRPr="00B50759">
        <w:rPr>
          <w:szCs w:val="26"/>
        </w:rPr>
        <w:t>Jannuzzi</w:t>
      </w:r>
      <w:proofErr w:type="spellEnd"/>
      <w:r w:rsidRPr="00B50759">
        <w:rPr>
          <w:szCs w:val="26"/>
        </w:rPr>
        <w:t xml:space="preserve"> e Silva (2008) teve como proposito analisar a relação existente entre as despesas sociais nos municípios – isto é, os gastos públicos com educação e cultura, saúde e saneamento – e indicadores da condição de vida da população residente ao final dos anos de 1990.  Assim, entre os achados estão que a eficiência não está relacionada à disponibilidade maior ou menor de recursos, mas uma maior eficiência dos gastos deve proporcionar melhores resultados das políticas públicas.</w:t>
      </w:r>
    </w:p>
    <w:p w:rsidR="00B50759" w:rsidRPr="00B50759" w:rsidRDefault="00B50759" w:rsidP="00B50759">
      <w:pPr>
        <w:spacing w:line="360" w:lineRule="auto"/>
        <w:rPr>
          <w:szCs w:val="26"/>
        </w:rPr>
      </w:pPr>
      <w:proofErr w:type="spellStart"/>
      <w:r w:rsidRPr="00B50759">
        <w:rPr>
          <w:szCs w:val="26"/>
        </w:rPr>
        <w:t>Scaratti</w:t>
      </w:r>
      <w:proofErr w:type="spellEnd"/>
      <w:r w:rsidRPr="00B50759">
        <w:rPr>
          <w:szCs w:val="26"/>
        </w:rPr>
        <w:t xml:space="preserve"> e </w:t>
      </w:r>
      <w:proofErr w:type="spellStart"/>
      <w:r w:rsidRPr="00B50759">
        <w:rPr>
          <w:szCs w:val="26"/>
        </w:rPr>
        <w:t>Michelon</w:t>
      </w:r>
      <w:proofErr w:type="spellEnd"/>
      <w:r w:rsidRPr="00B50759">
        <w:rPr>
          <w:szCs w:val="26"/>
        </w:rPr>
        <w:t xml:space="preserve"> (2013) avaliaram 53 municípios prestadores de abastecimento de água potável e esgotamento sanitário com populações entre 50 mil e 100 mil habitantes, os dados foram retirados do SINIS. Pelo uso do método DEA a pesquisa utilizou 33 indicadores de desempenho, são estes: perspectivas de clientes, mercado, conformidade dos produtos e situação econômico-financeira.</w:t>
      </w:r>
    </w:p>
    <w:p w:rsidR="00B50759" w:rsidRPr="00B50759" w:rsidRDefault="00B50759" w:rsidP="00B50759">
      <w:pPr>
        <w:spacing w:line="360" w:lineRule="auto"/>
        <w:rPr>
          <w:szCs w:val="26"/>
        </w:rPr>
      </w:pPr>
      <w:r w:rsidRPr="00B50759">
        <w:rPr>
          <w:szCs w:val="26"/>
        </w:rPr>
        <w:t xml:space="preserve">A pesquisa de Hora et al. (2015), por vez, teve como objetivo a avaliação da eficiência dos serviços de saneamento básico nos municípios do estado do Rio de Janeiro, verificando as hipóteses sobre a correlação da eficiência com a renda do município, a concentração da população em zona urbana ou rural e a proximidade do município com a capital Rio de Janeiro. Entre os achados do estudo estão que resultados apontam que nem sempre a proximidade com a capital é relevante para a eficiência dos serviços de água e esgoto.  </w:t>
      </w:r>
    </w:p>
    <w:p w:rsidR="00B50759" w:rsidRPr="00B50759" w:rsidRDefault="00B50759" w:rsidP="005C2492">
      <w:pPr>
        <w:pStyle w:val="Ttulo1"/>
      </w:pPr>
      <w:r w:rsidRPr="00B50759">
        <w:t xml:space="preserve">ASPECTOS METODOLÓGICOS </w:t>
      </w:r>
    </w:p>
    <w:p w:rsidR="00B50759" w:rsidRPr="00B50759" w:rsidRDefault="00B50759" w:rsidP="00B50759">
      <w:pPr>
        <w:spacing w:line="360" w:lineRule="auto"/>
        <w:rPr>
          <w:color w:val="000000"/>
          <w:szCs w:val="26"/>
        </w:rPr>
      </w:pPr>
      <w:r w:rsidRPr="00B50759">
        <w:rPr>
          <w:color w:val="000000"/>
          <w:szCs w:val="26"/>
        </w:rPr>
        <w:t xml:space="preserve">A metodologia da presente pesquisa está dividida em duas etapas. A primeira corresponde a Análise Envoltória de Dados (DEA) para obtenção dos índices de eficiência dos investimentos das prestadoras de saneamento do estado de Santa Catarina. Em seguida, realizou-se dois modelos de regressão, um modelo de regressão </w:t>
      </w:r>
      <w:proofErr w:type="spellStart"/>
      <w:r w:rsidRPr="00B50759">
        <w:rPr>
          <w:color w:val="000000"/>
          <w:szCs w:val="26"/>
        </w:rPr>
        <w:t>Tobit</w:t>
      </w:r>
      <w:proofErr w:type="spellEnd"/>
      <w:r w:rsidRPr="00B50759">
        <w:rPr>
          <w:color w:val="000000"/>
          <w:szCs w:val="26"/>
        </w:rPr>
        <w:t xml:space="preserve"> com dados em painel e outro modelo de regressão com efeitos aleatórios.</w:t>
      </w:r>
    </w:p>
    <w:p w:rsidR="00B50759" w:rsidRPr="00B50759" w:rsidRDefault="00B50759" w:rsidP="00B50759">
      <w:pPr>
        <w:spacing w:line="360" w:lineRule="auto"/>
        <w:rPr>
          <w:color w:val="000000"/>
          <w:szCs w:val="26"/>
        </w:rPr>
      </w:pPr>
    </w:p>
    <w:p w:rsidR="00B50759" w:rsidRPr="00B50759" w:rsidRDefault="00B50759" w:rsidP="00B50759">
      <w:pPr>
        <w:spacing w:line="360" w:lineRule="auto"/>
        <w:rPr>
          <w:color w:val="000000"/>
          <w:szCs w:val="26"/>
        </w:rPr>
      </w:pPr>
    </w:p>
    <w:p w:rsidR="00C13D28" w:rsidRPr="00AD5EAC" w:rsidRDefault="00C13D28" w:rsidP="00B50759">
      <w:pPr>
        <w:rPr>
          <w:b/>
          <w:szCs w:val="26"/>
        </w:rPr>
      </w:pPr>
    </w:p>
    <w:p w:rsidR="00AD5EAC" w:rsidRPr="00AD5EAC" w:rsidRDefault="00AD5EAC" w:rsidP="00AD5EAC">
      <w:pPr>
        <w:pStyle w:val="Ttulo2"/>
        <w:rPr>
          <w:b/>
        </w:rPr>
      </w:pPr>
      <w:r w:rsidRPr="00AD5EAC">
        <w:rPr>
          <w:b/>
          <w:caps w:val="0"/>
        </w:rPr>
        <w:lastRenderedPageBreak/>
        <w:t>Análise Envoltória De Dados</w:t>
      </w:r>
    </w:p>
    <w:p w:rsidR="0045463A" w:rsidRPr="00AD5EAC" w:rsidRDefault="0045463A" w:rsidP="00B50759">
      <w:pPr>
        <w:rPr>
          <w:b/>
          <w:sz w:val="22"/>
          <w:szCs w:val="26"/>
        </w:rPr>
      </w:pPr>
    </w:p>
    <w:p w:rsidR="0045463A" w:rsidRPr="00AD5EAC" w:rsidRDefault="0045463A" w:rsidP="0045463A">
      <w:pPr>
        <w:spacing w:line="360" w:lineRule="auto"/>
        <w:rPr>
          <w:color w:val="000000"/>
          <w:szCs w:val="26"/>
        </w:rPr>
      </w:pPr>
      <w:r w:rsidRPr="00AD5EAC">
        <w:rPr>
          <w:color w:val="000000"/>
          <w:szCs w:val="26"/>
        </w:rPr>
        <w:t xml:space="preserve">Conforme </w:t>
      </w:r>
      <w:proofErr w:type="spellStart"/>
      <w:r w:rsidRPr="00AD5EAC">
        <w:rPr>
          <w:color w:val="000000"/>
          <w:szCs w:val="26"/>
        </w:rPr>
        <w:t>Tupper</w:t>
      </w:r>
      <w:proofErr w:type="spellEnd"/>
      <w:r w:rsidRPr="00AD5EAC">
        <w:rPr>
          <w:color w:val="000000"/>
          <w:szCs w:val="26"/>
        </w:rPr>
        <w:t xml:space="preserve"> e Resende (2004) uma abordagem para a medição da eficiência foi proposta por </w:t>
      </w:r>
      <w:proofErr w:type="spellStart"/>
      <w:r w:rsidRPr="00AD5EAC">
        <w:rPr>
          <w:color w:val="000000"/>
          <w:szCs w:val="26"/>
        </w:rPr>
        <w:t>Charnes</w:t>
      </w:r>
      <w:proofErr w:type="spellEnd"/>
      <w:r w:rsidRPr="00AD5EAC">
        <w:rPr>
          <w:color w:val="000000"/>
          <w:szCs w:val="26"/>
        </w:rPr>
        <w:t>, Cooper &amp; Rhodes CCR (1978). O modelo DEA (</w:t>
      </w:r>
      <w:r w:rsidRPr="00AD5EAC">
        <w:rPr>
          <w:i/>
          <w:color w:val="000000"/>
          <w:szCs w:val="26"/>
        </w:rPr>
        <w:t xml:space="preserve">Data </w:t>
      </w:r>
      <w:proofErr w:type="spellStart"/>
      <w:r w:rsidRPr="00AD5EAC">
        <w:rPr>
          <w:i/>
          <w:color w:val="000000"/>
          <w:szCs w:val="26"/>
        </w:rPr>
        <w:t>Envelopment</w:t>
      </w:r>
      <w:proofErr w:type="spellEnd"/>
      <w:r w:rsidRPr="00AD5EAC">
        <w:rPr>
          <w:i/>
          <w:color w:val="000000"/>
          <w:szCs w:val="26"/>
        </w:rPr>
        <w:t xml:space="preserve"> </w:t>
      </w:r>
      <w:proofErr w:type="spellStart"/>
      <w:r w:rsidRPr="00AD5EAC">
        <w:rPr>
          <w:i/>
          <w:color w:val="000000"/>
          <w:szCs w:val="26"/>
        </w:rPr>
        <w:t>Analysis</w:t>
      </w:r>
      <w:proofErr w:type="spellEnd"/>
      <w:r w:rsidRPr="00AD5EAC">
        <w:rPr>
          <w:i/>
          <w:color w:val="000000"/>
          <w:szCs w:val="26"/>
        </w:rPr>
        <w:t xml:space="preserve">), </w:t>
      </w:r>
      <w:r w:rsidRPr="00AD5EAC">
        <w:rPr>
          <w:color w:val="000000"/>
          <w:szCs w:val="26"/>
        </w:rPr>
        <w:t xml:space="preserve">também chamado de Análise Envoltória de Dados segundo os autores </w:t>
      </w:r>
      <w:proofErr w:type="spellStart"/>
      <w:r w:rsidRPr="00AD5EAC">
        <w:rPr>
          <w:color w:val="000000"/>
          <w:szCs w:val="26"/>
        </w:rPr>
        <w:t>Scaratti</w:t>
      </w:r>
      <w:proofErr w:type="spellEnd"/>
      <w:r w:rsidRPr="00AD5EAC">
        <w:rPr>
          <w:color w:val="000000"/>
          <w:szCs w:val="26"/>
        </w:rPr>
        <w:t xml:space="preserve">, </w:t>
      </w:r>
      <w:proofErr w:type="spellStart"/>
      <w:r w:rsidRPr="00AD5EAC">
        <w:rPr>
          <w:color w:val="000000"/>
          <w:szCs w:val="26"/>
        </w:rPr>
        <w:t>Michelo</w:t>
      </w:r>
      <w:proofErr w:type="spellEnd"/>
      <w:r w:rsidRPr="00AD5EAC">
        <w:rPr>
          <w:color w:val="000000"/>
          <w:szCs w:val="26"/>
        </w:rPr>
        <w:t xml:space="preserve"> e </w:t>
      </w:r>
      <w:proofErr w:type="spellStart"/>
      <w:r w:rsidRPr="00AD5EAC">
        <w:rPr>
          <w:color w:val="000000"/>
          <w:szCs w:val="26"/>
        </w:rPr>
        <w:t>Scaratti</w:t>
      </w:r>
      <w:proofErr w:type="spellEnd"/>
      <w:r w:rsidRPr="00AD5EAC">
        <w:rPr>
          <w:color w:val="000000"/>
          <w:szCs w:val="26"/>
        </w:rPr>
        <w:t xml:space="preserve"> (2013) avalia a alocação eficiente de recursos em produtividade e eficiência técnica, e a qualidade da gestão de serviços em diversas áreas. </w:t>
      </w:r>
    </w:p>
    <w:p w:rsidR="0045463A" w:rsidRPr="00AD5EAC" w:rsidRDefault="0045463A" w:rsidP="0045463A">
      <w:pPr>
        <w:spacing w:line="360" w:lineRule="auto"/>
        <w:rPr>
          <w:color w:val="000000"/>
          <w:szCs w:val="26"/>
        </w:rPr>
      </w:pPr>
      <w:r w:rsidRPr="00AD5EAC">
        <w:rPr>
          <w:color w:val="000000"/>
          <w:szCs w:val="26"/>
        </w:rPr>
        <w:t xml:space="preserve">A metodologia DEA utilizada para medir a eficiência, funciona a partir de um sistema de entradas e saídas, os </w:t>
      </w:r>
      <w:r w:rsidRPr="00AD5EAC">
        <w:rPr>
          <w:i/>
          <w:color w:val="000000"/>
          <w:szCs w:val="26"/>
        </w:rPr>
        <w:t xml:space="preserve">inputs </w:t>
      </w:r>
      <w:r w:rsidRPr="00AD5EAC">
        <w:rPr>
          <w:color w:val="000000"/>
          <w:szCs w:val="26"/>
        </w:rPr>
        <w:t xml:space="preserve">(entradas) correspondem os recursos empregados, já os </w:t>
      </w:r>
      <w:r w:rsidRPr="00AD5EAC">
        <w:rPr>
          <w:i/>
          <w:color w:val="000000"/>
          <w:szCs w:val="26"/>
        </w:rPr>
        <w:t>outputs</w:t>
      </w:r>
      <w:r w:rsidRPr="00AD5EAC">
        <w:rPr>
          <w:color w:val="000000"/>
          <w:szCs w:val="26"/>
        </w:rPr>
        <w:t xml:space="preserve"> (saídas) os produtos gerados das Unidades Tomadoras de Decisão (</w:t>
      </w:r>
      <w:proofErr w:type="spellStart"/>
      <w:r w:rsidRPr="00AD5EAC">
        <w:rPr>
          <w:color w:val="000000"/>
          <w:szCs w:val="26"/>
        </w:rPr>
        <w:t>DUMs</w:t>
      </w:r>
      <w:proofErr w:type="spellEnd"/>
      <w:r w:rsidRPr="00AD5EAC">
        <w:rPr>
          <w:color w:val="000000"/>
          <w:szCs w:val="26"/>
        </w:rPr>
        <w:t xml:space="preserve"> – </w:t>
      </w:r>
      <w:proofErr w:type="spellStart"/>
      <w:r w:rsidRPr="00AD5EAC">
        <w:rPr>
          <w:color w:val="000000"/>
          <w:szCs w:val="26"/>
        </w:rPr>
        <w:t>Decision</w:t>
      </w:r>
      <w:proofErr w:type="spellEnd"/>
      <w:r w:rsidRPr="00AD5EAC">
        <w:rPr>
          <w:color w:val="000000"/>
          <w:szCs w:val="26"/>
        </w:rPr>
        <w:t xml:space="preserve"> </w:t>
      </w:r>
      <w:proofErr w:type="spellStart"/>
      <w:r w:rsidRPr="00AD5EAC">
        <w:rPr>
          <w:color w:val="000000"/>
          <w:szCs w:val="26"/>
        </w:rPr>
        <w:t>Making</w:t>
      </w:r>
      <w:proofErr w:type="spellEnd"/>
      <w:r w:rsidRPr="00AD5EAC">
        <w:rPr>
          <w:color w:val="000000"/>
          <w:szCs w:val="26"/>
        </w:rPr>
        <w:t xml:space="preserve"> Unit) (BARBOSA; BASTOS, 2014).</w:t>
      </w:r>
    </w:p>
    <w:p w:rsidR="0045463A" w:rsidRPr="00AD5EAC" w:rsidRDefault="0045463A" w:rsidP="0045463A">
      <w:pPr>
        <w:spacing w:line="360" w:lineRule="auto"/>
        <w:rPr>
          <w:color w:val="000000"/>
          <w:szCs w:val="26"/>
        </w:rPr>
      </w:pPr>
      <w:r w:rsidRPr="00AD5EAC">
        <w:rPr>
          <w:color w:val="000000"/>
          <w:szCs w:val="26"/>
        </w:rPr>
        <w:t xml:space="preserve">Através do método DEA os resultados de eficiência são apresentados com valores de 0 a 1 para cada uma das </w:t>
      </w:r>
      <w:proofErr w:type="spellStart"/>
      <w:r w:rsidRPr="00AD5EAC">
        <w:rPr>
          <w:color w:val="000000"/>
          <w:szCs w:val="26"/>
        </w:rPr>
        <w:t>DMUs</w:t>
      </w:r>
      <w:proofErr w:type="spellEnd"/>
      <w:r w:rsidRPr="00AD5EAC">
        <w:rPr>
          <w:color w:val="000000"/>
          <w:szCs w:val="26"/>
        </w:rPr>
        <w:t xml:space="preserve">, “o método aponta aquelas que apresentam escore igual a 1 e que serão consideradas os </w:t>
      </w:r>
      <w:r w:rsidRPr="00AD5EAC">
        <w:rPr>
          <w:i/>
          <w:color w:val="000000"/>
          <w:szCs w:val="26"/>
        </w:rPr>
        <w:t>benchmarkings</w:t>
      </w:r>
      <w:r w:rsidRPr="00AD5EAC">
        <w:rPr>
          <w:color w:val="000000"/>
          <w:szCs w:val="26"/>
        </w:rPr>
        <w:t>, aquelas que apresentam uma eficiência inferior são relativamente ineficientes” (SANTOS; FREITAS; FLACH, 2015, p.6)</w:t>
      </w:r>
    </w:p>
    <w:p w:rsidR="0045463A" w:rsidRPr="00AD5EAC" w:rsidRDefault="0045463A" w:rsidP="0045463A">
      <w:pPr>
        <w:spacing w:line="360" w:lineRule="auto"/>
        <w:rPr>
          <w:color w:val="000000"/>
          <w:szCs w:val="26"/>
        </w:rPr>
      </w:pPr>
      <w:r w:rsidRPr="00AD5EAC">
        <w:rPr>
          <w:color w:val="000000"/>
          <w:szCs w:val="26"/>
        </w:rPr>
        <w:t>Para a metodologia DEA existem dois modelos que se destacam, um deles é o CCR (</w:t>
      </w:r>
      <w:proofErr w:type="spellStart"/>
      <w:r w:rsidRPr="00AD5EAC">
        <w:rPr>
          <w:i/>
          <w:color w:val="000000"/>
          <w:szCs w:val="26"/>
        </w:rPr>
        <w:t>Charnes</w:t>
      </w:r>
      <w:proofErr w:type="spellEnd"/>
      <w:r w:rsidRPr="00AD5EAC">
        <w:rPr>
          <w:i/>
          <w:color w:val="000000"/>
          <w:szCs w:val="26"/>
        </w:rPr>
        <w:t>, Cooper e Rhodes</w:t>
      </w:r>
      <w:r w:rsidRPr="00AD5EAC">
        <w:rPr>
          <w:color w:val="000000"/>
          <w:szCs w:val="26"/>
        </w:rPr>
        <w:t>), ou CRS (</w:t>
      </w:r>
      <w:r w:rsidRPr="00AD5EAC">
        <w:rPr>
          <w:i/>
          <w:color w:val="000000"/>
          <w:szCs w:val="26"/>
        </w:rPr>
        <w:t xml:space="preserve">Constant </w:t>
      </w:r>
      <w:proofErr w:type="spellStart"/>
      <w:r w:rsidRPr="00AD5EAC">
        <w:rPr>
          <w:i/>
          <w:color w:val="000000"/>
          <w:szCs w:val="26"/>
        </w:rPr>
        <w:t>Returns</w:t>
      </w:r>
      <w:proofErr w:type="spellEnd"/>
      <w:r w:rsidRPr="00AD5EAC">
        <w:rPr>
          <w:i/>
          <w:color w:val="000000"/>
          <w:szCs w:val="26"/>
        </w:rPr>
        <w:t xml:space="preserve"> </w:t>
      </w:r>
      <w:proofErr w:type="spellStart"/>
      <w:r w:rsidRPr="00AD5EAC">
        <w:rPr>
          <w:i/>
          <w:color w:val="000000"/>
          <w:szCs w:val="26"/>
        </w:rPr>
        <w:t>to</w:t>
      </w:r>
      <w:proofErr w:type="spellEnd"/>
      <w:r w:rsidRPr="00AD5EAC">
        <w:rPr>
          <w:i/>
          <w:color w:val="000000"/>
          <w:szCs w:val="26"/>
        </w:rPr>
        <w:t xml:space="preserve"> </w:t>
      </w:r>
      <w:proofErr w:type="spellStart"/>
      <w:r w:rsidRPr="00AD5EAC">
        <w:rPr>
          <w:i/>
          <w:color w:val="000000"/>
          <w:szCs w:val="26"/>
        </w:rPr>
        <w:t>Scale</w:t>
      </w:r>
      <w:proofErr w:type="spellEnd"/>
      <w:r w:rsidRPr="00AD5EAC">
        <w:rPr>
          <w:color w:val="000000"/>
          <w:szCs w:val="26"/>
        </w:rPr>
        <w:t>), cujo modelo aceita como hipótese retorno constante de escala (CHARNES, COOPER, RHODES, 1978). Já o modelo BCC (</w:t>
      </w:r>
      <w:proofErr w:type="spellStart"/>
      <w:r w:rsidRPr="00AD5EAC">
        <w:rPr>
          <w:i/>
          <w:color w:val="000000"/>
          <w:szCs w:val="26"/>
        </w:rPr>
        <w:t>Banker</w:t>
      </w:r>
      <w:proofErr w:type="spellEnd"/>
      <w:r w:rsidRPr="00AD5EAC">
        <w:rPr>
          <w:i/>
          <w:color w:val="000000"/>
          <w:szCs w:val="26"/>
        </w:rPr>
        <w:t xml:space="preserve">, </w:t>
      </w:r>
      <w:proofErr w:type="spellStart"/>
      <w:r w:rsidRPr="00AD5EAC">
        <w:rPr>
          <w:i/>
          <w:color w:val="000000"/>
          <w:szCs w:val="26"/>
        </w:rPr>
        <w:t>Charnes</w:t>
      </w:r>
      <w:proofErr w:type="spellEnd"/>
      <w:r w:rsidRPr="00AD5EAC">
        <w:rPr>
          <w:i/>
          <w:color w:val="000000"/>
          <w:szCs w:val="26"/>
        </w:rPr>
        <w:t xml:space="preserve"> e Cooper</w:t>
      </w:r>
      <w:r w:rsidRPr="00AD5EAC">
        <w:rPr>
          <w:color w:val="000000"/>
          <w:szCs w:val="26"/>
        </w:rPr>
        <w:t>) ou VRS (</w:t>
      </w:r>
      <w:proofErr w:type="spellStart"/>
      <w:r w:rsidRPr="00AD5EAC">
        <w:rPr>
          <w:i/>
          <w:color w:val="000000"/>
          <w:szCs w:val="26"/>
        </w:rPr>
        <w:t>Variable</w:t>
      </w:r>
      <w:proofErr w:type="spellEnd"/>
      <w:r w:rsidRPr="00AD5EAC">
        <w:rPr>
          <w:i/>
          <w:color w:val="000000"/>
          <w:szCs w:val="26"/>
        </w:rPr>
        <w:t xml:space="preserve"> </w:t>
      </w:r>
      <w:proofErr w:type="spellStart"/>
      <w:r w:rsidRPr="00AD5EAC">
        <w:rPr>
          <w:i/>
          <w:color w:val="000000"/>
          <w:szCs w:val="26"/>
        </w:rPr>
        <w:t>Returns</w:t>
      </w:r>
      <w:proofErr w:type="spellEnd"/>
      <w:r w:rsidRPr="00AD5EAC">
        <w:rPr>
          <w:i/>
          <w:color w:val="000000"/>
          <w:szCs w:val="26"/>
        </w:rPr>
        <w:t xml:space="preserve"> </w:t>
      </w:r>
      <w:proofErr w:type="spellStart"/>
      <w:r w:rsidRPr="00AD5EAC">
        <w:rPr>
          <w:i/>
          <w:color w:val="000000"/>
          <w:szCs w:val="26"/>
        </w:rPr>
        <w:t>to</w:t>
      </w:r>
      <w:proofErr w:type="spellEnd"/>
      <w:r w:rsidRPr="00AD5EAC">
        <w:rPr>
          <w:i/>
          <w:color w:val="000000"/>
          <w:szCs w:val="26"/>
        </w:rPr>
        <w:t xml:space="preserve"> </w:t>
      </w:r>
      <w:proofErr w:type="spellStart"/>
      <w:r w:rsidRPr="00AD5EAC">
        <w:rPr>
          <w:i/>
          <w:color w:val="000000"/>
          <w:szCs w:val="26"/>
        </w:rPr>
        <w:t>Scale</w:t>
      </w:r>
      <w:proofErr w:type="spellEnd"/>
      <w:r w:rsidRPr="00AD5EAC">
        <w:rPr>
          <w:color w:val="000000"/>
          <w:szCs w:val="26"/>
        </w:rPr>
        <w:t xml:space="preserve">), considera retornos variáveis de escala, e não assumi proporcionalidade entre </w:t>
      </w:r>
      <w:r w:rsidRPr="00AD5EAC">
        <w:rPr>
          <w:i/>
          <w:color w:val="000000"/>
          <w:szCs w:val="26"/>
        </w:rPr>
        <w:t>inputs</w:t>
      </w:r>
      <w:r w:rsidRPr="00AD5EAC">
        <w:rPr>
          <w:color w:val="000000"/>
          <w:szCs w:val="26"/>
        </w:rPr>
        <w:t xml:space="preserve"> e </w:t>
      </w:r>
      <w:r w:rsidRPr="00AD5EAC">
        <w:rPr>
          <w:i/>
          <w:color w:val="000000"/>
          <w:szCs w:val="26"/>
        </w:rPr>
        <w:t>outputs</w:t>
      </w:r>
      <w:r w:rsidRPr="00AD5EAC">
        <w:rPr>
          <w:color w:val="000000"/>
          <w:szCs w:val="26"/>
        </w:rPr>
        <w:t xml:space="preserve"> (BANKER, CHARNES, COOPER, 1984). </w:t>
      </w:r>
    </w:p>
    <w:p w:rsidR="0045463A" w:rsidRPr="00AD5EAC" w:rsidRDefault="0045463A" w:rsidP="0045463A">
      <w:pPr>
        <w:spacing w:line="360" w:lineRule="auto"/>
        <w:rPr>
          <w:szCs w:val="26"/>
        </w:rPr>
      </w:pPr>
      <w:r w:rsidRPr="00AD5EAC">
        <w:rPr>
          <w:szCs w:val="26"/>
        </w:rPr>
        <w:t xml:space="preserve">Segundo Carmo e Távora (2003, p.7) a eficiência pode ser orientada a </w:t>
      </w:r>
      <w:r w:rsidRPr="00AD5EAC">
        <w:rPr>
          <w:i/>
          <w:szCs w:val="26"/>
        </w:rPr>
        <w:t>input</w:t>
      </w:r>
      <w:r w:rsidRPr="00AD5EAC">
        <w:rPr>
          <w:szCs w:val="26"/>
        </w:rPr>
        <w:t xml:space="preserve"> que “mede a fração de inputs que seria suficiente para produzir um dado nível de output”, e ainda com orientação a </w:t>
      </w:r>
      <w:r w:rsidRPr="00AD5EAC">
        <w:rPr>
          <w:i/>
          <w:szCs w:val="26"/>
        </w:rPr>
        <w:t xml:space="preserve">output </w:t>
      </w:r>
      <w:r w:rsidRPr="00AD5EAC">
        <w:rPr>
          <w:szCs w:val="26"/>
        </w:rPr>
        <w:t>para</w:t>
      </w:r>
      <w:r w:rsidRPr="00AD5EAC">
        <w:rPr>
          <w:i/>
          <w:szCs w:val="26"/>
        </w:rPr>
        <w:t xml:space="preserve"> “</w:t>
      </w:r>
      <w:r w:rsidRPr="00AD5EAC">
        <w:rPr>
          <w:szCs w:val="26"/>
        </w:rPr>
        <w:t xml:space="preserve">maximizar a quantidade de output a partir de determinada quantidade de input” (CARMO; TÁVORA ,2003, p.7). </w:t>
      </w:r>
    </w:p>
    <w:p w:rsidR="0045463A" w:rsidRPr="00AD5EAC" w:rsidRDefault="0045463A" w:rsidP="00AD5EAC">
      <w:pPr>
        <w:spacing w:line="360" w:lineRule="auto"/>
        <w:rPr>
          <w:szCs w:val="26"/>
        </w:rPr>
      </w:pPr>
      <w:r w:rsidRPr="00AD5EAC">
        <w:rPr>
          <w:color w:val="000000"/>
          <w:szCs w:val="26"/>
        </w:rPr>
        <w:t xml:space="preserve">No presente estudo as </w:t>
      </w:r>
      <w:proofErr w:type="spellStart"/>
      <w:r w:rsidRPr="00AD5EAC">
        <w:rPr>
          <w:color w:val="000000"/>
          <w:szCs w:val="26"/>
        </w:rPr>
        <w:t>DMUs</w:t>
      </w:r>
      <w:proofErr w:type="spellEnd"/>
      <w:r w:rsidRPr="00AD5EAC">
        <w:rPr>
          <w:color w:val="000000"/>
          <w:szCs w:val="26"/>
        </w:rPr>
        <w:t xml:space="preserve"> correspondem aos municípios de Santa Catarina, a seleção dos </w:t>
      </w:r>
      <w:r w:rsidRPr="00AD5EAC">
        <w:rPr>
          <w:i/>
          <w:color w:val="000000"/>
          <w:szCs w:val="26"/>
        </w:rPr>
        <w:t>input</w:t>
      </w:r>
      <w:r w:rsidRPr="00AD5EAC">
        <w:rPr>
          <w:color w:val="000000"/>
          <w:szCs w:val="26"/>
        </w:rPr>
        <w:t xml:space="preserve"> e </w:t>
      </w:r>
      <w:r w:rsidRPr="00AD5EAC">
        <w:rPr>
          <w:i/>
          <w:color w:val="000000"/>
          <w:szCs w:val="26"/>
        </w:rPr>
        <w:t>outputs</w:t>
      </w:r>
      <w:r w:rsidRPr="00AD5EAC">
        <w:rPr>
          <w:color w:val="000000"/>
          <w:szCs w:val="26"/>
        </w:rPr>
        <w:t xml:space="preserve"> </w:t>
      </w:r>
      <w:r w:rsidRPr="00AD5EAC">
        <w:rPr>
          <w:szCs w:val="26"/>
        </w:rPr>
        <w:t>que serão considerados na análise estão apresentados no Quadro 1.</w:t>
      </w:r>
    </w:p>
    <w:p w:rsidR="0045463A" w:rsidRPr="00A527CF" w:rsidRDefault="0045463A" w:rsidP="0045463A">
      <w:pPr>
        <w:spacing w:line="360" w:lineRule="auto"/>
        <w:jc w:val="center"/>
        <w:rPr>
          <w:b/>
          <w:sz w:val="20"/>
        </w:rPr>
      </w:pPr>
      <w:r>
        <w:rPr>
          <w:b/>
          <w:sz w:val="20"/>
        </w:rPr>
        <w:lastRenderedPageBreak/>
        <w:t>Quadro 1 – Input</w:t>
      </w:r>
      <w:r w:rsidRPr="00A527CF">
        <w:rPr>
          <w:b/>
          <w:sz w:val="20"/>
        </w:rPr>
        <w:t xml:space="preserve"> e Output</w:t>
      </w:r>
    </w:p>
    <w:tbl>
      <w:tblPr>
        <w:tblW w:w="9040" w:type="dxa"/>
        <w:tblCellMar>
          <w:left w:w="70" w:type="dxa"/>
          <w:right w:w="70" w:type="dxa"/>
        </w:tblCellMar>
        <w:tblLook w:val="04A0" w:firstRow="1" w:lastRow="0" w:firstColumn="1" w:lastColumn="0" w:noHBand="0" w:noVBand="1"/>
      </w:tblPr>
      <w:tblGrid>
        <w:gridCol w:w="4520"/>
        <w:gridCol w:w="4520"/>
      </w:tblGrid>
      <w:tr w:rsidR="0045463A" w:rsidRPr="00451FEF" w:rsidTr="00831E07">
        <w:trPr>
          <w:trHeight w:val="131"/>
        </w:trPr>
        <w:tc>
          <w:tcPr>
            <w:tcW w:w="4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5463A" w:rsidRPr="00451FEF" w:rsidRDefault="0045463A" w:rsidP="00831E07">
            <w:pPr>
              <w:jc w:val="center"/>
              <w:rPr>
                <w:b/>
                <w:bCs/>
                <w:i/>
                <w:iCs/>
                <w:color w:val="000000"/>
                <w:sz w:val="20"/>
                <w:szCs w:val="22"/>
              </w:rPr>
            </w:pPr>
            <w:r>
              <w:rPr>
                <w:b/>
                <w:bCs/>
                <w:i/>
                <w:iCs/>
                <w:color w:val="000000"/>
                <w:sz w:val="20"/>
                <w:szCs w:val="22"/>
              </w:rPr>
              <w:t>INPUT</w:t>
            </w:r>
          </w:p>
        </w:tc>
        <w:tc>
          <w:tcPr>
            <w:tcW w:w="4520" w:type="dxa"/>
            <w:tcBorders>
              <w:top w:val="single" w:sz="4" w:space="0" w:color="auto"/>
              <w:left w:val="nil"/>
              <w:bottom w:val="single" w:sz="4" w:space="0" w:color="auto"/>
              <w:right w:val="single" w:sz="4" w:space="0" w:color="auto"/>
            </w:tcBorders>
            <w:shd w:val="clear" w:color="000000" w:fill="BFBFBF"/>
            <w:noWrap/>
            <w:vAlign w:val="bottom"/>
            <w:hideMark/>
          </w:tcPr>
          <w:p w:rsidR="0045463A" w:rsidRPr="00451FEF" w:rsidRDefault="0045463A" w:rsidP="00831E07">
            <w:pPr>
              <w:jc w:val="center"/>
              <w:rPr>
                <w:b/>
                <w:bCs/>
                <w:i/>
                <w:iCs/>
                <w:color w:val="000000"/>
                <w:sz w:val="20"/>
                <w:szCs w:val="22"/>
              </w:rPr>
            </w:pPr>
            <w:r w:rsidRPr="00451FEF">
              <w:rPr>
                <w:b/>
                <w:bCs/>
                <w:i/>
                <w:iCs/>
                <w:color w:val="000000"/>
                <w:sz w:val="20"/>
                <w:szCs w:val="22"/>
              </w:rPr>
              <w:t>OUTPUTS</w:t>
            </w:r>
          </w:p>
        </w:tc>
      </w:tr>
      <w:tr w:rsidR="0045463A" w:rsidRPr="00451FEF" w:rsidTr="00831E07">
        <w:trPr>
          <w:trHeight w:val="131"/>
        </w:trPr>
        <w:tc>
          <w:tcPr>
            <w:tcW w:w="4520" w:type="dxa"/>
            <w:vMerge w:val="restart"/>
            <w:tcBorders>
              <w:top w:val="nil"/>
              <w:left w:val="single" w:sz="4" w:space="0" w:color="auto"/>
              <w:bottom w:val="single" w:sz="4" w:space="0" w:color="auto"/>
              <w:right w:val="single" w:sz="4" w:space="0" w:color="auto"/>
            </w:tcBorders>
            <w:shd w:val="clear" w:color="000000" w:fill="FFFFFF"/>
            <w:vAlign w:val="center"/>
            <w:hideMark/>
          </w:tcPr>
          <w:p w:rsidR="0045463A" w:rsidRPr="00451FEF" w:rsidRDefault="0045463A" w:rsidP="00831E07">
            <w:pPr>
              <w:jc w:val="center"/>
              <w:rPr>
                <w:color w:val="000000"/>
                <w:sz w:val="20"/>
                <w:szCs w:val="22"/>
              </w:rPr>
            </w:pPr>
            <w:r w:rsidRPr="00451FEF">
              <w:rPr>
                <w:color w:val="000000"/>
                <w:sz w:val="20"/>
                <w:szCs w:val="22"/>
              </w:rPr>
              <w:t>Investimentos totais realizados pelo prestador de serviços (R$/ano)</w:t>
            </w:r>
          </w:p>
        </w:tc>
        <w:tc>
          <w:tcPr>
            <w:tcW w:w="4520" w:type="dxa"/>
            <w:tcBorders>
              <w:top w:val="nil"/>
              <w:left w:val="nil"/>
              <w:bottom w:val="single" w:sz="4" w:space="0" w:color="auto"/>
              <w:right w:val="single" w:sz="4" w:space="0" w:color="auto"/>
            </w:tcBorders>
            <w:shd w:val="clear" w:color="000000" w:fill="FFFFFF"/>
            <w:noWrap/>
            <w:vAlign w:val="center"/>
            <w:hideMark/>
          </w:tcPr>
          <w:p w:rsidR="0045463A" w:rsidRPr="00451FEF" w:rsidRDefault="0045463A" w:rsidP="00831E07">
            <w:pPr>
              <w:jc w:val="center"/>
              <w:rPr>
                <w:color w:val="000000"/>
                <w:sz w:val="20"/>
                <w:szCs w:val="22"/>
              </w:rPr>
            </w:pPr>
            <w:r w:rsidRPr="00451FEF">
              <w:rPr>
                <w:color w:val="000000"/>
                <w:sz w:val="20"/>
                <w:szCs w:val="22"/>
              </w:rPr>
              <w:t>Volume de água produzido (1.000 m³/ano)</w:t>
            </w:r>
          </w:p>
        </w:tc>
      </w:tr>
      <w:tr w:rsidR="0045463A" w:rsidRPr="00451FEF" w:rsidTr="00831E07">
        <w:trPr>
          <w:trHeight w:val="131"/>
        </w:trPr>
        <w:tc>
          <w:tcPr>
            <w:tcW w:w="4520" w:type="dxa"/>
            <w:vMerge/>
            <w:tcBorders>
              <w:top w:val="nil"/>
              <w:left w:val="single" w:sz="4" w:space="0" w:color="auto"/>
              <w:bottom w:val="single" w:sz="4" w:space="0" w:color="auto"/>
              <w:right w:val="single" w:sz="4" w:space="0" w:color="auto"/>
            </w:tcBorders>
            <w:vAlign w:val="center"/>
            <w:hideMark/>
          </w:tcPr>
          <w:p w:rsidR="0045463A" w:rsidRPr="00451FEF" w:rsidRDefault="0045463A" w:rsidP="00831E07">
            <w:pPr>
              <w:rPr>
                <w:color w:val="000000"/>
                <w:sz w:val="20"/>
                <w:szCs w:val="22"/>
              </w:rPr>
            </w:pPr>
          </w:p>
        </w:tc>
        <w:tc>
          <w:tcPr>
            <w:tcW w:w="4520" w:type="dxa"/>
            <w:tcBorders>
              <w:top w:val="nil"/>
              <w:left w:val="nil"/>
              <w:bottom w:val="single" w:sz="4" w:space="0" w:color="auto"/>
              <w:right w:val="single" w:sz="4" w:space="0" w:color="auto"/>
            </w:tcBorders>
            <w:shd w:val="clear" w:color="000000" w:fill="FFFFFF"/>
            <w:noWrap/>
            <w:vAlign w:val="center"/>
            <w:hideMark/>
          </w:tcPr>
          <w:p w:rsidR="0045463A" w:rsidRPr="00451FEF" w:rsidRDefault="0045463A" w:rsidP="00831E07">
            <w:pPr>
              <w:jc w:val="center"/>
              <w:rPr>
                <w:color w:val="000000"/>
                <w:sz w:val="20"/>
                <w:szCs w:val="22"/>
              </w:rPr>
            </w:pPr>
            <w:r w:rsidRPr="00451FEF">
              <w:rPr>
                <w:color w:val="000000"/>
                <w:sz w:val="20"/>
                <w:szCs w:val="22"/>
              </w:rPr>
              <w:t>Volume de esgotos coletado (1.000 m³/ano)</w:t>
            </w:r>
          </w:p>
        </w:tc>
      </w:tr>
      <w:tr w:rsidR="0045463A" w:rsidRPr="00451FEF" w:rsidTr="00831E07">
        <w:trPr>
          <w:trHeight w:val="283"/>
        </w:trPr>
        <w:tc>
          <w:tcPr>
            <w:tcW w:w="4520" w:type="dxa"/>
            <w:vMerge/>
            <w:tcBorders>
              <w:top w:val="nil"/>
              <w:left w:val="single" w:sz="4" w:space="0" w:color="auto"/>
              <w:bottom w:val="single" w:sz="4" w:space="0" w:color="auto"/>
              <w:right w:val="single" w:sz="4" w:space="0" w:color="auto"/>
            </w:tcBorders>
            <w:vAlign w:val="center"/>
            <w:hideMark/>
          </w:tcPr>
          <w:p w:rsidR="0045463A" w:rsidRPr="00451FEF" w:rsidRDefault="0045463A" w:rsidP="00831E07">
            <w:pPr>
              <w:rPr>
                <w:color w:val="000000"/>
                <w:sz w:val="20"/>
                <w:szCs w:val="22"/>
              </w:rPr>
            </w:pPr>
          </w:p>
        </w:tc>
        <w:tc>
          <w:tcPr>
            <w:tcW w:w="4520" w:type="dxa"/>
            <w:tcBorders>
              <w:top w:val="nil"/>
              <w:left w:val="nil"/>
              <w:bottom w:val="single" w:sz="4" w:space="0" w:color="auto"/>
              <w:right w:val="single" w:sz="4" w:space="0" w:color="auto"/>
            </w:tcBorders>
            <w:shd w:val="clear" w:color="000000" w:fill="FFFFFF"/>
            <w:vAlign w:val="center"/>
            <w:hideMark/>
          </w:tcPr>
          <w:p w:rsidR="0045463A" w:rsidRPr="00451FEF" w:rsidRDefault="0045463A" w:rsidP="00831E07">
            <w:pPr>
              <w:jc w:val="center"/>
              <w:rPr>
                <w:color w:val="000000"/>
                <w:sz w:val="20"/>
                <w:szCs w:val="22"/>
              </w:rPr>
            </w:pPr>
            <w:r w:rsidRPr="00451FEF">
              <w:rPr>
                <w:color w:val="000000"/>
                <w:sz w:val="20"/>
                <w:szCs w:val="22"/>
              </w:rPr>
              <w:t>População total atendida com abastecimento de água (Habitantes)</w:t>
            </w:r>
          </w:p>
        </w:tc>
      </w:tr>
      <w:tr w:rsidR="0045463A" w:rsidRPr="00451FEF" w:rsidTr="00831E07">
        <w:trPr>
          <w:trHeight w:val="263"/>
        </w:trPr>
        <w:tc>
          <w:tcPr>
            <w:tcW w:w="4520" w:type="dxa"/>
            <w:vMerge/>
            <w:tcBorders>
              <w:top w:val="nil"/>
              <w:left w:val="single" w:sz="4" w:space="0" w:color="auto"/>
              <w:bottom w:val="single" w:sz="4" w:space="0" w:color="auto"/>
              <w:right w:val="single" w:sz="4" w:space="0" w:color="auto"/>
            </w:tcBorders>
            <w:vAlign w:val="center"/>
            <w:hideMark/>
          </w:tcPr>
          <w:p w:rsidR="0045463A" w:rsidRPr="00451FEF" w:rsidRDefault="0045463A" w:rsidP="00831E07">
            <w:pPr>
              <w:rPr>
                <w:color w:val="000000"/>
                <w:sz w:val="20"/>
                <w:szCs w:val="22"/>
              </w:rPr>
            </w:pPr>
          </w:p>
        </w:tc>
        <w:tc>
          <w:tcPr>
            <w:tcW w:w="4520" w:type="dxa"/>
            <w:tcBorders>
              <w:top w:val="nil"/>
              <w:left w:val="nil"/>
              <w:bottom w:val="single" w:sz="4" w:space="0" w:color="auto"/>
              <w:right w:val="single" w:sz="4" w:space="0" w:color="auto"/>
            </w:tcBorders>
            <w:shd w:val="clear" w:color="000000" w:fill="FFFFFF"/>
            <w:vAlign w:val="center"/>
            <w:hideMark/>
          </w:tcPr>
          <w:p w:rsidR="0045463A" w:rsidRPr="00451FEF" w:rsidRDefault="0045463A" w:rsidP="00831E07">
            <w:pPr>
              <w:jc w:val="center"/>
              <w:rPr>
                <w:color w:val="000000"/>
                <w:sz w:val="20"/>
                <w:szCs w:val="22"/>
              </w:rPr>
            </w:pPr>
            <w:r w:rsidRPr="00451FEF">
              <w:rPr>
                <w:color w:val="000000"/>
                <w:sz w:val="20"/>
                <w:szCs w:val="22"/>
              </w:rPr>
              <w:t>População total atendida com esgotamento sanitário (Habitantes)</w:t>
            </w:r>
          </w:p>
        </w:tc>
      </w:tr>
      <w:tr w:rsidR="0045463A" w:rsidRPr="00451FEF" w:rsidTr="00831E07">
        <w:trPr>
          <w:trHeight w:val="131"/>
        </w:trPr>
        <w:tc>
          <w:tcPr>
            <w:tcW w:w="4520" w:type="dxa"/>
            <w:vMerge/>
            <w:tcBorders>
              <w:top w:val="nil"/>
              <w:left w:val="single" w:sz="4" w:space="0" w:color="auto"/>
              <w:bottom w:val="single" w:sz="4" w:space="0" w:color="auto"/>
              <w:right w:val="single" w:sz="4" w:space="0" w:color="auto"/>
            </w:tcBorders>
            <w:vAlign w:val="center"/>
            <w:hideMark/>
          </w:tcPr>
          <w:p w:rsidR="0045463A" w:rsidRPr="00451FEF" w:rsidRDefault="0045463A" w:rsidP="00831E07">
            <w:pPr>
              <w:rPr>
                <w:color w:val="000000"/>
                <w:sz w:val="20"/>
                <w:szCs w:val="22"/>
              </w:rPr>
            </w:pPr>
          </w:p>
        </w:tc>
        <w:tc>
          <w:tcPr>
            <w:tcW w:w="4520" w:type="dxa"/>
            <w:tcBorders>
              <w:top w:val="nil"/>
              <w:left w:val="nil"/>
              <w:bottom w:val="single" w:sz="4" w:space="0" w:color="auto"/>
              <w:right w:val="single" w:sz="4" w:space="0" w:color="auto"/>
            </w:tcBorders>
            <w:shd w:val="clear" w:color="000000" w:fill="FFFFFF"/>
            <w:vAlign w:val="center"/>
            <w:hideMark/>
          </w:tcPr>
          <w:p w:rsidR="0045463A" w:rsidRPr="00451FEF" w:rsidRDefault="0045463A" w:rsidP="00831E07">
            <w:pPr>
              <w:jc w:val="center"/>
              <w:rPr>
                <w:color w:val="000000"/>
                <w:sz w:val="20"/>
                <w:szCs w:val="22"/>
              </w:rPr>
            </w:pPr>
            <w:r w:rsidRPr="00451FEF">
              <w:rPr>
                <w:color w:val="000000"/>
                <w:sz w:val="20"/>
                <w:szCs w:val="22"/>
              </w:rPr>
              <w:t xml:space="preserve"> Extensão da rede de água (km)</w:t>
            </w:r>
          </w:p>
        </w:tc>
      </w:tr>
      <w:tr w:rsidR="0045463A" w:rsidRPr="00451FEF" w:rsidTr="00831E07">
        <w:trPr>
          <w:trHeight w:val="131"/>
        </w:trPr>
        <w:tc>
          <w:tcPr>
            <w:tcW w:w="4520" w:type="dxa"/>
            <w:vMerge/>
            <w:tcBorders>
              <w:top w:val="nil"/>
              <w:left w:val="single" w:sz="4" w:space="0" w:color="auto"/>
              <w:bottom w:val="single" w:sz="4" w:space="0" w:color="auto"/>
              <w:right w:val="single" w:sz="4" w:space="0" w:color="auto"/>
            </w:tcBorders>
            <w:vAlign w:val="center"/>
            <w:hideMark/>
          </w:tcPr>
          <w:p w:rsidR="0045463A" w:rsidRPr="00451FEF" w:rsidRDefault="0045463A" w:rsidP="00831E07">
            <w:pPr>
              <w:rPr>
                <w:color w:val="000000"/>
                <w:sz w:val="20"/>
                <w:szCs w:val="22"/>
              </w:rPr>
            </w:pPr>
          </w:p>
        </w:tc>
        <w:tc>
          <w:tcPr>
            <w:tcW w:w="4520" w:type="dxa"/>
            <w:tcBorders>
              <w:top w:val="nil"/>
              <w:left w:val="nil"/>
              <w:bottom w:val="single" w:sz="4" w:space="0" w:color="auto"/>
              <w:right w:val="single" w:sz="4" w:space="0" w:color="auto"/>
            </w:tcBorders>
            <w:shd w:val="clear" w:color="000000" w:fill="FFFFFF"/>
            <w:vAlign w:val="center"/>
            <w:hideMark/>
          </w:tcPr>
          <w:p w:rsidR="0045463A" w:rsidRPr="00451FEF" w:rsidRDefault="0045463A" w:rsidP="00831E07">
            <w:pPr>
              <w:jc w:val="center"/>
              <w:rPr>
                <w:color w:val="000000"/>
                <w:sz w:val="20"/>
                <w:szCs w:val="22"/>
              </w:rPr>
            </w:pPr>
            <w:r w:rsidRPr="00451FEF">
              <w:rPr>
                <w:color w:val="000000"/>
                <w:sz w:val="20"/>
                <w:szCs w:val="22"/>
              </w:rPr>
              <w:t>Extensão da rede de esgotos (km)</w:t>
            </w:r>
          </w:p>
        </w:tc>
      </w:tr>
    </w:tbl>
    <w:p w:rsidR="0045463A" w:rsidRPr="00C20111" w:rsidRDefault="0045463A" w:rsidP="0045463A">
      <w:pPr>
        <w:spacing w:after="240" w:line="360" w:lineRule="auto"/>
        <w:jc w:val="center"/>
        <w:rPr>
          <w:sz w:val="20"/>
        </w:rPr>
      </w:pPr>
      <w:r w:rsidRPr="006765C1">
        <w:rPr>
          <w:sz w:val="20"/>
        </w:rPr>
        <w:t xml:space="preserve">Fonte: </w:t>
      </w:r>
      <w:r>
        <w:rPr>
          <w:sz w:val="20"/>
        </w:rPr>
        <w:t>Elaborado pelos autores</w:t>
      </w:r>
      <w:r w:rsidRPr="006765C1">
        <w:rPr>
          <w:sz w:val="20"/>
        </w:rPr>
        <w:t xml:space="preserve"> (2016)</w:t>
      </w:r>
    </w:p>
    <w:p w:rsidR="0045463A" w:rsidRPr="00AD5EAC" w:rsidRDefault="0045463A" w:rsidP="0045463A">
      <w:pPr>
        <w:spacing w:line="360" w:lineRule="auto"/>
        <w:ind w:firstLine="708"/>
        <w:rPr>
          <w:szCs w:val="26"/>
        </w:rPr>
      </w:pPr>
      <w:r w:rsidRPr="00AD5EAC">
        <w:rPr>
          <w:szCs w:val="26"/>
        </w:rPr>
        <w:t xml:space="preserve">A escolha do </w:t>
      </w:r>
      <w:r w:rsidRPr="00AD5EAC">
        <w:rPr>
          <w:i/>
          <w:szCs w:val="26"/>
        </w:rPr>
        <w:t>input</w:t>
      </w:r>
      <w:r w:rsidRPr="00AD5EAC">
        <w:rPr>
          <w:szCs w:val="26"/>
        </w:rPr>
        <w:t xml:space="preserve"> (investimentos) teve embasamento em estudos já citados no trabalho que evidenciam o impacto dos investimentos ao acesso da população aos serviços de água e esgoto, assim como os efeitos da gestão desses recursos na capacidade técnica do setor. Os </w:t>
      </w:r>
      <w:r w:rsidRPr="00AD5EAC">
        <w:rPr>
          <w:i/>
          <w:szCs w:val="26"/>
        </w:rPr>
        <w:t xml:space="preserve">outputs </w:t>
      </w:r>
      <w:r w:rsidRPr="00AD5EAC">
        <w:rPr>
          <w:szCs w:val="26"/>
        </w:rPr>
        <w:t>definidos no estudo se baseiam na literatura que utilizam a metodologia DEA para avaliação de eficiência no setor de saneamento, os trabalhos dos autores Garcia-</w:t>
      </w:r>
      <w:proofErr w:type="spellStart"/>
      <w:r w:rsidRPr="00AD5EAC">
        <w:rPr>
          <w:szCs w:val="26"/>
        </w:rPr>
        <w:t>Valiñas</w:t>
      </w:r>
      <w:proofErr w:type="spellEnd"/>
      <w:r w:rsidRPr="00AD5EAC">
        <w:rPr>
          <w:szCs w:val="26"/>
        </w:rPr>
        <w:t xml:space="preserve"> e </w:t>
      </w:r>
      <w:proofErr w:type="spellStart"/>
      <w:r w:rsidRPr="00AD5EAC">
        <w:rPr>
          <w:szCs w:val="26"/>
        </w:rPr>
        <w:t>Muñiz</w:t>
      </w:r>
      <w:proofErr w:type="spellEnd"/>
      <w:r w:rsidRPr="00AD5EAC">
        <w:rPr>
          <w:szCs w:val="26"/>
        </w:rPr>
        <w:t xml:space="preserve"> (2007) e </w:t>
      </w:r>
      <w:proofErr w:type="spellStart"/>
      <w:r w:rsidRPr="00AD5EAC">
        <w:rPr>
          <w:szCs w:val="26"/>
        </w:rPr>
        <w:t>Tupper</w:t>
      </w:r>
      <w:proofErr w:type="spellEnd"/>
      <w:r w:rsidRPr="00AD5EAC">
        <w:rPr>
          <w:szCs w:val="26"/>
        </w:rPr>
        <w:t xml:space="preserve"> e Resende (2004).</w:t>
      </w:r>
    </w:p>
    <w:p w:rsidR="0045463A" w:rsidRPr="00AD5EAC" w:rsidRDefault="0045463A" w:rsidP="0045463A">
      <w:pPr>
        <w:spacing w:line="360" w:lineRule="auto"/>
        <w:rPr>
          <w:szCs w:val="26"/>
        </w:rPr>
      </w:pPr>
      <w:r w:rsidRPr="00AD5EAC">
        <w:rPr>
          <w:szCs w:val="26"/>
        </w:rPr>
        <w:t xml:space="preserve">O cálculo dos escores de eficiência foram obtidos através do </w:t>
      </w:r>
      <w:r w:rsidRPr="00AD5EAC">
        <w:rPr>
          <w:i/>
          <w:szCs w:val="26"/>
        </w:rPr>
        <w:t>software</w:t>
      </w:r>
      <w:r w:rsidRPr="00AD5EAC">
        <w:rPr>
          <w:szCs w:val="26"/>
        </w:rPr>
        <w:t xml:space="preserve"> Sistema Integrado de Apoio à Decisão (SIAD) versão 3.0. Utilizou-se o modelo o modelo BCC (</w:t>
      </w:r>
      <w:proofErr w:type="spellStart"/>
      <w:r w:rsidRPr="00AD5EAC">
        <w:rPr>
          <w:i/>
          <w:szCs w:val="26"/>
        </w:rPr>
        <w:t>Banker</w:t>
      </w:r>
      <w:proofErr w:type="spellEnd"/>
      <w:r w:rsidRPr="00AD5EAC">
        <w:rPr>
          <w:i/>
          <w:szCs w:val="26"/>
        </w:rPr>
        <w:t xml:space="preserve">, </w:t>
      </w:r>
      <w:proofErr w:type="spellStart"/>
      <w:r w:rsidRPr="00AD5EAC">
        <w:rPr>
          <w:i/>
          <w:szCs w:val="26"/>
        </w:rPr>
        <w:t>Charnes</w:t>
      </w:r>
      <w:proofErr w:type="spellEnd"/>
      <w:r w:rsidRPr="00AD5EAC">
        <w:rPr>
          <w:i/>
          <w:szCs w:val="26"/>
        </w:rPr>
        <w:t xml:space="preserve"> e Cooper</w:t>
      </w:r>
      <w:r w:rsidRPr="00AD5EAC">
        <w:rPr>
          <w:szCs w:val="26"/>
        </w:rPr>
        <w:t>) também conhecido como VRS (</w:t>
      </w:r>
      <w:proofErr w:type="spellStart"/>
      <w:r w:rsidRPr="00AD5EAC">
        <w:rPr>
          <w:i/>
          <w:szCs w:val="26"/>
        </w:rPr>
        <w:t>Variable</w:t>
      </w:r>
      <w:proofErr w:type="spellEnd"/>
      <w:r w:rsidRPr="00AD5EAC">
        <w:rPr>
          <w:i/>
          <w:szCs w:val="26"/>
        </w:rPr>
        <w:t xml:space="preserve"> </w:t>
      </w:r>
      <w:proofErr w:type="spellStart"/>
      <w:r w:rsidRPr="00AD5EAC">
        <w:rPr>
          <w:i/>
          <w:szCs w:val="26"/>
        </w:rPr>
        <w:t>Returns</w:t>
      </w:r>
      <w:proofErr w:type="spellEnd"/>
      <w:r w:rsidRPr="00AD5EAC">
        <w:rPr>
          <w:i/>
          <w:szCs w:val="26"/>
        </w:rPr>
        <w:t xml:space="preserve"> </w:t>
      </w:r>
      <w:proofErr w:type="spellStart"/>
      <w:r w:rsidRPr="00AD5EAC">
        <w:rPr>
          <w:i/>
          <w:szCs w:val="26"/>
        </w:rPr>
        <w:t>to</w:t>
      </w:r>
      <w:proofErr w:type="spellEnd"/>
      <w:r w:rsidRPr="00AD5EAC">
        <w:rPr>
          <w:i/>
          <w:szCs w:val="26"/>
        </w:rPr>
        <w:t xml:space="preserve"> </w:t>
      </w:r>
      <w:proofErr w:type="spellStart"/>
      <w:r w:rsidRPr="00AD5EAC">
        <w:rPr>
          <w:i/>
          <w:szCs w:val="26"/>
        </w:rPr>
        <w:t>Scale</w:t>
      </w:r>
      <w:proofErr w:type="spellEnd"/>
      <w:r w:rsidRPr="00AD5EAC">
        <w:rPr>
          <w:szCs w:val="26"/>
        </w:rPr>
        <w:t xml:space="preserve">), com orientação </w:t>
      </w:r>
      <w:r w:rsidRPr="00AD5EAC">
        <w:rPr>
          <w:i/>
          <w:szCs w:val="26"/>
        </w:rPr>
        <w:t>output</w:t>
      </w:r>
      <w:r w:rsidRPr="00AD5EAC">
        <w:rPr>
          <w:szCs w:val="26"/>
        </w:rPr>
        <w:t xml:space="preserve"> que maximiza o nível de produção mantendo o mesmo nível de insumos (TSHAFFON; MEZA, 2014). </w:t>
      </w:r>
    </w:p>
    <w:p w:rsidR="0045463A" w:rsidRPr="00AD5EAC" w:rsidRDefault="0045463A" w:rsidP="0045463A">
      <w:pPr>
        <w:spacing w:line="360" w:lineRule="auto"/>
        <w:rPr>
          <w:szCs w:val="26"/>
        </w:rPr>
      </w:pPr>
      <w:r w:rsidRPr="00AD5EAC">
        <w:rPr>
          <w:szCs w:val="26"/>
        </w:rPr>
        <w:t xml:space="preserve">Após o cálculo da escala de eficiência referente aos anos de 2010 a 2013, dos 27 municípios catarinenses, foi realizado um modelo de regressão </w:t>
      </w:r>
      <w:proofErr w:type="spellStart"/>
      <w:r w:rsidRPr="00AD5EAC">
        <w:rPr>
          <w:szCs w:val="26"/>
        </w:rPr>
        <w:t>Tobit</w:t>
      </w:r>
      <w:proofErr w:type="spellEnd"/>
      <w:r w:rsidRPr="00AD5EAC">
        <w:rPr>
          <w:szCs w:val="26"/>
        </w:rPr>
        <w:t xml:space="preserve"> com dados em painel e um modelo de regressão com efeitos aleatórios em dados em painel. Segundo </w:t>
      </w:r>
      <w:proofErr w:type="spellStart"/>
      <w:r w:rsidRPr="00AD5EAC">
        <w:rPr>
          <w:szCs w:val="26"/>
        </w:rPr>
        <w:t>Hoff</w:t>
      </w:r>
      <w:proofErr w:type="spellEnd"/>
      <w:r w:rsidRPr="00AD5EAC">
        <w:rPr>
          <w:szCs w:val="26"/>
        </w:rPr>
        <w:t xml:space="preserve"> (2007), tanto o modelo de Regressão </w:t>
      </w:r>
      <w:proofErr w:type="spellStart"/>
      <w:r w:rsidRPr="00AD5EAC">
        <w:rPr>
          <w:szCs w:val="26"/>
        </w:rPr>
        <w:t>Tobit</w:t>
      </w:r>
      <w:proofErr w:type="spellEnd"/>
      <w:r w:rsidRPr="00AD5EAC">
        <w:rPr>
          <w:szCs w:val="26"/>
        </w:rPr>
        <w:t xml:space="preserve">, quanto o modelo de Mínimos Quadrados Ordinários (MQO), são suficientes para o chamado “segundo estágio” da Análise Envoltória de Dados. </w:t>
      </w:r>
    </w:p>
    <w:p w:rsidR="0045463A" w:rsidRPr="00AD5EAC" w:rsidRDefault="0045463A" w:rsidP="0045463A">
      <w:pPr>
        <w:spacing w:line="360" w:lineRule="auto"/>
        <w:rPr>
          <w:szCs w:val="26"/>
        </w:rPr>
      </w:pPr>
      <w:r w:rsidRPr="00AD5EAC">
        <w:rPr>
          <w:szCs w:val="26"/>
        </w:rPr>
        <w:t xml:space="preserve">Porém, </w:t>
      </w:r>
      <w:proofErr w:type="spellStart"/>
      <w:r w:rsidRPr="00AD5EAC">
        <w:rPr>
          <w:szCs w:val="26"/>
        </w:rPr>
        <w:t>Sueyoshi</w:t>
      </w:r>
      <w:proofErr w:type="spellEnd"/>
      <w:r w:rsidRPr="00AD5EAC">
        <w:rPr>
          <w:szCs w:val="26"/>
        </w:rPr>
        <w:t xml:space="preserve">, Goto e </w:t>
      </w:r>
      <w:proofErr w:type="spellStart"/>
      <w:r w:rsidRPr="00AD5EAC">
        <w:rPr>
          <w:szCs w:val="26"/>
        </w:rPr>
        <w:t>Omi</w:t>
      </w:r>
      <w:proofErr w:type="spellEnd"/>
      <w:r w:rsidRPr="00AD5EAC">
        <w:rPr>
          <w:szCs w:val="26"/>
        </w:rPr>
        <w:t xml:space="preserve"> (2010) afirmam que o modelo de Regressão </w:t>
      </w:r>
      <w:proofErr w:type="spellStart"/>
      <w:r w:rsidRPr="00AD5EAC">
        <w:rPr>
          <w:szCs w:val="26"/>
        </w:rPr>
        <w:t>Tobit</w:t>
      </w:r>
      <w:proofErr w:type="spellEnd"/>
      <w:r w:rsidRPr="00AD5EAC">
        <w:rPr>
          <w:szCs w:val="26"/>
        </w:rPr>
        <w:t xml:space="preserve"> é mais adequado para a segunda fase da DEA pois o MQO acaba se tornando tendencioso pela característica truncada da eficiência. Diniz (2012) ainda completa que os estimadores da regressão podem também ser calculados pelo método dos mínimos quadrados ordinários (MQO), no entanto, </w:t>
      </w:r>
      <w:r w:rsidRPr="00AD5EAC">
        <w:rPr>
          <w:szCs w:val="26"/>
        </w:rPr>
        <w:lastRenderedPageBreak/>
        <w:t xml:space="preserve">uma vez que os escores de eficiência apresentam-se entre valores de 0 a 1, o mais correto é usar o método </w:t>
      </w:r>
      <w:proofErr w:type="spellStart"/>
      <w:r w:rsidRPr="00AD5EAC">
        <w:rPr>
          <w:szCs w:val="26"/>
        </w:rPr>
        <w:t>Tobit</w:t>
      </w:r>
      <w:proofErr w:type="spellEnd"/>
      <w:r w:rsidRPr="00AD5EAC">
        <w:rPr>
          <w:szCs w:val="26"/>
        </w:rPr>
        <w:t xml:space="preserve">. O autor afirma que há uma limitação do modelo </w:t>
      </w:r>
      <w:proofErr w:type="spellStart"/>
      <w:r w:rsidRPr="00AD5EAC">
        <w:rPr>
          <w:szCs w:val="26"/>
        </w:rPr>
        <w:t>Tobit</w:t>
      </w:r>
      <w:proofErr w:type="spellEnd"/>
      <w:r w:rsidRPr="00AD5EAC">
        <w:rPr>
          <w:szCs w:val="26"/>
        </w:rPr>
        <w:t xml:space="preserve"> uma vez que existe correlação entre as variáveis e os inputs e outputs do modelo DEA. Por tanto, optou-se por utilizar tanto um modelo de regressão </w:t>
      </w:r>
      <w:proofErr w:type="spellStart"/>
      <w:r w:rsidRPr="00AD5EAC">
        <w:rPr>
          <w:szCs w:val="26"/>
        </w:rPr>
        <w:t>Tobit</w:t>
      </w:r>
      <w:proofErr w:type="spellEnd"/>
      <w:r w:rsidRPr="00AD5EAC">
        <w:rPr>
          <w:szCs w:val="26"/>
        </w:rPr>
        <w:t xml:space="preserve"> quanto MQO. Utilizou-se o </w:t>
      </w:r>
      <w:r w:rsidRPr="00AD5EAC">
        <w:rPr>
          <w:i/>
          <w:szCs w:val="26"/>
        </w:rPr>
        <w:t xml:space="preserve">software </w:t>
      </w:r>
      <w:r w:rsidRPr="00AD5EAC">
        <w:rPr>
          <w:szCs w:val="26"/>
        </w:rPr>
        <w:t>STATA® para as análises estatísticas, tento em si um painel curto e com dados balanceados. O modelo construído segue abaixo:</w:t>
      </w:r>
    </w:p>
    <w:p w:rsidR="0045463A" w:rsidRPr="00DA6281" w:rsidRDefault="00530F3D" w:rsidP="0045463A">
      <w:pPr>
        <w:spacing w:line="360" w:lineRule="auto"/>
        <w:rPr>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it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1it</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1it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2it</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2it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3it</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3it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it</m:t>
              </m:r>
            </m:sub>
          </m:sSub>
        </m:oMath>
      </m:oMathPara>
    </w:p>
    <w:p w:rsidR="0045463A" w:rsidRPr="00AD5EAC" w:rsidRDefault="0045463A" w:rsidP="0045463A">
      <w:pPr>
        <w:spacing w:line="360" w:lineRule="auto"/>
        <w:rPr>
          <w:szCs w:val="26"/>
        </w:rPr>
      </w:pPr>
      <w:r w:rsidRPr="00AD5EAC">
        <w:rPr>
          <w:szCs w:val="26"/>
        </w:rPr>
        <w:t xml:space="preserve">Onde: </w:t>
      </w:r>
      <w:r w:rsidRPr="00AD5EAC">
        <w:rPr>
          <w:rFonts w:ascii="Symbol" w:hAnsi="Symbol"/>
          <w:szCs w:val="26"/>
        </w:rPr>
        <w:t></w:t>
      </w:r>
      <w:r w:rsidRPr="00AD5EAC">
        <w:rPr>
          <w:szCs w:val="26"/>
        </w:rPr>
        <w:t xml:space="preserve"> é a escala de eficiência calculada pela DEA do indivíduo </w:t>
      </w:r>
      <w:r w:rsidRPr="00AD5EAC">
        <w:rPr>
          <w:i/>
          <w:szCs w:val="26"/>
        </w:rPr>
        <w:t>i</w:t>
      </w:r>
      <w:r w:rsidRPr="00AD5EAC">
        <w:rPr>
          <w:szCs w:val="26"/>
        </w:rPr>
        <w:t xml:space="preserve"> (municípios) no tempo </w:t>
      </w:r>
      <w:r w:rsidRPr="00AD5EAC">
        <w:rPr>
          <w:i/>
          <w:szCs w:val="26"/>
        </w:rPr>
        <w:t>t</w:t>
      </w:r>
      <w:r w:rsidRPr="00AD5EAC">
        <w:rPr>
          <w:szCs w:val="26"/>
        </w:rPr>
        <w:t xml:space="preserve"> (2010 a 2013); </w:t>
      </w:r>
      <w:r w:rsidRPr="00AD5EAC">
        <w:rPr>
          <w:rFonts w:ascii="Symbol" w:hAnsi="Symbol"/>
          <w:szCs w:val="26"/>
        </w:rPr>
        <w:t></w:t>
      </w:r>
      <w:r w:rsidRPr="00AD5EAC">
        <w:rPr>
          <w:rFonts w:ascii="Symbol" w:hAnsi="Symbol"/>
          <w:szCs w:val="26"/>
        </w:rPr>
        <w:t></w:t>
      </w:r>
      <w:r w:rsidRPr="00AD5EAC">
        <w:rPr>
          <w:szCs w:val="26"/>
        </w:rPr>
        <w:t xml:space="preserve">é a constante da função do indivíduo </w:t>
      </w:r>
      <w:r w:rsidRPr="00AD5EAC">
        <w:rPr>
          <w:i/>
          <w:szCs w:val="26"/>
        </w:rPr>
        <w:t xml:space="preserve">i </w:t>
      </w:r>
      <w:r w:rsidRPr="00AD5EAC">
        <w:rPr>
          <w:szCs w:val="26"/>
        </w:rPr>
        <w:t xml:space="preserve">no tempo </w:t>
      </w:r>
      <w:r w:rsidRPr="00AD5EAC">
        <w:rPr>
          <w:i/>
          <w:szCs w:val="26"/>
        </w:rPr>
        <w:t>t</w:t>
      </w:r>
      <w:r w:rsidRPr="00AD5EAC">
        <w:rPr>
          <w:szCs w:val="26"/>
        </w:rPr>
        <w:t xml:space="preserve">, </w:t>
      </w:r>
      <w:r w:rsidRPr="00AD5EAC">
        <w:rPr>
          <w:rFonts w:ascii="Symbol" w:hAnsi="Symbol"/>
          <w:szCs w:val="26"/>
        </w:rPr>
        <w:t></w:t>
      </w:r>
      <w:r w:rsidRPr="00AD5EAC">
        <w:rPr>
          <w:rFonts w:ascii="Symbol" w:hAnsi="Symbol"/>
          <w:szCs w:val="26"/>
          <w:vertAlign w:val="subscript"/>
        </w:rPr>
        <w:t></w:t>
      </w:r>
      <w:r w:rsidRPr="00AD5EAC">
        <w:rPr>
          <w:rFonts w:ascii="Symbol" w:hAnsi="Symbol"/>
          <w:szCs w:val="26"/>
        </w:rPr>
        <w:t></w:t>
      </w:r>
      <w:r w:rsidRPr="00AD5EAC">
        <w:rPr>
          <w:rFonts w:ascii="Symbol" w:hAnsi="Symbol"/>
          <w:szCs w:val="26"/>
        </w:rPr>
        <w:t></w:t>
      </w:r>
      <w:r w:rsidRPr="00AD5EAC">
        <w:rPr>
          <w:rFonts w:ascii="Symbol" w:hAnsi="Symbol"/>
          <w:szCs w:val="26"/>
        </w:rPr>
        <w:t></w:t>
      </w:r>
      <w:r w:rsidRPr="00AD5EAC">
        <w:rPr>
          <w:rFonts w:ascii="Symbol" w:hAnsi="Symbol"/>
          <w:szCs w:val="26"/>
          <w:vertAlign w:val="subscript"/>
        </w:rPr>
        <w:t></w:t>
      </w:r>
      <w:r w:rsidRPr="00AD5EAC">
        <w:rPr>
          <w:rFonts w:ascii="Symbol" w:hAnsi="Symbol"/>
          <w:szCs w:val="26"/>
        </w:rPr>
        <w:t></w:t>
      </w:r>
      <w:r w:rsidRPr="00AD5EAC">
        <w:rPr>
          <w:szCs w:val="26"/>
        </w:rPr>
        <w:t>e</w:t>
      </w:r>
      <w:r w:rsidRPr="00AD5EAC">
        <w:rPr>
          <w:rFonts w:ascii="Symbol" w:hAnsi="Symbol"/>
          <w:szCs w:val="26"/>
        </w:rPr>
        <w:t></w:t>
      </w:r>
      <w:r w:rsidRPr="00AD5EAC">
        <w:rPr>
          <w:rFonts w:ascii="Symbol" w:hAnsi="Symbol"/>
          <w:szCs w:val="26"/>
        </w:rPr>
        <w:t></w:t>
      </w:r>
      <w:r w:rsidRPr="00AD5EAC">
        <w:rPr>
          <w:rFonts w:ascii="Symbol" w:hAnsi="Symbol"/>
          <w:szCs w:val="26"/>
          <w:vertAlign w:val="subscript"/>
        </w:rPr>
        <w:t></w:t>
      </w:r>
      <w:r w:rsidRPr="00AD5EAC">
        <w:rPr>
          <w:rFonts w:ascii="Symbol" w:hAnsi="Symbol"/>
          <w:szCs w:val="26"/>
        </w:rPr>
        <w:t></w:t>
      </w:r>
      <w:r w:rsidRPr="00AD5EAC">
        <w:rPr>
          <w:szCs w:val="26"/>
        </w:rPr>
        <w:t xml:space="preserve"> são os coeficientes estimados da regressão do indivíduo </w:t>
      </w:r>
      <w:r w:rsidRPr="00AD5EAC">
        <w:rPr>
          <w:i/>
          <w:szCs w:val="26"/>
        </w:rPr>
        <w:t xml:space="preserve">i </w:t>
      </w:r>
      <w:r w:rsidRPr="00AD5EAC">
        <w:rPr>
          <w:szCs w:val="26"/>
        </w:rPr>
        <w:t xml:space="preserve">no tempo </w:t>
      </w:r>
      <w:r w:rsidRPr="00AD5EAC">
        <w:rPr>
          <w:i/>
          <w:szCs w:val="26"/>
        </w:rPr>
        <w:t>t</w:t>
      </w:r>
      <w:r w:rsidRPr="00AD5EAC">
        <w:rPr>
          <w:szCs w:val="26"/>
        </w:rPr>
        <w:t xml:space="preserve">, </w:t>
      </w:r>
      <w:r w:rsidRPr="00AD5EAC">
        <w:rPr>
          <w:rFonts w:ascii="Symbol" w:hAnsi="Symbol"/>
          <w:szCs w:val="26"/>
        </w:rPr>
        <w:t></w:t>
      </w:r>
      <w:r w:rsidRPr="00AD5EAC">
        <w:rPr>
          <w:rFonts w:ascii="Symbol" w:hAnsi="Symbol"/>
          <w:szCs w:val="26"/>
        </w:rPr>
        <w:t></w:t>
      </w:r>
      <w:r w:rsidRPr="00AD5EAC">
        <w:rPr>
          <w:szCs w:val="26"/>
        </w:rPr>
        <w:t xml:space="preserve">é o fator de erro da regressão do indivíduo </w:t>
      </w:r>
      <w:r w:rsidRPr="00AD5EAC">
        <w:rPr>
          <w:i/>
          <w:szCs w:val="26"/>
        </w:rPr>
        <w:t xml:space="preserve">i </w:t>
      </w:r>
      <w:r w:rsidRPr="00AD5EAC">
        <w:rPr>
          <w:szCs w:val="26"/>
        </w:rPr>
        <w:t xml:space="preserve">no tempo </w:t>
      </w:r>
      <w:r w:rsidRPr="00AD5EAC">
        <w:rPr>
          <w:i/>
          <w:szCs w:val="26"/>
        </w:rPr>
        <w:t>t</w:t>
      </w:r>
      <w:r w:rsidRPr="00AD5EAC">
        <w:rPr>
          <w:szCs w:val="26"/>
        </w:rPr>
        <w:t xml:space="preserve"> e X</w:t>
      </w:r>
      <w:r w:rsidRPr="00AD5EAC">
        <w:rPr>
          <w:szCs w:val="26"/>
          <w:vertAlign w:val="subscript"/>
        </w:rPr>
        <w:t>1</w:t>
      </w:r>
      <w:r w:rsidRPr="00AD5EAC">
        <w:rPr>
          <w:szCs w:val="26"/>
        </w:rPr>
        <w:t>; X</w:t>
      </w:r>
      <w:r w:rsidRPr="00AD5EAC">
        <w:rPr>
          <w:szCs w:val="26"/>
          <w:vertAlign w:val="subscript"/>
        </w:rPr>
        <w:t>2</w:t>
      </w:r>
      <w:r w:rsidRPr="00AD5EAC">
        <w:rPr>
          <w:szCs w:val="26"/>
        </w:rPr>
        <w:t xml:space="preserve"> e X</w:t>
      </w:r>
      <w:r w:rsidRPr="00AD5EAC">
        <w:rPr>
          <w:szCs w:val="26"/>
          <w:vertAlign w:val="subscript"/>
        </w:rPr>
        <w:t>3</w:t>
      </w:r>
      <w:r w:rsidRPr="00AD5EAC">
        <w:rPr>
          <w:szCs w:val="26"/>
        </w:rPr>
        <w:t xml:space="preserve"> são as variáveis independentes do indivíduo </w:t>
      </w:r>
      <w:r w:rsidRPr="00AD5EAC">
        <w:rPr>
          <w:i/>
          <w:szCs w:val="26"/>
        </w:rPr>
        <w:t xml:space="preserve">i </w:t>
      </w:r>
      <w:r w:rsidRPr="00AD5EAC">
        <w:rPr>
          <w:szCs w:val="26"/>
        </w:rPr>
        <w:t xml:space="preserve">no tempo </w:t>
      </w:r>
      <w:r w:rsidRPr="00AD5EAC">
        <w:rPr>
          <w:i/>
          <w:szCs w:val="26"/>
        </w:rPr>
        <w:t>t</w:t>
      </w:r>
      <w:r w:rsidRPr="00AD5EAC">
        <w:rPr>
          <w:szCs w:val="26"/>
        </w:rPr>
        <w:t xml:space="preserve"> do modelo definidas a seguir: X</w:t>
      </w:r>
      <w:r w:rsidRPr="00AD5EAC">
        <w:rPr>
          <w:szCs w:val="26"/>
          <w:vertAlign w:val="subscript"/>
        </w:rPr>
        <w:t>1</w:t>
      </w:r>
      <w:r w:rsidRPr="00AD5EAC">
        <w:rPr>
          <w:szCs w:val="26"/>
        </w:rPr>
        <w:t xml:space="preserve"> – Índice de Desenvolvimento Humano Municipal (IDHM); X</w:t>
      </w:r>
      <w:r w:rsidRPr="00AD5EAC">
        <w:rPr>
          <w:szCs w:val="26"/>
          <w:vertAlign w:val="subscript"/>
        </w:rPr>
        <w:t>2</w:t>
      </w:r>
      <w:r w:rsidRPr="00AD5EAC">
        <w:rPr>
          <w:szCs w:val="26"/>
        </w:rPr>
        <w:t xml:space="preserve"> – Densidade demográfica; X</w:t>
      </w:r>
      <w:r w:rsidRPr="00AD5EAC">
        <w:rPr>
          <w:szCs w:val="26"/>
          <w:vertAlign w:val="subscript"/>
        </w:rPr>
        <w:t>3</w:t>
      </w:r>
      <w:r w:rsidRPr="00AD5EAC">
        <w:rPr>
          <w:szCs w:val="26"/>
        </w:rPr>
        <w:t xml:space="preserve"> – Produto Interno Bruto do Município (PIB).</w:t>
      </w:r>
    </w:p>
    <w:p w:rsidR="0045463A" w:rsidRPr="00AD5EAC" w:rsidRDefault="0045463A" w:rsidP="0045463A">
      <w:pPr>
        <w:spacing w:line="360" w:lineRule="auto"/>
        <w:ind w:firstLine="708"/>
        <w:rPr>
          <w:szCs w:val="26"/>
        </w:rPr>
      </w:pPr>
      <w:r w:rsidRPr="00AD5EAC">
        <w:rPr>
          <w:szCs w:val="26"/>
        </w:rPr>
        <w:t>Para a variável IDHM espera-se que quanto maior o IDHM do município, maior seja o índice de eficiência do mesmo. A expectativa é de que a longevidade, educação e renda, componentes de cálculo do IDHM, estejam influenciadas de maneira positiva pelos investimentos das prestadoras municipais de serviços de saneamento.</w:t>
      </w:r>
    </w:p>
    <w:p w:rsidR="0045463A" w:rsidRPr="00AD5EAC" w:rsidRDefault="0045463A" w:rsidP="0045463A">
      <w:pPr>
        <w:spacing w:line="360" w:lineRule="auto"/>
        <w:ind w:firstLine="708"/>
        <w:rPr>
          <w:szCs w:val="26"/>
        </w:rPr>
      </w:pPr>
      <w:r w:rsidRPr="00AD5EAC">
        <w:rPr>
          <w:szCs w:val="26"/>
        </w:rPr>
        <w:t>Quanto ao PIB dos munícipios é esperado que o crescimento desta variável tenha reflexos positivos dos investimentos em saneamento uma vez que, existiria uma maior base de arrecadação dos municípios. Espera-se que a variável densidade demográfica tenha uma relação negativa com o índice de eficiência uma vez que seriam necessários maiores investimentos para atender um maior número de habitantes por quilômetro quadrado.</w:t>
      </w:r>
    </w:p>
    <w:p w:rsidR="0045463A" w:rsidRPr="00AD5EAC" w:rsidRDefault="0045463A" w:rsidP="0045463A">
      <w:pPr>
        <w:spacing w:line="360" w:lineRule="auto"/>
        <w:rPr>
          <w:szCs w:val="26"/>
        </w:rPr>
      </w:pPr>
      <w:r w:rsidRPr="00AD5EAC">
        <w:rPr>
          <w:szCs w:val="26"/>
        </w:rPr>
        <w:t xml:space="preserve">Para a amostra do estudo foram investigadas as prestadoras de serviço de saneamento dos municípios do estado de Santa Catarina através do </w:t>
      </w:r>
      <w:r w:rsidRPr="00AD5EAC">
        <w:rPr>
          <w:i/>
          <w:szCs w:val="26"/>
        </w:rPr>
        <w:t>website</w:t>
      </w:r>
      <w:r w:rsidRPr="00AD5EAC">
        <w:rPr>
          <w:szCs w:val="26"/>
        </w:rPr>
        <w:t xml:space="preserve"> do Sistema Nacional de Informação Sobre Saneamento (SNIS), dos anos de 2010 a 2013.</w:t>
      </w:r>
    </w:p>
    <w:p w:rsidR="0045463A" w:rsidRPr="00AD5EAC" w:rsidRDefault="0045463A" w:rsidP="0045463A">
      <w:pPr>
        <w:spacing w:after="240" w:line="360" w:lineRule="auto"/>
        <w:rPr>
          <w:szCs w:val="26"/>
        </w:rPr>
      </w:pPr>
      <w:r w:rsidRPr="00AD5EAC">
        <w:rPr>
          <w:szCs w:val="26"/>
        </w:rPr>
        <w:t xml:space="preserve">O estado de Santa Catarina conta com 298 municípios, deste total apenas 27 municípios </w:t>
      </w:r>
      <w:r w:rsidRPr="00AD5EAC">
        <w:rPr>
          <w:szCs w:val="26"/>
        </w:rPr>
        <w:lastRenderedPageBreak/>
        <w:t>continham informações suficientes disponíveis para avaliar a eficiência de acordo com o modelo proposto pela pesquisa. Os municípios que constam na amostra final e as informações do prestador, como o tipo de serviço e a natureza jurídica, estão apresentados conforme Quadro 2.</w:t>
      </w:r>
    </w:p>
    <w:p w:rsidR="0045463A" w:rsidRPr="00552386" w:rsidRDefault="00552386" w:rsidP="00552386">
      <w:pPr>
        <w:spacing w:line="360" w:lineRule="auto"/>
        <w:jc w:val="center"/>
        <w:rPr>
          <w:b/>
          <w:sz w:val="20"/>
          <w:szCs w:val="26"/>
        </w:rPr>
      </w:pPr>
      <w:r w:rsidRPr="00A527CF">
        <w:rPr>
          <w:b/>
          <w:sz w:val="20"/>
          <w:szCs w:val="26"/>
        </w:rPr>
        <w:t>Quadro 2 - Municíp</w:t>
      </w:r>
      <w:r>
        <w:rPr>
          <w:b/>
          <w:sz w:val="20"/>
          <w:szCs w:val="26"/>
        </w:rPr>
        <w:t>ios selecionados para a pesquisa</w:t>
      </w:r>
    </w:p>
    <w:tbl>
      <w:tblPr>
        <w:tblW w:w="9070" w:type="dxa"/>
        <w:tblCellMar>
          <w:left w:w="70" w:type="dxa"/>
          <w:right w:w="70" w:type="dxa"/>
        </w:tblCellMar>
        <w:tblLook w:val="04A0" w:firstRow="1" w:lastRow="0" w:firstColumn="1" w:lastColumn="0" w:noHBand="0" w:noVBand="1"/>
      </w:tblPr>
      <w:tblGrid>
        <w:gridCol w:w="1359"/>
        <w:gridCol w:w="2536"/>
        <w:gridCol w:w="1259"/>
        <w:gridCol w:w="1329"/>
        <w:gridCol w:w="2587"/>
      </w:tblGrid>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45463A" w:rsidRPr="00E0509C" w:rsidRDefault="0045463A" w:rsidP="0045463A">
            <w:pPr>
              <w:ind w:firstLine="0"/>
              <w:jc w:val="center"/>
              <w:rPr>
                <w:b/>
                <w:bCs/>
                <w:color w:val="000000"/>
                <w:sz w:val="20"/>
              </w:rPr>
            </w:pPr>
            <w:r w:rsidRPr="00E0509C">
              <w:rPr>
                <w:b/>
                <w:bCs/>
                <w:color w:val="000000"/>
                <w:sz w:val="20"/>
              </w:rPr>
              <w:t>Município</w:t>
            </w:r>
          </w:p>
        </w:tc>
        <w:tc>
          <w:tcPr>
            <w:tcW w:w="2536" w:type="dxa"/>
            <w:tcBorders>
              <w:top w:val="single" w:sz="4" w:space="0" w:color="auto"/>
              <w:left w:val="nil"/>
              <w:bottom w:val="single" w:sz="4" w:space="0" w:color="auto"/>
              <w:right w:val="single" w:sz="4" w:space="0" w:color="auto"/>
            </w:tcBorders>
            <w:shd w:val="clear" w:color="000000" w:fill="BFBFBF"/>
            <w:vAlign w:val="center"/>
            <w:hideMark/>
          </w:tcPr>
          <w:p w:rsidR="0045463A" w:rsidRPr="00E0509C" w:rsidRDefault="0045463A" w:rsidP="0045463A">
            <w:pPr>
              <w:ind w:firstLine="0"/>
              <w:jc w:val="center"/>
              <w:rPr>
                <w:b/>
                <w:bCs/>
                <w:color w:val="000000"/>
                <w:sz w:val="20"/>
              </w:rPr>
            </w:pPr>
            <w:r w:rsidRPr="00E0509C">
              <w:rPr>
                <w:b/>
                <w:bCs/>
                <w:color w:val="000000"/>
                <w:sz w:val="20"/>
              </w:rPr>
              <w:t>Prestador</w:t>
            </w:r>
          </w:p>
        </w:tc>
        <w:tc>
          <w:tcPr>
            <w:tcW w:w="1259" w:type="dxa"/>
            <w:tcBorders>
              <w:top w:val="single" w:sz="4" w:space="0" w:color="auto"/>
              <w:left w:val="nil"/>
              <w:bottom w:val="single" w:sz="4" w:space="0" w:color="auto"/>
              <w:right w:val="single" w:sz="4" w:space="0" w:color="auto"/>
            </w:tcBorders>
            <w:shd w:val="clear" w:color="000000" w:fill="BFBFBF"/>
            <w:vAlign w:val="center"/>
            <w:hideMark/>
          </w:tcPr>
          <w:p w:rsidR="0045463A" w:rsidRPr="00E0509C" w:rsidRDefault="0045463A" w:rsidP="0045463A">
            <w:pPr>
              <w:ind w:firstLine="0"/>
              <w:jc w:val="center"/>
              <w:rPr>
                <w:b/>
                <w:bCs/>
                <w:color w:val="000000"/>
                <w:sz w:val="20"/>
              </w:rPr>
            </w:pPr>
            <w:r w:rsidRPr="00E0509C">
              <w:rPr>
                <w:b/>
                <w:bCs/>
                <w:color w:val="000000"/>
                <w:sz w:val="20"/>
              </w:rPr>
              <w:t>Sigla do Prestador</w:t>
            </w:r>
          </w:p>
        </w:tc>
        <w:tc>
          <w:tcPr>
            <w:tcW w:w="1329" w:type="dxa"/>
            <w:tcBorders>
              <w:top w:val="single" w:sz="4" w:space="0" w:color="auto"/>
              <w:left w:val="nil"/>
              <w:bottom w:val="single" w:sz="4" w:space="0" w:color="auto"/>
              <w:right w:val="single" w:sz="4" w:space="0" w:color="auto"/>
            </w:tcBorders>
            <w:shd w:val="clear" w:color="000000" w:fill="BFBFBF"/>
            <w:vAlign w:val="center"/>
            <w:hideMark/>
          </w:tcPr>
          <w:p w:rsidR="0045463A" w:rsidRPr="00E0509C" w:rsidRDefault="0045463A" w:rsidP="0045463A">
            <w:pPr>
              <w:ind w:firstLine="0"/>
              <w:jc w:val="center"/>
              <w:rPr>
                <w:b/>
                <w:bCs/>
                <w:color w:val="000000"/>
                <w:sz w:val="20"/>
              </w:rPr>
            </w:pPr>
            <w:r w:rsidRPr="00E0509C">
              <w:rPr>
                <w:b/>
                <w:bCs/>
                <w:color w:val="000000"/>
                <w:sz w:val="20"/>
              </w:rPr>
              <w:t>Tipo de serviço</w:t>
            </w:r>
          </w:p>
        </w:tc>
        <w:tc>
          <w:tcPr>
            <w:tcW w:w="2587" w:type="dxa"/>
            <w:tcBorders>
              <w:top w:val="single" w:sz="4" w:space="0" w:color="auto"/>
              <w:left w:val="nil"/>
              <w:bottom w:val="single" w:sz="4" w:space="0" w:color="auto"/>
              <w:right w:val="single" w:sz="4" w:space="0" w:color="auto"/>
            </w:tcBorders>
            <w:shd w:val="clear" w:color="000000" w:fill="BFBFBF"/>
            <w:vAlign w:val="center"/>
            <w:hideMark/>
          </w:tcPr>
          <w:p w:rsidR="0045463A" w:rsidRPr="00E0509C" w:rsidRDefault="0045463A" w:rsidP="0045463A">
            <w:pPr>
              <w:ind w:firstLine="0"/>
              <w:jc w:val="center"/>
              <w:rPr>
                <w:b/>
                <w:bCs/>
                <w:color w:val="000000"/>
                <w:sz w:val="20"/>
              </w:rPr>
            </w:pPr>
            <w:r w:rsidRPr="00E0509C">
              <w:rPr>
                <w:b/>
                <w:bCs/>
                <w:color w:val="000000"/>
                <w:sz w:val="20"/>
              </w:rPr>
              <w:t>Natureza jurídica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Balneário Camboriú</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Empresa Municipal de Água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EMASA</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Bombinhas</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Campos Novos</w:t>
            </w:r>
          </w:p>
        </w:tc>
        <w:tc>
          <w:tcPr>
            <w:tcW w:w="2536"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Municipal de Água e Esgoto</w:t>
            </w:r>
          </w:p>
        </w:tc>
        <w:tc>
          <w:tcPr>
            <w:tcW w:w="125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proofErr w:type="spellStart"/>
            <w:r w:rsidRPr="00E0509C">
              <w:rPr>
                <w:color w:val="000000"/>
                <w:sz w:val="20"/>
              </w:rPr>
              <w:t>Catanduvas</w:t>
            </w:r>
            <w:proofErr w:type="spellEnd"/>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Chapecó</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Concórdia</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Dionísio Cerqueira</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Florianópolis</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Fraiburgo</w:t>
            </w:r>
          </w:p>
        </w:tc>
        <w:tc>
          <w:tcPr>
            <w:tcW w:w="2536"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 Municipal de Saneamento de Fraiburgo</w:t>
            </w:r>
          </w:p>
        </w:tc>
        <w:tc>
          <w:tcPr>
            <w:tcW w:w="125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SANEFRAI</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proofErr w:type="spellStart"/>
            <w:r w:rsidRPr="00E0509C">
              <w:rPr>
                <w:color w:val="000000"/>
                <w:sz w:val="20"/>
              </w:rPr>
              <w:t>Gravatal</w:t>
            </w:r>
            <w:proofErr w:type="spellEnd"/>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Herval D'Oeste</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Intermunicipal de Água e Esgoto</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SIMAE</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Itapema</w:t>
            </w:r>
          </w:p>
        </w:tc>
        <w:tc>
          <w:tcPr>
            <w:tcW w:w="2536"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 xml:space="preserve">Companhia Águas de Itapema </w:t>
            </w:r>
            <w:proofErr w:type="spellStart"/>
            <w:r w:rsidRPr="00E0509C">
              <w:rPr>
                <w:color w:val="000000"/>
                <w:sz w:val="20"/>
              </w:rPr>
              <w:t>Ltda</w:t>
            </w:r>
            <w:proofErr w:type="spellEnd"/>
          </w:p>
        </w:tc>
        <w:tc>
          <w:tcPr>
            <w:tcW w:w="125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CIA de Águas</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Empresa privada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Jaraguá do Sul</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Municipal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Joaçaba</w:t>
            </w:r>
          </w:p>
        </w:tc>
        <w:tc>
          <w:tcPr>
            <w:tcW w:w="2536"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Intermunicipal de Água e Esgoto</w:t>
            </w:r>
          </w:p>
        </w:tc>
        <w:tc>
          <w:tcPr>
            <w:tcW w:w="125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SIMAE</w:t>
            </w:r>
          </w:p>
        </w:tc>
        <w:tc>
          <w:tcPr>
            <w:tcW w:w="1329"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single" w:sz="4" w:space="0" w:color="auto"/>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Joinville</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Águas de Joinville</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CAJ</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Lages</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Secretaria Municipal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SEMASA</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Laguna</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Luzerna</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Intermunicipal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SIMAE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lastRenderedPageBreak/>
              <w:t>Orleans</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Municipal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Porto União</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de Saneamento do Paraná</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SANEPAR</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privada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Rio Negrinho</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de Saneamento Básico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São Bento do Sul</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Municipal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São Joaquim</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São José</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São Ludgero</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Treze Tílias</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Companhia Catarinense de Águas e Saneamento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CASAN</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Sociedade de economia mista com administração pública</w:t>
            </w:r>
          </w:p>
        </w:tc>
      </w:tr>
      <w:tr w:rsidR="0045463A" w:rsidRPr="00E0509C" w:rsidTr="0045463A">
        <w:trPr>
          <w:trHeight w:val="445"/>
        </w:trPr>
        <w:tc>
          <w:tcPr>
            <w:tcW w:w="1359" w:type="dxa"/>
            <w:tcBorders>
              <w:top w:val="nil"/>
              <w:left w:val="single" w:sz="4" w:space="0" w:color="auto"/>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Urussanga</w:t>
            </w:r>
          </w:p>
        </w:tc>
        <w:tc>
          <w:tcPr>
            <w:tcW w:w="2536"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Serviço Autônomo Municipal de Água e Esgoto</w:t>
            </w:r>
          </w:p>
        </w:tc>
        <w:tc>
          <w:tcPr>
            <w:tcW w:w="125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SAMAE</w:t>
            </w:r>
          </w:p>
        </w:tc>
        <w:tc>
          <w:tcPr>
            <w:tcW w:w="1329"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Água e Esgoto</w:t>
            </w:r>
          </w:p>
        </w:tc>
        <w:tc>
          <w:tcPr>
            <w:tcW w:w="2587" w:type="dxa"/>
            <w:tcBorders>
              <w:top w:val="nil"/>
              <w:left w:val="nil"/>
              <w:bottom w:val="single" w:sz="4" w:space="0" w:color="auto"/>
              <w:right w:val="single" w:sz="4" w:space="0" w:color="auto"/>
            </w:tcBorders>
            <w:shd w:val="clear" w:color="auto" w:fill="auto"/>
            <w:vAlign w:val="center"/>
            <w:hideMark/>
          </w:tcPr>
          <w:p w:rsidR="0045463A" w:rsidRPr="00E0509C" w:rsidRDefault="0045463A" w:rsidP="0045463A">
            <w:pPr>
              <w:ind w:firstLine="0"/>
              <w:jc w:val="center"/>
              <w:rPr>
                <w:color w:val="000000"/>
                <w:sz w:val="20"/>
              </w:rPr>
            </w:pPr>
            <w:r w:rsidRPr="00E0509C">
              <w:rPr>
                <w:color w:val="000000"/>
                <w:sz w:val="20"/>
              </w:rPr>
              <w:t>Autarquia</w:t>
            </w:r>
          </w:p>
        </w:tc>
      </w:tr>
    </w:tbl>
    <w:p w:rsidR="0045463A" w:rsidRPr="00C540FF" w:rsidRDefault="00C540FF" w:rsidP="00C540FF">
      <w:pPr>
        <w:tabs>
          <w:tab w:val="center" w:pos="4535"/>
          <w:tab w:val="right" w:pos="9071"/>
        </w:tabs>
        <w:spacing w:after="240" w:line="360" w:lineRule="auto"/>
        <w:jc w:val="center"/>
        <w:rPr>
          <w:sz w:val="20"/>
        </w:rPr>
      </w:pPr>
      <w:r w:rsidRPr="006765C1">
        <w:rPr>
          <w:sz w:val="20"/>
        </w:rPr>
        <w:t>Fonte: Adaptado de SNIS (2016)</w:t>
      </w:r>
    </w:p>
    <w:p w:rsidR="0045463A" w:rsidRPr="00AD5EAC" w:rsidRDefault="0045463A" w:rsidP="0045463A">
      <w:pPr>
        <w:spacing w:after="240" w:line="360" w:lineRule="auto"/>
        <w:rPr>
          <w:szCs w:val="26"/>
        </w:rPr>
      </w:pPr>
      <w:r w:rsidRPr="00AD5EAC">
        <w:rPr>
          <w:szCs w:val="26"/>
        </w:rPr>
        <w:t>Os indicadores Produto Interno Bruto, Índice de Desenvolvimento Humano Municipal e Densidade Demográfica utilizados como variáveis na regressão foram obtidos junto com o Instituto Brasileiro de Geografia (IBGE). Os dados de cada indicador utilizado são relativos aos anos de 2010 a 2013 para os indicadores PIB e Densidade Demográfica, já o IDHM é referente apenas do ano de 2010, último ano disponível da medida do indicador.</w:t>
      </w:r>
    </w:p>
    <w:p w:rsidR="00AD5EAC" w:rsidRPr="003E736B" w:rsidRDefault="00AD5EAC" w:rsidP="00AD5EAC">
      <w:pPr>
        <w:pStyle w:val="PargrafodaLista"/>
        <w:numPr>
          <w:ilvl w:val="0"/>
          <w:numId w:val="17"/>
        </w:numPr>
        <w:spacing w:after="0"/>
        <w:jc w:val="both"/>
        <w:rPr>
          <w:rFonts w:ascii="Times New Roman" w:hAnsi="Times New Roman"/>
          <w:b/>
          <w:sz w:val="24"/>
          <w:szCs w:val="26"/>
        </w:rPr>
      </w:pPr>
      <w:r w:rsidRPr="003E736B">
        <w:rPr>
          <w:rFonts w:ascii="Times New Roman" w:hAnsi="Times New Roman"/>
          <w:b/>
          <w:sz w:val="24"/>
          <w:szCs w:val="26"/>
        </w:rPr>
        <w:t>ANÁLISE DOS RESULTADOS</w:t>
      </w:r>
    </w:p>
    <w:p w:rsidR="00AD5EAC" w:rsidRPr="003E736B" w:rsidRDefault="00AD5EAC" w:rsidP="00AD5EAC">
      <w:pPr>
        <w:pStyle w:val="PargrafodaLista"/>
        <w:spacing w:after="0"/>
        <w:ind w:left="360"/>
        <w:jc w:val="both"/>
        <w:rPr>
          <w:rFonts w:ascii="Times New Roman" w:hAnsi="Times New Roman"/>
          <w:b/>
          <w:sz w:val="24"/>
          <w:szCs w:val="26"/>
        </w:rPr>
      </w:pPr>
    </w:p>
    <w:p w:rsidR="005C2492" w:rsidRPr="003E736B" w:rsidRDefault="00AD5EAC" w:rsidP="007A5E0A">
      <w:pPr>
        <w:spacing w:after="240" w:line="360" w:lineRule="auto"/>
        <w:rPr>
          <w:szCs w:val="26"/>
        </w:rPr>
      </w:pPr>
      <w:r w:rsidRPr="003E736B">
        <w:rPr>
          <w:szCs w:val="26"/>
        </w:rPr>
        <w:t>Os escores de eficiência resultantes dos 27 municípios investigados entre os anos de 2010 a 2013 pelo modelo DEA proposto estão dispostos na Tabela 1.</w:t>
      </w:r>
    </w:p>
    <w:p w:rsidR="00AD5EAC" w:rsidRPr="000277AF" w:rsidRDefault="00AD5EAC" w:rsidP="00AD5EAC">
      <w:pPr>
        <w:spacing w:line="360" w:lineRule="auto"/>
        <w:jc w:val="center"/>
        <w:rPr>
          <w:b/>
          <w:sz w:val="20"/>
          <w:szCs w:val="26"/>
        </w:rPr>
      </w:pPr>
      <w:r w:rsidRPr="000277AF">
        <w:rPr>
          <w:b/>
          <w:sz w:val="20"/>
          <w:szCs w:val="26"/>
        </w:rPr>
        <w:t>Tabela 1 – Resultados da Eficiência</w:t>
      </w:r>
      <w:r>
        <w:rPr>
          <w:b/>
          <w:sz w:val="20"/>
          <w:szCs w:val="26"/>
        </w:rPr>
        <w:t xml:space="preserve"> (DEA-BCC)</w:t>
      </w:r>
    </w:p>
    <w:tbl>
      <w:tblPr>
        <w:tblW w:w="9146" w:type="dxa"/>
        <w:tblCellMar>
          <w:left w:w="70" w:type="dxa"/>
          <w:right w:w="70" w:type="dxa"/>
        </w:tblCellMar>
        <w:tblLook w:val="04A0" w:firstRow="1" w:lastRow="0" w:firstColumn="1" w:lastColumn="0" w:noHBand="0" w:noVBand="1"/>
      </w:tblPr>
      <w:tblGrid>
        <w:gridCol w:w="2932"/>
        <w:gridCol w:w="1553"/>
        <w:gridCol w:w="1553"/>
        <w:gridCol w:w="1553"/>
        <w:gridCol w:w="1555"/>
      </w:tblGrid>
      <w:tr w:rsidR="00AD5EAC" w:rsidRPr="00A43D58" w:rsidTr="003E736B">
        <w:trPr>
          <w:trHeight w:val="259"/>
        </w:trPr>
        <w:tc>
          <w:tcPr>
            <w:tcW w:w="2932" w:type="dxa"/>
            <w:tcBorders>
              <w:top w:val="single" w:sz="4" w:space="0" w:color="auto"/>
              <w:bottom w:val="single" w:sz="4" w:space="0" w:color="auto"/>
              <w:right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proofErr w:type="spellStart"/>
            <w:r w:rsidRPr="00A43D58">
              <w:rPr>
                <w:b/>
                <w:bCs/>
                <w:color w:val="000000"/>
                <w:sz w:val="20"/>
              </w:rPr>
              <w:t>DMU's</w:t>
            </w:r>
            <w:proofErr w:type="spellEnd"/>
          </w:p>
        </w:tc>
        <w:tc>
          <w:tcPr>
            <w:tcW w:w="6214" w:type="dxa"/>
            <w:gridSpan w:val="4"/>
            <w:tcBorders>
              <w:top w:val="single" w:sz="4" w:space="0" w:color="auto"/>
              <w:left w:val="nil"/>
              <w:bottom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Resultados da Eficiência</w:t>
            </w:r>
          </w:p>
        </w:tc>
      </w:tr>
      <w:tr w:rsidR="00AD5EAC" w:rsidRPr="00A43D58" w:rsidTr="003E736B">
        <w:trPr>
          <w:trHeight w:val="259"/>
        </w:trPr>
        <w:tc>
          <w:tcPr>
            <w:tcW w:w="2932" w:type="dxa"/>
            <w:tcBorders>
              <w:top w:val="nil"/>
              <w:bottom w:val="single" w:sz="4" w:space="0" w:color="auto"/>
              <w:right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Municípios</w:t>
            </w:r>
          </w:p>
        </w:tc>
        <w:tc>
          <w:tcPr>
            <w:tcW w:w="1553" w:type="dxa"/>
            <w:tcBorders>
              <w:top w:val="nil"/>
              <w:left w:val="nil"/>
              <w:bottom w:val="single" w:sz="4" w:space="0" w:color="auto"/>
              <w:right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2010</w:t>
            </w:r>
          </w:p>
        </w:tc>
        <w:tc>
          <w:tcPr>
            <w:tcW w:w="1553" w:type="dxa"/>
            <w:tcBorders>
              <w:top w:val="nil"/>
              <w:left w:val="nil"/>
              <w:bottom w:val="single" w:sz="4" w:space="0" w:color="auto"/>
              <w:right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2011</w:t>
            </w:r>
          </w:p>
        </w:tc>
        <w:tc>
          <w:tcPr>
            <w:tcW w:w="1553" w:type="dxa"/>
            <w:tcBorders>
              <w:top w:val="nil"/>
              <w:left w:val="nil"/>
              <w:bottom w:val="single" w:sz="4" w:space="0" w:color="auto"/>
              <w:right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2012</w:t>
            </w:r>
          </w:p>
        </w:tc>
        <w:tc>
          <w:tcPr>
            <w:tcW w:w="1555" w:type="dxa"/>
            <w:tcBorders>
              <w:top w:val="nil"/>
              <w:left w:val="nil"/>
              <w:bottom w:val="single" w:sz="4" w:space="0" w:color="auto"/>
            </w:tcBorders>
            <w:shd w:val="clear" w:color="000000" w:fill="BFBFBF"/>
            <w:noWrap/>
            <w:vAlign w:val="center"/>
            <w:hideMark/>
          </w:tcPr>
          <w:p w:rsidR="00AD5EAC" w:rsidRPr="00A43D58" w:rsidRDefault="00AD5EAC" w:rsidP="003E736B">
            <w:pPr>
              <w:ind w:firstLine="0"/>
              <w:jc w:val="center"/>
              <w:rPr>
                <w:b/>
                <w:bCs/>
                <w:color w:val="000000"/>
                <w:sz w:val="20"/>
              </w:rPr>
            </w:pPr>
            <w:r w:rsidRPr="00A43D58">
              <w:rPr>
                <w:b/>
                <w:bCs/>
                <w:color w:val="000000"/>
                <w:sz w:val="20"/>
              </w:rPr>
              <w:t>2013</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Balneário Camboriú</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Bombinhas</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0,128506</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0,440713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0,137371</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0,255754</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Campos Novos</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0,465573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0,412871</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0,431749</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0,484449</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proofErr w:type="spellStart"/>
            <w:r w:rsidRPr="00A43D58">
              <w:rPr>
                <w:color w:val="000000"/>
                <w:sz w:val="20"/>
              </w:rPr>
              <w:t>Catanduvas</w:t>
            </w:r>
            <w:proofErr w:type="spellEnd"/>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0,463439</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0,448085</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0,205275</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0,217432</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lastRenderedPageBreak/>
              <w:t>Chapecó</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D72DA9">
              <w:rPr>
                <w:color w:val="000000"/>
                <w:sz w:val="20"/>
              </w:rPr>
              <w:t>1,000000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CB3D11">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CB3D11">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Concórdia</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D72DA9">
              <w:rPr>
                <w:color w:val="000000"/>
                <w:sz w:val="20"/>
              </w:rPr>
              <w:t>1,000000</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0,377395</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0,934816</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2548E5">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Dionísio Cerqueira</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0,099781</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0,067429</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0,550368</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2548E5">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Florianópolis</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2548E5">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Fraiburgo</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0,186123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0,195038</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0,618358</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0,496301</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proofErr w:type="spellStart"/>
            <w:r w:rsidRPr="00A43D58">
              <w:rPr>
                <w:color w:val="000000"/>
                <w:sz w:val="20"/>
              </w:rPr>
              <w:t>Gravatal</w:t>
            </w:r>
            <w:proofErr w:type="spellEnd"/>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0,245538</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Herval D Oeste</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0,155572</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0,330385</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0,281129</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0,366302</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Itapema</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0,661511</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38140E">
              <w:rPr>
                <w:color w:val="000000"/>
                <w:sz w:val="20"/>
              </w:rPr>
              <w:t>1,000000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564821">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836C7B">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Jaraguá do Sul</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38140E">
              <w:rPr>
                <w:color w:val="000000"/>
                <w:sz w:val="20"/>
              </w:rPr>
              <w:t>1,000000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564821">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836C7B">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Joaçaba</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0,353588</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0,347502</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0,46382</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0,290608</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Joinville</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Lages</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9A5FBA">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Laguna</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0,324044</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0,307593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0,206269</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0,169551</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Luzerna</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0,144917</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0,171625</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0,298304</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0,221446</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Orleans</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0,57106</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0,934298</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3F050D">
              <w:rPr>
                <w:color w:val="000000"/>
                <w:sz w:val="20"/>
              </w:rPr>
              <w:t>1,000000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3F050D">
              <w:rPr>
                <w:color w:val="000000"/>
                <w:sz w:val="20"/>
              </w:rPr>
              <w:t>1,000000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Porto União</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0,333493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0,432402</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0,721451</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0,493404</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Rio Negrinho</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0,473871</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0,491291</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0,589725</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0,915629</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São Bento do Sul</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0,69739</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0,706088</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0,739844</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São Joaquim</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0,366103</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0,297521</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0,941379</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0,504031</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São José</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0,945218</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0,982708</w:t>
            </w:r>
          </w:p>
        </w:tc>
        <w:tc>
          <w:tcPr>
            <w:tcW w:w="1553" w:type="dxa"/>
            <w:tcBorders>
              <w:top w:val="nil"/>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c>
          <w:tcPr>
            <w:tcW w:w="1555" w:type="dxa"/>
            <w:tcBorders>
              <w:top w:val="nil"/>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r>
      <w:tr w:rsidR="00AD5EAC" w:rsidRPr="00A43D58" w:rsidTr="003E736B">
        <w:trPr>
          <w:trHeight w:val="259"/>
        </w:trPr>
        <w:tc>
          <w:tcPr>
            <w:tcW w:w="2932" w:type="dxa"/>
            <w:tcBorders>
              <w:top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São Ludgero</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0,259287</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0,496958</w:t>
            </w:r>
          </w:p>
        </w:tc>
        <w:tc>
          <w:tcPr>
            <w:tcW w:w="1553" w:type="dxa"/>
            <w:tcBorders>
              <w:top w:val="nil"/>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0,488424</w:t>
            </w:r>
          </w:p>
        </w:tc>
        <w:tc>
          <w:tcPr>
            <w:tcW w:w="1555" w:type="dxa"/>
            <w:tcBorders>
              <w:top w:val="nil"/>
              <w:left w:val="nil"/>
              <w:bottom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0,470453</w:t>
            </w:r>
          </w:p>
        </w:tc>
      </w:tr>
      <w:tr w:rsidR="00AD5EAC" w:rsidRPr="00A43D58" w:rsidTr="003E736B">
        <w:trPr>
          <w:trHeight w:val="259"/>
        </w:trPr>
        <w:tc>
          <w:tcPr>
            <w:tcW w:w="2932" w:type="dxa"/>
            <w:tcBorders>
              <w:top w:val="single" w:sz="4" w:space="0" w:color="auto"/>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Treze Tílias</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0,144955</w:t>
            </w:r>
          </w:p>
        </w:tc>
        <w:tc>
          <w:tcPr>
            <w:tcW w:w="1553" w:type="dxa"/>
            <w:tcBorders>
              <w:top w:val="single" w:sz="4" w:space="0" w:color="auto"/>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707258">
              <w:rPr>
                <w:color w:val="000000"/>
                <w:sz w:val="20"/>
              </w:rPr>
              <w:t>1,000000</w:t>
            </w:r>
          </w:p>
        </w:tc>
        <w:tc>
          <w:tcPr>
            <w:tcW w:w="1553" w:type="dxa"/>
            <w:tcBorders>
              <w:top w:val="single" w:sz="4" w:space="0" w:color="auto"/>
              <w:left w:val="nil"/>
              <w:bottom w:val="single" w:sz="4" w:space="0" w:color="auto"/>
              <w:right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707258">
              <w:rPr>
                <w:color w:val="000000"/>
                <w:sz w:val="20"/>
              </w:rPr>
              <w:t>1,000000</w:t>
            </w:r>
          </w:p>
        </w:tc>
        <w:tc>
          <w:tcPr>
            <w:tcW w:w="1555" w:type="dxa"/>
            <w:tcBorders>
              <w:top w:val="single" w:sz="4" w:space="0" w:color="auto"/>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707258">
              <w:rPr>
                <w:color w:val="000000"/>
                <w:sz w:val="20"/>
              </w:rPr>
              <w:t>1,000000</w:t>
            </w:r>
          </w:p>
        </w:tc>
      </w:tr>
      <w:tr w:rsidR="00AD5EAC" w:rsidRPr="00A43D58" w:rsidTr="003E736B">
        <w:trPr>
          <w:trHeight w:val="259"/>
        </w:trPr>
        <w:tc>
          <w:tcPr>
            <w:tcW w:w="2932" w:type="dxa"/>
            <w:tcBorders>
              <w:top w:val="single" w:sz="4" w:space="0" w:color="auto"/>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Urussanga</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0,254275</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0,263284</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rsidR="00AD5EAC" w:rsidRPr="00A43D58" w:rsidRDefault="00AD5EAC" w:rsidP="003E736B">
            <w:pPr>
              <w:ind w:firstLine="0"/>
              <w:jc w:val="center"/>
              <w:rPr>
                <w:color w:val="000000"/>
                <w:sz w:val="20"/>
              </w:rPr>
            </w:pPr>
            <w:r w:rsidRPr="00A43D58">
              <w:rPr>
                <w:color w:val="000000"/>
                <w:sz w:val="20"/>
              </w:rPr>
              <w:t>0,979524</w:t>
            </w:r>
          </w:p>
        </w:tc>
        <w:tc>
          <w:tcPr>
            <w:tcW w:w="1555" w:type="dxa"/>
            <w:tcBorders>
              <w:top w:val="single" w:sz="4" w:space="0" w:color="auto"/>
              <w:left w:val="nil"/>
              <w:bottom w:val="single" w:sz="4" w:space="0" w:color="auto"/>
            </w:tcBorders>
            <w:shd w:val="clear" w:color="auto" w:fill="D9E2F3"/>
            <w:noWrap/>
            <w:vAlign w:val="center"/>
            <w:hideMark/>
          </w:tcPr>
          <w:p w:rsidR="00AD5EAC" w:rsidRPr="00A43D58" w:rsidRDefault="00AD5EAC" w:rsidP="003E736B">
            <w:pPr>
              <w:ind w:firstLine="0"/>
              <w:jc w:val="center"/>
              <w:rPr>
                <w:color w:val="000000"/>
                <w:sz w:val="20"/>
              </w:rPr>
            </w:pPr>
            <w:r w:rsidRPr="00A43D58">
              <w:rPr>
                <w:color w:val="000000"/>
                <w:sz w:val="20"/>
              </w:rPr>
              <w:t>1</w:t>
            </w:r>
            <w:r>
              <w:rPr>
                <w:color w:val="000000"/>
                <w:sz w:val="20"/>
              </w:rPr>
              <w:t>,000000</w:t>
            </w:r>
          </w:p>
        </w:tc>
      </w:tr>
    </w:tbl>
    <w:p w:rsidR="00AD5EAC" w:rsidRDefault="00AD5EAC" w:rsidP="00AD5EAC">
      <w:pPr>
        <w:spacing w:after="240" w:line="360" w:lineRule="auto"/>
        <w:jc w:val="center"/>
        <w:rPr>
          <w:sz w:val="20"/>
        </w:rPr>
      </w:pPr>
      <w:r w:rsidRPr="006765C1">
        <w:rPr>
          <w:sz w:val="20"/>
        </w:rPr>
        <w:t xml:space="preserve">Fonte: </w:t>
      </w:r>
      <w:r>
        <w:rPr>
          <w:sz w:val="20"/>
        </w:rPr>
        <w:t>resultados da pesquisa</w:t>
      </w:r>
      <w:r w:rsidRPr="006765C1">
        <w:rPr>
          <w:sz w:val="20"/>
        </w:rPr>
        <w:t xml:space="preserve"> (2016)</w:t>
      </w:r>
    </w:p>
    <w:p w:rsidR="00AD5EAC" w:rsidRPr="00E66E38" w:rsidRDefault="00AD5EAC" w:rsidP="00AD5EAC">
      <w:pPr>
        <w:spacing w:line="360" w:lineRule="auto"/>
        <w:ind w:firstLine="708"/>
        <w:rPr>
          <w:color w:val="000000"/>
          <w:szCs w:val="26"/>
        </w:rPr>
      </w:pPr>
      <w:r w:rsidRPr="00E66E38">
        <w:rPr>
          <w:szCs w:val="26"/>
        </w:rPr>
        <w:t>Os valores mínimos referentes aos anos 2010 a 2013 representam respectivamente, o município Dionísio Cerqueira, nos anos de 2010 e 2011, Bombinhas e Laguna nos anos de 2012 e 2013.</w:t>
      </w:r>
      <w:r w:rsidRPr="00E66E38">
        <w:rPr>
          <w:color w:val="000000"/>
          <w:szCs w:val="26"/>
        </w:rPr>
        <w:t xml:space="preserve"> O valor máximo fora 1, que traduz através da metodologia DEA os municípios eficientes, dentre os anos analisados oito municípios foram considerados eficientes para o ano de 2010 (Balneário Camboriú, Chapecó, Concórdia, Florianópolis, </w:t>
      </w:r>
      <w:proofErr w:type="spellStart"/>
      <w:r w:rsidRPr="00E66E38">
        <w:rPr>
          <w:color w:val="000000"/>
          <w:szCs w:val="26"/>
        </w:rPr>
        <w:t>Gravatal</w:t>
      </w:r>
      <w:proofErr w:type="spellEnd"/>
      <w:r w:rsidRPr="00E66E38">
        <w:rPr>
          <w:color w:val="000000"/>
          <w:szCs w:val="26"/>
        </w:rPr>
        <w:t xml:space="preserve">, Jaraguá do Sul, Joinville, Lages), oito municípios no ano de 2011 (Balneário Camboriú, Chapecó, Florianópolis, Itapema, Jaraguá do Sul, Joinville, Lages, Treze Tílias), onze municípios foram eficientes no ano de 2012 (Balneário Camboriú, Chapecó, Florianópolis, </w:t>
      </w:r>
      <w:proofErr w:type="spellStart"/>
      <w:r w:rsidRPr="00E66E38">
        <w:rPr>
          <w:color w:val="000000"/>
          <w:szCs w:val="26"/>
        </w:rPr>
        <w:t>Gravatal</w:t>
      </w:r>
      <w:proofErr w:type="spellEnd"/>
      <w:r w:rsidRPr="00E66E38">
        <w:rPr>
          <w:color w:val="000000"/>
          <w:szCs w:val="26"/>
        </w:rPr>
        <w:t xml:space="preserve">, Itapema, Jaraguá do Sul, Joinville, Lages, Orleans, São José, Treze Tílias) e quinze municípios foram considerados eficientes no ano de 2013 (Balneário Camboriú, Chapecó, Concórdia, Dionísio Cerqueira, Florianópolis, </w:t>
      </w:r>
      <w:proofErr w:type="spellStart"/>
      <w:r w:rsidRPr="00E66E38">
        <w:rPr>
          <w:color w:val="000000"/>
          <w:szCs w:val="26"/>
        </w:rPr>
        <w:t>Gravatal</w:t>
      </w:r>
      <w:proofErr w:type="spellEnd"/>
      <w:r w:rsidRPr="00E66E38">
        <w:rPr>
          <w:color w:val="000000"/>
          <w:szCs w:val="26"/>
        </w:rPr>
        <w:t xml:space="preserve">, Itapema, </w:t>
      </w:r>
      <w:r w:rsidRPr="00E66E38">
        <w:rPr>
          <w:color w:val="000000"/>
          <w:szCs w:val="26"/>
        </w:rPr>
        <w:lastRenderedPageBreak/>
        <w:t xml:space="preserve">Jaraguá do Sul, Joinville, Lages, Orleans, São Bento do Sul, São José, Treze Tílias, Urussanga). Apenas os municípios de Balneário Camboriú, Chapecó, Florianópolis, Jaraguá do Sul, Joinville, Lages foram eficientes em todos os anos analisados, ou seja, tais municípios foram considerados </w:t>
      </w:r>
      <w:r w:rsidRPr="00E66E38">
        <w:rPr>
          <w:i/>
          <w:color w:val="000000"/>
          <w:szCs w:val="26"/>
        </w:rPr>
        <w:t xml:space="preserve">benchmarks </w:t>
      </w:r>
      <w:r w:rsidRPr="00E66E38">
        <w:rPr>
          <w:color w:val="000000"/>
          <w:szCs w:val="26"/>
        </w:rPr>
        <w:t>para os municípios ineficientes em todos os anos da amostra.</w:t>
      </w:r>
    </w:p>
    <w:p w:rsidR="00AD5EAC" w:rsidRPr="00E66E38" w:rsidRDefault="00AD5EAC" w:rsidP="00AD5EAC">
      <w:pPr>
        <w:spacing w:after="240" w:line="360" w:lineRule="auto"/>
        <w:rPr>
          <w:szCs w:val="26"/>
          <w:highlight w:val="yellow"/>
        </w:rPr>
      </w:pPr>
      <w:r w:rsidRPr="00E66E38">
        <w:rPr>
          <w:szCs w:val="26"/>
        </w:rPr>
        <w:t>Através da estatística descritiva da amostra é possível verificar os valores da média, mínimo e máximo dos resultados de eficiência apresentados, conforme Tabela 2. Pode-se observar um aumento entre os anos analisados referente a média dos valores encontrados, principalmente entre os anos de 2011 e 2012 em que houve um aumento de 13,48% do valor de eficiência média dos municípios.</w:t>
      </w:r>
    </w:p>
    <w:p w:rsidR="00AD5EAC" w:rsidRPr="000277AF" w:rsidRDefault="00AD5EAC" w:rsidP="00AD5EAC">
      <w:pPr>
        <w:spacing w:line="360" w:lineRule="auto"/>
        <w:jc w:val="center"/>
        <w:rPr>
          <w:b/>
          <w:sz w:val="20"/>
          <w:szCs w:val="26"/>
        </w:rPr>
      </w:pPr>
      <w:r w:rsidRPr="000277AF">
        <w:rPr>
          <w:b/>
          <w:sz w:val="20"/>
          <w:szCs w:val="26"/>
        </w:rPr>
        <w:t>Tabela 2 – Resumo Estatístico dos Resultados de Eficiência</w:t>
      </w:r>
    </w:p>
    <w:tbl>
      <w:tblPr>
        <w:tblW w:w="919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3"/>
        <w:gridCol w:w="1813"/>
        <w:gridCol w:w="1813"/>
        <w:gridCol w:w="1813"/>
        <w:gridCol w:w="1813"/>
      </w:tblGrid>
      <w:tr w:rsidR="00AD5EAC" w:rsidRPr="0058013F" w:rsidTr="001226FC">
        <w:trPr>
          <w:trHeight w:val="263"/>
        </w:trPr>
        <w:tc>
          <w:tcPr>
            <w:tcW w:w="1943" w:type="dxa"/>
            <w:tcBorders>
              <w:top w:val="single" w:sz="4" w:space="0" w:color="auto"/>
              <w:bottom w:val="single" w:sz="4" w:space="0" w:color="auto"/>
            </w:tcBorders>
            <w:shd w:val="clear" w:color="000000" w:fill="BFBFBF"/>
            <w:noWrap/>
            <w:vAlign w:val="center"/>
            <w:hideMark/>
          </w:tcPr>
          <w:p w:rsidR="00AD5EAC" w:rsidRPr="0058013F" w:rsidRDefault="00AD5EAC" w:rsidP="001226FC">
            <w:pPr>
              <w:ind w:firstLine="0"/>
              <w:jc w:val="center"/>
              <w:rPr>
                <w:b/>
                <w:bCs/>
                <w:color w:val="000000"/>
                <w:sz w:val="20"/>
              </w:rPr>
            </w:pPr>
            <w:r w:rsidRPr="0058013F">
              <w:rPr>
                <w:b/>
                <w:bCs/>
                <w:color w:val="000000"/>
                <w:sz w:val="20"/>
              </w:rPr>
              <w:t>Estatística</w:t>
            </w:r>
          </w:p>
        </w:tc>
        <w:tc>
          <w:tcPr>
            <w:tcW w:w="1813" w:type="dxa"/>
            <w:tcBorders>
              <w:top w:val="single" w:sz="4" w:space="0" w:color="auto"/>
              <w:bottom w:val="single" w:sz="4" w:space="0" w:color="auto"/>
            </w:tcBorders>
            <w:shd w:val="clear" w:color="000000" w:fill="BFBFBF"/>
            <w:noWrap/>
            <w:vAlign w:val="center"/>
            <w:hideMark/>
          </w:tcPr>
          <w:p w:rsidR="00AD5EAC" w:rsidRPr="0058013F" w:rsidRDefault="00AD5EAC" w:rsidP="001226FC">
            <w:pPr>
              <w:ind w:firstLine="0"/>
              <w:jc w:val="center"/>
              <w:rPr>
                <w:b/>
                <w:bCs/>
                <w:color w:val="000000"/>
                <w:sz w:val="20"/>
              </w:rPr>
            </w:pPr>
            <w:r w:rsidRPr="0058013F">
              <w:rPr>
                <w:b/>
                <w:bCs/>
                <w:color w:val="000000"/>
                <w:sz w:val="20"/>
              </w:rPr>
              <w:t>2010</w:t>
            </w:r>
          </w:p>
        </w:tc>
        <w:tc>
          <w:tcPr>
            <w:tcW w:w="1813" w:type="dxa"/>
            <w:tcBorders>
              <w:top w:val="single" w:sz="4" w:space="0" w:color="auto"/>
              <w:bottom w:val="single" w:sz="4" w:space="0" w:color="auto"/>
            </w:tcBorders>
            <w:shd w:val="clear" w:color="000000" w:fill="BFBFBF"/>
            <w:noWrap/>
            <w:vAlign w:val="center"/>
            <w:hideMark/>
          </w:tcPr>
          <w:p w:rsidR="00AD5EAC" w:rsidRPr="0058013F" w:rsidRDefault="00AD5EAC" w:rsidP="001226FC">
            <w:pPr>
              <w:ind w:firstLine="0"/>
              <w:jc w:val="center"/>
              <w:rPr>
                <w:b/>
                <w:bCs/>
                <w:color w:val="000000"/>
                <w:sz w:val="20"/>
              </w:rPr>
            </w:pPr>
            <w:r w:rsidRPr="0058013F">
              <w:rPr>
                <w:b/>
                <w:bCs/>
                <w:color w:val="000000"/>
                <w:sz w:val="20"/>
              </w:rPr>
              <w:t>2011</w:t>
            </w:r>
          </w:p>
        </w:tc>
        <w:tc>
          <w:tcPr>
            <w:tcW w:w="1813" w:type="dxa"/>
            <w:tcBorders>
              <w:top w:val="single" w:sz="4" w:space="0" w:color="auto"/>
              <w:bottom w:val="single" w:sz="4" w:space="0" w:color="auto"/>
            </w:tcBorders>
            <w:shd w:val="clear" w:color="000000" w:fill="BFBFBF"/>
            <w:noWrap/>
            <w:vAlign w:val="center"/>
            <w:hideMark/>
          </w:tcPr>
          <w:p w:rsidR="00AD5EAC" w:rsidRPr="0058013F" w:rsidRDefault="00AD5EAC" w:rsidP="001226FC">
            <w:pPr>
              <w:ind w:firstLine="0"/>
              <w:jc w:val="center"/>
              <w:rPr>
                <w:b/>
                <w:bCs/>
                <w:color w:val="000000"/>
                <w:sz w:val="20"/>
              </w:rPr>
            </w:pPr>
            <w:r w:rsidRPr="0058013F">
              <w:rPr>
                <w:b/>
                <w:bCs/>
                <w:color w:val="000000"/>
                <w:sz w:val="20"/>
              </w:rPr>
              <w:t>2012</w:t>
            </w:r>
          </w:p>
        </w:tc>
        <w:tc>
          <w:tcPr>
            <w:tcW w:w="1813" w:type="dxa"/>
            <w:tcBorders>
              <w:top w:val="single" w:sz="4" w:space="0" w:color="auto"/>
              <w:bottom w:val="single" w:sz="4" w:space="0" w:color="auto"/>
            </w:tcBorders>
            <w:shd w:val="clear" w:color="000000" w:fill="BFBFBF"/>
            <w:noWrap/>
            <w:vAlign w:val="center"/>
            <w:hideMark/>
          </w:tcPr>
          <w:p w:rsidR="00AD5EAC" w:rsidRPr="0058013F" w:rsidRDefault="00AD5EAC" w:rsidP="001226FC">
            <w:pPr>
              <w:ind w:firstLine="0"/>
              <w:jc w:val="center"/>
              <w:rPr>
                <w:b/>
                <w:bCs/>
                <w:color w:val="000000"/>
                <w:sz w:val="20"/>
              </w:rPr>
            </w:pPr>
            <w:r w:rsidRPr="0058013F">
              <w:rPr>
                <w:b/>
                <w:bCs/>
                <w:color w:val="000000"/>
                <w:sz w:val="20"/>
              </w:rPr>
              <w:t>2013</w:t>
            </w:r>
          </w:p>
        </w:tc>
      </w:tr>
      <w:tr w:rsidR="00AD5EAC" w:rsidRPr="0058013F" w:rsidTr="001226FC">
        <w:trPr>
          <w:trHeight w:val="263"/>
        </w:trPr>
        <w:tc>
          <w:tcPr>
            <w:tcW w:w="1943" w:type="dxa"/>
            <w:tcBorders>
              <w:top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Média</w:t>
            </w:r>
          </w:p>
        </w:tc>
        <w:tc>
          <w:tcPr>
            <w:tcW w:w="1813" w:type="dxa"/>
            <w:tcBorders>
              <w:top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0,556619</w:t>
            </w:r>
          </w:p>
        </w:tc>
        <w:tc>
          <w:tcPr>
            <w:tcW w:w="1813" w:type="dxa"/>
            <w:tcBorders>
              <w:top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0,590693</w:t>
            </w:r>
          </w:p>
        </w:tc>
        <w:tc>
          <w:tcPr>
            <w:tcW w:w="1813" w:type="dxa"/>
            <w:tcBorders>
              <w:top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0,725474</w:t>
            </w:r>
          </w:p>
        </w:tc>
        <w:tc>
          <w:tcPr>
            <w:tcW w:w="1813" w:type="dxa"/>
            <w:tcBorders>
              <w:top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0,736495</w:t>
            </w:r>
          </w:p>
        </w:tc>
      </w:tr>
      <w:tr w:rsidR="00AD5EAC" w:rsidRPr="0058013F" w:rsidTr="001226FC">
        <w:trPr>
          <w:trHeight w:val="263"/>
        </w:trPr>
        <w:tc>
          <w:tcPr>
            <w:tcW w:w="1943" w:type="dxa"/>
            <w:tcBorders>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Mínimo</w:t>
            </w:r>
          </w:p>
        </w:tc>
        <w:tc>
          <w:tcPr>
            <w:tcW w:w="1813" w:type="dxa"/>
            <w:tcBorders>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0,099781</w:t>
            </w:r>
          </w:p>
        </w:tc>
        <w:tc>
          <w:tcPr>
            <w:tcW w:w="1813" w:type="dxa"/>
            <w:tcBorders>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0,067429</w:t>
            </w:r>
          </w:p>
        </w:tc>
        <w:tc>
          <w:tcPr>
            <w:tcW w:w="1813" w:type="dxa"/>
            <w:tcBorders>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0,137371</w:t>
            </w:r>
          </w:p>
        </w:tc>
        <w:tc>
          <w:tcPr>
            <w:tcW w:w="1813" w:type="dxa"/>
            <w:tcBorders>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0,169551</w:t>
            </w:r>
          </w:p>
        </w:tc>
      </w:tr>
      <w:tr w:rsidR="00AD5EAC" w:rsidRPr="0058013F" w:rsidTr="001226FC">
        <w:trPr>
          <w:trHeight w:val="263"/>
        </w:trPr>
        <w:tc>
          <w:tcPr>
            <w:tcW w:w="1943" w:type="dxa"/>
            <w:tcBorders>
              <w:top w:val="single" w:sz="4" w:space="0" w:color="auto"/>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Máximo</w:t>
            </w:r>
          </w:p>
        </w:tc>
        <w:tc>
          <w:tcPr>
            <w:tcW w:w="1813" w:type="dxa"/>
            <w:tcBorders>
              <w:top w:val="single" w:sz="4" w:space="0" w:color="auto"/>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1</w:t>
            </w:r>
          </w:p>
        </w:tc>
        <w:tc>
          <w:tcPr>
            <w:tcW w:w="1813" w:type="dxa"/>
            <w:tcBorders>
              <w:top w:val="single" w:sz="4" w:space="0" w:color="auto"/>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1</w:t>
            </w:r>
          </w:p>
        </w:tc>
        <w:tc>
          <w:tcPr>
            <w:tcW w:w="1813" w:type="dxa"/>
            <w:tcBorders>
              <w:top w:val="single" w:sz="4" w:space="0" w:color="auto"/>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1</w:t>
            </w:r>
          </w:p>
        </w:tc>
        <w:tc>
          <w:tcPr>
            <w:tcW w:w="1813" w:type="dxa"/>
            <w:tcBorders>
              <w:top w:val="single" w:sz="4" w:space="0" w:color="auto"/>
              <w:bottom w:val="single" w:sz="4" w:space="0" w:color="auto"/>
            </w:tcBorders>
            <w:shd w:val="clear" w:color="auto" w:fill="auto"/>
            <w:noWrap/>
            <w:vAlign w:val="center"/>
            <w:hideMark/>
          </w:tcPr>
          <w:p w:rsidR="00AD5EAC" w:rsidRPr="0058013F" w:rsidRDefault="00AD5EAC" w:rsidP="001226FC">
            <w:pPr>
              <w:ind w:firstLine="0"/>
              <w:jc w:val="center"/>
              <w:rPr>
                <w:color w:val="000000"/>
                <w:sz w:val="20"/>
              </w:rPr>
            </w:pPr>
            <w:r w:rsidRPr="0058013F">
              <w:rPr>
                <w:color w:val="000000"/>
                <w:sz w:val="20"/>
              </w:rPr>
              <w:t>1</w:t>
            </w:r>
          </w:p>
        </w:tc>
      </w:tr>
    </w:tbl>
    <w:p w:rsidR="00AD5EAC" w:rsidRPr="0058013F" w:rsidRDefault="00AD5EAC" w:rsidP="00AD5EAC">
      <w:pPr>
        <w:spacing w:after="240" w:line="360" w:lineRule="auto"/>
        <w:jc w:val="center"/>
        <w:rPr>
          <w:sz w:val="20"/>
        </w:rPr>
      </w:pPr>
      <w:r w:rsidRPr="006765C1">
        <w:rPr>
          <w:sz w:val="20"/>
        </w:rPr>
        <w:t xml:space="preserve">Fonte: </w:t>
      </w:r>
      <w:r>
        <w:rPr>
          <w:sz w:val="20"/>
        </w:rPr>
        <w:t>resultados da pesquisa</w:t>
      </w:r>
      <w:r w:rsidRPr="006765C1">
        <w:rPr>
          <w:sz w:val="20"/>
        </w:rPr>
        <w:t xml:space="preserve"> (2016)</w:t>
      </w:r>
    </w:p>
    <w:p w:rsidR="00AD5EAC" w:rsidRPr="007C0243" w:rsidRDefault="00AD5EAC" w:rsidP="00AD5EAC">
      <w:pPr>
        <w:spacing w:line="360" w:lineRule="auto"/>
        <w:rPr>
          <w:szCs w:val="24"/>
        </w:rPr>
      </w:pPr>
      <w:r w:rsidRPr="007C0243">
        <w:rPr>
          <w:szCs w:val="24"/>
        </w:rPr>
        <w:t>Afim de prosseguir com a chamada “segunda fase” da DEA, rodou-se dois modelos de regressão conforme descrito na metodologia do presente trabalho.</w:t>
      </w:r>
    </w:p>
    <w:p w:rsidR="00AD5EAC" w:rsidRPr="007C0243" w:rsidRDefault="00AD5EAC" w:rsidP="00AD5EAC">
      <w:pPr>
        <w:spacing w:line="360" w:lineRule="auto"/>
        <w:rPr>
          <w:szCs w:val="24"/>
        </w:rPr>
      </w:pPr>
      <w:r w:rsidRPr="007C0243">
        <w:rPr>
          <w:szCs w:val="24"/>
        </w:rPr>
        <w:t xml:space="preserve">Primeiramente fez-se o teste LM de </w:t>
      </w:r>
      <w:proofErr w:type="spellStart"/>
      <w:r w:rsidRPr="007C0243">
        <w:rPr>
          <w:szCs w:val="24"/>
        </w:rPr>
        <w:t>Breusch-Pagan</w:t>
      </w:r>
      <w:proofErr w:type="spellEnd"/>
      <w:r w:rsidRPr="007C0243">
        <w:rPr>
          <w:szCs w:val="24"/>
        </w:rPr>
        <w:t xml:space="preserve"> para verificar se a variância entre indivíduos é igual a zero ou se existe diferenças estatisticamente diferentes entre os indivíduos da amostra (GUJARATI, 2006). De acordo com </w:t>
      </w:r>
      <w:proofErr w:type="spellStart"/>
      <w:r w:rsidRPr="007C0243">
        <w:rPr>
          <w:szCs w:val="24"/>
        </w:rPr>
        <w:t>Gujarati</w:t>
      </w:r>
      <w:proofErr w:type="spellEnd"/>
      <w:r w:rsidRPr="007C0243">
        <w:rPr>
          <w:szCs w:val="24"/>
        </w:rPr>
        <w:t xml:space="preserve"> (2006) o teste assumi como H</w:t>
      </w:r>
      <w:r w:rsidRPr="007C0243">
        <w:rPr>
          <w:szCs w:val="24"/>
          <w:vertAlign w:val="subscript"/>
        </w:rPr>
        <w:t>0</w:t>
      </w:r>
      <w:r w:rsidRPr="007C0243">
        <w:rPr>
          <w:szCs w:val="24"/>
        </w:rPr>
        <w:t>: modelo POLS (não existe nenhum efeito em painel) e H</w:t>
      </w:r>
      <w:r w:rsidRPr="007C0243">
        <w:rPr>
          <w:szCs w:val="24"/>
          <w:vertAlign w:val="subscript"/>
        </w:rPr>
        <w:t>1</w:t>
      </w:r>
      <w:r w:rsidRPr="007C0243">
        <w:rPr>
          <w:szCs w:val="24"/>
        </w:rPr>
        <w:t xml:space="preserve">: efeitos aleatórios. O teste realizado obteve um </w:t>
      </w:r>
      <w:r w:rsidRPr="007C0243">
        <w:rPr>
          <w:rFonts w:ascii="Symbol" w:hAnsi="Symbol"/>
          <w:szCs w:val="24"/>
        </w:rPr>
        <w:t></w:t>
      </w:r>
      <w:r w:rsidRPr="007C0243">
        <w:rPr>
          <w:szCs w:val="24"/>
        </w:rPr>
        <w:t>² de 31,74, assumindo um p-valor menor que 0,05. Logo, pode-se rejeitar a hipótese nula e assumir que existe efeitos em painel, assumindo que um modelo de regressão com efeitos aleatórios em dados em painel é mais adequado que um modelo POLS.</w:t>
      </w:r>
    </w:p>
    <w:p w:rsidR="00AD5EAC" w:rsidRPr="007C0243" w:rsidRDefault="00AD5EAC" w:rsidP="00AD5EAC">
      <w:pPr>
        <w:spacing w:line="360" w:lineRule="auto"/>
        <w:rPr>
          <w:szCs w:val="24"/>
        </w:rPr>
      </w:pPr>
      <w:r w:rsidRPr="007C0243">
        <w:rPr>
          <w:szCs w:val="24"/>
        </w:rPr>
        <w:t xml:space="preserve">Após verificar a existência de efeitos em painel, foi feito teste de </w:t>
      </w:r>
      <w:proofErr w:type="spellStart"/>
      <w:r w:rsidRPr="007C0243">
        <w:rPr>
          <w:szCs w:val="24"/>
        </w:rPr>
        <w:t>Hausman</w:t>
      </w:r>
      <w:proofErr w:type="spellEnd"/>
      <w:r w:rsidRPr="007C0243">
        <w:rPr>
          <w:szCs w:val="24"/>
        </w:rPr>
        <w:t xml:space="preserve"> para verificar se os efeitos individuais da eficiência dos investimentos em saneamento de cada município da amostra e as variáveis IDHM, PIB e densidade demográfica apresentam correlação estatisticamente </w:t>
      </w:r>
      <w:r w:rsidRPr="007C0243">
        <w:rPr>
          <w:szCs w:val="24"/>
        </w:rPr>
        <w:lastRenderedPageBreak/>
        <w:t xml:space="preserve">igual a zero, ou seja, se estes efeitos individuais são aleatórios e portanto existe similaridade entre os parâmetros estimados por efeitos fixos e por efeitos aleatórios, ou se esses efeitos individuais não são aleatórios e, portanto, essa similaridade estatística entre os parâmetros estimados por efeitos fixos e efeitos aleatórios não existe (GUJARATI, 2006). </w:t>
      </w:r>
    </w:p>
    <w:p w:rsidR="00AD5EAC" w:rsidRPr="007C0243" w:rsidRDefault="00AD5EAC" w:rsidP="00AD5EAC">
      <w:pPr>
        <w:spacing w:line="360" w:lineRule="auto"/>
        <w:rPr>
          <w:szCs w:val="24"/>
        </w:rPr>
      </w:pPr>
      <w:proofErr w:type="spellStart"/>
      <w:r w:rsidRPr="007C0243">
        <w:rPr>
          <w:szCs w:val="24"/>
        </w:rPr>
        <w:t>Gujarati</w:t>
      </w:r>
      <w:proofErr w:type="spellEnd"/>
      <w:r w:rsidRPr="007C0243">
        <w:rPr>
          <w:szCs w:val="24"/>
        </w:rPr>
        <w:t xml:space="preserve"> (2006) evidencia que o teste de </w:t>
      </w:r>
      <w:proofErr w:type="spellStart"/>
      <w:r w:rsidRPr="007C0243">
        <w:rPr>
          <w:szCs w:val="24"/>
        </w:rPr>
        <w:t>Hausman</w:t>
      </w:r>
      <w:proofErr w:type="spellEnd"/>
      <w:r w:rsidRPr="007C0243">
        <w:rPr>
          <w:szCs w:val="24"/>
        </w:rPr>
        <w:t xml:space="preserve"> assume como H</w:t>
      </w:r>
      <w:r w:rsidRPr="007C0243">
        <w:rPr>
          <w:szCs w:val="24"/>
          <w:vertAlign w:val="subscript"/>
        </w:rPr>
        <w:t>0</w:t>
      </w:r>
      <w:r w:rsidRPr="007C0243">
        <w:rPr>
          <w:szCs w:val="24"/>
        </w:rPr>
        <w:t>: efeitos aleatórios e H</w:t>
      </w:r>
      <w:r w:rsidRPr="007C0243">
        <w:rPr>
          <w:szCs w:val="24"/>
          <w:vertAlign w:val="subscript"/>
        </w:rPr>
        <w:t>1</w:t>
      </w:r>
      <w:r w:rsidRPr="007C0243">
        <w:rPr>
          <w:szCs w:val="24"/>
        </w:rPr>
        <w:t xml:space="preserve">: efeitos fixos. Obteve-se, com o teste de </w:t>
      </w:r>
      <w:proofErr w:type="spellStart"/>
      <w:r w:rsidRPr="007C0243">
        <w:rPr>
          <w:szCs w:val="24"/>
        </w:rPr>
        <w:t>Hausman</w:t>
      </w:r>
      <w:proofErr w:type="spellEnd"/>
      <w:r w:rsidRPr="007C0243">
        <w:rPr>
          <w:szCs w:val="24"/>
        </w:rPr>
        <w:t xml:space="preserve"> realizado, um valor de </w:t>
      </w:r>
      <w:r w:rsidRPr="007C0243">
        <w:rPr>
          <w:rFonts w:ascii="Symbol" w:hAnsi="Symbol"/>
          <w:szCs w:val="24"/>
        </w:rPr>
        <w:t></w:t>
      </w:r>
      <w:r w:rsidRPr="007C0243">
        <w:rPr>
          <w:szCs w:val="24"/>
        </w:rPr>
        <w:t>² de 0,01, tendo p-valor de 0,9961. Sendo assim, não se pode rejeitar H</w:t>
      </w:r>
      <w:r w:rsidRPr="007C0243">
        <w:rPr>
          <w:szCs w:val="24"/>
          <w:vertAlign w:val="subscript"/>
        </w:rPr>
        <w:t>0</w:t>
      </w:r>
      <w:r w:rsidRPr="007C0243">
        <w:rPr>
          <w:szCs w:val="24"/>
        </w:rPr>
        <w:t>, ou seja, os efeitos são aleatórios.</w:t>
      </w:r>
    </w:p>
    <w:p w:rsidR="00AD5EAC" w:rsidRPr="007C0243" w:rsidRDefault="00AD5EAC" w:rsidP="00AD5EAC">
      <w:pPr>
        <w:spacing w:line="360" w:lineRule="auto"/>
        <w:rPr>
          <w:rFonts w:eastAsia="Calibri"/>
          <w:bCs/>
          <w:color w:val="000000"/>
          <w:szCs w:val="24"/>
          <w:lang w:eastAsia="en-US"/>
        </w:rPr>
      </w:pPr>
      <w:r w:rsidRPr="007C0243">
        <w:rPr>
          <w:rFonts w:eastAsia="Calibri"/>
          <w:bCs/>
          <w:color w:val="000000"/>
          <w:szCs w:val="24"/>
          <w:lang w:eastAsia="en-US"/>
        </w:rPr>
        <w:t xml:space="preserve">Tendo em vista os resultados obtidos com o teste LM de </w:t>
      </w:r>
      <w:proofErr w:type="spellStart"/>
      <w:r w:rsidRPr="007C0243">
        <w:rPr>
          <w:rFonts w:eastAsia="Calibri"/>
          <w:bCs/>
          <w:color w:val="000000"/>
          <w:szCs w:val="24"/>
          <w:lang w:eastAsia="en-US"/>
        </w:rPr>
        <w:t>Breuch-Pagan</w:t>
      </w:r>
      <w:proofErr w:type="spellEnd"/>
      <w:r w:rsidRPr="007C0243">
        <w:rPr>
          <w:rFonts w:eastAsia="Calibri"/>
          <w:bCs/>
          <w:color w:val="000000"/>
          <w:szCs w:val="24"/>
          <w:lang w:eastAsia="en-US"/>
        </w:rPr>
        <w:t xml:space="preserve"> e o teste de </w:t>
      </w:r>
      <w:proofErr w:type="spellStart"/>
      <w:r w:rsidRPr="007C0243">
        <w:rPr>
          <w:rFonts w:eastAsia="Calibri"/>
          <w:bCs/>
          <w:color w:val="000000"/>
          <w:szCs w:val="24"/>
          <w:lang w:eastAsia="en-US"/>
        </w:rPr>
        <w:t>Hausman</w:t>
      </w:r>
      <w:proofErr w:type="spellEnd"/>
      <w:r w:rsidRPr="007C0243">
        <w:rPr>
          <w:rFonts w:eastAsia="Calibri"/>
          <w:bCs/>
          <w:color w:val="000000"/>
          <w:szCs w:val="24"/>
          <w:lang w:eastAsia="en-US"/>
        </w:rPr>
        <w:t xml:space="preserve">, utilizou-se então um modelo de regressão de efeitos aleatórios com dados em painel. Como proposto na metodologia, rodou-se também um modelo de regressão </w:t>
      </w:r>
      <w:proofErr w:type="spellStart"/>
      <w:r w:rsidRPr="007C0243">
        <w:rPr>
          <w:rFonts w:eastAsia="Calibri"/>
          <w:bCs/>
          <w:color w:val="000000"/>
          <w:szCs w:val="24"/>
          <w:lang w:eastAsia="en-US"/>
        </w:rPr>
        <w:t>Tobit</w:t>
      </w:r>
      <w:proofErr w:type="spellEnd"/>
      <w:r w:rsidRPr="007C0243">
        <w:rPr>
          <w:rFonts w:eastAsia="Calibri"/>
          <w:bCs/>
          <w:color w:val="000000"/>
          <w:szCs w:val="24"/>
          <w:lang w:eastAsia="en-US"/>
        </w:rPr>
        <w:t xml:space="preserve"> com dados em painel e comparou-se seus resultados. </w:t>
      </w:r>
    </w:p>
    <w:p w:rsidR="00AD5EAC" w:rsidRPr="007C0243" w:rsidRDefault="00AD5EAC" w:rsidP="00AD5EAC">
      <w:pPr>
        <w:spacing w:after="240" w:line="360" w:lineRule="auto"/>
        <w:rPr>
          <w:rFonts w:eastAsia="Calibri"/>
          <w:bCs/>
          <w:color w:val="000000"/>
          <w:szCs w:val="24"/>
          <w:lang w:eastAsia="en-US"/>
        </w:rPr>
      </w:pPr>
      <w:r w:rsidRPr="007C0243">
        <w:rPr>
          <w:rFonts w:eastAsia="Calibri"/>
          <w:bCs/>
          <w:color w:val="000000"/>
          <w:szCs w:val="24"/>
          <w:lang w:eastAsia="en-US"/>
        </w:rPr>
        <w:t xml:space="preserve">Foi feito teste de </w:t>
      </w:r>
      <w:proofErr w:type="spellStart"/>
      <w:r w:rsidRPr="007C0243">
        <w:rPr>
          <w:rFonts w:eastAsia="Calibri"/>
          <w:bCs/>
          <w:color w:val="000000"/>
          <w:szCs w:val="24"/>
          <w:lang w:eastAsia="en-US"/>
        </w:rPr>
        <w:t>Wooldridge</w:t>
      </w:r>
      <w:proofErr w:type="spellEnd"/>
      <w:r w:rsidRPr="007C0243">
        <w:rPr>
          <w:rFonts w:eastAsia="Calibri"/>
          <w:bCs/>
          <w:color w:val="000000"/>
          <w:szCs w:val="24"/>
          <w:lang w:eastAsia="en-US"/>
        </w:rPr>
        <w:t xml:space="preserve"> para verificar se existe </w:t>
      </w:r>
      <w:proofErr w:type="spellStart"/>
      <w:r w:rsidRPr="007C0243">
        <w:rPr>
          <w:rFonts w:eastAsia="Calibri"/>
          <w:bCs/>
          <w:color w:val="000000"/>
          <w:szCs w:val="24"/>
          <w:lang w:eastAsia="en-US"/>
        </w:rPr>
        <w:t>autocorrelação</w:t>
      </w:r>
      <w:proofErr w:type="spellEnd"/>
      <w:r w:rsidRPr="007C0243">
        <w:rPr>
          <w:rFonts w:eastAsia="Calibri"/>
          <w:bCs/>
          <w:color w:val="000000"/>
          <w:szCs w:val="24"/>
          <w:lang w:eastAsia="en-US"/>
        </w:rPr>
        <w:t xml:space="preserve"> dos resíduos onde o teste assume como H</w:t>
      </w:r>
      <w:r w:rsidRPr="007C0243">
        <w:rPr>
          <w:rFonts w:eastAsia="Calibri"/>
          <w:bCs/>
          <w:color w:val="000000"/>
          <w:szCs w:val="24"/>
          <w:vertAlign w:val="subscript"/>
          <w:lang w:eastAsia="en-US"/>
        </w:rPr>
        <w:t>0</w:t>
      </w:r>
      <w:r w:rsidRPr="007C0243">
        <w:rPr>
          <w:rFonts w:eastAsia="Calibri"/>
          <w:bCs/>
          <w:color w:val="000000"/>
          <w:szCs w:val="24"/>
          <w:lang w:eastAsia="en-US"/>
        </w:rPr>
        <w:t>: ausência de correlação e H</w:t>
      </w:r>
      <w:r w:rsidRPr="007C0243">
        <w:rPr>
          <w:rFonts w:eastAsia="Calibri"/>
          <w:bCs/>
          <w:color w:val="000000"/>
          <w:szCs w:val="24"/>
          <w:vertAlign w:val="subscript"/>
          <w:lang w:eastAsia="en-US"/>
        </w:rPr>
        <w:t>1</w:t>
      </w:r>
      <w:r w:rsidRPr="007C0243">
        <w:rPr>
          <w:rFonts w:eastAsia="Calibri"/>
          <w:bCs/>
          <w:color w:val="000000"/>
          <w:szCs w:val="24"/>
          <w:lang w:eastAsia="en-US"/>
        </w:rPr>
        <w:t xml:space="preserve">: existência de correlação. O teste apresentou um p-valor de 0,0450, ou seja, rejeita-se H0 e pode-se confirmar a existência de </w:t>
      </w:r>
      <w:proofErr w:type="spellStart"/>
      <w:r w:rsidRPr="007C0243">
        <w:rPr>
          <w:rFonts w:eastAsia="Calibri"/>
          <w:bCs/>
          <w:color w:val="000000"/>
          <w:szCs w:val="24"/>
          <w:lang w:eastAsia="en-US"/>
        </w:rPr>
        <w:t>autocorrelação</w:t>
      </w:r>
      <w:proofErr w:type="spellEnd"/>
      <w:r w:rsidRPr="007C0243">
        <w:rPr>
          <w:rFonts w:eastAsia="Calibri"/>
          <w:bCs/>
          <w:color w:val="000000"/>
          <w:szCs w:val="24"/>
          <w:lang w:eastAsia="en-US"/>
        </w:rPr>
        <w:t xml:space="preserve"> dos resíduos, ao nível de significância de 5%. Também fez-se o teste de </w:t>
      </w:r>
      <w:proofErr w:type="spellStart"/>
      <w:r w:rsidRPr="007C0243">
        <w:rPr>
          <w:rFonts w:eastAsia="Calibri"/>
          <w:bCs/>
          <w:color w:val="000000"/>
          <w:szCs w:val="24"/>
          <w:lang w:eastAsia="en-US"/>
        </w:rPr>
        <w:t>Poi</w:t>
      </w:r>
      <w:proofErr w:type="spellEnd"/>
      <w:r w:rsidRPr="007C0243">
        <w:rPr>
          <w:rFonts w:eastAsia="Calibri"/>
          <w:bCs/>
          <w:color w:val="000000"/>
          <w:szCs w:val="24"/>
          <w:lang w:eastAsia="en-US"/>
        </w:rPr>
        <w:t xml:space="preserve"> </w:t>
      </w:r>
      <w:proofErr w:type="spellStart"/>
      <w:r w:rsidRPr="007C0243">
        <w:rPr>
          <w:rFonts w:eastAsia="Calibri"/>
          <w:bCs/>
          <w:i/>
          <w:color w:val="000000"/>
          <w:szCs w:val="24"/>
          <w:lang w:eastAsia="en-US"/>
        </w:rPr>
        <w:t>and</w:t>
      </w:r>
      <w:proofErr w:type="spellEnd"/>
      <w:r w:rsidRPr="007C0243">
        <w:rPr>
          <w:rFonts w:eastAsia="Calibri"/>
          <w:bCs/>
          <w:color w:val="000000"/>
          <w:szCs w:val="24"/>
          <w:lang w:eastAsia="en-US"/>
        </w:rPr>
        <w:t xml:space="preserve"> </w:t>
      </w:r>
      <w:proofErr w:type="spellStart"/>
      <w:r w:rsidRPr="007C0243">
        <w:rPr>
          <w:rFonts w:eastAsia="Calibri"/>
          <w:bCs/>
          <w:color w:val="000000"/>
          <w:szCs w:val="24"/>
          <w:lang w:eastAsia="en-US"/>
        </w:rPr>
        <w:t>Wiggins</w:t>
      </w:r>
      <w:proofErr w:type="spellEnd"/>
      <w:r w:rsidRPr="007C0243">
        <w:rPr>
          <w:rFonts w:eastAsia="Calibri"/>
          <w:bCs/>
          <w:color w:val="000000"/>
          <w:szCs w:val="24"/>
          <w:lang w:eastAsia="en-US"/>
        </w:rPr>
        <w:t xml:space="preserve"> para verificar a existência de </w:t>
      </w:r>
      <w:proofErr w:type="spellStart"/>
      <w:r w:rsidRPr="007C0243">
        <w:rPr>
          <w:rFonts w:eastAsia="Calibri"/>
          <w:bCs/>
          <w:color w:val="000000"/>
          <w:szCs w:val="24"/>
          <w:lang w:eastAsia="en-US"/>
        </w:rPr>
        <w:t>heterocedasticidade</w:t>
      </w:r>
      <w:proofErr w:type="spellEnd"/>
      <w:r w:rsidRPr="007C0243">
        <w:rPr>
          <w:rFonts w:eastAsia="Calibri"/>
          <w:bCs/>
          <w:color w:val="000000"/>
          <w:szCs w:val="24"/>
          <w:lang w:eastAsia="en-US"/>
        </w:rPr>
        <w:t xml:space="preserve"> dos resíduos. O teste assume H</w:t>
      </w:r>
      <w:r w:rsidRPr="007C0243">
        <w:rPr>
          <w:rFonts w:eastAsia="Calibri"/>
          <w:bCs/>
          <w:color w:val="000000"/>
          <w:szCs w:val="24"/>
          <w:vertAlign w:val="subscript"/>
          <w:lang w:eastAsia="en-US"/>
        </w:rPr>
        <w:t>0</w:t>
      </w:r>
      <w:r w:rsidRPr="007C0243">
        <w:rPr>
          <w:rFonts w:eastAsia="Calibri"/>
          <w:bCs/>
          <w:color w:val="000000"/>
          <w:szCs w:val="24"/>
          <w:lang w:eastAsia="en-US"/>
        </w:rPr>
        <w:t xml:space="preserve">: ausência de </w:t>
      </w:r>
      <w:proofErr w:type="spellStart"/>
      <w:r w:rsidRPr="007C0243">
        <w:rPr>
          <w:rFonts w:eastAsia="Calibri"/>
          <w:bCs/>
          <w:color w:val="000000"/>
          <w:szCs w:val="24"/>
          <w:lang w:eastAsia="en-US"/>
        </w:rPr>
        <w:t>heterocedasticidade</w:t>
      </w:r>
      <w:proofErr w:type="spellEnd"/>
      <w:r w:rsidRPr="007C0243">
        <w:rPr>
          <w:rFonts w:eastAsia="Calibri"/>
          <w:bCs/>
          <w:color w:val="000000"/>
          <w:szCs w:val="24"/>
          <w:lang w:eastAsia="en-US"/>
        </w:rPr>
        <w:t xml:space="preserve"> e H</w:t>
      </w:r>
      <w:r w:rsidRPr="007C0243">
        <w:rPr>
          <w:rFonts w:eastAsia="Calibri"/>
          <w:bCs/>
          <w:color w:val="000000"/>
          <w:szCs w:val="24"/>
          <w:vertAlign w:val="subscript"/>
          <w:lang w:eastAsia="en-US"/>
        </w:rPr>
        <w:t>1</w:t>
      </w:r>
      <w:r w:rsidRPr="007C0243">
        <w:rPr>
          <w:rFonts w:eastAsia="Calibri"/>
          <w:bCs/>
          <w:color w:val="000000"/>
          <w:szCs w:val="24"/>
          <w:lang w:eastAsia="en-US"/>
        </w:rPr>
        <w:t xml:space="preserve">: existência de </w:t>
      </w:r>
      <w:proofErr w:type="spellStart"/>
      <w:r w:rsidRPr="007C0243">
        <w:rPr>
          <w:rFonts w:eastAsia="Calibri"/>
          <w:bCs/>
          <w:color w:val="000000"/>
          <w:szCs w:val="24"/>
          <w:lang w:eastAsia="en-US"/>
        </w:rPr>
        <w:t>heterocedasticidade</w:t>
      </w:r>
      <w:proofErr w:type="spellEnd"/>
      <w:r w:rsidRPr="007C0243">
        <w:rPr>
          <w:rFonts w:eastAsia="Calibri"/>
          <w:bCs/>
          <w:color w:val="000000"/>
          <w:szCs w:val="24"/>
          <w:lang w:eastAsia="en-US"/>
        </w:rPr>
        <w:t xml:space="preserve">. O teste de </w:t>
      </w:r>
      <w:proofErr w:type="spellStart"/>
      <w:r w:rsidRPr="007C0243">
        <w:rPr>
          <w:rFonts w:eastAsia="Calibri"/>
          <w:bCs/>
          <w:color w:val="000000"/>
          <w:szCs w:val="24"/>
          <w:lang w:eastAsia="en-US"/>
        </w:rPr>
        <w:t>Poi</w:t>
      </w:r>
      <w:proofErr w:type="spellEnd"/>
      <w:r w:rsidRPr="007C0243">
        <w:rPr>
          <w:rFonts w:eastAsia="Calibri"/>
          <w:bCs/>
          <w:color w:val="000000"/>
          <w:szCs w:val="24"/>
          <w:lang w:eastAsia="en-US"/>
        </w:rPr>
        <w:t xml:space="preserve"> </w:t>
      </w:r>
      <w:proofErr w:type="spellStart"/>
      <w:r w:rsidRPr="007C0243">
        <w:rPr>
          <w:rFonts w:eastAsia="Calibri"/>
          <w:bCs/>
          <w:i/>
          <w:color w:val="000000"/>
          <w:szCs w:val="24"/>
          <w:lang w:eastAsia="en-US"/>
        </w:rPr>
        <w:t>and</w:t>
      </w:r>
      <w:proofErr w:type="spellEnd"/>
      <w:r w:rsidRPr="007C0243">
        <w:rPr>
          <w:rFonts w:eastAsia="Calibri"/>
          <w:bCs/>
          <w:color w:val="000000"/>
          <w:szCs w:val="24"/>
          <w:lang w:eastAsia="en-US"/>
        </w:rPr>
        <w:t xml:space="preserve"> </w:t>
      </w:r>
      <w:proofErr w:type="spellStart"/>
      <w:r w:rsidRPr="007C0243">
        <w:rPr>
          <w:rFonts w:eastAsia="Calibri"/>
          <w:bCs/>
          <w:color w:val="000000"/>
          <w:szCs w:val="24"/>
          <w:lang w:eastAsia="en-US"/>
        </w:rPr>
        <w:t>Wiggins</w:t>
      </w:r>
      <w:proofErr w:type="spellEnd"/>
      <w:r w:rsidRPr="007C0243">
        <w:rPr>
          <w:rFonts w:eastAsia="Calibri"/>
          <w:bCs/>
          <w:color w:val="000000"/>
          <w:szCs w:val="24"/>
          <w:lang w:eastAsia="en-US"/>
        </w:rPr>
        <w:t xml:space="preserve"> apresentou uma estatística </w:t>
      </w:r>
      <w:r w:rsidRPr="007C0243">
        <w:rPr>
          <w:rFonts w:ascii="Symbol" w:eastAsia="Calibri" w:hAnsi="Symbol"/>
          <w:bCs/>
          <w:color w:val="000000"/>
          <w:szCs w:val="24"/>
          <w:lang w:eastAsia="en-US"/>
        </w:rPr>
        <w:t></w:t>
      </w:r>
      <w:r w:rsidRPr="007C0243">
        <w:rPr>
          <w:rFonts w:eastAsia="Calibri"/>
          <w:bCs/>
          <w:color w:val="000000"/>
          <w:szCs w:val="24"/>
          <w:lang w:eastAsia="en-US"/>
        </w:rPr>
        <w:t xml:space="preserve">² de 84,07, com um p-valor menor que 0,05, ou seja, rejeita-se H0 e confirma a existência de </w:t>
      </w:r>
      <w:proofErr w:type="spellStart"/>
      <w:r w:rsidRPr="007C0243">
        <w:rPr>
          <w:rFonts w:eastAsia="Calibri"/>
          <w:bCs/>
          <w:color w:val="000000"/>
          <w:szCs w:val="24"/>
          <w:lang w:eastAsia="en-US"/>
        </w:rPr>
        <w:t>heterocedastidade</w:t>
      </w:r>
      <w:proofErr w:type="spellEnd"/>
      <w:r w:rsidRPr="007C0243">
        <w:rPr>
          <w:rFonts w:eastAsia="Calibri"/>
          <w:bCs/>
          <w:color w:val="000000"/>
          <w:szCs w:val="24"/>
          <w:lang w:eastAsia="en-US"/>
        </w:rPr>
        <w:t xml:space="preserve"> dos resíduos ao nível de significância de 5%. Para tanto, por conta de a amostra ter apresentado problemas de </w:t>
      </w:r>
      <w:proofErr w:type="spellStart"/>
      <w:r w:rsidRPr="007C0243">
        <w:rPr>
          <w:rFonts w:eastAsia="Calibri"/>
          <w:bCs/>
          <w:color w:val="000000"/>
          <w:szCs w:val="24"/>
          <w:lang w:eastAsia="en-US"/>
        </w:rPr>
        <w:t>autocorrelação</w:t>
      </w:r>
      <w:proofErr w:type="spellEnd"/>
      <w:r w:rsidRPr="007C0243">
        <w:rPr>
          <w:rFonts w:eastAsia="Calibri"/>
          <w:bCs/>
          <w:color w:val="000000"/>
          <w:szCs w:val="24"/>
          <w:lang w:eastAsia="en-US"/>
        </w:rPr>
        <w:t xml:space="preserve"> e </w:t>
      </w:r>
      <w:proofErr w:type="spellStart"/>
      <w:r w:rsidRPr="007C0243">
        <w:rPr>
          <w:rFonts w:eastAsia="Calibri"/>
          <w:bCs/>
          <w:color w:val="000000"/>
          <w:szCs w:val="24"/>
          <w:lang w:eastAsia="en-US"/>
        </w:rPr>
        <w:t>heterocedasticidade</w:t>
      </w:r>
      <w:proofErr w:type="spellEnd"/>
      <w:r w:rsidRPr="007C0243">
        <w:rPr>
          <w:rFonts w:eastAsia="Calibri"/>
          <w:bCs/>
          <w:color w:val="000000"/>
          <w:szCs w:val="24"/>
          <w:lang w:eastAsia="en-US"/>
        </w:rPr>
        <w:t xml:space="preserve"> dos resíduos, foi assumido erros-padrão robustos, tanto para o modelo de regressão de efeitos aleatórios com dados em painel e o modelo de regressão </w:t>
      </w:r>
      <w:proofErr w:type="spellStart"/>
      <w:r w:rsidRPr="007C0243">
        <w:rPr>
          <w:rFonts w:eastAsia="Calibri"/>
          <w:bCs/>
          <w:color w:val="000000"/>
          <w:szCs w:val="24"/>
          <w:lang w:eastAsia="en-US"/>
        </w:rPr>
        <w:t>Tobit</w:t>
      </w:r>
      <w:proofErr w:type="spellEnd"/>
      <w:r w:rsidRPr="007C0243">
        <w:rPr>
          <w:rFonts w:eastAsia="Calibri"/>
          <w:bCs/>
          <w:color w:val="000000"/>
          <w:szCs w:val="24"/>
          <w:lang w:eastAsia="en-US"/>
        </w:rPr>
        <w:t xml:space="preserve"> com dados em painel. A Tabela 3 apresenta tais resultados.</w:t>
      </w:r>
    </w:p>
    <w:p w:rsidR="00AD5EAC" w:rsidRPr="00AD5EAC" w:rsidRDefault="00AD5EAC" w:rsidP="00AD5EAC">
      <w:pPr>
        <w:spacing w:line="360" w:lineRule="auto"/>
        <w:ind w:firstLine="360"/>
        <w:jc w:val="center"/>
        <w:rPr>
          <w:rFonts w:eastAsia="Calibri"/>
          <w:b/>
          <w:bCs/>
          <w:color w:val="000000"/>
          <w:sz w:val="26"/>
          <w:szCs w:val="26"/>
          <w:lang w:eastAsia="en-US"/>
        </w:rPr>
      </w:pPr>
      <w:r w:rsidRPr="00AD5EAC">
        <w:rPr>
          <w:rFonts w:eastAsia="Calibri"/>
          <w:b/>
          <w:bCs/>
          <w:color w:val="000000"/>
          <w:sz w:val="20"/>
          <w:szCs w:val="26"/>
          <w:lang w:eastAsia="en-US"/>
        </w:rPr>
        <w:t>Tabela 3 - Resultados dos modelos de regressão</w:t>
      </w:r>
    </w:p>
    <w:tbl>
      <w:tblPr>
        <w:tblW w:w="9003" w:type="dxa"/>
        <w:tblInd w:w="7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9"/>
        <w:gridCol w:w="1096"/>
        <w:gridCol w:w="1447"/>
        <w:gridCol w:w="840"/>
        <w:gridCol w:w="890"/>
        <w:gridCol w:w="1314"/>
        <w:gridCol w:w="1299"/>
      </w:tblGrid>
      <w:tr w:rsidR="00AD5EAC" w:rsidRPr="009A7E07" w:rsidTr="007C0243">
        <w:trPr>
          <w:trHeight w:val="200"/>
        </w:trPr>
        <w:tc>
          <w:tcPr>
            <w:tcW w:w="9003" w:type="dxa"/>
            <w:gridSpan w:val="7"/>
            <w:tcBorders>
              <w:top w:val="single" w:sz="4" w:space="0" w:color="auto"/>
              <w:bottom w:val="single" w:sz="4" w:space="0" w:color="auto"/>
            </w:tcBorders>
            <w:shd w:val="clear" w:color="000000" w:fill="BFBFBF"/>
            <w:noWrap/>
            <w:vAlign w:val="center"/>
            <w:hideMark/>
          </w:tcPr>
          <w:p w:rsidR="00AD5EAC" w:rsidRPr="009A7E07" w:rsidRDefault="00AD5EAC" w:rsidP="007C0243">
            <w:pPr>
              <w:ind w:firstLine="0"/>
              <w:jc w:val="center"/>
              <w:rPr>
                <w:b/>
                <w:bCs/>
                <w:color w:val="000000"/>
                <w:sz w:val="20"/>
              </w:rPr>
            </w:pPr>
            <w:r w:rsidRPr="009A7E07">
              <w:rPr>
                <w:b/>
                <w:bCs/>
                <w:color w:val="000000"/>
                <w:sz w:val="20"/>
              </w:rPr>
              <w:t>Painel - Efeito Aleatório</w:t>
            </w:r>
            <w:r>
              <w:rPr>
                <w:b/>
                <w:bCs/>
                <w:color w:val="000000"/>
                <w:sz w:val="20"/>
              </w:rPr>
              <w:t>s com Erros-padrão robustos</w:t>
            </w:r>
          </w:p>
        </w:tc>
      </w:tr>
      <w:tr w:rsidR="00AD5EAC" w:rsidRPr="009A7E07" w:rsidTr="007C0243">
        <w:trPr>
          <w:trHeight w:val="310"/>
        </w:trPr>
        <w:tc>
          <w:tcPr>
            <w:tcW w:w="2119" w:type="dxa"/>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Variável</w:t>
            </w:r>
          </w:p>
        </w:tc>
        <w:tc>
          <w:tcPr>
            <w:tcW w:w="1096" w:type="dxa"/>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Coeficiente</w:t>
            </w:r>
          </w:p>
        </w:tc>
        <w:tc>
          <w:tcPr>
            <w:tcW w:w="1447" w:type="dxa"/>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Erro</w:t>
            </w:r>
          </w:p>
        </w:tc>
        <w:tc>
          <w:tcPr>
            <w:tcW w:w="862" w:type="dxa"/>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Pr>
                <w:b/>
                <w:bCs/>
                <w:color w:val="000000"/>
                <w:sz w:val="20"/>
              </w:rPr>
              <w:t>z</w:t>
            </w:r>
          </w:p>
        </w:tc>
        <w:tc>
          <w:tcPr>
            <w:tcW w:w="815" w:type="dxa"/>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p-valor</w:t>
            </w:r>
          </w:p>
        </w:tc>
        <w:tc>
          <w:tcPr>
            <w:tcW w:w="2664" w:type="dxa"/>
            <w:gridSpan w:val="2"/>
            <w:tcBorders>
              <w:top w:val="single" w:sz="4" w:space="0" w:color="auto"/>
            </w:tcBorders>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Intervalo de Confiança</w:t>
            </w:r>
            <w:r>
              <w:rPr>
                <w:b/>
                <w:bCs/>
                <w:color w:val="000000"/>
                <w:sz w:val="20"/>
              </w:rPr>
              <w:t xml:space="preserve"> a</w:t>
            </w:r>
            <w:r w:rsidRPr="009A7E07">
              <w:rPr>
                <w:b/>
                <w:bCs/>
                <w:color w:val="000000"/>
                <w:sz w:val="20"/>
              </w:rPr>
              <w:t xml:space="preserve"> 95%</w:t>
            </w:r>
          </w:p>
        </w:tc>
      </w:tr>
      <w:tr w:rsidR="00AD5EAC" w:rsidRPr="009A7E07" w:rsidTr="007C0243">
        <w:trPr>
          <w:trHeight w:val="20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IDHM</w:t>
            </w:r>
          </w:p>
        </w:tc>
        <w:tc>
          <w:tcPr>
            <w:tcW w:w="1096"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1,238908</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1,</w:t>
            </w:r>
            <w:r w:rsidRPr="0056550B">
              <w:rPr>
                <w:color w:val="000000"/>
                <w:sz w:val="20"/>
              </w:rPr>
              <w:t>223701</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1,</w:t>
            </w:r>
            <w:r w:rsidRPr="0056550B">
              <w:rPr>
                <w:color w:val="000000"/>
                <w:sz w:val="20"/>
              </w:rPr>
              <w:t>01</w:t>
            </w:r>
          </w:p>
        </w:tc>
        <w:tc>
          <w:tcPr>
            <w:tcW w:w="815"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311</w:t>
            </w:r>
          </w:p>
        </w:tc>
        <w:tc>
          <w:tcPr>
            <w:tcW w:w="1337"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w:t>
            </w:r>
            <w:r>
              <w:rPr>
                <w:color w:val="000000"/>
                <w:sz w:val="20"/>
              </w:rPr>
              <w:t>1,</w:t>
            </w:r>
            <w:r w:rsidRPr="0056550B">
              <w:rPr>
                <w:color w:val="000000"/>
                <w:sz w:val="20"/>
              </w:rPr>
              <w:t>159503</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3,</w:t>
            </w:r>
            <w:r w:rsidRPr="0056550B">
              <w:rPr>
                <w:color w:val="000000"/>
                <w:sz w:val="20"/>
              </w:rPr>
              <w:t>637319</w:t>
            </w:r>
          </w:p>
        </w:tc>
      </w:tr>
      <w:tr w:rsidR="00AD5EAC" w:rsidRPr="009A7E07" w:rsidTr="007C0243">
        <w:trPr>
          <w:trHeight w:val="20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lastRenderedPageBreak/>
              <w:t>Densidade Demográfica</w:t>
            </w:r>
          </w:p>
        </w:tc>
        <w:tc>
          <w:tcPr>
            <w:tcW w:w="1096"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0,0001237</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0000612</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2,02</w:t>
            </w:r>
          </w:p>
        </w:tc>
        <w:tc>
          <w:tcPr>
            <w:tcW w:w="815" w:type="dxa"/>
            <w:shd w:val="clear" w:color="auto" w:fill="auto"/>
            <w:vAlign w:val="center"/>
            <w:hideMark/>
          </w:tcPr>
          <w:p w:rsidR="00AD5EAC" w:rsidRPr="009A7E07" w:rsidRDefault="00AD5EAC" w:rsidP="007C0243">
            <w:pPr>
              <w:ind w:firstLine="0"/>
              <w:jc w:val="center"/>
              <w:rPr>
                <w:color w:val="000000"/>
                <w:sz w:val="20"/>
              </w:rPr>
            </w:pPr>
            <w:r w:rsidRPr="0056550B">
              <w:rPr>
                <w:color w:val="000000"/>
                <w:sz w:val="20"/>
              </w:rPr>
              <w:t>0</w:t>
            </w:r>
            <w:r>
              <w:rPr>
                <w:color w:val="000000"/>
                <w:sz w:val="20"/>
              </w:rPr>
              <w:t>,</w:t>
            </w:r>
            <w:r w:rsidRPr="0056550B">
              <w:rPr>
                <w:color w:val="000000"/>
                <w:sz w:val="20"/>
              </w:rPr>
              <w:t>043</w:t>
            </w:r>
            <w:r>
              <w:rPr>
                <w:color w:val="000000"/>
                <w:sz w:val="20"/>
              </w:rPr>
              <w:t>**</w:t>
            </w:r>
          </w:p>
        </w:tc>
        <w:tc>
          <w:tcPr>
            <w:tcW w:w="1337" w:type="dxa"/>
            <w:shd w:val="clear" w:color="auto" w:fill="auto"/>
            <w:vAlign w:val="center"/>
            <w:hideMark/>
          </w:tcPr>
          <w:p w:rsidR="00AD5EAC" w:rsidRPr="009A7E07" w:rsidRDefault="00AD5EAC" w:rsidP="007C0243">
            <w:pPr>
              <w:ind w:firstLine="0"/>
              <w:jc w:val="center"/>
              <w:rPr>
                <w:color w:val="000000"/>
                <w:sz w:val="20"/>
              </w:rPr>
            </w:pPr>
            <w:r>
              <w:rPr>
                <w:color w:val="000000"/>
                <w:sz w:val="20"/>
              </w:rPr>
              <w:t>3,</w:t>
            </w:r>
            <w:r w:rsidRPr="0056550B">
              <w:rPr>
                <w:color w:val="000000"/>
                <w:sz w:val="20"/>
              </w:rPr>
              <w:t>76e</w:t>
            </w:r>
            <w:r w:rsidRPr="0056550B">
              <w:rPr>
                <w:color w:val="000000"/>
                <w:sz w:val="20"/>
                <w:vertAlign w:val="superscript"/>
              </w:rPr>
              <w:t>-06</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0002436</w:t>
            </w:r>
          </w:p>
        </w:tc>
      </w:tr>
      <w:tr w:rsidR="00AD5EAC" w:rsidRPr="009A7E07" w:rsidTr="007C0243">
        <w:trPr>
          <w:trHeight w:val="20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PIB</w:t>
            </w:r>
          </w:p>
        </w:tc>
        <w:tc>
          <w:tcPr>
            <w:tcW w:w="1096" w:type="dxa"/>
            <w:shd w:val="clear" w:color="auto" w:fill="auto"/>
            <w:vAlign w:val="center"/>
            <w:hideMark/>
          </w:tcPr>
          <w:p w:rsidR="00AD5EAC" w:rsidRPr="009A7E07" w:rsidRDefault="00AD5EAC" w:rsidP="007C0243">
            <w:pPr>
              <w:ind w:firstLine="0"/>
              <w:jc w:val="center"/>
              <w:rPr>
                <w:color w:val="000000"/>
                <w:sz w:val="20"/>
              </w:rPr>
            </w:pPr>
            <w:r>
              <w:rPr>
                <w:color w:val="000000"/>
                <w:sz w:val="20"/>
              </w:rPr>
              <w:t>3,33e</w:t>
            </w:r>
            <w:r w:rsidRPr="0056550B">
              <w:rPr>
                <w:color w:val="000000"/>
                <w:sz w:val="20"/>
                <w:vertAlign w:val="superscript"/>
              </w:rPr>
              <w:t>-08</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1,21e</w:t>
            </w:r>
            <w:r w:rsidRPr="0056550B">
              <w:rPr>
                <w:color w:val="000000"/>
                <w:sz w:val="20"/>
                <w:vertAlign w:val="superscript"/>
              </w:rPr>
              <w:t>-08</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2,76</w:t>
            </w:r>
          </w:p>
        </w:tc>
        <w:tc>
          <w:tcPr>
            <w:tcW w:w="815"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006</w:t>
            </w:r>
            <w:r>
              <w:rPr>
                <w:color w:val="000000"/>
                <w:sz w:val="20"/>
              </w:rPr>
              <w:t>***</w:t>
            </w:r>
          </w:p>
        </w:tc>
        <w:tc>
          <w:tcPr>
            <w:tcW w:w="1337" w:type="dxa"/>
            <w:shd w:val="clear" w:color="auto" w:fill="auto"/>
            <w:vAlign w:val="center"/>
            <w:hideMark/>
          </w:tcPr>
          <w:p w:rsidR="00AD5EAC" w:rsidRPr="009A7E07" w:rsidRDefault="00AD5EAC" w:rsidP="007C0243">
            <w:pPr>
              <w:ind w:firstLine="0"/>
              <w:jc w:val="center"/>
              <w:rPr>
                <w:color w:val="000000"/>
                <w:sz w:val="20"/>
              </w:rPr>
            </w:pPr>
            <w:r>
              <w:rPr>
                <w:color w:val="000000"/>
                <w:sz w:val="20"/>
              </w:rPr>
              <w:t>9,</w:t>
            </w:r>
            <w:r w:rsidRPr="0056550B">
              <w:rPr>
                <w:color w:val="000000"/>
                <w:sz w:val="20"/>
              </w:rPr>
              <w:t>65e</w:t>
            </w:r>
            <w:r w:rsidRPr="0056550B">
              <w:rPr>
                <w:color w:val="000000"/>
                <w:sz w:val="20"/>
                <w:vertAlign w:val="superscript"/>
              </w:rPr>
              <w:t>-09</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5,</w:t>
            </w:r>
            <w:r w:rsidRPr="0056550B">
              <w:rPr>
                <w:color w:val="000000"/>
                <w:sz w:val="20"/>
              </w:rPr>
              <w:t>69e</w:t>
            </w:r>
            <w:r w:rsidRPr="0056550B">
              <w:rPr>
                <w:color w:val="000000"/>
                <w:sz w:val="20"/>
                <w:vertAlign w:val="superscript"/>
              </w:rPr>
              <w:t>-08</w:t>
            </w:r>
          </w:p>
        </w:tc>
      </w:tr>
      <w:tr w:rsidR="00AD5EAC" w:rsidRPr="009A7E07" w:rsidTr="007C0243">
        <w:trPr>
          <w:trHeight w:val="20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Constante</w:t>
            </w:r>
          </w:p>
        </w:tc>
        <w:tc>
          <w:tcPr>
            <w:tcW w:w="1096"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-0,4188832</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0,904616</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-0,46</w:t>
            </w:r>
          </w:p>
        </w:tc>
        <w:tc>
          <w:tcPr>
            <w:tcW w:w="815"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643</w:t>
            </w:r>
          </w:p>
        </w:tc>
        <w:tc>
          <w:tcPr>
            <w:tcW w:w="1337" w:type="dxa"/>
            <w:shd w:val="clear" w:color="auto" w:fill="auto"/>
            <w:vAlign w:val="center"/>
            <w:hideMark/>
          </w:tcPr>
          <w:p w:rsidR="00AD5EAC" w:rsidRPr="009A7E07" w:rsidRDefault="00AD5EAC" w:rsidP="007C0243">
            <w:pPr>
              <w:ind w:firstLine="0"/>
              <w:jc w:val="center"/>
              <w:rPr>
                <w:color w:val="000000"/>
                <w:sz w:val="20"/>
              </w:rPr>
            </w:pPr>
            <w:r>
              <w:rPr>
                <w:color w:val="000000"/>
                <w:sz w:val="20"/>
              </w:rPr>
              <w:t>-2,</w:t>
            </w:r>
            <w:r w:rsidRPr="0056550B">
              <w:rPr>
                <w:color w:val="000000"/>
                <w:sz w:val="20"/>
              </w:rPr>
              <w:t>191898</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1,</w:t>
            </w:r>
            <w:r w:rsidRPr="0056550B">
              <w:rPr>
                <w:color w:val="000000"/>
                <w:sz w:val="20"/>
              </w:rPr>
              <w:t>354132</w:t>
            </w:r>
          </w:p>
        </w:tc>
      </w:tr>
      <w:tr w:rsidR="00AD5EAC" w:rsidRPr="009A7E07" w:rsidTr="007C0243">
        <w:trPr>
          <w:trHeight w:val="200"/>
        </w:trPr>
        <w:tc>
          <w:tcPr>
            <w:tcW w:w="9003" w:type="dxa"/>
            <w:gridSpan w:val="7"/>
            <w:shd w:val="clear" w:color="auto" w:fill="auto"/>
            <w:vAlign w:val="center"/>
          </w:tcPr>
          <w:p w:rsidR="00AD5EAC" w:rsidRDefault="00AD5EAC" w:rsidP="007C0243">
            <w:pPr>
              <w:jc w:val="center"/>
              <w:rPr>
                <w:b/>
                <w:bCs/>
                <w:color w:val="000000"/>
                <w:sz w:val="20"/>
              </w:rPr>
            </w:pPr>
            <w:r>
              <w:rPr>
                <w:b/>
                <w:bCs/>
                <w:color w:val="000000"/>
                <w:sz w:val="20"/>
              </w:rPr>
              <w:t xml:space="preserve">R² </w:t>
            </w:r>
            <w:r w:rsidRPr="004A5145">
              <w:rPr>
                <w:bCs/>
                <w:color w:val="000000"/>
                <w:sz w:val="20"/>
              </w:rPr>
              <w:t>=</w:t>
            </w:r>
            <w:r>
              <w:rPr>
                <w:b/>
                <w:bCs/>
                <w:color w:val="000000"/>
                <w:sz w:val="20"/>
              </w:rPr>
              <w:t xml:space="preserve"> </w:t>
            </w:r>
            <w:r w:rsidRPr="004A5145">
              <w:rPr>
                <w:bCs/>
                <w:color w:val="000000"/>
                <w:sz w:val="20"/>
              </w:rPr>
              <w:t>0,3172</w:t>
            </w:r>
          </w:p>
          <w:p w:rsidR="00AD5EAC" w:rsidRDefault="00AD5EAC" w:rsidP="007C0243">
            <w:pPr>
              <w:jc w:val="center"/>
              <w:rPr>
                <w:bCs/>
                <w:color w:val="000000"/>
                <w:sz w:val="20"/>
              </w:rPr>
            </w:pPr>
            <w:r>
              <w:rPr>
                <w:bCs/>
                <w:color w:val="000000"/>
                <w:sz w:val="20"/>
              </w:rPr>
              <w:t>*significância estatística a 10%; ** significância estatística a 5%; ***significância estatística a 1%</w:t>
            </w:r>
          </w:p>
          <w:p w:rsidR="00AD5EAC" w:rsidRPr="004A5145" w:rsidRDefault="00AD5EAC" w:rsidP="007C0243">
            <w:pPr>
              <w:jc w:val="center"/>
              <w:rPr>
                <w:bCs/>
                <w:color w:val="000000"/>
                <w:sz w:val="20"/>
              </w:rPr>
            </w:pPr>
            <w:r>
              <w:rPr>
                <w:bCs/>
                <w:color w:val="000000"/>
                <w:sz w:val="20"/>
              </w:rPr>
              <w:t xml:space="preserve">Teste de normalidade dos resíduos: </w:t>
            </w:r>
            <w:r w:rsidRPr="004A5145">
              <w:rPr>
                <w:rFonts w:ascii="Symbol" w:hAnsi="Symbol"/>
                <w:bCs/>
                <w:color w:val="000000"/>
                <w:sz w:val="20"/>
              </w:rPr>
              <w:t></w:t>
            </w:r>
            <w:r>
              <w:rPr>
                <w:bCs/>
                <w:color w:val="000000"/>
                <w:sz w:val="20"/>
              </w:rPr>
              <w:t>² = 11,836 com p-valor = 0,0027</w:t>
            </w:r>
          </w:p>
        </w:tc>
      </w:tr>
      <w:tr w:rsidR="00AD5EAC" w:rsidRPr="009A7E07" w:rsidTr="007C0243">
        <w:trPr>
          <w:trHeight w:val="200"/>
        </w:trPr>
        <w:tc>
          <w:tcPr>
            <w:tcW w:w="9003" w:type="dxa"/>
            <w:gridSpan w:val="7"/>
            <w:shd w:val="clear" w:color="000000" w:fill="BFBFBF"/>
            <w:vAlign w:val="center"/>
            <w:hideMark/>
          </w:tcPr>
          <w:p w:rsidR="00AD5EAC" w:rsidRPr="009A7E07" w:rsidRDefault="00AD5EAC" w:rsidP="007C0243">
            <w:pPr>
              <w:ind w:firstLine="0"/>
              <w:jc w:val="center"/>
              <w:rPr>
                <w:b/>
                <w:bCs/>
                <w:color w:val="000000"/>
                <w:sz w:val="20"/>
              </w:rPr>
            </w:pPr>
            <w:proofErr w:type="spellStart"/>
            <w:r w:rsidRPr="009A7E07">
              <w:rPr>
                <w:b/>
                <w:bCs/>
                <w:color w:val="000000"/>
                <w:sz w:val="20"/>
              </w:rPr>
              <w:t>Tobit</w:t>
            </w:r>
            <w:proofErr w:type="spellEnd"/>
            <w:r>
              <w:rPr>
                <w:b/>
                <w:bCs/>
                <w:color w:val="000000"/>
                <w:sz w:val="20"/>
              </w:rPr>
              <w:t xml:space="preserve"> com Erros-padrão robustos</w:t>
            </w:r>
          </w:p>
        </w:tc>
      </w:tr>
      <w:tr w:rsidR="00AD5EAC" w:rsidRPr="009A7E07" w:rsidTr="007C0243">
        <w:trPr>
          <w:trHeight w:val="300"/>
        </w:trPr>
        <w:tc>
          <w:tcPr>
            <w:tcW w:w="2119" w:type="dxa"/>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Variável</w:t>
            </w:r>
          </w:p>
        </w:tc>
        <w:tc>
          <w:tcPr>
            <w:tcW w:w="1096" w:type="dxa"/>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Coeficiente</w:t>
            </w:r>
          </w:p>
        </w:tc>
        <w:tc>
          <w:tcPr>
            <w:tcW w:w="1447" w:type="dxa"/>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Erro</w:t>
            </w:r>
          </w:p>
        </w:tc>
        <w:tc>
          <w:tcPr>
            <w:tcW w:w="862" w:type="dxa"/>
            <w:shd w:val="clear" w:color="000000" w:fill="D9D9D9"/>
            <w:vAlign w:val="center"/>
            <w:hideMark/>
          </w:tcPr>
          <w:p w:rsidR="00AD5EAC" w:rsidRPr="009A7E07" w:rsidRDefault="00AD5EAC" w:rsidP="007C0243">
            <w:pPr>
              <w:ind w:firstLine="0"/>
              <w:jc w:val="center"/>
              <w:rPr>
                <w:b/>
                <w:bCs/>
                <w:color w:val="000000"/>
                <w:sz w:val="20"/>
              </w:rPr>
            </w:pPr>
            <w:r>
              <w:rPr>
                <w:b/>
                <w:bCs/>
                <w:color w:val="000000"/>
                <w:sz w:val="20"/>
              </w:rPr>
              <w:t>t</w:t>
            </w:r>
          </w:p>
        </w:tc>
        <w:tc>
          <w:tcPr>
            <w:tcW w:w="815" w:type="dxa"/>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p-valor</w:t>
            </w:r>
          </w:p>
        </w:tc>
        <w:tc>
          <w:tcPr>
            <w:tcW w:w="2664" w:type="dxa"/>
            <w:gridSpan w:val="2"/>
            <w:shd w:val="clear" w:color="000000" w:fill="D9D9D9"/>
            <w:vAlign w:val="center"/>
            <w:hideMark/>
          </w:tcPr>
          <w:p w:rsidR="00AD5EAC" w:rsidRPr="009A7E07" w:rsidRDefault="00AD5EAC" w:rsidP="007C0243">
            <w:pPr>
              <w:ind w:firstLine="0"/>
              <w:jc w:val="center"/>
              <w:rPr>
                <w:b/>
                <w:bCs/>
                <w:color w:val="000000"/>
                <w:sz w:val="20"/>
              </w:rPr>
            </w:pPr>
            <w:r w:rsidRPr="009A7E07">
              <w:rPr>
                <w:b/>
                <w:bCs/>
                <w:color w:val="000000"/>
                <w:sz w:val="20"/>
              </w:rPr>
              <w:t>Intervalo de Confiança</w:t>
            </w:r>
            <w:r>
              <w:rPr>
                <w:b/>
                <w:bCs/>
                <w:color w:val="000000"/>
                <w:sz w:val="20"/>
              </w:rPr>
              <w:t xml:space="preserve"> a</w:t>
            </w:r>
            <w:r w:rsidRPr="009A7E07">
              <w:rPr>
                <w:b/>
                <w:bCs/>
                <w:color w:val="000000"/>
                <w:sz w:val="20"/>
              </w:rPr>
              <w:t xml:space="preserve"> 95%</w:t>
            </w:r>
          </w:p>
        </w:tc>
      </w:tr>
      <w:tr w:rsidR="00AD5EAC" w:rsidRPr="009A7E07" w:rsidTr="007C0243">
        <w:trPr>
          <w:trHeight w:val="20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IDHM</w:t>
            </w:r>
          </w:p>
        </w:tc>
        <w:tc>
          <w:tcPr>
            <w:tcW w:w="1096"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1,248526</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1,</w:t>
            </w:r>
            <w:r w:rsidRPr="0056550B">
              <w:rPr>
                <w:color w:val="000000"/>
                <w:sz w:val="20"/>
              </w:rPr>
              <w:t>240946</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1,01</w:t>
            </w:r>
          </w:p>
        </w:tc>
        <w:tc>
          <w:tcPr>
            <w:tcW w:w="815" w:type="dxa"/>
            <w:shd w:val="clear" w:color="auto" w:fill="auto"/>
            <w:vAlign w:val="center"/>
            <w:hideMark/>
          </w:tcPr>
          <w:p w:rsidR="00AD5EAC" w:rsidRPr="009A7E07" w:rsidRDefault="00AD5EAC" w:rsidP="007C0243">
            <w:pPr>
              <w:ind w:firstLine="0"/>
              <w:jc w:val="center"/>
              <w:rPr>
                <w:color w:val="000000"/>
                <w:sz w:val="20"/>
              </w:rPr>
            </w:pPr>
            <w:r>
              <w:rPr>
                <w:color w:val="000000"/>
                <w:sz w:val="20"/>
              </w:rPr>
              <w:t>0,317</w:t>
            </w:r>
          </w:p>
        </w:tc>
        <w:tc>
          <w:tcPr>
            <w:tcW w:w="1337"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w:t>
            </w:r>
            <w:r>
              <w:rPr>
                <w:color w:val="000000"/>
                <w:sz w:val="20"/>
              </w:rPr>
              <w:t>1,</w:t>
            </w:r>
            <w:r w:rsidRPr="0056550B">
              <w:rPr>
                <w:color w:val="000000"/>
                <w:sz w:val="20"/>
              </w:rPr>
              <w:t>212041</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3,</w:t>
            </w:r>
            <w:r w:rsidRPr="0056550B">
              <w:rPr>
                <w:color w:val="000000"/>
                <w:sz w:val="20"/>
              </w:rPr>
              <w:t>709094</w:t>
            </w:r>
          </w:p>
        </w:tc>
      </w:tr>
      <w:tr w:rsidR="00AD5EAC" w:rsidRPr="009A7E07" w:rsidTr="007C0243">
        <w:trPr>
          <w:trHeight w:val="70"/>
        </w:trPr>
        <w:tc>
          <w:tcPr>
            <w:tcW w:w="2119"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Densidade Demográfica</w:t>
            </w:r>
          </w:p>
        </w:tc>
        <w:tc>
          <w:tcPr>
            <w:tcW w:w="1096" w:type="dxa"/>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0,0001228</w:t>
            </w:r>
          </w:p>
        </w:tc>
        <w:tc>
          <w:tcPr>
            <w:tcW w:w="1447"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0000602</w:t>
            </w:r>
          </w:p>
        </w:tc>
        <w:tc>
          <w:tcPr>
            <w:tcW w:w="862" w:type="dxa"/>
            <w:shd w:val="clear" w:color="auto" w:fill="auto"/>
            <w:vAlign w:val="center"/>
            <w:hideMark/>
          </w:tcPr>
          <w:p w:rsidR="00AD5EAC" w:rsidRPr="009A7E07" w:rsidRDefault="00AD5EAC" w:rsidP="007C0243">
            <w:pPr>
              <w:ind w:firstLine="0"/>
              <w:jc w:val="center"/>
              <w:rPr>
                <w:color w:val="000000"/>
                <w:sz w:val="20"/>
              </w:rPr>
            </w:pPr>
            <w:r>
              <w:rPr>
                <w:color w:val="000000"/>
                <w:sz w:val="20"/>
              </w:rPr>
              <w:t>2,04</w:t>
            </w:r>
          </w:p>
        </w:tc>
        <w:tc>
          <w:tcPr>
            <w:tcW w:w="815" w:type="dxa"/>
            <w:shd w:val="clear" w:color="auto" w:fill="auto"/>
            <w:vAlign w:val="center"/>
            <w:hideMark/>
          </w:tcPr>
          <w:p w:rsidR="00AD5EAC" w:rsidRPr="009A7E07" w:rsidRDefault="00AD5EAC" w:rsidP="007C0243">
            <w:pPr>
              <w:ind w:firstLine="0"/>
              <w:jc w:val="center"/>
              <w:rPr>
                <w:color w:val="000000"/>
                <w:sz w:val="20"/>
              </w:rPr>
            </w:pPr>
            <w:r>
              <w:rPr>
                <w:color w:val="000000"/>
                <w:sz w:val="20"/>
              </w:rPr>
              <w:t>0,044**</w:t>
            </w:r>
          </w:p>
        </w:tc>
        <w:tc>
          <w:tcPr>
            <w:tcW w:w="1337" w:type="dxa"/>
            <w:shd w:val="clear" w:color="auto" w:fill="auto"/>
            <w:vAlign w:val="center"/>
            <w:hideMark/>
          </w:tcPr>
          <w:p w:rsidR="00AD5EAC" w:rsidRPr="009A7E07" w:rsidRDefault="00AD5EAC" w:rsidP="007C0243">
            <w:pPr>
              <w:ind w:firstLine="0"/>
              <w:jc w:val="center"/>
              <w:rPr>
                <w:color w:val="000000"/>
                <w:sz w:val="20"/>
              </w:rPr>
            </w:pPr>
            <w:r w:rsidRPr="006745B1">
              <w:rPr>
                <w:color w:val="000000"/>
                <w:sz w:val="20"/>
              </w:rPr>
              <w:t>3</w:t>
            </w:r>
            <w:r>
              <w:rPr>
                <w:color w:val="000000"/>
                <w:sz w:val="20"/>
              </w:rPr>
              <w:t>,</w:t>
            </w:r>
            <w:r w:rsidRPr="006745B1">
              <w:rPr>
                <w:color w:val="000000"/>
                <w:sz w:val="20"/>
              </w:rPr>
              <w:t>55e</w:t>
            </w:r>
            <w:r w:rsidRPr="006745B1">
              <w:rPr>
                <w:color w:val="000000"/>
                <w:sz w:val="20"/>
                <w:vertAlign w:val="superscript"/>
              </w:rPr>
              <w:t>-06</w:t>
            </w:r>
          </w:p>
        </w:tc>
        <w:tc>
          <w:tcPr>
            <w:tcW w:w="1327" w:type="dxa"/>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6745B1">
              <w:rPr>
                <w:color w:val="000000"/>
                <w:sz w:val="20"/>
              </w:rPr>
              <w:t>0002421</w:t>
            </w:r>
          </w:p>
        </w:tc>
      </w:tr>
      <w:tr w:rsidR="00AD5EAC" w:rsidRPr="009A7E07" w:rsidTr="007C0243">
        <w:trPr>
          <w:trHeight w:val="200"/>
        </w:trPr>
        <w:tc>
          <w:tcPr>
            <w:tcW w:w="2119"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PIB</w:t>
            </w:r>
          </w:p>
        </w:tc>
        <w:tc>
          <w:tcPr>
            <w:tcW w:w="1096"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3,32e</w:t>
            </w:r>
            <w:r w:rsidRPr="00610A39">
              <w:rPr>
                <w:color w:val="000000"/>
                <w:sz w:val="20"/>
                <w:vertAlign w:val="superscript"/>
              </w:rPr>
              <w:t>-08</w:t>
            </w:r>
          </w:p>
        </w:tc>
        <w:tc>
          <w:tcPr>
            <w:tcW w:w="1447"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1,</w:t>
            </w:r>
            <w:r w:rsidRPr="0056550B">
              <w:rPr>
                <w:color w:val="000000"/>
                <w:sz w:val="20"/>
              </w:rPr>
              <w:t>23e</w:t>
            </w:r>
            <w:r w:rsidRPr="0056550B">
              <w:rPr>
                <w:color w:val="000000"/>
                <w:sz w:val="20"/>
                <w:vertAlign w:val="superscript"/>
              </w:rPr>
              <w:t>-08</w:t>
            </w:r>
          </w:p>
        </w:tc>
        <w:tc>
          <w:tcPr>
            <w:tcW w:w="862"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2,71</w:t>
            </w:r>
          </w:p>
        </w:tc>
        <w:tc>
          <w:tcPr>
            <w:tcW w:w="815"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0,00</w:t>
            </w:r>
            <w:r>
              <w:rPr>
                <w:color w:val="000000"/>
                <w:sz w:val="20"/>
              </w:rPr>
              <w:t>8***</w:t>
            </w:r>
          </w:p>
        </w:tc>
        <w:tc>
          <w:tcPr>
            <w:tcW w:w="1337"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6745B1">
              <w:rPr>
                <w:color w:val="000000"/>
                <w:sz w:val="20"/>
              </w:rPr>
              <w:t>8</w:t>
            </w:r>
            <w:r>
              <w:rPr>
                <w:color w:val="000000"/>
                <w:sz w:val="20"/>
              </w:rPr>
              <w:t>,</w:t>
            </w:r>
            <w:r w:rsidRPr="006745B1">
              <w:rPr>
                <w:color w:val="000000"/>
                <w:sz w:val="20"/>
              </w:rPr>
              <w:t>89e</w:t>
            </w:r>
            <w:r w:rsidRPr="006745B1">
              <w:rPr>
                <w:color w:val="000000"/>
                <w:sz w:val="20"/>
                <w:vertAlign w:val="superscript"/>
              </w:rPr>
              <w:t>-09</w:t>
            </w:r>
          </w:p>
        </w:tc>
        <w:tc>
          <w:tcPr>
            <w:tcW w:w="1327" w:type="dxa"/>
            <w:tcBorders>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6745B1">
              <w:rPr>
                <w:color w:val="000000"/>
                <w:sz w:val="20"/>
              </w:rPr>
              <w:t>5</w:t>
            </w:r>
            <w:r>
              <w:rPr>
                <w:color w:val="000000"/>
                <w:sz w:val="20"/>
              </w:rPr>
              <w:t>,</w:t>
            </w:r>
            <w:r w:rsidRPr="006745B1">
              <w:rPr>
                <w:color w:val="000000"/>
                <w:sz w:val="20"/>
              </w:rPr>
              <w:t>76e</w:t>
            </w:r>
            <w:r w:rsidRPr="006745B1">
              <w:rPr>
                <w:color w:val="000000"/>
                <w:sz w:val="20"/>
                <w:vertAlign w:val="superscript"/>
              </w:rPr>
              <w:t>-08</w:t>
            </w:r>
          </w:p>
        </w:tc>
      </w:tr>
      <w:tr w:rsidR="00AD5EAC" w:rsidRPr="009A7E07" w:rsidTr="007C0243">
        <w:trPr>
          <w:trHeight w:val="200"/>
        </w:trPr>
        <w:tc>
          <w:tcPr>
            <w:tcW w:w="2119"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Constante</w:t>
            </w:r>
          </w:p>
        </w:tc>
        <w:tc>
          <w:tcPr>
            <w:tcW w:w="1096"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-0,4259245</w:t>
            </w:r>
          </w:p>
        </w:tc>
        <w:tc>
          <w:tcPr>
            <w:tcW w:w="1447"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0,</w:t>
            </w:r>
            <w:r w:rsidRPr="0056550B">
              <w:rPr>
                <w:color w:val="000000"/>
                <w:sz w:val="20"/>
              </w:rPr>
              <w:t>9163079</w:t>
            </w:r>
          </w:p>
        </w:tc>
        <w:tc>
          <w:tcPr>
            <w:tcW w:w="862"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-0,46</w:t>
            </w:r>
          </w:p>
        </w:tc>
        <w:tc>
          <w:tcPr>
            <w:tcW w:w="815"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Pr>
                <w:color w:val="000000"/>
                <w:sz w:val="20"/>
              </w:rPr>
              <w:t>0,643</w:t>
            </w:r>
          </w:p>
        </w:tc>
        <w:tc>
          <w:tcPr>
            <w:tcW w:w="1337"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9A7E07">
              <w:rPr>
                <w:color w:val="000000"/>
                <w:sz w:val="20"/>
              </w:rPr>
              <w:t>-</w:t>
            </w:r>
            <w:r w:rsidRPr="006745B1">
              <w:rPr>
                <w:color w:val="000000"/>
                <w:sz w:val="20"/>
              </w:rPr>
              <w:t>2</w:t>
            </w:r>
            <w:r>
              <w:rPr>
                <w:color w:val="000000"/>
                <w:sz w:val="20"/>
              </w:rPr>
              <w:t>,</w:t>
            </w:r>
            <w:r w:rsidRPr="006745B1">
              <w:rPr>
                <w:color w:val="000000"/>
                <w:sz w:val="20"/>
              </w:rPr>
              <w:t>242794</w:t>
            </w:r>
          </w:p>
        </w:tc>
        <w:tc>
          <w:tcPr>
            <w:tcW w:w="1327" w:type="dxa"/>
            <w:tcBorders>
              <w:top w:val="single" w:sz="4" w:space="0" w:color="auto"/>
              <w:bottom w:val="single" w:sz="4" w:space="0" w:color="auto"/>
            </w:tcBorders>
            <w:shd w:val="clear" w:color="auto" w:fill="auto"/>
            <w:vAlign w:val="center"/>
            <w:hideMark/>
          </w:tcPr>
          <w:p w:rsidR="00AD5EAC" w:rsidRPr="009A7E07" w:rsidRDefault="00AD5EAC" w:rsidP="007C0243">
            <w:pPr>
              <w:ind w:firstLine="0"/>
              <w:jc w:val="center"/>
              <w:rPr>
                <w:color w:val="000000"/>
                <w:sz w:val="20"/>
              </w:rPr>
            </w:pPr>
            <w:r w:rsidRPr="006745B1">
              <w:rPr>
                <w:color w:val="000000"/>
                <w:sz w:val="20"/>
              </w:rPr>
              <w:t>1</w:t>
            </w:r>
            <w:r>
              <w:rPr>
                <w:color w:val="000000"/>
                <w:sz w:val="20"/>
              </w:rPr>
              <w:t>,</w:t>
            </w:r>
            <w:r w:rsidRPr="006745B1">
              <w:rPr>
                <w:color w:val="000000"/>
                <w:sz w:val="20"/>
              </w:rPr>
              <w:t>390945</w:t>
            </w:r>
          </w:p>
        </w:tc>
      </w:tr>
      <w:tr w:rsidR="00AD5EAC" w:rsidRPr="009A7E07" w:rsidTr="00831E07">
        <w:trPr>
          <w:trHeight w:val="200"/>
        </w:trPr>
        <w:tc>
          <w:tcPr>
            <w:tcW w:w="9003" w:type="dxa"/>
            <w:gridSpan w:val="7"/>
            <w:tcBorders>
              <w:top w:val="single" w:sz="4" w:space="0" w:color="auto"/>
              <w:left w:val="nil"/>
              <w:bottom w:val="single" w:sz="4" w:space="0" w:color="auto"/>
              <w:right w:val="nil"/>
            </w:tcBorders>
            <w:shd w:val="clear" w:color="auto" w:fill="auto"/>
            <w:vAlign w:val="bottom"/>
            <w:hideMark/>
          </w:tcPr>
          <w:p w:rsidR="00AD5EAC" w:rsidRDefault="00AD5EAC" w:rsidP="00831E07">
            <w:pPr>
              <w:jc w:val="center"/>
              <w:rPr>
                <w:bCs/>
                <w:color w:val="000000"/>
                <w:sz w:val="20"/>
              </w:rPr>
            </w:pPr>
            <w:proofErr w:type="spellStart"/>
            <w:r>
              <w:rPr>
                <w:b/>
                <w:bCs/>
                <w:color w:val="000000"/>
                <w:sz w:val="20"/>
              </w:rPr>
              <w:t>Pseudo</w:t>
            </w:r>
            <w:proofErr w:type="spellEnd"/>
            <w:r>
              <w:rPr>
                <w:b/>
                <w:bCs/>
                <w:color w:val="000000"/>
                <w:sz w:val="20"/>
              </w:rPr>
              <w:t xml:space="preserve"> R²</w:t>
            </w:r>
            <w:r>
              <w:rPr>
                <w:bCs/>
                <w:color w:val="000000"/>
                <w:sz w:val="20"/>
              </w:rPr>
              <w:t>= 0,5886</w:t>
            </w:r>
          </w:p>
          <w:p w:rsidR="00AD5EAC" w:rsidRDefault="00AD5EAC" w:rsidP="00831E07">
            <w:pPr>
              <w:jc w:val="center"/>
              <w:rPr>
                <w:bCs/>
                <w:color w:val="000000"/>
                <w:sz w:val="20"/>
              </w:rPr>
            </w:pPr>
            <w:r>
              <w:rPr>
                <w:bCs/>
                <w:color w:val="000000"/>
                <w:sz w:val="20"/>
              </w:rPr>
              <w:t>*significância estatística a 10%; ** significância estatística a 5%; ***significância estatística a 1%</w:t>
            </w:r>
          </w:p>
          <w:p w:rsidR="00AD5EAC" w:rsidRPr="009A7E07" w:rsidRDefault="00AD5EAC" w:rsidP="00831E07">
            <w:pPr>
              <w:jc w:val="center"/>
              <w:rPr>
                <w:b/>
                <w:bCs/>
                <w:color w:val="000000"/>
                <w:sz w:val="20"/>
              </w:rPr>
            </w:pPr>
            <w:r>
              <w:rPr>
                <w:bCs/>
                <w:color w:val="000000"/>
                <w:sz w:val="20"/>
              </w:rPr>
              <w:t xml:space="preserve">Teste de normalidade dos resíduos: </w:t>
            </w:r>
            <w:r w:rsidRPr="004A5145">
              <w:rPr>
                <w:rFonts w:ascii="Symbol" w:hAnsi="Symbol"/>
                <w:bCs/>
                <w:color w:val="000000"/>
                <w:sz w:val="20"/>
              </w:rPr>
              <w:t></w:t>
            </w:r>
            <w:r>
              <w:rPr>
                <w:bCs/>
                <w:color w:val="000000"/>
                <w:sz w:val="20"/>
              </w:rPr>
              <w:t>² = 77,4113 com p-valor = 1,5506e</w:t>
            </w:r>
            <w:r w:rsidRPr="00985DED">
              <w:rPr>
                <w:bCs/>
                <w:color w:val="000000"/>
                <w:sz w:val="20"/>
                <w:vertAlign w:val="superscript"/>
              </w:rPr>
              <w:t>-017</w:t>
            </w:r>
          </w:p>
        </w:tc>
      </w:tr>
    </w:tbl>
    <w:p w:rsidR="00AD5EAC" w:rsidRPr="001A2D7A" w:rsidRDefault="00AD5EAC" w:rsidP="00AD5EAC">
      <w:pPr>
        <w:spacing w:after="240" w:line="360" w:lineRule="auto"/>
        <w:jc w:val="center"/>
        <w:rPr>
          <w:sz w:val="20"/>
        </w:rPr>
      </w:pPr>
      <w:r w:rsidRPr="006765C1">
        <w:rPr>
          <w:sz w:val="20"/>
        </w:rPr>
        <w:t xml:space="preserve">Fonte: </w:t>
      </w:r>
      <w:r>
        <w:rPr>
          <w:sz w:val="20"/>
        </w:rPr>
        <w:t>resultados da pesquisa</w:t>
      </w:r>
      <w:r w:rsidRPr="006765C1">
        <w:rPr>
          <w:sz w:val="20"/>
        </w:rPr>
        <w:t xml:space="preserve"> (2016)</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Para o modelo de regressão de efeitos aleatórios com dados em painel, as variáveis densidade demográfica e PIB mostraram uma relação estatisticamente significante com a escala de eficiência construída através do modelo DEA proposto ao longo dos anos. </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A variável densidade demográfica mostrou uma relação positiva com a escala de eficiência construída pela presente pesquisa. Pode-se afirmar que, ao nível de significância de 5%, que municípios mais densamente povoados apresentam um índice de eficiência maior com seus investimentos em saneamento básico. Tal relação pode ocorrer por conta de uma demanda maior dessa função do Estado em municípios mais densamente povoados, ou até mesmo uma atenção maior de tais investimentos para municípios com essa característica. </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A variável PIB apresentou uma relação positiva com a eficiência dos investimentos em saneamento básico nos municípios catarinenses ao longo dos anos da amostra. Tal relação é estatisticamente significante ao nível de 1%, ou seja, ao nível de confiança de 99%, pode-se dizer que municípios com maior PIB tendem a apresentar uma maior eficiência dos investimentos com saneamento básico. Isso pode ocorrer em função de uma maior arrecadação do município gerar melhores aplicações nessa função do Estado. </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lastRenderedPageBreak/>
        <w:t xml:space="preserve">Já a variável IDHM, por mais que tenha apresentado uma relação positiva com a escala de eficiência obtida com o modelo DEA proposto pela presente pesquisa, essa relação não foi estatisticamente significante ao nível de significância de 5%, ou seja, não se pode afirmar que essa relação é diferente de zero ao nível de confiança de 95%. </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Percebe-se que os resultados obtidos com o modelo de regressão </w:t>
      </w:r>
      <w:proofErr w:type="spellStart"/>
      <w:r w:rsidRPr="00F24B21">
        <w:rPr>
          <w:rFonts w:eastAsia="Calibri"/>
          <w:bCs/>
          <w:color w:val="000000"/>
          <w:szCs w:val="24"/>
          <w:lang w:eastAsia="en-US"/>
        </w:rPr>
        <w:t>Tobit</w:t>
      </w:r>
      <w:proofErr w:type="spellEnd"/>
      <w:r w:rsidRPr="00F24B21">
        <w:rPr>
          <w:rFonts w:eastAsia="Calibri"/>
          <w:bCs/>
          <w:color w:val="000000"/>
          <w:szCs w:val="24"/>
          <w:lang w:eastAsia="en-US"/>
        </w:rPr>
        <w:t xml:space="preserve"> com dados em painel assumindo-se erros-padrão robusto são muito parecidos com os obtidos pelo primeiro modelo. Tanto os erros e o p-valor das estatísticas dos parâmetros de ambos os modelos ficaram quase idênticos, corroborando assim com os resultados discutidos anteriormente.</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Assim como no modelo de regressão de efeitos aleatórios com dados em painel, as variáveis densidade demográfica e PIB foram significantes para esse segundo modelo. Ambas as variáveis apresentaram uma relação positiva com a escala de eficiência construída pelo modelo DEA proposto dos investimentos em saneamento básico das empresas que compuseram a amostra, tanto no primeiro modelo como no segundo. Para a densidade demográfica, essa relação é estatisticamente significante ao nível de 5%, já o PIB ao nível de 1%, assim como no primeiro modelo. Mesmo que a variável IDHM tenha apresentado uma relação positiva com a escala de eficiência gerada pelo modelo DEA, essa relação não foi estatisticamente significante também para o modelo de regressão </w:t>
      </w:r>
      <w:proofErr w:type="spellStart"/>
      <w:r w:rsidRPr="00F24B21">
        <w:rPr>
          <w:rFonts w:eastAsia="Calibri"/>
          <w:bCs/>
          <w:color w:val="000000"/>
          <w:szCs w:val="24"/>
          <w:lang w:eastAsia="en-US"/>
        </w:rPr>
        <w:t>Tobit</w:t>
      </w:r>
      <w:proofErr w:type="spellEnd"/>
      <w:r w:rsidRPr="00F24B21">
        <w:rPr>
          <w:rFonts w:eastAsia="Calibri"/>
          <w:bCs/>
          <w:color w:val="000000"/>
          <w:szCs w:val="24"/>
          <w:lang w:eastAsia="en-US"/>
        </w:rPr>
        <w:t>, ou seja, não se pode afirmar que essa relação é diferente de zero ao nível de confiança de 95%.</w:t>
      </w:r>
    </w:p>
    <w:p w:rsidR="00AD5EAC" w:rsidRPr="00F24B21" w:rsidRDefault="00AD5EAC" w:rsidP="00AD5EAC">
      <w:pPr>
        <w:spacing w:line="360" w:lineRule="auto"/>
        <w:rPr>
          <w:rFonts w:eastAsia="Calibri"/>
          <w:bCs/>
          <w:color w:val="000000"/>
          <w:szCs w:val="24"/>
          <w:lang w:eastAsia="en-US"/>
        </w:rPr>
      </w:pPr>
      <w:r w:rsidRPr="00F24B21">
        <w:rPr>
          <w:rFonts w:eastAsia="Calibri"/>
          <w:bCs/>
          <w:color w:val="000000"/>
          <w:szCs w:val="24"/>
          <w:lang w:eastAsia="en-US"/>
        </w:rPr>
        <w:t xml:space="preserve">O modelo de regressão de efeitos aleatórios com dados em painel mostrou um R² de 0,3172, ou seja, o modelo em si explica cerca de 31% da eficiência calculada pelo modelo DEA proposto dos investimentos em saneamento básico das empresas que compuseram a amostra dessa pesquisa. Já o modelo de regressão </w:t>
      </w:r>
      <w:proofErr w:type="spellStart"/>
      <w:r w:rsidRPr="00F24B21">
        <w:rPr>
          <w:rFonts w:eastAsia="Calibri"/>
          <w:bCs/>
          <w:color w:val="000000"/>
          <w:szCs w:val="24"/>
          <w:lang w:eastAsia="en-US"/>
        </w:rPr>
        <w:t>Tobit</w:t>
      </w:r>
      <w:proofErr w:type="spellEnd"/>
      <w:r w:rsidRPr="00F24B21">
        <w:rPr>
          <w:rFonts w:eastAsia="Calibri"/>
          <w:bCs/>
          <w:color w:val="000000"/>
          <w:szCs w:val="24"/>
          <w:lang w:eastAsia="en-US"/>
        </w:rPr>
        <w:t xml:space="preserve"> apresentou um </w:t>
      </w:r>
      <w:proofErr w:type="spellStart"/>
      <w:r w:rsidRPr="00F24B21">
        <w:rPr>
          <w:rFonts w:eastAsia="Calibri"/>
          <w:bCs/>
          <w:color w:val="000000"/>
          <w:szCs w:val="24"/>
          <w:lang w:eastAsia="en-US"/>
        </w:rPr>
        <w:t>pseudo</w:t>
      </w:r>
      <w:proofErr w:type="spellEnd"/>
      <w:r w:rsidRPr="00F24B21">
        <w:rPr>
          <w:rFonts w:eastAsia="Calibri"/>
          <w:bCs/>
          <w:color w:val="000000"/>
          <w:szCs w:val="24"/>
          <w:lang w:eastAsia="en-US"/>
        </w:rPr>
        <w:t xml:space="preserve"> R² de 0,5886. O teste da normalidade dos resíduos para ambos os testes apresentou um p-valor abaixo de 5%, ou seja, rejeita-se a hipótese nula da existência de normalidade. Porém, conforme a teorema do limite central e levando em consideração que a amostra foi composta por mais de 100 observações no total, relaxou-se para o pressuposto da normalidade dos resíduos (GREENE, 2003; GUJARATI, 2006). Porém observa-se </w:t>
      </w:r>
      <w:r w:rsidRPr="00F24B21">
        <w:rPr>
          <w:rFonts w:eastAsia="Calibri"/>
          <w:bCs/>
          <w:color w:val="000000"/>
          <w:szCs w:val="24"/>
          <w:lang w:eastAsia="en-US"/>
        </w:rPr>
        <w:lastRenderedPageBreak/>
        <w:t>que os resultados obtidos são válidos para a amostra em questão, não podendo ser generalizados.</w:t>
      </w:r>
    </w:p>
    <w:p w:rsidR="00AD5EAC" w:rsidRDefault="00AD5EAC" w:rsidP="00AD5EAC">
      <w:pPr>
        <w:spacing w:after="240" w:line="360" w:lineRule="auto"/>
        <w:rPr>
          <w:rFonts w:eastAsia="Calibri"/>
          <w:bCs/>
          <w:color w:val="000000"/>
          <w:szCs w:val="24"/>
          <w:lang w:eastAsia="en-US"/>
        </w:rPr>
      </w:pPr>
      <w:r w:rsidRPr="00F24B21">
        <w:rPr>
          <w:rFonts w:eastAsia="Calibri"/>
          <w:bCs/>
          <w:color w:val="000000"/>
          <w:szCs w:val="24"/>
          <w:lang w:eastAsia="en-US"/>
        </w:rPr>
        <w:t xml:space="preserve">Vale destacar a não significância da constante de ambos os modelos. </w:t>
      </w:r>
      <w:proofErr w:type="spellStart"/>
      <w:r w:rsidRPr="00F24B21">
        <w:rPr>
          <w:rFonts w:eastAsia="Calibri"/>
          <w:bCs/>
          <w:color w:val="000000"/>
          <w:szCs w:val="24"/>
          <w:lang w:eastAsia="en-US"/>
        </w:rPr>
        <w:t>Gujarati</w:t>
      </w:r>
      <w:proofErr w:type="spellEnd"/>
      <w:r w:rsidRPr="00F24B21">
        <w:rPr>
          <w:rFonts w:eastAsia="Calibri"/>
          <w:bCs/>
          <w:color w:val="000000"/>
          <w:szCs w:val="24"/>
          <w:lang w:eastAsia="en-US"/>
        </w:rPr>
        <w:t xml:space="preserve"> (2006) evidencia que a não significância da constante pode ser corrigida aumentando a amostra da pesquisa, que acaba por ser uma das limitações da presente pesquisa.</w:t>
      </w:r>
    </w:p>
    <w:p w:rsidR="00831E07" w:rsidRPr="00831E07" w:rsidRDefault="00831E07" w:rsidP="00D9590E">
      <w:pPr>
        <w:pStyle w:val="PargrafodaLista"/>
        <w:numPr>
          <w:ilvl w:val="0"/>
          <w:numId w:val="17"/>
        </w:numPr>
        <w:spacing w:after="0" w:line="360" w:lineRule="auto"/>
        <w:jc w:val="both"/>
        <w:rPr>
          <w:rFonts w:ascii="Times New Roman" w:hAnsi="Times New Roman"/>
          <w:b/>
          <w:sz w:val="24"/>
          <w:szCs w:val="24"/>
        </w:rPr>
      </w:pPr>
      <w:r w:rsidRPr="00831E07">
        <w:rPr>
          <w:rFonts w:ascii="Times New Roman" w:hAnsi="Times New Roman"/>
          <w:b/>
          <w:sz w:val="24"/>
          <w:szCs w:val="24"/>
        </w:rPr>
        <w:t>CONCLUSÕES</w:t>
      </w:r>
    </w:p>
    <w:p w:rsidR="00831E07" w:rsidRPr="00831E07" w:rsidRDefault="00831E07" w:rsidP="00D9590E">
      <w:pPr>
        <w:spacing w:line="360" w:lineRule="auto"/>
        <w:rPr>
          <w:rFonts w:eastAsia="Calibri"/>
          <w:szCs w:val="24"/>
          <w:lang w:eastAsia="en-US"/>
        </w:rPr>
      </w:pPr>
      <w:r w:rsidRPr="00831E07">
        <w:rPr>
          <w:szCs w:val="24"/>
        </w:rPr>
        <w:t>A falta de aplicação de políticas e recursos que visem melhoramento no abastecimento de água e tratamento de esgoto são desafios que o setor de saneamento no Brasil vem passando, para que exista aumento de eficiência das prestadoras de serviços de água e esgoto, é preciso estudos que possam medir o desempenho dos investimentos do setor. O estado de Santa Catarina possui um baixo tratamento de esgoto, ainda que a rede de água tenha grande abrangência, dessa forma o presente</w:t>
      </w:r>
      <w:r w:rsidRPr="00831E07">
        <w:rPr>
          <w:rFonts w:eastAsia="Calibri"/>
          <w:szCs w:val="24"/>
          <w:lang w:eastAsia="en-US"/>
        </w:rPr>
        <w:t xml:space="preserve"> trabalho </w:t>
      </w:r>
      <w:r w:rsidRPr="00831E07">
        <w:rPr>
          <w:szCs w:val="24"/>
        </w:rPr>
        <w:t xml:space="preserve">visou avaliar a eficiência dos investimentos do setor de saneamento de Santa Catarina, através da metodologia </w:t>
      </w:r>
      <w:r w:rsidRPr="00831E07">
        <w:rPr>
          <w:rFonts w:eastAsia="Calibri"/>
          <w:szCs w:val="24"/>
          <w:lang w:eastAsia="en-US"/>
        </w:rPr>
        <w:t>DEA (</w:t>
      </w:r>
      <w:r w:rsidRPr="00831E07">
        <w:rPr>
          <w:rFonts w:eastAsia="Calibri"/>
          <w:i/>
          <w:szCs w:val="24"/>
          <w:lang w:eastAsia="en-US"/>
        </w:rPr>
        <w:t xml:space="preserve">Data </w:t>
      </w:r>
      <w:proofErr w:type="spellStart"/>
      <w:r w:rsidRPr="00831E07">
        <w:rPr>
          <w:rFonts w:eastAsia="Calibri"/>
          <w:i/>
          <w:szCs w:val="24"/>
          <w:lang w:eastAsia="en-US"/>
        </w:rPr>
        <w:t>Envelopment</w:t>
      </w:r>
      <w:proofErr w:type="spellEnd"/>
      <w:r w:rsidRPr="00831E07">
        <w:rPr>
          <w:rFonts w:eastAsia="Calibri"/>
          <w:i/>
          <w:szCs w:val="24"/>
          <w:lang w:eastAsia="en-US"/>
        </w:rPr>
        <w:t xml:space="preserve"> </w:t>
      </w:r>
      <w:proofErr w:type="spellStart"/>
      <w:r w:rsidRPr="00831E07">
        <w:rPr>
          <w:rFonts w:eastAsia="Calibri"/>
          <w:i/>
          <w:szCs w:val="24"/>
          <w:lang w:eastAsia="en-US"/>
        </w:rPr>
        <w:t>Analysis</w:t>
      </w:r>
      <w:proofErr w:type="spellEnd"/>
      <w:r w:rsidRPr="00831E07">
        <w:rPr>
          <w:rFonts w:eastAsia="Calibri"/>
          <w:szCs w:val="24"/>
          <w:lang w:eastAsia="en-US"/>
        </w:rPr>
        <w:t>).</w:t>
      </w:r>
    </w:p>
    <w:p w:rsidR="00831E07" w:rsidRPr="00831E07" w:rsidRDefault="00831E07" w:rsidP="00831E07">
      <w:pPr>
        <w:spacing w:line="360" w:lineRule="auto"/>
        <w:rPr>
          <w:szCs w:val="24"/>
        </w:rPr>
      </w:pPr>
      <w:r w:rsidRPr="00831E07">
        <w:rPr>
          <w:szCs w:val="24"/>
        </w:rPr>
        <w:t xml:space="preserve">A escolha dos </w:t>
      </w:r>
      <w:r w:rsidRPr="00831E07">
        <w:rPr>
          <w:i/>
          <w:szCs w:val="24"/>
        </w:rPr>
        <w:t>inputs</w:t>
      </w:r>
      <w:r w:rsidRPr="00831E07">
        <w:rPr>
          <w:szCs w:val="24"/>
        </w:rPr>
        <w:t xml:space="preserve"> e </w:t>
      </w:r>
      <w:r w:rsidRPr="00831E07">
        <w:rPr>
          <w:i/>
          <w:szCs w:val="24"/>
        </w:rPr>
        <w:t>outputs</w:t>
      </w:r>
      <w:r w:rsidRPr="00831E07">
        <w:rPr>
          <w:szCs w:val="24"/>
        </w:rPr>
        <w:t xml:space="preserve"> para medir a eficiência, se deu a partir da escolha dos autores em investigar a relação entre os valores totais de investimentos realizados pelas prestadoras de água e volume, extensão e número de pessoas atendidas por serviços de água e esgoto.  Os</w:t>
      </w:r>
      <w:r w:rsidRPr="00831E07">
        <w:rPr>
          <w:rFonts w:eastAsia="Calibri"/>
          <w:szCs w:val="24"/>
          <w:lang w:eastAsia="en-US"/>
        </w:rPr>
        <w:t xml:space="preserve"> dados </w:t>
      </w:r>
      <w:r w:rsidRPr="00831E07">
        <w:rPr>
          <w:szCs w:val="24"/>
        </w:rPr>
        <w:t>da pesquisa foram</w:t>
      </w:r>
      <w:r w:rsidRPr="00831E07">
        <w:rPr>
          <w:rFonts w:eastAsia="Calibri"/>
          <w:szCs w:val="24"/>
          <w:lang w:eastAsia="en-US"/>
        </w:rPr>
        <w:t xml:space="preserve"> retirados do SNIS (Sistema Nacional de Informação Sobre Saneamento</w:t>
      </w:r>
      <w:r w:rsidRPr="00831E07">
        <w:rPr>
          <w:szCs w:val="24"/>
        </w:rPr>
        <w:t xml:space="preserve">) dos anos entre 2010 a 2013. As </w:t>
      </w:r>
      <w:proofErr w:type="spellStart"/>
      <w:r w:rsidRPr="00831E07">
        <w:rPr>
          <w:szCs w:val="24"/>
        </w:rPr>
        <w:t>DMU’s</w:t>
      </w:r>
      <w:proofErr w:type="spellEnd"/>
      <w:r w:rsidRPr="00831E07">
        <w:rPr>
          <w:szCs w:val="24"/>
        </w:rPr>
        <w:t xml:space="preserve"> (amostras) foram 27 municípios catarinenses que apresentavam os serviços de água e esgoto, e que forneciam todos os dados possíveis para realizar a análise com os </w:t>
      </w:r>
      <w:r w:rsidRPr="00831E07">
        <w:rPr>
          <w:i/>
          <w:szCs w:val="24"/>
        </w:rPr>
        <w:t xml:space="preserve">inputs </w:t>
      </w:r>
      <w:r w:rsidRPr="00831E07">
        <w:rPr>
          <w:szCs w:val="24"/>
        </w:rPr>
        <w:t xml:space="preserve">e </w:t>
      </w:r>
      <w:r w:rsidRPr="00831E07">
        <w:rPr>
          <w:i/>
          <w:szCs w:val="24"/>
        </w:rPr>
        <w:t xml:space="preserve">outputs </w:t>
      </w:r>
      <w:r w:rsidRPr="00831E07">
        <w:rPr>
          <w:szCs w:val="24"/>
        </w:rPr>
        <w:t>selecionados.</w:t>
      </w:r>
      <w:r w:rsidRPr="00831E07">
        <w:rPr>
          <w:rFonts w:eastAsia="Calibri"/>
          <w:szCs w:val="24"/>
          <w:lang w:eastAsia="en-US"/>
        </w:rPr>
        <w:t xml:space="preserve"> </w:t>
      </w:r>
    </w:p>
    <w:p w:rsidR="00831E07" w:rsidRPr="00831E07" w:rsidRDefault="00831E07" w:rsidP="00831E07">
      <w:pPr>
        <w:spacing w:line="360" w:lineRule="auto"/>
        <w:rPr>
          <w:szCs w:val="24"/>
        </w:rPr>
      </w:pPr>
      <w:r w:rsidRPr="00831E07">
        <w:rPr>
          <w:szCs w:val="24"/>
        </w:rPr>
        <w:t>Através do modelo BBC conhecido também como VRS (</w:t>
      </w:r>
      <w:proofErr w:type="spellStart"/>
      <w:r w:rsidRPr="00831E07">
        <w:rPr>
          <w:i/>
          <w:szCs w:val="24"/>
        </w:rPr>
        <w:t>Variable</w:t>
      </w:r>
      <w:proofErr w:type="spellEnd"/>
      <w:r w:rsidRPr="00831E07">
        <w:rPr>
          <w:i/>
          <w:szCs w:val="24"/>
        </w:rPr>
        <w:t xml:space="preserve"> </w:t>
      </w:r>
      <w:proofErr w:type="spellStart"/>
      <w:r w:rsidRPr="00831E07">
        <w:rPr>
          <w:i/>
          <w:szCs w:val="24"/>
        </w:rPr>
        <w:t>Returns</w:t>
      </w:r>
      <w:proofErr w:type="spellEnd"/>
      <w:r w:rsidRPr="00831E07">
        <w:rPr>
          <w:i/>
          <w:szCs w:val="24"/>
        </w:rPr>
        <w:t xml:space="preserve"> </w:t>
      </w:r>
      <w:proofErr w:type="spellStart"/>
      <w:r w:rsidRPr="00831E07">
        <w:rPr>
          <w:i/>
          <w:szCs w:val="24"/>
        </w:rPr>
        <w:t>to</w:t>
      </w:r>
      <w:proofErr w:type="spellEnd"/>
      <w:r w:rsidRPr="00831E07">
        <w:rPr>
          <w:i/>
          <w:szCs w:val="24"/>
        </w:rPr>
        <w:t xml:space="preserve"> </w:t>
      </w:r>
      <w:proofErr w:type="spellStart"/>
      <w:r w:rsidRPr="00831E07">
        <w:rPr>
          <w:i/>
          <w:szCs w:val="24"/>
        </w:rPr>
        <w:t>Scale</w:t>
      </w:r>
      <w:proofErr w:type="spellEnd"/>
      <w:r w:rsidRPr="00831E07">
        <w:rPr>
          <w:szCs w:val="24"/>
        </w:rPr>
        <w:t xml:space="preserve">) e com orientação </w:t>
      </w:r>
      <w:r w:rsidRPr="00831E07">
        <w:rPr>
          <w:i/>
          <w:szCs w:val="24"/>
        </w:rPr>
        <w:t xml:space="preserve">output, </w:t>
      </w:r>
      <w:r w:rsidRPr="00831E07">
        <w:rPr>
          <w:szCs w:val="24"/>
        </w:rPr>
        <w:t xml:space="preserve">os resultados das escalas de eficiência do estudo foram obtidos através do Sistema Integrado de Apoio à Decisão (SIAD). </w:t>
      </w:r>
    </w:p>
    <w:p w:rsidR="00831E07" w:rsidRPr="00831E07" w:rsidRDefault="00831E07" w:rsidP="00831E07">
      <w:pPr>
        <w:spacing w:line="360" w:lineRule="auto"/>
        <w:rPr>
          <w:color w:val="000000"/>
          <w:szCs w:val="24"/>
        </w:rPr>
      </w:pPr>
      <w:r w:rsidRPr="00831E07">
        <w:rPr>
          <w:color w:val="000000"/>
          <w:szCs w:val="24"/>
        </w:rPr>
        <w:t xml:space="preserve">De acordo com os resultados do presente trabalho, pode-se afirmar que as variáveis densidade demográfica e PIB afetam positivamente a eficiência com investimento em saneamento básico das empresas responsáveis por essa função nos municípios catarinenses. Tanto para o modelo de regressão de efeitos aleatórios em dados em painel, quanto para o modelo de regressão </w:t>
      </w:r>
      <w:proofErr w:type="spellStart"/>
      <w:r w:rsidRPr="00831E07">
        <w:rPr>
          <w:color w:val="000000"/>
          <w:szCs w:val="24"/>
        </w:rPr>
        <w:lastRenderedPageBreak/>
        <w:t>Tobit</w:t>
      </w:r>
      <w:proofErr w:type="spellEnd"/>
      <w:r w:rsidRPr="00831E07">
        <w:rPr>
          <w:color w:val="000000"/>
          <w:szCs w:val="24"/>
        </w:rPr>
        <w:t xml:space="preserve">, pode-se dizer que, ao nível de significância de 5%, municípios mais densamente populosos tentem a apresentar uma maior eficiência com investimentos nessa função básica do Estado. </w:t>
      </w:r>
    </w:p>
    <w:p w:rsidR="00831E07" w:rsidRPr="00831E07" w:rsidRDefault="00831E07" w:rsidP="00831E07">
      <w:pPr>
        <w:spacing w:line="360" w:lineRule="auto"/>
        <w:rPr>
          <w:color w:val="000000"/>
          <w:szCs w:val="24"/>
        </w:rPr>
      </w:pPr>
      <w:r w:rsidRPr="00831E07">
        <w:rPr>
          <w:color w:val="000000"/>
          <w:szCs w:val="24"/>
        </w:rPr>
        <w:t xml:space="preserve">Da mesma maneira, municípios que apresentaram maiores arrecadações obtiveram maior eficiência da aplicação dos seus investimentos em saneamento básico. Tal resultado pode ser afirmado ao nível de 1% tanto para o modelo de regressão de efeitos aleatórios, quanto para o modelo de regressão </w:t>
      </w:r>
      <w:proofErr w:type="spellStart"/>
      <w:r w:rsidRPr="00831E07">
        <w:rPr>
          <w:color w:val="000000"/>
          <w:szCs w:val="24"/>
        </w:rPr>
        <w:t>Tobit</w:t>
      </w:r>
      <w:proofErr w:type="spellEnd"/>
      <w:r w:rsidRPr="00831E07">
        <w:rPr>
          <w:color w:val="000000"/>
          <w:szCs w:val="24"/>
        </w:rPr>
        <w:t xml:space="preserve">. </w:t>
      </w:r>
    </w:p>
    <w:p w:rsidR="00831E07" w:rsidRPr="00831E07" w:rsidRDefault="00831E07" w:rsidP="00831E07">
      <w:pPr>
        <w:spacing w:line="360" w:lineRule="auto"/>
        <w:rPr>
          <w:color w:val="000000"/>
          <w:szCs w:val="24"/>
        </w:rPr>
      </w:pPr>
      <w:r w:rsidRPr="00831E07">
        <w:rPr>
          <w:color w:val="000000"/>
          <w:szCs w:val="24"/>
        </w:rPr>
        <w:t>Já para a variável IDHM, mesmo sua relação estar dentro do esperado, o resultado não foi estatisticamente significante, ou seja, a relação encontrara entre a variável e a escala de eficiência obtida pelo modelo proposto não é diferente de zero ao nível de confiança de 95%.</w:t>
      </w:r>
    </w:p>
    <w:p w:rsidR="00831E07" w:rsidRPr="00831E07" w:rsidRDefault="00831E07" w:rsidP="00831E07">
      <w:pPr>
        <w:spacing w:line="360" w:lineRule="auto"/>
        <w:rPr>
          <w:color w:val="000000"/>
          <w:szCs w:val="24"/>
        </w:rPr>
      </w:pPr>
      <w:r w:rsidRPr="00831E07">
        <w:rPr>
          <w:color w:val="000000"/>
          <w:szCs w:val="24"/>
        </w:rPr>
        <w:t>Vale destacar que os resultados obtidos na presente pesquisa podem ser inferidos somente aos municípios de Santa Catarina, e não devem ser generalizados à municípios de outros estados. Além de uma de suas limitações é o modelo escolhido para a construção da escala de eficiência, por mais que o mesmo já tenha sido validado inúmeras vezes pela literatura. Outra limitação desse trabalho gira em torno do tamanho da amostra, por conta de que nem todos os municípios catarinenses terem apresentados dados suficientes para o cálculo da eficiência pelo modelo proposto. Porém os resultados apresentaram dados consistentes e os dois modelos de regressão corroboraram seus resultados.</w:t>
      </w:r>
    </w:p>
    <w:p w:rsidR="007A5E0A" w:rsidRDefault="00831E07" w:rsidP="007A5E0A">
      <w:pPr>
        <w:spacing w:line="360" w:lineRule="auto"/>
        <w:rPr>
          <w:color w:val="000000"/>
          <w:szCs w:val="24"/>
        </w:rPr>
      </w:pPr>
      <w:r w:rsidRPr="00831E07">
        <w:rPr>
          <w:color w:val="000000"/>
          <w:szCs w:val="24"/>
        </w:rPr>
        <w:t xml:space="preserve">Dessa maneira o presente trabalho atingiu seu objetivo de verificar alguns fatores que afetam a eficiência dos investimentos em saneamento básico das empresas responsáveis por esse setor nos municípios de Santa Catarina. </w:t>
      </w:r>
    </w:p>
    <w:p w:rsidR="004D400A" w:rsidRDefault="00831E07" w:rsidP="007A5E0A">
      <w:pPr>
        <w:spacing w:line="360" w:lineRule="auto"/>
        <w:rPr>
          <w:color w:val="000000"/>
          <w:szCs w:val="24"/>
        </w:rPr>
      </w:pPr>
      <w:r w:rsidRPr="00831E07">
        <w:rPr>
          <w:color w:val="000000"/>
          <w:szCs w:val="24"/>
        </w:rPr>
        <w:t>Espera-se que o trabalho venha a servir como inspiração para pesquisas futuras. Sugere-se a construção de modelos que façam uso de outras variáveis, modelos e orientação para a construção dessa escala aplicada para os municípios, tanto catarinenses, quanto para outros municípios do Brasil. Também fica como sugestão para pesquisas futuras o teste de outras variáveis que externas e a aplicação desse modelo para municípios de outros estados brasileiros e até para outros países d</w:t>
      </w:r>
      <w:r w:rsidR="004D400A">
        <w:rPr>
          <w:color w:val="000000"/>
          <w:szCs w:val="24"/>
        </w:rPr>
        <w:t>o globo.</w:t>
      </w:r>
    </w:p>
    <w:p w:rsidR="00831E07" w:rsidRPr="00831E07" w:rsidRDefault="00831E07" w:rsidP="004D400A">
      <w:pPr>
        <w:spacing w:before="240"/>
        <w:ind w:firstLine="0"/>
        <w:rPr>
          <w:b/>
          <w:szCs w:val="24"/>
          <w:lang w:val="en-US"/>
        </w:rPr>
      </w:pPr>
      <w:bookmarkStart w:id="0" w:name="_GoBack"/>
      <w:bookmarkEnd w:id="0"/>
      <w:r w:rsidRPr="00831E07">
        <w:rPr>
          <w:b/>
          <w:szCs w:val="24"/>
          <w:lang w:val="en-US"/>
        </w:rPr>
        <w:lastRenderedPageBreak/>
        <w:t xml:space="preserve">REFERÊNCIAS </w:t>
      </w:r>
    </w:p>
    <w:p w:rsidR="00831E07" w:rsidRPr="00831E07" w:rsidRDefault="00831E07" w:rsidP="00831E07">
      <w:pPr>
        <w:rPr>
          <w:b/>
          <w:szCs w:val="24"/>
          <w:lang w:val="en-US"/>
        </w:rPr>
      </w:pPr>
    </w:p>
    <w:p w:rsidR="00831E07" w:rsidRPr="00831E07" w:rsidRDefault="00831E07" w:rsidP="002B5898">
      <w:pPr>
        <w:ind w:firstLine="0"/>
        <w:rPr>
          <w:szCs w:val="24"/>
        </w:rPr>
      </w:pPr>
      <w:r w:rsidRPr="00831E07">
        <w:rPr>
          <w:szCs w:val="24"/>
          <w:lang w:val="en-US"/>
        </w:rPr>
        <w:t xml:space="preserve">BANKER, Rajiv D.; CHARNES, Abraham; COOPER, William Wager. Some models for estimating technical and scale inefficiencies in data envelopment analysis. </w:t>
      </w:r>
      <w:r w:rsidRPr="00831E07">
        <w:rPr>
          <w:b/>
          <w:szCs w:val="24"/>
        </w:rPr>
        <w:t>Management Science</w:t>
      </w:r>
      <w:r w:rsidRPr="00831E07">
        <w:rPr>
          <w:szCs w:val="24"/>
        </w:rPr>
        <w:t>. v. 30, n. 9, p. 1078-1092, 1984.</w:t>
      </w:r>
    </w:p>
    <w:p w:rsidR="00831E07" w:rsidRPr="00831E07" w:rsidRDefault="00831E07" w:rsidP="00831E07">
      <w:pPr>
        <w:rPr>
          <w:b/>
          <w:szCs w:val="24"/>
        </w:rPr>
      </w:pPr>
    </w:p>
    <w:p w:rsidR="00831E07" w:rsidRPr="00831E07" w:rsidRDefault="00831E07" w:rsidP="002B5898">
      <w:pPr>
        <w:ind w:firstLine="0"/>
        <w:rPr>
          <w:szCs w:val="24"/>
          <w:shd w:val="clear" w:color="auto" w:fill="FFFFFF"/>
        </w:rPr>
      </w:pPr>
      <w:r w:rsidRPr="00831E07">
        <w:rPr>
          <w:szCs w:val="24"/>
          <w:shd w:val="clear" w:color="auto" w:fill="FFFFFF"/>
        </w:rPr>
        <w:t>BARBOSA, Raphael de Paiva; BASTOS, Ana Paula Vidal. Utilização da Análise por Envoltória de Dados (DEA) na mensuração da eficiência das prestadoras de serviços de água e esgotamento sanitário: um enfoque no desempenho da Companhia de Saneamento do Estado do Pará (</w:t>
      </w:r>
      <w:proofErr w:type="spellStart"/>
      <w:r w:rsidRPr="00831E07">
        <w:rPr>
          <w:szCs w:val="24"/>
          <w:shd w:val="clear" w:color="auto" w:fill="FFFFFF"/>
        </w:rPr>
        <w:t>Cosanpa</w:t>
      </w:r>
      <w:proofErr w:type="spellEnd"/>
      <w:r w:rsidRPr="00831E07">
        <w:rPr>
          <w:szCs w:val="24"/>
          <w:shd w:val="clear" w:color="auto" w:fill="FFFFFF"/>
        </w:rPr>
        <w:t>).</w:t>
      </w:r>
      <w:r w:rsidRPr="00831E07">
        <w:rPr>
          <w:rStyle w:val="apple-converted-space"/>
          <w:szCs w:val="24"/>
          <w:shd w:val="clear" w:color="auto" w:fill="FFFFFF"/>
        </w:rPr>
        <w:t> </w:t>
      </w:r>
      <w:r w:rsidRPr="00831E07">
        <w:rPr>
          <w:rStyle w:val="Forte"/>
          <w:szCs w:val="24"/>
          <w:bdr w:val="none" w:sz="0" w:space="0" w:color="auto" w:frame="1"/>
          <w:shd w:val="clear" w:color="auto" w:fill="FFFFFF"/>
        </w:rPr>
        <w:t>Revista Economia &amp; Gestão</w:t>
      </w:r>
      <w:r w:rsidRPr="00831E07">
        <w:rPr>
          <w:szCs w:val="24"/>
          <w:shd w:val="clear" w:color="auto" w:fill="FFFFFF"/>
        </w:rPr>
        <w:t>. v. 14, n. 35, p. 151-181, 2014.</w:t>
      </w:r>
    </w:p>
    <w:p w:rsidR="007A5E0A" w:rsidRDefault="007A5E0A" w:rsidP="007A5E0A">
      <w:pPr>
        <w:ind w:firstLine="0"/>
        <w:rPr>
          <w:szCs w:val="24"/>
        </w:rPr>
      </w:pPr>
    </w:p>
    <w:p w:rsidR="00831E07" w:rsidRPr="00831E07" w:rsidRDefault="00831E07" w:rsidP="007A5E0A">
      <w:pPr>
        <w:ind w:firstLine="0"/>
        <w:rPr>
          <w:szCs w:val="24"/>
          <w:lang w:val="en-US"/>
        </w:rPr>
      </w:pPr>
      <w:r w:rsidRPr="00831E07">
        <w:rPr>
          <w:szCs w:val="24"/>
        </w:rPr>
        <w:t xml:space="preserve">FUNDAÇÃO NACIONAL DE SAÚDE. Manual de orientação para criação e organização de autarquias municipais de água e esgoto. 2. ed. – Brasília, 2003. Disponível em: http://www.funasa.gov.br/site/wp-content/files_mf/eng_autarquias2.pdf .  </w:t>
      </w:r>
      <w:proofErr w:type="spellStart"/>
      <w:r w:rsidRPr="00831E07">
        <w:rPr>
          <w:szCs w:val="24"/>
          <w:lang w:val="en-US"/>
        </w:rPr>
        <w:t>Acesso</w:t>
      </w:r>
      <w:proofErr w:type="spellEnd"/>
      <w:r w:rsidRPr="00831E07">
        <w:rPr>
          <w:szCs w:val="24"/>
          <w:lang w:val="en-US"/>
        </w:rPr>
        <w:t xml:space="preserve"> </w:t>
      </w:r>
      <w:proofErr w:type="spellStart"/>
      <w:r w:rsidRPr="00831E07">
        <w:rPr>
          <w:szCs w:val="24"/>
          <w:lang w:val="en-US"/>
        </w:rPr>
        <w:t>em</w:t>
      </w:r>
      <w:proofErr w:type="spellEnd"/>
      <w:r w:rsidRPr="00831E07">
        <w:rPr>
          <w:szCs w:val="24"/>
          <w:lang w:val="en-US"/>
        </w:rPr>
        <w:t xml:space="preserve">: 26 jun. 2016. </w:t>
      </w:r>
    </w:p>
    <w:p w:rsidR="00831E07" w:rsidRPr="00831E07" w:rsidRDefault="00831E07" w:rsidP="002B5898">
      <w:pPr>
        <w:spacing w:before="240"/>
        <w:ind w:firstLine="0"/>
        <w:rPr>
          <w:b/>
          <w:szCs w:val="24"/>
        </w:rPr>
      </w:pPr>
      <w:r w:rsidRPr="00831E07">
        <w:rPr>
          <w:szCs w:val="24"/>
          <w:lang w:val="en-US"/>
        </w:rPr>
        <w:t>BRETTENNY, Warren; SHARP, Gary. Efficiency evaluation of urban and rural municipal water service authorities in South Africa: A data envelopment analysis approach.</w:t>
      </w:r>
      <w:r w:rsidRPr="00831E07">
        <w:rPr>
          <w:b/>
          <w:szCs w:val="24"/>
          <w:lang w:val="en-US"/>
        </w:rPr>
        <w:t xml:space="preserve"> </w:t>
      </w:r>
      <w:proofErr w:type="spellStart"/>
      <w:r w:rsidRPr="00831E07">
        <w:rPr>
          <w:b/>
          <w:szCs w:val="24"/>
        </w:rPr>
        <w:t>Water</w:t>
      </w:r>
      <w:proofErr w:type="spellEnd"/>
      <w:r w:rsidRPr="00831E07">
        <w:rPr>
          <w:b/>
          <w:szCs w:val="24"/>
        </w:rPr>
        <w:t xml:space="preserve"> AS. </w:t>
      </w:r>
      <w:r w:rsidRPr="00831E07">
        <w:rPr>
          <w:szCs w:val="24"/>
        </w:rPr>
        <w:t xml:space="preserve">v. 42, n.1, p.11-19, 2016. </w:t>
      </w:r>
    </w:p>
    <w:p w:rsidR="00831E07" w:rsidRPr="00831E07" w:rsidRDefault="00831E07" w:rsidP="00831E07">
      <w:pPr>
        <w:pStyle w:val="Default"/>
        <w:spacing w:before="240"/>
        <w:rPr>
          <w:rFonts w:ascii="Times New Roman" w:hAnsi="Times New Roman" w:cs="Times New Roman"/>
          <w:bCs/>
          <w:lang w:val="en-US"/>
        </w:rPr>
      </w:pPr>
      <w:r w:rsidRPr="00831E07">
        <w:rPr>
          <w:rFonts w:ascii="Times New Roman" w:hAnsi="Times New Roman" w:cs="Times New Roman"/>
        </w:rPr>
        <w:t xml:space="preserve">CARMO, </w:t>
      </w:r>
      <w:r w:rsidRPr="00831E07">
        <w:rPr>
          <w:rFonts w:ascii="Times New Roman" w:hAnsi="Times New Roman" w:cs="Times New Roman"/>
          <w:bCs/>
        </w:rPr>
        <w:t xml:space="preserve">Cinthya Melo do; TÁVORA, José Lamartine Junior. Avaliação da Eficiência Técnica das Empresas de Saneamento Brasileiras Utilizando a Metodologia DEA. </w:t>
      </w:r>
      <w:r w:rsidRPr="00831E07">
        <w:rPr>
          <w:rFonts w:ascii="Times New Roman" w:hAnsi="Times New Roman" w:cs="Times New Roman"/>
          <w:b/>
          <w:bCs/>
          <w:lang w:val="en-US"/>
        </w:rPr>
        <w:t>Anais: ANPEC</w:t>
      </w:r>
      <w:r w:rsidRPr="00831E07">
        <w:rPr>
          <w:rFonts w:ascii="Times New Roman" w:hAnsi="Times New Roman" w:cs="Times New Roman"/>
          <w:bCs/>
          <w:lang w:val="en-US"/>
        </w:rPr>
        <w:t>, 2003.</w:t>
      </w:r>
    </w:p>
    <w:p w:rsidR="00831E07" w:rsidRPr="00831E07" w:rsidRDefault="00831E07" w:rsidP="00831E07">
      <w:pPr>
        <w:pStyle w:val="Default"/>
        <w:spacing w:before="240"/>
        <w:rPr>
          <w:rFonts w:ascii="Times New Roman" w:hAnsi="Times New Roman" w:cs="Times New Roman"/>
          <w:bCs/>
          <w:lang w:val="en-US"/>
        </w:rPr>
      </w:pPr>
      <w:r w:rsidRPr="00831E07">
        <w:rPr>
          <w:rFonts w:ascii="Times New Roman" w:hAnsi="Times New Roman" w:cs="Times New Roman"/>
          <w:bCs/>
          <w:lang w:val="en-US"/>
        </w:rPr>
        <w:t xml:space="preserve">CHARNES, Abraham; COOPER, William W.; RHODES, Edwardo. Measuring the efficiency of decision making units. </w:t>
      </w:r>
      <w:r w:rsidRPr="00831E07">
        <w:rPr>
          <w:rFonts w:ascii="Times New Roman" w:hAnsi="Times New Roman" w:cs="Times New Roman"/>
          <w:b/>
          <w:bCs/>
          <w:lang w:val="en-US"/>
        </w:rPr>
        <w:t>European Journal of Operational Research</w:t>
      </w:r>
      <w:r w:rsidRPr="00831E07">
        <w:rPr>
          <w:rFonts w:ascii="Times New Roman" w:hAnsi="Times New Roman" w:cs="Times New Roman"/>
          <w:bCs/>
          <w:lang w:val="en-US"/>
        </w:rPr>
        <w:t>, v. 2, n. 6, p. 429-444, 1978.</w:t>
      </w:r>
    </w:p>
    <w:p w:rsidR="00831E07" w:rsidRPr="00831E07" w:rsidRDefault="00831E07" w:rsidP="00831E07">
      <w:pPr>
        <w:pStyle w:val="Default"/>
        <w:spacing w:before="240"/>
        <w:rPr>
          <w:rFonts w:ascii="Times New Roman" w:hAnsi="Times New Roman" w:cs="Times New Roman"/>
          <w:color w:val="555555"/>
          <w:shd w:val="clear" w:color="auto" w:fill="FFFFFF"/>
        </w:rPr>
      </w:pPr>
      <w:r w:rsidRPr="00831E07">
        <w:rPr>
          <w:rFonts w:ascii="Times New Roman" w:hAnsi="Times New Roman" w:cs="Times New Roman"/>
          <w:bCs/>
          <w:lang w:val="en-US"/>
        </w:rPr>
        <w:t xml:space="preserve">CONFORTO, Gloria. </w:t>
      </w:r>
      <w:r w:rsidRPr="00831E07">
        <w:rPr>
          <w:rFonts w:ascii="Times New Roman" w:hAnsi="Times New Roman" w:cs="Times New Roman"/>
          <w:bCs/>
        </w:rPr>
        <w:t xml:space="preserve">A regulação e a titularidade dos serviços de abastecimento de água e esgotamento sanitário no Brasil. </w:t>
      </w:r>
      <w:r w:rsidRPr="00831E07">
        <w:rPr>
          <w:rStyle w:val="Forte"/>
          <w:rFonts w:ascii="Times New Roman" w:hAnsi="Times New Roman" w:cs="Times New Roman"/>
          <w:color w:val="auto"/>
          <w:bdr w:val="none" w:sz="0" w:space="0" w:color="auto" w:frame="1"/>
          <w:shd w:val="clear" w:color="auto" w:fill="FFFFFF"/>
        </w:rPr>
        <w:t>Revista de Administração Pública</w:t>
      </w:r>
      <w:r w:rsidRPr="00831E07">
        <w:rPr>
          <w:rFonts w:ascii="Times New Roman" w:hAnsi="Times New Roman" w:cs="Times New Roman"/>
          <w:color w:val="auto"/>
          <w:shd w:val="clear" w:color="auto" w:fill="FFFFFF"/>
        </w:rPr>
        <w:t>, v. 34, n. 5, p. 165-180, 2000.</w:t>
      </w:r>
    </w:p>
    <w:p w:rsidR="00831E07" w:rsidRPr="00831E07" w:rsidRDefault="00831E07" w:rsidP="00831E07">
      <w:pPr>
        <w:pStyle w:val="Default"/>
        <w:spacing w:before="240"/>
        <w:rPr>
          <w:rFonts w:ascii="Times New Roman" w:hAnsi="Times New Roman" w:cs="Times New Roman"/>
          <w:b/>
          <w:bCs/>
        </w:rPr>
      </w:pPr>
      <w:r w:rsidRPr="00831E07">
        <w:rPr>
          <w:rFonts w:ascii="Times New Roman" w:hAnsi="Times New Roman" w:cs="Times New Roman"/>
        </w:rPr>
        <w:t xml:space="preserve">DANEBERG, </w:t>
      </w:r>
      <w:r w:rsidRPr="00831E07">
        <w:rPr>
          <w:rFonts w:ascii="Times New Roman" w:hAnsi="Times New Roman" w:cs="Times New Roman"/>
          <w:bCs/>
          <w:iCs/>
        </w:rPr>
        <w:t xml:space="preserve">Thaís de Freitas </w:t>
      </w:r>
      <w:proofErr w:type="spellStart"/>
      <w:r w:rsidRPr="00831E07">
        <w:rPr>
          <w:rFonts w:ascii="Times New Roman" w:hAnsi="Times New Roman" w:cs="Times New Roman"/>
          <w:bCs/>
          <w:iCs/>
        </w:rPr>
        <w:t>Daneberg</w:t>
      </w:r>
      <w:proofErr w:type="spellEnd"/>
      <w:r w:rsidRPr="00831E07">
        <w:rPr>
          <w:rFonts w:ascii="Times New Roman" w:hAnsi="Times New Roman" w:cs="Times New Roman"/>
          <w:bCs/>
          <w:iCs/>
        </w:rPr>
        <w:t xml:space="preserve">. TINOCO, João Eduardo Prudêncio; CLARO, Jose Alberto Carvalho dos Santos; BIER, Fábio. </w:t>
      </w:r>
      <w:r w:rsidRPr="00831E07">
        <w:rPr>
          <w:rFonts w:ascii="Times New Roman" w:hAnsi="Times New Roman" w:cs="Times New Roman"/>
          <w:bCs/>
        </w:rPr>
        <w:t xml:space="preserve">Evidenciação Econômica, Financeira e Socioambiental de Empresas Brasileiras de Água e Saneamento Básico. </w:t>
      </w:r>
      <w:r w:rsidRPr="00831E07">
        <w:rPr>
          <w:rFonts w:ascii="Times New Roman" w:hAnsi="Times New Roman" w:cs="Times New Roman"/>
          <w:b/>
          <w:bCs/>
        </w:rPr>
        <w:t>Caderno Profissional de Administração – UNIMEP Mestrado Profissional e Doutorado em Administração.</w:t>
      </w:r>
      <w:r w:rsidRPr="00831E07">
        <w:rPr>
          <w:rFonts w:ascii="Times New Roman" w:hAnsi="Times New Roman" w:cs="Times New Roman"/>
          <w:bCs/>
        </w:rPr>
        <w:t xml:space="preserve"> v.4, n.1, p.45-66, 2014.</w:t>
      </w:r>
      <w:r w:rsidRPr="00831E07">
        <w:rPr>
          <w:rFonts w:ascii="Times New Roman" w:hAnsi="Times New Roman" w:cs="Times New Roman"/>
          <w:b/>
          <w:bCs/>
        </w:rPr>
        <w:t xml:space="preserve"> </w:t>
      </w:r>
    </w:p>
    <w:p w:rsidR="00831E07" w:rsidRPr="00831E07" w:rsidRDefault="00831E07" w:rsidP="002B5898">
      <w:pPr>
        <w:autoSpaceDE w:val="0"/>
        <w:autoSpaceDN w:val="0"/>
        <w:adjustRightInd w:val="0"/>
        <w:spacing w:before="240"/>
        <w:ind w:firstLine="0"/>
        <w:rPr>
          <w:color w:val="1A171C"/>
          <w:szCs w:val="24"/>
        </w:rPr>
      </w:pPr>
      <w:r w:rsidRPr="00831E07">
        <w:rPr>
          <w:color w:val="1A171C"/>
          <w:szCs w:val="24"/>
        </w:rPr>
        <w:t xml:space="preserve">DINIZ, </w:t>
      </w:r>
      <w:proofErr w:type="spellStart"/>
      <w:r w:rsidRPr="00831E07">
        <w:rPr>
          <w:color w:val="1A171C"/>
          <w:szCs w:val="24"/>
        </w:rPr>
        <w:t>Josedilton</w:t>
      </w:r>
      <w:proofErr w:type="spellEnd"/>
      <w:r w:rsidRPr="00831E07">
        <w:rPr>
          <w:color w:val="1A171C"/>
          <w:szCs w:val="24"/>
        </w:rPr>
        <w:t xml:space="preserve"> Alves. Eficiência das transferências intergovernamentais para a educação fundamental de municípios brasileiros. 2012. </w:t>
      </w:r>
      <w:r w:rsidRPr="00831E07">
        <w:rPr>
          <w:b/>
          <w:color w:val="1A171C"/>
          <w:szCs w:val="24"/>
        </w:rPr>
        <w:t>Tese</w:t>
      </w:r>
      <w:r w:rsidRPr="00831E07">
        <w:rPr>
          <w:color w:val="1A171C"/>
          <w:szCs w:val="24"/>
        </w:rPr>
        <w:t xml:space="preserve"> (Doutorado em Controladoria e Contabilidade: Contabilidade) - Faculdade de Economia, Administração e Contabilidade, Universidade de São </w:t>
      </w:r>
      <w:r w:rsidRPr="00831E07">
        <w:rPr>
          <w:color w:val="1A171C"/>
          <w:szCs w:val="24"/>
        </w:rPr>
        <w:lastRenderedPageBreak/>
        <w:t xml:space="preserve">Paulo, São Paulo, 2012. Disponível em: &lt;http://www.teses.usp.br/teses/disponiveis/12/12136/tde-26072012-113928/&gt;. Acesso em: 7 jul., 2016. </w:t>
      </w:r>
    </w:p>
    <w:p w:rsidR="00831E07" w:rsidRPr="00831E07" w:rsidRDefault="00831E07" w:rsidP="002B5898">
      <w:pPr>
        <w:autoSpaceDE w:val="0"/>
        <w:autoSpaceDN w:val="0"/>
        <w:adjustRightInd w:val="0"/>
        <w:spacing w:before="240"/>
        <w:ind w:firstLine="0"/>
        <w:rPr>
          <w:color w:val="1A171C"/>
          <w:szCs w:val="24"/>
        </w:rPr>
      </w:pPr>
      <w:r w:rsidRPr="00831E07">
        <w:rPr>
          <w:color w:val="1A171C"/>
          <w:szCs w:val="24"/>
        </w:rPr>
        <w:t xml:space="preserve">FARIA, Flavia Peixoto;  JANNUZZI, Paulo de Martino; SILVA, Silvano José da. </w:t>
      </w:r>
      <w:r w:rsidRPr="00831E07">
        <w:rPr>
          <w:bCs/>
          <w:color w:val="1A171C"/>
          <w:szCs w:val="24"/>
        </w:rPr>
        <w:t>Eficiência dos gastos municipais em saúde e educação: uma investigação através da análise envoltória no estado do Rio de Janeiro</w:t>
      </w:r>
      <w:r w:rsidRPr="00831E07">
        <w:rPr>
          <w:color w:val="1A171C"/>
          <w:szCs w:val="24"/>
        </w:rPr>
        <w:t xml:space="preserve">. </w:t>
      </w:r>
      <w:r w:rsidRPr="00831E07">
        <w:rPr>
          <w:b/>
          <w:color w:val="1A171C"/>
          <w:szCs w:val="24"/>
        </w:rPr>
        <w:t>Revista de Administração Pública</w:t>
      </w:r>
      <w:r w:rsidRPr="00831E07">
        <w:rPr>
          <w:color w:val="1A171C"/>
          <w:szCs w:val="24"/>
        </w:rPr>
        <w:t xml:space="preserve">. v. 42, n.1, p.155-177, 2008. </w:t>
      </w:r>
    </w:p>
    <w:p w:rsidR="00831E07" w:rsidRPr="00831E07" w:rsidRDefault="00831E07" w:rsidP="002B5898">
      <w:pPr>
        <w:autoSpaceDE w:val="0"/>
        <w:autoSpaceDN w:val="0"/>
        <w:adjustRightInd w:val="0"/>
        <w:spacing w:before="240"/>
        <w:ind w:firstLine="0"/>
        <w:rPr>
          <w:color w:val="1A171C"/>
          <w:szCs w:val="24"/>
          <w:lang w:val="en-US"/>
        </w:rPr>
      </w:pPr>
      <w:r w:rsidRPr="00831E07">
        <w:rPr>
          <w:color w:val="1A171C"/>
          <w:szCs w:val="24"/>
        </w:rPr>
        <w:t xml:space="preserve">GALVÃO, Alceu Castro Junior. Desafios para a universalização dos serviços de água e esgoto no Brasil. </w:t>
      </w:r>
      <w:r w:rsidRPr="00831E07">
        <w:rPr>
          <w:b/>
          <w:color w:val="1A171C"/>
          <w:szCs w:val="24"/>
          <w:lang w:val="en-US"/>
        </w:rPr>
        <w:t xml:space="preserve">Rev </w:t>
      </w:r>
      <w:proofErr w:type="spellStart"/>
      <w:r w:rsidRPr="00831E07">
        <w:rPr>
          <w:b/>
          <w:color w:val="1A171C"/>
          <w:szCs w:val="24"/>
          <w:lang w:val="en-US"/>
        </w:rPr>
        <w:t>Panam</w:t>
      </w:r>
      <w:proofErr w:type="spellEnd"/>
      <w:r w:rsidRPr="00831E07">
        <w:rPr>
          <w:b/>
          <w:color w:val="1A171C"/>
          <w:szCs w:val="24"/>
          <w:lang w:val="en-US"/>
        </w:rPr>
        <w:t xml:space="preserve"> </w:t>
      </w:r>
      <w:proofErr w:type="spellStart"/>
      <w:r w:rsidRPr="00831E07">
        <w:rPr>
          <w:b/>
          <w:color w:val="1A171C"/>
          <w:szCs w:val="24"/>
          <w:lang w:val="en-US"/>
        </w:rPr>
        <w:t>Salud</w:t>
      </w:r>
      <w:proofErr w:type="spellEnd"/>
      <w:r w:rsidRPr="00831E07">
        <w:rPr>
          <w:b/>
          <w:color w:val="1A171C"/>
          <w:szCs w:val="24"/>
          <w:lang w:val="en-US"/>
        </w:rPr>
        <w:t xml:space="preserve"> </w:t>
      </w:r>
      <w:proofErr w:type="spellStart"/>
      <w:r w:rsidRPr="00831E07">
        <w:rPr>
          <w:b/>
          <w:color w:val="1A171C"/>
          <w:szCs w:val="24"/>
          <w:lang w:val="en-US"/>
        </w:rPr>
        <w:t>Publica</w:t>
      </w:r>
      <w:proofErr w:type="spellEnd"/>
      <w:r w:rsidRPr="00831E07">
        <w:rPr>
          <w:color w:val="1A171C"/>
          <w:szCs w:val="24"/>
          <w:lang w:val="en-US"/>
        </w:rPr>
        <w:t>. v. 25, n.6, p.548–56, 2009.</w:t>
      </w:r>
    </w:p>
    <w:p w:rsidR="00831E07" w:rsidRPr="00831E07" w:rsidRDefault="00831E07" w:rsidP="002B5898">
      <w:pPr>
        <w:autoSpaceDE w:val="0"/>
        <w:autoSpaceDN w:val="0"/>
        <w:adjustRightInd w:val="0"/>
        <w:spacing w:before="240"/>
        <w:ind w:firstLine="0"/>
        <w:rPr>
          <w:color w:val="1A171C"/>
          <w:szCs w:val="24"/>
          <w:lang w:val="en-US"/>
        </w:rPr>
      </w:pPr>
      <w:r w:rsidRPr="00831E07">
        <w:rPr>
          <w:color w:val="1A171C"/>
          <w:szCs w:val="24"/>
          <w:lang w:val="en-US"/>
        </w:rPr>
        <w:t xml:space="preserve">GARCIA-VALIÑAS, Maria A.; MUÑIZ, Manuel A. Is DEA useful in the regulation of water utilities? A dynamic efficiency evaluation of water utilities. </w:t>
      </w:r>
      <w:r w:rsidRPr="00831E07">
        <w:rPr>
          <w:b/>
          <w:color w:val="1A171C"/>
          <w:szCs w:val="24"/>
          <w:lang w:val="en-US"/>
        </w:rPr>
        <w:t>Appl. Econ</w:t>
      </w:r>
      <w:r w:rsidRPr="00831E07">
        <w:rPr>
          <w:color w:val="1A171C"/>
          <w:szCs w:val="24"/>
          <w:lang w:val="en-US"/>
        </w:rPr>
        <w:t>. v.39, n.2, p. 245–252, 2007.</w:t>
      </w:r>
    </w:p>
    <w:p w:rsidR="00831E07" w:rsidRPr="00831E07" w:rsidRDefault="00831E07" w:rsidP="002B5898">
      <w:pPr>
        <w:autoSpaceDE w:val="0"/>
        <w:autoSpaceDN w:val="0"/>
        <w:adjustRightInd w:val="0"/>
        <w:spacing w:before="240"/>
        <w:ind w:firstLine="0"/>
        <w:rPr>
          <w:color w:val="1A171C"/>
          <w:szCs w:val="24"/>
          <w:lang w:val="en-US"/>
        </w:rPr>
      </w:pPr>
      <w:r w:rsidRPr="00831E07">
        <w:rPr>
          <w:color w:val="1A171C"/>
          <w:szCs w:val="24"/>
          <w:lang w:val="en-US"/>
        </w:rPr>
        <w:t xml:space="preserve">GREENE, W. H. </w:t>
      </w:r>
      <w:r w:rsidRPr="00831E07">
        <w:rPr>
          <w:b/>
          <w:color w:val="1A171C"/>
          <w:szCs w:val="24"/>
          <w:lang w:val="en-US"/>
        </w:rPr>
        <w:t>Econometric analysis</w:t>
      </w:r>
      <w:r w:rsidRPr="00831E07">
        <w:rPr>
          <w:color w:val="1A171C"/>
          <w:szCs w:val="24"/>
          <w:lang w:val="en-US"/>
        </w:rPr>
        <w:t>. 5th ed. New Jersey: Prentice Hall, 2003</w:t>
      </w:r>
    </w:p>
    <w:p w:rsidR="00831E07" w:rsidRPr="00831E07" w:rsidRDefault="00831E07" w:rsidP="002B5898">
      <w:pPr>
        <w:autoSpaceDE w:val="0"/>
        <w:autoSpaceDN w:val="0"/>
        <w:adjustRightInd w:val="0"/>
        <w:spacing w:before="240"/>
        <w:ind w:firstLine="0"/>
        <w:rPr>
          <w:color w:val="1A171C"/>
          <w:szCs w:val="24"/>
        </w:rPr>
      </w:pPr>
      <w:r w:rsidRPr="00831E07">
        <w:rPr>
          <w:color w:val="1A171C"/>
          <w:szCs w:val="24"/>
        </w:rPr>
        <w:t xml:space="preserve">GUJARATI, D. </w:t>
      </w:r>
      <w:r w:rsidRPr="00831E07">
        <w:rPr>
          <w:b/>
          <w:color w:val="1A171C"/>
          <w:szCs w:val="24"/>
        </w:rPr>
        <w:t>Econometria Básica.</w:t>
      </w:r>
      <w:r w:rsidRPr="00831E07">
        <w:rPr>
          <w:color w:val="1A171C"/>
          <w:szCs w:val="24"/>
        </w:rPr>
        <w:t xml:space="preserve"> 4. ed. Rio de Janeiro: </w:t>
      </w:r>
      <w:proofErr w:type="spellStart"/>
      <w:r w:rsidRPr="00831E07">
        <w:rPr>
          <w:color w:val="1A171C"/>
          <w:szCs w:val="24"/>
        </w:rPr>
        <w:t>Elsevier</w:t>
      </w:r>
      <w:proofErr w:type="spellEnd"/>
      <w:r w:rsidRPr="00831E07">
        <w:rPr>
          <w:color w:val="1A171C"/>
          <w:szCs w:val="24"/>
        </w:rPr>
        <w:t>, 2006.</w:t>
      </w:r>
    </w:p>
    <w:p w:rsidR="00831E07" w:rsidRPr="00831E07" w:rsidRDefault="00831E07" w:rsidP="002B5898">
      <w:pPr>
        <w:autoSpaceDE w:val="0"/>
        <w:autoSpaceDN w:val="0"/>
        <w:adjustRightInd w:val="0"/>
        <w:spacing w:before="240"/>
        <w:ind w:firstLine="0"/>
        <w:rPr>
          <w:color w:val="1A171C"/>
          <w:szCs w:val="24"/>
        </w:rPr>
      </w:pPr>
      <w:r w:rsidRPr="00831E07">
        <w:rPr>
          <w:szCs w:val="24"/>
        </w:rPr>
        <w:t xml:space="preserve">HOFF, </w:t>
      </w:r>
      <w:proofErr w:type="spellStart"/>
      <w:r w:rsidRPr="00831E07">
        <w:rPr>
          <w:szCs w:val="24"/>
        </w:rPr>
        <w:t>Ayoe</w:t>
      </w:r>
      <w:proofErr w:type="spellEnd"/>
      <w:r w:rsidRPr="00831E07">
        <w:rPr>
          <w:szCs w:val="24"/>
        </w:rPr>
        <w:t xml:space="preserve">. </w:t>
      </w:r>
      <w:r w:rsidRPr="00831E07">
        <w:rPr>
          <w:szCs w:val="24"/>
          <w:lang w:val="en-US"/>
        </w:rPr>
        <w:t xml:space="preserve">Second stage DEA: Comparison of approaches for modelling the DEA score. </w:t>
      </w:r>
      <w:proofErr w:type="spellStart"/>
      <w:r w:rsidRPr="00831E07">
        <w:rPr>
          <w:b/>
          <w:szCs w:val="24"/>
        </w:rPr>
        <w:t>European</w:t>
      </w:r>
      <w:proofErr w:type="spellEnd"/>
      <w:r w:rsidRPr="00831E07">
        <w:rPr>
          <w:b/>
          <w:szCs w:val="24"/>
        </w:rPr>
        <w:t xml:space="preserve"> </w:t>
      </w:r>
      <w:proofErr w:type="spellStart"/>
      <w:r w:rsidRPr="00831E07">
        <w:rPr>
          <w:b/>
          <w:szCs w:val="24"/>
        </w:rPr>
        <w:t>Journal</w:t>
      </w:r>
      <w:proofErr w:type="spellEnd"/>
      <w:r w:rsidRPr="00831E07">
        <w:rPr>
          <w:b/>
          <w:szCs w:val="24"/>
        </w:rPr>
        <w:t xml:space="preserve"> </w:t>
      </w:r>
      <w:proofErr w:type="spellStart"/>
      <w:r w:rsidRPr="00831E07">
        <w:rPr>
          <w:b/>
          <w:szCs w:val="24"/>
        </w:rPr>
        <w:t>of</w:t>
      </w:r>
      <w:proofErr w:type="spellEnd"/>
      <w:r w:rsidRPr="00831E07">
        <w:rPr>
          <w:b/>
          <w:szCs w:val="24"/>
        </w:rPr>
        <w:t xml:space="preserve"> </w:t>
      </w:r>
      <w:proofErr w:type="spellStart"/>
      <w:r w:rsidRPr="00831E07">
        <w:rPr>
          <w:b/>
          <w:szCs w:val="24"/>
        </w:rPr>
        <w:t>Operational</w:t>
      </w:r>
      <w:proofErr w:type="spellEnd"/>
      <w:r w:rsidRPr="00831E07">
        <w:rPr>
          <w:b/>
          <w:szCs w:val="24"/>
        </w:rPr>
        <w:t xml:space="preserve"> </w:t>
      </w:r>
      <w:proofErr w:type="spellStart"/>
      <w:r w:rsidRPr="00831E07">
        <w:rPr>
          <w:b/>
          <w:szCs w:val="24"/>
        </w:rPr>
        <w:t>Research</w:t>
      </w:r>
      <w:proofErr w:type="spellEnd"/>
      <w:r w:rsidRPr="00831E07">
        <w:rPr>
          <w:szCs w:val="24"/>
        </w:rPr>
        <w:t>, v. 181, n. 1, p. 425-435, 2007.</w:t>
      </w:r>
    </w:p>
    <w:p w:rsidR="00831E07" w:rsidRPr="00831E07" w:rsidRDefault="00831E07" w:rsidP="002B5898">
      <w:pPr>
        <w:autoSpaceDE w:val="0"/>
        <w:autoSpaceDN w:val="0"/>
        <w:adjustRightInd w:val="0"/>
        <w:spacing w:before="240"/>
        <w:ind w:firstLine="0"/>
        <w:rPr>
          <w:szCs w:val="24"/>
        </w:rPr>
      </w:pPr>
      <w:r w:rsidRPr="00831E07">
        <w:rPr>
          <w:szCs w:val="24"/>
        </w:rPr>
        <w:t xml:space="preserve">HORA, Ariele Lorena Barbosa da; SHIMODAB, Eduardo; HORA, Henrique Rego Monteiro da; COSTA, Helder Gomes.  </w:t>
      </w:r>
      <w:r w:rsidRPr="00831E07">
        <w:rPr>
          <w:bCs/>
          <w:szCs w:val="24"/>
        </w:rPr>
        <w:t>Análise da Eficiência dos Serviços de Saneamento</w:t>
      </w:r>
      <w:r w:rsidRPr="00831E07">
        <w:rPr>
          <w:szCs w:val="24"/>
        </w:rPr>
        <w:t xml:space="preserve"> </w:t>
      </w:r>
      <w:r w:rsidRPr="00831E07">
        <w:rPr>
          <w:bCs/>
          <w:szCs w:val="24"/>
        </w:rPr>
        <w:t>Básico nos Municípios do Estado do Rio De Janeiro</w:t>
      </w:r>
      <w:r w:rsidRPr="00831E07">
        <w:rPr>
          <w:szCs w:val="24"/>
        </w:rPr>
        <w:t xml:space="preserve">. </w:t>
      </w:r>
      <w:r w:rsidRPr="00831E07">
        <w:rPr>
          <w:b/>
          <w:szCs w:val="24"/>
        </w:rPr>
        <w:t>Revista Eletrônica Pesquisa Operacional para o Desenvolvimento</w:t>
      </w:r>
      <w:r w:rsidRPr="00831E07">
        <w:rPr>
          <w:szCs w:val="24"/>
        </w:rPr>
        <w:t xml:space="preserve">. v.7, n.1, p. 55-81, 2015. </w:t>
      </w:r>
    </w:p>
    <w:p w:rsidR="00831E07" w:rsidRPr="00831E07" w:rsidRDefault="00831E07" w:rsidP="002B5898">
      <w:pPr>
        <w:spacing w:before="240"/>
        <w:ind w:firstLine="0"/>
        <w:rPr>
          <w:bCs/>
          <w:szCs w:val="24"/>
        </w:rPr>
      </w:pPr>
      <w:r w:rsidRPr="00831E07">
        <w:rPr>
          <w:bCs/>
          <w:szCs w:val="24"/>
        </w:rPr>
        <w:t xml:space="preserve">INSTITUTO BRASILEIRO DE GEOGRAFIA E ESTATÍSTICA – IBGE. Cidades. Disponível em:  &lt; </w:t>
      </w:r>
      <w:hyperlink r:id="rId10" w:history="1">
        <w:r w:rsidRPr="00831E07">
          <w:rPr>
            <w:rStyle w:val="Hyperlink"/>
            <w:bCs/>
            <w:szCs w:val="24"/>
          </w:rPr>
          <w:t>http://www.cidades.ibge.gov.br/xtras/uf.php?lang=&amp;coduf=42&amp;search=santa-catarina</w:t>
        </w:r>
      </w:hyperlink>
      <w:r w:rsidRPr="00831E07">
        <w:rPr>
          <w:bCs/>
          <w:szCs w:val="24"/>
        </w:rPr>
        <w:t xml:space="preserve"> &gt; Acesso em 10 jun. 2016. </w:t>
      </w:r>
    </w:p>
    <w:p w:rsidR="00831E07" w:rsidRPr="00831E07" w:rsidRDefault="00831E07" w:rsidP="002B5898">
      <w:pPr>
        <w:spacing w:before="240"/>
        <w:ind w:firstLine="0"/>
        <w:rPr>
          <w:bCs/>
          <w:szCs w:val="24"/>
        </w:rPr>
      </w:pPr>
      <w:r w:rsidRPr="00831E07">
        <w:rPr>
          <w:bCs/>
          <w:szCs w:val="24"/>
        </w:rPr>
        <w:t xml:space="preserve">LEONETI, A. B.; PRADO, E. L.; OLIVEIRA, S. V. W. B.. Saneamento Básico no Brasil: Considerações sobre Investimentos e Sustentabilidade para o Século XXI. </w:t>
      </w:r>
      <w:r w:rsidRPr="00831E07">
        <w:rPr>
          <w:b/>
          <w:bCs/>
          <w:szCs w:val="24"/>
        </w:rPr>
        <w:t>RAP – Rio de Janeiro.</w:t>
      </w:r>
      <w:r w:rsidRPr="00831E07">
        <w:rPr>
          <w:bCs/>
          <w:szCs w:val="24"/>
        </w:rPr>
        <w:t xml:space="preserve">  v. 45, n.2, p. 48 – 331, 2011. </w:t>
      </w:r>
    </w:p>
    <w:p w:rsidR="00831E07" w:rsidRPr="00831E07" w:rsidRDefault="00831E07" w:rsidP="002B5898">
      <w:pPr>
        <w:spacing w:before="240"/>
        <w:ind w:firstLine="0"/>
        <w:rPr>
          <w:bCs/>
          <w:szCs w:val="24"/>
          <w:lang w:val="en-US"/>
        </w:rPr>
      </w:pPr>
      <w:r w:rsidRPr="00831E07">
        <w:rPr>
          <w:bCs/>
          <w:szCs w:val="24"/>
        </w:rPr>
        <w:t xml:space="preserve">MAZON, Luciana Maria; MASCARENHAS, </w:t>
      </w:r>
      <w:proofErr w:type="spellStart"/>
      <w:r w:rsidRPr="00831E07">
        <w:rPr>
          <w:bCs/>
          <w:szCs w:val="24"/>
        </w:rPr>
        <w:t>Luis</w:t>
      </w:r>
      <w:proofErr w:type="spellEnd"/>
      <w:r w:rsidRPr="00831E07">
        <w:rPr>
          <w:bCs/>
          <w:szCs w:val="24"/>
        </w:rPr>
        <w:t xml:space="preserve"> Paulo Gomes; DALLABRIDA, Valdir Roque. Eficiência dos gastos públicos em saúde: desafio para municípios de Santa Catarina, Brasil. </w:t>
      </w:r>
      <w:proofErr w:type="spellStart"/>
      <w:r w:rsidRPr="00831E07">
        <w:rPr>
          <w:b/>
          <w:bCs/>
          <w:szCs w:val="24"/>
          <w:lang w:val="en-US"/>
        </w:rPr>
        <w:t>Saúde</w:t>
      </w:r>
      <w:proofErr w:type="spellEnd"/>
      <w:r w:rsidRPr="00831E07">
        <w:rPr>
          <w:b/>
          <w:bCs/>
          <w:szCs w:val="24"/>
          <w:lang w:val="en-US"/>
        </w:rPr>
        <w:t xml:space="preserve"> e </w:t>
      </w:r>
      <w:proofErr w:type="spellStart"/>
      <w:r w:rsidRPr="00831E07">
        <w:rPr>
          <w:b/>
          <w:bCs/>
          <w:szCs w:val="24"/>
          <w:lang w:val="en-US"/>
        </w:rPr>
        <w:t>Sociedade</w:t>
      </w:r>
      <w:proofErr w:type="spellEnd"/>
      <w:r w:rsidRPr="00831E07">
        <w:rPr>
          <w:bCs/>
          <w:szCs w:val="24"/>
          <w:lang w:val="en-US"/>
        </w:rPr>
        <w:t xml:space="preserve">, v. 24, n. 1, 2015. </w:t>
      </w:r>
    </w:p>
    <w:p w:rsidR="00831E07" w:rsidRPr="00831E07" w:rsidRDefault="00831E07" w:rsidP="002B5898">
      <w:pPr>
        <w:spacing w:before="240"/>
        <w:ind w:firstLine="0"/>
        <w:rPr>
          <w:bCs/>
          <w:color w:val="000000"/>
          <w:szCs w:val="24"/>
          <w:lang w:val="en-US"/>
        </w:rPr>
      </w:pPr>
      <w:r w:rsidRPr="00831E07">
        <w:rPr>
          <w:color w:val="000000"/>
          <w:szCs w:val="24"/>
          <w:shd w:val="clear" w:color="auto" w:fill="FFFFFF"/>
          <w:lang w:val="en-US"/>
        </w:rPr>
        <w:t xml:space="preserve">MIN, Hokey; PARK, </w:t>
      </w:r>
      <w:proofErr w:type="spellStart"/>
      <w:r w:rsidRPr="00831E07">
        <w:rPr>
          <w:color w:val="000000"/>
          <w:szCs w:val="24"/>
          <w:shd w:val="clear" w:color="auto" w:fill="FFFFFF"/>
          <w:lang w:val="en-US"/>
        </w:rPr>
        <w:t>Byung</w:t>
      </w:r>
      <w:proofErr w:type="spellEnd"/>
      <w:r w:rsidRPr="00831E07">
        <w:rPr>
          <w:color w:val="000000"/>
          <w:szCs w:val="24"/>
          <w:shd w:val="clear" w:color="auto" w:fill="FFFFFF"/>
          <w:lang w:val="en-US"/>
        </w:rPr>
        <w:t xml:space="preserve">-In. Evaluating the inter-temporal efficiency trends of international container terminals using data envelopment </w:t>
      </w:r>
      <w:proofErr w:type="spellStart"/>
      <w:r w:rsidRPr="00831E07">
        <w:rPr>
          <w:color w:val="000000"/>
          <w:szCs w:val="24"/>
          <w:shd w:val="clear" w:color="auto" w:fill="FFFFFF"/>
          <w:lang w:val="en-US"/>
        </w:rPr>
        <w:t>analysis.</w:t>
      </w:r>
      <w:r w:rsidRPr="00831E07">
        <w:rPr>
          <w:b/>
          <w:bCs/>
          <w:color w:val="000000"/>
          <w:szCs w:val="24"/>
          <w:shd w:val="clear" w:color="auto" w:fill="FFFFFF"/>
          <w:lang w:val="en-US"/>
        </w:rPr>
        <w:t>International</w:t>
      </w:r>
      <w:proofErr w:type="spellEnd"/>
      <w:r w:rsidRPr="00831E07">
        <w:rPr>
          <w:b/>
          <w:bCs/>
          <w:color w:val="000000"/>
          <w:szCs w:val="24"/>
          <w:shd w:val="clear" w:color="auto" w:fill="FFFFFF"/>
          <w:lang w:val="en-US"/>
        </w:rPr>
        <w:t xml:space="preserve"> Journal of Integrated Supply </w:t>
      </w:r>
      <w:r w:rsidRPr="00831E07">
        <w:rPr>
          <w:b/>
          <w:bCs/>
          <w:color w:val="000000"/>
          <w:szCs w:val="24"/>
          <w:shd w:val="clear" w:color="auto" w:fill="FFFFFF"/>
          <w:lang w:val="en-US"/>
        </w:rPr>
        <w:lastRenderedPageBreak/>
        <w:t>Management</w:t>
      </w:r>
      <w:r w:rsidRPr="00831E07">
        <w:rPr>
          <w:color w:val="000000"/>
          <w:szCs w:val="24"/>
          <w:shd w:val="clear" w:color="auto" w:fill="FFFFFF"/>
          <w:lang w:val="en-US"/>
        </w:rPr>
        <w:t>, v. 1, n. 3, p. 258-277, 2005.</w:t>
      </w:r>
    </w:p>
    <w:p w:rsidR="00831E07" w:rsidRPr="00831E07" w:rsidRDefault="00831E07" w:rsidP="002B5898">
      <w:pPr>
        <w:spacing w:before="240"/>
        <w:ind w:firstLine="0"/>
        <w:rPr>
          <w:rFonts w:eastAsia="Calibri"/>
          <w:szCs w:val="24"/>
          <w:lang w:eastAsia="en-US"/>
        </w:rPr>
      </w:pPr>
      <w:r w:rsidRPr="00831E07">
        <w:rPr>
          <w:rFonts w:eastAsia="Calibri"/>
          <w:szCs w:val="24"/>
          <w:lang w:eastAsia="en-US"/>
        </w:rPr>
        <w:t xml:space="preserve">MOLINOS-SENANTE, </w:t>
      </w:r>
      <w:proofErr w:type="spellStart"/>
      <w:r w:rsidRPr="00831E07">
        <w:rPr>
          <w:rFonts w:eastAsia="Calibri"/>
          <w:szCs w:val="24"/>
          <w:lang w:eastAsia="en-US"/>
        </w:rPr>
        <w:t>María</w:t>
      </w:r>
      <w:proofErr w:type="spellEnd"/>
      <w:r w:rsidRPr="00831E07">
        <w:rPr>
          <w:rFonts w:eastAsia="Calibri"/>
          <w:szCs w:val="24"/>
          <w:lang w:eastAsia="en-US"/>
        </w:rPr>
        <w:t xml:space="preserve">; MAZIOTIS, </w:t>
      </w:r>
      <w:proofErr w:type="spellStart"/>
      <w:r w:rsidRPr="00831E07">
        <w:rPr>
          <w:rFonts w:eastAsia="Calibri"/>
          <w:szCs w:val="24"/>
          <w:lang w:eastAsia="en-US"/>
        </w:rPr>
        <w:t>Alexandros</w:t>
      </w:r>
      <w:proofErr w:type="spellEnd"/>
      <w:r w:rsidRPr="00831E07">
        <w:rPr>
          <w:szCs w:val="24"/>
        </w:rPr>
        <w:t xml:space="preserve">; </w:t>
      </w:r>
      <w:r w:rsidRPr="00831E07">
        <w:rPr>
          <w:rFonts w:eastAsia="Calibri"/>
          <w:szCs w:val="24"/>
          <w:lang w:eastAsia="en-US"/>
        </w:rPr>
        <w:t xml:space="preserve">MOCHOLÍ-ARCE, Manuel; SALA-GARRIDO, Ramón. </w:t>
      </w:r>
      <w:r w:rsidRPr="00831E07">
        <w:rPr>
          <w:rFonts w:eastAsia="Calibri"/>
          <w:szCs w:val="24"/>
          <w:lang w:val="en-US" w:eastAsia="en-US"/>
        </w:rPr>
        <w:t>Accounting for service quality to customers in the efficiency of</w:t>
      </w:r>
      <w:r w:rsidRPr="00831E07">
        <w:rPr>
          <w:szCs w:val="24"/>
          <w:lang w:val="en-US"/>
        </w:rPr>
        <w:t xml:space="preserve"> </w:t>
      </w:r>
      <w:r w:rsidRPr="00831E07">
        <w:rPr>
          <w:rFonts w:eastAsia="Calibri"/>
          <w:szCs w:val="24"/>
          <w:lang w:val="en-US" w:eastAsia="en-US"/>
        </w:rPr>
        <w:t xml:space="preserve">water companies: evidence from England and Wales. </w:t>
      </w:r>
      <w:proofErr w:type="spellStart"/>
      <w:r w:rsidRPr="00831E07">
        <w:rPr>
          <w:rFonts w:eastAsia="Calibri"/>
          <w:b/>
          <w:szCs w:val="24"/>
          <w:lang w:eastAsia="en-US"/>
        </w:rPr>
        <w:t>Water</w:t>
      </w:r>
      <w:proofErr w:type="spellEnd"/>
      <w:r w:rsidRPr="00831E07">
        <w:rPr>
          <w:rFonts w:eastAsia="Calibri"/>
          <w:b/>
          <w:szCs w:val="24"/>
          <w:lang w:eastAsia="en-US"/>
        </w:rPr>
        <w:t xml:space="preserve"> </w:t>
      </w:r>
      <w:proofErr w:type="spellStart"/>
      <w:r w:rsidRPr="00831E07">
        <w:rPr>
          <w:rFonts w:eastAsia="Calibri"/>
          <w:b/>
          <w:szCs w:val="24"/>
          <w:lang w:eastAsia="en-US"/>
        </w:rPr>
        <w:t>Policy</w:t>
      </w:r>
      <w:proofErr w:type="spellEnd"/>
      <w:r w:rsidRPr="00831E07">
        <w:rPr>
          <w:rFonts w:eastAsia="Calibri"/>
          <w:szCs w:val="24"/>
          <w:lang w:eastAsia="en-US"/>
        </w:rPr>
        <w:t xml:space="preserve">.  v. 18, p. 513–532, 2016. </w:t>
      </w:r>
    </w:p>
    <w:p w:rsidR="00831E07" w:rsidRPr="00831E07" w:rsidRDefault="00831E07" w:rsidP="002B5898">
      <w:pPr>
        <w:spacing w:before="240"/>
        <w:ind w:firstLine="0"/>
        <w:rPr>
          <w:szCs w:val="24"/>
        </w:rPr>
      </w:pPr>
      <w:r w:rsidRPr="00831E07">
        <w:rPr>
          <w:rFonts w:eastAsia="Calibri"/>
          <w:szCs w:val="24"/>
          <w:lang w:eastAsia="en-US"/>
        </w:rPr>
        <w:t xml:space="preserve">MOTTA, Ronaldo Seroa da; MOREIRA, Ajax. </w:t>
      </w:r>
      <w:r w:rsidRPr="00831E07">
        <w:rPr>
          <w:rFonts w:eastAsia="Calibri"/>
          <w:szCs w:val="24"/>
          <w:lang w:val="en-US" w:eastAsia="en-US"/>
        </w:rPr>
        <w:t xml:space="preserve">Efficiency and regulation in the sanitation sector in Brazil. </w:t>
      </w:r>
      <w:proofErr w:type="spellStart"/>
      <w:r w:rsidRPr="00831E07">
        <w:rPr>
          <w:rFonts w:eastAsia="Calibri"/>
          <w:b/>
          <w:szCs w:val="24"/>
          <w:lang w:eastAsia="en-US"/>
        </w:rPr>
        <w:t>Utilities</w:t>
      </w:r>
      <w:proofErr w:type="spellEnd"/>
      <w:r w:rsidRPr="00831E07">
        <w:rPr>
          <w:rFonts w:eastAsia="Calibri"/>
          <w:b/>
          <w:szCs w:val="24"/>
          <w:lang w:eastAsia="en-US"/>
        </w:rPr>
        <w:t xml:space="preserve"> </w:t>
      </w:r>
      <w:proofErr w:type="spellStart"/>
      <w:r w:rsidRPr="00831E07">
        <w:rPr>
          <w:rFonts w:eastAsia="Calibri"/>
          <w:b/>
          <w:szCs w:val="24"/>
          <w:lang w:eastAsia="en-US"/>
        </w:rPr>
        <w:t>Policy</w:t>
      </w:r>
      <w:proofErr w:type="spellEnd"/>
      <w:r w:rsidRPr="00831E07">
        <w:rPr>
          <w:rFonts w:eastAsia="Calibri"/>
          <w:szCs w:val="24"/>
          <w:lang w:eastAsia="en-US"/>
        </w:rPr>
        <w:t xml:space="preserve">. v. 14, p.185-195, 2006. </w:t>
      </w:r>
    </w:p>
    <w:p w:rsidR="00831E07" w:rsidRPr="00831E07" w:rsidRDefault="00831E07" w:rsidP="002B5898">
      <w:pPr>
        <w:spacing w:before="240"/>
        <w:ind w:firstLine="0"/>
        <w:rPr>
          <w:szCs w:val="24"/>
        </w:rPr>
      </w:pPr>
      <w:r w:rsidRPr="00831E07">
        <w:rPr>
          <w:bCs/>
          <w:caps/>
          <w:szCs w:val="24"/>
        </w:rPr>
        <w:t xml:space="preserve">Paludo, </w:t>
      </w:r>
      <w:r w:rsidRPr="00831E07">
        <w:rPr>
          <w:szCs w:val="24"/>
        </w:rPr>
        <w:t>José Roberto</w:t>
      </w:r>
      <w:r w:rsidRPr="00831E07">
        <w:rPr>
          <w:bCs/>
          <w:caps/>
          <w:szCs w:val="24"/>
        </w:rPr>
        <w:t xml:space="preserve">.; Borba, </w:t>
      </w:r>
      <w:r w:rsidRPr="00831E07">
        <w:rPr>
          <w:szCs w:val="24"/>
        </w:rPr>
        <w:t>Julian</w:t>
      </w:r>
      <w:r w:rsidRPr="00831E07">
        <w:rPr>
          <w:bCs/>
          <w:szCs w:val="24"/>
        </w:rPr>
        <w:t xml:space="preserve">. Abastecimento de água e esgotamento sanitário: estudo comparado de modelos de gestão em Santa Catarina. </w:t>
      </w:r>
      <w:r w:rsidRPr="00831E07">
        <w:rPr>
          <w:b/>
          <w:szCs w:val="24"/>
        </w:rPr>
        <w:t>Ambiente &amp; Sociedade</w:t>
      </w:r>
      <w:r w:rsidRPr="00831E07">
        <w:rPr>
          <w:szCs w:val="24"/>
        </w:rPr>
        <w:t xml:space="preserve">. v. 16, n. 1, p. 59 – 78, 2013. </w:t>
      </w:r>
    </w:p>
    <w:p w:rsidR="00831E07" w:rsidRPr="00831E07" w:rsidRDefault="00831E07" w:rsidP="002B5898">
      <w:pPr>
        <w:spacing w:before="240"/>
        <w:ind w:firstLine="0"/>
        <w:rPr>
          <w:bCs/>
          <w:szCs w:val="24"/>
        </w:rPr>
      </w:pPr>
      <w:r w:rsidRPr="00831E07">
        <w:rPr>
          <w:bCs/>
          <w:szCs w:val="24"/>
        </w:rPr>
        <w:t xml:space="preserve">SAMPAIO, Breno; SAMPAIO, </w:t>
      </w:r>
      <w:proofErr w:type="spellStart"/>
      <w:r w:rsidRPr="00831E07">
        <w:rPr>
          <w:bCs/>
          <w:szCs w:val="24"/>
        </w:rPr>
        <w:t>Yony</w:t>
      </w:r>
      <w:proofErr w:type="spellEnd"/>
      <w:r w:rsidRPr="00831E07">
        <w:rPr>
          <w:bCs/>
          <w:szCs w:val="24"/>
        </w:rPr>
        <w:t xml:space="preserve">. Influências políticas na eficiência de empresas de saneamento brasileiras. </w:t>
      </w:r>
      <w:r w:rsidRPr="00831E07">
        <w:rPr>
          <w:b/>
          <w:bCs/>
          <w:szCs w:val="24"/>
        </w:rPr>
        <w:t xml:space="preserve">Economia Aplicada. </w:t>
      </w:r>
      <w:r w:rsidRPr="00831E07">
        <w:rPr>
          <w:bCs/>
          <w:szCs w:val="24"/>
        </w:rPr>
        <w:t>v. 11, n. 3, p. 369-386, 2007.</w:t>
      </w:r>
    </w:p>
    <w:p w:rsidR="00831E07" w:rsidRPr="00831E07" w:rsidRDefault="00831E07" w:rsidP="002B5898">
      <w:pPr>
        <w:spacing w:before="240"/>
        <w:ind w:firstLine="0"/>
        <w:rPr>
          <w:bCs/>
          <w:szCs w:val="24"/>
        </w:rPr>
      </w:pPr>
      <w:r w:rsidRPr="00831E07">
        <w:rPr>
          <w:bCs/>
          <w:szCs w:val="24"/>
        </w:rPr>
        <w:t xml:space="preserve">SANTOS, Rodolfo Rocha dos; FREITAS, Marcelo Machado de; FLACH, Leonardo. Análise Envoltória de Dados como ferramenta de avaliação da eficiência dos gastos públicos com educação dos municípios de Santa Catarina. </w:t>
      </w:r>
      <w:r w:rsidRPr="00831E07">
        <w:rPr>
          <w:b/>
          <w:bCs/>
          <w:szCs w:val="24"/>
        </w:rPr>
        <w:t>XXII Congresso Brasileiro de Custos</w:t>
      </w:r>
      <w:r w:rsidRPr="00831E07">
        <w:rPr>
          <w:bCs/>
          <w:szCs w:val="24"/>
        </w:rPr>
        <w:t>. Foz do Iguaçu, 2015.</w:t>
      </w:r>
    </w:p>
    <w:p w:rsidR="00831E07" w:rsidRPr="00831E07" w:rsidRDefault="00831E07" w:rsidP="002B5898">
      <w:pPr>
        <w:spacing w:before="240"/>
        <w:ind w:firstLine="0"/>
        <w:rPr>
          <w:bCs/>
          <w:szCs w:val="24"/>
        </w:rPr>
      </w:pPr>
      <w:r w:rsidRPr="00D60CE5">
        <w:rPr>
          <w:bCs/>
          <w:szCs w:val="24"/>
        </w:rPr>
        <w:t xml:space="preserve">SCARATTI, Dirceu; MICHELON, William; SCARATTI, </w:t>
      </w:r>
      <w:proofErr w:type="spellStart"/>
      <w:r w:rsidRPr="00D60CE5">
        <w:rPr>
          <w:bCs/>
          <w:szCs w:val="24"/>
        </w:rPr>
        <w:t>Gidiane</w:t>
      </w:r>
      <w:proofErr w:type="spellEnd"/>
      <w:r w:rsidRPr="00D60CE5">
        <w:rPr>
          <w:bCs/>
          <w:szCs w:val="24"/>
        </w:rPr>
        <w:t xml:space="preserve">. </w:t>
      </w:r>
      <w:r w:rsidRPr="00831E07">
        <w:rPr>
          <w:bCs/>
          <w:szCs w:val="24"/>
        </w:rPr>
        <w:t xml:space="preserve">Avaliação da eficiência da gestão dos serviços municipais de abastecimento de água e esgotamento sanitário utilizando Data </w:t>
      </w:r>
      <w:proofErr w:type="spellStart"/>
      <w:r w:rsidRPr="00831E07">
        <w:rPr>
          <w:bCs/>
          <w:szCs w:val="24"/>
        </w:rPr>
        <w:t>Envelopment</w:t>
      </w:r>
      <w:proofErr w:type="spellEnd"/>
      <w:r w:rsidRPr="00831E07">
        <w:rPr>
          <w:bCs/>
          <w:szCs w:val="24"/>
        </w:rPr>
        <w:t xml:space="preserve"> </w:t>
      </w:r>
      <w:proofErr w:type="spellStart"/>
      <w:r w:rsidRPr="00831E07">
        <w:rPr>
          <w:bCs/>
          <w:szCs w:val="24"/>
        </w:rPr>
        <w:t>Analysis</w:t>
      </w:r>
      <w:proofErr w:type="spellEnd"/>
      <w:r w:rsidRPr="00831E07">
        <w:rPr>
          <w:bCs/>
          <w:szCs w:val="24"/>
        </w:rPr>
        <w:t xml:space="preserve">. </w:t>
      </w:r>
      <w:r w:rsidRPr="00831E07">
        <w:rPr>
          <w:b/>
          <w:bCs/>
          <w:szCs w:val="24"/>
        </w:rPr>
        <w:t>Revista de Engenharia Sanitária e  Ambiental.</w:t>
      </w:r>
      <w:r w:rsidRPr="00831E07">
        <w:rPr>
          <w:bCs/>
          <w:szCs w:val="24"/>
        </w:rPr>
        <w:t xml:space="preserve">  v.18, n.4, 2013.</w:t>
      </w:r>
    </w:p>
    <w:p w:rsidR="00831E07" w:rsidRPr="00831E07" w:rsidRDefault="00831E07" w:rsidP="002B5898">
      <w:pPr>
        <w:spacing w:before="240"/>
        <w:ind w:firstLine="0"/>
        <w:rPr>
          <w:bCs/>
          <w:szCs w:val="24"/>
        </w:rPr>
      </w:pPr>
      <w:r w:rsidRPr="00831E07">
        <w:rPr>
          <w:bCs/>
          <w:szCs w:val="24"/>
        </w:rPr>
        <w:t xml:space="preserve">SISTEMA NACIOANAL DE INFORMAÇÃO SOBRE O SANEAMENTO – SNIS. Disponível em: &lt; http://www.snis.gov.br/ &gt; Acesso em: 10 jun. 2016. </w:t>
      </w:r>
    </w:p>
    <w:p w:rsidR="00831E07" w:rsidRPr="00831E07" w:rsidRDefault="00831E07" w:rsidP="002B5898">
      <w:pPr>
        <w:autoSpaceDE w:val="0"/>
        <w:autoSpaceDN w:val="0"/>
        <w:adjustRightInd w:val="0"/>
        <w:spacing w:before="240"/>
        <w:ind w:firstLine="0"/>
        <w:rPr>
          <w:rFonts w:eastAsia="Calibri"/>
          <w:szCs w:val="24"/>
          <w:lang w:val="en-US" w:eastAsia="en-US"/>
        </w:rPr>
      </w:pPr>
      <w:r w:rsidRPr="00831E07">
        <w:rPr>
          <w:szCs w:val="24"/>
        </w:rPr>
        <w:t xml:space="preserve">SUEYOSHI, </w:t>
      </w:r>
      <w:proofErr w:type="spellStart"/>
      <w:r w:rsidRPr="00831E07">
        <w:rPr>
          <w:szCs w:val="24"/>
        </w:rPr>
        <w:t>Toshiyuki</w:t>
      </w:r>
      <w:proofErr w:type="spellEnd"/>
      <w:r w:rsidRPr="00831E07">
        <w:rPr>
          <w:szCs w:val="24"/>
        </w:rPr>
        <w:t xml:space="preserve">; GOTO, Mika; OMI, </w:t>
      </w:r>
      <w:proofErr w:type="spellStart"/>
      <w:r w:rsidRPr="00831E07">
        <w:rPr>
          <w:szCs w:val="24"/>
        </w:rPr>
        <w:t>Yusuke</w:t>
      </w:r>
      <w:proofErr w:type="spellEnd"/>
      <w:r w:rsidRPr="00831E07">
        <w:rPr>
          <w:szCs w:val="24"/>
        </w:rPr>
        <w:t xml:space="preserve">. </w:t>
      </w:r>
      <w:r w:rsidRPr="00831E07">
        <w:rPr>
          <w:szCs w:val="24"/>
          <w:lang w:val="en-US"/>
        </w:rPr>
        <w:t xml:space="preserve">Corporate governance and firm performance: Evidence from Japanese manufacturing industries after the lost decade. </w:t>
      </w:r>
      <w:r w:rsidRPr="00831E07">
        <w:rPr>
          <w:b/>
          <w:szCs w:val="24"/>
          <w:lang w:val="en-US"/>
        </w:rPr>
        <w:t>European Journal of Operational Research</w:t>
      </w:r>
      <w:r w:rsidRPr="00831E07">
        <w:rPr>
          <w:szCs w:val="24"/>
          <w:lang w:val="en-US"/>
        </w:rPr>
        <w:t>, v. 203, n. 3, p. 724-736, 2010.</w:t>
      </w:r>
    </w:p>
    <w:p w:rsidR="00831E07" w:rsidRPr="00831E07" w:rsidRDefault="00831E07" w:rsidP="002B5898">
      <w:pPr>
        <w:autoSpaceDE w:val="0"/>
        <w:autoSpaceDN w:val="0"/>
        <w:adjustRightInd w:val="0"/>
        <w:spacing w:before="240"/>
        <w:ind w:firstLine="0"/>
        <w:rPr>
          <w:rFonts w:eastAsia="Calibri"/>
          <w:szCs w:val="24"/>
          <w:lang w:eastAsia="en-US"/>
        </w:rPr>
      </w:pPr>
      <w:r w:rsidRPr="00D60CE5">
        <w:rPr>
          <w:rFonts w:eastAsia="Calibri"/>
          <w:szCs w:val="24"/>
          <w:lang w:val="en-US" w:eastAsia="en-US"/>
        </w:rPr>
        <w:t xml:space="preserve">TUPPER, Henrique Cesar; RESENDE, Marcelo. </w:t>
      </w:r>
      <w:r w:rsidRPr="00831E07">
        <w:rPr>
          <w:rFonts w:eastAsia="Calibri"/>
          <w:szCs w:val="24"/>
          <w:lang w:val="en-US" w:eastAsia="en-US"/>
        </w:rPr>
        <w:t xml:space="preserve">Efficiency </w:t>
      </w:r>
      <w:proofErr w:type="spellStart"/>
      <w:r w:rsidRPr="00831E07">
        <w:rPr>
          <w:rFonts w:eastAsia="Calibri"/>
          <w:szCs w:val="24"/>
          <w:lang w:val="en-US" w:eastAsia="en-US"/>
        </w:rPr>
        <w:t>andregulat</w:t>
      </w:r>
      <w:proofErr w:type="spellEnd"/>
      <w:r w:rsidRPr="00831E07">
        <w:rPr>
          <w:rFonts w:eastAsia="Calibri"/>
          <w:szCs w:val="24"/>
          <w:lang w:val="en-US" w:eastAsia="en-US"/>
        </w:rPr>
        <w:t xml:space="preserve"> </w:t>
      </w:r>
      <w:proofErr w:type="spellStart"/>
      <w:r w:rsidRPr="00831E07">
        <w:rPr>
          <w:rFonts w:eastAsia="Calibri"/>
          <w:szCs w:val="24"/>
          <w:lang w:val="en-US" w:eastAsia="en-US"/>
        </w:rPr>
        <w:t>ory</w:t>
      </w:r>
      <w:proofErr w:type="spellEnd"/>
      <w:r w:rsidRPr="00831E07">
        <w:rPr>
          <w:rFonts w:eastAsia="Calibri"/>
          <w:szCs w:val="24"/>
          <w:lang w:val="en-US" w:eastAsia="en-US"/>
        </w:rPr>
        <w:t xml:space="preserve"> issues in the Brazilian water </w:t>
      </w:r>
      <w:proofErr w:type="spellStart"/>
      <w:r w:rsidRPr="00831E07">
        <w:rPr>
          <w:rFonts w:eastAsia="Calibri"/>
          <w:szCs w:val="24"/>
          <w:lang w:val="en-US" w:eastAsia="en-US"/>
        </w:rPr>
        <w:t>andsewage</w:t>
      </w:r>
      <w:proofErr w:type="spellEnd"/>
      <w:r w:rsidRPr="00831E07">
        <w:rPr>
          <w:rFonts w:eastAsia="Calibri"/>
          <w:szCs w:val="24"/>
          <w:lang w:val="en-US" w:eastAsia="en-US"/>
        </w:rPr>
        <w:t xml:space="preserve"> sector: an empirical study.  </w:t>
      </w:r>
      <w:proofErr w:type="spellStart"/>
      <w:r w:rsidRPr="00831E07">
        <w:rPr>
          <w:rFonts w:eastAsia="Calibri"/>
          <w:b/>
          <w:szCs w:val="24"/>
          <w:lang w:eastAsia="en-US"/>
        </w:rPr>
        <w:t>Utilities</w:t>
      </w:r>
      <w:proofErr w:type="spellEnd"/>
      <w:r w:rsidRPr="00831E07">
        <w:rPr>
          <w:rFonts w:eastAsia="Calibri"/>
          <w:b/>
          <w:szCs w:val="24"/>
          <w:lang w:eastAsia="en-US"/>
        </w:rPr>
        <w:t xml:space="preserve"> </w:t>
      </w:r>
      <w:proofErr w:type="spellStart"/>
      <w:r w:rsidRPr="00831E07">
        <w:rPr>
          <w:rFonts w:eastAsia="Calibri"/>
          <w:b/>
          <w:szCs w:val="24"/>
          <w:lang w:eastAsia="en-US"/>
        </w:rPr>
        <w:t>Policy</w:t>
      </w:r>
      <w:proofErr w:type="spellEnd"/>
      <w:r w:rsidRPr="00831E07">
        <w:rPr>
          <w:rFonts w:eastAsia="Calibri"/>
          <w:szCs w:val="24"/>
          <w:lang w:eastAsia="en-US"/>
        </w:rPr>
        <w:t xml:space="preserve">. v. 12, p. 29–40, 2004. </w:t>
      </w:r>
    </w:p>
    <w:p w:rsidR="00831E07" w:rsidRPr="00831E07" w:rsidRDefault="00831E07" w:rsidP="002B5898">
      <w:pPr>
        <w:autoSpaceDE w:val="0"/>
        <w:autoSpaceDN w:val="0"/>
        <w:adjustRightInd w:val="0"/>
        <w:spacing w:before="240"/>
        <w:ind w:firstLine="0"/>
        <w:rPr>
          <w:rFonts w:eastAsia="Calibri"/>
          <w:szCs w:val="24"/>
          <w:lang w:eastAsia="en-US"/>
        </w:rPr>
      </w:pPr>
      <w:r w:rsidRPr="00831E07">
        <w:rPr>
          <w:szCs w:val="24"/>
        </w:rPr>
        <w:t xml:space="preserve">VIEIRA, Paulo Freire; CAZELLA, Ademir </w:t>
      </w:r>
      <w:proofErr w:type="spellStart"/>
      <w:r w:rsidRPr="00831E07">
        <w:rPr>
          <w:szCs w:val="24"/>
        </w:rPr>
        <w:t>Antonio</w:t>
      </w:r>
      <w:proofErr w:type="spellEnd"/>
      <w:r w:rsidRPr="00831E07">
        <w:rPr>
          <w:szCs w:val="24"/>
        </w:rPr>
        <w:t xml:space="preserve">; CERDAN, Claire; ANDION, Carolina. Potencialidades e obstáculos à construção de territórios sustentáveis no estado de Santa Catarina. </w:t>
      </w:r>
      <w:r w:rsidRPr="00831E07">
        <w:rPr>
          <w:b/>
          <w:szCs w:val="24"/>
        </w:rPr>
        <w:t>Política e Sociedade</w:t>
      </w:r>
      <w:r w:rsidRPr="00831E07">
        <w:rPr>
          <w:szCs w:val="24"/>
        </w:rPr>
        <w:t xml:space="preserve">, v.8, n.14, p. 335-380, 2009. </w:t>
      </w:r>
    </w:p>
    <w:p w:rsidR="00831E07" w:rsidRPr="00831E07" w:rsidRDefault="00831E07" w:rsidP="00831E07">
      <w:pPr>
        <w:pStyle w:val="Default"/>
        <w:rPr>
          <w:rFonts w:ascii="Times New Roman" w:hAnsi="Times New Roman" w:cs="Times New Roman"/>
        </w:rPr>
      </w:pPr>
    </w:p>
    <w:p w:rsidR="00831E07" w:rsidRPr="00831E07" w:rsidRDefault="00831E07" w:rsidP="00831E07">
      <w:pPr>
        <w:pStyle w:val="Default"/>
        <w:rPr>
          <w:rFonts w:ascii="Times New Roman" w:hAnsi="Times New Roman" w:cs="Times New Roman"/>
        </w:rPr>
      </w:pPr>
      <w:r w:rsidRPr="00831E07">
        <w:rPr>
          <w:rFonts w:ascii="Times New Roman" w:hAnsi="Times New Roman" w:cs="Times New Roman"/>
        </w:rPr>
        <w:lastRenderedPageBreak/>
        <w:t xml:space="preserve">TSCHAFFON, Pamela; MEZA, </w:t>
      </w:r>
      <w:proofErr w:type="spellStart"/>
      <w:r w:rsidRPr="00831E07">
        <w:rPr>
          <w:rFonts w:ascii="Times New Roman" w:hAnsi="Times New Roman" w:cs="Times New Roman"/>
        </w:rPr>
        <w:t>Lidia</w:t>
      </w:r>
      <w:proofErr w:type="spellEnd"/>
      <w:r w:rsidRPr="00831E07">
        <w:rPr>
          <w:rFonts w:ascii="Times New Roman" w:hAnsi="Times New Roman" w:cs="Times New Roman"/>
        </w:rPr>
        <w:t xml:space="preserve"> Angulo. </w:t>
      </w:r>
      <w:r w:rsidRPr="00831E07">
        <w:rPr>
          <w:rFonts w:ascii="Times New Roman" w:hAnsi="Times New Roman" w:cs="Times New Roman"/>
          <w:lang w:val="en-US"/>
        </w:rPr>
        <w:t xml:space="preserve">Assessing the efficiency of the electric energy distribution using Data Envelopment Analysis with undesirable outputs. </w:t>
      </w:r>
      <w:proofErr w:type="spellStart"/>
      <w:r w:rsidRPr="00831E07">
        <w:rPr>
          <w:rFonts w:ascii="Times New Roman" w:hAnsi="Times New Roman" w:cs="Times New Roman"/>
        </w:rPr>
        <w:t>Latin</w:t>
      </w:r>
      <w:proofErr w:type="spellEnd"/>
      <w:r w:rsidRPr="00831E07">
        <w:rPr>
          <w:rFonts w:ascii="Times New Roman" w:hAnsi="Times New Roman" w:cs="Times New Roman"/>
        </w:rPr>
        <w:t xml:space="preserve"> </w:t>
      </w:r>
      <w:proofErr w:type="spellStart"/>
      <w:r w:rsidRPr="00831E07">
        <w:rPr>
          <w:rFonts w:ascii="Times New Roman" w:hAnsi="Times New Roman" w:cs="Times New Roman"/>
        </w:rPr>
        <w:t>America</w:t>
      </w:r>
      <w:proofErr w:type="spellEnd"/>
      <w:r w:rsidRPr="00831E07">
        <w:rPr>
          <w:rFonts w:ascii="Times New Roman" w:hAnsi="Times New Roman" w:cs="Times New Roman"/>
        </w:rPr>
        <w:t xml:space="preserve"> </w:t>
      </w:r>
      <w:proofErr w:type="spellStart"/>
      <w:r w:rsidRPr="00831E07">
        <w:rPr>
          <w:rFonts w:ascii="Times New Roman" w:hAnsi="Times New Roman" w:cs="Times New Roman"/>
        </w:rPr>
        <w:t>Transactions</w:t>
      </w:r>
      <w:proofErr w:type="spellEnd"/>
      <w:r w:rsidRPr="00831E07">
        <w:rPr>
          <w:rFonts w:ascii="Times New Roman" w:hAnsi="Times New Roman" w:cs="Times New Roman"/>
        </w:rPr>
        <w:t xml:space="preserve">, </w:t>
      </w:r>
      <w:r w:rsidRPr="00831E07">
        <w:rPr>
          <w:rFonts w:ascii="Times New Roman" w:hAnsi="Times New Roman" w:cs="Times New Roman"/>
          <w:b/>
        </w:rPr>
        <w:t xml:space="preserve">IEEE (Revista IEEE </w:t>
      </w:r>
      <w:proofErr w:type="spellStart"/>
      <w:r w:rsidRPr="00831E07">
        <w:rPr>
          <w:rFonts w:ascii="Times New Roman" w:hAnsi="Times New Roman" w:cs="Times New Roman"/>
          <w:b/>
        </w:rPr>
        <w:t>America</w:t>
      </w:r>
      <w:proofErr w:type="spellEnd"/>
      <w:r w:rsidRPr="00831E07">
        <w:rPr>
          <w:rFonts w:ascii="Times New Roman" w:hAnsi="Times New Roman" w:cs="Times New Roman"/>
          <w:b/>
        </w:rPr>
        <w:t xml:space="preserve"> Latina)</w:t>
      </w:r>
      <w:r w:rsidRPr="00831E07">
        <w:rPr>
          <w:rFonts w:ascii="Times New Roman" w:hAnsi="Times New Roman" w:cs="Times New Roman"/>
        </w:rPr>
        <w:t>, v. 12, n. 6, p. 1027-1035, 2014.</w:t>
      </w:r>
    </w:p>
    <w:p w:rsidR="00831E07" w:rsidRPr="00F24B21" w:rsidRDefault="00831E07" w:rsidP="00AD5EAC">
      <w:pPr>
        <w:spacing w:after="240" w:line="360" w:lineRule="auto"/>
        <w:rPr>
          <w:rFonts w:eastAsia="Calibri"/>
          <w:bCs/>
          <w:color w:val="000000"/>
          <w:szCs w:val="24"/>
          <w:lang w:eastAsia="en-US"/>
        </w:rPr>
      </w:pPr>
    </w:p>
    <w:p w:rsidR="00AD5EAC" w:rsidRPr="00A527CF" w:rsidRDefault="00AD5EAC" w:rsidP="0045463A">
      <w:pPr>
        <w:spacing w:after="240" w:line="360" w:lineRule="auto"/>
        <w:rPr>
          <w:sz w:val="26"/>
          <w:szCs w:val="26"/>
        </w:rPr>
      </w:pPr>
    </w:p>
    <w:p w:rsidR="00EC6EDB" w:rsidRPr="00EC6EDB" w:rsidRDefault="00EC6EDB" w:rsidP="00E24E18"/>
    <w:sectPr w:rsidR="00EC6EDB" w:rsidRPr="00EC6EDB"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F3D" w:rsidRDefault="00530F3D" w:rsidP="005840EF">
      <w:r>
        <w:separator/>
      </w:r>
    </w:p>
  </w:endnote>
  <w:endnote w:type="continuationSeparator" w:id="0">
    <w:p w:rsidR="00530F3D" w:rsidRDefault="00530F3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BIBLG+TimesNewRoman,Bold">
    <w:altName w:val="Times New Roman"/>
    <w:panose1 w:val="00000000000000000000"/>
    <w:charset w:val="00"/>
    <w:family w:val="roman"/>
    <w:notTrueType/>
    <w:pitch w:val="default"/>
    <w:sig w:usb0="00000003" w:usb1="00000000" w:usb2="00000000" w:usb3="00000000" w:csb0="00000001" w:csb1="00000000"/>
  </w:font>
  <w:font w:name="LHFGBN+Arial">
    <w:altName w:val="Arial"/>
    <w:panose1 w:val="00000000000000000000"/>
    <w:charset w:val="00"/>
    <w:family w:val="swiss"/>
    <w:notTrueType/>
    <w:pitch w:val="default"/>
    <w:sig w:usb0="00000003" w:usb1="00000000" w:usb2="00000000" w:usb3="00000000" w:csb0="00000001" w:csb1="00000000"/>
  </w:font>
  <w:font w:name="LBIBIM+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E07" w:rsidRPr="00F05FBB" w:rsidRDefault="00831E07"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D9590E">
      <w:rPr>
        <w:noProof/>
        <w:sz w:val="20"/>
      </w:rPr>
      <w:t>19</w:t>
    </w:r>
    <w:r w:rsidRPr="00F05FBB">
      <w:rPr>
        <w:sz w:val="20"/>
      </w:rPr>
      <w:fldChar w:fldCharType="end"/>
    </w:r>
  </w:p>
  <w:p w:rsidR="00831E07" w:rsidRPr="00862FD2" w:rsidRDefault="00DA6281" w:rsidP="00A80641">
    <w:pPr>
      <w:pStyle w:val="Rodap"/>
      <w:ind w:firstLine="0"/>
    </w:pPr>
    <w:r w:rsidRPr="000406C1">
      <w:rPr>
        <w:noProof/>
        <w:sz w:val="20"/>
        <w:lang w:val="pt-BR" w:eastAsia="pt-BR"/>
      </w:rPr>
      <w:drawing>
        <wp:inline distT="0" distB="0" distL="0" distR="0">
          <wp:extent cx="5619750" cy="1238250"/>
          <wp:effectExtent l="0" t="0" r="0" b="0"/>
          <wp:docPr id="3"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F3D" w:rsidRDefault="00530F3D" w:rsidP="005840EF">
      <w:r>
        <w:separator/>
      </w:r>
    </w:p>
  </w:footnote>
  <w:footnote w:type="continuationSeparator" w:id="0">
    <w:p w:rsidR="00530F3D" w:rsidRDefault="00530F3D"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E07" w:rsidRPr="004251EF" w:rsidRDefault="00DA6281"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3D7A4F"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">
              <v:shadow color="#7f7f7f" opacity=".5" offset="1pt"/>
            </v:shape>
          </w:pict>
        </mc:Fallback>
      </mc:AlternateContent>
    </w:r>
    <w:r>
      <w:rPr>
        <w:noProof/>
      </w:rPr>
      <w:drawing>
        <wp:inline distT="0" distB="0" distL="0" distR="0">
          <wp:extent cx="5962650" cy="1609725"/>
          <wp:effectExtent l="0" t="0" r="0" b="0"/>
          <wp:docPr id="2" name="Imagem 2"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5519"/>
    <w:multiLevelType w:val="hybridMultilevel"/>
    <w:tmpl w:val="95E4F6C6"/>
    <w:lvl w:ilvl="0" w:tplc="0416000F">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19F3A7F"/>
    <w:multiLevelType w:val="multilevel"/>
    <w:tmpl w:val="CE5E68D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F15104"/>
    <w:multiLevelType w:val="multilevel"/>
    <w:tmpl w:val="DE4C8BDA"/>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3F7230"/>
    <w:multiLevelType w:val="multilevel"/>
    <w:tmpl w:val="BE16D7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40541962"/>
    <w:multiLevelType w:val="hybridMultilevel"/>
    <w:tmpl w:val="07E401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5A39DF"/>
    <w:multiLevelType w:val="multilevel"/>
    <w:tmpl w:val="EC2E2D10"/>
    <w:lvl w:ilvl="0">
      <w:start w:val="1"/>
      <w:numFmt w:val="decimal"/>
      <w:pStyle w:val="Ttulo1"/>
      <w:lvlText w:val="%1"/>
      <w:lvlJc w:val="left"/>
      <w:pPr>
        <w:ind w:left="432" w:hanging="432"/>
      </w:pPr>
      <w:rPr>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F1A2BBC"/>
    <w:multiLevelType w:val="multilevel"/>
    <w:tmpl w:val="FAFE785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63661F0E"/>
    <w:multiLevelType w:val="hybridMultilevel"/>
    <w:tmpl w:val="1988FF1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720D3379"/>
    <w:multiLevelType w:val="multilevel"/>
    <w:tmpl w:val="D6F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17D1D"/>
    <w:multiLevelType w:val="hybridMultilevel"/>
    <w:tmpl w:val="F0EC33BA"/>
    <w:lvl w:ilvl="0" w:tplc="0C406F2A">
      <w:start w:val="1"/>
      <w:numFmt w:val="lowerLetter"/>
      <w:lvlText w:val="%1)"/>
      <w:lvlJc w:val="left"/>
      <w:pPr>
        <w:tabs>
          <w:tab w:val="num" w:pos="360"/>
        </w:tabs>
        <w:ind w:left="360" w:hanging="360"/>
      </w:pPr>
      <w:rPr>
        <w:rFonts w:hint="default"/>
        <w:b/>
        <w:i w:val="0"/>
        <w:color w:val="000000"/>
        <w:sz w:val="24"/>
        <w:szCs w:val="24"/>
      </w:rPr>
    </w:lvl>
    <w:lvl w:ilvl="1" w:tplc="145674B4" w:tentative="1">
      <w:start w:val="1"/>
      <w:numFmt w:val="bullet"/>
      <w:lvlText w:val="o"/>
      <w:lvlJc w:val="left"/>
      <w:pPr>
        <w:tabs>
          <w:tab w:val="num" w:pos="1440"/>
        </w:tabs>
        <w:ind w:left="1440" w:hanging="360"/>
      </w:pPr>
      <w:rPr>
        <w:rFonts w:ascii="Courier New" w:hAnsi="Courier New" w:cs="Courier New" w:hint="default"/>
      </w:rPr>
    </w:lvl>
    <w:lvl w:ilvl="2" w:tplc="8640D144" w:tentative="1">
      <w:start w:val="1"/>
      <w:numFmt w:val="bullet"/>
      <w:lvlText w:val=""/>
      <w:lvlJc w:val="left"/>
      <w:pPr>
        <w:tabs>
          <w:tab w:val="num" w:pos="2160"/>
        </w:tabs>
        <w:ind w:left="2160" w:hanging="360"/>
      </w:pPr>
      <w:rPr>
        <w:rFonts w:ascii="Wingdings" w:hAnsi="Wingdings" w:hint="default"/>
      </w:rPr>
    </w:lvl>
    <w:lvl w:ilvl="3" w:tplc="BE52FE6A" w:tentative="1">
      <w:start w:val="1"/>
      <w:numFmt w:val="bullet"/>
      <w:lvlText w:val=""/>
      <w:lvlJc w:val="left"/>
      <w:pPr>
        <w:tabs>
          <w:tab w:val="num" w:pos="2880"/>
        </w:tabs>
        <w:ind w:left="2880" w:hanging="360"/>
      </w:pPr>
      <w:rPr>
        <w:rFonts w:ascii="Symbol" w:hAnsi="Symbol" w:hint="default"/>
      </w:rPr>
    </w:lvl>
    <w:lvl w:ilvl="4" w:tplc="F2C62A02" w:tentative="1">
      <w:start w:val="1"/>
      <w:numFmt w:val="bullet"/>
      <w:lvlText w:val="o"/>
      <w:lvlJc w:val="left"/>
      <w:pPr>
        <w:tabs>
          <w:tab w:val="num" w:pos="3600"/>
        </w:tabs>
        <w:ind w:left="3600" w:hanging="360"/>
      </w:pPr>
      <w:rPr>
        <w:rFonts w:ascii="Courier New" w:hAnsi="Courier New" w:cs="Courier New" w:hint="default"/>
      </w:rPr>
    </w:lvl>
    <w:lvl w:ilvl="5" w:tplc="116230E0" w:tentative="1">
      <w:start w:val="1"/>
      <w:numFmt w:val="bullet"/>
      <w:lvlText w:val=""/>
      <w:lvlJc w:val="left"/>
      <w:pPr>
        <w:tabs>
          <w:tab w:val="num" w:pos="4320"/>
        </w:tabs>
        <w:ind w:left="4320" w:hanging="360"/>
      </w:pPr>
      <w:rPr>
        <w:rFonts w:ascii="Wingdings" w:hAnsi="Wingdings" w:hint="default"/>
      </w:rPr>
    </w:lvl>
    <w:lvl w:ilvl="6" w:tplc="7CFAFC76" w:tentative="1">
      <w:start w:val="1"/>
      <w:numFmt w:val="bullet"/>
      <w:lvlText w:val=""/>
      <w:lvlJc w:val="left"/>
      <w:pPr>
        <w:tabs>
          <w:tab w:val="num" w:pos="5040"/>
        </w:tabs>
        <w:ind w:left="5040" w:hanging="360"/>
      </w:pPr>
      <w:rPr>
        <w:rFonts w:ascii="Symbol" w:hAnsi="Symbol" w:hint="default"/>
      </w:rPr>
    </w:lvl>
    <w:lvl w:ilvl="7" w:tplc="DB888EEC" w:tentative="1">
      <w:start w:val="1"/>
      <w:numFmt w:val="bullet"/>
      <w:lvlText w:val="o"/>
      <w:lvlJc w:val="left"/>
      <w:pPr>
        <w:tabs>
          <w:tab w:val="num" w:pos="5760"/>
        </w:tabs>
        <w:ind w:left="5760" w:hanging="360"/>
      </w:pPr>
      <w:rPr>
        <w:rFonts w:ascii="Courier New" w:hAnsi="Courier New" w:cs="Courier New" w:hint="default"/>
      </w:rPr>
    </w:lvl>
    <w:lvl w:ilvl="8" w:tplc="84FC1E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047EA7"/>
    <w:multiLevelType w:val="hybridMultilevel"/>
    <w:tmpl w:val="553E80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5"/>
  </w:num>
  <w:num w:numId="5">
    <w:abstractNumId w:val="6"/>
  </w:num>
  <w:num w:numId="6">
    <w:abstractNumId w:val="3"/>
  </w:num>
  <w:num w:numId="7">
    <w:abstractNumId w:val="2"/>
  </w:num>
  <w:num w:numId="8">
    <w:abstractNumId w:val="4"/>
  </w:num>
  <w:num w:numId="9">
    <w:abstractNumId w:val="4"/>
  </w:num>
  <w:num w:numId="10">
    <w:abstractNumId w:val="12"/>
  </w:num>
  <w:num w:numId="11">
    <w:abstractNumId w:val="13"/>
  </w:num>
  <w:num w:numId="12">
    <w:abstractNumId w:val="16"/>
  </w:num>
  <w:num w:numId="13">
    <w:abstractNumId w:val="5"/>
  </w:num>
  <w:num w:numId="14">
    <w:abstractNumId w:val="8"/>
  </w:num>
  <w:num w:numId="15">
    <w:abstractNumId w:val="1"/>
  </w:num>
  <w:num w:numId="16">
    <w:abstractNumId w:val="14"/>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02BE2"/>
    <w:rsid w:val="00021054"/>
    <w:rsid w:val="00022D3E"/>
    <w:rsid w:val="00022D88"/>
    <w:rsid w:val="0006261D"/>
    <w:rsid w:val="000720BF"/>
    <w:rsid w:val="000E4728"/>
    <w:rsid w:val="000F0530"/>
    <w:rsid w:val="001226FC"/>
    <w:rsid w:val="001457BE"/>
    <w:rsid w:val="0020354A"/>
    <w:rsid w:val="002056D7"/>
    <w:rsid w:val="00244401"/>
    <w:rsid w:val="00244C0A"/>
    <w:rsid w:val="00263CEF"/>
    <w:rsid w:val="002826C0"/>
    <w:rsid w:val="002B5898"/>
    <w:rsid w:val="002B78FC"/>
    <w:rsid w:val="002C7235"/>
    <w:rsid w:val="00303C6F"/>
    <w:rsid w:val="00307B3B"/>
    <w:rsid w:val="00371DFF"/>
    <w:rsid w:val="003923C3"/>
    <w:rsid w:val="00395244"/>
    <w:rsid w:val="003A3639"/>
    <w:rsid w:val="003E736B"/>
    <w:rsid w:val="00406C08"/>
    <w:rsid w:val="00423365"/>
    <w:rsid w:val="004251EF"/>
    <w:rsid w:val="0045463A"/>
    <w:rsid w:val="00472EE1"/>
    <w:rsid w:val="0048579A"/>
    <w:rsid w:val="0049262F"/>
    <w:rsid w:val="004D400A"/>
    <w:rsid w:val="004E143B"/>
    <w:rsid w:val="00523BAB"/>
    <w:rsid w:val="00530F3D"/>
    <w:rsid w:val="00531A76"/>
    <w:rsid w:val="0055088A"/>
    <w:rsid w:val="00552386"/>
    <w:rsid w:val="005840EF"/>
    <w:rsid w:val="005A0238"/>
    <w:rsid w:val="005A3788"/>
    <w:rsid w:val="005C2492"/>
    <w:rsid w:val="005D0785"/>
    <w:rsid w:val="005D711E"/>
    <w:rsid w:val="00606F36"/>
    <w:rsid w:val="00616268"/>
    <w:rsid w:val="006750E6"/>
    <w:rsid w:val="00683BE5"/>
    <w:rsid w:val="006C284A"/>
    <w:rsid w:val="006D02CA"/>
    <w:rsid w:val="006D340F"/>
    <w:rsid w:val="00710D8D"/>
    <w:rsid w:val="00714245"/>
    <w:rsid w:val="007A5E0A"/>
    <w:rsid w:val="007C0243"/>
    <w:rsid w:val="007C0C2C"/>
    <w:rsid w:val="007F1447"/>
    <w:rsid w:val="00831E07"/>
    <w:rsid w:val="00862FD2"/>
    <w:rsid w:val="00865A23"/>
    <w:rsid w:val="00866591"/>
    <w:rsid w:val="008902BE"/>
    <w:rsid w:val="008B21BE"/>
    <w:rsid w:val="008C18C9"/>
    <w:rsid w:val="008F1B7C"/>
    <w:rsid w:val="008F67F7"/>
    <w:rsid w:val="0092413C"/>
    <w:rsid w:val="00943459"/>
    <w:rsid w:val="00952306"/>
    <w:rsid w:val="009724D8"/>
    <w:rsid w:val="009976D2"/>
    <w:rsid w:val="009B11E7"/>
    <w:rsid w:val="009B3488"/>
    <w:rsid w:val="009C086D"/>
    <w:rsid w:val="009C7DFA"/>
    <w:rsid w:val="009D68AF"/>
    <w:rsid w:val="00A01395"/>
    <w:rsid w:val="00A16D53"/>
    <w:rsid w:val="00A80641"/>
    <w:rsid w:val="00AB5527"/>
    <w:rsid w:val="00AC7E25"/>
    <w:rsid w:val="00AD5EAC"/>
    <w:rsid w:val="00B12485"/>
    <w:rsid w:val="00B169EE"/>
    <w:rsid w:val="00B25FFE"/>
    <w:rsid w:val="00B50759"/>
    <w:rsid w:val="00B801AB"/>
    <w:rsid w:val="00C01F1F"/>
    <w:rsid w:val="00C13D28"/>
    <w:rsid w:val="00C22A7A"/>
    <w:rsid w:val="00C540FF"/>
    <w:rsid w:val="00C60CA5"/>
    <w:rsid w:val="00C671EC"/>
    <w:rsid w:val="00C84F71"/>
    <w:rsid w:val="00CF0D35"/>
    <w:rsid w:val="00D20054"/>
    <w:rsid w:val="00D2342D"/>
    <w:rsid w:val="00D60CE5"/>
    <w:rsid w:val="00D86B5F"/>
    <w:rsid w:val="00D94E67"/>
    <w:rsid w:val="00D9590E"/>
    <w:rsid w:val="00DA5E5B"/>
    <w:rsid w:val="00DA6281"/>
    <w:rsid w:val="00DE1E14"/>
    <w:rsid w:val="00DE631D"/>
    <w:rsid w:val="00DE75F7"/>
    <w:rsid w:val="00E1786F"/>
    <w:rsid w:val="00E24E18"/>
    <w:rsid w:val="00E66E38"/>
    <w:rsid w:val="00E94A5E"/>
    <w:rsid w:val="00EC6EDB"/>
    <w:rsid w:val="00ED6578"/>
    <w:rsid w:val="00EF213A"/>
    <w:rsid w:val="00F05FBB"/>
    <w:rsid w:val="00F21D94"/>
    <w:rsid w:val="00F24B21"/>
    <w:rsid w:val="00F3001A"/>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57C1118"/>
  <w15:chartTrackingRefBased/>
  <w15:docId w15:val="{C88CC71B-DFC7-411D-B405-F9733B7B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18"/>
      </w:numPr>
      <w:spacing w:before="120" w:after="120"/>
      <w:outlineLvl w:val="0"/>
    </w:pPr>
    <w:rPr>
      <w:b/>
      <w:sz w:val="22"/>
      <w:lang w:val="x-none" w:eastAsia="x-none"/>
    </w:rPr>
  </w:style>
  <w:style w:type="paragraph" w:styleId="Ttulo2">
    <w:name w:val="heading 2"/>
    <w:basedOn w:val="Normal"/>
    <w:next w:val="Normal"/>
    <w:link w:val="Ttulo2Char"/>
    <w:qFormat/>
    <w:rsid w:val="002056D7"/>
    <w:pPr>
      <w:keepNext/>
      <w:numPr>
        <w:ilvl w:val="1"/>
        <w:numId w:val="18"/>
      </w:numPr>
      <w:outlineLvl w:val="1"/>
    </w:pPr>
    <w:rPr>
      <w:caps/>
      <w:lang w:val="x-none" w:eastAsia="x-none"/>
    </w:rPr>
  </w:style>
  <w:style w:type="paragraph" w:styleId="Ttulo3">
    <w:name w:val="heading 3"/>
    <w:basedOn w:val="Normal"/>
    <w:next w:val="Normal"/>
    <w:link w:val="Ttulo3Char"/>
    <w:qFormat/>
    <w:pPr>
      <w:keepNext/>
      <w:numPr>
        <w:ilvl w:val="2"/>
        <w:numId w:val="1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1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1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1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1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1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1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rsid w:val="002056D7"/>
    <w:rPr>
      <w:caps/>
      <w:sz w:val="24"/>
    </w:rPr>
  </w:style>
  <w:style w:type="character" w:customStyle="1" w:styleId="Ttulo3Char">
    <w:name w:val="Título 3 Char"/>
    <w:link w:val="Ttulo3"/>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B50759"/>
    <w:pPr>
      <w:widowControl/>
      <w:suppressLineNumbers w:val="0"/>
      <w:suppressAutoHyphens w:val="0"/>
      <w:spacing w:after="160" w:line="259" w:lineRule="auto"/>
      <w:ind w:left="720" w:firstLine="0"/>
      <w:contextualSpacing/>
      <w:jc w:val="left"/>
    </w:pPr>
    <w:rPr>
      <w:rFonts w:ascii="Calibri" w:eastAsia="Calibri" w:hAnsi="Calibri"/>
      <w:sz w:val="22"/>
      <w:szCs w:val="22"/>
      <w:lang w:eastAsia="en-US"/>
    </w:rPr>
  </w:style>
  <w:style w:type="paragraph" w:customStyle="1" w:styleId="Default">
    <w:name w:val="Default"/>
    <w:rsid w:val="00B50759"/>
    <w:pPr>
      <w:autoSpaceDE w:val="0"/>
      <w:autoSpaceDN w:val="0"/>
      <w:adjustRightInd w:val="0"/>
    </w:pPr>
    <w:rPr>
      <w:rFonts w:ascii="LBIBLG+TimesNewRoman,Bold" w:eastAsia="Calibri" w:hAnsi="LBIBLG+TimesNewRoman,Bold" w:cs="LBIBLG+TimesNewRoman,Bold"/>
      <w:color w:val="000000"/>
      <w:sz w:val="24"/>
      <w:szCs w:val="24"/>
      <w:lang w:eastAsia="en-US"/>
    </w:rPr>
  </w:style>
  <w:style w:type="paragraph" w:customStyle="1" w:styleId="TERE">
    <w:name w:val="TERE"/>
    <w:basedOn w:val="Default"/>
    <w:next w:val="Default"/>
    <w:uiPriority w:val="99"/>
    <w:rsid w:val="00B50759"/>
    <w:rPr>
      <w:rFonts w:ascii="LHFGBN+Arial" w:hAnsi="LHFGBN+Arial" w:cs="Times New Roman"/>
      <w:color w:val="auto"/>
    </w:rPr>
  </w:style>
  <w:style w:type="paragraph" w:styleId="Corpodetexto">
    <w:name w:val="Body Text"/>
    <w:basedOn w:val="Normal"/>
    <w:link w:val="CorpodetextoChar"/>
    <w:rsid w:val="00B50759"/>
    <w:pPr>
      <w:suppressLineNumbers w:val="0"/>
      <w:suppressAutoHyphens w:val="0"/>
      <w:overflowPunct w:val="0"/>
      <w:autoSpaceDE w:val="0"/>
      <w:autoSpaceDN w:val="0"/>
      <w:adjustRightInd w:val="0"/>
      <w:ind w:firstLine="851"/>
      <w:textAlignment w:val="baseline"/>
    </w:pPr>
    <w:rPr>
      <w:sz w:val="22"/>
      <w:lang w:val="en-US" w:eastAsia="en-US"/>
    </w:rPr>
  </w:style>
  <w:style w:type="character" w:customStyle="1" w:styleId="CorpodetextoChar">
    <w:name w:val="Corpo de texto Char"/>
    <w:link w:val="Corpodetexto"/>
    <w:rsid w:val="00B50759"/>
    <w:rPr>
      <w:sz w:val="22"/>
      <w:lang w:val="en-US" w:eastAsia="en-US"/>
    </w:rPr>
  </w:style>
  <w:style w:type="paragraph" w:customStyle="1" w:styleId="Keywords">
    <w:name w:val="Keywords"/>
    <w:basedOn w:val="Corpodetexto"/>
    <w:rsid w:val="00B50759"/>
    <w:pPr>
      <w:widowControl/>
      <w:spacing w:before="120" w:after="120"/>
      <w:ind w:firstLine="0"/>
      <w:jc w:val="left"/>
    </w:pPr>
    <w:rPr>
      <w:b/>
      <w:lang w:val="pt-BR"/>
    </w:rPr>
  </w:style>
  <w:style w:type="character" w:customStyle="1" w:styleId="publication-author-position1">
    <w:name w:val="publication-author-position1"/>
    <w:rsid w:val="00B50759"/>
    <w:rPr>
      <w:color w:val="555555"/>
    </w:rPr>
  </w:style>
  <w:style w:type="character" w:customStyle="1" w:styleId="publication-meta-journal">
    <w:name w:val="publication-meta-journal"/>
    <w:rsid w:val="00B50759"/>
  </w:style>
  <w:style w:type="character" w:customStyle="1" w:styleId="spelle">
    <w:name w:val="spelle"/>
    <w:rsid w:val="00B50759"/>
  </w:style>
  <w:style w:type="character" w:customStyle="1" w:styleId="grame">
    <w:name w:val="grame"/>
    <w:rsid w:val="00B50759"/>
  </w:style>
  <w:style w:type="character" w:styleId="TextodoEspaoReservado">
    <w:name w:val="Placeholder Text"/>
    <w:uiPriority w:val="99"/>
    <w:semiHidden/>
    <w:rsid w:val="00B50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idades.ibge.gov.br/xtras/uf.php?lang=&amp;coduf=42&amp;search=santa-catarina"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88B47-EC51-4920-A447-6925C32B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6947</Words>
  <Characters>37516</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44375</CharactersWithSpaces>
  <SharedDoc>false</SharedDoc>
  <HLinks>
    <vt:vector size="6" baseType="variant">
      <vt:variant>
        <vt:i4>1310800</vt:i4>
      </vt:variant>
      <vt:variant>
        <vt:i4>0</vt:i4>
      </vt:variant>
      <vt:variant>
        <vt:i4>0</vt:i4>
      </vt:variant>
      <vt:variant>
        <vt:i4>5</vt:i4>
      </vt:variant>
      <vt:variant>
        <vt:lpwstr>http://www.cidades.ibge.gov.br/xtras/uf.php?lang=&amp;coduf=42&amp;search=santa-catarina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Avell</cp:lastModifiedBy>
  <cp:revision>8</cp:revision>
  <cp:lastPrinted>2016-08-30T16:57:00Z</cp:lastPrinted>
  <dcterms:created xsi:type="dcterms:W3CDTF">2016-09-05T22:10:00Z</dcterms:created>
  <dcterms:modified xsi:type="dcterms:W3CDTF">2016-09-29T19:14:00Z</dcterms:modified>
</cp:coreProperties>
</file>