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641" w:rsidRDefault="00A80641" w:rsidP="002826C0">
      <w:pPr>
        <w:jc w:val="center"/>
        <w:rPr>
          <w:b/>
        </w:rPr>
      </w:pPr>
    </w:p>
    <w:p w:rsidR="00401807" w:rsidRPr="00401807" w:rsidRDefault="00401807" w:rsidP="000D1AE0">
      <w:pPr>
        <w:spacing w:line="360" w:lineRule="auto"/>
        <w:ind w:firstLine="0"/>
        <w:jc w:val="center"/>
        <w:rPr>
          <w:b/>
        </w:rPr>
      </w:pPr>
      <w:r w:rsidRPr="00401807">
        <w:rPr>
          <w:b/>
        </w:rPr>
        <w:t>IMPACTOS DA INSCRIÇÃO DE RESTOS A PAGAR NÃO PROCESSADOS NO TRIBUNAL DE JUSTIÇA DE SANTA CATARINA NOS EXERCÍCIOS DE 2010 A 2014</w:t>
      </w:r>
    </w:p>
    <w:p w:rsidR="002826C0" w:rsidRDefault="002826C0" w:rsidP="002826C0">
      <w:pPr>
        <w:jc w:val="center"/>
        <w:rPr>
          <w:color w:val="999999"/>
        </w:rPr>
      </w:pPr>
    </w:p>
    <w:p w:rsidR="00D945ED" w:rsidRPr="00C01286" w:rsidRDefault="00D945ED" w:rsidP="00D945ED">
      <w:pPr>
        <w:jc w:val="center"/>
        <w:rPr>
          <w:b/>
          <w:szCs w:val="24"/>
        </w:rPr>
      </w:pPr>
      <w:r>
        <w:rPr>
          <w:b/>
          <w:szCs w:val="24"/>
        </w:rPr>
        <w:t>Alessandra Meurer</w:t>
      </w:r>
    </w:p>
    <w:p w:rsidR="00D945ED" w:rsidRPr="00C01286" w:rsidRDefault="00D945ED" w:rsidP="00D945ED">
      <w:pPr>
        <w:jc w:val="center"/>
        <w:rPr>
          <w:szCs w:val="24"/>
        </w:rPr>
      </w:pPr>
      <w:r w:rsidRPr="00C01286">
        <w:rPr>
          <w:szCs w:val="24"/>
        </w:rPr>
        <w:t>UFSC</w:t>
      </w:r>
    </w:p>
    <w:p w:rsidR="00D945ED" w:rsidRPr="00C01286" w:rsidRDefault="00D945ED" w:rsidP="00D945ED">
      <w:pPr>
        <w:jc w:val="center"/>
        <w:rPr>
          <w:i/>
          <w:szCs w:val="24"/>
        </w:rPr>
      </w:pPr>
      <w:r>
        <w:rPr>
          <w:i/>
          <w:szCs w:val="24"/>
        </w:rPr>
        <w:t>alessandra.meurer</w:t>
      </w:r>
      <w:r w:rsidRPr="00C01286">
        <w:rPr>
          <w:i/>
          <w:szCs w:val="24"/>
        </w:rPr>
        <w:t>@grad.ufsc.br</w:t>
      </w:r>
    </w:p>
    <w:p w:rsidR="00D945ED" w:rsidRPr="00C01286" w:rsidRDefault="00D945ED" w:rsidP="00D945ED">
      <w:pPr>
        <w:jc w:val="center"/>
        <w:rPr>
          <w:b/>
          <w:szCs w:val="24"/>
        </w:rPr>
      </w:pPr>
    </w:p>
    <w:p w:rsidR="00D945ED" w:rsidRPr="00C01286" w:rsidRDefault="00D945ED" w:rsidP="00D945ED">
      <w:pPr>
        <w:jc w:val="center"/>
        <w:rPr>
          <w:b/>
          <w:szCs w:val="24"/>
        </w:rPr>
      </w:pPr>
      <w:proofErr w:type="spellStart"/>
      <w:r w:rsidRPr="00C01286">
        <w:rPr>
          <w:b/>
          <w:szCs w:val="24"/>
        </w:rPr>
        <w:t>Fabricia</w:t>
      </w:r>
      <w:proofErr w:type="spellEnd"/>
      <w:r w:rsidRPr="00C01286">
        <w:rPr>
          <w:b/>
          <w:szCs w:val="24"/>
        </w:rPr>
        <w:t xml:space="preserve"> Silva da Rosa, DR.</w:t>
      </w:r>
    </w:p>
    <w:p w:rsidR="00D945ED" w:rsidRPr="00C01286" w:rsidRDefault="00D945ED" w:rsidP="00D945ED">
      <w:pPr>
        <w:jc w:val="center"/>
        <w:rPr>
          <w:szCs w:val="24"/>
        </w:rPr>
      </w:pPr>
      <w:r w:rsidRPr="00C01286">
        <w:rPr>
          <w:szCs w:val="24"/>
        </w:rPr>
        <w:t>UFSC</w:t>
      </w:r>
    </w:p>
    <w:p w:rsidR="00D945ED" w:rsidRPr="00C01286" w:rsidRDefault="00D945ED" w:rsidP="00D945ED">
      <w:pPr>
        <w:jc w:val="center"/>
        <w:rPr>
          <w:i/>
          <w:szCs w:val="24"/>
        </w:rPr>
      </w:pPr>
      <w:r w:rsidRPr="00C01286">
        <w:rPr>
          <w:i/>
          <w:szCs w:val="24"/>
        </w:rPr>
        <w:t>fabricia.rosa@ufsc.br</w:t>
      </w:r>
    </w:p>
    <w:p w:rsidR="006D3313" w:rsidRPr="006D3313" w:rsidRDefault="006D3313" w:rsidP="006D3313">
      <w:pPr>
        <w:ind w:left="2831" w:firstLine="0"/>
        <w:rPr>
          <w:rFonts w:ascii="Calibri" w:hAnsi="Calibri"/>
        </w:rPr>
      </w:pPr>
    </w:p>
    <w:p w:rsidR="002826C0" w:rsidRPr="006D3313" w:rsidRDefault="002826C0" w:rsidP="002826C0">
      <w:pPr>
        <w:jc w:val="center"/>
        <w:rPr>
          <w:rFonts w:ascii="Calibri" w:hAnsi="Calibri"/>
        </w:rPr>
      </w:pPr>
    </w:p>
    <w:p w:rsidR="002826C0" w:rsidRDefault="002826C0" w:rsidP="002826C0">
      <w:pPr>
        <w:ind w:firstLine="0"/>
        <w:rPr>
          <w:b/>
          <w:szCs w:val="24"/>
        </w:rPr>
      </w:pPr>
      <w:r>
        <w:rPr>
          <w:b/>
          <w:szCs w:val="24"/>
        </w:rPr>
        <w:t>Resumo</w:t>
      </w:r>
      <w:r w:rsidRPr="00D2342D">
        <w:rPr>
          <w:b/>
          <w:szCs w:val="24"/>
        </w:rPr>
        <w:t xml:space="preserve"> </w:t>
      </w:r>
    </w:p>
    <w:p w:rsidR="002826C0" w:rsidRPr="00D2342D" w:rsidRDefault="00401807" w:rsidP="00401807">
      <w:pPr>
        <w:ind w:firstLine="0"/>
        <w:rPr>
          <w:szCs w:val="24"/>
        </w:rPr>
      </w:pPr>
      <w:r w:rsidRPr="00F00B5E">
        <w:rPr>
          <w:szCs w:val="24"/>
        </w:rPr>
        <w:t>O orçamento público é um dos instrumentos de planejamento e execução das finanças públicas. Levando em consideração que o orçamento público pode ter múltiplos enfoques, destaca-se o enfoque contábil, que tem como viés controlar e evidenciar a reali</w:t>
      </w:r>
      <w:r w:rsidR="003342E4">
        <w:rPr>
          <w:szCs w:val="24"/>
        </w:rPr>
        <w:t>dade das finanças públicas. Ness</w:t>
      </w:r>
      <w:r w:rsidRPr="00F00B5E">
        <w:rPr>
          <w:szCs w:val="24"/>
        </w:rPr>
        <w:t>e enfoque, menciona-se a importância da despesa pública, e por sua vez, a dívida pública, que abrange diversos tipos de endividamento, como por exemplo, os restos a pagar, que se compõem de despesas empenhadas, mas não pagas até o d</w:t>
      </w:r>
      <w:r w:rsidR="003342E4">
        <w:rPr>
          <w:szCs w:val="24"/>
        </w:rPr>
        <w:t>ia 31 de dezembro. Inserida ness</w:t>
      </w:r>
      <w:r w:rsidRPr="00F00B5E">
        <w:rPr>
          <w:szCs w:val="24"/>
        </w:rPr>
        <w:t>e contexto, a presente pesquisa pretende abordar os impactos, na execução financeira do orçamento, da inscrição de restos a pagar não processados no Tribunal de Justiça de Santa Catarina, nos anos de 2010 a 2014. A metodologia utilizada para a elaboração do trabalho é a de pesquisa bibliográfica, qualitativa e quantitativa. A coleta de dados foi realizada no portal da transparência do referido ente, utilizando-se dos Relatórios de Gestão Fiscal. Concluiu-se</w:t>
      </w:r>
      <w:r w:rsidR="003B1DB9">
        <w:rPr>
          <w:szCs w:val="24"/>
        </w:rPr>
        <w:t xml:space="preserve"> que</w:t>
      </w:r>
      <w:r w:rsidRPr="00F00B5E">
        <w:rPr>
          <w:szCs w:val="24"/>
        </w:rPr>
        <w:t xml:space="preserve"> a prática de inscrição de restos a pagar não processados não compromete em nenhum aspecto a execução financeiro-orçamentária do exercício subsequente e que essa prática se dá somente por questões de prazos impostos ao termino de cada exercício social.</w:t>
      </w:r>
    </w:p>
    <w:p w:rsidR="002826C0" w:rsidRPr="00D2342D" w:rsidRDefault="002826C0" w:rsidP="002826C0">
      <w:pPr>
        <w:rPr>
          <w:b/>
          <w:szCs w:val="24"/>
        </w:rPr>
      </w:pPr>
    </w:p>
    <w:p w:rsidR="002826C0" w:rsidRDefault="002826C0" w:rsidP="002826C0">
      <w:pPr>
        <w:ind w:firstLine="0"/>
        <w:rPr>
          <w:szCs w:val="24"/>
        </w:rPr>
      </w:pPr>
      <w:r w:rsidRPr="00D2342D">
        <w:rPr>
          <w:b/>
          <w:szCs w:val="24"/>
        </w:rPr>
        <w:t>Palavras-chave:</w:t>
      </w:r>
      <w:r w:rsidR="00401807">
        <w:rPr>
          <w:b/>
          <w:szCs w:val="24"/>
        </w:rPr>
        <w:t xml:space="preserve"> </w:t>
      </w:r>
      <w:r w:rsidR="00D945ED" w:rsidRPr="00F00B5E">
        <w:rPr>
          <w:szCs w:val="24"/>
        </w:rPr>
        <w:t>ORÇAMENTO PÚBLICO. CONTABILIDADE PÚBLICA. RESTOS A PAGAR NÃO PROCESSADOS</w:t>
      </w:r>
      <w:r w:rsidRPr="00D2342D">
        <w:rPr>
          <w:szCs w:val="24"/>
        </w:rPr>
        <w:t>.</w:t>
      </w:r>
    </w:p>
    <w:p w:rsidR="002826C0" w:rsidRDefault="002826C0" w:rsidP="002826C0">
      <w:pPr>
        <w:rPr>
          <w:b/>
          <w:szCs w:val="24"/>
        </w:rPr>
      </w:pPr>
    </w:p>
    <w:p w:rsidR="004E5051" w:rsidRPr="00D945ED" w:rsidRDefault="002826C0" w:rsidP="004E5051">
      <w:pPr>
        <w:spacing w:line="360" w:lineRule="auto"/>
        <w:ind w:firstLine="0"/>
        <w:rPr>
          <w:szCs w:val="24"/>
        </w:rPr>
      </w:pPr>
      <w:r w:rsidRPr="004251EF">
        <w:rPr>
          <w:b/>
          <w:szCs w:val="24"/>
        </w:rPr>
        <w:t>Área Temática</w:t>
      </w:r>
      <w:r>
        <w:rPr>
          <w:szCs w:val="24"/>
        </w:rPr>
        <w:t>:</w:t>
      </w:r>
      <w:r w:rsidR="004E5051">
        <w:rPr>
          <w:szCs w:val="24"/>
        </w:rPr>
        <w:t xml:space="preserve"> </w:t>
      </w:r>
      <w:r w:rsidR="00D945ED" w:rsidRPr="00D945ED">
        <w:rPr>
          <w:szCs w:val="24"/>
        </w:rPr>
        <w:t>EVIDENCIAÇÃO DE INFORMAÇÕES À SOCIEDADE</w:t>
      </w:r>
    </w:p>
    <w:p w:rsidR="002826C0" w:rsidRPr="00D2342D" w:rsidRDefault="002826C0" w:rsidP="002826C0">
      <w:pPr>
        <w:ind w:firstLine="0"/>
        <w:rPr>
          <w:b/>
          <w:szCs w:val="24"/>
        </w:rPr>
      </w:pPr>
    </w:p>
    <w:p w:rsidR="00F05FBB" w:rsidRPr="00D2342D" w:rsidRDefault="00F05FBB" w:rsidP="00F05FBB">
      <w:pPr>
        <w:rPr>
          <w:b/>
          <w:szCs w:val="24"/>
        </w:rPr>
      </w:pPr>
    </w:p>
    <w:p w:rsidR="002056D7" w:rsidRDefault="002056D7" w:rsidP="002056D7">
      <w:pPr>
        <w:pStyle w:val="Ttulo1"/>
        <w:sectPr w:rsidR="002056D7" w:rsidSect="004251EF">
          <w:headerReference w:type="default" r:id="rId8"/>
          <w:footerReference w:type="default" r:id="rId9"/>
          <w:pgSz w:w="12240" w:h="15840" w:code="119"/>
          <w:pgMar w:top="1701" w:right="1134" w:bottom="1134" w:left="1701" w:header="142" w:footer="113" w:gutter="0"/>
          <w:cols w:space="720"/>
        </w:sectPr>
      </w:pPr>
    </w:p>
    <w:p w:rsidR="00D945ED" w:rsidRDefault="00D945ED" w:rsidP="00D945ED">
      <w:pPr>
        <w:pStyle w:val="Ttulo1"/>
        <w:numPr>
          <w:ilvl w:val="0"/>
          <w:numId w:val="0"/>
        </w:numPr>
        <w:ind w:left="431"/>
      </w:pPr>
    </w:p>
    <w:p w:rsidR="00E24E18" w:rsidRDefault="00E24E18" w:rsidP="002056D7">
      <w:pPr>
        <w:pStyle w:val="Ttulo1"/>
      </w:pPr>
      <w:r w:rsidRPr="00AA3FF4">
        <w:t>INTRODUÇÃO</w:t>
      </w:r>
    </w:p>
    <w:p w:rsidR="00D945ED" w:rsidRPr="00D945ED" w:rsidRDefault="00D945ED" w:rsidP="00D945ED">
      <w:pPr>
        <w:ind w:firstLine="0"/>
        <w:rPr>
          <w:lang w:val="x-none" w:eastAsia="x-none"/>
        </w:rPr>
      </w:pPr>
    </w:p>
    <w:p w:rsidR="004E5051" w:rsidRPr="00F00B5E" w:rsidRDefault="004E5051" w:rsidP="004E5051">
      <w:pPr>
        <w:rPr>
          <w:strike/>
          <w:szCs w:val="24"/>
        </w:rPr>
      </w:pPr>
      <w:r w:rsidRPr="00F00B5E">
        <w:rPr>
          <w:szCs w:val="24"/>
        </w:rPr>
        <w:t>A contabilidade pública é o ramo da ciência contábil que estuda, controla e evidencia os atos e fatos administrativos da fazenda pública, o patrimônio público e suas variações, a organização e execução dos orçamentos. Inserido nesse contexto, o orçamento público tem fundamental importância, sendo o pr</w:t>
      </w:r>
      <w:r w:rsidR="003B1DB9">
        <w:rPr>
          <w:szCs w:val="24"/>
        </w:rPr>
        <w:t>incipal instrumento da ação do E</w:t>
      </w:r>
      <w:r w:rsidRPr="00F00B5E">
        <w:rPr>
          <w:szCs w:val="24"/>
        </w:rPr>
        <w:t>stado na economia, utilizado para planejar o uso dos recursos públicos.</w:t>
      </w:r>
    </w:p>
    <w:p w:rsidR="004E5051" w:rsidRPr="00F00B5E" w:rsidRDefault="004E5051" w:rsidP="004E5051">
      <w:pPr>
        <w:rPr>
          <w:color w:val="FF0000"/>
          <w:szCs w:val="24"/>
        </w:rPr>
      </w:pPr>
      <w:r w:rsidRPr="00F00B5E">
        <w:rPr>
          <w:szCs w:val="24"/>
        </w:rPr>
        <w:t>No Brasil, o o</w:t>
      </w:r>
      <w:r w:rsidR="003B1DB9">
        <w:rPr>
          <w:szCs w:val="24"/>
        </w:rPr>
        <w:t xml:space="preserve">rçamento público tem origem na Constituição de 1824 e teve seu conceito aperfeiçoado </w:t>
      </w:r>
      <w:r w:rsidRPr="00F00B5E">
        <w:rPr>
          <w:szCs w:val="24"/>
        </w:rPr>
        <w:t xml:space="preserve">ao longo do tempo. Numa das denominações mais atuais, </w:t>
      </w:r>
      <w:proofErr w:type="spellStart"/>
      <w:r w:rsidRPr="00F00B5E">
        <w:rPr>
          <w:szCs w:val="24"/>
        </w:rPr>
        <w:t>Kohama</w:t>
      </w:r>
      <w:proofErr w:type="spellEnd"/>
      <w:r w:rsidRPr="00F00B5E">
        <w:rPr>
          <w:szCs w:val="24"/>
        </w:rPr>
        <w:t xml:space="preserve"> (2014) caracteriza orçamento pú</w:t>
      </w:r>
      <w:r w:rsidR="003B1DB9">
        <w:rPr>
          <w:szCs w:val="24"/>
        </w:rPr>
        <w:t>blico como um ato de previsão da</w:t>
      </w:r>
      <w:r w:rsidRPr="00F00B5E">
        <w:rPr>
          <w:szCs w:val="24"/>
        </w:rPr>
        <w:t xml:space="preserve"> receita e fixação da despesa para um determinado período de tempo -  geralmente um ano -  e que constitui o documento fundamental das finanças do Estado, bem como da contabilidade pública.</w:t>
      </w:r>
    </w:p>
    <w:p w:rsidR="004E5051" w:rsidRPr="00F00B5E" w:rsidRDefault="004E5051" w:rsidP="004E5051">
      <w:pPr>
        <w:rPr>
          <w:szCs w:val="24"/>
        </w:rPr>
      </w:pPr>
      <w:r w:rsidRPr="00F00B5E">
        <w:rPr>
          <w:szCs w:val="24"/>
        </w:rPr>
        <w:t>De acordo com o art. 36 da Lei n.º 4.320/64, que estatui normas sobre direito financeiro para elaboração e controle dos orçamentos e balanços, da União, Estados, Municípios e Distrito Federal, o orçamento público pode ter múltiplos enfoques, dentre eles</w:t>
      </w:r>
      <w:r w:rsidR="003342E4">
        <w:rPr>
          <w:szCs w:val="24"/>
        </w:rPr>
        <w:t xml:space="preserve">: </w:t>
      </w:r>
      <w:r w:rsidRPr="00F00B5E">
        <w:rPr>
          <w:szCs w:val="24"/>
        </w:rPr>
        <w:t xml:space="preserve">administrativo, político, jurídico, social, financeiro, econômico e contábil. No que tange à ótica contábil, pode-se mencionar a importância da despesa e da dívida pública, esta última abrangendo, além outros tipos de endividamentos, os restos a pagar, que se compõem de despesas empenhadas, mas não pagas até o dia 31 de dezembro, distinguindo-se as processadas das não processadas. </w:t>
      </w:r>
    </w:p>
    <w:p w:rsidR="004E5051" w:rsidRPr="00F00B5E" w:rsidRDefault="003B1DB9" w:rsidP="004E5051">
      <w:pPr>
        <w:rPr>
          <w:szCs w:val="24"/>
        </w:rPr>
      </w:pPr>
      <w:r>
        <w:rPr>
          <w:szCs w:val="24"/>
        </w:rPr>
        <w:t>Diante dess</w:t>
      </w:r>
      <w:r w:rsidR="004E5051" w:rsidRPr="00F00B5E">
        <w:rPr>
          <w:szCs w:val="24"/>
        </w:rPr>
        <w:t>e contexto, emerge a pergunta da presente pesquisa: Quais os impactos da inscrição de restos a pagar não processados no Tribunal de Justiça de Santa Catarina nos exercícios de</w:t>
      </w:r>
      <w:r>
        <w:rPr>
          <w:szCs w:val="24"/>
        </w:rPr>
        <w:t xml:space="preserve"> 2010 a 2014? Para responder ess</w:t>
      </w:r>
      <w:r w:rsidR="004E5051" w:rsidRPr="00F00B5E">
        <w:rPr>
          <w:szCs w:val="24"/>
        </w:rPr>
        <w:t>a pergunta, tem-se como objetivo geral analisar os impactos, para a execução financeira do orçamento do exercício subsequente, da prática da inscrição de restos a pagar não processados no Tribunal de Justiça de Santa Catarina. Pretende-se ainda avaliar a evolução dessa prática no período proposto.</w:t>
      </w:r>
    </w:p>
    <w:p w:rsidR="004E5051" w:rsidRPr="00F00B5E" w:rsidRDefault="004E5051" w:rsidP="004E5051">
      <w:pPr>
        <w:rPr>
          <w:szCs w:val="24"/>
        </w:rPr>
      </w:pPr>
      <w:r w:rsidRPr="00F00B5E">
        <w:rPr>
          <w:szCs w:val="24"/>
        </w:rPr>
        <w:t xml:space="preserve">A relevância deste estudo justifica-se pela necessidade de propiciar à sociedade transparência em saber como os recursos públicos estão sendo aplicados, uma vez que a contabilidade pública tem o papel de gerar informações econômicas, financeiras, orçamentárias e patrimoniais à sociedade, assim como destacar sua importância como ferramenta fundamental para a evidenciação de tais informações. </w:t>
      </w:r>
    </w:p>
    <w:p w:rsidR="004E5051" w:rsidRPr="00F00B5E" w:rsidRDefault="004E5051" w:rsidP="004E5051">
      <w:pPr>
        <w:rPr>
          <w:szCs w:val="24"/>
        </w:rPr>
      </w:pPr>
      <w:r w:rsidRPr="00F00B5E">
        <w:rPr>
          <w:szCs w:val="24"/>
        </w:rPr>
        <w:t xml:space="preserve"> O intuito de analisar a inscrição de restos a pagar não processados se dá pela importância que essa prática tem no comprometimento da execução financeira do orçamento do exercício subsequente.</w:t>
      </w:r>
    </w:p>
    <w:p w:rsidR="002826C0" w:rsidRPr="002826C0" w:rsidRDefault="002826C0" w:rsidP="002826C0">
      <w:pPr>
        <w:rPr>
          <w:sz w:val="26"/>
          <w:szCs w:val="26"/>
        </w:rPr>
      </w:pPr>
    </w:p>
    <w:p w:rsidR="00E24E18" w:rsidRPr="00AA3FF4" w:rsidRDefault="00E24E18" w:rsidP="00E24E18">
      <w:pPr>
        <w:pStyle w:val="Ttulo1"/>
        <w:spacing w:before="0" w:after="0" w:line="360" w:lineRule="auto"/>
        <w:ind w:left="432" w:hanging="432"/>
        <w:rPr>
          <w:sz w:val="26"/>
          <w:szCs w:val="26"/>
        </w:rPr>
      </w:pPr>
      <w:r w:rsidRPr="00AA3FF4">
        <w:rPr>
          <w:sz w:val="26"/>
          <w:szCs w:val="26"/>
        </w:rPr>
        <w:t>METODOLOGIA DA PESQUISA</w:t>
      </w:r>
    </w:p>
    <w:p w:rsidR="0028511C" w:rsidRPr="00F00B5E" w:rsidRDefault="0028511C" w:rsidP="0028511C">
      <w:pPr>
        <w:rPr>
          <w:szCs w:val="24"/>
        </w:rPr>
      </w:pPr>
      <w:r w:rsidRPr="00F00B5E">
        <w:rPr>
          <w:szCs w:val="24"/>
        </w:rPr>
        <w:t xml:space="preserve">Os aspectos metodológicos são apresentados em duas partes, primeiramente apresenta-se o </w:t>
      </w:r>
      <w:r w:rsidRPr="00F00B5E">
        <w:rPr>
          <w:szCs w:val="24"/>
        </w:rPr>
        <w:lastRenderedPageBreak/>
        <w:t>enquadramento seguido pelos procedimentos metodológicos.</w:t>
      </w:r>
    </w:p>
    <w:p w:rsidR="0028511C" w:rsidRPr="00F00B5E" w:rsidRDefault="0028511C" w:rsidP="0028511C">
      <w:pPr>
        <w:rPr>
          <w:szCs w:val="24"/>
        </w:rPr>
      </w:pPr>
    </w:p>
    <w:p w:rsidR="0028511C" w:rsidRPr="006D3313" w:rsidRDefault="006D3313" w:rsidP="00586D5B">
      <w:pPr>
        <w:ind w:firstLine="0"/>
        <w:rPr>
          <w:szCs w:val="24"/>
        </w:rPr>
      </w:pPr>
      <w:proofErr w:type="gramStart"/>
      <w:r w:rsidRPr="006D3313">
        <w:rPr>
          <w:szCs w:val="24"/>
        </w:rPr>
        <w:t>2.1 ENQUADRAMENTO</w:t>
      </w:r>
      <w:proofErr w:type="gramEnd"/>
      <w:r w:rsidRPr="006D3313">
        <w:rPr>
          <w:szCs w:val="24"/>
        </w:rPr>
        <w:t xml:space="preserve"> METODOLÓGICO</w:t>
      </w:r>
    </w:p>
    <w:p w:rsidR="006D3313" w:rsidRPr="00F00B5E" w:rsidRDefault="006D3313" w:rsidP="00586D5B">
      <w:pPr>
        <w:ind w:firstLine="0"/>
        <w:rPr>
          <w:b/>
          <w:szCs w:val="24"/>
        </w:rPr>
      </w:pPr>
    </w:p>
    <w:p w:rsidR="0028511C" w:rsidRPr="00F00B5E" w:rsidRDefault="0028511C" w:rsidP="0028511C">
      <w:pPr>
        <w:rPr>
          <w:szCs w:val="24"/>
        </w:rPr>
      </w:pPr>
      <w:r w:rsidRPr="00F00B5E">
        <w:rPr>
          <w:szCs w:val="24"/>
        </w:rPr>
        <w:t xml:space="preserve">A classificação da pesquisa ocorre com base em critérios. </w:t>
      </w:r>
      <w:r w:rsidR="003342E4">
        <w:rPr>
          <w:szCs w:val="24"/>
        </w:rPr>
        <w:t>Os</w:t>
      </w:r>
      <w:r w:rsidRPr="00F00B5E">
        <w:rPr>
          <w:szCs w:val="24"/>
        </w:rPr>
        <w:t xml:space="preserve"> critérios estão relacionados aos objetivos da pesquisa e aos procedimentos técnicos utilizados. (GIL, 2007)</w:t>
      </w:r>
    </w:p>
    <w:p w:rsidR="0028511C" w:rsidRPr="00F00B5E" w:rsidRDefault="0028511C" w:rsidP="0028511C">
      <w:pPr>
        <w:rPr>
          <w:szCs w:val="24"/>
        </w:rPr>
      </w:pPr>
      <w:r w:rsidRPr="00F00B5E">
        <w:rPr>
          <w:szCs w:val="24"/>
        </w:rPr>
        <w:t>Quanto a seus objetivos, a pesquisa caracteriza-se c</w:t>
      </w:r>
      <w:r w:rsidR="003B1DB9">
        <w:rPr>
          <w:szCs w:val="24"/>
        </w:rPr>
        <w:t>omo descritiva, uma vez que</w:t>
      </w:r>
      <w:r w:rsidRPr="00F00B5E">
        <w:rPr>
          <w:szCs w:val="24"/>
        </w:rPr>
        <w:t xml:space="preserve"> busca apurar dados sobre a inscrição de restos a pagar e seus impactos na execução orçamentária do exercício financeiro subsequente. Cervo e </w:t>
      </w:r>
      <w:proofErr w:type="spellStart"/>
      <w:r w:rsidRPr="00F00B5E">
        <w:rPr>
          <w:szCs w:val="24"/>
        </w:rPr>
        <w:t>Bervian</w:t>
      </w:r>
      <w:proofErr w:type="spellEnd"/>
      <w:r w:rsidRPr="00F00B5E">
        <w:rPr>
          <w:szCs w:val="24"/>
        </w:rPr>
        <w:t xml:space="preserve"> (2002, p. 66) esclarecem que “a pesquisa descritiva observa, registra, analisa e correlaciona fatos ou fenômenos (variáveis) sem manipulá-los”.</w:t>
      </w:r>
    </w:p>
    <w:p w:rsidR="0028511C" w:rsidRPr="00F00B5E" w:rsidRDefault="0028511C" w:rsidP="0028511C">
      <w:pPr>
        <w:rPr>
          <w:szCs w:val="24"/>
        </w:rPr>
      </w:pPr>
      <w:r w:rsidRPr="00F00B5E">
        <w:rPr>
          <w:szCs w:val="24"/>
        </w:rPr>
        <w:t xml:space="preserve">No que concerne aos procedimentos técnicos utilizados, trata-se de uma pesquisa bibliográfica, qualitativa e quantitativa. </w:t>
      </w:r>
    </w:p>
    <w:p w:rsidR="0028511C" w:rsidRPr="00F00B5E" w:rsidRDefault="0028511C" w:rsidP="0028511C">
      <w:pPr>
        <w:rPr>
          <w:szCs w:val="24"/>
        </w:rPr>
      </w:pPr>
      <w:r w:rsidRPr="00F00B5E">
        <w:rPr>
          <w:szCs w:val="24"/>
        </w:rPr>
        <w:t xml:space="preserve">Utilizou-se </w:t>
      </w:r>
      <w:r w:rsidR="003B1DB9">
        <w:rPr>
          <w:szCs w:val="24"/>
        </w:rPr>
        <w:t xml:space="preserve">de </w:t>
      </w:r>
      <w:r w:rsidRPr="00F00B5E">
        <w:rPr>
          <w:szCs w:val="24"/>
        </w:rPr>
        <w:t xml:space="preserve">recursos da pesquisa bibliográfica para configurar as discussões conceituais e legais pertinentes ao tema, utilizando obras publicadas e/ou divulgadas em meio eletrônico. </w:t>
      </w:r>
    </w:p>
    <w:p w:rsidR="0028511C" w:rsidRPr="00F00B5E" w:rsidRDefault="0028511C" w:rsidP="0028511C">
      <w:pPr>
        <w:rPr>
          <w:szCs w:val="24"/>
        </w:rPr>
      </w:pPr>
      <w:r w:rsidRPr="00F00B5E">
        <w:rPr>
          <w:szCs w:val="24"/>
        </w:rPr>
        <w:t xml:space="preserve">Quanto à abordagem da problemática, a pesquisa é entendida como qualitativa e quantitativa (mista). Na abordagem qualitativa, buscou-se estudar o impacto, para a execução financeira do orçamento público, da prática da inscrição de restos a pagar não processados. Para </w:t>
      </w:r>
      <w:proofErr w:type="spellStart"/>
      <w:r w:rsidRPr="00F00B5E">
        <w:rPr>
          <w:szCs w:val="24"/>
        </w:rPr>
        <w:t>Beuren</w:t>
      </w:r>
      <w:proofErr w:type="spellEnd"/>
      <w:r w:rsidRPr="00F00B5E">
        <w:rPr>
          <w:szCs w:val="24"/>
        </w:rPr>
        <w:t xml:space="preserve"> et al. (2006), os estudos que empregam uma metodologia qualitativa descrevem a complexidade de determinado problema, como efetuar a análise de certas variáveis e classificar os processos sociais. É quantitativa por terem sido utilizados mecanismos de cálculos e estatística para aferir os resultados.</w:t>
      </w:r>
    </w:p>
    <w:p w:rsidR="0028511C" w:rsidRPr="006D3313" w:rsidRDefault="0028511C" w:rsidP="0028511C">
      <w:pPr>
        <w:rPr>
          <w:szCs w:val="24"/>
        </w:rPr>
      </w:pPr>
    </w:p>
    <w:p w:rsidR="0028511C" w:rsidRPr="006D3313" w:rsidRDefault="006D3313" w:rsidP="00586D5B">
      <w:pPr>
        <w:ind w:firstLine="0"/>
        <w:rPr>
          <w:szCs w:val="24"/>
        </w:rPr>
      </w:pPr>
      <w:r w:rsidRPr="006D3313">
        <w:rPr>
          <w:szCs w:val="24"/>
        </w:rPr>
        <w:t>2.2 PROCEDIMENTOS METODOLÓGICOS</w:t>
      </w:r>
    </w:p>
    <w:p w:rsidR="006D3313" w:rsidRPr="00F00B5E" w:rsidRDefault="006D3313" w:rsidP="00586D5B">
      <w:pPr>
        <w:ind w:firstLine="0"/>
        <w:rPr>
          <w:szCs w:val="24"/>
        </w:rPr>
      </w:pPr>
    </w:p>
    <w:p w:rsidR="0028511C" w:rsidRPr="00F00B5E" w:rsidRDefault="0028511C" w:rsidP="0028511C">
      <w:pPr>
        <w:rPr>
          <w:szCs w:val="24"/>
        </w:rPr>
      </w:pPr>
      <w:r w:rsidRPr="00F00B5E">
        <w:rPr>
          <w:szCs w:val="24"/>
        </w:rPr>
        <w:t xml:space="preserve">A presente pesquisa procurou analisar os demonstrativos, dos exercícios de 2010 a 2014, do Tribunal de Justiça de Santa Catarina. A fonte de dados utilizada na pesquisa </w:t>
      </w:r>
      <w:r w:rsidR="003B1DB9">
        <w:rPr>
          <w:szCs w:val="24"/>
        </w:rPr>
        <w:t>compõem-se</w:t>
      </w:r>
      <w:r w:rsidRPr="00F00B5E">
        <w:rPr>
          <w:szCs w:val="24"/>
        </w:rPr>
        <w:t xml:space="preserve"> </w:t>
      </w:r>
      <w:r w:rsidR="003B1DB9">
        <w:rPr>
          <w:szCs w:val="24"/>
        </w:rPr>
        <w:t>d</w:t>
      </w:r>
      <w:r w:rsidR="003342E4">
        <w:rPr>
          <w:szCs w:val="24"/>
        </w:rPr>
        <w:t xml:space="preserve">os seguintes demonstrativos </w:t>
      </w:r>
      <w:r w:rsidRPr="00F00B5E">
        <w:rPr>
          <w:szCs w:val="24"/>
        </w:rPr>
        <w:t xml:space="preserve"> retirados do sítio do referido órgão e portal da transparência: </w:t>
      </w:r>
      <w:r w:rsidRPr="0028511C">
        <w:rPr>
          <w:color w:val="000000"/>
          <w:szCs w:val="24"/>
        </w:rPr>
        <w:t xml:space="preserve">Relatórios de Gestão Fiscal (Demonstrativo de Restos a Pagar e Demonstrativo Simplificado), Resolução CNJ Nº 102 e 151 (Anexo </w:t>
      </w:r>
      <w:r w:rsidRPr="00F00B5E">
        <w:rPr>
          <w:szCs w:val="24"/>
        </w:rPr>
        <w:t xml:space="preserve">II </w:t>
      </w:r>
      <w:hyperlink r:id="rId10" w:history="1">
        <w:r w:rsidRPr="00F00B5E">
          <w:rPr>
            <w:szCs w:val="24"/>
          </w:rPr>
          <w:t>Acompanhamento da Execução Orçamentária</w:t>
        </w:r>
      </w:hyperlink>
      <w:r w:rsidRPr="00F00B5E">
        <w:rPr>
          <w:szCs w:val="24"/>
        </w:rPr>
        <w:t>), Resolução CNJ 195/2014 (Mapa Demonstrativo da Execução Orçamentária) e Relatório de Receitas, Despesa e Repasses.</w:t>
      </w:r>
    </w:p>
    <w:p w:rsidR="00E24E18" w:rsidRPr="00AA3FF4" w:rsidRDefault="00E24E18" w:rsidP="0028511C">
      <w:pPr>
        <w:spacing w:line="360" w:lineRule="auto"/>
        <w:ind w:firstLine="0"/>
        <w:rPr>
          <w:sz w:val="26"/>
          <w:szCs w:val="26"/>
        </w:rPr>
      </w:pPr>
    </w:p>
    <w:p w:rsidR="00E24E18" w:rsidRPr="00AA3FF4" w:rsidRDefault="00E24E18" w:rsidP="00E24E18">
      <w:pPr>
        <w:pStyle w:val="Ttulo1"/>
        <w:spacing w:before="0" w:after="0" w:line="360" w:lineRule="auto"/>
        <w:ind w:left="432" w:hanging="432"/>
        <w:rPr>
          <w:sz w:val="26"/>
          <w:szCs w:val="26"/>
        </w:rPr>
      </w:pPr>
      <w:r w:rsidRPr="00AA3FF4">
        <w:rPr>
          <w:sz w:val="26"/>
          <w:szCs w:val="26"/>
        </w:rPr>
        <w:t>REFERENCIAL TEÓRICO</w:t>
      </w:r>
    </w:p>
    <w:p w:rsidR="00AA7509" w:rsidRPr="00D945ED" w:rsidRDefault="00AA7509" w:rsidP="00D945ED">
      <w:pPr>
        <w:spacing w:line="360" w:lineRule="auto"/>
        <w:rPr>
          <w:sz w:val="26"/>
          <w:szCs w:val="26"/>
        </w:rPr>
      </w:pPr>
      <w:r w:rsidRPr="00D945ED">
        <w:rPr>
          <w:sz w:val="26"/>
          <w:szCs w:val="26"/>
        </w:rPr>
        <w:t>O referencial teórico que suporta esta pesquisa divide-se em dívida pública, restos a pagar e estudos anteriores.</w:t>
      </w:r>
    </w:p>
    <w:p w:rsidR="00AA7509" w:rsidRDefault="00AA7509" w:rsidP="00AA7509">
      <w:pPr>
        <w:pStyle w:val="NormalWeb"/>
        <w:spacing w:before="0" w:beforeAutospacing="0" w:after="0" w:afterAutospacing="0"/>
        <w:ind w:firstLine="0"/>
        <w:rPr>
          <w:rFonts w:eastAsia="Calibri"/>
          <w:b/>
          <w:lang w:eastAsia="en-US"/>
        </w:rPr>
      </w:pPr>
    </w:p>
    <w:p w:rsidR="00AA7509" w:rsidRDefault="00AA7509" w:rsidP="006D3313">
      <w:pPr>
        <w:pStyle w:val="Ttulo2"/>
        <w:rPr>
          <w:rFonts w:eastAsia="Calibri"/>
        </w:rPr>
      </w:pPr>
      <w:r w:rsidRPr="00AA7509">
        <w:rPr>
          <w:rFonts w:eastAsia="Calibri"/>
        </w:rPr>
        <w:lastRenderedPageBreak/>
        <w:t>Dívida Pública</w:t>
      </w:r>
    </w:p>
    <w:p w:rsidR="006D3313" w:rsidRPr="00AA7509" w:rsidRDefault="006D3313" w:rsidP="00AA7509">
      <w:pPr>
        <w:pStyle w:val="NormalWeb"/>
        <w:spacing w:before="0" w:beforeAutospacing="0" w:after="0" w:afterAutospacing="0"/>
        <w:ind w:firstLine="0"/>
        <w:rPr>
          <w:rFonts w:eastAsia="Calibri"/>
          <w:b/>
          <w:lang w:eastAsia="en-US"/>
        </w:rPr>
      </w:pPr>
    </w:p>
    <w:p w:rsidR="00AA7509" w:rsidRPr="00AA7509" w:rsidRDefault="00AA7509" w:rsidP="00AA7509">
      <w:pPr>
        <w:pStyle w:val="NormalWeb"/>
        <w:spacing w:before="0" w:beforeAutospacing="0" w:after="0" w:afterAutospacing="0"/>
        <w:rPr>
          <w:rFonts w:eastAsia="Calibri"/>
          <w:b/>
          <w:lang w:eastAsia="en-US"/>
        </w:rPr>
      </w:pPr>
      <w:r w:rsidRPr="00AA7509">
        <w:rPr>
          <w:rFonts w:eastAsia="Calibri"/>
          <w:lang w:eastAsia="en-US"/>
        </w:rPr>
        <w:t xml:space="preserve">Dívida pública são todos os compromissos assumidos pelo Estado, acrescidos de seus respectivos encargos, para suprir às necessidades dos serviços públicos. É um procedimento realizado pela administração pública para atender às deficiências financeiras, provenientes de déficit financeiro (excesso de despesa sobre a receita). </w:t>
      </w:r>
    </w:p>
    <w:p w:rsidR="00AA7509" w:rsidRPr="00AA7509" w:rsidRDefault="00AA7509" w:rsidP="00AA7509">
      <w:pPr>
        <w:pStyle w:val="NormalWeb"/>
        <w:spacing w:before="0" w:beforeAutospacing="0" w:after="0" w:afterAutospacing="0"/>
        <w:rPr>
          <w:rFonts w:eastAsia="Calibri"/>
          <w:lang w:eastAsia="en-US"/>
        </w:rPr>
      </w:pPr>
      <w:r w:rsidRPr="00AA7509">
        <w:rPr>
          <w:rFonts w:eastAsia="Calibri"/>
          <w:lang w:eastAsia="en-US"/>
        </w:rPr>
        <w:t xml:space="preserve">Utilizada para a satisfação das necessidades públicas, a contratação de dívida pública se faz um importante instrumento de desenvolvimento econômico (KOHAMA, 2014). Vale ressaltar que, caso não seja bem administrada, pode gerar um grande déficit público. </w:t>
      </w:r>
      <w:r w:rsidRPr="00F00B5E">
        <w:t>Um dos fatores que motivam o endividamento é a própria necessidade de interferir na economia, ou seja, para que haja recursos que ocasionem a oferta de bens e serviços e que consequentemente, ocorra a prática do consumo que move a economia (NERES, 2010).</w:t>
      </w:r>
    </w:p>
    <w:p w:rsidR="003B1DB9" w:rsidRDefault="00AA7509" w:rsidP="006D3313">
      <w:pPr>
        <w:pStyle w:val="NormalWeb"/>
        <w:spacing w:before="0" w:beforeAutospacing="0" w:after="0" w:afterAutospacing="0"/>
        <w:rPr>
          <w:color w:val="000000"/>
        </w:rPr>
      </w:pPr>
      <w:r w:rsidRPr="00F00B5E">
        <w:t>Quando contraída com credores nacionais, em moeda corrente, diz-se que a dívida pública é interna, e quando os credores são estrangeiros, dizemos que a dívida pública é externa. (ANDRADE, 2015)</w:t>
      </w:r>
      <w:r w:rsidRPr="00F00B5E">
        <w:rPr>
          <w:color w:val="000000"/>
        </w:rPr>
        <w:t>.</w:t>
      </w:r>
      <w:r>
        <w:rPr>
          <w:color w:val="000000"/>
        </w:rPr>
        <w:t xml:space="preserve"> </w:t>
      </w:r>
      <w:proofErr w:type="spellStart"/>
      <w:r w:rsidRPr="00F00B5E">
        <w:rPr>
          <w:color w:val="000000"/>
        </w:rPr>
        <w:t>Platt</w:t>
      </w:r>
      <w:proofErr w:type="spellEnd"/>
      <w:r w:rsidRPr="00F00B5E">
        <w:rPr>
          <w:color w:val="000000"/>
        </w:rPr>
        <w:t xml:space="preserve"> Neto </w:t>
      </w:r>
      <w:bookmarkStart w:id="0" w:name="OLE_LINK1"/>
      <w:bookmarkStart w:id="1" w:name="OLE_LINK2"/>
      <w:r w:rsidRPr="00F00B5E">
        <w:rPr>
          <w:color w:val="000000"/>
        </w:rPr>
        <w:t xml:space="preserve">(2015, p. 121) </w:t>
      </w:r>
      <w:bookmarkEnd w:id="0"/>
      <w:bookmarkEnd w:id="1"/>
      <w:r w:rsidRPr="00F00B5E">
        <w:rPr>
          <w:color w:val="000000"/>
        </w:rPr>
        <w:t xml:space="preserve">descreve as principais fontes legais que regulam a dívida pública e a realização de operações de crédito no Brasil, conforme Quadro 1. </w:t>
      </w:r>
    </w:p>
    <w:p w:rsidR="00D945ED" w:rsidRDefault="00D945ED" w:rsidP="006D3313">
      <w:pPr>
        <w:tabs>
          <w:tab w:val="left" w:pos="1230"/>
        </w:tabs>
        <w:ind w:firstLine="0"/>
        <w:jc w:val="center"/>
        <w:rPr>
          <w:b/>
          <w:color w:val="000000"/>
          <w:szCs w:val="24"/>
        </w:rPr>
      </w:pPr>
    </w:p>
    <w:p w:rsidR="003B1DB9" w:rsidRDefault="00AA7509" w:rsidP="006D3313">
      <w:pPr>
        <w:tabs>
          <w:tab w:val="left" w:pos="1230"/>
        </w:tabs>
        <w:ind w:firstLine="0"/>
        <w:jc w:val="center"/>
        <w:rPr>
          <w:b/>
          <w:color w:val="000000"/>
          <w:szCs w:val="24"/>
        </w:rPr>
      </w:pPr>
      <w:r w:rsidRPr="003B1DB9">
        <w:rPr>
          <w:b/>
          <w:color w:val="000000"/>
          <w:szCs w:val="24"/>
        </w:rPr>
        <w:t>Quadro 1: Aspectos legais</w:t>
      </w:r>
    </w:p>
    <w:tbl>
      <w:tblPr>
        <w:tblpPr w:leftFromText="141" w:rightFromText="141" w:vertAnchor="text" w:horzAnchor="margin" w:tblpY="107"/>
        <w:tblW w:w="9496" w:type="dxa"/>
        <w:tblCellMar>
          <w:left w:w="70" w:type="dxa"/>
          <w:right w:w="70" w:type="dxa"/>
        </w:tblCellMar>
        <w:tblLook w:val="04A0" w:firstRow="1" w:lastRow="0" w:firstColumn="1" w:lastColumn="0" w:noHBand="0" w:noVBand="1"/>
      </w:tblPr>
      <w:tblGrid>
        <w:gridCol w:w="2135"/>
        <w:gridCol w:w="7361"/>
      </w:tblGrid>
      <w:tr w:rsidR="006D3313" w:rsidRPr="00AA7509" w:rsidTr="006D3313">
        <w:trPr>
          <w:trHeight w:val="28"/>
          <w:tblHeader/>
        </w:trPr>
        <w:tc>
          <w:tcPr>
            <w:tcW w:w="2135"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6D3313" w:rsidRPr="00AA7509" w:rsidRDefault="006D3313" w:rsidP="006D3313">
            <w:pPr>
              <w:ind w:firstLine="0"/>
              <w:jc w:val="center"/>
              <w:rPr>
                <w:b/>
                <w:bCs/>
                <w:color w:val="000000"/>
                <w:sz w:val="20"/>
                <w:szCs w:val="24"/>
              </w:rPr>
            </w:pPr>
            <w:r w:rsidRPr="00AA7509">
              <w:rPr>
                <w:b/>
                <w:bCs/>
                <w:color w:val="000000"/>
                <w:sz w:val="20"/>
                <w:szCs w:val="24"/>
              </w:rPr>
              <w:t>NORMA</w:t>
            </w:r>
          </w:p>
          <w:p w:rsidR="006D3313" w:rsidRPr="00AA7509" w:rsidRDefault="006D3313" w:rsidP="006D3313">
            <w:pPr>
              <w:ind w:firstLine="0"/>
              <w:jc w:val="center"/>
              <w:rPr>
                <w:b/>
                <w:bCs/>
                <w:color w:val="000000"/>
                <w:sz w:val="20"/>
                <w:szCs w:val="24"/>
              </w:rPr>
            </w:pPr>
          </w:p>
        </w:tc>
        <w:tc>
          <w:tcPr>
            <w:tcW w:w="7361" w:type="dxa"/>
            <w:tcBorders>
              <w:top w:val="single" w:sz="4" w:space="0" w:color="auto"/>
              <w:left w:val="nil"/>
              <w:bottom w:val="single" w:sz="4" w:space="0" w:color="auto"/>
              <w:right w:val="single" w:sz="4" w:space="0" w:color="auto"/>
            </w:tcBorders>
            <w:shd w:val="clear" w:color="000000" w:fill="E7E6E6"/>
            <w:noWrap/>
            <w:vAlign w:val="bottom"/>
            <w:hideMark/>
          </w:tcPr>
          <w:p w:rsidR="006D3313" w:rsidRPr="00AA7509" w:rsidRDefault="006D3313" w:rsidP="006D3313">
            <w:pPr>
              <w:jc w:val="center"/>
              <w:rPr>
                <w:b/>
                <w:bCs/>
                <w:color w:val="000000"/>
                <w:sz w:val="20"/>
                <w:szCs w:val="24"/>
              </w:rPr>
            </w:pPr>
            <w:r w:rsidRPr="00AA7509">
              <w:rPr>
                <w:b/>
                <w:bCs/>
                <w:color w:val="000000"/>
                <w:sz w:val="20"/>
                <w:szCs w:val="24"/>
              </w:rPr>
              <w:t>ABORDAGEM</w:t>
            </w:r>
          </w:p>
          <w:p w:rsidR="006D3313" w:rsidRPr="00AA7509" w:rsidRDefault="006D3313" w:rsidP="006D3313">
            <w:pPr>
              <w:jc w:val="center"/>
              <w:rPr>
                <w:b/>
                <w:bCs/>
                <w:color w:val="000000"/>
                <w:sz w:val="20"/>
                <w:szCs w:val="24"/>
              </w:rPr>
            </w:pPr>
          </w:p>
        </w:tc>
      </w:tr>
      <w:tr w:rsidR="006D3313" w:rsidRPr="00AA7509" w:rsidTr="006D3313">
        <w:trPr>
          <w:trHeight w:val="141"/>
        </w:trPr>
        <w:tc>
          <w:tcPr>
            <w:tcW w:w="2135" w:type="dxa"/>
            <w:tcBorders>
              <w:top w:val="nil"/>
              <w:left w:val="single" w:sz="4" w:space="0" w:color="auto"/>
              <w:bottom w:val="single" w:sz="4" w:space="0" w:color="auto"/>
              <w:right w:val="single" w:sz="4" w:space="0" w:color="auto"/>
            </w:tcBorders>
            <w:shd w:val="clear" w:color="auto" w:fill="auto"/>
            <w:noWrap/>
            <w:vAlign w:val="center"/>
            <w:hideMark/>
          </w:tcPr>
          <w:p w:rsidR="006D3313" w:rsidRPr="00AA7509" w:rsidRDefault="006D3313" w:rsidP="006D3313">
            <w:pPr>
              <w:ind w:firstLine="0"/>
              <w:jc w:val="center"/>
              <w:rPr>
                <w:color w:val="000000"/>
                <w:sz w:val="20"/>
                <w:szCs w:val="24"/>
              </w:rPr>
            </w:pPr>
            <w:r w:rsidRPr="00AA7509">
              <w:rPr>
                <w:color w:val="000000"/>
                <w:sz w:val="20"/>
                <w:szCs w:val="24"/>
              </w:rPr>
              <w:t>Constituição Federal de 1988</w:t>
            </w:r>
          </w:p>
        </w:tc>
        <w:tc>
          <w:tcPr>
            <w:tcW w:w="7361" w:type="dxa"/>
            <w:tcBorders>
              <w:top w:val="nil"/>
              <w:left w:val="nil"/>
              <w:bottom w:val="single" w:sz="4" w:space="0" w:color="auto"/>
              <w:right w:val="single" w:sz="4" w:space="0" w:color="auto"/>
            </w:tcBorders>
            <w:shd w:val="clear" w:color="auto" w:fill="auto"/>
            <w:vAlign w:val="center"/>
            <w:hideMark/>
          </w:tcPr>
          <w:p w:rsidR="006D3313" w:rsidRPr="00AA7509" w:rsidRDefault="006D3313" w:rsidP="00D945ED">
            <w:pPr>
              <w:ind w:firstLine="0"/>
              <w:rPr>
                <w:color w:val="000000"/>
                <w:sz w:val="20"/>
                <w:szCs w:val="24"/>
              </w:rPr>
            </w:pPr>
            <w:r w:rsidRPr="00AA7509">
              <w:rPr>
                <w:color w:val="000000"/>
                <w:sz w:val="20"/>
                <w:szCs w:val="24"/>
              </w:rPr>
              <w:t>Dispõe sobre condições e fixação dos limites globais do montante da dívida consolidada, operações de crédito externo e interno e suas garantias e dívida mobiliária da União, dos Estados, do Distrito Federal e dos Municípios, de suas autarquias e demais entidades controladas pelo Poder Público federal;</w:t>
            </w:r>
          </w:p>
        </w:tc>
      </w:tr>
      <w:tr w:rsidR="006D3313" w:rsidRPr="00AA7509" w:rsidTr="006D3313">
        <w:trPr>
          <w:trHeight w:val="52"/>
        </w:trPr>
        <w:tc>
          <w:tcPr>
            <w:tcW w:w="2135" w:type="dxa"/>
            <w:tcBorders>
              <w:top w:val="nil"/>
              <w:left w:val="single" w:sz="4" w:space="0" w:color="auto"/>
              <w:bottom w:val="single" w:sz="4" w:space="0" w:color="auto"/>
              <w:right w:val="single" w:sz="4" w:space="0" w:color="auto"/>
            </w:tcBorders>
            <w:shd w:val="clear" w:color="auto" w:fill="auto"/>
            <w:noWrap/>
            <w:vAlign w:val="center"/>
            <w:hideMark/>
          </w:tcPr>
          <w:p w:rsidR="006D3313" w:rsidRPr="00AA7509" w:rsidRDefault="006D3313" w:rsidP="006D3313">
            <w:pPr>
              <w:ind w:firstLine="0"/>
              <w:jc w:val="center"/>
              <w:rPr>
                <w:color w:val="000000"/>
                <w:sz w:val="20"/>
                <w:szCs w:val="24"/>
              </w:rPr>
            </w:pPr>
            <w:r w:rsidRPr="00AA7509">
              <w:rPr>
                <w:color w:val="000000"/>
                <w:sz w:val="20"/>
                <w:szCs w:val="24"/>
              </w:rPr>
              <w:t>Lei n.º 4.320/1964</w:t>
            </w:r>
          </w:p>
        </w:tc>
        <w:tc>
          <w:tcPr>
            <w:tcW w:w="7361" w:type="dxa"/>
            <w:tcBorders>
              <w:top w:val="nil"/>
              <w:left w:val="nil"/>
              <w:bottom w:val="single" w:sz="4" w:space="0" w:color="auto"/>
              <w:right w:val="single" w:sz="4" w:space="0" w:color="auto"/>
            </w:tcBorders>
            <w:shd w:val="clear" w:color="auto" w:fill="auto"/>
            <w:vAlign w:val="center"/>
            <w:hideMark/>
          </w:tcPr>
          <w:p w:rsidR="006D3313" w:rsidRPr="00AA7509" w:rsidRDefault="006D3313" w:rsidP="00D945ED">
            <w:pPr>
              <w:ind w:firstLine="0"/>
              <w:rPr>
                <w:color w:val="000000"/>
                <w:sz w:val="20"/>
                <w:szCs w:val="24"/>
              </w:rPr>
            </w:pPr>
            <w:r w:rsidRPr="00AA7509">
              <w:rPr>
                <w:color w:val="000000"/>
                <w:sz w:val="20"/>
                <w:szCs w:val="24"/>
              </w:rPr>
              <w:t>Trata de aspectos acerca da Lei de Orçamento e suas atribuições, e ainda, sobre dívida flutuante e dívida fundada;</w:t>
            </w:r>
          </w:p>
        </w:tc>
      </w:tr>
      <w:tr w:rsidR="006D3313" w:rsidRPr="00AA7509" w:rsidTr="006D3313">
        <w:trPr>
          <w:trHeight w:val="77"/>
        </w:trPr>
        <w:tc>
          <w:tcPr>
            <w:tcW w:w="2135" w:type="dxa"/>
            <w:tcBorders>
              <w:top w:val="nil"/>
              <w:left w:val="single" w:sz="4" w:space="0" w:color="auto"/>
              <w:bottom w:val="single" w:sz="4" w:space="0" w:color="auto"/>
              <w:right w:val="single" w:sz="4" w:space="0" w:color="auto"/>
            </w:tcBorders>
            <w:shd w:val="clear" w:color="auto" w:fill="auto"/>
            <w:noWrap/>
            <w:vAlign w:val="center"/>
            <w:hideMark/>
          </w:tcPr>
          <w:p w:rsidR="006D3313" w:rsidRPr="00AA7509" w:rsidRDefault="006D3313" w:rsidP="006D3313">
            <w:pPr>
              <w:ind w:firstLine="0"/>
              <w:jc w:val="center"/>
              <w:rPr>
                <w:color w:val="000000"/>
                <w:sz w:val="20"/>
                <w:szCs w:val="24"/>
              </w:rPr>
            </w:pPr>
            <w:r w:rsidRPr="00AA7509">
              <w:rPr>
                <w:color w:val="000000"/>
                <w:sz w:val="20"/>
                <w:szCs w:val="24"/>
              </w:rPr>
              <w:t>Decreto n.º 93.872/1986</w:t>
            </w:r>
          </w:p>
        </w:tc>
        <w:tc>
          <w:tcPr>
            <w:tcW w:w="7361" w:type="dxa"/>
            <w:tcBorders>
              <w:top w:val="nil"/>
              <w:left w:val="nil"/>
              <w:bottom w:val="single" w:sz="4" w:space="0" w:color="auto"/>
              <w:right w:val="single" w:sz="4" w:space="0" w:color="auto"/>
            </w:tcBorders>
            <w:shd w:val="clear" w:color="auto" w:fill="auto"/>
            <w:vAlign w:val="center"/>
            <w:hideMark/>
          </w:tcPr>
          <w:p w:rsidR="006D3313" w:rsidRPr="00AA7509" w:rsidRDefault="006D3313" w:rsidP="00D945ED">
            <w:pPr>
              <w:ind w:firstLine="0"/>
              <w:rPr>
                <w:color w:val="000000"/>
                <w:sz w:val="20"/>
                <w:szCs w:val="24"/>
              </w:rPr>
            </w:pPr>
            <w:r w:rsidRPr="00AA7509">
              <w:rPr>
                <w:color w:val="000000"/>
                <w:sz w:val="20"/>
                <w:szCs w:val="24"/>
              </w:rPr>
              <w:t>Aborda conceito de restos e pagar e distingue restos a pagar processados de não processados; Assim como a norma citada anteriormente, trata de dívida flutuante e dívida fundada;</w:t>
            </w:r>
          </w:p>
        </w:tc>
      </w:tr>
      <w:tr w:rsidR="006D3313" w:rsidRPr="00AA7509" w:rsidTr="006D3313">
        <w:trPr>
          <w:trHeight w:val="130"/>
        </w:trPr>
        <w:tc>
          <w:tcPr>
            <w:tcW w:w="2135" w:type="dxa"/>
            <w:tcBorders>
              <w:top w:val="nil"/>
              <w:left w:val="single" w:sz="4" w:space="0" w:color="auto"/>
              <w:bottom w:val="single" w:sz="4" w:space="0" w:color="auto"/>
              <w:right w:val="single" w:sz="4" w:space="0" w:color="auto"/>
            </w:tcBorders>
            <w:shd w:val="clear" w:color="auto" w:fill="auto"/>
            <w:noWrap/>
            <w:vAlign w:val="center"/>
            <w:hideMark/>
          </w:tcPr>
          <w:p w:rsidR="006D3313" w:rsidRPr="00AA7509" w:rsidRDefault="006D3313" w:rsidP="006D3313">
            <w:pPr>
              <w:ind w:firstLine="0"/>
              <w:jc w:val="center"/>
              <w:rPr>
                <w:color w:val="000000"/>
                <w:sz w:val="20"/>
                <w:szCs w:val="24"/>
              </w:rPr>
            </w:pPr>
            <w:r w:rsidRPr="00AA7509">
              <w:rPr>
                <w:color w:val="000000"/>
                <w:sz w:val="20"/>
                <w:szCs w:val="24"/>
              </w:rPr>
              <w:t>Lei Complementar n.º 101/2000 (LRF)</w:t>
            </w:r>
          </w:p>
        </w:tc>
        <w:tc>
          <w:tcPr>
            <w:tcW w:w="7361" w:type="dxa"/>
            <w:tcBorders>
              <w:top w:val="nil"/>
              <w:left w:val="nil"/>
              <w:bottom w:val="single" w:sz="4" w:space="0" w:color="auto"/>
              <w:right w:val="single" w:sz="4" w:space="0" w:color="auto"/>
            </w:tcBorders>
            <w:shd w:val="clear" w:color="auto" w:fill="auto"/>
            <w:vAlign w:val="center"/>
            <w:hideMark/>
          </w:tcPr>
          <w:p w:rsidR="006D3313" w:rsidRPr="00AA7509" w:rsidRDefault="006D3313" w:rsidP="00D945ED">
            <w:pPr>
              <w:ind w:firstLine="0"/>
              <w:rPr>
                <w:color w:val="000000"/>
                <w:sz w:val="20"/>
                <w:szCs w:val="24"/>
              </w:rPr>
            </w:pPr>
            <w:r w:rsidRPr="00AA7509">
              <w:rPr>
                <w:color w:val="000000"/>
                <w:sz w:val="20"/>
                <w:szCs w:val="24"/>
              </w:rPr>
              <w:t>Discorre sobre definições básicas de dívida pública, dívida mobiliária e seu refinanciamento, operações de crédito e concessão de garantia; Limites da dívida pública e operações de crédito; Recondução de dívidas aos limites; Vedação de contração de dívida nos dois últimos quadrimestres de mandato de titular de poder ou órgão;</w:t>
            </w:r>
          </w:p>
        </w:tc>
      </w:tr>
      <w:tr w:rsidR="006D3313" w:rsidRPr="00AA7509" w:rsidTr="006D3313">
        <w:trPr>
          <w:trHeight w:val="118"/>
        </w:trPr>
        <w:tc>
          <w:tcPr>
            <w:tcW w:w="2135" w:type="dxa"/>
            <w:tcBorders>
              <w:top w:val="nil"/>
              <w:left w:val="single" w:sz="4" w:space="0" w:color="auto"/>
              <w:bottom w:val="single" w:sz="4" w:space="0" w:color="auto"/>
              <w:right w:val="single" w:sz="4" w:space="0" w:color="auto"/>
            </w:tcBorders>
            <w:shd w:val="clear" w:color="auto" w:fill="auto"/>
            <w:noWrap/>
            <w:vAlign w:val="center"/>
            <w:hideMark/>
          </w:tcPr>
          <w:p w:rsidR="006D3313" w:rsidRPr="00AA7509" w:rsidRDefault="006D3313" w:rsidP="006D3313">
            <w:pPr>
              <w:ind w:firstLine="0"/>
              <w:jc w:val="center"/>
              <w:rPr>
                <w:color w:val="000000"/>
                <w:sz w:val="20"/>
                <w:szCs w:val="24"/>
              </w:rPr>
            </w:pPr>
            <w:r w:rsidRPr="00AA7509">
              <w:rPr>
                <w:color w:val="000000"/>
                <w:sz w:val="20"/>
                <w:szCs w:val="24"/>
              </w:rPr>
              <w:t>Resolução do Senado Federal n.º 40/2001</w:t>
            </w:r>
          </w:p>
        </w:tc>
        <w:tc>
          <w:tcPr>
            <w:tcW w:w="7361" w:type="dxa"/>
            <w:tcBorders>
              <w:top w:val="nil"/>
              <w:left w:val="nil"/>
              <w:bottom w:val="single" w:sz="4" w:space="0" w:color="auto"/>
              <w:right w:val="single" w:sz="4" w:space="0" w:color="auto"/>
            </w:tcBorders>
            <w:shd w:val="clear" w:color="auto" w:fill="auto"/>
            <w:vAlign w:val="center"/>
            <w:hideMark/>
          </w:tcPr>
          <w:p w:rsidR="006D3313" w:rsidRPr="00AA7509" w:rsidRDefault="006D3313" w:rsidP="00D945ED">
            <w:pPr>
              <w:ind w:firstLine="0"/>
              <w:rPr>
                <w:color w:val="000000"/>
                <w:sz w:val="20"/>
                <w:szCs w:val="24"/>
              </w:rPr>
            </w:pPr>
            <w:r w:rsidRPr="00AA7509">
              <w:rPr>
                <w:color w:val="000000"/>
                <w:sz w:val="20"/>
                <w:szCs w:val="24"/>
              </w:rPr>
              <w:t>Ordena sobre os limites globais para o montante da dívida pública consolidada e da dívida pública mobiliária dos Estados, do Distrito Federal e dos Municípios, em atendimento ao disposto no art. 52, VI e IX, da Constituição Federal;</w:t>
            </w:r>
          </w:p>
        </w:tc>
      </w:tr>
      <w:tr w:rsidR="006D3313" w:rsidRPr="00AA7509" w:rsidTr="006D3313">
        <w:trPr>
          <w:trHeight w:val="37"/>
        </w:trPr>
        <w:tc>
          <w:tcPr>
            <w:tcW w:w="2135" w:type="dxa"/>
            <w:tcBorders>
              <w:top w:val="nil"/>
              <w:left w:val="single" w:sz="4" w:space="0" w:color="auto"/>
              <w:bottom w:val="single" w:sz="4" w:space="0" w:color="auto"/>
              <w:right w:val="single" w:sz="4" w:space="0" w:color="auto"/>
            </w:tcBorders>
            <w:shd w:val="clear" w:color="auto" w:fill="auto"/>
            <w:noWrap/>
            <w:vAlign w:val="center"/>
            <w:hideMark/>
          </w:tcPr>
          <w:p w:rsidR="006D3313" w:rsidRPr="00AA7509" w:rsidRDefault="006D3313" w:rsidP="006D3313">
            <w:pPr>
              <w:ind w:firstLine="0"/>
              <w:jc w:val="center"/>
              <w:rPr>
                <w:color w:val="000000"/>
                <w:sz w:val="20"/>
                <w:szCs w:val="24"/>
              </w:rPr>
            </w:pPr>
            <w:r w:rsidRPr="00AA7509">
              <w:rPr>
                <w:color w:val="000000"/>
                <w:sz w:val="20"/>
                <w:szCs w:val="24"/>
              </w:rPr>
              <w:t>Resolução do Senado Federal n.º 43/2001</w:t>
            </w:r>
          </w:p>
        </w:tc>
        <w:tc>
          <w:tcPr>
            <w:tcW w:w="7361" w:type="dxa"/>
            <w:tcBorders>
              <w:top w:val="nil"/>
              <w:left w:val="nil"/>
              <w:bottom w:val="single" w:sz="4" w:space="0" w:color="auto"/>
              <w:right w:val="single" w:sz="4" w:space="0" w:color="auto"/>
            </w:tcBorders>
            <w:shd w:val="clear" w:color="auto" w:fill="auto"/>
            <w:vAlign w:val="center"/>
            <w:hideMark/>
          </w:tcPr>
          <w:p w:rsidR="006D3313" w:rsidRPr="00AA7509" w:rsidRDefault="006D3313" w:rsidP="00D945ED">
            <w:pPr>
              <w:ind w:firstLine="0"/>
              <w:rPr>
                <w:color w:val="000000"/>
                <w:sz w:val="20"/>
                <w:szCs w:val="24"/>
              </w:rPr>
            </w:pPr>
            <w:r w:rsidRPr="00AA7509">
              <w:rPr>
                <w:color w:val="000000"/>
                <w:sz w:val="20"/>
                <w:szCs w:val="24"/>
              </w:rPr>
              <w:t>Dispõe sobre as operações de crédito interno e externo dos Estados, do Distrito Federal e dos Municípios, inclusive concessão de garantias, seus limites e condições de autorização</w:t>
            </w:r>
          </w:p>
        </w:tc>
      </w:tr>
      <w:tr w:rsidR="006D3313" w:rsidRPr="00AA7509" w:rsidTr="006D3313">
        <w:trPr>
          <w:trHeight w:val="102"/>
        </w:trPr>
        <w:tc>
          <w:tcPr>
            <w:tcW w:w="2135" w:type="dxa"/>
            <w:tcBorders>
              <w:top w:val="nil"/>
              <w:left w:val="single" w:sz="4" w:space="0" w:color="auto"/>
              <w:bottom w:val="single" w:sz="4" w:space="0" w:color="auto"/>
              <w:right w:val="single" w:sz="4" w:space="0" w:color="auto"/>
            </w:tcBorders>
            <w:shd w:val="clear" w:color="auto" w:fill="auto"/>
            <w:noWrap/>
            <w:vAlign w:val="center"/>
            <w:hideMark/>
          </w:tcPr>
          <w:p w:rsidR="006D3313" w:rsidRPr="00AA7509" w:rsidRDefault="006D3313" w:rsidP="006D3313">
            <w:pPr>
              <w:ind w:firstLine="0"/>
              <w:jc w:val="center"/>
              <w:rPr>
                <w:color w:val="000000"/>
                <w:sz w:val="20"/>
                <w:szCs w:val="24"/>
              </w:rPr>
            </w:pPr>
            <w:r w:rsidRPr="00AA7509">
              <w:rPr>
                <w:color w:val="000000"/>
                <w:sz w:val="20"/>
                <w:szCs w:val="24"/>
              </w:rPr>
              <w:t>Resolução do Senado Federal n.º 48/2007</w:t>
            </w:r>
          </w:p>
        </w:tc>
        <w:tc>
          <w:tcPr>
            <w:tcW w:w="7361" w:type="dxa"/>
            <w:tcBorders>
              <w:top w:val="nil"/>
              <w:left w:val="nil"/>
              <w:bottom w:val="single" w:sz="4" w:space="0" w:color="auto"/>
              <w:right w:val="single" w:sz="4" w:space="0" w:color="auto"/>
            </w:tcBorders>
            <w:shd w:val="clear" w:color="auto" w:fill="auto"/>
            <w:vAlign w:val="center"/>
            <w:hideMark/>
          </w:tcPr>
          <w:p w:rsidR="006D3313" w:rsidRPr="00AA7509" w:rsidRDefault="006D3313" w:rsidP="00D945ED">
            <w:pPr>
              <w:ind w:firstLine="0"/>
              <w:rPr>
                <w:color w:val="000000"/>
                <w:sz w:val="20"/>
                <w:szCs w:val="24"/>
              </w:rPr>
            </w:pPr>
            <w:r w:rsidRPr="00AA7509">
              <w:rPr>
                <w:color w:val="000000"/>
                <w:sz w:val="20"/>
                <w:szCs w:val="24"/>
              </w:rPr>
              <w:t>Estabelece os limites globais para as operações de crédito externo e interno da União, de suas autarquias e demais entidades controladas pelo poder público federal e estabelece limites e condições para a concessão de garantia da União em operações de crédito externo e interno;</w:t>
            </w:r>
          </w:p>
        </w:tc>
      </w:tr>
      <w:tr w:rsidR="006D3313" w:rsidRPr="00AA7509" w:rsidTr="006D3313">
        <w:trPr>
          <w:trHeight w:val="45"/>
        </w:trPr>
        <w:tc>
          <w:tcPr>
            <w:tcW w:w="2135" w:type="dxa"/>
            <w:tcBorders>
              <w:top w:val="nil"/>
              <w:left w:val="single" w:sz="4" w:space="0" w:color="auto"/>
              <w:bottom w:val="single" w:sz="4" w:space="0" w:color="auto"/>
              <w:right w:val="single" w:sz="4" w:space="0" w:color="auto"/>
            </w:tcBorders>
            <w:shd w:val="clear" w:color="auto" w:fill="auto"/>
            <w:vAlign w:val="center"/>
            <w:hideMark/>
          </w:tcPr>
          <w:p w:rsidR="006D3313" w:rsidRPr="00AA7509" w:rsidRDefault="006D3313" w:rsidP="006D3313">
            <w:pPr>
              <w:ind w:firstLine="0"/>
              <w:jc w:val="center"/>
              <w:rPr>
                <w:color w:val="000000"/>
                <w:sz w:val="20"/>
                <w:szCs w:val="24"/>
              </w:rPr>
            </w:pPr>
            <w:r w:rsidRPr="00AA7509">
              <w:rPr>
                <w:color w:val="000000"/>
                <w:sz w:val="20"/>
                <w:szCs w:val="24"/>
              </w:rPr>
              <w:lastRenderedPageBreak/>
              <w:t>Portarias e Manuais da STN e    STN/SOF:                                                             Portaria n.º 163/2001, MDF e MCASP</w:t>
            </w:r>
          </w:p>
        </w:tc>
        <w:tc>
          <w:tcPr>
            <w:tcW w:w="7361" w:type="dxa"/>
            <w:tcBorders>
              <w:top w:val="nil"/>
              <w:left w:val="nil"/>
              <w:bottom w:val="single" w:sz="4" w:space="0" w:color="auto"/>
              <w:right w:val="single" w:sz="4" w:space="0" w:color="auto"/>
            </w:tcBorders>
            <w:shd w:val="clear" w:color="auto" w:fill="auto"/>
            <w:vAlign w:val="center"/>
            <w:hideMark/>
          </w:tcPr>
          <w:p w:rsidR="006D3313" w:rsidRPr="00AA7509" w:rsidRDefault="006D3313" w:rsidP="00D945ED">
            <w:pPr>
              <w:ind w:firstLine="0"/>
              <w:rPr>
                <w:color w:val="000000"/>
                <w:sz w:val="20"/>
                <w:szCs w:val="24"/>
              </w:rPr>
            </w:pPr>
            <w:r w:rsidRPr="00AA7509">
              <w:rPr>
                <w:color w:val="000000"/>
                <w:sz w:val="20"/>
                <w:szCs w:val="24"/>
              </w:rPr>
              <w:t>Evidencia o tratamento dado as dívidas públicas dentro da consolidação das contas públicas;</w:t>
            </w:r>
          </w:p>
        </w:tc>
      </w:tr>
    </w:tbl>
    <w:p w:rsidR="00AA7509" w:rsidRDefault="00AA7509" w:rsidP="006D3313">
      <w:pPr>
        <w:tabs>
          <w:tab w:val="left" w:pos="1230"/>
        </w:tabs>
        <w:ind w:firstLine="0"/>
        <w:jc w:val="center"/>
        <w:rPr>
          <w:color w:val="000000"/>
          <w:szCs w:val="24"/>
        </w:rPr>
      </w:pPr>
      <w:r w:rsidRPr="00F00B5E">
        <w:rPr>
          <w:color w:val="000000"/>
          <w:szCs w:val="24"/>
        </w:rPr>
        <w:t xml:space="preserve">Fonte: Adaptado de </w:t>
      </w:r>
      <w:proofErr w:type="spellStart"/>
      <w:r w:rsidRPr="00F00B5E">
        <w:rPr>
          <w:color w:val="000000"/>
          <w:szCs w:val="24"/>
        </w:rPr>
        <w:t>Platt</w:t>
      </w:r>
      <w:proofErr w:type="spellEnd"/>
      <w:r w:rsidRPr="00F00B5E">
        <w:rPr>
          <w:color w:val="000000"/>
          <w:szCs w:val="24"/>
        </w:rPr>
        <w:t xml:space="preserve"> Neto (2015)</w:t>
      </w:r>
    </w:p>
    <w:p w:rsidR="003B1DB9" w:rsidRPr="003B1DB9" w:rsidRDefault="003B1DB9" w:rsidP="003B1DB9">
      <w:pPr>
        <w:tabs>
          <w:tab w:val="left" w:pos="1230"/>
        </w:tabs>
        <w:jc w:val="center"/>
        <w:rPr>
          <w:b/>
          <w:color w:val="000000"/>
          <w:szCs w:val="24"/>
        </w:rPr>
      </w:pPr>
    </w:p>
    <w:p w:rsidR="00AA7509" w:rsidRPr="00F00B5E" w:rsidRDefault="00AA7509" w:rsidP="00AA7509">
      <w:pPr>
        <w:ind w:firstLine="708"/>
        <w:rPr>
          <w:szCs w:val="24"/>
        </w:rPr>
      </w:pPr>
      <w:r w:rsidRPr="00F00B5E">
        <w:rPr>
          <w:szCs w:val="24"/>
        </w:rPr>
        <w:t>Consoante disposto no art. 115 do Decreto n.º 93.872/1986 a dívida pública abrange a dívida flutuante e a dívida fundada ou consolidada. Entende-se por dívida flutuante compromissos exigíveis cujo pagamento independe de autorização orçamentária, como restos a pagar, excluídos os serviços da dívida, serviços da dívida, depósitos, operações de crédito por antecipação de receita e papel-moeda. Por sua vez, a dívida fundada, ou consolidada, abrange os compromissos de exigibilidade superior a 12 (doze) meses contraídos mediante emissão de títulos ou celebração de contratos e que dependem de autorização legislativa para amortização ou resgate.</w:t>
      </w:r>
    </w:p>
    <w:p w:rsidR="00AA7509" w:rsidRPr="00F00B5E" w:rsidRDefault="00AA7509" w:rsidP="00AA7509">
      <w:pPr>
        <w:rPr>
          <w:szCs w:val="24"/>
        </w:rPr>
      </w:pPr>
      <w:r w:rsidRPr="00F00B5E">
        <w:rPr>
          <w:szCs w:val="24"/>
        </w:rPr>
        <w:t>É atribuída ao Senado Federal, mediante art. 52 da Constituição Federal, a competência para dispor privativamente sobre os limites de endividamento. Assim, foram aprovadas as Resoluções do Senado Federal nº 40/2001 e 43/2001 e alterações posteriores, fixando os limites para o endividamento público. Para Carvalho (2010) os limites para a dívida pública, já fixados nas Resoluções mencionadas anteriormente são os seguintes: os estados só poderão realizar novas captações até o limite de 16% da receita corrente líquida, comprometer até duas vezes a sua receita corrente líquida com a dívida consolidada líquida e até 11,5% com o pagamento das amortizações do principal da dívida, incluindo seus respectivos encargos.</w:t>
      </w:r>
    </w:p>
    <w:p w:rsidR="00AA7509" w:rsidRPr="00F00B5E" w:rsidRDefault="00AA7509" w:rsidP="00AA7509">
      <w:pPr>
        <w:pStyle w:val="NormalWeb"/>
        <w:spacing w:before="0" w:beforeAutospacing="0" w:after="0" w:afterAutospacing="0"/>
        <w:rPr>
          <w:color w:val="000000"/>
        </w:rPr>
      </w:pPr>
      <w:r w:rsidRPr="00F00B5E">
        <w:t>O art. 359-B do código penal brasi</w:t>
      </w:r>
      <w:r w:rsidR="003B1DB9">
        <w:t>leiro responsabiliza o gestor que</w:t>
      </w:r>
      <w:r w:rsidRPr="00F00B5E">
        <w:t xml:space="preserve"> descumprir os ditames do art. 42 da LRF, que introduziu novas regras e novos conceitos a respeito da dívida pública, caso autorizar a inscrição em restos a pagar de despesas que não foram empenhadas ou exceder os limites de inscrição estabelecidos nas resoluções.</w:t>
      </w:r>
    </w:p>
    <w:p w:rsidR="00AA7509" w:rsidRPr="00F00B5E" w:rsidRDefault="00AA7509" w:rsidP="00AA7509">
      <w:pPr>
        <w:pStyle w:val="NormalWeb"/>
        <w:spacing w:before="0" w:beforeAutospacing="0" w:after="0" w:afterAutospacing="0"/>
        <w:rPr>
          <w:color w:val="000000"/>
        </w:rPr>
      </w:pPr>
      <w:r w:rsidRPr="00F00B5E">
        <w:rPr>
          <w:color w:val="000000"/>
        </w:rPr>
        <w:t>Portanto, a dívida pública não é apenas a que decorre de empréstimos a longo prazo, mas abrange também os compromissos pecuniários de curto prazo, e ainda se origina de outras fontes, como depósitos, restos a pagar e outros dessa natureza. (KOHAMA, 2014).</w:t>
      </w:r>
    </w:p>
    <w:p w:rsidR="00AA7509" w:rsidRPr="00F00B5E" w:rsidRDefault="00AA7509" w:rsidP="00AA7509">
      <w:pPr>
        <w:pStyle w:val="NormalWeb"/>
        <w:spacing w:before="0" w:beforeAutospacing="0" w:after="0" w:afterAutospacing="0"/>
        <w:rPr>
          <w:color w:val="000000"/>
        </w:rPr>
      </w:pPr>
    </w:p>
    <w:p w:rsidR="00AA7509" w:rsidRDefault="00AA7509" w:rsidP="006D3313">
      <w:pPr>
        <w:pStyle w:val="Ttulo2"/>
      </w:pPr>
      <w:r w:rsidRPr="00F00B5E">
        <w:t>Restos a Pagar</w:t>
      </w:r>
    </w:p>
    <w:p w:rsidR="006D3313" w:rsidRPr="00F00B5E" w:rsidRDefault="006D3313" w:rsidP="00AA7509">
      <w:pPr>
        <w:pStyle w:val="NormalWeb"/>
        <w:spacing w:before="0" w:beforeAutospacing="0" w:after="0" w:afterAutospacing="0"/>
        <w:ind w:firstLine="0"/>
        <w:rPr>
          <w:b/>
          <w:color w:val="000000"/>
        </w:rPr>
      </w:pPr>
    </w:p>
    <w:p w:rsidR="00AA7509" w:rsidRPr="00F00B5E" w:rsidRDefault="00AA7509" w:rsidP="00AA7509">
      <w:pPr>
        <w:autoSpaceDE w:val="0"/>
        <w:autoSpaceDN w:val="0"/>
        <w:adjustRightInd w:val="0"/>
        <w:rPr>
          <w:color w:val="000000"/>
          <w:szCs w:val="24"/>
        </w:rPr>
      </w:pPr>
      <w:r w:rsidRPr="00F00B5E">
        <w:rPr>
          <w:color w:val="000000"/>
          <w:szCs w:val="24"/>
        </w:rPr>
        <w:t xml:space="preserve">Para efeito de encerramento de exercício, toda despesa empenhada e não paga até 31 de dezembro será considerada como restos a pagar (resíduos passivos), estabelecendo uma ação somente de caráter financeiro. Na concepção de </w:t>
      </w:r>
      <w:proofErr w:type="spellStart"/>
      <w:r w:rsidRPr="00F00B5E">
        <w:rPr>
          <w:color w:val="000000"/>
          <w:szCs w:val="24"/>
        </w:rPr>
        <w:t>Kohama</w:t>
      </w:r>
      <w:proofErr w:type="spellEnd"/>
      <w:r w:rsidRPr="00F00B5E">
        <w:rPr>
          <w:color w:val="000000"/>
          <w:szCs w:val="24"/>
        </w:rPr>
        <w:t xml:space="preserve"> (2014, p. 142) uma vez empenhada a despesa, ela pertence ao exercício financeiro, onerando as dotações orçamentári</w:t>
      </w:r>
      <w:r w:rsidR="00081699">
        <w:rPr>
          <w:color w:val="000000"/>
          <w:szCs w:val="24"/>
        </w:rPr>
        <w:t>as daquele exercício. Cruz (2008</w:t>
      </w:r>
      <w:r w:rsidRPr="00F00B5E">
        <w:rPr>
          <w:color w:val="000000"/>
          <w:szCs w:val="24"/>
        </w:rPr>
        <w:t>, p. 78), definiu restos a pagar como sendo compromissos assumidos (materiais/serviços/obras) pela Administração Pública por empenhos feitos e não pagos até o último dia do ano, sendo uma consequência do regime indevidamente chamado de exercício ou de competência.</w:t>
      </w:r>
    </w:p>
    <w:p w:rsidR="007267E8" w:rsidRPr="006D3313" w:rsidRDefault="00AA7509" w:rsidP="006D3313">
      <w:pPr>
        <w:rPr>
          <w:color w:val="000000"/>
          <w:szCs w:val="24"/>
        </w:rPr>
      </w:pPr>
      <w:r w:rsidRPr="00F00B5E">
        <w:rPr>
          <w:color w:val="000000"/>
          <w:szCs w:val="24"/>
        </w:rPr>
        <w:lastRenderedPageBreak/>
        <w:t>No caput do art. 36 da Lei 4.320/64, o legislador limitou a data de 31 de dezembro de cada ano como sendo o pr</w:t>
      </w:r>
      <w:r w:rsidR="003B1DB9">
        <w:rPr>
          <w:color w:val="000000"/>
          <w:szCs w:val="24"/>
        </w:rPr>
        <w:t>azo temporal máximo para que o E</w:t>
      </w:r>
      <w:r w:rsidRPr="00F00B5E">
        <w:rPr>
          <w:color w:val="000000"/>
          <w:szCs w:val="24"/>
        </w:rPr>
        <w:t xml:space="preserve">stado cumpra com seus pagamentos, decorrentes das obrigações assumidas com terceiros; caso contrário, deverá o responsável pelos lançamentos das contas públicas, registrar, nas peças contábeis, como restos a pagar, conforme art. 34 da referida lei. </w:t>
      </w:r>
    </w:p>
    <w:p w:rsidR="00AA7509" w:rsidRPr="00F00B5E" w:rsidRDefault="00AA7509" w:rsidP="00AA7509">
      <w:pPr>
        <w:pStyle w:val="NormalWeb"/>
        <w:spacing w:before="0" w:beforeAutospacing="0" w:after="0" w:afterAutospacing="0"/>
        <w:rPr>
          <w:color w:val="000000"/>
        </w:rPr>
      </w:pPr>
      <w:r w:rsidRPr="00F00B5E">
        <w:rPr>
          <w:color w:val="000000"/>
        </w:rPr>
        <w:t xml:space="preserve">Há distinção, por exigência legal, entre despesas empenhadas processadas e não processadas. Compreendem restos a pagar processados as despesas já liquidadas, onde o empenho foi emitido e houve a verificação do direito adquirido. </w:t>
      </w:r>
      <w:r w:rsidRPr="00F00B5E">
        <w:t>Caso não haja confirmação do direito adquirido, o empenho deve ser cancelado, deixando de existir a obrigação por parte do ente estatal com o credor.</w:t>
      </w:r>
      <w:r w:rsidRPr="00F00B5E">
        <w:rPr>
          <w:color w:val="000000"/>
        </w:rPr>
        <w:t xml:space="preserve"> Por sua vez, restos a pagar não processados são as despesas que ainda não passaram pelo estágio da liquidação, ou seja, ainda não houve constatação, pelo órgão competente, do direito contraído pelo credor, através do exame de documentos e de inspeções físicas.</w:t>
      </w:r>
    </w:p>
    <w:p w:rsidR="00AA7509" w:rsidRPr="00F00B5E" w:rsidRDefault="00AA7509" w:rsidP="00AA7509">
      <w:pPr>
        <w:pStyle w:val="NormalWeb"/>
        <w:spacing w:before="0" w:beforeAutospacing="0" w:after="0" w:afterAutospacing="0"/>
        <w:rPr>
          <w:color w:val="000000"/>
        </w:rPr>
      </w:pPr>
      <w:r w:rsidRPr="00F00B5E">
        <w:t>Destaca-se, ainda, que a inscrição de restos a pagar não processados não garante qualquer direito ao credor perante à entidade contratante</w:t>
      </w:r>
      <w:r w:rsidRPr="00F00B5E">
        <w:rPr>
          <w:color w:val="000000"/>
        </w:rPr>
        <w:t xml:space="preserve">, podendo haver o cancelamento dos mesmos. Segundo Silva e Lima (2009), os restos a pagar não processados correspondem a um ato administrativo que ainda está sujeito a implemento de condição, o que não o coloca na posição de despesa do período, visto que o fato gerador ainda não ocorreu, mesmo havendo a possibilidade de ocorrência do fato gerador antes da liquidação. </w:t>
      </w:r>
    </w:p>
    <w:p w:rsidR="00AA7509" w:rsidRPr="00F00B5E" w:rsidRDefault="00AA7509" w:rsidP="00AA7509">
      <w:pPr>
        <w:pStyle w:val="NormalWeb"/>
        <w:spacing w:before="0" w:beforeAutospacing="0" w:after="0" w:afterAutospacing="0"/>
      </w:pPr>
      <w:r w:rsidRPr="00F00B5E">
        <w:rPr>
          <w:color w:val="000000"/>
        </w:rPr>
        <w:t xml:space="preserve">Os serviços da dívida, como os juros e demais encargos, em função de sua relevância e representatividade na dívida pública, são computados separadamente dos demais valores, classificáveis em restos a pagar, conforme o conceito de dívida flutuante já apresentado. Portanto, </w:t>
      </w:r>
      <w:r w:rsidRPr="00F00B5E">
        <w:t>se, eventualmente, um ente estatal não realizar o pagamento das despesas já liquidadas, deverá o responsável pelos lançamentos contábeis, registrá-las como dívida flutuante da entidade.</w:t>
      </w:r>
    </w:p>
    <w:p w:rsidR="00AA7509" w:rsidRPr="00F00B5E" w:rsidRDefault="00AA7509" w:rsidP="00AA7509">
      <w:pPr>
        <w:rPr>
          <w:szCs w:val="24"/>
        </w:rPr>
      </w:pPr>
      <w:r w:rsidRPr="00F00B5E">
        <w:rPr>
          <w:szCs w:val="24"/>
        </w:rPr>
        <w:t>Uma exigência para que a despesa assumida pela Administração Pública e não paga no exercício financeiro seja inscrita em restos a pagar, é que esta precisa ter sido legalmente ordenada pela autoridade competente, estar aprovada no orçamento anual, o que inclui Lei de Orçamento anual (LOA), créditos suplementare</w:t>
      </w:r>
      <w:r w:rsidR="003342E4">
        <w:rPr>
          <w:szCs w:val="24"/>
        </w:rPr>
        <w:t>s, especiais ou extraordinários</w:t>
      </w:r>
      <w:r w:rsidRPr="00F00B5E">
        <w:rPr>
          <w:szCs w:val="24"/>
        </w:rPr>
        <w:t>, tenha sido objeto de licitação ou dispensa desta e, por fim, empenhada até o último dia do ano civil em andamento (FURTADO, 2010).</w:t>
      </w:r>
    </w:p>
    <w:p w:rsidR="00AA7509" w:rsidRPr="00F00B5E" w:rsidRDefault="00AA7509" w:rsidP="00AA7509">
      <w:pPr>
        <w:rPr>
          <w:szCs w:val="24"/>
        </w:rPr>
      </w:pPr>
      <w:r w:rsidRPr="00F00B5E">
        <w:rPr>
          <w:szCs w:val="24"/>
        </w:rPr>
        <w:t xml:space="preserve">Para </w:t>
      </w:r>
      <w:proofErr w:type="spellStart"/>
      <w:r w:rsidRPr="00F00B5E">
        <w:rPr>
          <w:szCs w:val="24"/>
        </w:rPr>
        <w:t>Giacomoni</w:t>
      </w:r>
      <w:proofErr w:type="spellEnd"/>
      <w:r w:rsidRPr="00F00B5E">
        <w:rPr>
          <w:szCs w:val="24"/>
        </w:rPr>
        <w:t xml:space="preserve"> (2010), a inscrição em restos a pagar apresenta restrições importantes. Uma delas é definir o empenho como o momento de reconhecimento da despesa no cômputo das contas do exercício, alterando a competência do exercício como o da realização efetiva da despesa. Outra limitação seria a divergência entre a execução orçamentária e financeira, com os efeitos financeiros ocorrendo no exercício subsequente ao do reconhecimento da despesa. </w:t>
      </w:r>
      <w:bookmarkStart w:id="2" w:name="art42p"/>
      <w:bookmarkEnd w:id="2"/>
      <w:r w:rsidRPr="00F00B5E">
        <w:rPr>
          <w:szCs w:val="24"/>
        </w:rPr>
        <w:t> </w:t>
      </w:r>
    </w:p>
    <w:p w:rsidR="00AA7509" w:rsidRPr="00F00B5E" w:rsidRDefault="00AA7509" w:rsidP="00AA7509">
      <w:pPr>
        <w:pStyle w:val="NormalWeb"/>
        <w:spacing w:before="0" w:beforeAutospacing="0" w:after="0" w:afterAutospacing="0"/>
      </w:pPr>
      <w:r w:rsidRPr="00F00B5E">
        <w:t xml:space="preserve">No tocante à inscrição das despesas em restos a pagar não processados, o Manual de Contabilidade Aplicada ao Setor Público (MCASP, 2014) estabelece que em tal procedimento verificam-se quais despesas devem ser inscritas em restos a pagar e anulam-se as demais para, após, inscreverem-se os restos a pagar não processados do exercício, e ainda, que esta prática deve observar as disponibilidades financeiras do ente, evitando possíveis desvios que possam afetar o </w:t>
      </w:r>
      <w:r w:rsidRPr="00F00B5E">
        <w:lastRenderedPageBreak/>
        <w:t>equilíbrio das contas públicas.</w:t>
      </w:r>
    </w:p>
    <w:p w:rsidR="00AA7509" w:rsidRPr="00F00B5E" w:rsidRDefault="00AA7509" w:rsidP="00AA7509">
      <w:pPr>
        <w:pStyle w:val="NormalWeb"/>
        <w:spacing w:before="0" w:beforeAutospacing="0" w:after="0" w:afterAutospacing="0"/>
        <w:rPr>
          <w:color w:val="000000"/>
        </w:rPr>
      </w:pPr>
      <w:r w:rsidRPr="00F00B5E">
        <w:rPr>
          <w:color w:val="000000"/>
        </w:rPr>
        <w:t xml:space="preserve"> A lei complementar 101/2000, que estabelece normas de finanças públicas voltadas para a responsabilidade na gestão fiscal, conhecida como Lei de Responsabilidade Fiscal - LRF, apesar de não abordar o que pode ou não ser inscrito em restos a pagar, por meio de seu art. 42 institui que é proibido ao titular de Poder, nos últimos oito meses do seu mandato, contrair obrigação de despesa que não possa ser cumprida integralmente dentro dele, ou que tenha parcelas a serem pagas no exercício subsequente sem que haja suficiente disponibilidade de caixa para saldar tal obrigação. Em outras palavras, pode-se dizer que os gestores públicos, ao final de seus mandatos, não podem deixar dívidas para seus sucessores, a não ser que deixem dinheiro suficiente para pagamento das contas de restos a pagar (PLATT, 2015, p. 112). Caso esta determinação não seja cumprida, passa a ser considerado crime de responsabilidade fiscal.</w:t>
      </w:r>
    </w:p>
    <w:p w:rsidR="00AA7509" w:rsidRPr="00F00B5E" w:rsidRDefault="00AA7509" w:rsidP="00AA7509">
      <w:pPr>
        <w:pStyle w:val="NormalWeb"/>
        <w:spacing w:before="0" w:beforeAutospacing="0" w:after="0" w:afterAutospacing="0"/>
      </w:pPr>
      <w:r w:rsidRPr="00F00B5E">
        <w:t xml:space="preserve">Conforme prevê o art. 70 do Decreto n.º 93.872/86, a dívida passiva relativa a restos a pagar prescreve em cinco anos. Contudo, há casos em que ocorre o que se chama de prescrição interrompida, que são as despesas cuja inscrição em restos a pagar sofreu cancelamento, porém, ainda vigora o direito do credor, por esta ter sido liquidada. (BRASIL, 1986). Assim, dada a baixa contábil dos restos a pagar e até a sua prescrição, as despesas reconhecidas serão pagas, descrevendo-as outra modalidade de dívida pública, as Despesas de Exercícios Anteriores. </w:t>
      </w:r>
    </w:p>
    <w:p w:rsidR="00AA7509" w:rsidRPr="00F00B5E" w:rsidRDefault="00AA7509" w:rsidP="00AA7509">
      <w:pPr>
        <w:pStyle w:val="NormalWeb"/>
        <w:spacing w:before="0" w:beforeAutospacing="0" w:after="0" w:afterAutospacing="0"/>
        <w:rPr>
          <w:color w:val="000000"/>
        </w:rPr>
      </w:pPr>
      <w:r w:rsidRPr="00F00B5E">
        <w:rPr>
          <w:color w:val="000000"/>
        </w:rPr>
        <w:t xml:space="preserve">A falta de procedimentos padronizados com relação ao encerramento do exercício, principalmente em final de mandato, pode ocasionar um acúmulo de dívidas para a entidade pública, e, por consequência, dificuldades financeiras para a gestão no exercício seguinte </w:t>
      </w:r>
      <w:r w:rsidRPr="00F00B5E">
        <w:t>(NERES, 2010).</w:t>
      </w:r>
    </w:p>
    <w:p w:rsidR="00AA7509" w:rsidRPr="00F00B5E" w:rsidRDefault="00AA7509" w:rsidP="00AA7509">
      <w:pPr>
        <w:rPr>
          <w:szCs w:val="24"/>
        </w:rPr>
      </w:pPr>
      <w:r w:rsidRPr="00F00B5E">
        <w:rPr>
          <w:szCs w:val="24"/>
        </w:rPr>
        <w:t>A crítica que se faz à figura dos Restos a Pagar não processados, é de que o disposto nos artigos 35 e 36 da Lei n°. 4.320/64, admite o registro da despesa orçamentária no exercício em que a obrigação não foi efetivamente constituída, antes do estágio da liquidação, levando a entidade a apresentar um resultado patrimonial inapropriado, desrespeitando assim, o princípio da competência (PISCITELLI; TIMBÓ, 2010).</w:t>
      </w:r>
    </w:p>
    <w:p w:rsidR="00AA7509" w:rsidRPr="00F00B5E" w:rsidRDefault="00AA7509" w:rsidP="00AA7509">
      <w:pPr>
        <w:rPr>
          <w:szCs w:val="24"/>
        </w:rPr>
      </w:pPr>
    </w:p>
    <w:p w:rsidR="00AA7509" w:rsidRPr="006D3313" w:rsidRDefault="006D3313" w:rsidP="00AA7509">
      <w:pPr>
        <w:ind w:firstLine="0"/>
        <w:rPr>
          <w:szCs w:val="24"/>
        </w:rPr>
      </w:pPr>
      <w:r w:rsidRPr="006D3313">
        <w:rPr>
          <w:szCs w:val="24"/>
        </w:rPr>
        <w:t>3.3. ESTUDOS ANTERIORES</w:t>
      </w:r>
    </w:p>
    <w:p w:rsidR="006D3313" w:rsidRPr="00F00B5E" w:rsidRDefault="006D3313" w:rsidP="00AA7509">
      <w:pPr>
        <w:ind w:firstLine="0"/>
        <w:rPr>
          <w:b/>
          <w:szCs w:val="24"/>
        </w:rPr>
      </w:pPr>
    </w:p>
    <w:p w:rsidR="00AA7509" w:rsidRPr="00F00B5E" w:rsidRDefault="00AA7509" w:rsidP="00AA7509">
      <w:pPr>
        <w:rPr>
          <w:szCs w:val="24"/>
        </w:rPr>
      </w:pPr>
      <w:r w:rsidRPr="00F00B5E">
        <w:rPr>
          <w:szCs w:val="24"/>
        </w:rPr>
        <w:t xml:space="preserve">Pesquisas anteriores envolvendo a referida prática estão relacionadas a diversos aspectos, como por exemplo: reflexos contábeis decorrentes do cancelamento das despesas públicas dos restos a pagar da união de 1999 à 2003 (SILVA, 2007); a adoção do princípio da competência no tratamento contábil dos restos a pagar (SILVA; LIMA, 2009); impactos dos Restos a Pagar na Administração Orçamentária da Justiça Eleitoral (FURTADO, 2010); inscrição de restos a pagar no estado do Rio de Janeiro (SOUZA, 2010);  as consequências, para o orçamento e contabilidade pública, da inscrição de restos a pagar não processados nas capitais nordestinas do Brasil (SANTOS, 2011); análise no reconhecimento dos restos a pagar não processados e despesas de exercícios anteriores dos municípios brasileiros (COSTA </w:t>
      </w:r>
      <w:r w:rsidRPr="003342E4">
        <w:rPr>
          <w:i/>
          <w:szCs w:val="24"/>
        </w:rPr>
        <w:t>et al</w:t>
      </w:r>
      <w:r w:rsidRPr="00F00B5E">
        <w:rPr>
          <w:szCs w:val="24"/>
        </w:rPr>
        <w:t>., 2013); efeitos do enfoque patrimonial na dívida pública flutuante (GALDINO</w:t>
      </w:r>
      <w:r w:rsidR="003B1DB9">
        <w:rPr>
          <w:szCs w:val="24"/>
        </w:rPr>
        <w:t>, MOURA e CUNHA</w:t>
      </w:r>
      <w:r w:rsidRPr="00F00B5E">
        <w:rPr>
          <w:szCs w:val="24"/>
        </w:rPr>
        <w:t xml:space="preserve">, 2014); </w:t>
      </w:r>
    </w:p>
    <w:p w:rsidR="00AA7509" w:rsidRPr="00F00B5E" w:rsidRDefault="00AA7509" w:rsidP="00AA7509">
      <w:pPr>
        <w:rPr>
          <w:szCs w:val="24"/>
        </w:rPr>
      </w:pPr>
      <w:r w:rsidRPr="00F00B5E">
        <w:rPr>
          <w:szCs w:val="24"/>
        </w:rPr>
        <w:lastRenderedPageBreak/>
        <w:t>Silva (2007) estudou os reflexos contábeis decorrentes do cancelamento das despesas públicas dos restos a pagar da União de 1999 a 2003. A pesquisa trabalhou com três hipóteses: o reflexo contábil decorrente do cancelamento das despesas de restos a pagar não é significativo em relação às despesas que foram consideradas liquidadas; a despesa de restos a pagar inscritas (totais) não é significativa em relação às que foram consideradas liquidadas; o reflexo contábil decorrente do cancelamento das despesas de restos a pagar não é significativo em relação aos restos a pagar inscritos (totais) dos poderes e órgãos da União. Logo, concluiu-se que as despesas públicas que foram consideradas liquidadas, no período analisado, apresentaram, nas demonstrações analisadas, informações que não correspondem aos valores de despesas reais.</w:t>
      </w:r>
    </w:p>
    <w:p w:rsidR="00AA7509" w:rsidRPr="00F00B5E" w:rsidRDefault="00AA7509" w:rsidP="00AA7509">
      <w:pPr>
        <w:rPr>
          <w:szCs w:val="24"/>
        </w:rPr>
      </w:pPr>
      <w:r w:rsidRPr="00F00B5E">
        <w:rPr>
          <w:szCs w:val="24"/>
        </w:rPr>
        <w:t>Silva e Lima (2006) analisaram a adoção do princípio da competência no tratamento contábil dos restos a pagar. Os resultados mostram que o melhor tratamento para os restos a pagar não processados seria a contabilização em contas de compensação no balanço patrimonial, como forma de melhor evidenciação.</w:t>
      </w:r>
    </w:p>
    <w:p w:rsidR="00AA7509" w:rsidRPr="00F00B5E" w:rsidRDefault="00AA7509" w:rsidP="00AA7509">
      <w:pPr>
        <w:rPr>
          <w:szCs w:val="24"/>
        </w:rPr>
      </w:pPr>
      <w:r w:rsidRPr="00F00B5E">
        <w:rPr>
          <w:szCs w:val="24"/>
        </w:rPr>
        <w:t>Furtado (2010) observou impactos dos restos a pagar na administração orçamentária da Justiça Eleitoral. Analisando os dados orçamentár</w:t>
      </w:r>
      <w:r w:rsidR="000C4524">
        <w:rPr>
          <w:szCs w:val="24"/>
        </w:rPr>
        <w:t>ios do referido ente, verificou</w:t>
      </w:r>
      <w:r w:rsidRPr="00F00B5E">
        <w:rPr>
          <w:szCs w:val="24"/>
        </w:rPr>
        <w:t xml:space="preserve"> que o volume orçamentário inscrito em restos a pagar apresenta percentuais de 12% no exercício financeiro de 2010, se comparado a 2009.</w:t>
      </w:r>
    </w:p>
    <w:p w:rsidR="00AA7509" w:rsidRPr="00F00B5E" w:rsidRDefault="00AA7509" w:rsidP="00AA7509">
      <w:pPr>
        <w:rPr>
          <w:szCs w:val="24"/>
        </w:rPr>
      </w:pPr>
      <w:r w:rsidRPr="00F00B5E">
        <w:rPr>
          <w:szCs w:val="24"/>
        </w:rPr>
        <w:t xml:space="preserve">Souza (2010) ponderou a inscrição de restos a pagar no estado do Rio de Janeiro. Para tal, foram analisadas as medidas adotadas </w:t>
      </w:r>
      <w:r w:rsidR="000C4524">
        <w:rPr>
          <w:szCs w:val="24"/>
        </w:rPr>
        <w:t>naquele estado</w:t>
      </w:r>
      <w:r w:rsidRPr="00F00B5E">
        <w:rPr>
          <w:szCs w:val="24"/>
        </w:rPr>
        <w:t xml:space="preserve"> que têm contribuído para a redução do passivo. Os resultados demonstraram que a falta de tratamento contábil patrimonial, o limite de desembolsos insuficiente, dentre outros estão entre os prováveis fatores que têm contribuído para o aumento do registro dos restos a pagar no país.</w:t>
      </w:r>
    </w:p>
    <w:p w:rsidR="00AA7509" w:rsidRPr="00F00B5E" w:rsidRDefault="00AA7509" w:rsidP="00AA7509">
      <w:pPr>
        <w:rPr>
          <w:szCs w:val="24"/>
        </w:rPr>
      </w:pPr>
      <w:r w:rsidRPr="00F00B5E">
        <w:rPr>
          <w:szCs w:val="24"/>
        </w:rPr>
        <w:t>Santos (2011) avaliou as consequências, para o orçamento e contabilidade pública, da inscrição de restos a pagar não processados nas capitais nordestinas do Brasil. Com a criação de cinco indicador</w:t>
      </w:r>
      <w:r w:rsidR="003342E4">
        <w:rPr>
          <w:szCs w:val="24"/>
        </w:rPr>
        <w:t>es, obteve</w:t>
      </w:r>
      <w:r w:rsidRPr="00F00B5E">
        <w:rPr>
          <w:szCs w:val="24"/>
        </w:rPr>
        <w:t xml:space="preserve"> as seguintes conclusões: </w:t>
      </w:r>
      <w:r w:rsidR="000C4524">
        <w:rPr>
          <w:szCs w:val="24"/>
        </w:rPr>
        <w:t xml:space="preserve">a </w:t>
      </w:r>
      <w:r w:rsidRPr="00F00B5E">
        <w:rPr>
          <w:szCs w:val="24"/>
        </w:rPr>
        <w:t>inscrição de despesas em restos a pagar não processados vai de encontro ao princípio contábil da competência, e ainda, que as despesas inscritas em Restos a Pagar não processados criam um descompasso entre a execução orçamentária e a execução financeira, prejudicando o planejamento</w:t>
      </w:r>
      <w:r w:rsidR="000C4524">
        <w:rPr>
          <w:szCs w:val="24"/>
        </w:rPr>
        <w:t xml:space="preserve"> do orçamento</w:t>
      </w:r>
      <w:r w:rsidRPr="00F00B5E">
        <w:rPr>
          <w:szCs w:val="24"/>
        </w:rPr>
        <w:t xml:space="preserve"> público.</w:t>
      </w:r>
    </w:p>
    <w:p w:rsidR="00AA7509" w:rsidRPr="00F00B5E" w:rsidRDefault="00AA7509" w:rsidP="00AA7509">
      <w:pPr>
        <w:rPr>
          <w:szCs w:val="24"/>
        </w:rPr>
      </w:pPr>
      <w:r w:rsidRPr="00F00B5E">
        <w:rPr>
          <w:szCs w:val="24"/>
        </w:rPr>
        <w:t>Costa</w:t>
      </w:r>
      <w:r w:rsidR="000C4524">
        <w:rPr>
          <w:szCs w:val="24"/>
        </w:rPr>
        <w:t xml:space="preserve"> </w:t>
      </w:r>
      <w:r w:rsidR="000C4524" w:rsidRPr="003342E4">
        <w:rPr>
          <w:i/>
          <w:szCs w:val="24"/>
        </w:rPr>
        <w:t>et al</w:t>
      </w:r>
      <w:r w:rsidR="000C4524">
        <w:rPr>
          <w:szCs w:val="24"/>
        </w:rPr>
        <w:t>.</w:t>
      </w:r>
      <w:r w:rsidRPr="00F00B5E">
        <w:rPr>
          <w:szCs w:val="24"/>
        </w:rPr>
        <w:t xml:space="preserve"> (2013) analisaram o reconhecimento dos restos a pagar não processados e despesas de exercícios anteriores dos municípios brasileiros. Com a elaboração de hipóteses, foi evidenciado que, em função da aplicação parcial do regime de competência pela administração pública, foram provocadas distorções significativas a ponto de reverter uma favorável situação financeira em 1.310 municípios brasileiros. </w:t>
      </w:r>
    </w:p>
    <w:p w:rsidR="00AA7509" w:rsidRPr="00F00B5E" w:rsidRDefault="00AA7509" w:rsidP="00AA7509">
      <w:pPr>
        <w:rPr>
          <w:szCs w:val="24"/>
        </w:rPr>
      </w:pPr>
      <w:r w:rsidRPr="00F00B5E">
        <w:rPr>
          <w:szCs w:val="24"/>
        </w:rPr>
        <w:t>Galdino, Moura e Cunha (2014) examinaram os efeitos do enfoque patrimonial na dívida pública flutuante em uma fundação estadual d</w:t>
      </w:r>
      <w:r w:rsidR="000C4524">
        <w:rPr>
          <w:szCs w:val="24"/>
        </w:rPr>
        <w:t xml:space="preserve">o Norte do Brasil. Verificaram </w:t>
      </w:r>
      <w:r w:rsidRPr="00F00B5E">
        <w:rPr>
          <w:szCs w:val="24"/>
        </w:rPr>
        <w:t>uma subavaliação de 51,56% da dívida flutuante da entidad</w:t>
      </w:r>
      <w:r w:rsidR="000C4524">
        <w:rPr>
          <w:szCs w:val="24"/>
        </w:rPr>
        <w:t>e pública analisada. Concluíram</w:t>
      </w:r>
      <w:r w:rsidRPr="00F00B5E">
        <w:rPr>
          <w:szCs w:val="24"/>
        </w:rPr>
        <w:t>,</w:t>
      </w:r>
      <w:r w:rsidR="000C4524">
        <w:rPr>
          <w:szCs w:val="24"/>
        </w:rPr>
        <w:t xml:space="preserve"> que houve,</w:t>
      </w:r>
      <w:r w:rsidRPr="00F00B5E">
        <w:rPr>
          <w:szCs w:val="24"/>
        </w:rPr>
        <w:t xml:space="preserve"> como efeitos da adoção do enfoque patrimonial na dívida flutuante das entidades públicas, uma melhoria na evidenciação qualitativa e quantitativa do passivo.</w:t>
      </w:r>
    </w:p>
    <w:p w:rsidR="00AA7509" w:rsidRPr="00F00B5E" w:rsidRDefault="00AA7509" w:rsidP="00AA7509">
      <w:pPr>
        <w:rPr>
          <w:szCs w:val="24"/>
        </w:rPr>
      </w:pPr>
      <w:r w:rsidRPr="00F00B5E">
        <w:rPr>
          <w:szCs w:val="24"/>
        </w:rPr>
        <w:t xml:space="preserve">Nota-se que existem vários estudos acerca da problemática da inscrição de restos a pagar, </w:t>
      </w:r>
      <w:r w:rsidRPr="00F00B5E">
        <w:rPr>
          <w:szCs w:val="24"/>
        </w:rPr>
        <w:lastRenderedPageBreak/>
        <w:t xml:space="preserve">bem como sobre dívida pública como um todo. Contudo, é notória também a ausência de estudos que abordam a questão dos impactos da inscrição de restos a pagar não processados na esfera estadual. Logo, ressalta-se a importância de estudos desta abrangência. </w:t>
      </w:r>
    </w:p>
    <w:p w:rsidR="00AA7509" w:rsidRPr="00AA7509" w:rsidRDefault="00AA7509" w:rsidP="00AA7509">
      <w:pPr>
        <w:rPr>
          <w:lang w:val="x-none" w:eastAsia="x-none"/>
        </w:rPr>
      </w:pPr>
    </w:p>
    <w:p w:rsidR="00E24E18" w:rsidRPr="00AA3FF4" w:rsidRDefault="00E24E18" w:rsidP="00E24E18">
      <w:pPr>
        <w:pStyle w:val="Ttulo1"/>
        <w:spacing w:before="0" w:after="0" w:line="360" w:lineRule="auto"/>
        <w:ind w:left="432" w:hanging="432"/>
        <w:rPr>
          <w:sz w:val="26"/>
          <w:szCs w:val="26"/>
        </w:rPr>
      </w:pPr>
      <w:r w:rsidRPr="00AA3FF4">
        <w:rPr>
          <w:sz w:val="26"/>
          <w:szCs w:val="26"/>
        </w:rPr>
        <w:t xml:space="preserve">APRESENTAÇÃO E DISCUSSÃO DOS RESULTADOS </w:t>
      </w:r>
    </w:p>
    <w:p w:rsidR="005C37AC" w:rsidRDefault="005C37AC" w:rsidP="006D3313">
      <w:pPr>
        <w:pStyle w:val="Ttulo2"/>
      </w:pPr>
      <w:r w:rsidRPr="00F00B5E">
        <w:t>Apresentação do Ente</w:t>
      </w:r>
    </w:p>
    <w:p w:rsidR="006D3313" w:rsidRPr="00F00B5E" w:rsidRDefault="006D3313" w:rsidP="005C37AC">
      <w:pPr>
        <w:ind w:firstLine="0"/>
        <w:rPr>
          <w:b/>
          <w:szCs w:val="24"/>
        </w:rPr>
      </w:pPr>
    </w:p>
    <w:p w:rsidR="005C37AC" w:rsidRPr="004D3CDD" w:rsidRDefault="005C37AC" w:rsidP="005C37AC">
      <w:pPr>
        <w:rPr>
          <w:b/>
          <w:szCs w:val="24"/>
        </w:rPr>
      </w:pPr>
      <w:r w:rsidRPr="004D3CDD">
        <w:rPr>
          <w:color w:val="000000"/>
          <w:szCs w:val="24"/>
          <w:shd w:val="clear" w:color="auto" w:fill="FFFFFF"/>
        </w:rPr>
        <w:t>O</w:t>
      </w:r>
      <w:r w:rsidRPr="004D3CDD">
        <w:rPr>
          <w:rStyle w:val="apple-converted-space"/>
          <w:color w:val="000000"/>
          <w:szCs w:val="24"/>
          <w:shd w:val="clear" w:color="auto" w:fill="FFFFFF"/>
        </w:rPr>
        <w:t> </w:t>
      </w:r>
      <w:r w:rsidRPr="004D3CDD">
        <w:rPr>
          <w:bCs/>
          <w:color w:val="000000"/>
          <w:szCs w:val="24"/>
          <w:shd w:val="clear" w:color="auto" w:fill="FFFFFF"/>
        </w:rPr>
        <w:t>Tribunal de Justiça de Santa Catarina</w:t>
      </w:r>
      <w:r w:rsidRPr="004D3CDD">
        <w:rPr>
          <w:rStyle w:val="apple-converted-space"/>
          <w:color w:val="000000"/>
          <w:szCs w:val="24"/>
          <w:shd w:val="clear" w:color="auto" w:fill="FFFFFF"/>
        </w:rPr>
        <w:t> </w:t>
      </w:r>
      <w:r w:rsidRPr="004D3CDD">
        <w:rPr>
          <w:color w:val="000000"/>
          <w:szCs w:val="24"/>
          <w:shd w:val="clear" w:color="auto" w:fill="FFFFFF"/>
        </w:rPr>
        <w:t>(TJSC) é o órgão máximo do</w:t>
      </w:r>
      <w:r w:rsidRPr="004D3CDD">
        <w:rPr>
          <w:rStyle w:val="apple-converted-space"/>
          <w:color w:val="000000"/>
          <w:szCs w:val="24"/>
          <w:shd w:val="clear" w:color="auto" w:fill="FFFFFF"/>
        </w:rPr>
        <w:t> </w:t>
      </w:r>
      <w:hyperlink r:id="rId11" w:tooltip="Poder judiciário" w:history="1">
        <w:r w:rsidRPr="004D3CDD">
          <w:rPr>
            <w:rStyle w:val="Hyperlink"/>
            <w:color w:val="000000"/>
            <w:szCs w:val="24"/>
            <w:u w:val="none"/>
            <w:shd w:val="clear" w:color="auto" w:fill="FFFFFF"/>
          </w:rPr>
          <w:t>Poder Judiciário</w:t>
        </w:r>
      </w:hyperlink>
      <w:r w:rsidRPr="004D3CDD">
        <w:rPr>
          <w:rStyle w:val="apple-converted-space"/>
          <w:color w:val="000000"/>
          <w:szCs w:val="24"/>
          <w:shd w:val="clear" w:color="auto" w:fill="FFFFFF"/>
        </w:rPr>
        <w:t> </w:t>
      </w:r>
      <w:r w:rsidRPr="004D3CDD">
        <w:rPr>
          <w:color w:val="000000"/>
          <w:szCs w:val="24"/>
          <w:shd w:val="clear" w:color="auto" w:fill="FFFFFF"/>
        </w:rPr>
        <w:t>do</w:t>
      </w:r>
      <w:r w:rsidRPr="004D3CDD">
        <w:rPr>
          <w:rStyle w:val="apple-converted-space"/>
          <w:color w:val="000000"/>
          <w:szCs w:val="24"/>
          <w:shd w:val="clear" w:color="auto" w:fill="FFFFFF"/>
        </w:rPr>
        <w:t> </w:t>
      </w:r>
      <w:hyperlink r:id="rId12" w:tooltip="Unidades federativas do Brasil" w:history="1">
        <w:r w:rsidRPr="004D3CDD">
          <w:rPr>
            <w:rStyle w:val="Hyperlink"/>
            <w:color w:val="000000"/>
            <w:szCs w:val="24"/>
            <w:u w:val="none"/>
            <w:shd w:val="clear" w:color="auto" w:fill="FFFFFF"/>
          </w:rPr>
          <w:t>estado</w:t>
        </w:r>
      </w:hyperlink>
      <w:r w:rsidRPr="004D3CDD">
        <w:rPr>
          <w:rStyle w:val="apple-converted-space"/>
          <w:color w:val="000000"/>
          <w:szCs w:val="24"/>
          <w:shd w:val="clear" w:color="auto" w:fill="FFFFFF"/>
        </w:rPr>
        <w:t> </w:t>
      </w:r>
      <w:r w:rsidRPr="004D3CDD">
        <w:rPr>
          <w:color w:val="000000"/>
          <w:szCs w:val="24"/>
          <w:shd w:val="clear" w:color="auto" w:fill="FFFFFF"/>
        </w:rPr>
        <w:t>de</w:t>
      </w:r>
      <w:r w:rsidRPr="004D3CDD">
        <w:rPr>
          <w:rStyle w:val="apple-converted-space"/>
          <w:color w:val="000000"/>
          <w:szCs w:val="24"/>
          <w:shd w:val="clear" w:color="auto" w:fill="FFFFFF"/>
        </w:rPr>
        <w:t> </w:t>
      </w:r>
      <w:hyperlink r:id="rId13" w:tooltip="Santa Catarina" w:history="1">
        <w:r w:rsidRPr="004D3CDD">
          <w:rPr>
            <w:rStyle w:val="Hyperlink"/>
            <w:color w:val="000000"/>
            <w:szCs w:val="24"/>
            <w:u w:val="none"/>
            <w:shd w:val="clear" w:color="auto" w:fill="FFFFFF"/>
          </w:rPr>
          <w:t>Santa Catarina</w:t>
        </w:r>
      </w:hyperlink>
      <w:r w:rsidR="000C4524">
        <w:rPr>
          <w:color w:val="000000"/>
          <w:szCs w:val="24"/>
          <w:shd w:val="clear" w:color="auto" w:fill="FFFFFF"/>
        </w:rPr>
        <w:t>. Este órgão é incumbido de</w:t>
      </w:r>
      <w:r w:rsidRPr="004D3CDD">
        <w:rPr>
          <w:color w:val="000000"/>
          <w:szCs w:val="24"/>
          <w:shd w:val="clear" w:color="auto" w:fill="FFFFFF"/>
        </w:rPr>
        <w:t xml:space="preserve"> analisar os recursos dos processos julgados em</w:t>
      </w:r>
      <w:r w:rsidRPr="004D3CDD">
        <w:rPr>
          <w:rStyle w:val="apple-converted-space"/>
          <w:color w:val="000000"/>
          <w:szCs w:val="24"/>
          <w:shd w:val="clear" w:color="auto" w:fill="FFFFFF"/>
        </w:rPr>
        <w:t> </w:t>
      </w:r>
      <w:hyperlink r:id="rId14" w:tooltip="Primeira instância" w:history="1">
        <w:r w:rsidRPr="004D3CDD">
          <w:rPr>
            <w:rStyle w:val="Hyperlink"/>
            <w:color w:val="000000"/>
            <w:szCs w:val="24"/>
            <w:u w:val="none"/>
            <w:shd w:val="clear" w:color="auto" w:fill="FFFFFF"/>
          </w:rPr>
          <w:t>primeira instância</w:t>
        </w:r>
      </w:hyperlink>
      <w:r w:rsidRPr="004D3CDD">
        <w:rPr>
          <w:color w:val="000000"/>
          <w:szCs w:val="24"/>
          <w:shd w:val="clear" w:color="auto" w:fill="FFFFFF"/>
        </w:rPr>
        <w:t>.</w:t>
      </w:r>
    </w:p>
    <w:p w:rsidR="005C37AC" w:rsidRPr="005C37AC" w:rsidRDefault="005C37AC" w:rsidP="005C37AC">
      <w:pPr>
        <w:rPr>
          <w:bCs/>
          <w:color w:val="000000"/>
          <w:szCs w:val="24"/>
          <w:shd w:val="clear" w:color="auto" w:fill="FFFFFF"/>
        </w:rPr>
      </w:pPr>
      <w:r w:rsidRPr="005C37AC">
        <w:rPr>
          <w:bCs/>
          <w:color w:val="000000"/>
          <w:szCs w:val="24"/>
          <w:shd w:val="clear" w:color="auto" w:fill="FFFFFF"/>
        </w:rPr>
        <w:t xml:space="preserve">O Orçamento do Poder Judiciário de Santa Catarina é composto por duas Unidades Orçamentárias: Tribunal de Justiça e Fundo de Reaparelhamento da Justiça. </w:t>
      </w:r>
    </w:p>
    <w:p w:rsidR="005C37AC" w:rsidRPr="005C37AC" w:rsidRDefault="005C37AC" w:rsidP="005C37AC">
      <w:pPr>
        <w:rPr>
          <w:bCs/>
          <w:color w:val="000000"/>
          <w:szCs w:val="24"/>
          <w:shd w:val="clear" w:color="auto" w:fill="FFFFFF"/>
        </w:rPr>
      </w:pPr>
      <w:r w:rsidRPr="005C37AC">
        <w:rPr>
          <w:bCs/>
          <w:color w:val="000000"/>
          <w:szCs w:val="24"/>
          <w:shd w:val="clear" w:color="auto" w:fill="FFFFFF"/>
        </w:rPr>
        <w:t> A Unidade Orçamentária Tribunal de Justiça (TJ) contempla os repa</w:t>
      </w:r>
      <w:r w:rsidR="000C4524">
        <w:rPr>
          <w:bCs/>
          <w:color w:val="000000"/>
          <w:szCs w:val="24"/>
          <w:shd w:val="clear" w:color="auto" w:fill="FFFFFF"/>
        </w:rPr>
        <w:t>sses recebidos pelo Tesouro do E</w:t>
      </w:r>
      <w:r w:rsidRPr="005C37AC">
        <w:rPr>
          <w:bCs/>
          <w:color w:val="000000"/>
          <w:szCs w:val="24"/>
          <w:shd w:val="clear" w:color="auto" w:fill="FFFFFF"/>
        </w:rPr>
        <w:t xml:space="preserve">stado, bem como a receita oriunda do Sistema de Depósitos Judiciais – </w:t>
      </w:r>
      <w:proofErr w:type="spellStart"/>
      <w:r w:rsidRPr="005C37AC">
        <w:rPr>
          <w:bCs/>
          <w:color w:val="000000"/>
          <w:szCs w:val="24"/>
          <w:shd w:val="clear" w:color="auto" w:fill="FFFFFF"/>
        </w:rPr>
        <w:t>Sidejud</w:t>
      </w:r>
      <w:proofErr w:type="spellEnd"/>
      <w:r w:rsidRPr="005C37AC">
        <w:rPr>
          <w:bCs/>
          <w:color w:val="000000"/>
          <w:szCs w:val="24"/>
          <w:shd w:val="clear" w:color="auto" w:fill="FFFFFF"/>
        </w:rPr>
        <w:t xml:space="preserve">. Estes repasses podem ser aplicados no pagamento de despesas com pessoal ativo e inativo, manutenção em geral do Judiciário, material de consumo, veículos de representação e de serviços em geral, contratação de bolsistas e terceirização. Já os recursos do </w:t>
      </w:r>
      <w:proofErr w:type="spellStart"/>
      <w:r w:rsidRPr="005C37AC">
        <w:rPr>
          <w:bCs/>
          <w:color w:val="000000"/>
          <w:szCs w:val="24"/>
          <w:shd w:val="clear" w:color="auto" w:fill="FFFFFF"/>
        </w:rPr>
        <w:t>Sidejud</w:t>
      </w:r>
      <w:proofErr w:type="spellEnd"/>
      <w:r w:rsidRPr="005C37AC">
        <w:rPr>
          <w:bCs/>
          <w:color w:val="000000"/>
          <w:szCs w:val="24"/>
          <w:shd w:val="clear" w:color="auto" w:fill="FFFFFF"/>
        </w:rPr>
        <w:t xml:space="preserve"> podem ser utilizados no pagamento de despesas com construção, reforma, instalação e manutenção de Casas da Cidadania e Fóruns municipais, modernização das bibliotecas e dos arquivos, bem como da academia judicial, capacitação dos servidores, manutenção, serviços, equipamentos e sistemas de informática, além de aquisição e manutenção de mobiliário e de veículos.</w:t>
      </w:r>
    </w:p>
    <w:p w:rsidR="005C37AC" w:rsidRPr="005C37AC" w:rsidRDefault="005C37AC" w:rsidP="005C37AC">
      <w:pPr>
        <w:pStyle w:val="NormalWeb"/>
        <w:shd w:val="clear" w:color="auto" w:fill="FFFFFF"/>
        <w:spacing w:before="0" w:beforeAutospacing="0" w:after="0" w:afterAutospacing="0"/>
        <w:ind w:firstLine="708"/>
        <w:rPr>
          <w:rFonts w:eastAsia="Calibri"/>
          <w:bCs/>
          <w:color w:val="000000"/>
          <w:shd w:val="clear" w:color="auto" w:fill="FFFFFF"/>
          <w:lang w:eastAsia="en-US"/>
        </w:rPr>
      </w:pPr>
      <w:r w:rsidRPr="005C37AC">
        <w:rPr>
          <w:rFonts w:eastAsia="Calibri"/>
          <w:bCs/>
          <w:color w:val="000000"/>
          <w:shd w:val="clear" w:color="auto" w:fill="FFFFFF"/>
          <w:lang w:eastAsia="en-US"/>
        </w:rPr>
        <w:t>Por sua vez, a Unidade Orçamentária Fundo de Reaparelhamento da Justiça (FRJ) é composta pela arrecadação de custas judiciais e extrajudiciais, taxa judiciária, selo de fiscalização, recebimentos de cobranças de dívida ativa, indenizações e restituições. Tem por objetivo o fortalecimento de recursos financeiros, destinados ao reequipamento físico e tecnológico do Poder Judiciário.</w:t>
      </w:r>
    </w:p>
    <w:p w:rsidR="005C37AC" w:rsidRDefault="005C37AC" w:rsidP="005C37AC">
      <w:pPr>
        <w:pStyle w:val="NormalWeb"/>
        <w:shd w:val="clear" w:color="auto" w:fill="FFFFFF"/>
        <w:spacing w:before="0" w:beforeAutospacing="0" w:after="0" w:afterAutospacing="0"/>
        <w:ind w:firstLine="0"/>
        <w:rPr>
          <w:rFonts w:eastAsia="Calibri"/>
          <w:bCs/>
          <w:color w:val="000000"/>
          <w:shd w:val="clear" w:color="auto" w:fill="FFFFFF"/>
          <w:lang w:eastAsia="en-US"/>
        </w:rPr>
      </w:pPr>
    </w:p>
    <w:p w:rsidR="005C37AC" w:rsidRPr="006D3313" w:rsidRDefault="005C37AC" w:rsidP="005C37AC">
      <w:pPr>
        <w:pStyle w:val="NormalWeb"/>
        <w:shd w:val="clear" w:color="auto" w:fill="FFFFFF"/>
        <w:spacing w:before="0" w:beforeAutospacing="0" w:after="0" w:afterAutospacing="0"/>
        <w:ind w:firstLine="0"/>
        <w:rPr>
          <w:rFonts w:eastAsia="Calibri"/>
          <w:bCs/>
          <w:color w:val="000000"/>
          <w:shd w:val="clear" w:color="auto" w:fill="FFFFFF"/>
          <w:lang w:eastAsia="en-US"/>
        </w:rPr>
      </w:pPr>
      <w:r w:rsidRPr="006D3313">
        <w:rPr>
          <w:rFonts w:eastAsia="Calibri"/>
          <w:bCs/>
          <w:color w:val="000000"/>
          <w:shd w:val="clear" w:color="auto" w:fill="FFFFFF"/>
          <w:lang w:eastAsia="en-US"/>
        </w:rPr>
        <w:t xml:space="preserve">4.2. </w:t>
      </w:r>
      <w:r w:rsidR="006D3313">
        <w:rPr>
          <w:rFonts w:eastAsia="Calibri"/>
          <w:bCs/>
          <w:color w:val="000000"/>
          <w:shd w:val="clear" w:color="auto" w:fill="FFFFFF"/>
          <w:lang w:eastAsia="en-US"/>
        </w:rPr>
        <w:t>EVOLUÇÃO DA EXECUÇÃO ORÇAMENTÁRIA</w:t>
      </w:r>
    </w:p>
    <w:p w:rsidR="006D3313" w:rsidRPr="005C37AC" w:rsidRDefault="006D3313" w:rsidP="005C37AC">
      <w:pPr>
        <w:pStyle w:val="NormalWeb"/>
        <w:shd w:val="clear" w:color="auto" w:fill="FFFFFF"/>
        <w:spacing w:before="0" w:beforeAutospacing="0" w:after="0" w:afterAutospacing="0"/>
        <w:ind w:firstLine="0"/>
        <w:rPr>
          <w:rFonts w:eastAsia="Calibri"/>
          <w:b/>
          <w:bCs/>
          <w:color w:val="000000"/>
          <w:shd w:val="clear" w:color="auto" w:fill="FFFFFF"/>
          <w:lang w:eastAsia="en-US"/>
        </w:rPr>
      </w:pPr>
    </w:p>
    <w:p w:rsidR="005C37AC" w:rsidRDefault="005C37AC" w:rsidP="00531BFF">
      <w:pPr>
        <w:pStyle w:val="NormalWeb"/>
        <w:shd w:val="clear" w:color="auto" w:fill="FFFFFF"/>
        <w:spacing w:before="0" w:beforeAutospacing="0" w:after="0" w:afterAutospacing="0"/>
        <w:rPr>
          <w:rFonts w:eastAsia="Calibri"/>
          <w:bCs/>
          <w:color w:val="000000"/>
          <w:shd w:val="clear" w:color="auto" w:fill="FFFFFF"/>
          <w:lang w:eastAsia="en-US"/>
        </w:rPr>
      </w:pPr>
      <w:r w:rsidRPr="005C37AC">
        <w:rPr>
          <w:rFonts w:eastAsia="Calibri"/>
          <w:bCs/>
          <w:color w:val="000000"/>
          <w:shd w:val="clear" w:color="auto" w:fill="FFFFFF"/>
          <w:lang w:eastAsia="en-US"/>
        </w:rPr>
        <w:t>Analisando o orçamento global do Poder Judiciário Catarinense, no período de 2010 a 2014, verifica-se que o Tribunal de Justiça de Santa Catarina apresenta evolução positiva e crescente da dotação orçamentária autorizada, conforme Tabela 1.</w:t>
      </w:r>
    </w:p>
    <w:p w:rsidR="00D945ED" w:rsidRDefault="00D945ED" w:rsidP="00531BFF">
      <w:pPr>
        <w:pStyle w:val="NormalWeb"/>
        <w:shd w:val="clear" w:color="auto" w:fill="FFFFFF"/>
        <w:spacing w:before="0" w:beforeAutospacing="0" w:after="0" w:afterAutospacing="0"/>
        <w:rPr>
          <w:rFonts w:eastAsia="Calibri"/>
          <w:bCs/>
          <w:color w:val="000000"/>
          <w:shd w:val="clear" w:color="auto" w:fill="FFFFFF"/>
          <w:lang w:eastAsia="en-US"/>
        </w:rPr>
      </w:pPr>
    </w:p>
    <w:p w:rsidR="00D945ED" w:rsidRDefault="00D945ED" w:rsidP="00531BFF">
      <w:pPr>
        <w:pStyle w:val="NormalWeb"/>
        <w:shd w:val="clear" w:color="auto" w:fill="FFFFFF"/>
        <w:spacing w:before="0" w:beforeAutospacing="0" w:after="0" w:afterAutospacing="0"/>
        <w:rPr>
          <w:rFonts w:eastAsia="Calibri"/>
          <w:bCs/>
          <w:color w:val="000000"/>
          <w:shd w:val="clear" w:color="auto" w:fill="FFFFFF"/>
          <w:lang w:eastAsia="en-US"/>
        </w:rPr>
      </w:pPr>
    </w:p>
    <w:p w:rsidR="00D945ED" w:rsidRDefault="00D945ED" w:rsidP="00531BFF">
      <w:pPr>
        <w:pStyle w:val="NormalWeb"/>
        <w:shd w:val="clear" w:color="auto" w:fill="FFFFFF"/>
        <w:spacing w:before="0" w:beforeAutospacing="0" w:after="0" w:afterAutospacing="0"/>
        <w:rPr>
          <w:rFonts w:eastAsia="Calibri"/>
          <w:bCs/>
          <w:color w:val="000000"/>
          <w:shd w:val="clear" w:color="auto" w:fill="FFFFFF"/>
          <w:lang w:eastAsia="en-US"/>
        </w:rPr>
      </w:pPr>
    </w:p>
    <w:p w:rsidR="00D945ED" w:rsidRDefault="00D945ED" w:rsidP="00531BFF">
      <w:pPr>
        <w:pStyle w:val="NormalWeb"/>
        <w:shd w:val="clear" w:color="auto" w:fill="FFFFFF"/>
        <w:spacing w:before="0" w:beforeAutospacing="0" w:after="0" w:afterAutospacing="0"/>
        <w:rPr>
          <w:rFonts w:eastAsia="Calibri"/>
          <w:bCs/>
          <w:color w:val="000000"/>
          <w:shd w:val="clear" w:color="auto" w:fill="FFFFFF"/>
          <w:lang w:eastAsia="en-US"/>
        </w:rPr>
      </w:pPr>
    </w:p>
    <w:p w:rsidR="00D945ED" w:rsidRDefault="00D945ED" w:rsidP="00531BFF">
      <w:pPr>
        <w:pStyle w:val="NormalWeb"/>
        <w:shd w:val="clear" w:color="auto" w:fill="FFFFFF"/>
        <w:spacing w:before="0" w:beforeAutospacing="0" w:after="0" w:afterAutospacing="0"/>
        <w:rPr>
          <w:rFonts w:eastAsia="Calibri"/>
          <w:b/>
          <w:bCs/>
          <w:color w:val="000000"/>
          <w:shd w:val="clear" w:color="auto" w:fill="FFFFFF"/>
          <w:lang w:eastAsia="en-US"/>
        </w:rPr>
      </w:pPr>
    </w:p>
    <w:p w:rsidR="00531BFF" w:rsidRPr="005C37AC" w:rsidRDefault="00531BFF" w:rsidP="00531BFF">
      <w:pPr>
        <w:pStyle w:val="NormalWeb"/>
        <w:shd w:val="clear" w:color="auto" w:fill="FFFFFF"/>
        <w:spacing w:before="0" w:beforeAutospacing="0" w:after="0" w:afterAutospacing="0"/>
        <w:rPr>
          <w:rFonts w:eastAsia="Calibri"/>
          <w:b/>
          <w:bCs/>
          <w:color w:val="000000"/>
          <w:shd w:val="clear" w:color="auto" w:fill="FFFFFF"/>
          <w:lang w:eastAsia="en-US"/>
        </w:rPr>
      </w:pPr>
    </w:p>
    <w:p w:rsidR="005C37AC" w:rsidRPr="005C37AC" w:rsidRDefault="005C37AC" w:rsidP="005C37AC">
      <w:pPr>
        <w:pStyle w:val="NormalWeb"/>
        <w:shd w:val="clear" w:color="auto" w:fill="FFFFFF"/>
        <w:spacing w:before="0" w:beforeAutospacing="0" w:after="0" w:afterAutospacing="0"/>
        <w:ind w:firstLine="0"/>
        <w:jc w:val="center"/>
        <w:rPr>
          <w:rFonts w:eastAsia="Calibri"/>
          <w:b/>
          <w:bCs/>
          <w:color w:val="000000"/>
          <w:shd w:val="clear" w:color="auto" w:fill="FFFFFF"/>
          <w:lang w:eastAsia="en-US"/>
        </w:rPr>
      </w:pPr>
      <w:r w:rsidRPr="005C37AC">
        <w:rPr>
          <w:rFonts w:eastAsia="Calibri"/>
          <w:b/>
          <w:bCs/>
          <w:color w:val="000000"/>
          <w:shd w:val="clear" w:color="auto" w:fill="FFFFFF"/>
          <w:lang w:eastAsia="en-US"/>
        </w:rPr>
        <w:lastRenderedPageBreak/>
        <w:t>Tabela 1 – Evolução da Execução Orçamentária</w:t>
      </w:r>
    </w:p>
    <w:tbl>
      <w:tblPr>
        <w:tblW w:w="9596" w:type="dxa"/>
        <w:tblCellMar>
          <w:left w:w="70" w:type="dxa"/>
          <w:right w:w="70" w:type="dxa"/>
        </w:tblCellMar>
        <w:tblLook w:val="04A0" w:firstRow="1" w:lastRow="0" w:firstColumn="1" w:lastColumn="0" w:noHBand="0" w:noVBand="1"/>
      </w:tblPr>
      <w:tblGrid>
        <w:gridCol w:w="1566"/>
        <w:gridCol w:w="3558"/>
        <w:gridCol w:w="2367"/>
        <w:gridCol w:w="2105"/>
      </w:tblGrid>
      <w:tr w:rsidR="005C37AC" w:rsidRPr="00F00B5E" w:rsidTr="00531BFF">
        <w:trPr>
          <w:trHeight w:val="262"/>
        </w:trPr>
        <w:tc>
          <w:tcPr>
            <w:tcW w:w="1566" w:type="dxa"/>
            <w:tcBorders>
              <w:top w:val="single" w:sz="4" w:space="0" w:color="auto"/>
              <w:left w:val="nil"/>
              <w:bottom w:val="single" w:sz="4" w:space="0" w:color="auto"/>
              <w:right w:val="single" w:sz="4" w:space="0" w:color="auto"/>
            </w:tcBorders>
            <w:shd w:val="clear" w:color="auto" w:fill="D9D9D9"/>
            <w:noWrap/>
            <w:hideMark/>
          </w:tcPr>
          <w:p w:rsidR="005C37AC" w:rsidRPr="00531BFF" w:rsidRDefault="005C37AC" w:rsidP="005C37AC">
            <w:pPr>
              <w:ind w:firstLine="0"/>
              <w:jc w:val="center"/>
              <w:rPr>
                <w:b/>
                <w:bCs/>
                <w:color w:val="000000"/>
                <w:sz w:val="20"/>
                <w:szCs w:val="24"/>
              </w:rPr>
            </w:pPr>
            <w:r w:rsidRPr="00531BFF">
              <w:rPr>
                <w:b/>
                <w:bCs/>
                <w:color w:val="000000"/>
                <w:sz w:val="20"/>
                <w:szCs w:val="24"/>
              </w:rPr>
              <w:t>Ano</w:t>
            </w:r>
          </w:p>
        </w:tc>
        <w:tc>
          <w:tcPr>
            <w:tcW w:w="3558" w:type="dxa"/>
            <w:tcBorders>
              <w:top w:val="single" w:sz="4" w:space="0" w:color="auto"/>
              <w:left w:val="nil"/>
              <w:bottom w:val="single" w:sz="4" w:space="0" w:color="auto"/>
              <w:right w:val="single" w:sz="4" w:space="0" w:color="auto"/>
            </w:tcBorders>
            <w:shd w:val="clear" w:color="auto" w:fill="D9D9D9"/>
            <w:noWrap/>
            <w:hideMark/>
          </w:tcPr>
          <w:p w:rsidR="005C37AC" w:rsidRPr="00531BFF" w:rsidRDefault="005C37AC" w:rsidP="005C37AC">
            <w:pPr>
              <w:ind w:firstLine="0"/>
              <w:jc w:val="center"/>
              <w:rPr>
                <w:b/>
                <w:bCs/>
                <w:color w:val="000000"/>
                <w:sz w:val="20"/>
                <w:szCs w:val="24"/>
              </w:rPr>
            </w:pPr>
            <w:r w:rsidRPr="00531BFF">
              <w:rPr>
                <w:b/>
                <w:bCs/>
                <w:color w:val="000000"/>
                <w:sz w:val="20"/>
                <w:szCs w:val="24"/>
              </w:rPr>
              <w:t>Dotação autorizada</w:t>
            </w:r>
          </w:p>
        </w:tc>
        <w:tc>
          <w:tcPr>
            <w:tcW w:w="2367" w:type="dxa"/>
            <w:tcBorders>
              <w:top w:val="single" w:sz="4" w:space="0" w:color="auto"/>
              <w:left w:val="nil"/>
              <w:bottom w:val="single" w:sz="4" w:space="0" w:color="auto"/>
              <w:right w:val="nil"/>
            </w:tcBorders>
            <w:shd w:val="clear" w:color="auto" w:fill="D9D9D9"/>
            <w:noWrap/>
            <w:hideMark/>
          </w:tcPr>
          <w:p w:rsidR="005C37AC" w:rsidRPr="00531BFF" w:rsidRDefault="005C37AC" w:rsidP="005C37AC">
            <w:pPr>
              <w:ind w:firstLine="0"/>
              <w:jc w:val="center"/>
              <w:rPr>
                <w:b/>
                <w:bCs/>
                <w:color w:val="000000"/>
                <w:sz w:val="20"/>
                <w:szCs w:val="24"/>
              </w:rPr>
            </w:pPr>
            <w:r w:rsidRPr="00531BFF">
              <w:rPr>
                <w:b/>
                <w:bCs/>
                <w:color w:val="000000"/>
                <w:sz w:val="20"/>
                <w:szCs w:val="24"/>
              </w:rPr>
              <w:t>Empenhada</w:t>
            </w:r>
          </w:p>
        </w:tc>
        <w:tc>
          <w:tcPr>
            <w:tcW w:w="2105" w:type="dxa"/>
            <w:tcBorders>
              <w:top w:val="single" w:sz="4" w:space="0" w:color="auto"/>
              <w:left w:val="single" w:sz="4" w:space="0" w:color="auto"/>
              <w:bottom w:val="single" w:sz="4" w:space="0" w:color="auto"/>
              <w:right w:val="single" w:sz="4" w:space="0" w:color="auto"/>
            </w:tcBorders>
            <w:shd w:val="clear" w:color="auto" w:fill="D9D9D9"/>
            <w:noWrap/>
            <w:hideMark/>
          </w:tcPr>
          <w:p w:rsidR="005C37AC" w:rsidRPr="00531BFF" w:rsidRDefault="005C37AC" w:rsidP="005C37AC">
            <w:pPr>
              <w:ind w:firstLine="0"/>
              <w:jc w:val="center"/>
              <w:rPr>
                <w:b/>
                <w:bCs/>
                <w:color w:val="000000"/>
                <w:sz w:val="20"/>
                <w:szCs w:val="24"/>
              </w:rPr>
            </w:pPr>
            <w:r w:rsidRPr="00531BFF">
              <w:rPr>
                <w:b/>
                <w:bCs/>
                <w:color w:val="000000"/>
                <w:sz w:val="20"/>
                <w:szCs w:val="24"/>
              </w:rPr>
              <w:t>AV</w:t>
            </w:r>
          </w:p>
        </w:tc>
      </w:tr>
      <w:tr w:rsidR="005C37AC" w:rsidRPr="00F00B5E" w:rsidTr="00531BFF">
        <w:trPr>
          <w:trHeight w:val="226"/>
        </w:trPr>
        <w:tc>
          <w:tcPr>
            <w:tcW w:w="1566" w:type="dxa"/>
            <w:tcBorders>
              <w:top w:val="nil"/>
              <w:left w:val="nil"/>
              <w:bottom w:val="single" w:sz="4" w:space="0" w:color="auto"/>
              <w:right w:val="single" w:sz="4" w:space="0" w:color="auto"/>
            </w:tcBorders>
            <w:shd w:val="clear" w:color="auto" w:fill="auto"/>
            <w:noWrap/>
            <w:hideMark/>
          </w:tcPr>
          <w:p w:rsidR="005C37AC" w:rsidRPr="00531BFF" w:rsidRDefault="005C37AC" w:rsidP="005C37AC">
            <w:pPr>
              <w:ind w:firstLine="0"/>
              <w:jc w:val="center"/>
              <w:rPr>
                <w:b/>
                <w:bCs/>
                <w:color w:val="000000"/>
                <w:sz w:val="20"/>
                <w:szCs w:val="24"/>
              </w:rPr>
            </w:pPr>
            <w:r w:rsidRPr="00531BFF">
              <w:rPr>
                <w:b/>
                <w:bCs/>
                <w:color w:val="000000"/>
                <w:sz w:val="20"/>
                <w:szCs w:val="24"/>
              </w:rPr>
              <w:t>2010</w:t>
            </w:r>
          </w:p>
        </w:tc>
        <w:tc>
          <w:tcPr>
            <w:tcW w:w="3558" w:type="dxa"/>
            <w:tcBorders>
              <w:top w:val="nil"/>
              <w:left w:val="nil"/>
              <w:bottom w:val="single" w:sz="4" w:space="0" w:color="auto"/>
              <w:right w:val="single" w:sz="4" w:space="0" w:color="auto"/>
            </w:tcBorders>
            <w:shd w:val="clear" w:color="auto" w:fill="auto"/>
            <w:noWrap/>
            <w:hideMark/>
          </w:tcPr>
          <w:p w:rsidR="005C37AC" w:rsidRPr="00531BFF" w:rsidRDefault="005C37AC" w:rsidP="005C37AC">
            <w:pPr>
              <w:ind w:firstLine="0"/>
              <w:jc w:val="center"/>
              <w:rPr>
                <w:color w:val="000000"/>
                <w:sz w:val="20"/>
                <w:szCs w:val="24"/>
              </w:rPr>
            </w:pPr>
            <w:r w:rsidRPr="00531BFF">
              <w:rPr>
                <w:color w:val="000000"/>
                <w:sz w:val="20"/>
                <w:szCs w:val="24"/>
              </w:rPr>
              <w:t>1.078.284.827,36</w:t>
            </w:r>
          </w:p>
        </w:tc>
        <w:tc>
          <w:tcPr>
            <w:tcW w:w="2367" w:type="dxa"/>
            <w:tcBorders>
              <w:top w:val="nil"/>
              <w:left w:val="nil"/>
              <w:bottom w:val="single" w:sz="4" w:space="0" w:color="auto"/>
              <w:right w:val="nil"/>
            </w:tcBorders>
            <w:shd w:val="clear" w:color="auto" w:fill="auto"/>
            <w:noWrap/>
            <w:hideMark/>
          </w:tcPr>
          <w:p w:rsidR="005C37AC" w:rsidRPr="00531BFF" w:rsidRDefault="005C37AC" w:rsidP="005C37AC">
            <w:pPr>
              <w:ind w:firstLine="0"/>
              <w:jc w:val="center"/>
              <w:rPr>
                <w:color w:val="000000"/>
                <w:sz w:val="20"/>
                <w:szCs w:val="24"/>
              </w:rPr>
            </w:pPr>
            <w:r w:rsidRPr="00531BFF">
              <w:rPr>
                <w:color w:val="000000"/>
                <w:sz w:val="20"/>
                <w:szCs w:val="24"/>
              </w:rPr>
              <w:t>975.189.213,43</w:t>
            </w:r>
          </w:p>
        </w:tc>
        <w:tc>
          <w:tcPr>
            <w:tcW w:w="2105" w:type="dxa"/>
            <w:tcBorders>
              <w:top w:val="nil"/>
              <w:left w:val="single" w:sz="4" w:space="0" w:color="auto"/>
              <w:bottom w:val="single" w:sz="4" w:space="0" w:color="auto"/>
              <w:right w:val="nil"/>
            </w:tcBorders>
            <w:shd w:val="clear" w:color="auto" w:fill="auto"/>
            <w:noWrap/>
            <w:hideMark/>
          </w:tcPr>
          <w:p w:rsidR="005C37AC" w:rsidRPr="00531BFF" w:rsidRDefault="005C37AC" w:rsidP="005C37AC">
            <w:pPr>
              <w:ind w:firstLine="0"/>
              <w:jc w:val="center"/>
              <w:rPr>
                <w:color w:val="000000"/>
                <w:sz w:val="20"/>
                <w:szCs w:val="24"/>
              </w:rPr>
            </w:pPr>
            <w:r w:rsidRPr="00531BFF">
              <w:rPr>
                <w:color w:val="000000"/>
                <w:sz w:val="20"/>
                <w:szCs w:val="24"/>
              </w:rPr>
              <w:t>90%</w:t>
            </w:r>
          </w:p>
        </w:tc>
      </w:tr>
      <w:tr w:rsidR="005C37AC" w:rsidRPr="00F00B5E" w:rsidTr="00531BFF">
        <w:trPr>
          <w:trHeight w:val="262"/>
        </w:trPr>
        <w:tc>
          <w:tcPr>
            <w:tcW w:w="1566" w:type="dxa"/>
            <w:tcBorders>
              <w:top w:val="nil"/>
              <w:left w:val="nil"/>
              <w:bottom w:val="single" w:sz="4" w:space="0" w:color="auto"/>
              <w:right w:val="single" w:sz="4" w:space="0" w:color="auto"/>
            </w:tcBorders>
            <w:shd w:val="clear" w:color="auto" w:fill="auto"/>
            <w:noWrap/>
            <w:hideMark/>
          </w:tcPr>
          <w:p w:rsidR="005C37AC" w:rsidRPr="00531BFF" w:rsidRDefault="005C37AC" w:rsidP="005C37AC">
            <w:pPr>
              <w:ind w:firstLine="0"/>
              <w:jc w:val="center"/>
              <w:rPr>
                <w:b/>
                <w:bCs/>
                <w:color w:val="000000"/>
                <w:sz w:val="20"/>
                <w:szCs w:val="24"/>
              </w:rPr>
            </w:pPr>
            <w:r w:rsidRPr="00531BFF">
              <w:rPr>
                <w:b/>
                <w:bCs/>
                <w:color w:val="000000"/>
                <w:sz w:val="20"/>
                <w:szCs w:val="24"/>
              </w:rPr>
              <w:t>2011</w:t>
            </w:r>
          </w:p>
        </w:tc>
        <w:tc>
          <w:tcPr>
            <w:tcW w:w="3558" w:type="dxa"/>
            <w:tcBorders>
              <w:top w:val="nil"/>
              <w:left w:val="nil"/>
              <w:bottom w:val="single" w:sz="4" w:space="0" w:color="auto"/>
              <w:right w:val="single" w:sz="4" w:space="0" w:color="auto"/>
            </w:tcBorders>
            <w:shd w:val="clear" w:color="auto" w:fill="auto"/>
            <w:noWrap/>
            <w:hideMark/>
          </w:tcPr>
          <w:p w:rsidR="005C37AC" w:rsidRPr="00531BFF" w:rsidRDefault="005C37AC" w:rsidP="005C37AC">
            <w:pPr>
              <w:ind w:firstLine="0"/>
              <w:jc w:val="center"/>
              <w:rPr>
                <w:color w:val="000000"/>
                <w:sz w:val="20"/>
                <w:szCs w:val="24"/>
              </w:rPr>
            </w:pPr>
            <w:r w:rsidRPr="00531BFF">
              <w:rPr>
                <w:color w:val="000000"/>
                <w:sz w:val="20"/>
                <w:szCs w:val="24"/>
              </w:rPr>
              <w:t>1.341.974.170,31</w:t>
            </w:r>
          </w:p>
        </w:tc>
        <w:tc>
          <w:tcPr>
            <w:tcW w:w="2367" w:type="dxa"/>
            <w:tcBorders>
              <w:top w:val="nil"/>
              <w:left w:val="nil"/>
              <w:bottom w:val="single" w:sz="4" w:space="0" w:color="auto"/>
              <w:right w:val="nil"/>
            </w:tcBorders>
            <w:shd w:val="clear" w:color="auto" w:fill="auto"/>
            <w:noWrap/>
            <w:hideMark/>
          </w:tcPr>
          <w:p w:rsidR="005C37AC" w:rsidRPr="00531BFF" w:rsidRDefault="005C37AC" w:rsidP="005C37AC">
            <w:pPr>
              <w:ind w:firstLine="0"/>
              <w:jc w:val="center"/>
              <w:rPr>
                <w:color w:val="000000"/>
                <w:sz w:val="20"/>
                <w:szCs w:val="24"/>
              </w:rPr>
            </w:pPr>
            <w:r w:rsidRPr="00531BFF">
              <w:rPr>
                <w:color w:val="000000"/>
                <w:sz w:val="20"/>
                <w:szCs w:val="24"/>
              </w:rPr>
              <w:t>1.200.188.112,10</w:t>
            </w:r>
          </w:p>
        </w:tc>
        <w:tc>
          <w:tcPr>
            <w:tcW w:w="2105" w:type="dxa"/>
            <w:tcBorders>
              <w:top w:val="nil"/>
              <w:left w:val="single" w:sz="4" w:space="0" w:color="auto"/>
              <w:bottom w:val="single" w:sz="4" w:space="0" w:color="auto"/>
              <w:right w:val="nil"/>
            </w:tcBorders>
            <w:shd w:val="clear" w:color="auto" w:fill="auto"/>
            <w:noWrap/>
            <w:hideMark/>
          </w:tcPr>
          <w:p w:rsidR="005C37AC" w:rsidRPr="00531BFF" w:rsidRDefault="005C37AC" w:rsidP="005C37AC">
            <w:pPr>
              <w:ind w:firstLine="0"/>
              <w:jc w:val="center"/>
              <w:rPr>
                <w:color w:val="000000"/>
                <w:sz w:val="20"/>
                <w:szCs w:val="24"/>
              </w:rPr>
            </w:pPr>
            <w:r w:rsidRPr="00531BFF">
              <w:rPr>
                <w:color w:val="000000"/>
                <w:sz w:val="20"/>
                <w:szCs w:val="24"/>
              </w:rPr>
              <w:t>89%</w:t>
            </w:r>
          </w:p>
        </w:tc>
      </w:tr>
      <w:tr w:rsidR="005C37AC" w:rsidRPr="00F00B5E" w:rsidTr="00531BFF">
        <w:trPr>
          <w:trHeight w:val="262"/>
        </w:trPr>
        <w:tc>
          <w:tcPr>
            <w:tcW w:w="1566" w:type="dxa"/>
            <w:tcBorders>
              <w:top w:val="nil"/>
              <w:left w:val="nil"/>
              <w:bottom w:val="single" w:sz="4" w:space="0" w:color="auto"/>
              <w:right w:val="single" w:sz="4" w:space="0" w:color="auto"/>
            </w:tcBorders>
            <w:shd w:val="clear" w:color="auto" w:fill="auto"/>
            <w:noWrap/>
            <w:hideMark/>
          </w:tcPr>
          <w:p w:rsidR="005C37AC" w:rsidRPr="00531BFF" w:rsidRDefault="005C37AC" w:rsidP="005C37AC">
            <w:pPr>
              <w:ind w:firstLine="0"/>
              <w:jc w:val="center"/>
              <w:rPr>
                <w:b/>
                <w:bCs/>
                <w:color w:val="000000"/>
                <w:sz w:val="20"/>
                <w:szCs w:val="24"/>
              </w:rPr>
            </w:pPr>
            <w:r w:rsidRPr="00531BFF">
              <w:rPr>
                <w:b/>
                <w:bCs/>
                <w:color w:val="000000"/>
                <w:sz w:val="20"/>
                <w:szCs w:val="24"/>
              </w:rPr>
              <w:t>2012</w:t>
            </w:r>
          </w:p>
        </w:tc>
        <w:tc>
          <w:tcPr>
            <w:tcW w:w="3558" w:type="dxa"/>
            <w:tcBorders>
              <w:top w:val="nil"/>
              <w:left w:val="nil"/>
              <w:bottom w:val="single" w:sz="4" w:space="0" w:color="auto"/>
              <w:right w:val="single" w:sz="4" w:space="0" w:color="auto"/>
            </w:tcBorders>
            <w:shd w:val="clear" w:color="auto" w:fill="auto"/>
            <w:noWrap/>
            <w:hideMark/>
          </w:tcPr>
          <w:p w:rsidR="005C37AC" w:rsidRPr="00531BFF" w:rsidRDefault="005C37AC" w:rsidP="005C37AC">
            <w:pPr>
              <w:ind w:firstLine="0"/>
              <w:jc w:val="center"/>
              <w:rPr>
                <w:color w:val="000000"/>
                <w:sz w:val="20"/>
                <w:szCs w:val="24"/>
              </w:rPr>
            </w:pPr>
            <w:r w:rsidRPr="00531BFF">
              <w:rPr>
                <w:color w:val="000000"/>
                <w:sz w:val="20"/>
                <w:szCs w:val="24"/>
              </w:rPr>
              <w:t>1.588.657.079,67</w:t>
            </w:r>
          </w:p>
        </w:tc>
        <w:tc>
          <w:tcPr>
            <w:tcW w:w="2367" w:type="dxa"/>
            <w:tcBorders>
              <w:top w:val="nil"/>
              <w:left w:val="nil"/>
              <w:bottom w:val="single" w:sz="4" w:space="0" w:color="auto"/>
              <w:right w:val="nil"/>
            </w:tcBorders>
            <w:shd w:val="clear" w:color="auto" w:fill="auto"/>
            <w:noWrap/>
            <w:hideMark/>
          </w:tcPr>
          <w:p w:rsidR="005C37AC" w:rsidRPr="00531BFF" w:rsidRDefault="005C37AC" w:rsidP="005C37AC">
            <w:pPr>
              <w:ind w:firstLine="0"/>
              <w:jc w:val="center"/>
              <w:rPr>
                <w:color w:val="000000"/>
                <w:sz w:val="20"/>
                <w:szCs w:val="24"/>
              </w:rPr>
            </w:pPr>
            <w:r w:rsidRPr="00531BFF">
              <w:rPr>
                <w:color w:val="000000"/>
                <w:sz w:val="20"/>
                <w:szCs w:val="24"/>
              </w:rPr>
              <w:t>1.288.244.028,99</w:t>
            </w:r>
          </w:p>
        </w:tc>
        <w:tc>
          <w:tcPr>
            <w:tcW w:w="2105" w:type="dxa"/>
            <w:tcBorders>
              <w:top w:val="nil"/>
              <w:left w:val="single" w:sz="4" w:space="0" w:color="auto"/>
              <w:bottom w:val="single" w:sz="4" w:space="0" w:color="auto"/>
              <w:right w:val="nil"/>
            </w:tcBorders>
            <w:shd w:val="clear" w:color="auto" w:fill="auto"/>
            <w:noWrap/>
            <w:hideMark/>
          </w:tcPr>
          <w:p w:rsidR="005C37AC" w:rsidRPr="00531BFF" w:rsidRDefault="005C37AC" w:rsidP="005C37AC">
            <w:pPr>
              <w:ind w:firstLine="0"/>
              <w:jc w:val="center"/>
              <w:rPr>
                <w:color w:val="000000"/>
                <w:sz w:val="20"/>
                <w:szCs w:val="24"/>
              </w:rPr>
            </w:pPr>
            <w:r w:rsidRPr="00531BFF">
              <w:rPr>
                <w:color w:val="000000"/>
                <w:sz w:val="20"/>
                <w:szCs w:val="24"/>
              </w:rPr>
              <w:t>81%</w:t>
            </w:r>
          </w:p>
        </w:tc>
      </w:tr>
      <w:tr w:rsidR="005C37AC" w:rsidRPr="00F00B5E" w:rsidTr="00531BFF">
        <w:trPr>
          <w:trHeight w:val="262"/>
        </w:trPr>
        <w:tc>
          <w:tcPr>
            <w:tcW w:w="1566" w:type="dxa"/>
            <w:tcBorders>
              <w:top w:val="nil"/>
              <w:left w:val="nil"/>
              <w:bottom w:val="single" w:sz="4" w:space="0" w:color="auto"/>
              <w:right w:val="single" w:sz="4" w:space="0" w:color="auto"/>
            </w:tcBorders>
            <w:shd w:val="clear" w:color="auto" w:fill="auto"/>
            <w:noWrap/>
            <w:hideMark/>
          </w:tcPr>
          <w:p w:rsidR="005C37AC" w:rsidRPr="00531BFF" w:rsidRDefault="005C37AC" w:rsidP="005C37AC">
            <w:pPr>
              <w:ind w:firstLine="0"/>
              <w:jc w:val="center"/>
              <w:rPr>
                <w:b/>
                <w:bCs/>
                <w:color w:val="000000"/>
                <w:sz w:val="20"/>
                <w:szCs w:val="24"/>
              </w:rPr>
            </w:pPr>
            <w:r w:rsidRPr="00531BFF">
              <w:rPr>
                <w:b/>
                <w:bCs/>
                <w:color w:val="000000"/>
                <w:sz w:val="20"/>
                <w:szCs w:val="24"/>
              </w:rPr>
              <w:t>2013</w:t>
            </w:r>
          </w:p>
        </w:tc>
        <w:tc>
          <w:tcPr>
            <w:tcW w:w="3558" w:type="dxa"/>
            <w:tcBorders>
              <w:top w:val="nil"/>
              <w:left w:val="nil"/>
              <w:bottom w:val="single" w:sz="4" w:space="0" w:color="auto"/>
              <w:right w:val="single" w:sz="4" w:space="0" w:color="auto"/>
            </w:tcBorders>
            <w:shd w:val="clear" w:color="auto" w:fill="auto"/>
            <w:noWrap/>
            <w:hideMark/>
          </w:tcPr>
          <w:p w:rsidR="005C37AC" w:rsidRPr="00531BFF" w:rsidRDefault="005C37AC" w:rsidP="005C37AC">
            <w:pPr>
              <w:ind w:firstLine="0"/>
              <w:jc w:val="center"/>
              <w:rPr>
                <w:color w:val="000000"/>
                <w:sz w:val="20"/>
                <w:szCs w:val="24"/>
              </w:rPr>
            </w:pPr>
            <w:r w:rsidRPr="00531BFF">
              <w:rPr>
                <w:color w:val="000000"/>
                <w:sz w:val="20"/>
                <w:szCs w:val="24"/>
              </w:rPr>
              <w:t>1.728.324.320,14</w:t>
            </w:r>
          </w:p>
        </w:tc>
        <w:tc>
          <w:tcPr>
            <w:tcW w:w="2367" w:type="dxa"/>
            <w:tcBorders>
              <w:top w:val="nil"/>
              <w:left w:val="nil"/>
              <w:bottom w:val="single" w:sz="4" w:space="0" w:color="auto"/>
              <w:right w:val="nil"/>
            </w:tcBorders>
            <w:shd w:val="clear" w:color="auto" w:fill="auto"/>
            <w:noWrap/>
            <w:hideMark/>
          </w:tcPr>
          <w:p w:rsidR="005C37AC" w:rsidRPr="00531BFF" w:rsidRDefault="005C37AC" w:rsidP="005C37AC">
            <w:pPr>
              <w:ind w:firstLine="0"/>
              <w:jc w:val="center"/>
              <w:rPr>
                <w:color w:val="000000"/>
                <w:sz w:val="20"/>
                <w:szCs w:val="24"/>
              </w:rPr>
            </w:pPr>
            <w:r w:rsidRPr="00531BFF">
              <w:rPr>
                <w:color w:val="000000"/>
                <w:sz w:val="20"/>
                <w:szCs w:val="24"/>
              </w:rPr>
              <w:t>1.558.721.310,47</w:t>
            </w:r>
          </w:p>
        </w:tc>
        <w:tc>
          <w:tcPr>
            <w:tcW w:w="2105" w:type="dxa"/>
            <w:tcBorders>
              <w:top w:val="nil"/>
              <w:left w:val="single" w:sz="4" w:space="0" w:color="auto"/>
              <w:bottom w:val="single" w:sz="4" w:space="0" w:color="auto"/>
              <w:right w:val="nil"/>
            </w:tcBorders>
            <w:shd w:val="clear" w:color="auto" w:fill="auto"/>
            <w:noWrap/>
            <w:hideMark/>
          </w:tcPr>
          <w:p w:rsidR="005C37AC" w:rsidRPr="00531BFF" w:rsidRDefault="005C37AC" w:rsidP="005C37AC">
            <w:pPr>
              <w:ind w:firstLine="0"/>
              <w:jc w:val="center"/>
              <w:rPr>
                <w:color w:val="000000"/>
                <w:sz w:val="20"/>
                <w:szCs w:val="24"/>
              </w:rPr>
            </w:pPr>
            <w:r w:rsidRPr="00531BFF">
              <w:rPr>
                <w:color w:val="000000"/>
                <w:sz w:val="20"/>
                <w:szCs w:val="24"/>
              </w:rPr>
              <w:t>90%</w:t>
            </w:r>
          </w:p>
        </w:tc>
      </w:tr>
      <w:tr w:rsidR="005C37AC" w:rsidRPr="00F00B5E" w:rsidTr="00531BFF">
        <w:trPr>
          <w:trHeight w:val="141"/>
        </w:trPr>
        <w:tc>
          <w:tcPr>
            <w:tcW w:w="1566" w:type="dxa"/>
            <w:tcBorders>
              <w:top w:val="nil"/>
              <w:left w:val="nil"/>
              <w:bottom w:val="single" w:sz="4" w:space="0" w:color="auto"/>
              <w:right w:val="single" w:sz="4" w:space="0" w:color="auto"/>
            </w:tcBorders>
            <w:shd w:val="clear" w:color="auto" w:fill="auto"/>
            <w:noWrap/>
            <w:hideMark/>
          </w:tcPr>
          <w:p w:rsidR="005C37AC" w:rsidRPr="00531BFF" w:rsidRDefault="005C37AC" w:rsidP="005C37AC">
            <w:pPr>
              <w:ind w:firstLine="0"/>
              <w:jc w:val="center"/>
              <w:rPr>
                <w:b/>
                <w:bCs/>
                <w:color w:val="000000"/>
                <w:sz w:val="20"/>
                <w:szCs w:val="24"/>
              </w:rPr>
            </w:pPr>
            <w:r w:rsidRPr="00531BFF">
              <w:rPr>
                <w:b/>
                <w:bCs/>
                <w:color w:val="000000"/>
                <w:sz w:val="20"/>
                <w:szCs w:val="24"/>
              </w:rPr>
              <w:t>2014</w:t>
            </w:r>
          </w:p>
        </w:tc>
        <w:tc>
          <w:tcPr>
            <w:tcW w:w="3558" w:type="dxa"/>
            <w:tcBorders>
              <w:top w:val="nil"/>
              <w:left w:val="nil"/>
              <w:bottom w:val="single" w:sz="4" w:space="0" w:color="auto"/>
              <w:right w:val="single" w:sz="4" w:space="0" w:color="auto"/>
            </w:tcBorders>
            <w:shd w:val="clear" w:color="auto" w:fill="auto"/>
            <w:noWrap/>
            <w:hideMark/>
          </w:tcPr>
          <w:p w:rsidR="005C37AC" w:rsidRPr="00531BFF" w:rsidRDefault="005C37AC" w:rsidP="005C37AC">
            <w:pPr>
              <w:ind w:firstLine="0"/>
              <w:jc w:val="center"/>
              <w:rPr>
                <w:color w:val="000000"/>
                <w:sz w:val="20"/>
                <w:szCs w:val="24"/>
              </w:rPr>
            </w:pPr>
            <w:r w:rsidRPr="00531BFF">
              <w:rPr>
                <w:color w:val="000000"/>
                <w:sz w:val="20"/>
                <w:szCs w:val="24"/>
              </w:rPr>
              <w:t>1.930.164.068,39</w:t>
            </w:r>
          </w:p>
        </w:tc>
        <w:tc>
          <w:tcPr>
            <w:tcW w:w="2367" w:type="dxa"/>
            <w:tcBorders>
              <w:top w:val="nil"/>
              <w:left w:val="nil"/>
              <w:bottom w:val="single" w:sz="4" w:space="0" w:color="auto"/>
              <w:right w:val="nil"/>
            </w:tcBorders>
            <w:shd w:val="clear" w:color="auto" w:fill="auto"/>
            <w:noWrap/>
            <w:hideMark/>
          </w:tcPr>
          <w:p w:rsidR="005C37AC" w:rsidRPr="00531BFF" w:rsidRDefault="005C37AC" w:rsidP="005C37AC">
            <w:pPr>
              <w:ind w:firstLine="0"/>
              <w:jc w:val="center"/>
              <w:rPr>
                <w:color w:val="000000"/>
                <w:sz w:val="20"/>
                <w:szCs w:val="24"/>
              </w:rPr>
            </w:pPr>
            <w:r w:rsidRPr="00531BFF">
              <w:rPr>
                <w:color w:val="000000"/>
                <w:sz w:val="20"/>
                <w:szCs w:val="24"/>
              </w:rPr>
              <w:t>1.746.369.135,96</w:t>
            </w:r>
          </w:p>
        </w:tc>
        <w:tc>
          <w:tcPr>
            <w:tcW w:w="2105" w:type="dxa"/>
            <w:tcBorders>
              <w:top w:val="nil"/>
              <w:left w:val="single" w:sz="4" w:space="0" w:color="auto"/>
              <w:bottom w:val="single" w:sz="4" w:space="0" w:color="auto"/>
              <w:right w:val="nil"/>
            </w:tcBorders>
            <w:shd w:val="clear" w:color="auto" w:fill="auto"/>
            <w:noWrap/>
            <w:hideMark/>
          </w:tcPr>
          <w:p w:rsidR="005C37AC" w:rsidRPr="00531BFF" w:rsidRDefault="005C37AC" w:rsidP="005C37AC">
            <w:pPr>
              <w:ind w:firstLine="0"/>
              <w:jc w:val="center"/>
              <w:rPr>
                <w:color w:val="000000"/>
                <w:sz w:val="20"/>
                <w:szCs w:val="24"/>
              </w:rPr>
            </w:pPr>
            <w:r w:rsidRPr="00531BFF">
              <w:rPr>
                <w:color w:val="000000"/>
                <w:sz w:val="20"/>
                <w:szCs w:val="24"/>
              </w:rPr>
              <w:t>90%</w:t>
            </w:r>
          </w:p>
        </w:tc>
      </w:tr>
    </w:tbl>
    <w:p w:rsidR="005C37AC" w:rsidRPr="00B21EC2" w:rsidRDefault="005C37AC" w:rsidP="00B21EC2">
      <w:pPr>
        <w:ind w:firstLine="0"/>
        <w:jc w:val="center"/>
        <w:rPr>
          <w:bCs/>
          <w:color w:val="000000"/>
          <w:szCs w:val="24"/>
          <w:shd w:val="clear" w:color="auto" w:fill="FFFFFF"/>
        </w:rPr>
      </w:pPr>
      <w:r w:rsidRPr="005C37AC">
        <w:rPr>
          <w:rFonts w:eastAsia="Calibri"/>
          <w:bCs/>
          <w:color w:val="000000"/>
          <w:shd w:val="clear" w:color="auto" w:fill="FFFFFF"/>
          <w:lang w:eastAsia="en-US"/>
        </w:rPr>
        <w:t xml:space="preserve">Fonte: </w:t>
      </w:r>
      <w:r w:rsidR="00B21EC2">
        <w:rPr>
          <w:rFonts w:eastAsia="Calibri"/>
          <w:bCs/>
          <w:color w:val="000000"/>
          <w:shd w:val="clear" w:color="auto" w:fill="FFFFFF"/>
          <w:lang w:eastAsia="en-US"/>
        </w:rPr>
        <w:t>Elaborado pelas autoras a partir dos dados dos demonstrativos contábeis do TJSC</w:t>
      </w:r>
    </w:p>
    <w:p w:rsidR="005C37AC" w:rsidRPr="005C37AC" w:rsidRDefault="005C37AC" w:rsidP="005C37AC">
      <w:pPr>
        <w:pStyle w:val="NormalWeb"/>
        <w:shd w:val="clear" w:color="auto" w:fill="FFFFFF"/>
        <w:spacing w:before="0" w:beforeAutospacing="0" w:after="0" w:afterAutospacing="0"/>
        <w:rPr>
          <w:rFonts w:eastAsia="Calibri"/>
          <w:bCs/>
          <w:color w:val="000000"/>
          <w:shd w:val="clear" w:color="auto" w:fill="FFFFFF"/>
          <w:lang w:eastAsia="en-US"/>
        </w:rPr>
      </w:pPr>
    </w:p>
    <w:p w:rsidR="005C37AC" w:rsidRPr="005C37AC" w:rsidRDefault="005C37AC" w:rsidP="005C37AC">
      <w:pPr>
        <w:pStyle w:val="NormalWeb"/>
        <w:shd w:val="clear" w:color="auto" w:fill="FFFFFF"/>
        <w:spacing w:before="0" w:beforeAutospacing="0" w:after="0" w:afterAutospacing="0"/>
        <w:rPr>
          <w:rFonts w:eastAsia="Calibri"/>
          <w:bCs/>
          <w:color w:val="000000"/>
          <w:shd w:val="clear" w:color="auto" w:fill="FFFFFF"/>
          <w:lang w:eastAsia="en-US"/>
        </w:rPr>
      </w:pPr>
      <w:r w:rsidRPr="005C37AC">
        <w:rPr>
          <w:rFonts w:eastAsia="Calibri"/>
          <w:bCs/>
          <w:color w:val="000000"/>
          <w:shd w:val="clear" w:color="auto" w:fill="FFFFFF"/>
          <w:lang w:eastAsia="en-US"/>
        </w:rPr>
        <w:t xml:space="preserve">Conforme Tabela 1, no primeiro ano do exercício estudado, tem-se uma dotação orçamentária de R$ 1.078.284.827,36, crescendo em uma proporção bastante semelhante ao longo no período. No último exercício analisado, o orçamento autorizado havia praticamente dobrado em relação ao exercício inicial. </w:t>
      </w:r>
    </w:p>
    <w:p w:rsidR="005C37AC" w:rsidRPr="005C37AC" w:rsidRDefault="005C37AC" w:rsidP="005C37AC">
      <w:pPr>
        <w:pStyle w:val="NormalWeb"/>
        <w:shd w:val="clear" w:color="auto" w:fill="FFFFFF"/>
        <w:spacing w:before="0" w:beforeAutospacing="0" w:after="0" w:afterAutospacing="0"/>
        <w:ind w:firstLine="708"/>
        <w:rPr>
          <w:rFonts w:eastAsia="Calibri"/>
          <w:bCs/>
          <w:color w:val="000000"/>
          <w:shd w:val="clear" w:color="auto" w:fill="FFFFFF"/>
          <w:lang w:eastAsia="en-US"/>
        </w:rPr>
      </w:pPr>
      <w:r w:rsidRPr="005C37AC">
        <w:rPr>
          <w:rFonts w:eastAsia="Calibri"/>
          <w:bCs/>
          <w:color w:val="000000"/>
          <w:shd w:val="clear" w:color="auto" w:fill="FFFFFF"/>
          <w:lang w:eastAsia="en-US"/>
        </w:rPr>
        <w:t>Quanto aos valores empenhados, o Tribunal de Justiça de Santa Catarina tem pautado por cumprir, nesta etapa de execução das despesas, quantitativos muito próximos a 90% da dotação orçamentária autorizada, excetuando-se apenas o ano de 2012, cujo empenho foi da ordem de 81% do orçamento autorizado.</w:t>
      </w:r>
    </w:p>
    <w:p w:rsidR="005C37AC" w:rsidRPr="005C37AC" w:rsidRDefault="005C37AC" w:rsidP="005C37AC">
      <w:pPr>
        <w:pStyle w:val="NormalWeb"/>
        <w:shd w:val="clear" w:color="auto" w:fill="FFFFFF"/>
        <w:spacing w:before="0" w:beforeAutospacing="0" w:after="0" w:afterAutospacing="0"/>
        <w:rPr>
          <w:rFonts w:eastAsia="Calibri"/>
          <w:bCs/>
          <w:color w:val="000000"/>
          <w:shd w:val="clear" w:color="auto" w:fill="FFFFFF"/>
          <w:lang w:eastAsia="en-US"/>
        </w:rPr>
      </w:pPr>
    </w:p>
    <w:p w:rsidR="005C37AC" w:rsidRDefault="005C37AC" w:rsidP="007772F0">
      <w:pPr>
        <w:pStyle w:val="Ttulo2"/>
        <w:rPr>
          <w:rFonts w:eastAsia="Calibri"/>
          <w:shd w:val="clear" w:color="auto" w:fill="FFFFFF"/>
        </w:rPr>
      </w:pPr>
      <w:r w:rsidRPr="005C37AC">
        <w:rPr>
          <w:rFonts w:eastAsia="Calibri"/>
          <w:shd w:val="clear" w:color="auto" w:fill="FFFFFF"/>
        </w:rPr>
        <w:t>Evolução da Inscrição de Restos a Pagar Não processados</w:t>
      </w:r>
    </w:p>
    <w:p w:rsidR="007772F0" w:rsidRPr="005C37AC" w:rsidRDefault="007772F0" w:rsidP="005C37AC">
      <w:pPr>
        <w:pStyle w:val="NormalWeb"/>
        <w:shd w:val="clear" w:color="auto" w:fill="FFFFFF"/>
        <w:spacing w:before="0" w:beforeAutospacing="0" w:after="0" w:afterAutospacing="0"/>
        <w:ind w:firstLine="0"/>
        <w:rPr>
          <w:rFonts w:eastAsia="Calibri"/>
          <w:b/>
          <w:bCs/>
          <w:color w:val="000000"/>
          <w:shd w:val="clear" w:color="auto" w:fill="FFFFFF"/>
          <w:lang w:eastAsia="en-US"/>
        </w:rPr>
      </w:pPr>
    </w:p>
    <w:p w:rsidR="005C37AC" w:rsidRPr="005C37AC" w:rsidRDefault="005C37AC" w:rsidP="005C37AC">
      <w:pPr>
        <w:pStyle w:val="NormalWeb"/>
        <w:shd w:val="clear" w:color="auto" w:fill="FFFFFF"/>
        <w:spacing w:before="0" w:beforeAutospacing="0" w:after="0" w:afterAutospacing="0"/>
        <w:rPr>
          <w:bCs/>
          <w:color w:val="000000"/>
          <w:shd w:val="clear" w:color="auto" w:fill="FFFFFF"/>
        </w:rPr>
      </w:pPr>
      <w:r w:rsidRPr="00F00B5E">
        <w:t xml:space="preserve">Como abordado anteriormente, o orçamento do Tribunal de Justiça de Santa Catarina é subdividido em duas Unidades Orçamentárias: Tribunal de Justiça </w:t>
      </w:r>
      <w:r w:rsidRPr="005C37AC">
        <w:rPr>
          <w:bCs/>
          <w:color w:val="000000"/>
          <w:shd w:val="clear" w:color="auto" w:fill="FFFFFF"/>
        </w:rPr>
        <w:t>–</w:t>
      </w:r>
      <w:r w:rsidRPr="00F00B5E">
        <w:t xml:space="preserve"> TJ (esta subdividida ainda em </w:t>
      </w:r>
      <w:r w:rsidRPr="005C37AC">
        <w:rPr>
          <w:bCs/>
          <w:color w:val="000000"/>
          <w:shd w:val="clear" w:color="auto" w:fill="FFFFFF"/>
        </w:rPr>
        <w:t xml:space="preserve">Sistema de Depósitos Judiciais – </w:t>
      </w:r>
      <w:proofErr w:type="spellStart"/>
      <w:r w:rsidRPr="005C37AC">
        <w:rPr>
          <w:bCs/>
          <w:color w:val="000000"/>
          <w:shd w:val="clear" w:color="auto" w:fill="FFFFFF"/>
        </w:rPr>
        <w:t>Sidejud</w:t>
      </w:r>
      <w:proofErr w:type="spellEnd"/>
      <w:r w:rsidRPr="005C37AC">
        <w:rPr>
          <w:bCs/>
          <w:color w:val="000000"/>
          <w:shd w:val="clear" w:color="auto" w:fill="FFFFFF"/>
        </w:rPr>
        <w:t>) e Fundo de Reaparelhamento de Justiça – F</w:t>
      </w:r>
      <w:r w:rsidR="000C4524">
        <w:rPr>
          <w:bCs/>
          <w:color w:val="000000"/>
          <w:shd w:val="clear" w:color="auto" w:fill="FFFFFF"/>
        </w:rPr>
        <w:t>RJ. Desta forma, apresenta-se na</w:t>
      </w:r>
      <w:r w:rsidRPr="005C37AC">
        <w:rPr>
          <w:bCs/>
          <w:color w:val="000000"/>
          <w:shd w:val="clear" w:color="auto" w:fill="FFFFFF"/>
        </w:rPr>
        <w:t xml:space="preserve"> Tabela 2, dados referentes à evolução da prática da inscrição em restos a pagar não processados, segregado em unidades orçamentárias. </w:t>
      </w:r>
    </w:p>
    <w:tbl>
      <w:tblPr>
        <w:tblpPr w:leftFromText="141" w:rightFromText="141" w:vertAnchor="text" w:horzAnchor="margin" w:tblpY="760"/>
        <w:tblW w:w="9590" w:type="dxa"/>
        <w:tblLayout w:type="fixed"/>
        <w:tblCellMar>
          <w:left w:w="70" w:type="dxa"/>
          <w:right w:w="70" w:type="dxa"/>
        </w:tblCellMar>
        <w:tblLook w:val="04A0" w:firstRow="1" w:lastRow="0" w:firstColumn="1" w:lastColumn="0" w:noHBand="0" w:noVBand="1"/>
      </w:tblPr>
      <w:tblGrid>
        <w:gridCol w:w="1771"/>
        <w:gridCol w:w="1560"/>
        <w:gridCol w:w="1640"/>
        <w:gridCol w:w="1528"/>
        <w:gridCol w:w="1475"/>
        <w:gridCol w:w="1616"/>
      </w:tblGrid>
      <w:tr w:rsidR="005C37AC" w:rsidRPr="00F00B5E" w:rsidTr="00531BFF">
        <w:trPr>
          <w:trHeight w:val="41"/>
        </w:trPr>
        <w:tc>
          <w:tcPr>
            <w:tcW w:w="1771" w:type="dxa"/>
            <w:tcBorders>
              <w:top w:val="single" w:sz="4" w:space="0" w:color="auto"/>
              <w:left w:val="nil"/>
              <w:bottom w:val="single" w:sz="4" w:space="0" w:color="auto"/>
              <w:right w:val="single" w:sz="4" w:space="0" w:color="auto"/>
            </w:tcBorders>
            <w:shd w:val="clear" w:color="000000" w:fill="D9D9D9"/>
            <w:noWrap/>
            <w:vAlign w:val="bottom"/>
            <w:hideMark/>
          </w:tcPr>
          <w:p w:rsidR="005C37AC" w:rsidRPr="00531BFF" w:rsidRDefault="00531BFF" w:rsidP="000C4524">
            <w:pPr>
              <w:ind w:firstLine="0"/>
              <w:jc w:val="center"/>
              <w:rPr>
                <w:b/>
                <w:bCs/>
                <w:color w:val="000000"/>
                <w:sz w:val="20"/>
                <w:szCs w:val="24"/>
              </w:rPr>
            </w:pPr>
            <w:r w:rsidRPr="00531BFF">
              <w:rPr>
                <w:b/>
                <w:bCs/>
                <w:color w:val="000000"/>
                <w:sz w:val="20"/>
                <w:szCs w:val="24"/>
              </w:rPr>
              <w:t xml:space="preserve">Unidade </w:t>
            </w:r>
            <w:r w:rsidR="005C37AC" w:rsidRPr="00531BFF">
              <w:rPr>
                <w:b/>
                <w:bCs/>
                <w:color w:val="000000"/>
                <w:sz w:val="20"/>
                <w:szCs w:val="24"/>
              </w:rPr>
              <w:t>Gestora</w:t>
            </w:r>
          </w:p>
        </w:tc>
        <w:tc>
          <w:tcPr>
            <w:tcW w:w="1560" w:type="dxa"/>
            <w:tcBorders>
              <w:top w:val="single" w:sz="4" w:space="0" w:color="auto"/>
              <w:left w:val="nil"/>
              <w:bottom w:val="single" w:sz="4" w:space="0" w:color="auto"/>
              <w:right w:val="single" w:sz="4" w:space="0" w:color="auto"/>
            </w:tcBorders>
            <w:shd w:val="clear" w:color="000000" w:fill="D9D9D9"/>
            <w:noWrap/>
            <w:vAlign w:val="bottom"/>
            <w:hideMark/>
          </w:tcPr>
          <w:p w:rsidR="005C37AC" w:rsidRPr="00531BFF" w:rsidRDefault="005C37AC" w:rsidP="000C4524">
            <w:pPr>
              <w:ind w:left="252" w:firstLine="0"/>
              <w:jc w:val="center"/>
              <w:rPr>
                <w:b/>
                <w:bCs/>
                <w:color w:val="000000"/>
                <w:sz w:val="20"/>
                <w:szCs w:val="24"/>
              </w:rPr>
            </w:pPr>
            <w:r w:rsidRPr="00531BFF">
              <w:rPr>
                <w:b/>
                <w:bCs/>
                <w:color w:val="000000"/>
                <w:sz w:val="20"/>
                <w:szCs w:val="24"/>
              </w:rPr>
              <w:t>2010</w:t>
            </w:r>
          </w:p>
        </w:tc>
        <w:tc>
          <w:tcPr>
            <w:tcW w:w="1640" w:type="dxa"/>
            <w:tcBorders>
              <w:top w:val="single" w:sz="4" w:space="0" w:color="auto"/>
              <w:left w:val="nil"/>
              <w:bottom w:val="single" w:sz="4" w:space="0" w:color="auto"/>
              <w:right w:val="single" w:sz="4" w:space="0" w:color="auto"/>
            </w:tcBorders>
            <w:shd w:val="clear" w:color="000000" w:fill="D9D9D9"/>
            <w:noWrap/>
            <w:vAlign w:val="bottom"/>
            <w:hideMark/>
          </w:tcPr>
          <w:p w:rsidR="005C37AC" w:rsidRPr="00531BFF" w:rsidRDefault="005C37AC" w:rsidP="000C4524">
            <w:pPr>
              <w:ind w:firstLine="0"/>
              <w:jc w:val="center"/>
              <w:rPr>
                <w:b/>
                <w:bCs/>
                <w:color w:val="000000"/>
                <w:sz w:val="20"/>
                <w:szCs w:val="24"/>
              </w:rPr>
            </w:pPr>
            <w:r w:rsidRPr="00531BFF">
              <w:rPr>
                <w:b/>
                <w:bCs/>
                <w:color w:val="000000"/>
                <w:sz w:val="20"/>
                <w:szCs w:val="24"/>
              </w:rPr>
              <w:t>2011</w:t>
            </w:r>
          </w:p>
        </w:tc>
        <w:tc>
          <w:tcPr>
            <w:tcW w:w="1528" w:type="dxa"/>
            <w:tcBorders>
              <w:top w:val="single" w:sz="4" w:space="0" w:color="auto"/>
              <w:left w:val="nil"/>
              <w:bottom w:val="single" w:sz="4" w:space="0" w:color="auto"/>
              <w:right w:val="single" w:sz="4" w:space="0" w:color="auto"/>
            </w:tcBorders>
            <w:shd w:val="clear" w:color="000000" w:fill="D9D9D9"/>
            <w:noWrap/>
            <w:vAlign w:val="bottom"/>
            <w:hideMark/>
          </w:tcPr>
          <w:p w:rsidR="005C37AC" w:rsidRPr="00531BFF" w:rsidRDefault="005C37AC" w:rsidP="000C4524">
            <w:pPr>
              <w:ind w:firstLine="0"/>
              <w:jc w:val="center"/>
              <w:rPr>
                <w:b/>
                <w:bCs/>
                <w:color w:val="000000"/>
                <w:sz w:val="20"/>
                <w:szCs w:val="24"/>
              </w:rPr>
            </w:pPr>
            <w:r w:rsidRPr="00531BFF">
              <w:rPr>
                <w:b/>
                <w:bCs/>
                <w:color w:val="000000"/>
                <w:sz w:val="20"/>
                <w:szCs w:val="24"/>
              </w:rPr>
              <w:t>2012</w:t>
            </w:r>
          </w:p>
        </w:tc>
        <w:tc>
          <w:tcPr>
            <w:tcW w:w="1475" w:type="dxa"/>
            <w:tcBorders>
              <w:top w:val="single" w:sz="4" w:space="0" w:color="auto"/>
              <w:left w:val="nil"/>
              <w:bottom w:val="single" w:sz="4" w:space="0" w:color="auto"/>
              <w:right w:val="nil"/>
            </w:tcBorders>
            <w:shd w:val="clear" w:color="000000" w:fill="D9D9D9"/>
            <w:noWrap/>
            <w:vAlign w:val="bottom"/>
            <w:hideMark/>
          </w:tcPr>
          <w:p w:rsidR="005C37AC" w:rsidRPr="00531BFF" w:rsidRDefault="005C37AC" w:rsidP="000C4524">
            <w:pPr>
              <w:ind w:firstLine="0"/>
              <w:jc w:val="center"/>
              <w:rPr>
                <w:b/>
                <w:bCs/>
                <w:color w:val="000000"/>
                <w:sz w:val="20"/>
                <w:szCs w:val="24"/>
              </w:rPr>
            </w:pPr>
            <w:r w:rsidRPr="00531BFF">
              <w:rPr>
                <w:b/>
                <w:bCs/>
                <w:color w:val="000000"/>
                <w:sz w:val="20"/>
                <w:szCs w:val="24"/>
              </w:rPr>
              <w:t>2013</w:t>
            </w:r>
          </w:p>
        </w:tc>
        <w:tc>
          <w:tcPr>
            <w:tcW w:w="1616" w:type="dxa"/>
            <w:tcBorders>
              <w:top w:val="single" w:sz="4" w:space="0" w:color="auto"/>
              <w:left w:val="single" w:sz="4" w:space="0" w:color="auto"/>
              <w:bottom w:val="single" w:sz="4" w:space="0" w:color="auto"/>
              <w:right w:val="nil"/>
            </w:tcBorders>
            <w:shd w:val="clear" w:color="000000" w:fill="D9D9D9"/>
            <w:noWrap/>
            <w:vAlign w:val="bottom"/>
            <w:hideMark/>
          </w:tcPr>
          <w:p w:rsidR="005C37AC" w:rsidRPr="00531BFF" w:rsidRDefault="005C37AC" w:rsidP="000C4524">
            <w:pPr>
              <w:ind w:firstLine="0"/>
              <w:jc w:val="center"/>
              <w:rPr>
                <w:b/>
                <w:bCs/>
                <w:color w:val="000000"/>
                <w:sz w:val="20"/>
                <w:szCs w:val="24"/>
              </w:rPr>
            </w:pPr>
            <w:r w:rsidRPr="00531BFF">
              <w:rPr>
                <w:b/>
                <w:bCs/>
                <w:color w:val="000000"/>
                <w:sz w:val="20"/>
                <w:szCs w:val="24"/>
              </w:rPr>
              <w:t>2014</w:t>
            </w:r>
          </w:p>
        </w:tc>
      </w:tr>
      <w:tr w:rsidR="005C37AC" w:rsidRPr="00F00B5E" w:rsidTr="00531BFF">
        <w:trPr>
          <w:trHeight w:val="183"/>
        </w:trPr>
        <w:tc>
          <w:tcPr>
            <w:tcW w:w="1771" w:type="dxa"/>
            <w:tcBorders>
              <w:top w:val="nil"/>
              <w:left w:val="nil"/>
              <w:bottom w:val="single" w:sz="4" w:space="0" w:color="auto"/>
              <w:right w:val="single" w:sz="4" w:space="0" w:color="auto"/>
            </w:tcBorders>
            <w:shd w:val="clear" w:color="auto" w:fill="auto"/>
            <w:hideMark/>
          </w:tcPr>
          <w:p w:rsidR="005C37AC" w:rsidRPr="00531BFF" w:rsidRDefault="005C37AC" w:rsidP="000C4524">
            <w:pPr>
              <w:ind w:firstLine="0"/>
              <w:jc w:val="center"/>
              <w:rPr>
                <w:b/>
                <w:bCs/>
                <w:color w:val="000000"/>
                <w:sz w:val="20"/>
                <w:szCs w:val="24"/>
              </w:rPr>
            </w:pPr>
            <w:r w:rsidRPr="00531BFF">
              <w:rPr>
                <w:b/>
                <w:bCs/>
                <w:color w:val="000000"/>
                <w:sz w:val="20"/>
                <w:szCs w:val="24"/>
              </w:rPr>
              <w:t>FRJ</w:t>
            </w:r>
          </w:p>
        </w:tc>
        <w:tc>
          <w:tcPr>
            <w:tcW w:w="1560" w:type="dxa"/>
            <w:tcBorders>
              <w:top w:val="nil"/>
              <w:left w:val="nil"/>
              <w:bottom w:val="single" w:sz="4" w:space="0" w:color="auto"/>
              <w:right w:val="single" w:sz="4" w:space="0" w:color="auto"/>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19.007.886,81</w:t>
            </w:r>
          </w:p>
        </w:tc>
        <w:tc>
          <w:tcPr>
            <w:tcW w:w="1640" w:type="dxa"/>
            <w:tcBorders>
              <w:top w:val="nil"/>
              <w:left w:val="nil"/>
              <w:bottom w:val="single" w:sz="4" w:space="0" w:color="auto"/>
              <w:right w:val="single" w:sz="4" w:space="0" w:color="auto"/>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358.646,90</w:t>
            </w:r>
          </w:p>
        </w:tc>
        <w:tc>
          <w:tcPr>
            <w:tcW w:w="1528" w:type="dxa"/>
            <w:tcBorders>
              <w:top w:val="nil"/>
              <w:left w:val="nil"/>
              <w:bottom w:val="single" w:sz="4" w:space="0" w:color="auto"/>
              <w:right w:val="single" w:sz="4" w:space="0" w:color="auto"/>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480.156,90</w:t>
            </w:r>
          </w:p>
        </w:tc>
        <w:tc>
          <w:tcPr>
            <w:tcW w:w="1475" w:type="dxa"/>
            <w:tcBorders>
              <w:top w:val="nil"/>
              <w:left w:val="nil"/>
              <w:bottom w:val="single" w:sz="4" w:space="0" w:color="auto"/>
              <w:right w:val="nil"/>
            </w:tcBorders>
            <w:shd w:val="clear" w:color="auto" w:fill="auto"/>
            <w:hideMark/>
          </w:tcPr>
          <w:p w:rsidR="005C37AC" w:rsidRPr="00531BFF" w:rsidRDefault="005C37AC" w:rsidP="000C4524">
            <w:pPr>
              <w:ind w:left="-638" w:firstLine="0"/>
              <w:jc w:val="right"/>
              <w:rPr>
                <w:bCs/>
                <w:color w:val="000000"/>
                <w:sz w:val="20"/>
                <w:szCs w:val="24"/>
              </w:rPr>
            </w:pPr>
            <w:r w:rsidRPr="00531BFF">
              <w:rPr>
                <w:bCs/>
                <w:color w:val="000000"/>
                <w:sz w:val="20"/>
                <w:szCs w:val="24"/>
              </w:rPr>
              <w:t>34.299.398,08</w:t>
            </w:r>
          </w:p>
        </w:tc>
        <w:tc>
          <w:tcPr>
            <w:tcW w:w="1616" w:type="dxa"/>
            <w:tcBorders>
              <w:top w:val="nil"/>
              <w:left w:val="single" w:sz="4" w:space="0" w:color="auto"/>
              <w:bottom w:val="single" w:sz="4" w:space="0" w:color="auto"/>
              <w:right w:val="nil"/>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28.679.588,96</w:t>
            </w:r>
          </w:p>
        </w:tc>
      </w:tr>
      <w:tr w:rsidR="005C37AC" w:rsidRPr="00F00B5E" w:rsidTr="00531BFF">
        <w:trPr>
          <w:trHeight w:val="215"/>
        </w:trPr>
        <w:tc>
          <w:tcPr>
            <w:tcW w:w="1771" w:type="dxa"/>
            <w:tcBorders>
              <w:top w:val="nil"/>
              <w:left w:val="nil"/>
              <w:bottom w:val="single" w:sz="4" w:space="0" w:color="auto"/>
              <w:right w:val="single" w:sz="4" w:space="0" w:color="auto"/>
            </w:tcBorders>
            <w:shd w:val="clear" w:color="auto" w:fill="auto"/>
            <w:hideMark/>
          </w:tcPr>
          <w:p w:rsidR="005C37AC" w:rsidRPr="00531BFF" w:rsidRDefault="005C37AC" w:rsidP="000C4524">
            <w:pPr>
              <w:ind w:firstLine="0"/>
              <w:jc w:val="center"/>
              <w:rPr>
                <w:b/>
                <w:bCs/>
                <w:color w:val="000000"/>
                <w:sz w:val="20"/>
                <w:szCs w:val="24"/>
              </w:rPr>
            </w:pPr>
            <w:r w:rsidRPr="00531BFF">
              <w:rPr>
                <w:b/>
                <w:bCs/>
                <w:color w:val="000000"/>
                <w:sz w:val="20"/>
                <w:szCs w:val="24"/>
              </w:rPr>
              <w:t>TJ</w:t>
            </w:r>
          </w:p>
        </w:tc>
        <w:tc>
          <w:tcPr>
            <w:tcW w:w="1560" w:type="dxa"/>
            <w:tcBorders>
              <w:top w:val="nil"/>
              <w:left w:val="nil"/>
              <w:bottom w:val="single" w:sz="4" w:space="0" w:color="auto"/>
              <w:right w:val="single" w:sz="4" w:space="0" w:color="auto"/>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16.878.237,34</w:t>
            </w:r>
          </w:p>
        </w:tc>
        <w:tc>
          <w:tcPr>
            <w:tcW w:w="1640" w:type="dxa"/>
            <w:tcBorders>
              <w:top w:val="nil"/>
              <w:left w:val="nil"/>
              <w:bottom w:val="single" w:sz="4" w:space="0" w:color="auto"/>
              <w:right w:val="single" w:sz="4" w:space="0" w:color="auto"/>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18.650.250,01</w:t>
            </w:r>
          </w:p>
        </w:tc>
        <w:tc>
          <w:tcPr>
            <w:tcW w:w="1528" w:type="dxa"/>
            <w:tcBorders>
              <w:top w:val="nil"/>
              <w:left w:val="nil"/>
              <w:bottom w:val="single" w:sz="4" w:space="0" w:color="auto"/>
              <w:right w:val="single" w:sz="4" w:space="0" w:color="auto"/>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18.700.472,37</w:t>
            </w:r>
          </w:p>
        </w:tc>
        <w:tc>
          <w:tcPr>
            <w:tcW w:w="1475" w:type="dxa"/>
            <w:tcBorders>
              <w:top w:val="nil"/>
              <w:left w:val="nil"/>
              <w:bottom w:val="single" w:sz="4" w:space="0" w:color="auto"/>
              <w:right w:val="nil"/>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6.579.079,94</w:t>
            </w:r>
          </w:p>
        </w:tc>
        <w:tc>
          <w:tcPr>
            <w:tcW w:w="1616" w:type="dxa"/>
            <w:tcBorders>
              <w:top w:val="nil"/>
              <w:left w:val="single" w:sz="4" w:space="0" w:color="auto"/>
              <w:bottom w:val="single" w:sz="4" w:space="0" w:color="auto"/>
              <w:right w:val="nil"/>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12.124.755,80</w:t>
            </w:r>
          </w:p>
        </w:tc>
      </w:tr>
      <w:tr w:rsidR="005C37AC" w:rsidRPr="00F00B5E" w:rsidTr="00531BFF">
        <w:trPr>
          <w:trHeight w:val="33"/>
        </w:trPr>
        <w:tc>
          <w:tcPr>
            <w:tcW w:w="1771" w:type="dxa"/>
            <w:tcBorders>
              <w:top w:val="nil"/>
              <w:left w:val="nil"/>
              <w:bottom w:val="single" w:sz="4" w:space="0" w:color="auto"/>
              <w:right w:val="single" w:sz="4" w:space="0" w:color="auto"/>
            </w:tcBorders>
            <w:shd w:val="clear" w:color="auto" w:fill="auto"/>
            <w:hideMark/>
          </w:tcPr>
          <w:p w:rsidR="005C37AC" w:rsidRPr="00531BFF" w:rsidRDefault="005C37AC" w:rsidP="000C4524">
            <w:pPr>
              <w:ind w:firstLine="0"/>
              <w:jc w:val="center"/>
              <w:rPr>
                <w:b/>
                <w:bCs/>
                <w:color w:val="000000"/>
                <w:sz w:val="20"/>
                <w:szCs w:val="24"/>
              </w:rPr>
            </w:pPr>
            <w:r w:rsidRPr="00531BFF">
              <w:rPr>
                <w:b/>
                <w:bCs/>
                <w:color w:val="000000"/>
                <w:sz w:val="20"/>
                <w:szCs w:val="24"/>
              </w:rPr>
              <w:t>SIDEJUD</w:t>
            </w:r>
          </w:p>
        </w:tc>
        <w:tc>
          <w:tcPr>
            <w:tcW w:w="1560" w:type="dxa"/>
            <w:tcBorders>
              <w:top w:val="nil"/>
              <w:left w:val="nil"/>
              <w:bottom w:val="single" w:sz="4" w:space="0" w:color="auto"/>
              <w:right w:val="single" w:sz="4" w:space="0" w:color="auto"/>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10.099.508,37</w:t>
            </w:r>
          </w:p>
        </w:tc>
        <w:tc>
          <w:tcPr>
            <w:tcW w:w="1640" w:type="dxa"/>
            <w:tcBorders>
              <w:top w:val="nil"/>
              <w:left w:val="nil"/>
              <w:bottom w:val="single" w:sz="4" w:space="0" w:color="auto"/>
              <w:right w:val="single" w:sz="4" w:space="0" w:color="auto"/>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9.381.310,84</w:t>
            </w:r>
          </w:p>
        </w:tc>
        <w:tc>
          <w:tcPr>
            <w:tcW w:w="1528" w:type="dxa"/>
            <w:tcBorders>
              <w:top w:val="nil"/>
              <w:left w:val="nil"/>
              <w:bottom w:val="single" w:sz="4" w:space="0" w:color="auto"/>
              <w:right w:val="single" w:sz="4" w:space="0" w:color="auto"/>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3.921.424,74</w:t>
            </w:r>
          </w:p>
        </w:tc>
        <w:tc>
          <w:tcPr>
            <w:tcW w:w="1475" w:type="dxa"/>
            <w:tcBorders>
              <w:top w:val="nil"/>
              <w:left w:val="nil"/>
              <w:bottom w:val="single" w:sz="4" w:space="0" w:color="auto"/>
              <w:right w:val="nil"/>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8.304.971,53</w:t>
            </w:r>
          </w:p>
        </w:tc>
        <w:tc>
          <w:tcPr>
            <w:tcW w:w="1616" w:type="dxa"/>
            <w:tcBorders>
              <w:top w:val="nil"/>
              <w:left w:val="single" w:sz="4" w:space="0" w:color="auto"/>
              <w:bottom w:val="single" w:sz="4" w:space="0" w:color="auto"/>
              <w:right w:val="nil"/>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15.650.500,94</w:t>
            </w:r>
          </w:p>
        </w:tc>
      </w:tr>
      <w:tr w:rsidR="005C37AC" w:rsidRPr="00F00B5E" w:rsidTr="00531BFF">
        <w:trPr>
          <w:trHeight w:val="236"/>
        </w:trPr>
        <w:tc>
          <w:tcPr>
            <w:tcW w:w="1771" w:type="dxa"/>
            <w:tcBorders>
              <w:top w:val="nil"/>
              <w:left w:val="nil"/>
              <w:bottom w:val="single" w:sz="4" w:space="0" w:color="auto"/>
              <w:right w:val="single" w:sz="4" w:space="0" w:color="auto"/>
            </w:tcBorders>
            <w:shd w:val="clear" w:color="auto" w:fill="auto"/>
            <w:hideMark/>
          </w:tcPr>
          <w:p w:rsidR="005C37AC" w:rsidRPr="00531BFF" w:rsidRDefault="005C37AC" w:rsidP="000C4524">
            <w:pPr>
              <w:ind w:firstLine="0"/>
              <w:jc w:val="center"/>
              <w:rPr>
                <w:b/>
                <w:bCs/>
                <w:color w:val="000000"/>
                <w:sz w:val="20"/>
                <w:szCs w:val="24"/>
              </w:rPr>
            </w:pPr>
            <w:r w:rsidRPr="00531BFF">
              <w:rPr>
                <w:b/>
                <w:bCs/>
                <w:color w:val="000000"/>
                <w:sz w:val="20"/>
                <w:szCs w:val="24"/>
              </w:rPr>
              <w:t>Valor Total</w:t>
            </w:r>
          </w:p>
        </w:tc>
        <w:tc>
          <w:tcPr>
            <w:tcW w:w="1560" w:type="dxa"/>
            <w:tcBorders>
              <w:top w:val="nil"/>
              <w:left w:val="nil"/>
              <w:bottom w:val="single" w:sz="4" w:space="0" w:color="auto"/>
              <w:right w:val="single" w:sz="4" w:space="0" w:color="auto"/>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45.985.632,52</w:t>
            </w:r>
          </w:p>
        </w:tc>
        <w:tc>
          <w:tcPr>
            <w:tcW w:w="1640" w:type="dxa"/>
            <w:tcBorders>
              <w:top w:val="nil"/>
              <w:left w:val="nil"/>
              <w:bottom w:val="single" w:sz="4" w:space="0" w:color="auto"/>
              <w:right w:val="single" w:sz="4" w:space="0" w:color="auto"/>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28.390.207,75</w:t>
            </w:r>
          </w:p>
        </w:tc>
        <w:tc>
          <w:tcPr>
            <w:tcW w:w="1528" w:type="dxa"/>
            <w:tcBorders>
              <w:top w:val="nil"/>
              <w:left w:val="nil"/>
              <w:bottom w:val="single" w:sz="4" w:space="0" w:color="auto"/>
              <w:right w:val="single" w:sz="4" w:space="0" w:color="auto"/>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23.102.054,01</w:t>
            </w:r>
          </w:p>
        </w:tc>
        <w:tc>
          <w:tcPr>
            <w:tcW w:w="1475" w:type="dxa"/>
            <w:tcBorders>
              <w:top w:val="nil"/>
              <w:left w:val="nil"/>
              <w:bottom w:val="single" w:sz="4" w:space="0" w:color="auto"/>
              <w:right w:val="nil"/>
            </w:tcBorders>
            <w:shd w:val="clear" w:color="auto" w:fill="auto"/>
            <w:hideMark/>
          </w:tcPr>
          <w:p w:rsidR="005C37AC" w:rsidRPr="00531BFF" w:rsidRDefault="005C37AC" w:rsidP="000C4524">
            <w:pPr>
              <w:ind w:left="-192" w:firstLine="0"/>
              <w:jc w:val="right"/>
              <w:rPr>
                <w:bCs/>
                <w:color w:val="000000"/>
                <w:sz w:val="20"/>
                <w:szCs w:val="24"/>
              </w:rPr>
            </w:pPr>
            <w:r w:rsidRPr="00531BFF">
              <w:rPr>
                <w:bCs/>
                <w:color w:val="000000"/>
                <w:sz w:val="20"/>
                <w:szCs w:val="24"/>
              </w:rPr>
              <w:t>49.183.449,55</w:t>
            </w:r>
          </w:p>
        </w:tc>
        <w:tc>
          <w:tcPr>
            <w:tcW w:w="1616" w:type="dxa"/>
            <w:tcBorders>
              <w:top w:val="nil"/>
              <w:left w:val="single" w:sz="4" w:space="0" w:color="auto"/>
              <w:bottom w:val="single" w:sz="4" w:space="0" w:color="auto"/>
              <w:right w:val="nil"/>
            </w:tcBorders>
            <w:shd w:val="clear" w:color="auto" w:fill="auto"/>
            <w:hideMark/>
          </w:tcPr>
          <w:p w:rsidR="005C37AC" w:rsidRPr="00531BFF" w:rsidRDefault="005C37AC" w:rsidP="000C4524">
            <w:pPr>
              <w:ind w:firstLine="0"/>
              <w:jc w:val="right"/>
              <w:rPr>
                <w:bCs/>
                <w:color w:val="000000"/>
                <w:sz w:val="20"/>
                <w:szCs w:val="24"/>
              </w:rPr>
            </w:pPr>
            <w:r w:rsidRPr="00531BFF">
              <w:rPr>
                <w:bCs/>
                <w:color w:val="000000"/>
                <w:sz w:val="20"/>
                <w:szCs w:val="24"/>
              </w:rPr>
              <w:t>56.454.845,70</w:t>
            </w:r>
          </w:p>
        </w:tc>
      </w:tr>
    </w:tbl>
    <w:p w:rsidR="007772F0" w:rsidRDefault="007772F0" w:rsidP="007772F0">
      <w:pPr>
        <w:pStyle w:val="NormalWeb"/>
        <w:shd w:val="clear" w:color="auto" w:fill="FFFFFF"/>
        <w:spacing w:before="0" w:beforeAutospacing="0" w:after="0" w:afterAutospacing="0"/>
        <w:ind w:firstLine="0"/>
        <w:rPr>
          <w:b/>
          <w:bCs/>
          <w:color w:val="000000"/>
        </w:rPr>
      </w:pPr>
    </w:p>
    <w:p w:rsidR="005C37AC" w:rsidRPr="005C37AC" w:rsidRDefault="005C37AC" w:rsidP="007772F0">
      <w:pPr>
        <w:pStyle w:val="NormalWeb"/>
        <w:shd w:val="clear" w:color="auto" w:fill="FFFFFF"/>
        <w:spacing w:before="0" w:beforeAutospacing="0" w:after="0" w:afterAutospacing="0"/>
        <w:ind w:firstLine="0"/>
        <w:jc w:val="center"/>
        <w:rPr>
          <w:bCs/>
          <w:color w:val="000000"/>
          <w:shd w:val="clear" w:color="auto" w:fill="FFFFFF"/>
        </w:rPr>
      </w:pPr>
      <w:r w:rsidRPr="00F00B5E">
        <w:rPr>
          <w:b/>
          <w:bCs/>
          <w:color w:val="000000"/>
        </w:rPr>
        <w:t>Tabela 2– Restos a Pagar Não Processados</w:t>
      </w:r>
    </w:p>
    <w:p w:rsidR="005C37AC" w:rsidRPr="00F00B5E" w:rsidRDefault="005C37AC" w:rsidP="00B21EC2">
      <w:pPr>
        <w:rPr>
          <w:bCs/>
          <w:color w:val="000000"/>
          <w:szCs w:val="24"/>
        </w:rPr>
      </w:pPr>
      <w:r w:rsidRPr="00F00B5E">
        <w:rPr>
          <w:bCs/>
          <w:color w:val="000000"/>
          <w:szCs w:val="24"/>
        </w:rPr>
        <w:t xml:space="preserve">Fonte: </w:t>
      </w:r>
      <w:r w:rsidR="00B21EC2">
        <w:rPr>
          <w:rFonts w:eastAsia="Calibri"/>
          <w:bCs/>
          <w:color w:val="000000"/>
          <w:shd w:val="clear" w:color="auto" w:fill="FFFFFF"/>
          <w:lang w:eastAsia="en-US"/>
        </w:rPr>
        <w:t>Elaborado pelos autores a partir dos dados dos demonstrativos contábeis do TJSC</w:t>
      </w:r>
    </w:p>
    <w:p w:rsidR="00C67C67" w:rsidRDefault="00C67C67" w:rsidP="005C37AC">
      <w:pPr>
        <w:pStyle w:val="NormalWeb"/>
        <w:shd w:val="clear" w:color="auto" w:fill="FFFFFF"/>
        <w:spacing w:before="0" w:beforeAutospacing="0" w:after="0" w:afterAutospacing="0"/>
        <w:rPr>
          <w:rFonts w:eastAsia="Calibri"/>
          <w:bCs/>
          <w:color w:val="000000"/>
          <w:shd w:val="clear" w:color="auto" w:fill="FFFFFF"/>
          <w:lang w:eastAsia="en-US"/>
        </w:rPr>
      </w:pPr>
    </w:p>
    <w:p w:rsidR="007772F0" w:rsidRPr="00531BFF" w:rsidRDefault="005C37AC" w:rsidP="00531BFF">
      <w:pPr>
        <w:pStyle w:val="NormalWeb"/>
        <w:shd w:val="clear" w:color="auto" w:fill="FFFFFF"/>
        <w:spacing w:before="0" w:beforeAutospacing="0" w:after="0" w:afterAutospacing="0"/>
        <w:rPr>
          <w:rFonts w:eastAsia="Calibri"/>
          <w:bCs/>
          <w:color w:val="000000"/>
          <w:shd w:val="clear" w:color="auto" w:fill="FFFFFF"/>
          <w:lang w:eastAsia="en-US"/>
        </w:rPr>
      </w:pPr>
      <w:r w:rsidRPr="005C37AC">
        <w:rPr>
          <w:rFonts w:eastAsia="Calibri"/>
          <w:bCs/>
          <w:color w:val="000000"/>
          <w:shd w:val="clear" w:color="auto" w:fill="FFFFFF"/>
          <w:lang w:eastAsia="en-US"/>
        </w:rPr>
        <w:t>A partir do Gráfico 1, nota-se que a evolução da inscrição total em restos a pagar não processados não é constante, uma vez que há uma diminuição, especificamente nos exercícios de 2011 e 2012.</w:t>
      </w:r>
    </w:p>
    <w:p w:rsidR="00517EAA" w:rsidRDefault="00517EAA" w:rsidP="005C37AC">
      <w:pPr>
        <w:pStyle w:val="NormalWeb"/>
        <w:shd w:val="clear" w:color="auto" w:fill="FFFFFF"/>
        <w:spacing w:before="0" w:beforeAutospacing="0" w:after="0" w:afterAutospacing="0"/>
        <w:jc w:val="center"/>
        <w:rPr>
          <w:b/>
          <w:bCs/>
          <w:color w:val="000000"/>
          <w:shd w:val="clear" w:color="auto" w:fill="FFFFFF"/>
        </w:rPr>
      </w:pPr>
    </w:p>
    <w:p w:rsidR="00517EAA" w:rsidRDefault="00517EAA" w:rsidP="005C37AC">
      <w:pPr>
        <w:pStyle w:val="NormalWeb"/>
        <w:shd w:val="clear" w:color="auto" w:fill="FFFFFF"/>
        <w:spacing w:before="0" w:beforeAutospacing="0" w:after="0" w:afterAutospacing="0"/>
        <w:jc w:val="center"/>
        <w:rPr>
          <w:b/>
          <w:bCs/>
          <w:color w:val="000000"/>
          <w:shd w:val="clear" w:color="auto" w:fill="FFFFFF"/>
        </w:rPr>
      </w:pPr>
    </w:p>
    <w:p w:rsidR="005C37AC" w:rsidRPr="005C37AC" w:rsidRDefault="00421492" w:rsidP="005C37AC">
      <w:pPr>
        <w:pStyle w:val="NormalWeb"/>
        <w:shd w:val="clear" w:color="auto" w:fill="FFFFFF"/>
        <w:spacing w:before="0" w:beforeAutospacing="0" w:after="0" w:afterAutospacing="0"/>
        <w:jc w:val="center"/>
        <w:rPr>
          <w:b/>
          <w:bCs/>
          <w:color w:val="000000"/>
          <w:shd w:val="clear" w:color="auto" w:fill="FFFFFF"/>
        </w:rPr>
      </w:pPr>
      <w:r>
        <w:rPr>
          <w:noProof/>
        </w:rPr>
        <w:lastRenderedPageBreak/>
        <w:drawing>
          <wp:anchor distT="4964" distB="5274" distL="120601" distR="119420" simplePos="0" relativeHeight="251657216" behindDoc="1" locked="0" layoutInCell="1" allowOverlap="1" wp14:anchorId="3355A6DE" wp14:editId="77EF5EC6">
            <wp:simplePos x="0" y="0"/>
            <wp:positionH relativeFrom="column">
              <wp:posOffset>31701</wp:posOffset>
            </wp:positionH>
            <wp:positionV relativeFrom="paragraph">
              <wp:posOffset>213879</wp:posOffset>
            </wp:positionV>
            <wp:extent cx="5936615" cy="1915160"/>
            <wp:effectExtent l="0" t="0" r="6985" b="8890"/>
            <wp:wrapTopAndBottom/>
            <wp:docPr id="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5C37AC" w:rsidRPr="005C37AC">
        <w:rPr>
          <w:b/>
          <w:bCs/>
          <w:color w:val="000000"/>
          <w:shd w:val="clear" w:color="auto" w:fill="FFFFFF"/>
        </w:rPr>
        <w:t>Gráfico 1 – Restos a Pagar Não Processados</w:t>
      </w:r>
    </w:p>
    <w:p w:rsidR="00C67C67" w:rsidRDefault="005C37AC" w:rsidP="00B21EC2">
      <w:pPr>
        <w:ind w:firstLine="0"/>
        <w:jc w:val="center"/>
        <w:rPr>
          <w:rFonts w:eastAsia="Calibri"/>
          <w:bCs/>
          <w:color w:val="000000"/>
          <w:shd w:val="clear" w:color="auto" w:fill="FFFFFF"/>
          <w:lang w:eastAsia="en-US"/>
        </w:rPr>
      </w:pPr>
      <w:r w:rsidRPr="005C37AC">
        <w:rPr>
          <w:rFonts w:eastAsia="Calibri"/>
          <w:bCs/>
          <w:color w:val="000000"/>
          <w:shd w:val="clear" w:color="auto" w:fill="FFFFFF"/>
          <w:lang w:eastAsia="en-US"/>
        </w:rPr>
        <w:t xml:space="preserve">Fonte: </w:t>
      </w:r>
      <w:r w:rsidR="00B21EC2">
        <w:rPr>
          <w:rFonts w:eastAsia="Calibri"/>
          <w:bCs/>
          <w:color w:val="000000"/>
          <w:shd w:val="clear" w:color="auto" w:fill="FFFFFF"/>
          <w:lang w:eastAsia="en-US"/>
        </w:rPr>
        <w:t>Elaborado pelas autoras a partir dos dados dos demonstrativos contábeis do TJSC</w:t>
      </w:r>
    </w:p>
    <w:p w:rsidR="007772F0" w:rsidRPr="00B21EC2" w:rsidRDefault="007772F0" w:rsidP="00B21EC2">
      <w:pPr>
        <w:ind w:firstLine="0"/>
        <w:jc w:val="center"/>
        <w:rPr>
          <w:bCs/>
          <w:color w:val="000000"/>
          <w:szCs w:val="24"/>
          <w:shd w:val="clear" w:color="auto" w:fill="FFFFFF"/>
        </w:rPr>
      </w:pPr>
    </w:p>
    <w:p w:rsidR="005C37AC" w:rsidRPr="005C37AC" w:rsidRDefault="005C37AC" w:rsidP="005C37AC">
      <w:pPr>
        <w:pStyle w:val="NormalWeb"/>
        <w:shd w:val="clear" w:color="auto" w:fill="FFFFFF"/>
        <w:spacing w:before="0" w:beforeAutospacing="0" w:after="0" w:afterAutospacing="0"/>
        <w:rPr>
          <w:rFonts w:eastAsia="Calibri"/>
          <w:bCs/>
          <w:color w:val="000000"/>
          <w:shd w:val="clear" w:color="auto" w:fill="FFFFFF"/>
          <w:lang w:eastAsia="en-US"/>
        </w:rPr>
      </w:pPr>
      <w:r w:rsidRPr="005C37AC">
        <w:rPr>
          <w:rFonts w:eastAsia="Calibri"/>
          <w:bCs/>
          <w:color w:val="000000"/>
          <w:shd w:val="clear" w:color="auto" w:fill="FFFFFF"/>
          <w:lang w:eastAsia="en-US"/>
        </w:rPr>
        <w:t>Todavia,</w:t>
      </w:r>
      <w:r w:rsidR="000C4524">
        <w:rPr>
          <w:rFonts w:eastAsia="Calibri"/>
          <w:bCs/>
          <w:color w:val="000000"/>
          <w:shd w:val="clear" w:color="auto" w:fill="FFFFFF"/>
          <w:lang w:eastAsia="en-US"/>
        </w:rPr>
        <w:t xml:space="preserve"> ainda</w:t>
      </w:r>
      <w:r w:rsidRPr="005C37AC">
        <w:rPr>
          <w:rFonts w:eastAsia="Calibri"/>
          <w:bCs/>
          <w:color w:val="000000"/>
          <w:shd w:val="clear" w:color="auto" w:fill="FFFFFF"/>
          <w:lang w:eastAsia="en-US"/>
        </w:rPr>
        <w:t xml:space="preserve"> de acordo</w:t>
      </w:r>
      <w:r w:rsidR="000C4524">
        <w:rPr>
          <w:rFonts w:eastAsia="Calibri"/>
          <w:bCs/>
          <w:color w:val="000000"/>
          <w:shd w:val="clear" w:color="auto" w:fill="FFFFFF"/>
          <w:lang w:eastAsia="en-US"/>
        </w:rPr>
        <w:t xml:space="preserve"> com o gráfico 1, é notório</w:t>
      </w:r>
      <w:r w:rsidRPr="005C37AC">
        <w:rPr>
          <w:rFonts w:eastAsia="Calibri"/>
          <w:bCs/>
          <w:color w:val="000000"/>
          <w:shd w:val="clear" w:color="auto" w:fill="FFFFFF"/>
          <w:lang w:eastAsia="en-US"/>
        </w:rPr>
        <w:t xml:space="preserve"> que</w:t>
      </w:r>
      <w:r w:rsidR="00BA3B7D">
        <w:rPr>
          <w:rFonts w:eastAsia="Calibri"/>
          <w:bCs/>
          <w:color w:val="000000"/>
          <w:shd w:val="clear" w:color="auto" w:fill="FFFFFF"/>
          <w:lang w:eastAsia="en-US"/>
        </w:rPr>
        <w:t>,</w:t>
      </w:r>
      <w:r w:rsidRPr="005C37AC">
        <w:rPr>
          <w:rFonts w:eastAsia="Calibri"/>
          <w:bCs/>
          <w:color w:val="000000"/>
          <w:shd w:val="clear" w:color="auto" w:fill="FFFFFF"/>
          <w:lang w:eastAsia="en-US"/>
        </w:rPr>
        <w:t xml:space="preserve"> a partir do ano de 2012, o montante de despesas inscritas em restos a pagar não processados assumiu uma trajetória ascendente, com valores expressivamente maiores, se comparados ao biênio 2011-2012.</w:t>
      </w:r>
    </w:p>
    <w:p w:rsidR="005C37AC" w:rsidRPr="005C37AC" w:rsidRDefault="005C37AC" w:rsidP="005C37AC">
      <w:pPr>
        <w:rPr>
          <w:bCs/>
          <w:color w:val="000000"/>
          <w:szCs w:val="24"/>
          <w:shd w:val="clear" w:color="auto" w:fill="FFFFFF"/>
        </w:rPr>
      </w:pPr>
      <w:r w:rsidRPr="005C37AC">
        <w:rPr>
          <w:bCs/>
          <w:color w:val="000000"/>
          <w:szCs w:val="24"/>
          <w:shd w:val="clear" w:color="auto" w:fill="FFFFFF"/>
        </w:rPr>
        <w:t>O relatório de receitas, despesas e repasses deste Tribunal, elaborado de acordo com as exigências da  Resolução 102 do  Conselho Nacional de Justiça,  evidencia que, nos anos com maior montante de inscrição em restos a pagar (2010, 2013 e 2014), destaca-se a inscrição de despesas relativas à Pessoal e Encargos (ativos e inativos), despesas com Investimentos, como construção e reforma de imóveis, aquisição de material permanente, como veículos e equipamentos de informática, e ainda, com despesas de custeio, onde pode-se mencionar diárias pagas a servidores, passagens e despesas com locomoção, serviços de energia elétrica, telecomunicações, comunicação em geral, informática, aquisição de material de expediente e serviços médico e hospitalares.</w:t>
      </w:r>
    </w:p>
    <w:p w:rsidR="00531BFF" w:rsidRDefault="005C37AC" w:rsidP="00531BFF">
      <w:pPr>
        <w:rPr>
          <w:szCs w:val="24"/>
        </w:rPr>
      </w:pPr>
      <w:r w:rsidRPr="00F00B5E">
        <w:rPr>
          <w:szCs w:val="24"/>
        </w:rPr>
        <w:t>Tendo em vista que o orçamento do Tribunal de Justiça de Santa Catarina é subdividido em duas unidades orçamentárias, apresenta-se a composição da inscrição em restos a pagar não processados por unidade o</w:t>
      </w:r>
      <w:r w:rsidR="00531BFF">
        <w:rPr>
          <w:szCs w:val="24"/>
        </w:rPr>
        <w:t>rçamentária, conforme gráfico 2.</w:t>
      </w:r>
    </w:p>
    <w:p w:rsidR="00517EAA" w:rsidRDefault="00517EAA" w:rsidP="00531BFF">
      <w:pPr>
        <w:rPr>
          <w:szCs w:val="24"/>
        </w:rPr>
      </w:pPr>
    </w:p>
    <w:p w:rsidR="00517EAA" w:rsidRDefault="00517EAA" w:rsidP="00531BFF">
      <w:pPr>
        <w:rPr>
          <w:szCs w:val="24"/>
        </w:rPr>
      </w:pPr>
    </w:p>
    <w:p w:rsidR="00517EAA" w:rsidRDefault="00517EAA" w:rsidP="00531BFF">
      <w:pPr>
        <w:rPr>
          <w:szCs w:val="24"/>
        </w:rPr>
      </w:pPr>
    </w:p>
    <w:p w:rsidR="00517EAA" w:rsidRDefault="00517EAA" w:rsidP="00531BFF">
      <w:pPr>
        <w:rPr>
          <w:szCs w:val="24"/>
        </w:rPr>
      </w:pPr>
    </w:p>
    <w:p w:rsidR="00517EAA" w:rsidRDefault="00517EAA" w:rsidP="00531BFF">
      <w:pPr>
        <w:rPr>
          <w:szCs w:val="24"/>
        </w:rPr>
      </w:pPr>
    </w:p>
    <w:p w:rsidR="00517EAA" w:rsidRDefault="00517EAA" w:rsidP="00531BFF">
      <w:pPr>
        <w:rPr>
          <w:szCs w:val="24"/>
        </w:rPr>
      </w:pPr>
    </w:p>
    <w:p w:rsidR="00517EAA" w:rsidRDefault="00517EAA" w:rsidP="00531BFF">
      <w:pPr>
        <w:rPr>
          <w:szCs w:val="24"/>
        </w:rPr>
      </w:pPr>
    </w:p>
    <w:p w:rsidR="00517EAA" w:rsidRDefault="00517EAA" w:rsidP="00531BFF">
      <w:pPr>
        <w:rPr>
          <w:szCs w:val="24"/>
        </w:rPr>
      </w:pPr>
    </w:p>
    <w:p w:rsidR="00517EAA" w:rsidRDefault="00517EAA" w:rsidP="00531BFF">
      <w:pPr>
        <w:rPr>
          <w:szCs w:val="24"/>
        </w:rPr>
      </w:pPr>
    </w:p>
    <w:p w:rsidR="00F70109" w:rsidRDefault="00F70109" w:rsidP="00F70109">
      <w:pPr>
        <w:pStyle w:val="NormalWeb"/>
        <w:shd w:val="clear" w:color="auto" w:fill="FFFFFF"/>
        <w:spacing w:before="0" w:beforeAutospacing="0" w:after="0" w:afterAutospacing="0"/>
        <w:ind w:firstLine="0"/>
        <w:rPr>
          <w:b/>
          <w:bCs/>
          <w:color w:val="000000"/>
          <w:shd w:val="clear" w:color="auto" w:fill="FFFFFF"/>
        </w:rPr>
      </w:pPr>
    </w:p>
    <w:p w:rsidR="005C37AC" w:rsidRPr="005C37AC" w:rsidRDefault="00421492" w:rsidP="00C67C67">
      <w:pPr>
        <w:pStyle w:val="NormalWeb"/>
        <w:shd w:val="clear" w:color="auto" w:fill="FFFFFF"/>
        <w:spacing w:before="0" w:beforeAutospacing="0" w:after="0" w:afterAutospacing="0"/>
        <w:ind w:firstLine="0"/>
        <w:jc w:val="center"/>
        <w:rPr>
          <w:b/>
          <w:bCs/>
          <w:color w:val="000000"/>
          <w:shd w:val="clear" w:color="auto" w:fill="FFFFFF"/>
        </w:rPr>
      </w:pPr>
      <w:r>
        <w:rPr>
          <w:noProof/>
        </w:rPr>
        <w:lastRenderedPageBreak/>
        <w:drawing>
          <wp:anchor distT="4708" distB="3825" distL="120396" distR="118872" simplePos="0" relativeHeight="251658240" behindDoc="0" locked="0" layoutInCell="1" allowOverlap="1">
            <wp:simplePos x="0" y="0"/>
            <wp:positionH relativeFrom="column">
              <wp:posOffset>14986</wp:posOffset>
            </wp:positionH>
            <wp:positionV relativeFrom="paragraph">
              <wp:posOffset>217433</wp:posOffset>
            </wp:positionV>
            <wp:extent cx="5829300" cy="2199005"/>
            <wp:effectExtent l="0" t="0" r="0" b="10795"/>
            <wp:wrapSquare wrapText="bothSides"/>
            <wp:docPr id="5"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5C37AC" w:rsidRPr="005C37AC">
        <w:rPr>
          <w:b/>
          <w:bCs/>
          <w:color w:val="000000"/>
          <w:shd w:val="clear" w:color="auto" w:fill="FFFFFF"/>
        </w:rPr>
        <w:t>Gráfico 2 -  Restos a Pagar Não Processados por Unidade Orçamentária</w:t>
      </w:r>
    </w:p>
    <w:p w:rsidR="005C37AC" w:rsidRPr="00B21EC2" w:rsidRDefault="005C37AC" w:rsidP="00B21EC2">
      <w:pPr>
        <w:ind w:firstLine="0"/>
        <w:jc w:val="center"/>
        <w:rPr>
          <w:bCs/>
          <w:color w:val="000000"/>
          <w:szCs w:val="24"/>
          <w:shd w:val="clear" w:color="auto" w:fill="FFFFFF"/>
        </w:rPr>
      </w:pPr>
      <w:r w:rsidRPr="005C37AC">
        <w:rPr>
          <w:bCs/>
          <w:color w:val="000000"/>
          <w:szCs w:val="24"/>
          <w:shd w:val="clear" w:color="auto" w:fill="FFFFFF"/>
        </w:rPr>
        <w:t xml:space="preserve">Fonte: </w:t>
      </w:r>
      <w:r w:rsidR="00B21EC2">
        <w:rPr>
          <w:rFonts w:eastAsia="Calibri"/>
          <w:bCs/>
          <w:color w:val="000000"/>
          <w:shd w:val="clear" w:color="auto" w:fill="FFFFFF"/>
          <w:lang w:eastAsia="en-US"/>
        </w:rPr>
        <w:t>Elaborado pelas autoras a partir dos dados dos demonstrativos contábeis do TJSC</w:t>
      </w:r>
    </w:p>
    <w:p w:rsidR="00B21EC2" w:rsidRPr="00F00B5E" w:rsidRDefault="00B21EC2" w:rsidP="00B21EC2">
      <w:pPr>
        <w:ind w:firstLine="0"/>
        <w:jc w:val="center"/>
        <w:rPr>
          <w:szCs w:val="24"/>
        </w:rPr>
      </w:pPr>
    </w:p>
    <w:p w:rsidR="005C37AC" w:rsidRPr="00F00B5E" w:rsidRDefault="005C37AC" w:rsidP="005C37AC">
      <w:pPr>
        <w:rPr>
          <w:color w:val="000000"/>
          <w:szCs w:val="24"/>
        </w:rPr>
      </w:pPr>
      <w:r w:rsidRPr="00F00B5E">
        <w:rPr>
          <w:szCs w:val="24"/>
        </w:rPr>
        <w:t xml:space="preserve">Uma vez que a </w:t>
      </w:r>
      <w:r w:rsidR="00C37E6B" w:rsidRPr="00F00B5E">
        <w:rPr>
          <w:szCs w:val="24"/>
        </w:rPr>
        <w:t>Unidade</w:t>
      </w:r>
      <w:r w:rsidR="00C37E6B">
        <w:rPr>
          <w:szCs w:val="24"/>
        </w:rPr>
        <w:t xml:space="preserve"> Orçamentária</w:t>
      </w:r>
      <w:r w:rsidRPr="00F00B5E">
        <w:rPr>
          <w:szCs w:val="24"/>
        </w:rPr>
        <w:t xml:space="preserve"> Tribunal de Justiça é composta também pelo Sistema de Depósitos Judiciais, é esta a unidade orçamentária que contempla a maior parcela de inscrição em restos a pagar não processados do Poder Judiciário Catarinense. No exercício de 2010, essa unidade orçamentária abarcava uma importância total de R$ </w:t>
      </w:r>
      <w:r w:rsidRPr="00F00B5E">
        <w:rPr>
          <w:color w:val="000000"/>
          <w:szCs w:val="24"/>
        </w:rPr>
        <w:t xml:space="preserve">26.977.745,71, sendo R$ 16.878.237,34 proveniente da unidade Tribunal de Justiça e R$ 10.099.508,37 do Sistema de Depósitos Judiciais. No que tange a unidade Tribunal de Justiça, os valores mantiveram-se constantes em 2011 e 2012, reduzindo-se ao valor de R$ 6.579.079,94 em 2013 e duplicando esse valor em 2014. Em se tratando do Sistema de Depósitos Judiciais, assim como o valor total de inscrição em restos a pagar, apresenta-se uma redução brusca nos anos de 2011 e 2012, mas voltando a crescer nos anos posteriores, apresentando no ano de 2014 uma evolução de aproximadamente 55% em relação ao primeiro exercício analisado. </w:t>
      </w:r>
    </w:p>
    <w:p w:rsidR="005C37AC" w:rsidRPr="00F00B5E" w:rsidRDefault="005C37AC" w:rsidP="005C37AC">
      <w:pPr>
        <w:tabs>
          <w:tab w:val="left" w:pos="5812"/>
        </w:tabs>
        <w:rPr>
          <w:color w:val="000000"/>
          <w:szCs w:val="24"/>
        </w:rPr>
      </w:pPr>
      <w:r w:rsidRPr="00F00B5E">
        <w:rPr>
          <w:color w:val="000000"/>
          <w:szCs w:val="24"/>
        </w:rPr>
        <w:t>No que concerne à Unidade Orçamentária Fundo de Reaparelhamento</w:t>
      </w:r>
      <w:r w:rsidR="000C4524">
        <w:rPr>
          <w:color w:val="000000"/>
          <w:szCs w:val="24"/>
        </w:rPr>
        <w:t xml:space="preserve"> de Justiça, observa-se</w:t>
      </w:r>
      <w:r w:rsidRPr="00F00B5E">
        <w:rPr>
          <w:color w:val="000000"/>
          <w:szCs w:val="24"/>
        </w:rPr>
        <w:t xml:space="preserve"> uma discrepância exorbitante nos exercícios de 2011 e 2012, apontado uma queda de 98% e 97% respectivamente, em relação a 2010. Em 2013, esta quantia passa a ser de R$ 34.299.398,08 e aumentando novamente em 2014, com um montante de R$ 28.679.588,96, sendo 66% maior que o período inicial. Segundo o relatório de receitas, despesas e repasses, a diminuição do montante de inscrição em restos a pagar nos anos de 2013 e 2014 provém principalmente da diminuição do montante de despesas com pessoal e encargos inscrita em restos a pagar, que passou de R$ 11.722.832,25 em 2013 para R$ 6.006.500,00 em 2014.</w:t>
      </w:r>
    </w:p>
    <w:p w:rsidR="005C37AC" w:rsidRPr="00F00B5E" w:rsidRDefault="005C37AC" w:rsidP="005C37AC">
      <w:pPr>
        <w:rPr>
          <w:color w:val="000000"/>
          <w:szCs w:val="24"/>
        </w:rPr>
      </w:pPr>
      <w:r w:rsidRPr="00F00B5E">
        <w:rPr>
          <w:color w:val="000000"/>
          <w:szCs w:val="24"/>
        </w:rPr>
        <w:t>Visto que o foco desta pesquis</w:t>
      </w:r>
      <w:r w:rsidR="00112831">
        <w:rPr>
          <w:color w:val="000000"/>
          <w:szCs w:val="24"/>
        </w:rPr>
        <w:t>a é tão somente a análise da prática de</w:t>
      </w:r>
      <w:r w:rsidRPr="00F00B5E">
        <w:rPr>
          <w:color w:val="000000"/>
          <w:szCs w:val="24"/>
        </w:rPr>
        <w:t xml:space="preserve"> inscrição de restos a pagar não processados, a seguir é apresentada uma comparação entre restos a pagar que já passaram pelo estágio da liquidação, os processados, com aqueles que ainda não liquidados, os não processados. Também é feita uma análise vertical do montante de restos a pagar não processados </w:t>
      </w:r>
      <w:r w:rsidRPr="00F00B5E">
        <w:rPr>
          <w:color w:val="000000"/>
          <w:szCs w:val="24"/>
        </w:rPr>
        <w:lastRenderedPageBreak/>
        <w:t xml:space="preserve">com o montante total </w:t>
      </w:r>
      <w:r w:rsidR="000C4524">
        <w:rPr>
          <w:color w:val="000000"/>
          <w:szCs w:val="24"/>
        </w:rPr>
        <w:t>inscrito</w:t>
      </w:r>
      <w:r w:rsidRPr="00F00B5E">
        <w:rPr>
          <w:color w:val="000000"/>
          <w:szCs w:val="24"/>
        </w:rPr>
        <w:t>, para que assim, se possa verificar qual a parcela foi inscrita em restos a p</w:t>
      </w:r>
      <w:r w:rsidR="000C4524">
        <w:rPr>
          <w:color w:val="000000"/>
          <w:szCs w:val="24"/>
        </w:rPr>
        <w:t>agar não processados, conforme a</w:t>
      </w:r>
      <w:r w:rsidRPr="00F00B5E">
        <w:rPr>
          <w:color w:val="000000"/>
          <w:szCs w:val="24"/>
        </w:rPr>
        <w:t xml:space="preserve"> tabela 4:</w:t>
      </w:r>
    </w:p>
    <w:p w:rsidR="005C37AC" w:rsidRPr="00F00B5E" w:rsidRDefault="005C37AC" w:rsidP="005C37AC">
      <w:pPr>
        <w:rPr>
          <w:color w:val="000000"/>
          <w:szCs w:val="24"/>
        </w:rPr>
      </w:pPr>
    </w:p>
    <w:p w:rsidR="005C37AC" w:rsidRPr="005C37AC" w:rsidRDefault="005C37AC" w:rsidP="00C67C67">
      <w:pPr>
        <w:pStyle w:val="NormalWeb"/>
        <w:shd w:val="clear" w:color="auto" w:fill="FFFFFF"/>
        <w:spacing w:before="0" w:beforeAutospacing="0" w:after="0" w:afterAutospacing="0"/>
        <w:ind w:firstLine="0"/>
        <w:jc w:val="center"/>
        <w:rPr>
          <w:b/>
          <w:bCs/>
          <w:color w:val="000000"/>
          <w:shd w:val="clear" w:color="auto" w:fill="FFFFFF"/>
        </w:rPr>
      </w:pPr>
      <w:r w:rsidRPr="005C37AC">
        <w:rPr>
          <w:b/>
          <w:bCs/>
          <w:color w:val="000000"/>
          <w:shd w:val="clear" w:color="auto" w:fill="FFFFFF"/>
        </w:rPr>
        <w:t>Tabela 4 – Restos a Pagar Processados em Relação aos Restos a Pagar Não Processados</w:t>
      </w:r>
    </w:p>
    <w:tbl>
      <w:tblPr>
        <w:tblW w:w="9421" w:type="dxa"/>
        <w:tblCellMar>
          <w:left w:w="70" w:type="dxa"/>
          <w:right w:w="70" w:type="dxa"/>
        </w:tblCellMar>
        <w:tblLook w:val="04A0" w:firstRow="1" w:lastRow="0" w:firstColumn="1" w:lastColumn="0" w:noHBand="0" w:noVBand="1"/>
      </w:tblPr>
      <w:tblGrid>
        <w:gridCol w:w="1304"/>
        <w:gridCol w:w="1983"/>
        <w:gridCol w:w="2487"/>
        <w:gridCol w:w="2273"/>
        <w:gridCol w:w="1374"/>
      </w:tblGrid>
      <w:tr w:rsidR="005C37AC" w:rsidRPr="00F00B5E" w:rsidTr="00531BFF">
        <w:trPr>
          <w:trHeight w:val="217"/>
        </w:trPr>
        <w:tc>
          <w:tcPr>
            <w:tcW w:w="1304" w:type="dxa"/>
            <w:tcBorders>
              <w:top w:val="single" w:sz="4" w:space="0" w:color="auto"/>
              <w:left w:val="nil"/>
              <w:bottom w:val="single" w:sz="4" w:space="0" w:color="auto"/>
              <w:right w:val="nil"/>
            </w:tcBorders>
            <w:shd w:val="clear" w:color="auto" w:fill="D9D9D9"/>
            <w:noWrap/>
            <w:hideMark/>
          </w:tcPr>
          <w:p w:rsidR="005C37AC" w:rsidRPr="00531BFF" w:rsidRDefault="005C37AC" w:rsidP="00C67C67">
            <w:pPr>
              <w:tabs>
                <w:tab w:val="left" w:pos="815"/>
              </w:tabs>
              <w:ind w:firstLine="0"/>
              <w:jc w:val="center"/>
              <w:rPr>
                <w:b/>
                <w:bCs/>
                <w:color w:val="000000"/>
                <w:sz w:val="20"/>
                <w:szCs w:val="24"/>
              </w:rPr>
            </w:pPr>
            <w:r w:rsidRPr="00531BFF">
              <w:rPr>
                <w:b/>
                <w:bCs/>
                <w:color w:val="000000"/>
                <w:sz w:val="20"/>
                <w:szCs w:val="24"/>
              </w:rPr>
              <w:t>Ano</w:t>
            </w:r>
          </w:p>
        </w:tc>
        <w:tc>
          <w:tcPr>
            <w:tcW w:w="1983" w:type="dxa"/>
            <w:tcBorders>
              <w:top w:val="single" w:sz="4" w:space="0" w:color="auto"/>
              <w:left w:val="single" w:sz="4" w:space="0" w:color="auto"/>
              <w:bottom w:val="single" w:sz="4" w:space="0" w:color="auto"/>
              <w:right w:val="single" w:sz="4" w:space="0" w:color="auto"/>
            </w:tcBorders>
            <w:shd w:val="clear" w:color="auto" w:fill="D9D9D9"/>
            <w:noWrap/>
            <w:hideMark/>
          </w:tcPr>
          <w:p w:rsidR="005C37AC" w:rsidRPr="00531BFF" w:rsidRDefault="005C37AC" w:rsidP="00C67C67">
            <w:pPr>
              <w:ind w:firstLine="0"/>
              <w:jc w:val="center"/>
              <w:rPr>
                <w:b/>
                <w:bCs/>
                <w:color w:val="000000"/>
                <w:sz w:val="20"/>
                <w:szCs w:val="24"/>
              </w:rPr>
            </w:pPr>
            <w:r w:rsidRPr="00531BFF">
              <w:rPr>
                <w:b/>
                <w:bCs/>
                <w:color w:val="000000"/>
                <w:sz w:val="20"/>
                <w:szCs w:val="24"/>
              </w:rPr>
              <w:t>RP Processados</w:t>
            </w:r>
          </w:p>
        </w:tc>
        <w:tc>
          <w:tcPr>
            <w:tcW w:w="2487" w:type="dxa"/>
            <w:tcBorders>
              <w:top w:val="single" w:sz="4" w:space="0" w:color="auto"/>
              <w:left w:val="nil"/>
              <w:bottom w:val="single" w:sz="4" w:space="0" w:color="auto"/>
              <w:right w:val="single" w:sz="4" w:space="0" w:color="auto"/>
            </w:tcBorders>
            <w:shd w:val="clear" w:color="auto" w:fill="D9D9D9"/>
            <w:noWrap/>
            <w:hideMark/>
          </w:tcPr>
          <w:p w:rsidR="005C37AC" w:rsidRPr="00531BFF" w:rsidRDefault="005C37AC" w:rsidP="00C67C67">
            <w:pPr>
              <w:ind w:firstLine="0"/>
              <w:jc w:val="center"/>
              <w:rPr>
                <w:b/>
                <w:bCs/>
                <w:color w:val="000000"/>
                <w:sz w:val="20"/>
                <w:szCs w:val="24"/>
              </w:rPr>
            </w:pPr>
            <w:r w:rsidRPr="00531BFF">
              <w:rPr>
                <w:b/>
                <w:bCs/>
                <w:color w:val="000000"/>
                <w:sz w:val="20"/>
                <w:szCs w:val="24"/>
              </w:rPr>
              <w:t>RP Não Processados</w:t>
            </w:r>
          </w:p>
        </w:tc>
        <w:tc>
          <w:tcPr>
            <w:tcW w:w="2273" w:type="dxa"/>
            <w:tcBorders>
              <w:top w:val="single" w:sz="4" w:space="0" w:color="auto"/>
              <w:left w:val="nil"/>
              <w:bottom w:val="single" w:sz="4" w:space="0" w:color="auto"/>
              <w:right w:val="nil"/>
            </w:tcBorders>
            <w:shd w:val="clear" w:color="auto" w:fill="D9D9D9"/>
            <w:noWrap/>
            <w:hideMark/>
          </w:tcPr>
          <w:p w:rsidR="005C37AC" w:rsidRPr="00531BFF" w:rsidRDefault="005C37AC" w:rsidP="00C67C67">
            <w:pPr>
              <w:ind w:firstLine="0"/>
              <w:jc w:val="center"/>
              <w:rPr>
                <w:b/>
                <w:bCs/>
                <w:color w:val="000000"/>
                <w:sz w:val="20"/>
                <w:szCs w:val="24"/>
              </w:rPr>
            </w:pPr>
            <w:r w:rsidRPr="00531BFF">
              <w:rPr>
                <w:b/>
                <w:bCs/>
                <w:color w:val="000000"/>
                <w:sz w:val="20"/>
                <w:szCs w:val="24"/>
              </w:rPr>
              <w:t>Total</w:t>
            </w:r>
          </w:p>
        </w:tc>
        <w:tc>
          <w:tcPr>
            <w:tcW w:w="1374" w:type="dxa"/>
            <w:tcBorders>
              <w:top w:val="single" w:sz="4" w:space="0" w:color="auto"/>
              <w:left w:val="single" w:sz="4" w:space="0" w:color="auto"/>
              <w:bottom w:val="single" w:sz="4" w:space="0" w:color="auto"/>
              <w:right w:val="nil"/>
            </w:tcBorders>
            <w:shd w:val="clear" w:color="auto" w:fill="D9D9D9"/>
            <w:noWrap/>
            <w:hideMark/>
          </w:tcPr>
          <w:p w:rsidR="005C37AC" w:rsidRPr="00531BFF" w:rsidRDefault="005C37AC" w:rsidP="00C67C67">
            <w:pPr>
              <w:ind w:firstLine="0"/>
              <w:jc w:val="center"/>
              <w:rPr>
                <w:b/>
                <w:bCs/>
                <w:color w:val="000000"/>
                <w:sz w:val="20"/>
                <w:szCs w:val="24"/>
              </w:rPr>
            </w:pPr>
            <w:r w:rsidRPr="00531BFF">
              <w:rPr>
                <w:b/>
                <w:bCs/>
                <w:color w:val="000000"/>
                <w:sz w:val="20"/>
                <w:szCs w:val="24"/>
              </w:rPr>
              <w:t>AV</w:t>
            </w:r>
          </w:p>
        </w:tc>
      </w:tr>
      <w:tr w:rsidR="005C37AC" w:rsidRPr="00F00B5E" w:rsidTr="00531BFF">
        <w:trPr>
          <w:trHeight w:val="217"/>
        </w:trPr>
        <w:tc>
          <w:tcPr>
            <w:tcW w:w="1304" w:type="dxa"/>
            <w:tcBorders>
              <w:top w:val="nil"/>
              <w:left w:val="nil"/>
              <w:bottom w:val="single" w:sz="4" w:space="0" w:color="auto"/>
              <w:right w:val="single" w:sz="4" w:space="0" w:color="auto"/>
            </w:tcBorders>
            <w:shd w:val="clear" w:color="000000" w:fill="FFFFFF"/>
            <w:noWrap/>
            <w:hideMark/>
          </w:tcPr>
          <w:p w:rsidR="005C37AC" w:rsidRPr="00531BFF" w:rsidRDefault="005C37AC" w:rsidP="00C67C67">
            <w:pPr>
              <w:ind w:firstLine="0"/>
              <w:jc w:val="center"/>
              <w:rPr>
                <w:b/>
                <w:bCs/>
                <w:color w:val="000000"/>
                <w:sz w:val="20"/>
                <w:szCs w:val="24"/>
              </w:rPr>
            </w:pPr>
            <w:r w:rsidRPr="00531BFF">
              <w:rPr>
                <w:b/>
                <w:bCs/>
                <w:color w:val="000000"/>
                <w:sz w:val="20"/>
                <w:szCs w:val="24"/>
              </w:rPr>
              <w:t>2010</w:t>
            </w:r>
          </w:p>
        </w:tc>
        <w:tc>
          <w:tcPr>
            <w:tcW w:w="1983" w:type="dxa"/>
            <w:tcBorders>
              <w:top w:val="nil"/>
              <w:left w:val="nil"/>
              <w:bottom w:val="single" w:sz="4" w:space="0" w:color="auto"/>
              <w:right w:val="single" w:sz="4" w:space="0" w:color="auto"/>
            </w:tcBorders>
            <w:shd w:val="clear" w:color="000000" w:fill="FFFFFF"/>
            <w:hideMark/>
          </w:tcPr>
          <w:p w:rsidR="005C37AC" w:rsidRPr="00531BFF" w:rsidRDefault="005C37AC" w:rsidP="00C67C67">
            <w:pPr>
              <w:ind w:firstLine="0"/>
              <w:jc w:val="center"/>
              <w:rPr>
                <w:color w:val="000000"/>
                <w:sz w:val="20"/>
                <w:szCs w:val="24"/>
              </w:rPr>
            </w:pPr>
            <w:r w:rsidRPr="00531BFF">
              <w:rPr>
                <w:color w:val="000000"/>
                <w:sz w:val="20"/>
                <w:szCs w:val="24"/>
              </w:rPr>
              <w:t>1.585.054,24</w:t>
            </w:r>
          </w:p>
        </w:tc>
        <w:tc>
          <w:tcPr>
            <w:tcW w:w="2487" w:type="dxa"/>
            <w:tcBorders>
              <w:top w:val="nil"/>
              <w:left w:val="nil"/>
              <w:bottom w:val="single" w:sz="4" w:space="0" w:color="auto"/>
              <w:right w:val="single" w:sz="4" w:space="0" w:color="auto"/>
            </w:tcBorders>
            <w:shd w:val="clear" w:color="000000" w:fill="FFFFFF"/>
            <w:hideMark/>
          </w:tcPr>
          <w:p w:rsidR="005C37AC" w:rsidRPr="00531BFF" w:rsidRDefault="005C37AC" w:rsidP="00C67C67">
            <w:pPr>
              <w:ind w:firstLine="0"/>
              <w:jc w:val="center"/>
              <w:rPr>
                <w:color w:val="000000"/>
                <w:sz w:val="20"/>
                <w:szCs w:val="24"/>
              </w:rPr>
            </w:pPr>
            <w:r w:rsidRPr="00531BFF">
              <w:rPr>
                <w:color w:val="000000"/>
                <w:sz w:val="20"/>
                <w:szCs w:val="24"/>
              </w:rPr>
              <w:t>45.985.632,52</w:t>
            </w:r>
          </w:p>
        </w:tc>
        <w:tc>
          <w:tcPr>
            <w:tcW w:w="2273" w:type="dxa"/>
            <w:tcBorders>
              <w:top w:val="nil"/>
              <w:left w:val="nil"/>
              <w:bottom w:val="single" w:sz="4" w:space="0" w:color="auto"/>
              <w:right w:val="single" w:sz="4" w:space="0" w:color="auto"/>
            </w:tcBorders>
            <w:shd w:val="clear" w:color="000000" w:fill="FFFFFF"/>
            <w:noWrap/>
            <w:hideMark/>
          </w:tcPr>
          <w:p w:rsidR="005C37AC" w:rsidRPr="00531BFF" w:rsidRDefault="005C37AC" w:rsidP="00C67C67">
            <w:pPr>
              <w:ind w:firstLine="0"/>
              <w:jc w:val="center"/>
              <w:rPr>
                <w:color w:val="000000"/>
                <w:sz w:val="20"/>
                <w:szCs w:val="24"/>
              </w:rPr>
            </w:pPr>
            <w:r w:rsidRPr="00531BFF">
              <w:rPr>
                <w:color w:val="000000"/>
                <w:sz w:val="20"/>
                <w:szCs w:val="24"/>
              </w:rPr>
              <w:t>47.570.686,76</w:t>
            </w:r>
          </w:p>
        </w:tc>
        <w:tc>
          <w:tcPr>
            <w:tcW w:w="1374" w:type="dxa"/>
            <w:tcBorders>
              <w:top w:val="nil"/>
              <w:left w:val="nil"/>
              <w:bottom w:val="single" w:sz="4" w:space="0" w:color="auto"/>
              <w:right w:val="nil"/>
            </w:tcBorders>
            <w:shd w:val="clear" w:color="000000" w:fill="FFFFFF"/>
            <w:noWrap/>
            <w:hideMark/>
          </w:tcPr>
          <w:p w:rsidR="005C37AC" w:rsidRPr="00531BFF" w:rsidRDefault="005C37AC" w:rsidP="00C67C67">
            <w:pPr>
              <w:ind w:firstLine="0"/>
              <w:jc w:val="center"/>
              <w:rPr>
                <w:color w:val="000000"/>
                <w:sz w:val="20"/>
                <w:szCs w:val="24"/>
              </w:rPr>
            </w:pPr>
            <w:r w:rsidRPr="00531BFF">
              <w:rPr>
                <w:color w:val="000000"/>
                <w:sz w:val="20"/>
                <w:szCs w:val="24"/>
              </w:rPr>
              <w:t>96%</w:t>
            </w:r>
          </w:p>
        </w:tc>
      </w:tr>
      <w:tr w:rsidR="005C37AC" w:rsidRPr="00F00B5E" w:rsidTr="00531BFF">
        <w:trPr>
          <w:trHeight w:val="217"/>
        </w:trPr>
        <w:tc>
          <w:tcPr>
            <w:tcW w:w="1304" w:type="dxa"/>
            <w:tcBorders>
              <w:top w:val="nil"/>
              <w:left w:val="nil"/>
              <w:bottom w:val="single" w:sz="4" w:space="0" w:color="auto"/>
              <w:right w:val="single" w:sz="4" w:space="0" w:color="auto"/>
            </w:tcBorders>
            <w:shd w:val="clear" w:color="000000" w:fill="FFFFFF"/>
            <w:noWrap/>
            <w:hideMark/>
          </w:tcPr>
          <w:p w:rsidR="005C37AC" w:rsidRPr="00531BFF" w:rsidRDefault="005C37AC" w:rsidP="00C67C67">
            <w:pPr>
              <w:ind w:firstLine="0"/>
              <w:jc w:val="center"/>
              <w:rPr>
                <w:b/>
                <w:bCs/>
                <w:color w:val="000000"/>
                <w:sz w:val="20"/>
                <w:szCs w:val="24"/>
              </w:rPr>
            </w:pPr>
            <w:r w:rsidRPr="00531BFF">
              <w:rPr>
                <w:b/>
                <w:bCs/>
                <w:color w:val="000000"/>
                <w:sz w:val="20"/>
                <w:szCs w:val="24"/>
              </w:rPr>
              <w:t>2011</w:t>
            </w:r>
          </w:p>
        </w:tc>
        <w:tc>
          <w:tcPr>
            <w:tcW w:w="1983" w:type="dxa"/>
            <w:tcBorders>
              <w:top w:val="nil"/>
              <w:left w:val="nil"/>
              <w:bottom w:val="single" w:sz="4" w:space="0" w:color="auto"/>
              <w:right w:val="single" w:sz="4" w:space="0" w:color="auto"/>
            </w:tcBorders>
            <w:shd w:val="clear" w:color="000000" w:fill="FFFFFF"/>
            <w:hideMark/>
          </w:tcPr>
          <w:p w:rsidR="005C37AC" w:rsidRPr="00531BFF" w:rsidRDefault="005C37AC" w:rsidP="00C67C67">
            <w:pPr>
              <w:ind w:firstLine="0"/>
              <w:jc w:val="center"/>
              <w:rPr>
                <w:color w:val="231F20"/>
                <w:sz w:val="20"/>
                <w:szCs w:val="24"/>
              </w:rPr>
            </w:pPr>
            <w:r w:rsidRPr="00531BFF">
              <w:rPr>
                <w:color w:val="231F20"/>
                <w:sz w:val="20"/>
                <w:szCs w:val="24"/>
              </w:rPr>
              <w:t xml:space="preserve">     24.686,75</w:t>
            </w:r>
          </w:p>
        </w:tc>
        <w:tc>
          <w:tcPr>
            <w:tcW w:w="2487" w:type="dxa"/>
            <w:tcBorders>
              <w:top w:val="nil"/>
              <w:left w:val="nil"/>
              <w:bottom w:val="single" w:sz="4" w:space="0" w:color="auto"/>
              <w:right w:val="single" w:sz="4" w:space="0" w:color="auto"/>
            </w:tcBorders>
            <w:shd w:val="clear" w:color="000000" w:fill="FFFFFF"/>
            <w:hideMark/>
          </w:tcPr>
          <w:p w:rsidR="005C37AC" w:rsidRPr="00531BFF" w:rsidRDefault="005C37AC" w:rsidP="00C67C67">
            <w:pPr>
              <w:ind w:firstLine="0"/>
              <w:jc w:val="center"/>
              <w:rPr>
                <w:color w:val="000000"/>
                <w:sz w:val="20"/>
                <w:szCs w:val="24"/>
              </w:rPr>
            </w:pPr>
            <w:r w:rsidRPr="00531BFF">
              <w:rPr>
                <w:color w:val="000000"/>
                <w:sz w:val="20"/>
                <w:szCs w:val="24"/>
              </w:rPr>
              <w:t>28.390.207,75</w:t>
            </w:r>
          </w:p>
        </w:tc>
        <w:tc>
          <w:tcPr>
            <w:tcW w:w="2273" w:type="dxa"/>
            <w:tcBorders>
              <w:top w:val="nil"/>
              <w:left w:val="nil"/>
              <w:bottom w:val="single" w:sz="4" w:space="0" w:color="auto"/>
              <w:right w:val="single" w:sz="4" w:space="0" w:color="auto"/>
            </w:tcBorders>
            <w:shd w:val="clear" w:color="000000" w:fill="FFFFFF"/>
            <w:noWrap/>
            <w:hideMark/>
          </w:tcPr>
          <w:p w:rsidR="005C37AC" w:rsidRPr="00531BFF" w:rsidRDefault="005C37AC" w:rsidP="00C67C67">
            <w:pPr>
              <w:ind w:firstLine="0"/>
              <w:jc w:val="center"/>
              <w:rPr>
                <w:color w:val="000000"/>
                <w:sz w:val="20"/>
                <w:szCs w:val="24"/>
              </w:rPr>
            </w:pPr>
            <w:r w:rsidRPr="00531BFF">
              <w:rPr>
                <w:color w:val="000000"/>
                <w:sz w:val="20"/>
                <w:szCs w:val="24"/>
              </w:rPr>
              <w:t>28.414.894,50</w:t>
            </w:r>
          </w:p>
        </w:tc>
        <w:tc>
          <w:tcPr>
            <w:tcW w:w="1374" w:type="dxa"/>
            <w:tcBorders>
              <w:top w:val="nil"/>
              <w:left w:val="nil"/>
              <w:bottom w:val="single" w:sz="4" w:space="0" w:color="auto"/>
              <w:right w:val="nil"/>
            </w:tcBorders>
            <w:shd w:val="clear" w:color="000000" w:fill="FFFFFF"/>
            <w:noWrap/>
            <w:hideMark/>
          </w:tcPr>
          <w:p w:rsidR="005C37AC" w:rsidRPr="00531BFF" w:rsidRDefault="005C37AC" w:rsidP="00C67C67">
            <w:pPr>
              <w:ind w:firstLine="0"/>
              <w:jc w:val="center"/>
              <w:rPr>
                <w:color w:val="000000"/>
                <w:sz w:val="20"/>
                <w:szCs w:val="24"/>
              </w:rPr>
            </w:pPr>
            <w:r w:rsidRPr="00531BFF">
              <w:rPr>
                <w:color w:val="000000"/>
                <w:sz w:val="20"/>
                <w:szCs w:val="24"/>
              </w:rPr>
              <w:t>99%</w:t>
            </w:r>
          </w:p>
        </w:tc>
      </w:tr>
      <w:tr w:rsidR="005C37AC" w:rsidRPr="00F00B5E" w:rsidTr="00531BFF">
        <w:trPr>
          <w:trHeight w:val="217"/>
        </w:trPr>
        <w:tc>
          <w:tcPr>
            <w:tcW w:w="1304" w:type="dxa"/>
            <w:tcBorders>
              <w:top w:val="nil"/>
              <w:left w:val="nil"/>
              <w:bottom w:val="single" w:sz="4" w:space="0" w:color="auto"/>
              <w:right w:val="single" w:sz="4" w:space="0" w:color="auto"/>
            </w:tcBorders>
            <w:shd w:val="clear" w:color="000000" w:fill="FFFFFF"/>
            <w:noWrap/>
            <w:hideMark/>
          </w:tcPr>
          <w:p w:rsidR="005C37AC" w:rsidRPr="00531BFF" w:rsidRDefault="005C37AC" w:rsidP="00C67C67">
            <w:pPr>
              <w:ind w:firstLine="0"/>
              <w:jc w:val="center"/>
              <w:rPr>
                <w:b/>
                <w:bCs/>
                <w:color w:val="000000"/>
                <w:sz w:val="20"/>
                <w:szCs w:val="24"/>
              </w:rPr>
            </w:pPr>
            <w:r w:rsidRPr="00531BFF">
              <w:rPr>
                <w:b/>
                <w:bCs/>
                <w:color w:val="000000"/>
                <w:sz w:val="20"/>
                <w:szCs w:val="24"/>
              </w:rPr>
              <w:t>2012</w:t>
            </w:r>
          </w:p>
        </w:tc>
        <w:tc>
          <w:tcPr>
            <w:tcW w:w="1983" w:type="dxa"/>
            <w:tcBorders>
              <w:top w:val="nil"/>
              <w:left w:val="nil"/>
              <w:bottom w:val="single" w:sz="4" w:space="0" w:color="auto"/>
              <w:right w:val="single" w:sz="4" w:space="0" w:color="auto"/>
            </w:tcBorders>
            <w:shd w:val="clear" w:color="000000" w:fill="FFFFFF"/>
            <w:hideMark/>
          </w:tcPr>
          <w:p w:rsidR="005C37AC" w:rsidRPr="00531BFF" w:rsidRDefault="005C37AC" w:rsidP="00C67C67">
            <w:pPr>
              <w:ind w:firstLine="0"/>
              <w:jc w:val="center"/>
              <w:rPr>
                <w:color w:val="000000"/>
                <w:sz w:val="20"/>
                <w:szCs w:val="24"/>
              </w:rPr>
            </w:pPr>
            <w:r w:rsidRPr="00531BFF">
              <w:rPr>
                <w:color w:val="000000"/>
                <w:sz w:val="20"/>
                <w:szCs w:val="24"/>
              </w:rPr>
              <w:t>9.135.295,58</w:t>
            </w:r>
          </w:p>
        </w:tc>
        <w:tc>
          <w:tcPr>
            <w:tcW w:w="2487" w:type="dxa"/>
            <w:tcBorders>
              <w:top w:val="nil"/>
              <w:left w:val="nil"/>
              <w:bottom w:val="single" w:sz="4" w:space="0" w:color="auto"/>
              <w:right w:val="single" w:sz="4" w:space="0" w:color="auto"/>
            </w:tcBorders>
            <w:shd w:val="clear" w:color="000000" w:fill="FFFFFF"/>
            <w:hideMark/>
          </w:tcPr>
          <w:p w:rsidR="005C37AC" w:rsidRPr="00531BFF" w:rsidRDefault="005C37AC" w:rsidP="00C67C67">
            <w:pPr>
              <w:ind w:firstLine="0"/>
              <w:jc w:val="center"/>
              <w:rPr>
                <w:color w:val="000000"/>
                <w:sz w:val="20"/>
                <w:szCs w:val="24"/>
              </w:rPr>
            </w:pPr>
            <w:r w:rsidRPr="00531BFF">
              <w:rPr>
                <w:color w:val="000000"/>
                <w:sz w:val="20"/>
                <w:szCs w:val="24"/>
              </w:rPr>
              <w:t>23.102.054,01</w:t>
            </w:r>
          </w:p>
        </w:tc>
        <w:tc>
          <w:tcPr>
            <w:tcW w:w="2273" w:type="dxa"/>
            <w:tcBorders>
              <w:top w:val="nil"/>
              <w:left w:val="nil"/>
              <w:bottom w:val="single" w:sz="4" w:space="0" w:color="auto"/>
              <w:right w:val="single" w:sz="4" w:space="0" w:color="auto"/>
            </w:tcBorders>
            <w:shd w:val="clear" w:color="000000" w:fill="FFFFFF"/>
            <w:noWrap/>
            <w:hideMark/>
          </w:tcPr>
          <w:p w:rsidR="005C37AC" w:rsidRPr="00531BFF" w:rsidRDefault="005C37AC" w:rsidP="00C67C67">
            <w:pPr>
              <w:ind w:firstLine="0"/>
              <w:jc w:val="center"/>
              <w:rPr>
                <w:color w:val="000000"/>
                <w:sz w:val="20"/>
                <w:szCs w:val="24"/>
              </w:rPr>
            </w:pPr>
            <w:r w:rsidRPr="00531BFF">
              <w:rPr>
                <w:color w:val="000000"/>
                <w:sz w:val="20"/>
                <w:szCs w:val="24"/>
              </w:rPr>
              <w:t>32.237.349,59</w:t>
            </w:r>
          </w:p>
        </w:tc>
        <w:tc>
          <w:tcPr>
            <w:tcW w:w="1374" w:type="dxa"/>
            <w:tcBorders>
              <w:top w:val="nil"/>
              <w:left w:val="nil"/>
              <w:bottom w:val="single" w:sz="4" w:space="0" w:color="auto"/>
              <w:right w:val="nil"/>
            </w:tcBorders>
            <w:shd w:val="clear" w:color="000000" w:fill="FFFFFF"/>
            <w:noWrap/>
            <w:hideMark/>
          </w:tcPr>
          <w:p w:rsidR="005C37AC" w:rsidRPr="00531BFF" w:rsidRDefault="005C37AC" w:rsidP="00C67C67">
            <w:pPr>
              <w:ind w:firstLine="0"/>
              <w:jc w:val="center"/>
              <w:rPr>
                <w:color w:val="000000"/>
                <w:sz w:val="20"/>
                <w:szCs w:val="24"/>
              </w:rPr>
            </w:pPr>
            <w:r w:rsidRPr="00531BFF">
              <w:rPr>
                <w:color w:val="000000"/>
                <w:sz w:val="20"/>
                <w:szCs w:val="24"/>
              </w:rPr>
              <w:t>71%</w:t>
            </w:r>
          </w:p>
        </w:tc>
      </w:tr>
      <w:tr w:rsidR="005C37AC" w:rsidRPr="00F00B5E" w:rsidTr="00531BFF">
        <w:trPr>
          <w:trHeight w:val="217"/>
        </w:trPr>
        <w:tc>
          <w:tcPr>
            <w:tcW w:w="1304" w:type="dxa"/>
            <w:tcBorders>
              <w:top w:val="nil"/>
              <w:left w:val="nil"/>
              <w:bottom w:val="single" w:sz="4" w:space="0" w:color="auto"/>
              <w:right w:val="single" w:sz="4" w:space="0" w:color="auto"/>
            </w:tcBorders>
            <w:shd w:val="clear" w:color="000000" w:fill="FFFFFF"/>
            <w:noWrap/>
            <w:hideMark/>
          </w:tcPr>
          <w:p w:rsidR="005C37AC" w:rsidRPr="00531BFF" w:rsidRDefault="005C37AC" w:rsidP="00C67C67">
            <w:pPr>
              <w:ind w:firstLine="0"/>
              <w:jc w:val="center"/>
              <w:rPr>
                <w:b/>
                <w:bCs/>
                <w:color w:val="000000"/>
                <w:sz w:val="20"/>
                <w:szCs w:val="24"/>
              </w:rPr>
            </w:pPr>
            <w:r w:rsidRPr="00531BFF">
              <w:rPr>
                <w:b/>
                <w:bCs/>
                <w:color w:val="000000"/>
                <w:sz w:val="20"/>
                <w:szCs w:val="24"/>
              </w:rPr>
              <w:t>2013</w:t>
            </w:r>
          </w:p>
        </w:tc>
        <w:tc>
          <w:tcPr>
            <w:tcW w:w="1983" w:type="dxa"/>
            <w:tcBorders>
              <w:top w:val="nil"/>
              <w:left w:val="nil"/>
              <w:bottom w:val="single" w:sz="4" w:space="0" w:color="auto"/>
              <w:right w:val="single" w:sz="4" w:space="0" w:color="auto"/>
            </w:tcBorders>
            <w:shd w:val="clear" w:color="000000" w:fill="FFFFFF"/>
            <w:noWrap/>
            <w:hideMark/>
          </w:tcPr>
          <w:p w:rsidR="005C37AC" w:rsidRPr="00531BFF" w:rsidRDefault="005C37AC" w:rsidP="00C67C67">
            <w:pPr>
              <w:ind w:firstLine="0"/>
              <w:jc w:val="center"/>
              <w:rPr>
                <w:color w:val="000000"/>
                <w:sz w:val="20"/>
                <w:szCs w:val="24"/>
              </w:rPr>
            </w:pPr>
            <w:r w:rsidRPr="00531BFF">
              <w:rPr>
                <w:color w:val="000000"/>
                <w:sz w:val="20"/>
                <w:szCs w:val="24"/>
              </w:rPr>
              <w:t>-</w:t>
            </w:r>
          </w:p>
        </w:tc>
        <w:tc>
          <w:tcPr>
            <w:tcW w:w="2487" w:type="dxa"/>
            <w:tcBorders>
              <w:top w:val="nil"/>
              <w:left w:val="nil"/>
              <w:bottom w:val="single" w:sz="4" w:space="0" w:color="auto"/>
              <w:right w:val="single" w:sz="4" w:space="0" w:color="auto"/>
            </w:tcBorders>
            <w:shd w:val="clear" w:color="000000" w:fill="FFFFFF"/>
            <w:hideMark/>
          </w:tcPr>
          <w:p w:rsidR="005C37AC" w:rsidRPr="00531BFF" w:rsidRDefault="005C37AC" w:rsidP="00C67C67">
            <w:pPr>
              <w:ind w:firstLine="0"/>
              <w:jc w:val="center"/>
              <w:rPr>
                <w:color w:val="000000"/>
                <w:sz w:val="20"/>
                <w:szCs w:val="24"/>
              </w:rPr>
            </w:pPr>
            <w:r w:rsidRPr="00531BFF">
              <w:rPr>
                <w:color w:val="000000"/>
                <w:sz w:val="20"/>
                <w:szCs w:val="24"/>
              </w:rPr>
              <w:t>49.183.449,55</w:t>
            </w:r>
          </w:p>
        </w:tc>
        <w:tc>
          <w:tcPr>
            <w:tcW w:w="2273" w:type="dxa"/>
            <w:tcBorders>
              <w:top w:val="nil"/>
              <w:left w:val="nil"/>
              <w:bottom w:val="single" w:sz="4" w:space="0" w:color="auto"/>
              <w:right w:val="single" w:sz="4" w:space="0" w:color="auto"/>
            </w:tcBorders>
            <w:shd w:val="clear" w:color="000000" w:fill="FFFFFF"/>
            <w:hideMark/>
          </w:tcPr>
          <w:p w:rsidR="005C37AC" w:rsidRPr="00531BFF" w:rsidRDefault="005C37AC" w:rsidP="00C67C67">
            <w:pPr>
              <w:ind w:firstLine="0"/>
              <w:jc w:val="center"/>
              <w:rPr>
                <w:color w:val="000000"/>
                <w:sz w:val="20"/>
                <w:szCs w:val="24"/>
              </w:rPr>
            </w:pPr>
            <w:r w:rsidRPr="00531BFF">
              <w:rPr>
                <w:color w:val="000000"/>
                <w:sz w:val="20"/>
                <w:szCs w:val="24"/>
              </w:rPr>
              <w:t>49.183.449,55</w:t>
            </w:r>
          </w:p>
        </w:tc>
        <w:tc>
          <w:tcPr>
            <w:tcW w:w="1374" w:type="dxa"/>
            <w:tcBorders>
              <w:top w:val="nil"/>
              <w:left w:val="nil"/>
              <w:bottom w:val="single" w:sz="4" w:space="0" w:color="auto"/>
              <w:right w:val="nil"/>
            </w:tcBorders>
            <w:shd w:val="clear" w:color="000000" w:fill="FFFFFF"/>
            <w:noWrap/>
            <w:hideMark/>
          </w:tcPr>
          <w:p w:rsidR="005C37AC" w:rsidRPr="00531BFF" w:rsidRDefault="005C37AC" w:rsidP="00C67C67">
            <w:pPr>
              <w:ind w:firstLine="0"/>
              <w:jc w:val="center"/>
              <w:rPr>
                <w:color w:val="000000"/>
                <w:sz w:val="20"/>
                <w:szCs w:val="24"/>
              </w:rPr>
            </w:pPr>
            <w:r w:rsidRPr="00531BFF">
              <w:rPr>
                <w:color w:val="000000"/>
                <w:sz w:val="20"/>
                <w:szCs w:val="24"/>
              </w:rPr>
              <w:t>100%</w:t>
            </w:r>
          </w:p>
        </w:tc>
      </w:tr>
      <w:tr w:rsidR="005C37AC" w:rsidRPr="00F00B5E" w:rsidTr="00531BFF">
        <w:trPr>
          <w:trHeight w:val="217"/>
        </w:trPr>
        <w:tc>
          <w:tcPr>
            <w:tcW w:w="1304" w:type="dxa"/>
            <w:tcBorders>
              <w:top w:val="nil"/>
              <w:left w:val="nil"/>
              <w:bottom w:val="single" w:sz="4" w:space="0" w:color="auto"/>
              <w:right w:val="single" w:sz="4" w:space="0" w:color="auto"/>
            </w:tcBorders>
            <w:shd w:val="clear" w:color="000000" w:fill="FFFFFF"/>
            <w:noWrap/>
            <w:hideMark/>
          </w:tcPr>
          <w:p w:rsidR="005C37AC" w:rsidRPr="00531BFF" w:rsidRDefault="005C37AC" w:rsidP="00C67C67">
            <w:pPr>
              <w:ind w:firstLine="0"/>
              <w:jc w:val="center"/>
              <w:rPr>
                <w:b/>
                <w:bCs/>
                <w:color w:val="000000"/>
                <w:sz w:val="20"/>
                <w:szCs w:val="24"/>
              </w:rPr>
            </w:pPr>
            <w:r w:rsidRPr="00531BFF">
              <w:rPr>
                <w:b/>
                <w:bCs/>
                <w:color w:val="000000"/>
                <w:sz w:val="20"/>
                <w:szCs w:val="24"/>
              </w:rPr>
              <w:t>2014</w:t>
            </w:r>
          </w:p>
        </w:tc>
        <w:tc>
          <w:tcPr>
            <w:tcW w:w="1983" w:type="dxa"/>
            <w:tcBorders>
              <w:top w:val="nil"/>
              <w:left w:val="nil"/>
              <w:bottom w:val="single" w:sz="4" w:space="0" w:color="auto"/>
              <w:right w:val="single" w:sz="4" w:space="0" w:color="auto"/>
            </w:tcBorders>
            <w:shd w:val="clear" w:color="000000" w:fill="FFFFFF"/>
            <w:noWrap/>
            <w:hideMark/>
          </w:tcPr>
          <w:p w:rsidR="005C37AC" w:rsidRPr="00531BFF" w:rsidRDefault="005C37AC" w:rsidP="00C67C67">
            <w:pPr>
              <w:ind w:firstLine="0"/>
              <w:jc w:val="center"/>
              <w:rPr>
                <w:color w:val="000000"/>
                <w:sz w:val="20"/>
                <w:szCs w:val="24"/>
              </w:rPr>
            </w:pPr>
            <w:r w:rsidRPr="00531BFF">
              <w:rPr>
                <w:color w:val="000000"/>
                <w:sz w:val="20"/>
                <w:szCs w:val="24"/>
              </w:rPr>
              <w:t>-</w:t>
            </w:r>
          </w:p>
        </w:tc>
        <w:tc>
          <w:tcPr>
            <w:tcW w:w="2487" w:type="dxa"/>
            <w:tcBorders>
              <w:top w:val="nil"/>
              <w:left w:val="nil"/>
              <w:bottom w:val="single" w:sz="4" w:space="0" w:color="auto"/>
              <w:right w:val="single" w:sz="4" w:space="0" w:color="auto"/>
            </w:tcBorders>
            <w:shd w:val="clear" w:color="000000" w:fill="FFFFFF"/>
            <w:hideMark/>
          </w:tcPr>
          <w:p w:rsidR="005C37AC" w:rsidRPr="00531BFF" w:rsidRDefault="005C37AC" w:rsidP="00C67C67">
            <w:pPr>
              <w:ind w:firstLine="0"/>
              <w:jc w:val="center"/>
              <w:rPr>
                <w:color w:val="000000"/>
                <w:sz w:val="20"/>
                <w:szCs w:val="24"/>
              </w:rPr>
            </w:pPr>
            <w:r w:rsidRPr="00531BFF">
              <w:rPr>
                <w:color w:val="000000"/>
                <w:sz w:val="20"/>
                <w:szCs w:val="24"/>
              </w:rPr>
              <w:t>56.454.845,70</w:t>
            </w:r>
          </w:p>
        </w:tc>
        <w:tc>
          <w:tcPr>
            <w:tcW w:w="2273" w:type="dxa"/>
            <w:tcBorders>
              <w:top w:val="nil"/>
              <w:left w:val="nil"/>
              <w:bottom w:val="single" w:sz="4" w:space="0" w:color="auto"/>
              <w:right w:val="single" w:sz="4" w:space="0" w:color="auto"/>
            </w:tcBorders>
            <w:shd w:val="clear" w:color="000000" w:fill="FFFFFF"/>
            <w:hideMark/>
          </w:tcPr>
          <w:p w:rsidR="005C37AC" w:rsidRPr="00531BFF" w:rsidRDefault="005C37AC" w:rsidP="00C67C67">
            <w:pPr>
              <w:ind w:firstLine="0"/>
              <w:jc w:val="center"/>
              <w:rPr>
                <w:color w:val="000000"/>
                <w:sz w:val="20"/>
                <w:szCs w:val="24"/>
              </w:rPr>
            </w:pPr>
            <w:r w:rsidRPr="00531BFF">
              <w:rPr>
                <w:color w:val="000000"/>
                <w:sz w:val="20"/>
                <w:szCs w:val="24"/>
              </w:rPr>
              <w:t>56.454.845,70</w:t>
            </w:r>
          </w:p>
        </w:tc>
        <w:tc>
          <w:tcPr>
            <w:tcW w:w="1374" w:type="dxa"/>
            <w:tcBorders>
              <w:top w:val="nil"/>
              <w:left w:val="nil"/>
              <w:bottom w:val="single" w:sz="4" w:space="0" w:color="auto"/>
              <w:right w:val="nil"/>
            </w:tcBorders>
            <w:shd w:val="clear" w:color="000000" w:fill="FFFFFF"/>
            <w:noWrap/>
            <w:hideMark/>
          </w:tcPr>
          <w:p w:rsidR="005C37AC" w:rsidRPr="00531BFF" w:rsidRDefault="005C37AC" w:rsidP="00C67C67">
            <w:pPr>
              <w:ind w:firstLine="0"/>
              <w:jc w:val="center"/>
              <w:rPr>
                <w:color w:val="000000"/>
                <w:sz w:val="20"/>
                <w:szCs w:val="24"/>
              </w:rPr>
            </w:pPr>
            <w:r w:rsidRPr="00531BFF">
              <w:rPr>
                <w:color w:val="000000"/>
                <w:sz w:val="20"/>
                <w:szCs w:val="24"/>
              </w:rPr>
              <w:t>100%</w:t>
            </w:r>
          </w:p>
        </w:tc>
      </w:tr>
    </w:tbl>
    <w:p w:rsidR="005C37AC" w:rsidRPr="005C37AC" w:rsidRDefault="005C37AC" w:rsidP="00C67C67">
      <w:pPr>
        <w:ind w:firstLine="0"/>
        <w:jc w:val="center"/>
        <w:rPr>
          <w:bCs/>
          <w:color w:val="000000"/>
          <w:szCs w:val="24"/>
          <w:shd w:val="clear" w:color="auto" w:fill="FFFFFF"/>
        </w:rPr>
      </w:pPr>
      <w:r w:rsidRPr="005C37AC">
        <w:rPr>
          <w:bCs/>
          <w:color w:val="000000"/>
          <w:szCs w:val="24"/>
          <w:shd w:val="clear" w:color="auto" w:fill="FFFFFF"/>
        </w:rPr>
        <w:t xml:space="preserve">Fonte: </w:t>
      </w:r>
      <w:r w:rsidR="00B21EC2">
        <w:rPr>
          <w:rFonts w:eastAsia="Calibri"/>
          <w:bCs/>
          <w:color w:val="000000"/>
          <w:shd w:val="clear" w:color="auto" w:fill="FFFFFF"/>
          <w:lang w:eastAsia="en-US"/>
        </w:rPr>
        <w:t>Elaborado pelas autoras a partir dos dados dos demonstrativos contábeis do TJSC</w:t>
      </w:r>
    </w:p>
    <w:p w:rsidR="005C37AC" w:rsidRPr="00F00B5E" w:rsidRDefault="005C37AC" w:rsidP="005C37AC">
      <w:pPr>
        <w:jc w:val="center"/>
        <w:rPr>
          <w:szCs w:val="24"/>
        </w:rPr>
      </w:pPr>
    </w:p>
    <w:p w:rsidR="005C37AC" w:rsidRPr="00F00B5E" w:rsidRDefault="005C37AC" w:rsidP="005C37AC">
      <w:pPr>
        <w:rPr>
          <w:szCs w:val="24"/>
        </w:rPr>
      </w:pPr>
      <w:r w:rsidRPr="00F00B5E">
        <w:rPr>
          <w:szCs w:val="24"/>
        </w:rPr>
        <w:t xml:space="preserve">Ao analisar os restos a pagar processados, nota-se uma discrepância significativa no montante inscrito entre os anos de 2010 a 2012. Houve uma queda de 98,5% em 2011 e um aumento de R$ 9.110.608,83 em 2012. Outro fato relevante, é a ausência de inscrição de restos a pagar não processados nos anos de 2013 e 2014. </w:t>
      </w:r>
    </w:p>
    <w:p w:rsidR="005C37AC" w:rsidRPr="005C37AC" w:rsidRDefault="005C37AC" w:rsidP="005C37AC">
      <w:pPr>
        <w:pStyle w:val="NormalWeb"/>
        <w:shd w:val="clear" w:color="auto" w:fill="FFFFFF"/>
        <w:spacing w:before="0" w:beforeAutospacing="0" w:after="0" w:afterAutospacing="0"/>
        <w:rPr>
          <w:rFonts w:eastAsia="Calibri"/>
          <w:bCs/>
          <w:color w:val="000000"/>
          <w:shd w:val="clear" w:color="auto" w:fill="FFFFFF"/>
          <w:lang w:eastAsia="en-US"/>
        </w:rPr>
      </w:pPr>
      <w:r w:rsidRPr="00F00B5E">
        <w:t xml:space="preserve">Partindo para uma análise dos restos a pagar não processados em relação a inscrição total de restos a pagar, conclui-se que o Tribunal de Justiça de Santa Catarina </w:t>
      </w:r>
      <w:r w:rsidRPr="005C37AC">
        <w:rPr>
          <w:rFonts w:eastAsia="Calibri"/>
          <w:bCs/>
          <w:color w:val="000000"/>
          <w:shd w:val="clear" w:color="auto" w:fill="FFFFFF"/>
          <w:lang w:eastAsia="en-US"/>
        </w:rPr>
        <w:t xml:space="preserve">tem optado por cumprir quantitativos superiores a 95% do total de inscrição em restos a pagar, excetuando-se apenas o ano de 2012 cujo empenho foi da ordem de 71% </w:t>
      </w:r>
      <w:r w:rsidR="00112831">
        <w:rPr>
          <w:rFonts w:eastAsia="Calibri"/>
          <w:bCs/>
          <w:color w:val="000000"/>
          <w:shd w:val="clear" w:color="auto" w:fill="FFFFFF"/>
          <w:lang w:eastAsia="en-US"/>
        </w:rPr>
        <w:t xml:space="preserve">do </w:t>
      </w:r>
      <w:r w:rsidRPr="005C37AC">
        <w:rPr>
          <w:rFonts w:eastAsia="Calibri"/>
          <w:bCs/>
          <w:color w:val="000000"/>
          <w:shd w:val="clear" w:color="auto" w:fill="FFFFFF"/>
          <w:lang w:eastAsia="en-US"/>
        </w:rPr>
        <w:t>montante total inscrito em restos a pagar. Nos anos de 2013 e 2014, todo o montante de despesas empenhadas e não pagas foi inscrito em restos a pagar não processados. A tabela 5 apresenta dados do total de despesas empenhadas e do montante de despesas inscritas em restos a pagar não processados:</w:t>
      </w:r>
    </w:p>
    <w:p w:rsidR="005C37AC" w:rsidRPr="005C37AC" w:rsidRDefault="005C37AC" w:rsidP="005C37AC">
      <w:pPr>
        <w:pStyle w:val="NormalWeb"/>
        <w:shd w:val="clear" w:color="auto" w:fill="FFFFFF"/>
        <w:spacing w:before="0" w:beforeAutospacing="0" w:after="0" w:afterAutospacing="0"/>
        <w:rPr>
          <w:rFonts w:eastAsia="Calibri"/>
          <w:bCs/>
          <w:color w:val="000000"/>
          <w:shd w:val="clear" w:color="auto" w:fill="FFFFFF"/>
          <w:lang w:eastAsia="en-US"/>
        </w:rPr>
      </w:pPr>
    </w:p>
    <w:tbl>
      <w:tblPr>
        <w:tblpPr w:leftFromText="141" w:rightFromText="141" w:vertAnchor="text" w:horzAnchor="margin" w:tblpY="377"/>
        <w:tblW w:w="9390" w:type="dxa"/>
        <w:tblCellMar>
          <w:left w:w="70" w:type="dxa"/>
          <w:right w:w="70" w:type="dxa"/>
        </w:tblCellMar>
        <w:tblLook w:val="04A0" w:firstRow="1" w:lastRow="0" w:firstColumn="1" w:lastColumn="0" w:noHBand="0" w:noVBand="1"/>
      </w:tblPr>
      <w:tblGrid>
        <w:gridCol w:w="1235"/>
        <w:gridCol w:w="3663"/>
        <w:gridCol w:w="2492"/>
        <w:gridCol w:w="2000"/>
      </w:tblGrid>
      <w:tr w:rsidR="005C37AC" w:rsidRPr="00F00B5E" w:rsidTr="00C37E6B">
        <w:trPr>
          <w:trHeight w:val="299"/>
        </w:trPr>
        <w:tc>
          <w:tcPr>
            <w:tcW w:w="1235" w:type="dxa"/>
            <w:tcBorders>
              <w:top w:val="single" w:sz="4" w:space="0" w:color="auto"/>
              <w:left w:val="nil"/>
              <w:bottom w:val="single" w:sz="4" w:space="0" w:color="auto"/>
              <w:right w:val="single" w:sz="4" w:space="0" w:color="auto"/>
            </w:tcBorders>
            <w:shd w:val="clear" w:color="auto" w:fill="D9D9D9"/>
            <w:noWrap/>
            <w:hideMark/>
          </w:tcPr>
          <w:p w:rsidR="005C37AC" w:rsidRPr="00531BFF" w:rsidRDefault="005C37AC" w:rsidP="009D481B">
            <w:pPr>
              <w:ind w:firstLine="0"/>
              <w:jc w:val="center"/>
              <w:rPr>
                <w:b/>
                <w:bCs/>
                <w:color w:val="000000"/>
                <w:sz w:val="20"/>
                <w:szCs w:val="24"/>
              </w:rPr>
            </w:pPr>
            <w:r w:rsidRPr="00531BFF">
              <w:rPr>
                <w:b/>
                <w:bCs/>
                <w:color w:val="000000"/>
                <w:sz w:val="20"/>
                <w:szCs w:val="24"/>
              </w:rPr>
              <w:t>Ano</w:t>
            </w:r>
          </w:p>
        </w:tc>
        <w:tc>
          <w:tcPr>
            <w:tcW w:w="3663" w:type="dxa"/>
            <w:tcBorders>
              <w:top w:val="single" w:sz="4" w:space="0" w:color="auto"/>
              <w:left w:val="nil"/>
              <w:bottom w:val="single" w:sz="4" w:space="0" w:color="auto"/>
              <w:right w:val="single" w:sz="4" w:space="0" w:color="auto"/>
            </w:tcBorders>
            <w:shd w:val="clear" w:color="auto" w:fill="D9D9D9"/>
            <w:noWrap/>
            <w:hideMark/>
          </w:tcPr>
          <w:p w:rsidR="005C37AC" w:rsidRPr="00531BFF" w:rsidRDefault="005C37AC" w:rsidP="009D481B">
            <w:pPr>
              <w:ind w:firstLine="0"/>
              <w:jc w:val="center"/>
              <w:rPr>
                <w:b/>
                <w:bCs/>
                <w:color w:val="000000"/>
                <w:sz w:val="20"/>
                <w:szCs w:val="24"/>
              </w:rPr>
            </w:pPr>
            <w:r w:rsidRPr="00531BFF">
              <w:rPr>
                <w:b/>
                <w:bCs/>
                <w:color w:val="000000"/>
                <w:sz w:val="20"/>
                <w:szCs w:val="24"/>
              </w:rPr>
              <w:t>Despesas (empenhadas)</w:t>
            </w:r>
          </w:p>
        </w:tc>
        <w:tc>
          <w:tcPr>
            <w:tcW w:w="2492" w:type="dxa"/>
            <w:tcBorders>
              <w:top w:val="single" w:sz="4" w:space="0" w:color="auto"/>
              <w:left w:val="nil"/>
              <w:bottom w:val="single" w:sz="4" w:space="0" w:color="auto"/>
              <w:right w:val="single" w:sz="4" w:space="0" w:color="auto"/>
            </w:tcBorders>
            <w:shd w:val="clear" w:color="auto" w:fill="D9D9D9"/>
            <w:noWrap/>
            <w:hideMark/>
          </w:tcPr>
          <w:p w:rsidR="005C37AC" w:rsidRPr="00531BFF" w:rsidRDefault="005C37AC" w:rsidP="009D481B">
            <w:pPr>
              <w:ind w:firstLine="0"/>
              <w:jc w:val="center"/>
              <w:rPr>
                <w:b/>
                <w:bCs/>
                <w:color w:val="000000"/>
                <w:sz w:val="20"/>
                <w:szCs w:val="24"/>
              </w:rPr>
            </w:pPr>
            <w:r w:rsidRPr="00531BFF">
              <w:rPr>
                <w:b/>
                <w:bCs/>
                <w:color w:val="000000"/>
                <w:sz w:val="20"/>
                <w:szCs w:val="24"/>
              </w:rPr>
              <w:t xml:space="preserve">Inscrição em </w:t>
            </w:r>
            <w:proofErr w:type="spellStart"/>
            <w:r w:rsidRPr="00531BFF">
              <w:rPr>
                <w:b/>
                <w:bCs/>
                <w:color w:val="000000"/>
                <w:sz w:val="20"/>
                <w:szCs w:val="24"/>
              </w:rPr>
              <w:t>RPnP</w:t>
            </w:r>
            <w:proofErr w:type="spellEnd"/>
          </w:p>
        </w:tc>
        <w:tc>
          <w:tcPr>
            <w:tcW w:w="2000" w:type="dxa"/>
            <w:tcBorders>
              <w:top w:val="single" w:sz="4" w:space="0" w:color="auto"/>
              <w:left w:val="nil"/>
              <w:bottom w:val="single" w:sz="4" w:space="0" w:color="auto"/>
              <w:right w:val="nil"/>
            </w:tcBorders>
            <w:shd w:val="clear" w:color="auto" w:fill="D9D9D9"/>
            <w:noWrap/>
            <w:hideMark/>
          </w:tcPr>
          <w:p w:rsidR="005C37AC" w:rsidRPr="00531BFF" w:rsidRDefault="005C37AC" w:rsidP="009D481B">
            <w:pPr>
              <w:ind w:firstLine="0"/>
              <w:jc w:val="center"/>
              <w:rPr>
                <w:b/>
                <w:bCs/>
                <w:color w:val="000000"/>
                <w:sz w:val="20"/>
                <w:szCs w:val="24"/>
              </w:rPr>
            </w:pPr>
            <w:r w:rsidRPr="00531BFF">
              <w:rPr>
                <w:b/>
                <w:bCs/>
                <w:color w:val="000000"/>
                <w:sz w:val="20"/>
                <w:szCs w:val="24"/>
              </w:rPr>
              <w:t>AV</w:t>
            </w:r>
          </w:p>
        </w:tc>
      </w:tr>
      <w:tr w:rsidR="005C37AC" w:rsidRPr="00F00B5E" w:rsidTr="00C37E6B">
        <w:trPr>
          <w:trHeight w:val="167"/>
        </w:trPr>
        <w:tc>
          <w:tcPr>
            <w:tcW w:w="1235" w:type="dxa"/>
            <w:tcBorders>
              <w:top w:val="nil"/>
              <w:left w:val="nil"/>
              <w:bottom w:val="single" w:sz="4" w:space="0" w:color="auto"/>
              <w:right w:val="single" w:sz="4" w:space="0" w:color="auto"/>
            </w:tcBorders>
            <w:shd w:val="clear" w:color="auto" w:fill="auto"/>
            <w:noWrap/>
            <w:hideMark/>
          </w:tcPr>
          <w:p w:rsidR="005C37AC" w:rsidRPr="00531BFF" w:rsidRDefault="005C37AC" w:rsidP="009D481B">
            <w:pPr>
              <w:ind w:firstLine="0"/>
              <w:jc w:val="center"/>
              <w:rPr>
                <w:b/>
                <w:bCs/>
                <w:color w:val="000000"/>
                <w:sz w:val="20"/>
                <w:szCs w:val="24"/>
              </w:rPr>
            </w:pPr>
            <w:r w:rsidRPr="00531BFF">
              <w:rPr>
                <w:b/>
                <w:bCs/>
                <w:color w:val="000000"/>
                <w:sz w:val="20"/>
                <w:szCs w:val="24"/>
              </w:rPr>
              <w:t>2010</w:t>
            </w:r>
          </w:p>
        </w:tc>
        <w:tc>
          <w:tcPr>
            <w:tcW w:w="3663" w:type="dxa"/>
            <w:tcBorders>
              <w:top w:val="nil"/>
              <w:left w:val="nil"/>
              <w:bottom w:val="single" w:sz="4" w:space="0" w:color="auto"/>
              <w:right w:val="single" w:sz="4" w:space="0" w:color="auto"/>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975.189.213,43</w:t>
            </w:r>
          </w:p>
        </w:tc>
        <w:tc>
          <w:tcPr>
            <w:tcW w:w="2492" w:type="dxa"/>
            <w:tcBorders>
              <w:top w:val="nil"/>
              <w:left w:val="nil"/>
              <w:bottom w:val="single" w:sz="4" w:space="0" w:color="auto"/>
              <w:right w:val="single" w:sz="4" w:space="0" w:color="auto"/>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45.985.632,52</w:t>
            </w:r>
          </w:p>
        </w:tc>
        <w:tc>
          <w:tcPr>
            <w:tcW w:w="2000" w:type="dxa"/>
            <w:tcBorders>
              <w:top w:val="nil"/>
              <w:left w:val="nil"/>
              <w:bottom w:val="single" w:sz="4" w:space="0" w:color="auto"/>
              <w:right w:val="nil"/>
            </w:tcBorders>
            <w:shd w:val="clear" w:color="auto" w:fill="auto"/>
            <w:noWrap/>
            <w:hideMark/>
          </w:tcPr>
          <w:p w:rsidR="005C37AC" w:rsidRPr="00531BFF" w:rsidRDefault="005C37AC" w:rsidP="009D481B">
            <w:pPr>
              <w:ind w:firstLine="0"/>
              <w:jc w:val="center"/>
              <w:rPr>
                <w:color w:val="000000"/>
                <w:sz w:val="20"/>
                <w:szCs w:val="24"/>
              </w:rPr>
            </w:pPr>
            <w:r w:rsidRPr="00531BFF">
              <w:rPr>
                <w:color w:val="000000"/>
                <w:sz w:val="20"/>
                <w:szCs w:val="24"/>
              </w:rPr>
              <w:t>5%</w:t>
            </w:r>
          </w:p>
        </w:tc>
      </w:tr>
      <w:tr w:rsidR="005C37AC" w:rsidRPr="00F00B5E" w:rsidTr="00C37E6B">
        <w:trPr>
          <w:trHeight w:val="194"/>
        </w:trPr>
        <w:tc>
          <w:tcPr>
            <w:tcW w:w="1235" w:type="dxa"/>
            <w:tcBorders>
              <w:top w:val="nil"/>
              <w:left w:val="nil"/>
              <w:bottom w:val="single" w:sz="4" w:space="0" w:color="auto"/>
              <w:right w:val="single" w:sz="4" w:space="0" w:color="auto"/>
            </w:tcBorders>
            <w:shd w:val="clear" w:color="auto" w:fill="auto"/>
            <w:noWrap/>
            <w:hideMark/>
          </w:tcPr>
          <w:p w:rsidR="005C37AC" w:rsidRPr="00531BFF" w:rsidRDefault="005C37AC" w:rsidP="009D481B">
            <w:pPr>
              <w:ind w:firstLine="0"/>
              <w:jc w:val="center"/>
              <w:rPr>
                <w:b/>
                <w:bCs/>
                <w:color w:val="000000"/>
                <w:sz w:val="20"/>
                <w:szCs w:val="24"/>
              </w:rPr>
            </w:pPr>
            <w:r w:rsidRPr="00531BFF">
              <w:rPr>
                <w:b/>
                <w:bCs/>
                <w:color w:val="000000"/>
                <w:sz w:val="20"/>
                <w:szCs w:val="24"/>
              </w:rPr>
              <w:t>2011</w:t>
            </w:r>
          </w:p>
        </w:tc>
        <w:tc>
          <w:tcPr>
            <w:tcW w:w="3663" w:type="dxa"/>
            <w:tcBorders>
              <w:top w:val="nil"/>
              <w:left w:val="nil"/>
              <w:bottom w:val="single" w:sz="4" w:space="0" w:color="auto"/>
              <w:right w:val="single" w:sz="4" w:space="0" w:color="auto"/>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1.200.188.112,10</w:t>
            </w:r>
          </w:p>
        </w:tc>
        <w:tc>
          <w:tcPr>
            <w:tcW w:w="2492" w:type="dxa"/>
            <w:tcBorders>
              <w:top w:val="nil"/>
              <w:left w:val="nil"/>
              <w:bottom w:val="single" w:sz="4" w:space="0" w:color="auto"/>
              <w:right w:val="single" w:sz="4" w:space="0" w:color="auto"/>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28.390.207,75</w:t>
            </w:r>
          </w:p>
        </w:tc>
        <w:tc>
          <w:tcPr>
            <w:tcW w:w="2000" w:type="dxa"/>
            <w:tcBorders>
              <w:top w:val="nil"/>
              <w:left w:val="nil"/>
              <w:bottom w:val="single" w:sz="4" w:space="0" w:color="auto"/>
              <w:right w:val="nil"/>
            </w:tcBorders>
            <w:shd w:val="clear" w:color="auto" w:fill="auto"/>
            <w:noWrap/>
            <w:hideMark/>
          </w:tcPr>
          <w:p w:rsidR="005C37AC" w:rsidRPr="00531BFF" w:rsidRDefault="005C37AC" w:rsidP="009D481B">
            <w:pPr>
              <w:ind w:firstLine="0"/>
              <w:jc w:val="center"/>
              <w:rPr>
                <w:color w:val="000000"/>
                <w:sz w:val="20"/>
                <w:szCs w:val="24"/>
              </w:rPr>
            </w:pPr>
            <w:r w:rsidRPr="00531BFF">
              <w:rPr>
                <w:color w:val="000000"/>
                <w:sz w:val="20"/>
                <w:szCs w:val="24"/>
              </w:rPr>
              <w:t>2%</w:t>
            </w:r>
          </w:p>
        </w:tc>
      </w:tr>
      <w:tr w:rsidR="005C37AC" w:rsidRPr="00F00B5E" w:rsidTr="00C37E6B">
        <w:trPr>
          <w:trHeight w:val="244"/>
        </w:trPr>
        <w:tc>
          <w:tcPr>
            <w:tcW w:w="1235" w:type="dxa"/>
            <w:tcBorders>
              <w:top w:val="nil"/>
              <w:left w:val="nil"/>
              <w:bottom w:val="single" w:sz="4" w:space="0" w:color="auto"/>
              <w:right w:val="single" w:sz="4" w:space="0" w:color="auto"/>
            </w:tcBorders>
            <w:shd w:val="clear" w:color="auto" w:fill="auto"/>
            <w:noWrap/>
            <w:hideMark/>
          </w:tcPr>
          <w:p w:rsidR="005C37AC" w:rsidRPr="00531BFF" w:rsidRDefault="005C37AC" w:rsidP="009D481B">
            <w:pPr>
              <w:ind w:firstLine="0"/>
              <w:jc w:val="center"/>
              <w:rPr>
                <w:b/>
                <w:bCs/>
                <w:color w:val="000000"/>
                <w:sz w:val="20"/>
                <w:szCs w:val="24"/>
              </w:rPr>
            </w:pPr>
            <w:r w:rsidRPr="00531BFF">
              <w:rPr>
                <w:b/>
                <w:bCs/>
                <w:color w:val="000000"/>
                <w:sz w:val="20"/>
                <w:szCs w:val="24"/>
              </w:rPr>
              <w:t>2012</w:t>
            </w:r>
          </w:p>
        </w:tc>
        <w:tc>
          <w:tcPr>
            <w:tcW w:w="3663" w:type="dxa"/>
            <w:tcBorders>
              <w:top w:val="nil"/>
              <w:left w:val="nil"/>
              <w:bottom w:val="single" w:sz="4" w:space="0" w:color="auto"/>
              <w:right w:val="single" w:sz="4" w:space="0" w:color="auto"/>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1.288.244.028,99</w:t>
            </w:r>
          </w:p>
        </w:tc>
        <w:tc>
          <w:tcPr>
            <w:tcW w:w="2492" w:type="dxa"/>
            <w:tcBorders>
              <w:top w:val="nil"/>
              <w:left w:val="nil"/>
              <w:bottom w:val="single" w:sz="4" w:space="0" w:color="auto"/>
              <w:right w:val="single" w:sz="4" w:space="0" w:color="auto"/>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23.102.054,01</w:t>
            </w:r>
          </w:p>
        </w:tc>
        <w:tc>
          <w:tcPr>
            <w:tcW w:w="2000" w:type="dxa"/>
            <w:tcBorders>
              <w:top w:val="nil"/>
              <w:left w:val="nil"/>
              <w:bottom w:val="single" w:sz="4" w:space="0" w:color="auto"/>
              <w:right w:val="nil"/>
            </w:tcBorders>
            <w:shd w:val="clear" w:color="auto" w:fill="auto"/>
            <w:noWrap/>
            <w:hideMark/>
          </w:tcPr>
          <w:p w:rsidR="005C37AC" w:rsidRPr="00531BFF" w:rsidRDefault="005C37AC" w:rsidP="009D481B">
            <w:pPr>
              <w:ind w:firstLine="0"/>
              <w:jc w:val="center"/>
              <w:rPr>
                <w:color w:val="000000"/>
                <w:sz w:val="20"/>
                <w:szCs w:val="24"/>
              </w:rPr>
            </w:pPr>
            <w:r w:rsidRPr="00531BFF">
              <w:rPr>
                <w:color w:val="000000"/>
                <w:sz w:val="20"/>
                <w:szCs w:val="24"/>
              </w:rPr>
              <w:t>2%</w:t>
            </w:r>
          </w:p>
        </w:tc>
      </w:tr>
      <w:tr w:rsidR="005C37AC" w:rsidRPr="00F00B5E" w:rsidTr="00C37E6B">
        <w:trPr>
          <w:trHeight w:val="124"/>
        </w:trPr>
        <w:tc>
          <w:tcPr>
            <w:tcW w:w="1235" w:type="dxa"/>
            <w:tcBorders>
              <w:top w:val="nil"/>
              <w:left w:val="nil"/>
              <w:bottom w:val="single" w:sz="4" w:space="0" w:color="auto"/>
              <w:right w:val="single" w:sz="4" w:space="0" w:color="auto"/>
            </w:tcBorders>
            <w:shd w:val="clear" w:color="auto" w:fill="auto"/>
            <w:noWrap/>
            <w:hideMark/>
          </w:tcPr>
          <w:p w:rsidR="005C37AC" w:rsidRPr="00531BFF" w:rsidRDefault="005C37AC" w:rsidP="009D481B">
            <w:pPr>
              <w:ind w:firstLine="0"/>
              <w:jc w:val="center"/>
              <w:rPr>
                <w:b/>
                <w:bCs/>
                <w:color w:val="000000"/>
                <w:sz w:val="20"/>
                <w:szCs w:val="24"/>
              </w:rPr>
            </w:pPr>
            <w:r w:rsidRPr="00531BFF">
              <w:rPr>
                <w:b/>
                <w:bCs/>
                <w:color w:val="000000"/>
                <w:sz w:val="20"/>
                <w:szCs w:val="24"/>
              </w:rPr>
              <w:t>2013</w:t>
            </w:r>
          </w:p>
        </w:tc>
        <w:tc>
          <w:tcPr>
            <w:tcW w:w="3663" w:type="dxa"/>
            <w:tcBorders>
              <w:top w:val="nil"/>
              <w:left w:val="nil"/>
              <w:bottom w:val="single" w:sz="4" w:space="0" w:color="auto"/>
              <w:right w:val="single" w:sz="4" w:space="0" w:color="auto"/>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1.558.721.310,47</w:t>
            </w:r>
          </w:p>
        </w:tc>
        <w:tc>
          <w:tcPr>
            <w:tcW w:w="2492" w:type="dxa"/>
            <w:tcBorders>
              <w:top w:val="nil"/>
              <w:left w:val="nil"/>
              <w:bottom w:val="single" w:sz="4" w:space="0" w:color="auto"/>
              <w:right w:val="single" w:sz="4" w:space="0" w:color="auto"/>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49.183.449,55</w:t>
            </w:r>
          </w:p>
        </w:tc>
        <w:tc>
          <w:tcPr>
            <w:tcW w:w="2000" w:type="dxa"/>
            <w:tcBorders>
              <w:top w:val="nil"/>
              <w:left w:val="nil"/>
              <w:bottom w:val="single" w:sz="4" w:space="0" w:color="auto"/>
              <w:right w:val="nil"/>
            </w:tcBorders>
            <w:shd w:val="clear" w:color="auto" w:fill="auto"/>
            <w:noWrap/>
            <w:hideMark/>
          </w:tcPr>
          <w:p w:rsidR="005C37AC" w:rsidRPr="00531BFF" w:rsidRDefault="005C37AC" w:rsidP="009D481B">
            <w:pPr>
              <w:ind w:firstLine="0"/>
              <w:jc w:val="center"/>
              <w:rPr>
                <w:color w:val="000000"/>
                <w:sz w:val="20"/>
                <w:szCs w:val="24"/>
              </w:rPr>
            </w:pPr>
            <w:r w:rsidRPr="00531BFF">
              <w:rPr>
                <w:color w:val="000000"/>
                <w:sz w:val="20"/>
                <w:szCs w:val="24"/>
              </w:rPr>
              <w:t>3%</w:t>
            </w:r>
          </w:p>
        </w:tc>
      </w:tr>
      <w:tr w:rsidR="005C37AC" w:rsidRPr="00F00B5E" w:rsidTr="00C37E6B">
        <w:trPr>
          <w:trHeight w:val="174"/>
        </w:trPr>
        <w:tc>
          <w:tcPr>
            <w:tcW w:w="1235" w:type="dxa"/>
            <w:tcBorders>
              <w:top w:val="nil"/>
              <w:left w:val="nil"/>
              <w:bottom w:val="single" w:sz="4" w:space="0" w:color="auto"/>
              <w:right w:val="single" w:sz="4" w:space="0" w:color="auto"/>
            </w:tcBorders>
            <w:shd w:val="clear" w:color="auto" w:fill="auto"/>
            <w:noWrap/>
            <w:hideMark/>
          </w:tcPr>
          <w:p w:rsidR="005C37AC" w:rsidRPr="00531BFF" w:rsidRDefault="005C37AC" w:rsidP="009D481B">
            <w:pPr>
              <w:ind w:firstLine="0"/>
              <w:jc w:val="center"/>
              <w:rPr>
                <w:b/>
                <w:bCs/>
                <w:color w:val="000000"/>
                <w:sz w:val="20"/>
                <w:szCs w:val="24"/>
              </w:rPr>
            </w:pPr>
            <w:r w:rsidRPr="00531BFF">
              <w:rPr>
                <w:b/>
                <w:bCs/>
                <w:color w:val="000000"/>
                <w:sz w:val="20"/>
                <w:szCs w:val="24"/>
              </w:rPr>
              <w:t>2014</w:t>
            </w:r>
          </w:p>
        </w:tc>
        <w:tc>
          <w:tcPr>
            <w:tcW w:w="3663" w:type="dxa"/>
            <w:tcBorders>
              <w:top w:val="nil"/>
              <w:left w:val="nil"/>
              <w:bottom w:val="single" w:sz="4" w:space="0" w:color="auto"/>
              <w:right w:val="single" w:sz="4" w:space="0" w:color="auto"/>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1.746.369.135,96</w:t>
            </w:r>
          </w:p>
        </w:tc>
        <w:tc>
          <w:tcPr>
            <w:tcW w:w="2492" w:type="dxa"/>
            <w:tcBorders>
              <w:top w:val="nil"/>
              <w:left w:val="nil"/>
              <w:bottom w:val="single" w:sz="4" w:space="0" w:color="auto"/>
              <w:right w:val="single" w:sz="4" w:space="0" w:color="auto"/>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56.454.845,70</w:t>
            </w:r>
          </w:p>
        </w:tc>
        <w:tc>
          <w:tcPr>
            <w:tcW w:w="2000" w:type="dxa"/>
            <w:tcBorders>
              <w:top w:val="nil"/>
              <w:left w:val="nil"/>
              <w:bottom w:val="single" w:sz="4" w:space="0" w:color="auto"/>
              <w:right w:val="nil"/>
            </w:tcBorders>
            <w:shd w:val="clear" w:color="auto" w:fill="auto"/>
            <w:noWrap/>
            <w:hideMark/>
          </w:tcPr>
          <w:p w:rsidR="005C37AC" w:rsidRPr="00531BFF" w:rsidRDefault="005C37AC" w:rsidP="009D481B">
            <w:pPr>
              <w:ind w:firstLine="0"/>
              <w:jc w:val="center"/>
              <w:rPr>
                <w:color w:val="000000"/>
                <w:sz w:val="20"/>
                <w:szCs w:val="24"/>
              </w:rPr>
            </w:pPr>
            <w:r w:rsidRPr="00531BFF">
              <w:rPr>
                <w:color w:val="000000"/>
                <w:sz w:val="20"/>
                <w:szCs w:val="24"/>
              </w:rPr>
              <w:t>3%</w:t>
            </w:r>
          </w:p>
        </w:tc>
      </w:tr>
    </w:tbl>
    <w:p w:rsidR="005C37AC" w:rsidRPr="005C37AC" w:rsidRDefault="005C37AC" w:rsidP="005C37AC">
      <w:pPr>
        <w:pStyle w:val="NormalWeb"/>
        <w:shd w:val="clear" w:color="auto" w:fill="FFFFFF"/>
        <w:spacing w:before="0" w:beforeAutospacing="0" w:after="0" w:afterAutospacing="0"/>
        <w:jc w:val="center"/>
        <w:rPr>
          <w:b/>
          <w:bCs/>
          <w:color w:val="000000"/>
          <w:shd w:val="clear" w:color="auto" w:fill="FFFFFF"/>
        </w:rPr>
      </w:pPr>
      <w:r w:rsidRPr="005C37AC">
        <w:rPr>
          <w:b/>
          <w:bCs/>
          <w:color w:val="000000"/>
          <w:shd w:val="clear" w:color="auto" w:fill="FFFFFF"/>
        </w:rPr>
        <w:t>Tabela 5 – Inscrição de Restos a Pagar Não Processados em Relação às Despesas</w:t>
      </w:r>
    </w:p>
    <w:p w:rsidR="005C37AC" w:rsidRPr="005C37AC" w:rsidRDefault="005C37AC" w:rsidP="00B21EC2">
      <w:pPr>
        <w:ind w:firstLine="0"/>
        <w:jc w:val="center"/>
        <w:rPr>
          <w:bCs/>
          <w:color w:val="000000"/>
          <w:szCs w:val="24"/>
          <w:shd w:val="clear" w:color="auto" w:fill="FFFFFF"/>
        </w:rPr>
      </w:pPr>
      <w:r w:rsidRPr="005C37AC">
        <w:rPr>
          <w:bCs/>
          <w:color w:val="000000"/>
          <w:szCs w:val="24"/>
          <w:shd w:val="clear" w:color="auto" w:fill="FFFFFF"/>
        </w:rPr>
        <w:t xml:space="preserve">Fonte: </w:t>
      </w:r>
      <w:r w:rsidR="00B21EC2">
        <w:rPr>
          <w:rFonts w:eastAsia="Calibri"/>
          <w:bCs/>
          <w:color w:val="000000"/>
          <w:shd w:val="clear" w:color="auto" w:fill="FFFFFF"/>
          <w:lang w:eastAsia="en-US"/>
        </w:rPr>
        <w:t>Elaborado pelas autoras a partir dos dados dos demonstrativos contábeis do TJSC</w:t>
      </w:r>
    </w:p>
    <w:p w:rsidR="005C37AC" w:rsidRPr="00F00B5E" w:rsidRDefault="005C37AC" w:rsidP="005C37AC">
      <w:pPr>
        <w:jc w:val="center"/>
        <w:rPr>
          <w:szCs w:val="24"/>
        </w:rPr>
      </w:pPr>
    </w:p>
    <w:p w:rsidR="005C37AC" w:rsidRPr="00F00B5E" w:rsidRDefault="00BA3B7D" w:rsidP="005C37AC">
      <w:pPr>
        <w:rPr>
          <w:szCs w:val="24"/>
        </w:rPr>
      </w:pPr>
      <w:r>
        <w:rPr>
          <w:szCs w:val="24"/>
        </w:rPr>
        <w:t xml:space="preserve">Nota-se que, em todos os anos </w:t>
      </w:r>
      <w:r w:rsidR="00112831">
        <w:rPr>
          <w:szCs w:val="24"/>
        </w:rPr>
        <w:t xml:space="preserve">compreendidos no período de análise, </w:t>
      </w:r>
      <w:r w:rsidR="005C37AC" w:rsidRPr="00F00B5E">
        <w:rPr>
          <w:szCs w:val="24"/>
        </w:rPr>
        <w:t xml:space="preserve">uma parcela muito pequena das despesas executadas é inscrita em restos a pagar não processados e que não houve variação percentual significativa. O maior percentual de inscrição em relação </w:t>
      </w:r>
      <w:proofErr w:type="gramStart"/>
      <w:r w:rsidR="005C37AC" w:rsidRPr="00F00B5E">
        <w:rPr>
          <w:szCs w:val="24"/>
        </w:rPr>
        <w:t>as despesas empenhadas fo</w:t>
      </w:r>
      <w:r w:rsidR="00BA29C0">
        <w:rPr>
          <w:szCs w:val="24"/>
        </w:rPr>
        <w:t>i</w:t>
      </w:r>
      <w:proofErr w:type="gramEnd"/>
      <w:r>
        <w:rPr>
          <w:szCs w:val="24"/>
        </w:rPr>
        <w:t xml:space="preserve"> em </w:t>
      </w:r>
      <w:r w:rsidR="005C37AC" w:rsidRPr="00F00B5E">
        <w:rPr>
          <w:szCs w:val="24"/>
        </w:rPr>
        <w:t>2010, alcançando uma margem de 5%. Houve uma</w:t>
      </w:r>
      <w:r w:rsidR="00BA29C0">
        <w:rPr>
          <w:szCs w:val="24"/>
        </w:rPr>
        <w:t xml:space="preserve"> diminuição em 2011, com 2%, mantida</w:t>
      </w:r>
      <w:r w:rsidR="005C37AC" w:rsidRPr="00F00B5E">
        <w:rPr>
          <w:szCs w:val="24"/>
        </w:rPr>
        <w:t xml:space="preserve"> em 2012. Já em 2013, essa parcela aumentou para 3%, não se alterando em 2014.</w:t>
      </w:r>
    </w:p>
    <w:p w:rsidR="005C37AC" w:rsidRPr="00F00B5E" w:rsidRDefault="005C37AC" w:rsidP="005C37AC">
      <w:pPr>
        <w:rPr>
          <w:szCs w:val="24"/>
        </w:rPr>
      </w:pPr>
      <w:r w:rsidRPr="00F00B5E">
        <w:rPr>
          <w:szCs w:val="24"/>
        </w:rPr>
        <w:t xml:space="preserve">Considerando que a Lei de Responsabilidade Fiscal foi publicada em maio de 2000, percebe-se a importância da implementação de procedimentos administrativos pelos entes públicos </w:t>
      </w:r>
      <w:r w:rsidRPr="00F00B5E">
        <w:rPr>
          <w:szCs w:val="24"/>
        </w:rPr>
        <w:lastRenderedPageBreak/>
        <w:t>para garantir e assegurar uma gestão fiscal equilibrada. Anteriormente à LRF, não havia dispositivo legal que limitasse a prática da inscrição de restos a pagar. Com o advento da LRF, esse limite passou a ser a disponibilidade de caixa</w:t>
      </w:r>
    </w:p>
    <w:p w:rsidR="005C37AC" w:rsidRPr="00F00B5E" w:rsidRDefault="005C37AC" w:rsidP="005C37AC">
      <w:pPr>
        <w:rPr>
          <w:szCs w:val="24"/>
        </w:rPr>
      </w:pPr>
      <w:r w:rsidRPr="00F00B5E">
        <w:rPr>
          <w:szCs w:val="24"/>
        </w:rPr>
        <w:t>A tabela 6 apresenta dados referentes a inscrição em restos a pagar não processados e a disponibilidade de caixa a</w:t>
      </w:r>
      <w:r w:rsidR="00BA29C0">
        <w:rPr>
          <w:szCs w:val="24"/>
        </w:rPr>
        <w:t>ntes da inscrição. A partir dela</w:t>
      </w:r>
      <w:r w:rsidRPr="00F00B5E">
        <w:rPr>
          <w:szCs w:val="24"/>
        </w:rPr>
        <w:t xml:space="preserve">, é possível visualizar a parcela de disponibilidade de caixa </w:t>
      </w:r>
      <w:r w:rsidR="00BA29C0">
        <w:rPr>
          <w:szCs w:val="24"/>
        </w:rPr>
        <w:t xml:space="preserve">que </w:t>
      </w:r>
      <w:r w:rsidRPr="00F00B5E">
        <w:rPr>
          <w:szCs w:val="24"/>
        </w:rPr>
        <w:t>é tomada pela inscrição em restos a pagar:</w:t>
      </w:r>
    </w:p>
    <w:p w:rsidR="005C37AC" w:rsidRPr="00F00B5E" w:rsidRDefault="005C37AC" w:rsidP="005C37AC">
      <w:pPr>
        <w:rPr>
          <w:szCs w:val="24"/>
        </w:rPr>
      </w:pPr>
    </w:p>
    <w:tbl>
      <w:tblPr>
        <w:tblpPr w:leftFromText="141" w:rightFromText="141" w:vertAnchor="text" w:tblpY="297"/>
        <w:tblW w:w="9407" w:type="dxa"/>
        <w:tblCellMar>
          <w:left w:w="70" w:type="dxa"/>
          <w:right w:w="70" w:type="dxa"/>
        </w:tblCellMar>
        <w:tblLook w:val="04A0" w:firstRow="1" w:lastRow="0" w:firstColumn="1" w:lastColumn="0" w:noHBand="0" w:noVBand="1"/>
      </w:tblPr>
      <w:tblGrid>
        <w:gridCol w:w="1901"/>
        <w:gridCol w:w="3111"/>
        <w:gridCol w:w="3146"/>
        <w:gridCol w:w="1249"/>
      </w:tblGrid>
      <w:tr w:rsidR="005C37AC" w:rsidRPr="00F00B5E" w:rsidTr="00C37E6B">
        <w:trPr>
          <w:trHeight w:val="138"/>
        </w:trPr>
        <w:tc>
          <w:tcPr>
            <w:tcW w:w="1901" w:type="dxa"/>
            <w:tcBorders>
              <w:top w:val="single" w:sz="4" w:space="0" w:color="auto"/>
              <w:left w:val="nil"/>
              <w:bottom w:val="single" w:sz="4" w:space="0" w:color="auto"/>
              <w:right w:val="single" w:sz="4" w:space="0" w:color="auto"/>
            </w:tcBorders>
            <w:shd w:val="clear" w:color="auto" w:fill="D9D9D9"/>
            <w:noWrap/>
            <w:hideMark/>
          </w:tcPr>
          <w:p w:rsidR="005C37AC" w:rsidRPr="00531BFF" w:rsidRDefault="005C37AC" w:rsidP="009D481B">
            <w:pPr>
              <w:tabs>
                <w:tab w:val="center" w:pos="447"/>
              </w:tabs>
              <w:ind w:firstLine="0"/>
              <w:jc w:val="center"/>
              <w:rPr>
                <w:b/>
                <w:bCs/>
                <w:color w:val="000000"/>
                <w:sz w:val="20"/>
                <w:szCs w:val="24"/>
              </w:rPr>
            </w:pPr>
            <w:r w:rsidRPr="00531BFF">
              <w:rPr>
                <w:b/>
                <w:bCs/>
                <w:color w:val="000000"/>
                <w:sz w:val="20"/>
                <w:szCs w:val="24"/>
              </w:rPr>
              <w:t>Ano</w:t>
            </w:r>
          </w:p>
        </w:tc>
        <w:tc>
          <w:tcPr>
            <w:tcW w:w="3111" w:type="dxa"/>
            <w:tcBorders>
              <w:top w:val="single" w:sz="4" w:space="0" w:color="auto"/>
              <w:left w:val="nil"/>
              <w:bottom w:val="single" w:sz="4" w:space="0" w:color="auto"/>
              <w:right w:val="single" w:sz="4" w:space="0" w:color="auto"/>
            </w:tcBorders>
            <w:shd w:val="clear" w:color="auto" w:fill="D9D9D9"/>
            <w:noWrap/>
            <w:hideMark/>
          </w:tcPr>
          <w:p w:rsidR="005C37AC" w:rsidRPr="00531BFF" w:rsidRDefault="005C37AC" w:rsidP="009D481B">
            <w:pPr>
              <w:ind w:firstLine="0"/>
              <w:jc w:val="center"/>
              <w:rPr>
                <w:b/>
                <w:bCs/>
                <w:color w:val="000000"/>
                <w:sz w:val="20"/>
                <w:szCs w:val="24"/>
              </w:rPr>
            </w:pPr>
            <w:r w:rsidRPr="00531BFF">
              <w:rPr>
                <w:b/>
                <w:bCs/>
                <w:color w:val="000000"/>
                <w:sz w:val="20"/>
                <w:szCs w:val="24"/>
              </w:rPr>
              <w:t>Inscrição de RP não Processados</w:t>
            </w:r>
          </w:p>
        </w:tc>
        <w:tc>
          <w:tcPr>
            <w:tcW w:w="3146" w:type="dxa"/>
            <w:tcBorders>
              <w:top w:val="single" w:sz="4" w:space="0" w:color="auto"/>
              <w:left w:val="nil"/>
              <w:bottom w:val="single" w:sz="4" w:space="0" w:color="auto"/>
              <w:right w:val="single" w:sz="4" w:space="0" w:color="auto"/>
            </w:tcBorders>
            <w:shd w:val="clear" w:color="auto" w:fill="D9D9D9"/>
            <w:noWrap/>
            <w:hideMark/>
          </w:tcPr>
          <w:p w:rsidR="005C37AC" w:rsidRPr="00531BFF" w:rsidRDefault="005C37AC" w:rsidP="009D481B">
            <w:pPr>
              <w:ind w:firstLine="0"/>
              <w:jc w:val="center"/>
              <w:rPr>
                <w:b/>
                <w:bCs/>
                <w:color w:val="000000"/>
                <w:sz w:val="20"/>
                <w:szCs w:val="24"/>
              </w:rPr>
            </w:pPr>
            <w:r w:rsidRPr="00531BFF">
              <w:rPr>
                <w:b/>
                <w:bCs/>
                <w:color w:val="000000"/>
                <w:sz w:val="20"/>
                <w:szCs w:val="24"/>
              </w:rPr>
              <w:t>Disponibilidade de Caixa Líquida</w:t>
            </w:r>
          </w:p>
        </w:tc>
        <w:tc>
          <w:tcPr>
            <w:tcW w:w="1249" w:type="dxa"/>
            <w:tcBorders>
              <w:top w:val="single" w:sz="4" w:space="0" w:color="auto"/>
              <w:left w:val="nil"/>
              <w:bottom w:val="single" w:sz="4" w:space="0" w:color="auto"/>
              <w:right w:val="nil"/>
            </w:tcBorders>
            <w:shd w:val="clear" w:color="auto" w:fill="D9D9D9"/>
            <w:noWrap/>
            <w:hideMark/>
          </w:tcPr>
          <w:p w:rsidR="005C37AC" w:rsidRPr="00531BFF" w:rsidRDefault="005C37AC" w:rsidP="009D481B">
            <w:pPr>
              <w:ind w:firstLine="0"/>
              <w:jc w:val="center"/>
              <w:rPr>
                <w:b/>
                <w:bCs/>
                <w:color w:val="000000"/>
                <w:sz w:val="20"/>
                <w:szCs w:val="24"/>
              </w:rPr>
            </w:pPr>
            <w:r w:rsidRPr="00531BFF">
              <w:rPr>
                <w:b/>
                <w:bCs/>
                <w:color w:val="000000"/>
                <w:sz w:val="20"/>
                <w:szCs w:val="24"/>
              </w:rPr>
              <w:t>AV</w:t>
            </w:r>
          </w:p>
        </w:tc>
      </w:tr>
      <w:tr w:rsidR="005C37AC" w:rsidRPr="00F00B5E" w:rsidTr="00C37E6B">
        <w:trPr>
          <w:trHeight w:val="218"/>
        </w:trPr>
        <w:tc>
          <w:tcPr>
            <w:tcW w:w="1901" w:type="dxa"/>
            <w:tcBorders>
              <w:top w:val="nil"/>
              <w:left w:val="nil"/>
              <w:bottom w:val="single" w:sz="4" w:space="0" w:color="auto"/>
              <w:right w:val="single" w:sz="4" w:space="0" w:color="auto"/>
            </w:tcBorders>
            <w:shd w:val="clear" w:color="auto" w:fill="auto"/>
            <w:noWrap/>
            <w:hideMark/>
          </w:tcPr>
          <w:p w:rsidR="005C37AC" w:rsidRPr="00531BFF" w:rsidRDefault="005C37AC" w:rsidP="009D481B">
            <w:pPr>
              <w:ind w:firstLine="0"/>
              <w:jc w:val="center"/>
              <w:rPr>
                <w:b/>
                <w:bCs/>
                <w:color w:val="000000"/>
                <w:sz w:val="20"/>
                <w:szCs w:val="24"/>
              </w:rPr>
            </w:pPr>
            <w:r w:rsidRPr="00531BFF">
              <w:rPr>
                <w:b/>
                <w:bCs/>
                <w:color w:val="000000"/>
                <w:sz w:val="20"/>
                <w:szCs w:val="24"/>
              </w:rPr>
              <w:t>2010</w:t>
            </w:r>
          </w:p>
        </w:tc>
        <w:tc>
          <w:tcPr>
            <w:tcW w:w="3111" w:type="dxa"/>
            <w:tcBorders>
              <w:top w:val="nil"/>
              <w:left w:val="nil"/>
              <w:bottom w:val="single" w:sz="4" w:space="0" w:color="auto"/>
              <w:right w:val="single" w:sz="4" w:space="0" w:color="auto"/>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45.985.632,52</w:t>
            </w:r>
          </w:p>
        </w:tc>
        <w:tc>
          <w:tcPr>
            <w:tcW w:w="3146" w:type="dxa"/>
            <w:tcBorders>
              <w:top w:val="nil"/>
              <w:left w:val="nil"/>
              <w:bottom w:val="single" w:sz="4" w:space="0" w:color="auto"/>
              <w:right w:val="single" w:sz="4" w:space="0" w:color="auto"/>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226.116.273,35</w:t>
            </w:r>
          </w:p>
        </w:tc>
        <w:tc>
          <w:tcPr>
            <w:tcW w:w="1249" w:type="dxa"/>
            <w:tcBorders>
              <w:top w:val="nil"/>
              <w:left w:val="nil"/>
              <w:bottom w:val="single" w:sz="4" w:space="0" w:color="auto"/>
              <w:right w:val="nil"/>
            </w:tcBorders>
            <w:shd w:val="clear" w:color="auto" w:fill="auto"/>
            <w:noWrap/>
            <w:hideMark/>
          </w:tcPr>
          <w:p w:rsidR="005C37AC" w:rsidRPr="00531BFF" w:rsidRDefault="005C37AC" w:rsidP="009D481B">
            <w:pPr>
              <w:ind w:firstLine="0"/>
              <w:jc w:val="center"/>
              <w:rPr>
                <w:color w:val="000000"/>
                <w:sz w:val="20"/>
                <w:szCs w:val="24"/>
              </w:rPr>
            </w:pPr>
            <w:r w:rsidRPr="00531BFF">
              <w:rPr>
                <w:color w:val="000000"/>
                <w:sz w:val="20"/>
                <w:szCs w:val="24"/>
              </w:rPr>
              <w:t>20%</w:t>
            </w:r>
          </w:p>
        </w:tc>
      </w:tr>
      <w:tr w:rsidR="005C37AC" w:rsidRPr="00F00B5E" w:rsidTr="00C37E6B">
        <w:trPr>
          <w:trHeight w:val="265"/>
        </w:trPr>
        <w:tc>
          <w:tcPr>
            <w:tcW w:w="1901" w:type="dxa"/>
            <w:tcBorders>
              <w:top w:val="nil"/>
              <w:left w:val="nil"/>
              <w:bottom w:val="single" w:sz="4" w:space="0" w:color="auto"/>
              <w:right w:val="single" w:sz="4" w:space="0" w:color="auto"/>
            </w:tcBorders>
            <w:shd w:val="clear" w:color="auto" w:fill="auto"/>
            <w:noWrap/>
            <w:hideMark/>
          </w:tcPr>
          <w:p w:rsidR="005C37AC" w:rsidRPr="00531BFF" w:rsidRDefault="005C37AC" w:rsidP="009D481B">
            <w:pPr>
              <w:ind w:firstLine="0"/>
              <w:jc w:val="center"/>
              <w:rPr>
                <w:b/>
                <w:bCs/>
                <w:color w:val="000000"/>
                <w:sz w:val="20"/>
                <w:szCs w:val="24"/>
              </w:rPr>
            </w:pPr>
            <w:r w:rsidRPr="00531BFF">
              <w:rPr>
                <w:b/>
                <w:bCs/>
                <w:color w:val="000000"/>
                <w:sz w:val="20"/>
                <w:szCs w:val="24"/>
              </w:rPr>
              <w:t>2011</w:t>
            </w:r>
          </w:p>
        </w:tc>
        <w:tc>
          <w:tcPr>
            <w:tcW w:w="3111" w:type="dxa"/>
            <w:tcBorders>
              <w:top w:val="nil"/>
              <w:left w:val="nil"/>
              <w:bottom w:val="single" w:sz="4" w:space="0" w:color="auto"/>
              <w:right w:val="single" w:sz="4" w:space="0" w:color="auto"/>
            </w:tcBorders>
            <w:shd w:val="clear" w:color="auto" w:fill="auto"/>
            <w:hideMark/>
          </w:tcPr>
          <w:p w:rsidR="005C37AC" w:rsidRPr="00531BFF" w:rsidRDefault="005C37AC" w:rsidP="009D481B">
            <w:pPr>
              <w:ind w:firstLine="0"/>
              <w:jc w:val="center"/>
              <w:rPr>
                <w:color w:val="231F20"/>
                <w:sz w:val="20"/>
                <w:szCs w:val="24"/>
              </w:rPr>
            </w:pPr>
            <w:r w:rsidRPr="00531BFF">
              <w:rPr>
                <w:color w:val="231F20"/>
                <w:sz w:val="20"/>
                <w:szCs w:val="24"/>
              </w:rPr>
              <w:t>28.390.207,75</w:t>
            </w:r>
          </w:p>
        </w:tc>
        <w:tc>
          <w:tcPr>
            <w:tcW w:w="3146" w:type="dxa"/>
            <w:tcBorders>
              <w:top w:val="nil"/>
              <w:left w:val="nil"/>
              <w:bottom w:val="single" w:sz="4" w:space="0" w:color="auto"/>
              <w:right w:val="nil"/>
            </w:tcBorders>
            <w:shd w:val="clear" w:color="auto" w:fill="auto"/>
            <w:hideMark/>
          </w:tcPr>
          <w:p w:rsidR="005C37AC" w:rsidRPr="00531BFF" w:rsidRDefault="005C37AC" w:rsidP="009D481B">
            <w:pPr>
              <w:ind w:firstLine="0"/>
              <w:jc w:val="center"/>
              <w:rPr>
                <w:color w:val="231F20"/>
                <w:sz w:val="20"/>
                <w:szCs w:val="24"/>
              </w:rPr>
            </w:pPr>
            <w:r w:rsidRPr="00531BFF">
              <w:rPr>
                <w:color w:val="231F20"/>
                <w:sz w:val="20"/>
                <w:szCs w:val="24"/>
              </w:rPr>
              <w:t>221.404.507,23</w:t>
            </w:r>
          </w:p>
        </w:tc>
        <w:tc>
          <w:tcPr>
            <w:tcW w:w="1249" w:type="dxa"/>
            <w:tcBorders>
              <w:top w:val="nil"/>
              <w:left w:val="single" w:sz="4" w:space="0" w:color="auto"/>
              <w:bottom w:val="single" w:sz="4" w:space="0" w:color="auto"/>
              <w:right w:val="nil"/>
            </w:tcBorders>
            <w:shd w:val="clear" w:color="auto" w:fill="auto"/>
            <w:noWrap/>
            <w:hideMark/>
          </w:tcPr>
          <w:p w:rsidR="005C37AC" w:rsidRPr="00531BFF" w:rsidRDefault="005C37AC" w:rsidP="009D481B">
            <w:pPr>
              <w:ind w:firstLine="0"/>
              <w:jc w:val="center"/>
              <w:rPr>
                <w:color w:val="000000"/>
                <w:sz w:val="20"/>
                <w:szCs w:val="24"/>
              </w:rPr>
            </w:pPr>
            <w:r w:rsidRPr="00531BFF">
              <w:rPr>
                <w:color w:val="000000"/>
                <w:sz w:val="20"/>
                <w:szCs w:val="24"/>
              </w:rPr>
              <w:t>13%</w:t>
            </w:r>
          </w:p>
        </w:tc>
      </w:tr>
      <w:tr w:rsidR="005C37AC" w:rsidRPr="00F00B5E" w:rsidTr="00C37E6B">
        <w:trPr>
          <w:trHeight w:val="285"/>
        </w:trPr>
        <w:tc>
          <w:tcPr>
            <w:tcW w:w="1901" w:type="dxa"/>
            <w:tcBorders>
              <w:top w:val="nil"/>
              <w:left w:val="nil"/>
              <w:bottom w:val="single" w:sz="4" w:space="0" w:color="auto"/>
              <w:right w:val="single" w:sz="4" w:space="0" w:color="auto"/>
            </w:tcBorders>
            <w:shd w:val="clear" w:color="auto" w:fill="auto"/>
            <w:noWrap/>
            <w:hideMark/>
          </w:tcPr>
          <w:p w:rsidR="005C37AC" w:rsidRPr="00531BFF" w:rsidRDefault="005C37AC" w:rsidP="009D481B">
            <w:pPr>
              <w:ind w:firstLine="0"/>
              <w:jc w:val="center"/>
              <w:rPr>
                <w:b/>
                <w:bCs/>
                <w:color w:val="000000"/>
                <w:sz w:val="20"/>
                <w:szCs w:val="24"/>
              </w:rPr>
            </w:pPr>
            <w:r w:rsidRPr="00531BFF">
              <w:rPr>
                <w:b/>
                <w:bCs/>
                <w:color w:val="000000"/>
                <w:sz w:val="20"/>
                <w:szCs w:val="24"/>
              </w:rPr>
              <w:t>2012</w:t>
            </w:r>
          </w:p>
        </w:tc>
        <w:tc>
          <w:tcPr>
            <w:tcW w:w="3111" w:type="dxa"/>
            <w:tcBorders>
              <w:top w:val="nil"/>
              <w:left w:val="nil"/>
              <w:bottom w:val="single" w:sz="4" w:space="0" w:color="auto"/>
              <w:right w:val="single" w:sz="4" w:space="0" w:color="auto"/>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23.102.054,01</w:t>
            </w:r>
          </w:p>
        </w:tc>
        <w:tc>
          <w:tcPr>
            <w:tcW w:w="3146" w:type="dxa"/>
            <w:tcBorders>
              <w:top w:val="nil"/>
              <w:left w:val="nil"/>
              <w:bottom w:val="single" w:sz="4" w:space="0" w:color="000000"/>
              <w:right w:val="single" w:sz="4" w:space="0" w:color="000000"/>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268.621.167,78</w:t>
            </w:r>
          </w:p>
        </w:tc>
        <w:tc>
          <w:tcPr>
            <w:tcW w:w="1249" w:type="dxa"/>
            <w:tcBorders>
              <w:top w:val="nil"/>
              <w:left w:val="nil"/>
              <w:bottom w:val="single" w:sz="4" w:space="0" w:color="auto"/>
              <w:right w:val="nil"/>
            </w:tcBorders>
            <w:shd w:val="clear" w:color="auto" w:fill="auto"/>
            <w:noWrap/>
            <w:hideMark/>
          </w:tcPr>
          <w:p w:rsidR="005C37AC" w:rsidRPr="00531BFF" w:rsidRDefault="005C37AC" w:rsidP="009D481B">
            <w:pPr>
              <w:ind w:firstLine="0"/>
              <w:jc w:val="center"/>
              <w:rPr>
                <w:color w:val="000000"/>
                <w:sz w:val="20"/>
                <w:szCs w:val="24"/>
              </w:rPr>
            </w:pPr>
            <w:r w:rsidRPr="00531BFF">
              <w:rPr>
                <w:color w:val="000000"/>
                <w:sz w:val="20"/>
                <w:szCs w:val="24"/>
              </w:rPr>
              <w:t>9%</w:t>
            </w:r>
          </w:p>
        </w:tc>
      </w:tr>
      <w:tr w:rsidR="005C37AC" w:rsidRPr="00F00B5E" w:rsidTr="00C37E6B">
        <w:trPr>
          <w:trHeight w:val="288"/>
        </w:trPr>
        <w:tc>
          <w:tcPr>
            <w:tcW w:w="1901" w:type="dxa"/>
            <w:tcBorders>
              <w:top w:val="nil"/>
              <w:left w:val="nil"/>
              <w:bottom w:val="single" w:sz="4" w:space="0" w:color="auto"/>
              <w:right w:val="single" w:sz="4" w:space="0" w:color="auto"/>
            </w:tcBorders>
            <w:shd w:val="clear" w:color="auto" w:fill="auto"/>
            <w:noWrap/>
            <w:hideMark/>
          </w:tcPr>
          <w:p w:rsidR="005C37AC" w:rsidRPr="00531BFF" w:rsidRDefault="005C37AC" w:rsidP="009D481B">
            <w:pPr>
              <w:ind w:firstLine="0"/>
              <w:jc w:val="center"/>
              <w:rPr>
                <w:b/>
                <w:bCs/>
                <w:color w:val="000000"/>
                <w:sz w:val="20"/>
                <w:szCs w:val="24"/>
              </w:rPr>
            </w:pPr>
            <w:r w:rsidRPr="00531BFF">
              <w:rPr>
                <w:b/>
                <w:bCs/>
                <w:color w:val="000000"/>
                <w:sz w:val="20"/>
                <w:szCs w:val="24"/>
              </w:rPr>
              <w:t>2013</w:t>
            </w:r>
          </w:p>
        </w:tc>
        <w:tc>
          <w:tcPr>
            <w:tcW w:w="3111" w:type="dxa"/>
            <w:tcBorders>
              <w:top w:val="nil"/>
              <w:left w:val="nil"/>
              <w:bottom w:val="single" w:sz="4" w:space="0" w:color="auto"/>
              <w:right w:val="single" w:sz="4" w:space="0" w:color="auto"/>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49.183.449,55</w:t>
            </w:r>
          </w:p>
        </w:tc>
        <w:tc>
          <w:tcPr>
            <w:tcW w:w="3146" w:type="dxa"/>
            <w:tcBorders>
              <w:top w:val="nil"/>
              <w:left w:val="nil"/>
              <w:bottom w:val="single" w:sz="4" w:space="0" w:color="auto"/>
              <w:right w:val="nil"/>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238.755.105,45</w:t>
            </w:r>
          </w:p>
        </w:tc>
        <w:tc>
          <w:tcPr>
            <w:tcW w:w="1249" w:type="dxa"/>
            <w:tcBorders>
              <w:top w:val="nil"/>
              <w:left w:val="single" w:sz="4" w:space="0" w:color="auto"/>
              <w:bottom w:val="single" w:sz="4" w:space="0" w:color="auto"/>
              <w:right w:val="nil"/>
            </w:tcBorders>
            <w:shd w:val="clear" w:color="auto" w:fill="auto"/>
            <w:noWrap/>
            <w:hideMark/>
          </w:tcPr>
          <w:p w:rsidR="005C37AC" w:rsidRPr="00531BFF" w:rsidRDefault="005C37AC" w:rsidP="009D481B">
            <w:pPr>
              <w:ind w:firstLine="0"/>
              <w:jc w:val="center"/>
              <w:rPr>
                <w:color w:val="000000"/>
                <w:sz w:val="20"/>
                <w:szCs w:val="24"/>
              </w:rPr>
            </w:pPr>
            <w:r w:rsidRPr="00531BFF">
              <w:rPr>
                <w:color w:val="000000"/>
                <w:sz w:val="20"/>
                <w:szCs w:val="24"/>
              </w:rPr>
              <w:t>21%</w:t>
            </w:r>
          </w:p>
        </w:tc>
      </w:tr>
      <w:tr w:rsidR="005C37AC" w:rsidRPr="00F00B5E" w:rsidTr="00C37E6B">
        <w:trPr>
          <w:trHeight w:val="130"/>
        </w:trPr>
        <w:tc>
          <w:tcPr>
            <w:tcW w:w="1901" w:type="dxa"/>
            <w:tcBorders>
              <w:top w:val="nil"/>
              <w:left w:val="nil"/>
              <w:bottom w:val="single" w:sz="4" w:space="0" w:color="auto"/>
              <w:right w:val="single" w:sz="4" w:space="0" w:color="auto"/>
            </w:tcBorders>
            <w:shd w:val="clear" w:color="auto" w:fill="auto"/>
            <w:noWrap/>
            <w:hideMark/>
          </w:tcPr>
          <w:p w:rsidR="005C37AC" w:rsidRPr="00531BFF" w:rsidRDefault="005C37AC" w:rsidP="009D481B">
            <w:pPr>
              <w:ind w:firstLine="0"/>
              <w:jc w:val="center"/>
              <w:rPr>
                <w:b/>
                <w:bCs/>
                <w:color w:val="000000"/>
                <w:sz w:val="20"/>
                <w:szCs w:val="24"/>
              </w:rPr>
            </w:pPr>
            <w:r w:rsidRPr="00531BFF">
              <w:rPr>
                <w:b/>
                <w:bCs/>
                <w:color w:val="000000"/>
                <w:sz w:val="20"/>
                <w:szCs w:val="24"/>
              </w:rPr>
              <w:t>2014</w:t>
            </w:r>
          </w:p>
        </w:tc>
        <w:tc>
          <w:tcPr>
            <w:tcW w:w="3111" w:type="dxa"/>
            <w:tcBorders>
              <w:top w:val="nil"/>
              <w:left w:val="nil"/>
              <w:bottom w:val="single" w:sz="4" w:space="0" w:color="auto"/>
              <w:right w:val="single" w:sz="4" w:space="0" w:color="auto"/>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56.454.845,70</w:t>
            </w:r>
          </w:p>
        </w:tc>
        <w:tc>
          <w:tcPr>
            <w:tcW w:w="3146" w:type="dxa"/>
            <w:tcBorders>
              <w:top w:val="nil"/>
              <w:left w:val="nil"/>
              <w:bottom w:val="single" w:sz="4" w:space="0" w:color="000000"/>
              <w:right w:val="nil"/>
            </w:tcBorders>
            <w:shd w:val="clear" w:color="auto" w:fill="auto"/>
            <w:hideMark/>
          </w:tcPr>
          <w:p w:rsidR="005C37AC" w:rsidRPr="00531BFF" w:rsidRDefault="005C37AC" w:rsidP="009D481B">
            <w:pPr>
              <w:ind w:firstLine="0"/>
              <w:jc w:val="center"/>
              <w:rPr>
                <w:color w:val="000000"/>
                <w:sz w:val="20"/>
                <w:szCs w:val="24"/>
              </w:rPr>
            </w:pPr>
            <w:r w:rsidRPr="00531BFF">
              <w:rPr>
                <w:color w:val="000000"/>
                <w:sz w:val="20"/>
                <w:szCs w:val="24"/>
              </w:rPr>
              <w:t>279.109.119,51</w:t>
            </w:r>
          </w:p>
        </w:tc>
        <w:tc>
          <w:tcPr>
            <w:tcW w:w="1249" w:type="dxa"/>
            <w:tcBorders>
              <w:top w:val="nil"/>
              <w:left w:val="single" w:sz="4" w:space="0" w:color="auto"/>
              <w:bottom w:val="single" w:sz="4" w:space="0" w:color="auto"/>
              <w:right w:val="nil"/>
            </w:tcBorders>
            <w:shd w:val="clear" w:color="auto" w:fill="auto"/>
            <w:noWrap/>
            <w:hideMark/>
          </w:tcPr>
          <w:p w:rsidR="005C37AC" w:rsidRPr="00531BFF" w:rsidRDefault="005C37AC" w:rsidP="009D481B">
            <w:pPr>
              <w:ind w:firstLine="0"/>
              <w:jc w:val="center"/>
              <w:rPr>
                <w:color w:val="000000"/>
                <w:sz w:val="20"/>
                <w:szCs w:val="24"/>
              </w:rPr>
            </w:pPr>
            <w:r w:rsidRPr="00531BFF">
              <w:rPr>
                <w:color w:val="000000"/>
                <w:sz w:val="20"/>
                <w:szCs w:val="24"/>
              </w:rPr>
              <w:t>20%</w:t>
            </w:r>
          </w:p>
        </w:tc>
      </w:tr>
    </w:tbl>
    <w:p w:rsidR="005C37AC" w:rsidRPr="005C37AC" w:rsidRDefault="005C37AC" w:rsidP="009D481B">
      <w:pPr>
        <w:pStyle w:val="NormalWeb"/>
        <w:shd w:val="clear" w:color="auto" w:fill="FFFFFF"/>
        <w:spacing w:before="0" w:beforeAutospacing="0" w:after="0" w:afterAutospacing="0"/>
        <w:ind w:firstLine="0"/>
        <w:jc w:val="center"/>
        <w:rPr>
          <w:b/>
          <w:bCs/>
          <w:color w:val="000000"/>
          <w:shd w:val="clear" w:color="auto" w:fill="FFFFFF"/>
        </w:rPr>
      </w:pPr>
      <w:r w:rsidRPr="005C37AC">
        <w:rPr>
          <w:b/>
          <w:bCs/>
          <w:color w:val="000000"/>
          <w:shd w:val="clear" w:color="auto" w:fill="FFFFFF"/>
        </w:rPr>
        <w:t>Tabela 6 – Restos a Pagar Não Processados em Relação à Disponibilidade de Caixa</w:t>
      </w:r>
    </w:p>
    <w:p w:rsidR="005C37AC" w:rsidRPr="005C37AC" w:rsidRDefault="005C37AC" w:rsidP="00B21EC2">
      <w:pPr>
        <w:ind w:firstLine="0"/>
        <w:jc w:val="center"/>
        <w:rPr>
          <w:bCs/>
          <w:color w:val="000000"/>
          <w:szCs w:val="24"/>
          <w:shd w:val="clear" w:color="auto" w:fill="FFFFFF"/>
        </w:rPr>
      </w:pPr>
      <w:r w:rsidRPr="005C37AC">
        <w:rPr>
          <w:bCs/>
          <w:color w:val="000000"/>
          <w:szCs w:val="24"/>
          <w:shd w:val="clear" w:color="auto" w:fill="FFFFFF"/>
        </w:rPr>
        <w:t xml:space="preserve">Fonte: </w:t>
      </w:r>
      <w:r w:rsidR="00B21EC2">
        <w:rPr>
          <w:rFonts w:eastAsia="Calibri"/>
          <w:bCs/>
          <w:color w:val="000000"/>
          <w:shd w:val="clear" w:color="auto" w:fill="FFFFFF"/>
          <w:lang w:eastAsia="en-US"/>
        </w:rPr>
        <w:t>Elaborado pelas autoras a partir dos dados dos demonstrativos contábeis do TJSC</w:t>
      </w:r>
    </w:p>
    <w:p w:rsidR="005C37AC" w:rsidRPr="00F00B5E" w:rsidRDefault="005C37AC" w:rsidP="005C37AC">
      <w:pPr>
        <w:jc w:val="center"/>
        <w:rPr>
          <w:szCs w:val="24"/>
        </w:rPr>
      </w:pPr>
    </w:p>
    <w:p w:rsidR="00531BFF" w:rsidRPr="00F70109" w:rsidRDefault="005C37AC" w:rsidP="00F70109">
      <w:pPr>
        <w:rPr>
          <w:szCs w:val="24"/>
        </w:rPr>
      </w:pPr>
      <w:r w:rsidRPr="00F00B5E">
        <w:rPr>
          <w:szCs w:val="24"/>
        </w:rPr>
        <w:t>De maneira geral, em todo o período estudado, é notório que o Tribunal de Justiça de Santa Catarina sempre teve disponibilidade de caixa para fazer frente à parcela de despesas inscritas em restos</w:t>
      </w:r>
      <w:r w:rsidR="00BA3B7D">
        <w:rPr>
          <w:szCs w:val="24"/>
        </w:rPr>
        <w:t xml:space="preserve"> a pagar não processados, bem como </w:t>
      </w:r>
      <w:r w:rsidRPr="00F00B5E">
        <w:rPr>
          <w:szCs w:val="24"/>
        </w:rPr>
        <w:t>que não houve variação</w:t>
      </w:r>
      <w:r w:rsidR="00BA29C0">
        <w:rPr>
          <w:szCs w:val="24"/>
        </w:rPr>
        <w:t xml:space="preserve"> percentual muito significativa</w:t>
      </w:r>
      <w:r w:rsidRPr="00F00B5E">
        <w:rPr>
          <w:szCs w:val="24"/>
        </w:rPr>
        <w:t xml:space="preserve"> no período.</w:t>
      </w:r>
    </w:p>
    <w:p w:rsidR="00531BFF" w:rsidRDefault="00531BFF" w:rsidP="00531BFF">
      <w:pPr>
        <w:jc w:val="center"/>
        <w:rPr>
          <w:b/>
          <w:bCs/>
          <w:color w:val="000000"/>
          <w:szCs w:val="24"/>
          <w:shd w:val="clear" w:color="auto" w:fill="FFFFFF"/>
        </w:rPr>
      </w:pPr>
    </w:p>
    <w:p w:rsidR="005C37AC" w:rsidRPr="00F00B5E" w:rsidRDefault="005C37AC" w:rsidP="00531BFF">
      <w:pPr>
        <w:jc w:val="center"/>
        <w:rPr>
          <w:szCs w:val="24"/>
        </w:rPr>
      </w:pPr>
      <w:r w:rsidRPr="005C37AC">
        <w:rPr>
          <w:b/>
          <w:bCs/>
          <w:color w:val="000000"/>
          <w:szCs w:val="24"/>
          <w:shd w:val="clear" w:color="auto" w:fill="FFFFFF"/>
        </w:rPr>
        <w:t>Gráfico 3 – Restos a Pagar Não Processados em Relação à Disponibilidade de Caixa</w:t>
      </w:r>
      <w:r w:rsidR="00421492">
        <w:rPr>
          <w:noProof/>
          <w:szCs w:val="24"/>
        </w:rPr>
        <w:drawing>
          <wp:inline distT="0" distB="0" distL="0" distR="0">
            <wp:extent cx="5962650" cy="1971675"/>
            <wp:effectExtent l="0" t="0" r="0" b="9525"/>
            <wp:docPr id="4" name="Gráfico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C37AC" w:rsidRPr="005C37AC" w:rsidRDefault="005C37AC" w:rsidP="00C5541E">
      <w:pPr>
        <w:ind w:firstLine="0"/>
        <w:jc w:val="center"/>
        <w:rPr>
          <w:bCs/>
          <w:color w:val="000000"/>
          <w:szCs w:val="24"/>
          <w:shd w:val="clear" w:color="auto" w:fill="FFFFFF"/>
        </w:rPr>
      </w:pPr>
      <w:r w:rsidRPr="005C37AC">
        <w:rPr>
          <w:bCs/>
          <w:color w:val="000000"/>
          <w:szCs w:val="24"/>
          <w:shd w:val="clear" w:color="auto" w:fill="FFFFFF"/>
        </w:rPr>
        <w:t xml:space="preserve">Fonte: </w:t>
      </w:r>
      <w:r w:rsidR="00B21EC2">
        <w:rPr>
          <w:rFonts w:eastAsia="Calibri"/>
          <w:bCs/>
          <w:color w:val="000000"/>
          <w:shd w:val="clear" w:color="auto" w:fill="FFFFFF"/>
          <w:lang w:eastAsia="en-US"/>
        </w:rPr>
        <w:t>Elaborado pelas autoras a partir dos dados dos demonstrativos contábeis do TJSC</w:t>
      </w:r>
    </w:p>
    <w:p w:rsidR="005C37AC" w:rsidRPr="00F00B5E" w:rsidRDefault="005C37AC" w:rsidP="005C37AC">
      <w:pPr>
        <w:jc w:val="center"/>
        <w:rPr>
          <w:szCs w:val="24"/>
        </w:rPr>
      </w:pPr>
    </w:p>
    <w:p w:rsidR="005C37AC" w:rsidRPr="00F00B5E" w:rsidRDefault="005C37AC" w:rsidP="005C37AC">
      <w:pPr>
        <w:rPr>
          <w:szCs w:val="24"/>
        </w:rPr>
      </w:pPr>
      <w:r w:rsidRPr="00F00B5E">
        <w:rPr>
          <w:szCs w:val="24"/>
        </w:rPr>
        <w:t xml:space="preserve">Em uma análise mais detalhada, percebe-se que o ano com o maior comprometimento de caixa com inscrição em restos a pagar foi </w:t>
      </w:r>
      <w:r w:rsidR="00BA29C0">
        <w:rPr>
          <w:szCs w:val="24"/>
        </w:rPr>
        <w:t xml:space="preserve">o de </w:t>
      </w:r>
      <w:r w:rsidRPr="00F00B5E">
        <w:rPr>
          <w:szCs w:val="24"/>
        </w:rPr>
        <w:t>2013, alcançando 23%. Por sua vez, o ano com menor comprometimento, foi</w:t>
      </w:r>
      <w:r w:rsidR="00BA29C0">
        <w:rPr>
          <w:szCs w:val="24"/>
        </w:rPr>
        <w:t xml:space="preserve"> o de</w:t>
      </w:r>
      <w:r w:rsidRPr="00F00B5E">
        <w:rPr>
          <w:szCs w:val="24"/>
        </w:rPr>
        <w:t xml:space="preserve"> 2012, onde além de o valor de</w:t>
      </w:r>
      <w:r w:rsidR="00BA29C0">
        <w:rPr>
          <w:szCs w:val="24"/>
        </w:rPr>
        <w:t xml:space="preserve"> inscrição em restos a pagar ter sido</w:t>
      </w:r>
      <w:r w:rsidRPr="00F00B5E">
        <w:rPr>
          <w:szCs w:val="24"/>
        </w:rPr>
        <w:t xml:space="preserve"> menor, a disponibilidade de caixa também aumentou. Sendo assim, pode-se inferir que em </w:t>
      </w:r>
      <w:r w:rsidRPr="00F00B5E">
        <w:rPr>
          <w:szCs w:val="24"/>
        </w:rPr>
        <w:lastRenderedPageBreak/>
        <w:t>nenhum dos anos analisados houve comprometimento significativo das disponibilidades de caixa, de modo a dificultar a execução financeira do orçamento do ano subsequente.</w:t>
      </w:r>
    </w:p>
    <w:p w:rsidR="00E24E18" w:rsidRPr="00AA3FF4" w:rsidRDefault="00E24E18" w:rsidP="005C37AC">
      <w:pPr>
        <w:spacing w:line="360" w:lineRule="auto"/>
        <w:ind w:firstLine="0"/>
        <w:rPr>
          <w:sz w:val="26"/>
          <w:szCs w:val="26"/>
        </w:rPr>
      </w:pPr>
    </w:p>
    <w:p w:rsidR="00E24E18" w:rsidRPr="00AA3FF4" w:rsidRDefault="00E24E18" w:rsidP="00E24E18">
      <w:pPr>
        <w:pStyle w:val="Ttulo1"/>
        <w:spacing w:before="0" w:after="0" w:line="360" w:lineRule="auto"/>
        <w:ind w:left="432" w:hanging="432"/>
        <w:rPr>
          <w:sz w:val="26"/>
          <w:szCs w:val="26"/>
        </w:rPr>
      </w:pPr>
      <w:r w:rsidRPr="00AA3FF4">
        <w:rPr>
          <w:sz w:val="26"/>
          <w:szCs w:val="26"/>
        </w:rPr>
        <w:t>CONSIDERAÇÕES FINAIS</w:t>
      </w:r>
    </w:p>
    <w:p w:rsidR="003258E2" w:rsidRPr="00F00B5E" w:rsidRDefault="003258E2" w:rsidP="003258E2">
      <w:pPr>
        <w:rPr>
          <w:szCs w:val="24"/>
        </w:rPr>
      </w:pPr>
      <w:r w:rsidRPr="00F00B5E">
        <w:rPr>
          <w:szCs w:val="24"/>
        </w:rPr>
        <w:t>Este estudo teve</w:t>
      </w:r>
      <w:r w:rsidR="00B902F0">
        <w:rPr>
          <w:szCs w:val="24"/>
        </w:rPr>
        <w:t xml:space="preserve"> como</w:t>
      </w:r>
      <w:r w:rsidRPr="00F00B5E">
        <w:rPr>
          <w:szCs w:val="24"/>
        </w:rPr>
        <w:t xml:space="preserve"> objetivo geral analisar os impactos, para a execução financeira do orçamento do exercício subsequente, da prática da inscrição de restos a pagar não processados no Tribunal de Justiça de Santa Catarina, bem como sua evolução nos exercícios de 2010 a 2014.</w:t>
      </w:r>
      <w:r w:rsidRPr="00F00B5E">
        <w:rPr>
          <w:szCs w:val="24"/>
        </w:rPr>
        <w:tab/>
      </w:r>
    </w:p>
    <w:p w:rsidR="003258E2" w:rsidRPr="00F00B5E" w:rsidRDefault="003258E2" w:rsidP="003258E2">
      <w:pPr>
        <w:rPr>
          <w:szCs w:val="24"/>
        </w:rPr>
      </w:pPr>
      <w:r w:rsidRPr="00F00B5E">
        <w:rPr>
          <w:szCs w:val="24"/>
        </w:rPr>
        <w:t>Uma vez que no período analisado mais de 80% da dotação orçamentária autorizada era executada, foi possível observar que dentre as unidades orçamentárias que compõem o Tribunal de Justiça de Santa Ca</w:t>
      </w:r>
      <w:r w:rsidR="00834448">
        <w:rPr>
          <w:szCs w:val="24"/>
        </w:rPr>
        <w:t>ta</w:t>
      </w:r>
      <w:r w:rsidRPr="00F00B5E">
        <w:rPr>
          <w:szCs w:val="24"/>
        </w:rPr>
        <w:t>rina, a que mais se destacou pelo montante de despesas inscritas em restos a pagar não processados fo</w:t>
      </w:r>
      <w:r w:rsidR="00BA3B7D">
        <w:rPr>
          <w:szCs w:val="24"/>
        </w:rPr>
        <w:t>i a unidade Tribunal de Justiça;</w:t>
      </w:r>
      <w:r w:rsidRPr="00F00B5E">
        <w:rPr>
          <w:szCs w:val="24"/>
        </w:rPr>
        <w:t xml:space="preserve"> esta, por sua vez, composta pelo Sistema de Depósitos Judiciais.</w:t>
      </w:r>
    </w:p>
    <w:p w:rsidR="003258E2" w:rsidRPr="00F00B5E" w:rsidRDefault="003258E2" w:rsidP="003258E2">
      <w:pPr>
        <w:rPr>
          <w:szCs w:val="24"/>
        </w:rPr>
      </w:pPr>
      <w:r w:rsidRPr="00F00B5E">
        <w:rPr>
          <w:szCs w:val="24"/>
        </w:rPr>
        <w:t>No que tange à evolução da inscrição em restos a pagar ao longo do período de estudo, observou-se que, em valores totais, houve uma diminuição expressiva nos anos de 2011 e 2012. No entanto, é perceptível também, que a partir do ano de 2012, o montante de despesas inscritas em restos a pagar não processados assumiu uma trajetória ascendente, com valores expressivamente maiores, se comparados ao biênio mencionado anteriormente, devido à um aumento na inscrição de despesas com Pessoal e Encargos, com Investimentos e com despesas de custeio.</w:t>
      </w:r>
    </w:p>
    <w:p w:rsidR="003258E2" w:rsidRPr="00F00B5E" w:rsidRDefault="003258E2" w:rsidP="003258E2">
      <w:pPr>
        <w:rPr>
          <w:szCs w:val="24"/>
        </w:rPr>
      </w:pPr>
      <w:r w:rsidRPr="00F00B5E">
        <w:rPr>
          <w:szCs w:val="24"/>
        </w:rPr>
        <w:t>Ao comparar a inscrição de restos a pagar não processados com a inscrição de restos a pagar processados, foi possível visualizar que o montante deste primeiro se sobressai sobre o segundo, praticamente totalizando o valor das inscrições de 2010 a 2012, uma vez que em 2013 e 2014 não houve registros na conta restos a pagar processados.</w:t>
      </w:r>
    </w:p>
    <w:p w:rsidR="003258E2" w:rsidRPr="00F00B5E" w:rsidRDefault="003258E2" w:rsidP="003258E2">
      <w:pPr>
        <w:rPr>
          <w:szCs w:val="24"/>
        </w:rPr>
      </w:pPr>
      <w:r w:rsidRPr="00F00B5E">
        <w:rPr>
          <w:szCs w:val="24"/>
        </w:rPr>
        <w:t xml:space="preserve">Por sua vez, comparando o valor da inscrição em restos a pagar não processados, com a disponibilidade de caixa, conclui-se que em todos os anos, sem exceção, o ente </w:t>
      </w:r>
      <w:r w:rsidR="00B902F0">
        <w:rPr>
          <w:szCs w:val="24"/>
        </w:rPr>
        <w:t>objeto do</w:t>
      </w:r>
      <w:r w:rsidRPr="00F00B5E">
        <w:rPr>
          <w:szCs w:val="24"/>
        </w:rPr>
        <w:t xml:space="preserve"> estudo teve disponibilidade de caixa suficiente para fazer frente às despesas inscritas em restos a pagar não processados, visto que os percentuais de comprometimento de caixa variaram entre 9% e 20%.</w:t>
      </w:r>
    </w:p>
    <w:p w:rsidR="003258E2" w:rsidRPr="00F00B5E" w:rsidRDefault="003258E2" w:rsidP="003258E2">
      <w:pPr>
        <w:rPr>
          <w:szCs w:val="24"/>
        </w:rPr>
      </w:pPr>
      <w:r w:rsidRPr="00F00B5E">
        <w:rPr>
          <w:szCs w:val="24"/>
        </w:rPr>
        <w:t xml:space="preserve">No desenvolvimento </w:t>
      </w:r>
      <w:r w:rsidR="00541682" w:rsidRPr="00F00B5E">
        <w:rPr>
          <w:szCs w:val="24"/>
        </w:rPr>
        <w:t xml:space="preserve">da </w:t>
      </w:r>
      <w:r w:rsidR="00541682">
        <w:rPr>
          <w:szCs w:val="24"/>
        </w:rPr>
        <w:t>pesquisa</w:t>
      </w:r>
      <w:r w:rsidRPr="00F00B5E">
        <w:rPr>
          <w:szCs w:val="24"/>
        </w:rPr>
        <w:t>, pode-se confirmar, através dos demonstrativos contábeis, que de maneira geral, a inscrição em restos a pagar não processados, representa um montante pouco expressivo da despesa realizada, bem como na disponibilidade de caixa do ente analisado. Sendo assim, pode-se inferir que a prática de inscrição de restos a pagar não processados não compromete em nenhum aspecto a execução financeiro-orçamentária do exercício subsequente. Logo, conclui-se também, que essa prática se dá somente por q</w:t>
      </w:r>
      <w:r w:rsidR="00BA3B7D">
        <w:rPr>
          <w:szCs w:val="24"/>
        </w:rPr>
        <w:t>uestões de prazos impostas ao té</w:t>
      </w:r>
      <w:r w:rsidRPr="00F00B5E">
        <w:rPr>
          <w:szCs w:val="24"/>
        </w:rPr>
        <w:t>rmino de cada exercício social.</w:t>
      </w:r>
    </w:p>
    <w:p w:rsidR="003258E2" w:rsidRPr="00F00B5E" w:rsidRDefault="003258E2" w:rsidP="003258E2">
      <w:pPr>
        <w:rPr>
          <w:szCs w:val="24"/>
        </w:rPr>
      </w:pPr>
      <w:r w:rsidRPr="00F00B5E">
        <w:rPr>
          <w:szCs w:val="24"/>
        </w:rPr>
        <w:t xml:space="preserve">Após tantas transformações na Contabilidade Pública, principalmente com o advento da Lei de Responsabilidade Fiscal e diante das críticas </w:t>
      </w:r>
      <w:bookmarkStart w:id="3" w:name="_GoBack"/>
      <w:bookmarkEnd w:id="3"/>
      <w:r w:rsidRPr="00F00B5E">
        <w:rPr>
          <w:szCs w:val="24"/>
        </w:rPr>
        <w:t>da doutrina contábil em relação à figura dos Restos a</w:t>
      </w:r>
      <w:r w:rsidR="00B902F0">
        <w:rPr>
          <w:szCs w:val="24"/>
        </w:rPr>
        <w:t xml:space="preserve"> Pagar não processados, faz-se</w:t>
      </w:r>
      <w:r w:rsidRPr="00F00B5E">
        <w:rPr>
          <w:szCs w:val="24"/>
        </w:rPr>
        <w:t xml:space="preserve"> nece</w:t>
      </w:r>
      <w:r w:rsidR="00B902F0">
        <w:rPr>
          <w:szCs w:val="24"/>
        </w:rPr>
        <w:t>ssária a realização de</w:t>
      </w:r>
      <w:r w:rsidRPr="00F00B5E">
        <w:rPr>
          <w:szCs w:val="24"/>
        </w:rPr>
        <w:t xml:space="preserve"> debates e estudos, principalmente na esfera estadual, a</w:t>
      </w:r>
      <w:r w:rsidR="00B902F0">
        <w:rPr>
          <w:szCs w:val="24"/>
        </w:rPr>
        <w:t xml:space="preserve"> </w:t>
      </w:r>
      <w:r w:rsidRPr="00F00B5E">
        <w:rPr>
          <w:szCs w:val="24"/>
        </w:rPr>
        <w:t xml:space="preserve">fim de apresentar quais são os procedimentos adotados em relação a esse tipo de </w:t>
      </w:r>
      <w:r w:rsidRPr="00F00B5E">
        <w:rPr>
          <w:szCs w:val="24"/>
        </w:rPr>
        <w:lastRenderedPageBreak/>
        <w:t>endividamento e como tais procedimentos impactam as finanças públicas. Por fim, entendendo que a grandeza do tema não se limita somente aos estudos ora realizados, tornar-se base para aprofundamentos futuros que propiciem maiores contribuições ao aprimoramento da execução do orçamento público no Brasil.</w:t>
      </w:r>
    </w:p>
    <w:p w:rsidR="00E24E18" w:rsidRPr="00AA3FF4" w:rsidRDefault="00E24E18" w:rsidP="003258E2">
      <w:pPr>
        <w:ind w:firstLine="0"/>
      </w:pPr>
    </w:p>
    <w:p w:rsidR="00E24E18" w:rsidRPr="00AA3FF4" w:rsidRDefault="00E24E18" w:rsidP="00E24E18">
      <w:pPr>
        <w:spacing w:line="360" w:lineRule="auto"/>
        <w:rPr>
          <w:sz w:val="26"/>
          <w:szCs w:val="26"/>
        </w:rPr>
      </w:pPr>
    </w:p>
    <w:p w:rsidR="00E24E18" w:rsidRDefault="00E24E18" w:rsidP="00E24E18">
      <w:pPr>
        <w:pStyle w:val="Ttulo1"/>
        <w:numPr>
          <w:ilvl w:val="0"/>
          <w:numId w:val="0"/>
        </w:numPr>
        <w:spacing w:before="0" w:after="0"/>
        <w:jc w:val="center"/>
        <w:rPr>
          <w:sz w:val="26"/>
          <w:szCs w:val="26"/>
        </w:rPr>
      </w:pPr>
      <w:r w:rsidRPr="00AA3FF4">
        <w:rPr>
          <w:sz w:val="26"/>
          <w:szCs w:val="26"/>
        </w:rPr>
        <w:t>REFERÊNCIAS</w:t>
      </w:r>
    </w:p>
    <w:p w:rsidR="007772F0" w:rsidRPr="007772F0" w:rsidRDefault="007772F0" w:rsidP="007772F0">
      <w:pPr>
        <w:rPr>
          <w:lang w:val="x-none" w:eastAsia="x-none"/>
        </w:rPr>
      </w:pPr>
    </w:p>
    <w:p w:rsidR="00835D49" w:rsidRPr="00D945ED" w:rsidRDefault="00835D49" w:rsidP="007772F0">
      <w:pPr>
        <w:ind w:firstLine="0"/>
        <w:jc w:val="left"/>
        <w:rPr>
          <w:sz w:val="26"/>
          <w:szCs w:val="26"/>
        </w:rPr>
      </w:pPr>
      <w:r w:rsidRPr="00D945ED">
        <w:rPr>
          <w:sz w:val="26"/>
          <w:szCs w:val="26"/>
        </w:rPr>
        <w:t xml:space="preserve">ANDRADE, Nilton de Aquino. </w:t>
      </w:r>
      <w:r w:rsidRPr="00D945ED">
        <w:rPr>
          <w:b/>
          <w:sz w:val="26"/>
          <w:szCs w:val="26"/>
        </w:rPr>
        <w:t>Contabilidade Pública na Gestão Municipal</w:t>
      </w:r>
      <w:r w:rsidRPr="00D945ED">
        <w:rPr>
          <w:sz w:val="26"/>
          <w:szCs w:val="26"/>
        </w:rPr>
        <w:t>. 5. ed. São Paulo: Atlas, 2015.</w:t>
      </w:r>
    </w:p>
    <w:p w:rsidR="00835D49" w:rsidRPr="00D945ED" w:rsidRDefault="00835D49" w:rsidP="007772F0">
      <w:pPr>
        <w:ind w:firstLine="0"/>
        <w:jc w:val="left"/>
        <w:rPr>
          <w:sz w:val="26"/>
          <w:szCs w:val="26"/>
        </w:rPr>
      </w:pPr>
      <w:r w:rsidRPr="00D945ED">
        <w:rPr>
          <w:sz w:val="26"/>
          <w:szCs w:val="26"/>
        </w:rPr>
        <w:t xml:space="preserve">BEUREN, I. M. et al. </w:t>
      </w:r>
      <w:r w:rsidRPr="00D945ED">
        <w:rPr>
          <w:b/>
          <w:sz w:val="26"/>
          <w:szCs w:val="26"/>
        </w:rPr>
        <w:t>Como elaborar trabalhos monográficos em contabilidade: teoria e prática (3a ed.).</w:t>
      </w:r>
      <w:r w:rsidRPr="00D945ED">
        <w:rPr>
          <w:sz w:val="26"/>
          <w:szCs w:val="26"/>
        </w:rPr>
        <w:t xml:space="preserve"> São Paulo: Atlas, 2006.</w:t>
      </w:r>
    </w:p>
    <w:p w:rsidR="00835D49" w:rsidRPr="00D945ED" w:rsidRDefault="00835D49" w:rsidP="007772F0">
      <w:pPr>
        <w:ind w:firstLine="0"/>
        <w:jc w:val="left"/>
        <w:rPr>
          <w:sz w:val="26"/>
          <w:szCs w:val="26"/>
        </w:rPr>
      </w:pPr>
      <w:r w:rsidRPr="00D945ED">
        <w:rPr>
          <w:sz w:val="26"/>
          <w:szCs w:val="26"/>
        </w:rPr>
        <w:t xml:space="preserve">BRASIL. </w:t>
      </w:r>
      <w:r w:rsidRPr="00D945ED">
        <w:rPr>
          <w:b/>
          <w:sz w:val="26"/>
          <w:szCs w:val="26"/>
        </w:rPr>
        <w:t>Constituição (1988)</w:t>
      </w:r>
      <w:r w:rsidRPr="00D945ED">
        <w:rPr>
          <w:sz w:val="26"/>
          <w:szCs w:val="26"/>
        </w:rPr>
        <w:t>. Constituição da República Federativa do Brasil, promulgada em 5 de outubro de 1988. Disponível em:&lt;http://www.planalto.gov.br/ccivil_03/Constituicao/Constituicao.htm&gt; Acesso em: 23 mar. 2016.</w:t>
      </w:r>
    </w:p>
    <w:p w:rsidR="00835D49" w:rsidRDefault="00835D49" w:rsidP="007772F0">
      <w:pPr>
        <w:ind w:firstLine="0"/>
        <w:jc w:val="left"/>
        <w:rPr>
          <w:sz w:val="26"/>
          <w:szCs w:val="26"/>
        </w:rPr>
      </w:pPr>
      <w:r w:rsidRPr="00D945ED">
        <w:rPr>
          <w:sz w:val="26"/>
          <w:szCs w:val="26"/>
        </w:rPr>
        <w:t xml:space="preserve">_______. </w:t>
      </w:r>
      <w:r w:rsidRPr="00D945ED">
        <w:rPr>
          <w:b/>
          <w:sz w:val="26"/>
          <w:szCs w:val="26"/>
        </w:rPr>
        <w:t>Decreto Federal nº 93.872/86, de 23 de dezembro de 1896</w:t>
      </w:r>
      <w:r w:rsidRPr="00D945ED">
        <w:rPr>
          <w:sz w:val="26"/>
          <w:szCs w:val="26"/>
        </w:rPr>
        <w:t>. Dispõe sobre a unificação dos recursos de caixa do Tesouro Nacional, atualiza e consolida a legislação pertinente e dá outras providências. Disponível em: &lt; http://www.planalto.gov.br/ccivil_03/decreto/d93872.htm&gt; Acesso em: 23 mar. 2016.</w:t>
      </w:r>
    </w:p>
    <w:p w:rsidR="00E810D3" w:rsidRPr="00D945ED" w:rsidRDefault="00E810D3" w:rsidP="007772F0">
      <w:pPr>
        <w:ind w:firstLine="0"/>
        <w:jc w:val="left"/>
        <w:rPr>
          <w:sz w:val="26"/>
          <w:szCs w:val="26"/>
        </w:rPr>
      </w:pPr>
      <w:r>
        <w:rPr>
          <w:sz w:val="26"/>
          <w:szCs w:val="26"/>
        </w:rPr>
        <w:t xml:space="preserve">_______. </w:t>
      </w:r>
      <w:hyperlink r:id="rId18" w:history="1">
        <w:r w:rsidRPr="00E810D3">
          <w:rPr>
            <w:b/>
            <w:sz w:val="26"/>
            <w:szCs w:val="26"/>
          </w:rPr>
          <w:t>Decreto-Lei No 2.848, De 7 De Dezembro De 1940.</w:t>
        </w:r>
      </w:hyperlink>
      <w:r w:rsidRPr="00D945ED">
        <w:rPr>
          <w:sz w:val="26"/>
          <w:szCs w:val="26"/>
        </w:rPr>
        <w:t xml:space="preserve"> </w:t>
      </w:r>
      <w:r>
        <w:rPr>
          <w:sz w:val="26"/>
          <w:szCs w:val="26"/>
        </w:rPr>
        <w:t xml:space="preserve"> Disponível em: &lt;</w:t>
      </w:r>
      <w:r w:rsidRPr="00E810D3">
        <w:rPr>
          <w:sz w:val="26"/>
          <w:szCs w:val="26"/>
        </w:rPr>
        <w:t>http://www.planalto.gov.br/ccivil_03/decreto-lei/Del2848.htm</w:t>
      </w:r>
      <w:r w:rsidRPr="00D945ED">
        <w:rPr>
          <w:sz w:val="26"/>
          <w:szCs w:val="26"/>
        </w:rPr>
        <w:t>&gt; Acesso em: 23 mar. 2016.</w:t>
      </w:r>
    </w:p>
    <w:p w:rsidR="00835D49" w:rsidRPr="00D945ED" w:rsidRDefault="00835D49" w:rsidP="007772F0">
      <w:pPr>
        <w:ind w:firstLine="0"/>
        <w:jc w:val="left"/>
        <w:rPr>
          <w:sz w:val="26"/>
          <w:szCs w:val="26"/>
        </w:rPr>
      </w:pPr>
      <w:r w:rsidRPr="00D945ED">
        <w:rPr>
          <w:sz w:val="26"/>
          <w:szCs w:val="26"/>
        </w:rPr>
        <w:t xml:space="preserve">_______. </w:t>
      </w:r>
      <w:r w:rsidRPr="00D945ED">
        <w:rPr>
          <w:b/>
          <w:sz w:val="26"/>
          <w:szCs w:val="26"/>
        </w:rPr>
        <w:t>Lei n.º 10.028/2000</w:t>
      </w:r>
      <w:r w:rsidRPr="00D945ED">
        <w:rPr>
          <w:sz w:val="26"/>
          <w:szCs w:val="26"/>
        </w:rPr>
        <w:t>, de 19 de outubro de 2000. Altera o Decreto-Lei no 2.848, de 7 de dezembro de 1940 – Código Penal, a Lei no 1.079, de 10 de abril de 1950, e o Decreto-Lei no 201, de 27 de fevereiro de 1967. Disponível em: &lt;http://www.planalto.gov.br/ccivil_03/leis/L10028.htm&gt; Acesso em: 23 mar. 2016.</w:t>
      </w:r>
    </w:p>
    <w:p w:rsidR="00835D49" w:rsidRPr="00D945ED" w:rsidRDefault="00835D49" w:rsidP="007772F0">
      <w:pPr>
        <w:ind w:firstLine="0"/>
        <w:jc w:val="left"/>
        <w:rPr>
          <w:sz w:val="26"/>
          <w:szCs w:val="26"/>
        </w:rPr>
      </w:pPr>
      <w:r w:rsidRPr="00D945ED">
        <w:rPr>
          <w:sz w:val="26"/>
          <w:szCs w:val="26"/>
        </w:rPr>
        <w:t xml:space="preserve">_______. </w:t>
      </w:r>
      <w:r w:rsidRPr="00D945ED">
        <w:rPr>
          <w:b/>
          <w:sz w:val="26"/>
          <w:szCs w:val="26"/>
        </w:rPr>
        <w:t>Lei Complementar nº 101, de 4 de maio de 2001</w:t>
      </w:r>
      <w:r w:rsidRPr="00D945ED">
        <w:rPr>
          <w:sz w:val="26"/>
          <w:szCs w:val="26"/>
        </w:rPr>
        <w:t xml:space="preserve"> (Lei de Responsabilidade Fiscal). Estabelece normas de finanças públicas voltadas para a responsabilidade na gestão fiscal e dá outras providências. Disponível em: &lt;http://www.planalto.gov.br/ccivil_03/leis/LCP/Lcp101.htm&gt; Acesso em: 23 mar. 2016.</w:t>
      </w:r>
    </w:p>
    <w:p w:rsidR="00835D49" w:rsidRPr="00D945ED" w:rsidRDefault="00835D49" w:rsidP="007772F0">
      <w:pPr>
        <w:ind w:firstLine="0"/>
        <w:jc w:val="left"/>
        <w:rPr>
          <w:sz w:val="26"/>
          <w:szCs w:val="26"/>
        </w:rPr>
      </w:pPr>
      <w:r w:rsidRPr="00D945ED">
        <w:rPr>
          <w:sz w:val="26"/>
          <w:szCs w:val="26"/>
        </w:rPr>
        <w:t xml:space="preserve">_______. </w:t>
      </w:r>
      <w:r w:rsidRPr="00D945ED">
        <w:rPr>
          <w:b/>
          <w:sz w:val="26"/>
          <w:szCs w:val="26"/>
        </w:rPr>
        <w:t>Lei nº 4.320, de 17 de março de 1964</w:t>
      </w:r>
      <w:r w:rsidRPr="00D945ED">
        <w:rPr>
          <w:sz w:val="26"/>
          <w:szCs w:val="26"/>
        </w:rPr>
        <w:t>. Estatui Normas Gerais de Direito Financeiro para elaboração e controle dos orçamentos e balanços da União, dos Estados, dos Municípios e do Distrito Federal. Disponível em: &lt; http://www.planalto.gov.br/ccivil_03/Leis/L4320.htm&gt;. Acesso em: 23 mar. 2016.</w:t>
      </w:r>
    </w:p>
    <w:p w:rsidR="00835D49" w:rsidRPr="00D945ED" w:rsidRDefault="00835D49" w:rsidP="007772F0">
      <w:pPr>
        <w:ind w:firstLine="0"/>
        <w:jc w:val="left"/>
        <w:rPr>
          <w:sz w:val="26"/>
          <w:szCs w:val="26"/>
        </w:rPr>
      </w:pPr>
      <w:r w:rsidRPr="00D945ED">
        <w:rPr>
          <w:color w:val="222222"/>
          <w:sz w:val="26"/>
          <w:szCs w:val="26"/>
          <w:shd w:val="clear" w:color="auto" w:fill="FFFFFF"/>
        </w:rPr>
        <w:t xml:space="preserve">CARVALHO, </w:t>
      </w:r>
      <w:proofErr w:type="spellStart"/>
      <w:r w:rsidRPr="00D945ED">
        <w:rPr>
          <w:color w:val="222222"/>
          <w:sz w:val="26"/>
          <w:szCs w:val="26"/>
          <w:shd w:val="clear" w:color="auto" w:fill="FFFFFF"/>
        </w:rPr>
        <w:t>Deusvaldo</w:t>
      </w:r>
      <w:proofErr w:type="spellEnd"/>
      <w:r w:rsidRPr="00D945ED">
        <w:rPr>
          <w:color w:val="222222"/>
          <w:sz w:val="26"/>
          <w:szCs w:val="26"/>
          <w:shd w:val="clear" w:color="auto" w:fill="FFFFFF"/>
        </w:rPr>
        <w:t>.</w:t>
      </w:r>
      <w:r w:rsidRPr="00D945ED">
        <w:rPr>
          <w:rStyle w:val="apple-converted-space"/>
          <w:color w:val="222222"/>
          <w:sz w:val="26"/>
          <w:szCs w:val="26"/>
          <w:shd w:val="clear" w:color="auto" w:fill="FFFFFF"/>
        </w:rPr>
        <w:t> </w:t>
      </w:r>
      <w:r w:rsidRPr="00D945ED">
        <w:rPr>
          <w:rStyle w:val="Forte"/>
          <w:color w:val="222222"/>
          <w:sz w:val="26"/>
          <w:szCs w:val="26"/>
          <w:shd w:val="clear" w:color="auto" w:fill="FFFFFF"/>
        </w:rPr>
        <w:t>Orçamento e Contabilidade Pública:</w:t>
      </w:r>
      <w:r w:rsidRPr="00D945ED">
        <w:rPr>
          <w:rStyle w:val="apple-converted-space"/>
          <w:b/>
          <w:bCs/>
          <w:color w:val="222222"/>
          <w:sz w:val="26"/>
          <w:szCs w:val="26"/>
          <w:shd w:val="clear" w:color="auto" w:fill="FFFFFF"/>
        </w:rPr>
        <w:t> </w:t>
      </w:r>
      <w:r w:rsidRPr="00D945ED">
        <w:rPr>
          <w:color w:val="222222"/>
          <w:sz w:val="26"/>
          <w:szCs w:val="26"/>
          <w:shd w:val="clear" w:color="auto" w:fill="FFFFFF"/>
        </w:rPr>
        <w:t xml:space="preserve">Teoria, Prática e mais </w:t>
      </w:r>
      <w:r w:rsidRPr="00D945ED">
        <w:rPr>
          <w:color w:val="222222"/>
          <w:sz w:val="26"/>
          <w:szCs w:val="26"/>
          <w:shd w:val="clear" w:color="auto" w:fill="FFFFFF"/>
        </w:rPr>
        <w:lastRenderedPageBreak/>
        <w:t xml:space="preserve">de 800 Exercícios. 5. ed. São Paulo: </w:t>
      </w:r>
      <w:proofErr w:type="spellStart"/>
      <w:r w:rsidRPr="00D945ED">
        <w:rPr>
          <w:color w:val="222222"/>
          <w:sz w:val="26"/>
          <w:szCs w:val="26"/>
          <w:shd w:val="clear" w:color="auto" w:fill="FFFFFF"/>
        </w:rPr>
        <w:t>Elsevier</w:t>
      </w:r>
      <w:proofErr w:type="spellEnd"/>
      <w:r w:rsidRPr="00D945ED">
        <w:rPr>
          <w:color w:val="222222"/>
          <w:sz w:val="26"/>
          <w:szCs w:val="26"/>
          <w:shd w:val="clear" w:color="auto" w:fill="FFFFFF"/>
        </w:rPr>
        <w:t>, 2010. 768 p.</w:t>
      </w:r>
    </w:p>
    <w:p w:rsidR="00835D49" w:rsidRPr="00D945ED" w:rsidRDefault="00835D49" w:rsidP="007772F0">
      <w:pPr>
        <w:shd w:val="clear" w:color="auto" w:fill="FFFFFF"/>
        <w:ind w:firstLine="0"/>
        <w:jc w:val="left"/>
        <w:rPr>
          <w:color w:val="000000"/>
          <w:sz w:val="26"/>
          <w:szCs w:val="26"/>
          <w:lang w:val="en-US"/>
        </w:rPr>
      </w:pPr>
      <w:r w:rsidRPr="00D945ED">
        <w:rPr>
          <w:color w:val="000000"/>
          <w:sz w:val="26"/>
          <w:szCs w:val="26"/>
        </w:rPr>
        <w:t xml:space="preserve">CERVO; A. L, BERVIAN P. A. </w:t>
      </w:r>
      <w:r w:rsidRPr="00D945ED">
        <w:rPr>
          <w:b/>
          <w:bCs/>
          <w:color w:val="000000"/>
          <w:sz w:val="26"/>
          <w:szCs w:val="26"/>
        </w:rPr>
        <w:t>Metodologia Científica</w:t>
      </w:r>
      <w:r w:rsidRPr="00D945ED">
        <w:rPr>
          <w:color w:val="000000"/>
          <w:sz w:val="26"/>
          <w:szCs w:val="26"/>
        </w:rPr>
        <w:t xml:space="preserve">. </w:t>
      </w:r>
      <w:proofErr w:type="gramStart"/>
      <w:r w:rsidRPr="00D945ED">
        <w:rPr>
          <w:color w:val="000000"/>
          <w:sz w:val="26"/>
          <w:szCs w:val="26"/>
          <w:lang w:val="en-US"/>
        </w:rPr>
        <w:t>5</w:t>
      </w:r>
      <w:proofErr w:type="gramEnd"/>
      <w:r w:rsidRPr="00D945ED">
        <w:rPr>
          <w:color w:val="000000"/>
          <w:sz w:val="26"/>
          <w:szCs w:val="26"/>
          <w:lang w:val="en-US"/>
        </w:rPr>
        <w:t xml:space="preserve"> ed. São Paulo: </w:t>
      </w:r>
      <w:proofErr w:type="spellStart"/>
      <w:r w:rsidRPr="00D945ED">
        <w:rPr>
          <w:color w:val="000000"/>
          <w:sz w:val="26"/>
          <w:szCs w:val="26"/>
          <w:lang w:val="en-US"/>
        </w:rPr>
        <w:t>Makron</w:t>
      </w:r>
      <w:proofErr w:type="spellEnd"/>
      <w:r w:rsidRPr="00D945ED">
        <w:rPr>
          <w:color w:val="000000"/>
          <w:sz w:val="26"/>
          <w:szCs w:val="26"/>
          <w:lang w:val="en-US"/>
        </w:rPr>
        <w:t xml:space="preserve"> Books, 2002.</w:t>
      </w:r>
    </w:p>
    <w:p w:rsidR="00835D49" w:rsidRPr="00D945ED" w:rsidRDefault="00835D49" w:rsidP="007772F0">
      <w:pPr>
        <w:ind w:firstLine="0"/>
        <w:jc w:val="left"/>
        <w:rPr>
          <w:sz w:val="26"/>
          <w:szCs w:val="26"/>
        </w:rPr>
      </w:pPr>
      <w:r w:rsidRPr="00D945ED">
        <w:rPr>
          <w:sz w:val="26"/>
          <w:szCs w:val="26"/>
        </w:rPr>
        <w:t xml:space="preserve">COSTA, J. I. F.; TRAVASSOS, S. K. M.; LIBONATI, J. J.; RIBEIRO FILHO, J. F.; SOARES, V. S. </w:t>
      </w:r>
      <w:r w:rsidRPr="00D945ED">
        <w:rPr>
          <w:b/>
          <w:sz w:val="26"/>
          <w:szCs w:val="26"/>
        </w:rPr>
        <w:t>Regime de competência aplicado ao setor público: análise no reconhecimento dos restos a pagar não processados e despesas de exercícios anteriores dos municípios brasileiros</w:t>
      </w:r>
      <w:r w:rsidRPr="00D945ED">
        <w:rPr>
          <w:sz w:val="26"/>
          <w:szCs w:val="26"/>
        </w:rPr>
        <w:t>. BASE - Revista de Administração e Contabilidade da UNISINOS, v. 10, n. 3, p. 2</w:t>
      </w:r>
      <w:r w:rsidR="00D72E12" w:rsidRPr="00D945ED">
        <w:rPr>
          <w:sz w:val="26"/>
          <w:szCs w:val="26"/>
        </w:rPr>
        <w:t>40-253, 2013. Acesso em: 06 abr</w:t>
      </w:r>
      <w:r w:rsidRPr="00D945ED">
        <w:rPr>
          <w:sz w:val="26"/>
          <w:szCs w:val="26"/>
        </w:rPr>
        <w:t>. 2016</w:t>
      </w:r>
    </w:p>
    <w:p w:rsidR="00835D49" w:rsidRPr="00D945ED" w:rsidRDefault="00835D49" w:rsidP="007772F0">
      <w:pPr>
        <w:autoSpaceDE w:val="0"/>
        <w:autoSpaceDN w:val="0"/>
        <w:adjustRightInd w:val="0"/>
        <w:ind w:firstLine="0"/>
        <w:jc w:val="left"/>
        <w:rPr>
          <w:sz w:val="26"/>
          <w:szCs w:val="26"/>
        </w:rPr>
      </w:pPr>
      <w:r w:rsidRPr="00D945ED">
        <w:rPr>
          <w:sz w:val="26"/>
          <w:szCs w:val="26"/>
        </w:rPr>
        <w:t xml:space="preserve">CRUZ, Flávio da [Coord.]. </w:t>
      </w:r>
      <w:r w:rsidRPr="00D945ED">
        <w:rPr>
          <w:b/>
          <w:sz w:val="26"/>
          <w:szCs w:val="26"/>
        </w:rPr>
        <w:t>Comentários à Lei Nº 4.320</w:t>
      </w:r>
      <w:r w:rsidRPr="00D945ED">
        <w:rPr>
          <w:sz w:val="26"/>
          <w:szCs w:val="26"/>
        </w:rPr>
        <w:t xml:space="preserve"> – Normas Gerais de Direito Financeiro; Orçamentos e Balanços da União, dos Estados, dos Municípios e do Distrito Federal; Comentários ao Substitutivo do Projeto de Lei nº 135/96. 5. ed. São Paulo: Atlas, 2008.</w:t>
      </w:r>
    </w:p>
    <w:p w:rsidR="00835D49" w:rsidRPr="00D945ED" w:rsidRDefault="00835D49" w:rsidP="007772F0">
      <w:pPr>
        <w:autoSpaceDE w:val="0"/>
        <w:autoSpaceDN w:val="0"/>
        <w:adjustRightInd w:val="0"/>
        <w:ind w:firstLine="0"/>
        <w:jc w:val="left"/>
        <w:rPr>
          <w:sz w:val="26"/>
          <w:szCs w:val="26"/>
        </w:rPr>
      </w:pPr>
      <w:r w:rsidRPr="00D945ED">
        <w:rPr>
          <w:color w:val="222222"/>
          <w:sz w:val="26"/>
          <w:szCs w:val="26"/>
          <w:shd w:val="clear" w:color="auto" w:fill="FFFFFF"/>
        </w:rPr>
        <w:t xml:space="preserve">GALDINO, Jonathan Alves; MOURA, Joel Brito; CUNHA, </w:t>
      </w:r>
      <w:proofErr w:type="spellStart"/>
      <w:r w:rsidRPr="00D945ED">
        <w:rPr>
          <w:color w:val="222222"/>
          <w:sz w:val="26"/>
          <w:szCs w:val="26"/>
          <w:shd w:val="clear" w:color="auto" w:fill="FFFFFF"/>
        </w:rPr>
        <w:t>Edileuza</w:t>
      </w:r>
      <w:proofErr w:type="spellEnd"/>
      <w:r w:rsidRPr="00D945ED">
        <w:rPr>
          <w:color w:val="222222"/>
          <w:sz w:val="26"/>
          <w:szCs w:val="26"/>
          <w:shd w:val="clear" w:color="auto" w:fill="FFFFFF"/>
        </w:rPr>
        <w:t xml:space="preserve"> Lobato da. Efeitos do enfoque patrimonial na dívida pública flutuante: um estudo de caso em uma fundação pública do norte do Brasil.</w:t>
      </w:r>
      <w:r w:rsidRPr="00D945ED">
        <w:rPr>
          <w:rStyle w:val="apple-converted-space"/>
          <w:color w:val="222222"/>
          <w:sz w:val="26"/>
          <w:szCs w:val="26"/>
          <w:shd w:val="clear" w:color="auto" w:fill="FFFFFF"/>
        </w:rPr>
        <w:t> </w:t>
      </w:r>
      <w:r w:rsidRPr="00D945ED">
        <w:rPr>
          <w:rStyle w:val="Forte"/>
          <w:color w:val="222222"/>
          <w:sz w:val="26"/>
          <w:szCs w:val="26"/>
          <w:shd w:val="clear" w:color="auto" w:fill="FFFFFF"/>
        </w:rPr>
        <w:t>Revista Contemporânea de Contabilidade,</w:t>
      </w:r>
      <w:r w:rsidRPr="00D945ED">
        <w:rPr>
          <w:rStyle w:val="apple-converted-space"/>
          <w:b/>
          <w:bCs/>
          <w:color w:val="222222"/>
          <w:sz w:val="26"/>
          <w:szCs w:val="26"/>
          <w:shd w:val="clear" w:color="auto" w:fill="FFFFFF"/>
        </w:rPr>
        <w:t> </w:t>
      </w:r>
      <w:r w:rsidRPr="00D945ED">
        <w:rPr>
          <w:color w:val="222222"/>
          <w:sz w:val="26"/>
          <w:szCs w:val="26"/>
          <w:shd w:val="clear" w:color="auto" w:fill="FFFFFF"/>
        </w:rPr>
        <w:t>[</w:t>
      </w:r>
      <w:proofErr w:type="spellStart"/>
      <w:r w:rsidRPr="00D945ED">
        <w:rPr>
          <w:color w:val="222222"/>
          <w:sz w:val="26"/>
          <w:szCs w:val="26"/>
          <w:shd w:val="clear" w:color="auto" w:fill="FFFFFF"/>
        </w:rPr>
        <w:t>s.l</w:t>
      </w:r>
      <w:proofErr w:type="spellEnd"/>
      <w:r w:rsidRPr="00D945ED">
        <w:rPr>
          <w:color w:val="222222"/>
          <w:sz w:val="26"/>
          <w:szCs w:val="26"/>
          <w:shd w:val="clear" w:color="auto" w:fill="FFFFFF"/>
        </w:rPr>
        <w:t>.], v. 11, n. 23, p.31-51, 26 ago. 2014. Universidade Federal de Santa Catarina (UFSC).</w:t>
      </w:r>
      <w:r w:rsidRPr="00D945ED">
        <w:rPr>
          <w:rStyle w:val="apple-converted-space"/>
          <w:color w:val="222222"/>
          <w:sz w:val="26"/>
          <w:szCs w:val="26"/>
          <w:shd w:val="clear" w:color="auto" w:fill="FFFFFF"/>
        </w:rPr>
        <w:t> </w:t>
      </w:r>
    </w:p>
    <w:p w:rsidR="00835D49" w:rsidRDefault="00835D49" w:rsidP="007772F0">
      <w:pPr>
        <w:ind w:firstLine="0"/>
        <w:jc w:val="left"/>
        <w:rPr>
          <w:sz w:val="26"/>
          <w:szCs w:val="26"/>
        </w:rPr>
      </w:pPr>
      <w:r w:rsidRPr="00D945ED">
        <w:rPr>
          <w:sz w:val="26"/>
          <w:szCs w:val="26"/>
        </w:rPr>
        <w:t xml:space="preserve">GIL, </w:t>
      </w:r>
      <w:proofErr w:type="spellStart"/>
      <w:r w:rsidRPr="00D945ED">
        <w:rPr>
          <w:sz w:val="26"/>
          <w:szCs w:val="26"/>
        </w:rPr>
        <w:t>Antonio</w:t>
      </w:r>
      <w:proofErr w:type="spellEnd"/>
      <w:r w:rsidRPr="00D945ED">
        <w:rPr>
          <w:sz w:val="26"/>
          <w:szCs w:val="26"/>
        </w:rPr>
        <w:t xml:space="preserve"> Carlos. </w:t>
      </w:r>
      <w:r w:rsidRPr="00D945ED">
        <w:rPr>
          <w:b/>
          <w:sz w:val="26"/>
          <w:szCs w:val="26"/>
        </w:rPr>
        <w:t>Como elaborar projetos de pesquisa</w:t>
      </w:r>
      <w:r w:rsidRPr="00D945ED">
        <w:rPr>
          <w:sz w:val="26"/>
          <w:szCs w:val="26"/>
        </w:rPr>
        <w:t>. 4. ed. São Paulo: Atlas, 2007.</w:t>
      </w:r>
    </w:p>
    <w:p w:rsidR="00E810D3" w:rsidRPr="00D945ED" w:rsidRDefault="00E810D3" w:rsidP="00E810D3">
      <w:pPr>
        <w:autoSpaceDE w:val="0"/>
        <w:autoSpaceDN w:val="0"/>
        <w:adjustRightInd w:val="0"/>
        <w:ind w:firstLine="0"/>
        <w:jc w:val="left"/>
        <w:rPr>
          <w:sz w:val="26"/>
          <w:szCs w:val="26"/>
        </w:rPr>
      </w:pPr>
      <w:r w:rsidRPr="00D945ED">
        <w:rPr>
          <w:sz w:val="26"/>
          <w:szCs w:val="26"/>
        </w:rPr>
        <w:t xml:space="preserve">GIACOMONI, J. </w:t>
      </w:r>
      <w:r w:rsidRPr="00D945ED">
        <w:rPr>
          <w:b/>
          <w:bCs/>
          <w:sz w:val="26"/>
          <w:szCs w:val="26"/>
        </w:rPr>
        <w:t>Orçamento público</w:t>
      </w:r>
      <w:r w:rsidRPr="00D945ED">
        <w:rPr>
          <w:sz w:val="26"/>
          <w:szCs w:val="26"/>
        </w:rPr>
        <w:t>. 14. Ed. São Paulo: Atlas, 2010.</w:t>
      </w:r>
    </w:p>
    <w:p w:rsidR="00835D49" w:rsidRPr="00D945ED" w:rsidRDefault="00835D49" w:rsidP="007772F0">
      <w:pPr>
        <w:autoSpaceDE w:val="0"/>
        <w:autoSpaceDN w:val="0"/>
        <w:adjustRightInd w:val="0"/>
        <w:ind w:firstLine="0"/>
        <w:jc w:val="left"/>
        <w:rPr>
          <w:sz w:val="26"/>
          <w:szCs w:val="26"/>
        </w:rPr>
      </w:pPr>
      <w:r w:rsidRPr="00D945ED">
        <w:rPr>
          <w:sz w:val="26"/>
          <w:szCs w:val="26"/>
        </w:rPr>
        <w:t xml:space="preserve">FURTADO, Milton Dias. </w:t>
      </w:r>
      <w:r w:rsidRPr="00D945ED">
        <w:rPr>
          <w:b/>
          <w:sz w:val="26"/>
          <w:szCs w:val="26"/>
        </w:rPr>
        <w:t>Os Impactos dos Restos a Pagar na Administração Orçamentária da Justiça Eleitoral</w:t>
      </w:r>
      <w:r w:rsidRPr="00D945ED">
        <w:rPr>
          <w:sz w:val="26"/>
          <w:szCs w:val="26"/>
        </w:rPr>
        <w:t xml:space="preserve">. </w:t>
      </w:r>
      <w:proofErr w:type="gramStart"/>
      <w:r w:rsidRPr="00D945ED">
        <w:rPr>
          <w:sz w:val="26"/>
          <w:szCs w:val="26"/>
        </w:rPr>
        <w:t>63 f. Trabalho</w:t>
      </w:r>
      <w:proofErr w:type="gramEnd"/>
      <w:r w:rsidRPr="00D945ED">
        <w:rPr>
          <w:sz w:val="26"/>
          <w:szCs w:val="26"/>
        </w:rPr>
        <w:t xml:space="preserve"> de Conclusão de Curso (TCC) – Escola de Administração Fazendária – ESAF. Brasília, 2010. Disponível em: &lt;http://www.esaf.fazenda.gov.br/assuntos/biblioteca/arquivos_monografias/arquivo.2013-04-17.2043582724&gt; Acesso em: 25 mar. 2016.</w:t>
      </w:r>
    </w:p>
    <w:p w:rsidR="00835D49" w:rsidRPr="00D945ED" w:rsidRDefault="00835D49" w:rsidP="007772F0">
      <w:pPr>
        <w:ind w:firstLine="0"/>
        <w:jc w:val="left"/>
        <w:rPr>
          <w:sz w:val="26"/>
          <w:szCs w:val="26"/>
        </w:rPr>
      </w:pPr>
      <w:r w:rsidRPr="00D945ED">
        <w:rPr>
          <w:sz w:val="26"/>
          <w:szCs w:val="26"/>
        </w:rPr>
        <w:t xml:space="preserve">KOHAMA, </w:t>
      </w:r>
      <w:proofErr w:type="spellStart"/>
      <w:r w:rsidRPr="00D945ED">
        <w:rPr>
          <w:sz w:val="26"/>
          <w:szCs w:val="26"/>
        </w:rPr>
        <w:t>Heilio</w:t>
      </w:r>
      <w:proofErr w:type="spellEnd"/>
      <w:r w:rsidRPr="00D945ED">
        <w:rPr>
          <w:sz w:val="26"/>
          <w:szCs w:val="26"/>
        </w:rPr>
        <w:t xml:space="preserve">. </w:t>
      </w:r>
      <w:r w:rsidRPr="00D945ED">
        <w:rPr>
          <w:b/>
          <w:sz w:val="26"/>
          <w:szCs w:val="26"/>
        </w:rPr>
        <w:t>Contabilidade Pública: teoria e prática</w:t>
      </w:r>
      <w:r w:rsidRPr="00D945ED">
        <w:rPr>
          <w:sz w:val="26"/>
          <w:szCs w:val="26"/>
        </w:rPr>
        <w:t>. 14. ed. São Paulo: Atlas, 2014.</w:t>
      </w:r>
    </w:p>
    <w:p w:rsidR="00835D49" w:rsidRPr="00D945ED" w:rsidRDefault="00835D49" w:rsidP="007772F0">
      <w:pPr>
        <w:ind w:firstLine="0"/>
        <w:jc w:val="left"/>
        <w:rPr>
          <w:sz w:val="26"/>
          <w:szCs w:val="26"/>
        </w:rPr>
      </w:pPr>
      <w:r w:rsidRPr="00D945ED">
        <w:rPr>
          <w:sz w:val="26"/>
          <w:szCs w:val="26"/>
        </w:rPr>
        <w:t xml:space="preserve">NERES, </w:t>
      </w:r>
      <w:proofErr w:type="spellStart"/>
      <w:r w:rsidRPr="00D945ED">
        <w:rPr>
          <w:sz w:val="26"/>
          <w:szCs w:val="26"/>
        </w:rPr>
        <w:t>Denize</w:t>
      </w:r>
      <w:proofErr w:type="spellEnd"/>
      <w:r w:rsidRPr="00D945ED">
        <w:rPr>
          <w:sz w:val="26"/>
          <w:szCs w:val="26"/>
        </w:rPr>
        <w:t xml:space="preserve"> Velho. </w:t>
      </w:r>
      <w:r w:rsidRPr="00D945ED">
        <w:rPr>
          <w:b/>
          <w:sz w:val="26"/>
          <w:szCs w:val="26"/>
        </w:rPr>
        <w:t>Restos a Pagar: análise dos procedimentos adotados na Prefeitura Municipal de Biguaçu</w:t>
      </w:r>
      <w:r w:rsidRPr="00D945ED">
        <w:rPr>
          <w:sz w:val="26"/>
          <w:szCs w:val="26"/>
        </w:rPr>
        <w:t>. 2010. 56 f.. Monografia (Ciências Contábeis) - Departamento de Ciências Contábeis. Universidade Federal de Santa Catarina, 2010. Disponível em &lt; http://tcc.bu.ufsc.br/Contabeis294060&gt; Acesso em: 23 mar. 2016.</w:t>
      </w:r>
    </w:p>
    <w:p w:rsidR="00835D49" w:rsidRPr="00D945ED" w:rsidRDefault="00835D49" w:rsidP="007772F0">
      <w:pPr>
        <w:autoSpaceDE w:val="0"/>
        <w:autoSpaceDN w:val="0"/>
        <w:adjustRightInd w:val="0"/>
        <w:ind w:firstLine="0"/>
        <w:jc w:val="left"/>
        <w:rPr>
          <w:sz w:val="26"/>
          <w:szCs w:val="26"/>
        </w:rPr>
      </w:pPr>
      <w:r w:rsidRPr="00D945ED">
        <w:rPr>
          <w:sz w:val="26"/>
          <w:szCs w:val="26"/>
        </w:rPr>
        <w:t xml:space="preserve">PISCITELLI, Roberto </w:t>
      </w:r>
      <w:proofErr w:type="spellStart"/>
      <w:r w:rsidRPr="00D945ED">
        <w:rPr>
          <w:sz w:val="26"/>
          <w:szCs w:val="26"/>
        </w:rPr>
        <w:t>Bocaccio</w:t>
      </w:r>
      <w:proofErr w:type="spellEnd"/>
      <w:r w:rsidRPr="00D945ED">
        <w:rPr>
          <w:sz w:val="26"/>
          <w:szCs w:val="26"/>
        </w:rPr>
        <w:t xml:space="preserve">; TIMBÓ, Maria </w:t>
      </w:r>
      <w:proofErr w:type="spellStart"/>
      <w:r w:rsidRPr="00D945ED">
        <w:rPr>
          <w:sz w:val="26"/>
          <w:szCs w:val="26"/>
        </w:rPr>
        <w:t>Zulene</w:t>
      </w:r>
      <w:proofErr w:type="spellEnd"/>
      <w:r w:rsidRPr="00D945ED">
        <w:rPr>
          <w:sz w:val="26"/>
          <w:szCs w:val="26"/>
        </w:rPr>
        <w:t xml:space="preserve"> Farias</w:t>
      </w:r>
      <w:r w:rsidRPr="00D945ED">
        <w:rPr>
          <w:b/>
          <w:sz w:val="26"/>
          <w:szCs w:val="26"/>
        </w:rPr>
        <w:t xml:space="preserve">. Contabilidade </w:t>
      </w:r>
      <w:proofErr w:type="spellStart"/>
      <w:r w:rsidRPr="00D945ED">
        <w:rPr>
          <w:b/>
          <w:sz w:val="26"/>
          <w:szCs w:val="26"/>
        </w:rPr>
        <w:t>publica</w:t>
      </w:r>
      <w:proofErr w:type="spellEnd"/>
      <w:r w:rsidRPr="00D945ED">
        <w:rPr>
          <w:b/>
          <w:sz w:val="26"/>
          <w:szCs w:val="26"/>
        </w:rPr>
        <w:t xml:space="preserve">: uma abordagem da administração financeira </w:t>
      </w:r>
      <w:proofErr w:type="spellStart"/>
      <w:r w:rsidRPr="00D945ED">
        <w:rPr>
          <w:b/>
          <w:sz w:val="26"/>
          <w:szCs w:val="26"/>
        </w:rPr>
        <w:t>publica</w:t>
      </w:r>
      <w:proofErr w:type="spellEnd"/>
      <w:r w:rsidRPr="00D945ED">
        <w:rPr>
          <w:sz w:val="26"/>
          <w:szCs w:val="26"/>
        </w:rPr>
        <w:t xml:space="preserve">. 11. ed. rev. </w:t>
      </w:r>
      <w:proofErr w:type="spellStart"/>
      <w:r w:rsidRPr="00D945ED">
        <w:rPr>
          <w:sz w:val="26"/>
          <w:szCs w:val="26"/>
        </w:rPr>
        <w:t>ampl</w:t>
      </w:r>
      <w:proofErr w:type="spellEnd"/>
      <w:r w:rsidRPr="00D945ED">
        <w:rPr>
          <w:sz w:val="26"/>
          <w:szCs w:val="26"/>
        </w:rPr>
        <w:t xml:space="preserve">. </w:t>
      </w:r>
      <w:proofErr w:type="gramStart"/>
      <w:r w:rsidRPr="00D945ED">
        <w:rPr>
          <w:sz w:val="26"/>
          <w:szCs w:val="26"/>
        </w:rPr>
        <w:t>e</w:t>
      </w:r>
      <w:proofErr w:type="gramEnd"/>
      <w:r w:rsidRPr="00D945ED">
        <w:rPr>
          <w:sz w:val="26"/>
          <w:szCs w:val="26"/>
        </w:rPr>
        <w:t xml:space="preserve"> atual. São Paulo: Atlas, 2019.</w:t>
      </w:r>
    </w:p>
    <w:p w:rsidR="00835D49" w:rsidRPr="00D945ED" w:rsidRDefault="00835D49" w:rsidP="007772F0">
      <w:pPr>
        <w:autoSpaceDE w:val="0"/>
        <w:autoSpaceDN w:val="0"/>
        <w:adjustRightInd w:val="0"/>
        <w:ind w:firstLine="0"/>
        <w:jc w:val="left"/>
        <w:rPr>
          <w:sz w:val="26"/>
          <w:szCs w:val="26"/>
        </w:rPr>
      </w:pPr>
      <w:r w:rsidRPr="00D945ED">
        <w:rPr>
          <w:sz w:val="26"/>
          <w:szCs w:val="26"/>
        </w:rPr>
        <w:t xml:space="preserve">PLATT NETO, Orion Augusto. </w:t>
      </w:r>
      <w:r w:rsidRPr="00D945ED">
        <w:rPr>
          <w:b/>
          <w:bCs/>
          <w:sz w:val="26"/>
          <w:szCs w:val="26"/>
        </w:rPr>
        <w:t>Introdução à CASP</w:t>
      </w:r>
      <w:r w:rsidRPr="00D945ED">
        <w:rPr>
          <w:sz w:val="26"/>
          <w:szCs w:val="26"/>
        </w:rPr>
        <w:t>. Material didático da Disciplina Contabilidade Pública I. Curso de Graduação em Ciências Contábeis da Universidade Federal de Santa Catarina (UFSC). 11. ed. Florianópolis: Edição do Autor, 2015.</w:t>
      </w:r>
    </w:p>
    <w:p w:rsidR="00835D49" w:rsidRPr="00D945ED" w:rsidRDefault="00835D49" w:rsidP="007772F0">
      <w:pPr>
        <w:autoSpaceDE w:val="0"/>
        <w:autoSpaceDN w:val="0"/>
        <w:adjustRightInd w:val="0"/>
        <w:ind w:firstLine="0"/>
        <w:jc w:val="left"/>
        <w:rPr>
          <w:sz w:val="26"/>
          <w:szCs w:val="26"/>
        </w:rPr>
      </w:pPr>
      <w:r w:rsidRPr="00D945ED">
        <w:rPr>
          <w:sz w:val="26"/>
          <w:szCs w:val="26"/>
        </w:rPr>
        <w:lastRenderedPageBreak/>
        <w:t xml:space="preserve">PLATT NETO, Orion Augusto. </w:t>
      </w:r>
      <w:r w:rsidRPr="00D945ED">
        <w:rPr>
          <w:b/>
          <w:bCs/>
          <w:sz w:val="26"/>
          <w:szCs w:val="26"/>
        </w:rPr>
        <w:t xml:space="preserve">Contabilidade Pública: </w:t>
      </w:r>
      <w:r w:rsidRPr="00D945ED">
        <w:rPr>
          <w:b/>
          <w:sz w:val="26"/>
          <w:szCs w:val="26"/>
        </w:rPr>
        <w:t>atualizada e focada</w:t>
      </w:r>
      <w:r w:rsidRPr="00D945ED">
        <w:rPr>
          <w:sz w:val="26"/>
          <w:szCs w:val="26"/>
        </w:rPr>
        <w:t>. Livro didático da Disciplina Contabilidade Pública II do Curso de Graduação em Ciências Contábeis da Universidade Federal de Santa Catarina (UFSC). 13. ed. (rev. e atual. - semestre 2015/1). Florianópolis: Edição do autor, 2015.</w:t>
      </w:r>
    </w:p>
    <w:p w:rsidR="00835D49" w:rsidRPr="00D945ED" w:rsidRDefault="00835D49" w:rsidP="007772F0">
      <w:pPr>
        <w:autoSpaceDE w:val="0"/>
        <w:autoSpaceDN w:val="0"/>
        <w:adjustRightInd w:val="0"/>
        <w:ind w:firstLine="0"/>
        <w:jc w:val="left"/>
        <w:rPr>
          <w:sz w:val="26"/>
          <w:szCs w:val="26"/>
        </w:rPr>
      </w:pPr>
      <w:r w:rsidRPr="00D945ED">
        <w:rPr>
          <w:bCs/>
          <w:sz w:val="26"/>
          <w:szCs w:val="26"/>
        </w:rPr>
        <w:t>SECRETARIA DO TESOURO NACIONAL</w:t>
      </w:r>
      <w:r w:rsidRPr="00D945ED">
        <w:rPr>
          <w:b/>
          <w:bCs/>
          <w:sz w:val="26"/>
          <w:szCs w:val="26"/>
        </w:rPr>
        <w:t>. Manual de Contabilidade Aplicada ao Setor Público (MCASP)</w:t>
      </w:r>
      <w:r w:rsidRPr="00D945ED">
        <w:rPr>
          <w:sz w:val="26"/>
          <w:szCs w:val="26"/>
        </w:rPr>
        <w:t>. Aprovado pela Portaria STN n.º 700/2014 e pela Portaria STN/SOF n.º 1/2014. 6. ed. Brasília, DF, 2014. Disponível em:&lt;http://www.tesouro.fazenda.gov.br/documents/10180/456785/CPU_MCASP+6%C2%AA%20edi%C3%A7%C3%A3o_Republ2/fa1ee713-2fd3-4f51-8182-a542ce123773 &gt;. Acesso em: 23 mar. 2016.</w:t>
      </w:r>
    </w:p>
    <w:p w:rsidR="00835D49" w:rsidRPr="00D945ED" w:rsidRDefault="00835D49" w:rsidP="007772F0">
      <w:pPr>
        <w:autoSpaceDE w:val="0"/>
        <w:autoSpaceDN w:val="0"/>
        <w:adjustRightInd w:val="0"/>
        <w:ind w:firstLine="0"/>
        <w:jc w:val="left"/>
        <w:rPr>
          <w:sz w:val="26"/>
          <w:szCs w:val="26"/>
        </w:rPr>
      </w:pPr>
      <w:r w:rsidRPr="00D945ED">
        <w:rPr>
          <w:bCs/>
          <w:sz w:val="26"/>
          <w:szCs w:val="26"/>
        </w:rPr>
        <w:t>SECRETARIA DO TESOURO NACIONAL</w:t>
      </w:r>
      <w:r w:rsidRPr="00D945ED">
        <w:rPr>
          <w:b/>
          <w:bCs/>
          <w:sz w:val="26"/>
          <w:szCs w:val="26"/>
        </w:rPr>
        <w:t>. Portaria Interministerial n.º 688</w:t>
      </w:r>
      <w:r w:rsidRPr="00D945ED">
        <w:rPr>
          <w:sz w:val="26"/>
          <w:szCs w:val="26"/>
        </w:rPr>
        <w:t>, de 14 de outubro de 2005. Altera o Anexo II da Portaria Interministerial STN/SOF n.º 163, de 4 de maio de 2001, e dá outras providências, Disponível em:                                                                                                                             &lt; http://www3.tesouro.gov.br/legislacao/download/contabilidade/Port_Int688_05.pdf &gt;. Acesso em: 23 mar. 2016.</w:t>
      </w:r>
    </w:p>
    <w:p w:rsidR="00835D49" w:rsidRPr="00D945ED" w:rsidRDefault="00835D49" w:rsidP="007772F0">
      <w:pPr>
        <w:autoSpaceDE w:val="0"/>
        <w:autoSpaceDN w:val="0"/>
        <w:adjustRightInd w:val="0"/>
        <w:ind w:firstLine="0"/>
        <w:jc w:val="left"/>
        <w:rPr>
          <w:sz w:val="26"/>
          <w:szCs w:val="26"/>
        </w:rPr>
      </w:pPr>
      <w:r w:rsidRPr="00D945ED">
        <w:rPr>
          <w:sz w:val="26"/>
          <w:szCs w:val="26"/>
        </w:rPr>
        <w:t xml:space="preserve">SENADO FEDERAL. </w:t>
      </w:r>
      <w:r w:rsidRPr="00D945ED">
        <w:rPr>
          <w:b/>
          <w:bCs/>
          <w:sz w:val="26"/>
          <w:szCs w:val="26"/>
        </w:rPr>
        <w:t>Resolução do Senado Federal n.º 40</w:t>
      </w:r>
      <w:r w:rsidRPr="00D945ED">
        <w:rPr>
          <w:sz w:val="26"/>
          <w:szCs w:val="26"/>
        </w:rPr>
        <w:t>, de 20 de dezembro de 2001. Dispõe sobre os limites globais para o montante da dívida pública consolidada e da dívida pública mobiliária dos Estados, do Distrito Federal e dos Municípios, em atendimento ao disposto no art. 52, VI e IX, da Constituição Federal. Atualizada com a Resolução n.º 5/2002. Disponível em: &lt;http://legis.senado.gov.br/legislacao/ListaTextoIntegral.action?id=221525&gt;. Acesso em: 25 mar. 2016.</w:t>
      </w:r>
    </w:p>
    <w:p w:rsidR="00835D49" w:rsidRPr="00D945ED" w:rsidRDefault="00835D49" w:rsidP="007772F0">
      <w:pPr>
        <w:autoSpaceDE w:val="0"/>
        <w:autoSpaceDN w:val="0"/>
        <w:adjustRightInd w:val="0"/>
        <w:ind w:firstLine="0"/>
        <w:jc w:val="left"/>
        <w:rPr>
          <w:sz w:val="26"/>
          <w:szCs w:val="26"/>
        </w:rPr>
      </w:pPr>
      <w:r w:rsidRPr="00D945ED">
        <w:rPr>
          <w:sz w:val="26"/>
          <w:szCs w:val="26"/>
        </w:rPr>
        <w:t xml:space="preserve">_______. </w:t>
      </w:r>
      <w:r w:rsidRPr="00D945ED">
        <w:rPr>
          <w:b/>
          <w:bCs/>
          <w:sz w:val="26"/>
          <w:szCs w:val="26"/>
        </w:rPr>
        <w:t>Resolução do Senado Federal n.º 43</w:t>
      </w:r>
      <w:r w:rsidRPr="00D945ED">
        <w:rPr>
          <w:sz w:val="26"/>
          <w:szCs w:val="26"/>
        </w:rPr>
        <w:t>, de 21 de dezembro de 2001. Dispõe sobre as operações de crédito interno e externo dos Estados, do Distrito Federal e dos Municípios, inclusive concessão de garantias, seus limites e condições de autorização, e dá outras providências. Atualizada com a Resolução n.º 5/2002.  Disponível em: &lt;http://legis.senado.gov.br/legislacao/ListaTextoIntegral.action?id=221548&gt;. Acesso em: 25 mar. 2016.</w:t>
      </w:r>
    </w:p>
    <w:p w:rsidR="00835D49" w:rsidRPr="00D945ED" w:rsidRDefault="00835D49" w:rsidP="007772F0">
      <w:pPr>
        <w:autoSpaceDE w:val="0"/>
        <w:autoSpaceDN w:val="0"/>
        <w:adjustRightInd w:val="0"/>
        <w:ind w:firstLine="0"/>
        <w:jc w:val="left"/>
        <w:rPr>
          <w:sz w:val="26"/>
          <w:szCs w:val="26"/>
        </w:rPr>
      </w:pPr>
      <w:r w:rsidRPr="00D945ED">
        <w:rPr>
          <w:sz w:val="26"/>
          <w:szCs w:val="26"/>
        </w:rPr>
        <w:t xml:space="preserve">_______. </w:t>
      </w:r>
      <w:r w:rsidRPr="00D945ED">
        <w:rPr>
          <w:b/>
          <w:bCs/>
          <w:sz w:val="26"/>
          <w:szCs w:val="26"/>
        </w:rPr>
        <w:t>Resolução do Senado Federal n.º 48</w:t>
      </w:r>
      <w:r w:rsidRPr="00D945ED">
        <w:rPr>
          <w:sz w:val="26"/>
          <w:szCs w:val="26"/>
        </w:rPr>
        <w:t>, de 21 de dezembro de 2007. Dispõe sobre os limites globais para as operações de crédito externo e interno da União, de suas autarquias e demais entidades controladas pelo poder público federal e estabelece limites e condições para a concessão de garantia da União em operações de crédito externo e interno. Atualizada com as Resoluções n.º 41/2009 e n.º 19/2011. Disponível em: &lt;http://legis.senado.gov.br/legislacao/ListaTextoIntegral.action?id=235669&gt; Acesso em: 25 mar. 2016.</w:t>
      </w:r>
    </w:p>
    <w:p w:rsidR="00835D49" w:rsidRPr="00D945ED" w:rsidRDefault="00835D49" w:rsidP="007772F0">
      <w:pPr>
        <w:ind w:firstLine="0"/>
        <w:jc w:val="left"/>
        <w:rPr>
          <w:sz w:val="26"/>
          <w:szCs w:val="26"/>
        </w:rPr>
      </w:pPr>
      <w:r w:rsidRPr="00D945ED">
        <w:rPr>
          <w:sz w:val="26"/>
          <w:szCs w:val="26"/>
        </w:rPr>
        <w:t xml:space="preserve">SILVA, M. C. </w:t>
      </w:r>
      <w:r w:rsidRPr="00D945ED">
        <w:rPr>
          <w:b/>
          <w:sz w:val="26"/>
          <w:szCs w:val="26"/>
        </w:rPr>
        <w:t xml:space="preserve">Uma abordagem dos reflexos contábeis decorrentes do cancelamento </w:t>
      </w:r>
      <w:r w:rsidRPr="00D945ED">
        <w:rPr>
          <w:b/>
          <w:sz w:val="26"/>
          <w:szCs w:val="26"/>
        </w:rPr>
        <w:lastRenderedPageBreak/>
        <w:t>das despesas públicas dos restos a pagar da união (1999 – 2003).</w:t>
      </w:r>
      <w:r w:rsidRPr="00D945ED">
        <w:rPr>
          <w:sz w:val="26"/>
          <w:szCs w:val="26"/>
        </w:rPr>
        <w:t> Revista Contabilidade &amp; Finanças - USP, v. 18, n. 43, p. 73-83, 2007. Disponível em: &lt; http://www.scielo.br/pdf/rcf/v18n43/a07v1843.pdf&gt; Acesso em: 23 mar. 2016.</w:t>
      </w:r>
    </w:p>
    <w:p w:rsidR="00835D49" w:rsidRPr="00D945ED" w:rsidRDefault="00835D49" w:rsidP="007772F0">
      <w:pPr>
        <w:ind w:firstLine="0"/>
        <w:jc w:val="left"/>
        <w:rPr>
          <w:sz w:val="26"/>
          <w:szCs w:val="26"/>
        </w:rPr>
      </w:pPr>
      <w:r w:rsidRPr="00D945ED">
        <w:rPr>
          <w:sz w:val="26"/>
          <w:szCs w:val="26"/>
        </w:rPr>
        <w:t xml:space="preserve">SILVA, </w:t>
      </w:r>
      <w:proofErr w:type="spellStart"/>
      <w:r w:rsidRPr="00D945ED">
        <w:rPr>
          <w:sz w:val="26"/>
          <w:szCs w:val="26"/>
        </w:rPr>
        <w:t>Tainan</w:t>
      </w:r>
      <w:proofErr w:type="spellEnd"/>
      <w:r w:rsidRPr="00D945ED">
        <w:rPr>
          <w:sz w:val="26"/>
          <w:szCs w:val="26"/>
        </w:rPr>
        <w:t xml:space="preserve"> C.C. LIMA, Daiana V. </w:t>
      </w:r>
      <w:r w:rsidRPr="00D945ED">
        <w:rPr>
          <w:b/>
          <w:sz w:val="26"/>
          <w:szCs w:val="26"/>
        </w:rPr>
        <w:t>A adoção do princípio da competência no tratamento contábil dos restos a pagar</w:t>
      </w:r>
      <w:r w:rsidRPr="00D945ED">
        <w:rPr>
          <w:sz w:val="26"/>
          <w:szCs w:val="26"/>
        </w:rPr>
        <w:t>. Disponível em: &lt; http://www.congressousp.fipecafi.org/web/artigos92009/168.pdf &gt; Acesso em: 23 mar. 2016.</w:t>
      </w:r>
    </w:p>
    <w:p w:rsidR="00835D49" w:rsidRPr="00D945ED" w:rsidRDefault="00835D49" w:rsidP="007772F0">
      <w:pPr>
        <w:ind w:firstLine="0"/>
        <w:jc w:val="left"/>
        <w:rPr>
          <w:sz w:val="26"/>
          <w:szCs w:val="26"/>
        </w:rPr>
      </w:pPr>
      <w:r w:rsidRPr="00D945ED">
        <w:rPr>
          <w:sz w:val="26"/>
          <w:szCs w:val="26"/>
        </w:rPr>
        <w:t xml:space="preserve">SANTOS, Vinicius Salles. </w:t>
      </w:r>
      <w:r w:rsidRPr="00D945ED">
        <w:rPr>
          <w:b/>
          <w:sz w:val="26"/>
          <w:szCs w:val="26"/>
        </w:rPr>
        <w:t>As consequências, para o orçamento e contabilidade pública, da inscrição e do cancelamento de restos a pagar não processados realizados em capitais estaduais da região do nordeste do Brasil nos exercícios de 2008 e 2009</w:t>
      </w:r>
      <w:r w:rsidRPr="00D945ED">
        <w:rPr>
          <w:sz w:val="26"/>
          <w:szCs w:val="26"/>
        </w:rPr>
        <w:t>. Revista Ambiente Contábil, Natal, v. 3, n. 1, p.37-57, jun. 2011. Disponível em: &lt;http://periodicos.ufrn.br/ambiente/article/view/1319/1027&gt;. Acesso em: 06 abr. 2016.</w:t>
      </w:r>
    </w:p>
    <w:p w:rsidR="00835D49" w:rsidRPr="00D945ED" w:rsidRDefault="00835D49" w:rsidP="007772F0">
      <w:pPr>
        <w:autoSpaceDE w:val="0"/>
        <w:autoSpaceDN w:val="0"/>
        <w:adjustRightInd w:val="0"/>
        <w:ind w:firstLine="0"/>
        <w:jc w:val="left"/>
        <w:rPr>
          <w:sz w:val="26"/>
          <w:szCs w:val="26"/>
        </w:rPr>
      </w:pPr>
      <w:r w:rsidRPr="00D945ED">
        <w:rPr>
          <w:sz w:val="26"/>
          <w:szCs w:val="26"/>
        </w:rPr>
        <w:t xml:space="preserve">TRIBUNAL DE JUSTIÇA DE SANTA CATARINA. </w:t>
      </w:r>
      <w:r w:rsidRPr="00D945ED">
        <w:rPr>
          <w:b/>
          <w:sz w:val="26"/>
          <w:szCs w:val="26"/>
        </w:rPr>
        <w:t xml:space="preserve">Transparência. Relatórios de gestão fiscal: demonstrativos de restos a pagar. </w:t>
      </w:r>
      <w:r w:rsidRPr="00D945ED">
        <w:rPr>
          <w:sz w:val="26"/>
          <w:szCs w:val="26"/>
        </w:rPr>
        <w:t>Disponível em:</w:t>
      </w:r>
      <w:r w:rsidRPr="00D945ED">
        <w:rPr>
          <w:b/>
          <w:sz w:val="26"/>
          <w:szCs w:val="26"/>
        </w:rPr>
        <w:t xml:space="preserve"> </w:t>
      </w:r>
      <w:r w:rsidRPr="00D945ED">
        <w:rPr>
          <w:sz w:val="26"/>
          <w:szCs w:val="26"/>
        </w:rPr>
        <w:t>&lt; http://www.tjsc.jus.br/web/transparencia/relatorios-de-gestao-fiscal&gt; Acesso em: 22 abr. 2016.</w:t>
      </w:r>
    </w:p>
    <w:p w:rsidR="00EC6EDB" w:rsidRPr="00D945ED" w:rsidRDefault="00EC6EDB" w:rsidP="007772F0">
      <w:pPr>
        <w:ind w:firstLine="0"/>
        <w:jc w:val="left"/>
        <w:rPr>
          <w:sz w:val="26"/>
          <w:szCs w:val="26"/>
        </w:rPr>
      </w:pPr>
    </w:p>
    <w:sectPr w:rsidR="00EC6EDB" w:rsidRPr="00D945ED" w:rsidSect="004251EF">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C56" w:rsidRDefault="003E5C56" w:rsidP="005840EF">
      <w:r>
        <w:separator/>
      </w:r>
    </w:p>
  </w:endnote>
  <w:endnote w:type="continuationSeparator" w:id="0">
    <w:p w:rsidR="003E5C56" w:rsidRDefault="003E5C56"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541682">
      <w:rPr>
        <w:noProof/>
        <w:sz w:val="20"/>
      </w:rPr>
      <w:t>17</w:t>
    </w:r>
    <w:r w:rsidRPr="00F05FBB">
      <w:rPr>
        <w:sz w:val="20"/>
      </w:rPr>
      <w:fldChar w:fldCharType="end"/>
    </w:r>
  </w:p>
  <w:p w:rsidR="005D711E" w:rsidRPr="00862FD2" w:rsidRDefault="00421492" w:rsidP="00A80641">
    <w:pPr>
      <w:pStyle w:val="Rodap"/>
      <w:ind w:firstLine="0"/>
    </w:pPr>
    <w:r>
      <w:rPr>
        <w:noProof/>
        <w:sz w:val="20"/>
        <w:lang w:val="pt-BR" w:eastAsia="pt-BR"/>
      </w:rPr>
      <w:drawing>
        <wp:inline distT="0" distB="0" distL="0" distR="0">
          <wp:extent cx="5619750" cy="1238250"/>
          <wp:effectExtent l="0" t="0" r="0" b="0"/>
          <wp:docPr id="2" name="Picture 9" descr="Agend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ende-se"/>
                  <pic:cNvPicPr>
                    <a:picLocks noChangeAspect="1" noChangeArrowheads="1"/>
                  </pic:cNvPicPr>
                </pic:nvPicPr>
                <pic:blipFill>
                  <a:blip r:embed="rId1">
                    <a:extLst>
                      <a:ext uri="{28A0092B-C50C-407E-A947-70E740481C1C}">
                        <a14:useLocalDpi xmlns:a14="http://schemas.microsoft.com/office/drawing/2010/main" val="0"/>
                      </a:ext>
                    </a:extLst>
                  </a:blip>
                  <a:srcRect b="9723"/>
                  <a:stretch>
                    <a:fillRect/>
                  </a:stretch>
                </pic:blipFill>
                <pic:spPr bwMode="auto">
                  <a:xfrm>
                    <a:off x="0" y="0"/>
                    <a:ext cx="5619750" cy="12382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C56" w:rsidRDefault="003E5C56" w:rsidP="005840EF">
      <w:r>
        <w:separator/>
      </w:r>
    </w:p>
  </w:footnote>
  <w:footnote w:type="continuationSeparator" w:id="0">
    <w:p w:rsidR="003E5C56" w:rsidRDefault="003E5C56"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11E" w:rsidRPr="004251EF" w:rsidRDefault="00421492" w:rsidP="00A80641">
    <w:pPr>
      <w:pStyle w:val="Cabealho"/>
      <w:ind w:firstLine="0"/>
    </w:pPr>
    <w:r>
      <w:rPr>
        <w:noProof/>
      </w:rPr>
      <mc:AlternateContent>
        <mc:Choice Requires="wps">
          <w:drawing>
            <wp:anchor distT="0" distB="0" distL="114300" distR="114300" simplePos="0" relativeHeight="251657728" behindDoc="0" locked="0" layoutInCell="1" allowOverlap="1">
              <wp:simplePos x="0" y="0"/>
              <wp:positionH relativeFrom="column">
                <wp:posOffset>-194310</wp:posOffset>
              </wp:positionH>
              <wp:positionV relativeFrom="paragraph">
                <wp:posOffset>1605280</wp:posOffset>
              </wp:positionV>
              <wp:extent cx="645795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BBC8EE1" id="_x0000_t32" coordsize="21600,21600" o:spt="32" o:oned="t" path="m,l21600,21600e" filled="f">
              <v:path arrowok="t" fillok="f" o:connecttype="none"/>
              <o:lock v:ext="edit" shapetype="t"/>
            </v:shapetype>
            <v:shape id="AutoShape 2" o:spid="_x0000_s1026" type="#_x0000_t32" style="position:absolute;margin-left:-15.3pt;margin-top:126.4pt;width:5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">
              <v:shadow color="#7f7f7f" opacity=".5" offset="1pt"/>
            </v:shape>
          </w:pict>
        </mc:Fallback>
      </mc:AlternateContent>
    </w:r>
    <w:r>
      <w:rPr>
        <w:noProof/>
      </w:rPr>
      <w:drawing>
        <wp:inline distT="0" distB="0" distL="0" distR="0">
          <wp:extent cx="5962650" cy="1609725"/>
          <wp:effectExtent l="0" t="0" r="0" b="9525"/>
          <wp:docPr id="1" name="Imagem 1"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0" cy="1609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72917D1D"/>
    <w:multiLevelType w:val="hybridMultilevel"/>
    <w:tmpl w:val="F0EC33BA"/>
    <w:lvl w:ilvl="0" w:tplc="812863CC">
      <w:start w:val="1"/>
      <w:numFmt w:val="lowerLetter"/>
      <w:lvlText w:val="%1)"/>
      <w:lvlJc w:val="left"/>
      <w:pPr>
        <w:tabs>
          <w:tab w:val="num" w:pos="360"/>
        </w:tabs>
        <w:ind w:left="360" w:hanging="360"/>
      </w:pPr>
      <w:rPr>
        <w:rFonts w:hint="default"/>
        <w:b/>
        <w:i w:val="0"/>
        <w:color w:val="000000"/>
        <w:sz w:val="24"/>
        <w:szCs w:val="24"/>
      </w:rPr>
    </w:lvl>
    <w:lvl w:ilvl="1" w:tplc="16DA10A6" w:tentative="1">
      <w:start w:val="1"/>
      <w:numFmt w:val="bullet"/>
      <w:lvlText w:val="o"/>
      <w:lvlJc w:val="left"/>
      <w:pPr>
        <w:tabs>
          <w:tab w:val="num" w:pos="1440"/>
        </w:tabs>
        <w:ind w:left="1440" w:hanging="360"/>
      </w:pPr>
      <w:rPr>
        <w:rFonts w:ascii="Courier New" w:hAnsi="Courier New" w:cs="Courier New" w:hint="default"/>
      </w:rPr>
    </w:lvl>
    <w:lvl w:ilvl="2" w:tplc="35F8F478" w:tentative="1">
      <w:start w:val="1"/>
      <w:numFmt w:val="bullet"/>
      <w:lvlText w:val=""/>
      <w:lvlJc w:val="left"/>
      <w:pPr>
        <w:tabs>
          <w:tab w:val="num" w:pos="2160"/>
        </w:tabs>
        <w:ind w:left="2160" w:hanging="360"/>
      </w:pPr>
      <w:rPr>
        <w:rFonts w:ascii="Wingdings" w:hAnsi="Wingdings" w:hint="default"/>
      </w:rPr>
    </w:lvl>
    <w:lvl w:ilvl="3" w:tplc="585C1750" w:tentative="1">
      <w:start w:val="1"/>
      <w:numFmt w:val="bullet"/>
      <w:lvlText w:val=""/>
      <w:lvlJc w:val="left"/>
      <w:pPr>
        <w:tabs>
          <w:tab w:val="num" w:pos="2880"/>
        </w:tabs>
        <w:ind w:left="2880" w:hanging="360"/>
      </w:pPr>
      <w:rPr>
        <w:rFonts w:ascii="Symbol" w:hAnsi="Symbol" w:hint="default"/>
      </w:rPr>
    </w:lvl>
    <w:lvl w:ilvl="4" w:tplc="D1625AEE" w:tentative="1">
      <w:start w:val="1"/>
      <w:numFmt w:val="bullet"/>
      <w:lvlText w:val="o"/>
      <w:lvlJc w:val="left"/>
      <w:pPr>
        <w:tabs>
          <w:tab w:val="num" w:pos="3600"/>
        </w:tabs>
        <w:ind w:left="3600" w:hanging="360"/>
      </w:pPr>
      <w:rPr>
        <w:rFonts w:ascii="Courier New" w:hAnsi="Courier New" w:cs="Courier New" w:hint="default"/>
      </w:rPr>
    </w:lvl>
    <w:lvl w:ilvl="5" w:tplc="B5D2C6CA" w:tentative="1">
      <w:start w:val="1"/>
      <w:numFmt w:val="bullet"/>
      <w:lvlText w:val=""/>
      <w:lvlJc w:val="left"/>
      <w:pPr>
        <w:tabs>
          <w:tab w:val="num" w:pos="4320"/>
        </w:tabs>
        <w:ind w:left="4320" w:hanging="360"/>
      </w:pPr>
      <w:rPr>
        <w:rFonts w:ascii="Wingdings" w:hAnsi="Wingdings" w:hint="default"/>
      </w:rPr>
    </w:lvl>
    <w:lvl w:ilvl="6" w:tplc="D16A90DC" w:tentative="1">
      <w:start w:val="1"/>
      <w:numFmt w:val="bullet"/>
      <w:lvlText w:val=""/>
      <w:lvlJc w:val="left"/>
      <w:pPr>
        <w:tabs>
          <w:tab w:val="num" w:pos="5040"/>
        </w:tabs>
        <w:ind w:left="5040" w:hanging="360"/>
      </w:pPr>
      <w:rPr>
        <w:rFonts w:ascii="Symbol" w:hAnsi="Symbol" w:hint="default"/>
      </w:rPr>
    </w:lvl>
    <w:lvl w:ilvl="7" w:tplc="EC76ECC0" w:tentative="1">
      <w:start w:val="1"/>
      <w:numFmt w:val="bullet"/>
      <w:lvlText w:val="o"/>
      <w:lvlJc w:val="left"/>
      <w:pPr>
        <w:tabs>
          <w:tab w:val="num" w:pos="5760"/>
        </w:tabs>
        <w:ind w:left="5760" w:hanging="360"/>
      </w:pPr>
      <w:rPr>
        <w:rFonts w:ascii="Courier New" w:hAnsi="Courier New" w:cs="Courier New" w:hint="default"/>
      </w:rPr>
    </w:lvl>
    <w:lvl w:ilvl="8" w:tplc="46CA35AC"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21054"/>
    <w:rsid w:val="0006261D"/>
    <w:rsid w:val="000720BF"/>
    <w:rsid w:val="00081699"/>
    <w:rsid w:val="000C4524"/>
    <w:rsid w:val="000D1AE0"/>
    <w:rsid w:val="000F0530"/>
    <w:rsid w:val="00112831"/>
    <w:rsid w:val="001457BE"/>
    <w:rsid w:val="0020354A"/>
    <w:rsid w:val="002056D7"/>
    <w:rsid w:val="00244401"/>
    <w:rsid w:val="00244C0A"/>
    <w:rsid w:val="00263CEF"/>
    <w:rsid w:val="002826C0"/>
    <w:rsid w:val="0028511C"/>
    <w:rsid w:val="002B78FC"/>
    <w:rsid w:val="002C7235"/>
    <w:rsid w:val="00303C6F"/>
    <w:rsid w:val="003258E2"/>
    <w:rsid w:val="003342E4"/>
    <w:rsid w:val="00371DFF"/>
    <w:rsid w:val="003923C3"/>
    <w:rsid w:val="00395244"/>
    <w:rsid w:val="003A3639"/>
    <w:rsid w:val="003B1DB9"/>
    <w:rsid w:val="003E5C56"/>
    <w:rsid w:val="00401807"/>
    <w:rsid w:val="00406C08"/>
    <w:rsid w:val="00421492"/>
    <w:rsid w:val="00423365"/>
    <w:rsid w:val="004251EF"/>
    <w:rsid w:val="00472EE1"/>
    <w:rsid w:val="0048579A"/>
    <w:rsid w:val="0049262F"/>
    <w:rsid w:val="004D3CDD"/>
    <w:rsid w:val="004E5051"/>
    <w:rsid w:val="00517EAA"/>
    <w:rsid w:val="00523BAB"/>
    <w:rsid w:val="00531A76"/>
    <w:rsid w:val="00531BFF"/>
    <w:rsid w:val="00541682"/>
    <w:rsid w:val="0055088A"/>
    <w:rsid w:val="00552BF7"/>
    <w:rsid w:val="005840EF"/>
    <w:rsid w:val="00586D5B"/>
    <w:rsid w:val="005B5176"/>
    <w:rsid w:val="005C37AC"/>
    <w:rsid w:val="005D0785"/>
    <w:rsid w:val="005D711E"/>
    <w:rsid w:val="00606F36"/>
    <w:rsid w:val="006750E6"/>
    <w:rsid w:val="00683BE5"/>
    <w:rsid w:val="006C284A"/>
    <w:rsid w:val="006D02CA"/>
    <w:rsid w:val="006D3313"/>
    <w:rsid w:val="006D340F"/>
    <w:rsid w:val="00710D8D"/>
    <w:rsid w:val="00714245"/>
    <w:rsid w:val="007267E8"/>
    <w:rsid w:val="007772F0"/>
    <w:rsid w:val="007C0C2C"/>
    <w:rsid w:val="007F1447"/>
    <w:rsid w:val="00834448"/>
    <w:rsid w:val="00835D49"/>
    <w:rsid w:val="00862FD2"/>
    <w:rsid w:val="00865A23"/>
    <w:rsid w:val="00866591"/>
    <w:rsid w:val="008902BE"/>
    <w:rsid w:val="008B21BE"/>
    <w:rsid w:val="008F1B7C"/>
    <w:rsid w:val="008F67F7"/>
    <w:rsid w:val="0092413C"/>
    <w:rsid w:val="00943459"/>
    <w:rsid w:val="00952306"/>
    <w:rsid w:val="009724D8"/>
    <w:rsid w:val="009976D2"/>
    <w:rsid w:val="009B11E7"/>
    <w:rsid w:val="009B332C"/>
    <w:rsid w:val="009B3488"/>
    <w:rsid w:val="009C7DFA"/>
    <w:rsid w:val="009D481B"/>
    <w:rsid w:val="009D68AF"/>
    <w:rsid w:val="00A01395"/>
    <w:rsid w:val="00A06CCB"/>
    <w:rsid w:val="00A16D53"/>
    <w:rsid w:val="00A80641"/>
    <w:rsid w:val="00AA7509"/>
    <w:rsid w:val="00AB5527"/>
    <w:rsid w:val="00AC7E25"/>
    <w:rsid w:val="00B12485"/>
    <w:rsid w:val="00B169EE"/>
    <w:rsid w:val="00B21EC2"/>
    <w:rsid w:val="00B25FFE"/>
    <w:rsid w:val="00B801AB"/>
    <w:rsid w:val="00B902F0"/>
    <w:rsid w:val="00BA29C0"/>
    <w:rsid w:val="00BA3B7D"/>
    <w:rsid w:val="00C01F1F"/>
    <w:rsid w:val="00C22A7A"/>
    <w:rsid w:val="00C37E6B"/>
    <w:rsid w:val="00C5541E"/>
    <w:rsid w:val="00C671EC"/>
    <w:rsid w:val="00C67C67"/>
    <w:rsid w:val="00C84F71"/>
    <w:rsid w:val="00C96D5E"/>
    <w:rsid w:val="00CF0D35"/>
    <w:rsid w:val="00D2342D"/>
    <w:rsid w:val="00D72E12"/>
    <w:rsid w:val="00D86B5F"/>
    <w:rsid w:val="00D945ED"/>
    <w:rsid w:val="00D94E67"/>
    <w:rsid w:val="00DA5E5B"/>
    <w:rsid w:val="00DE1E14"/>
    <w:rsid w:val="00DE631D"/>
    <w:rsid w:val="00DE75F7"/>
    <w:rsid w:val="00E1786F"/>
    <w:rsid w:val="00E24E18"/>
    <w:rsid w:val="00E810D3"/>
    <w:rsid w:val="00E87E50"/>
    <w:rsid w:val="00E94A5E"/>
    <w:rsid w:val="00EC6EDB"/>
    <w:rsid w:val="00ED6578"/>
    <w:rsid w:val="00EF213A"/>
    <w:rsid w:val="00F05FBB"/>
    <w:rsid w:val="00F70109"/>
    <w:rsid w:val="00F70D09"/>
    <w:rsid w:val="00FC1C75"/>
    <w:rsid w:val="00FD12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9BDBBD45-838B-4878-8D62-A260EFFF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t.wikipedia.org/wiki/Santa_Catarina" TargetMode="External"/><Relationship Id="rId18" Type="http://schemas.openxmlformats.org/officeDocument/2006/relationships/hyperlink" Target="http://legislacao.planalto.gov.br/legisla/legislacao.nsf/Viw_Identificacao/DEL%202.848-1940?OpenDocu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Unidades_federativas_do_Brasil"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Poder_judici%C3%A1rio"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www.tjsc.jus.br/web/transparencia/resolucao-cnj-n-102-e-151/acompanhamento-da-execucao-orcamentari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t.wikipedia.org/wiki/Primeira_inst%C3%A2nci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leme\Desktop\Trabalho%20de%20Conclus&#227;o%20de%20Curso\Relat&#243;rios%20TJSC%202010-2015.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leme\Desktop\Trabalho%20de%20Conclus&#227;o%20de%20Curso\Relat&#243;rios%20TJSC%202010-2015.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leme\Desktop\Trabalho%20de%20Conclus&#227;o%20de%20Curso\Relat&#243;rios%20TJSC%202010-201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Pt>
            <c:idx val="0"/>
            <c:invertIfNegative val="0"/>
            <c:bubble3D val="0"/>
            <c:spPr>
              <a:solidFill>
                <a:srgbClr val="00B050"/>
              </a:solidFill>
              <a:ln>
                <a:noFill/>
              </a:ln>
              <a:effectLst/>
              <a:sp3d/>
            </c:spPr>
          </c:dPt>
          <c:dPt>
            <c:idx val="1"/>
            <c:invertIfNegative val="0"/>
            <c:bubble3D val="0"/>
            <c:spPr>
              <a:solidFill>
                <a:srgbClr val="FFFF00"/>
              </a:solidFill>
              <a:ln>
                <a:noFill/>
              </a:ln>
              <a:effectLst/>
              <a:sp3d/>
            </c:spPr>
          </c:dPt>
          <c:dPt>
            <c:idx val="2"/>
            <c:invertIfNegative val="0"/>
            <c:bubble3D val="0"/>
            <c:spPr>
              <a:solidFill>
                <a:srgbClr val="FF0000"/>
              </a:solidFill>
              <a:ln>
                <a:noFill/>
              </a:ln>
              <a:effectLst/>
              <a:sp3d/>
            </c:spPr>
          </c:dPt>
          <c:dPt>
            <c:idx val="3"/>
            <c:invertIfNegative val="0"/>
            <c:bubble3D val="0"/>
            <c:spPr>
              <a:solidFill>
                <a:srgbClr val="0070C0"/>
              </a:solidFill>
              <a:ln>
                <a:noFill/>
              </a:ln>
              <a:effectLst/>
              <a:sp3d/>
            </c:spPr>
          </c:dPt>
          <c:dPt>
            <c:idx val="4"/>
            <c:invertIfNegative val="0"/>
            <c:bubble3D val="0"/>
            <c:spPr>
              <a:solidFill>
                <a:schemeClr val="bg2">
                  <a:lumMod val="75000"/>
                </a:schemeClr>
              </a:solidFill>
              <a:ln>
                <a:noFill/>
              </a:ln>
              <a:effectLst/>
              <a:sp3d/>
            </c:spPr>
          </c:dPt>
          <c:cat>
            <c:numRef>
              <c:f>Plan1!$B$1:$F$1</c:f>
              <c:numCache>
                <c:formatCode>General</c:formatCode>
                <c:ptCount val="5"/>
                <c:pt idx="0">
                  <c:v>2010</c:v>
                </c:pt>
                <c:pt idx="1">
                  <c:v>2011</c:v>
                </c:pt>
                <c:pt idx="2">
                  <c:v>2012</c:v>
                </c:pt>
                <c:pt idx="3">
                  <c:v>2013</c:v>
                </c:pt>
                <c:pt idx="4">
                  <c:v>2014</c:v>
                </c:pt>
              </c:numCache>
            </c:numRef>
          </c:cat>
          <c:val>
            <c:numRef>
              <c:f>Plan1!$B$5:$F$5</c:f>
              <c:numCache>
                <c:formatCode>#,##0.00;#,##0.00</c:formatCode>
                <c:ptCount val="5"/>
                <c:pt idx="0">
                  <c:v>45985632.520000003</c:v>
                </c:pt>
                <c:pt idx="1">
                  <c:v>28390207.75</c:v>
                </c:pt>
                <c:pt idx="2">
                  <c:v>23102054.010000002</c:v>
                </c:pt>
                <c:pt idx="3">
                  <c:v>49183449.549999997</c:v>
                </c:pt>
                <c:pt idx="4">
                  <c:v>56454845.700000003</c:v>
                </c:pt>
              </c:numCache>
            </c:numRef>
          </c:val>
        </c:ser>
        <c:dLbls>
          <c:showLegendKey val="0"/>
          <c:showVal val="0"/>
          <c:showCatName val="0"/>
          <c:showSerName val="0"/>
          <c:showPercent val="0"/>
          <c:showBubbleSize val="0"/>
        </c:dLbls>
        <c:gapWidth val="150"/>
        <c:shape val="box"/>
        <c:axId val="376509232"/>
        <c:axId val="376508840"/>
        <c:axId val="0"/>
      </c:bar3DChart>
      <c:catAx>
        <c:axId val="3765092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376508840"/>
        <c:crosses val="autoZero"/>
        <c:auto val="1"/>
        <c:lblAlgn val="ctr"/>
        <c:lblOffset val="100"/>
        <c:noMultiLvlLbl val="0"/>
      </c:catAx>
      <c:valAx>
        <c:axId val="376508840"/>
        <c:scaling>
          <c:orientation val="minMax"/>
        </c:scaling>
        <c:delete val="0"/>
        <c:axPos val="l"/>
        <c:majorGridlines>
          <c:spPr>
            <a:ln w="9525" cap="flat" cmpd="sng" algn="ctr">
              <a:solidFill>
                <a:schemeClr val="tx1">
                  <a:lumMod val="15000"/>
                  <a:lumOff val="85000"/>
                </a:schemeClr>
              </a:solidFill>
              <a:round/>
            </a:ln>
            <a:effectLst/>
          </c:spPr>
        </c:majorGridlines>
        <c:numFmt formatCode="&quot;R$&quot;\ #,##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376509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pt-B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GRÁFICOS!$B$1</c:f>
              <c:strCache>
                <c:ptCount val="1"/>
                <c:pt idx="0">
                  <c:v>2010</c:v>
                </c:pt>
              </c:strCache>
            </c:strRef>
          </c:tx>
          <c:spPr>
            <a:solidFill>
              <a:schemeClr val="accent1"/>
            </a:solidFill>
            <a:ln>
              <a:noFill/>
            </a:ln>
            <a:effectLst/>
            <a:sp3d/>
          </c:spPr>
          <c:invertIfNegative val="0"/>
          <c:cat>
            <c:strRef>
              <c:f>GRÁFICOS!$A$2:$A$4</c:f>
              <c:strCache>
                <c:ptCount val="3"/>
                <c:pt idx="0">
                  <c:v>FRJ</c:v>
                </c:pt>
                <c:pt idx="1">
                  <c:v>TJ</c:v>
                </c:pt>
                <c:pt idx="2">
                  <c:v>Sidejud</c:v>
                </c:pt>
              </c:strCache>
            </c:strRef>
          </c:cat>
          <c:val>
            <c:numRef>
              <c:f>GRÁFICOS!$B$2:$B$4</c:f>
              <c:numCache>
                <c:formatCode>#,##0.00;#,##0.00</c:formatCode>
                <c:ptCount val="3"/>
                <c:pt idx="0">
                  <c:v>19007886.809999999</c:v>
                </c:pt>
                <c:pt idx="1">
                  <c:v>16878237.34</c:v>
                </c:pt>
                <c:pt idx="2">
                  <c:v>10099508.369999999</c:v>
                </c:pt>
              </c:numCache>
            </c:numRef>
          </c:val>
        </c:ser>
        <c:ser>
          <c:idx val="1"/>
          <c:order val="1"/>
          <c:tx>
            <c:strRef>
              <c:f>GRÁFICOS!$C$1</c:f>
              <c:strCache>
                <c:ptCount val="1"/>
                <c:pt idx="0">
                  <c:v>2011</c:v>
                </c:pt>
              </c:strCache>
            </c:strRef>
          </c:tx>
          <c:spPr>
            <a:solidFill>
              <a:schemeClr val="accent2"/>
            </a:solidFill>
            <a:ln>
              <a:noFill/>
            </a:ln>
            <a:effectLst/>
            <a:sp3d/>
          </c:spPr>
          <c:invertIfNegative val="0"/>
          <c:cat>
            <c:strRef>
              <c:f>GRÁFICOS!$A$2:$A$4</c:f>
              <c:strCache>
                <c:ptCount val="3"/>
                <c:pt idx="0">
                  <c:v>FRJ</c:v>
                </c:pt>
                <c:pt idx="1">
                  <c:v>TJ</c:v>
                </c:pt>
                <c:pt idx="2">
                  <c:v>Sidejud</c:v>
                </c:pt>
              </c:strCache>
            </c:strRef>
          </c:cat>
          <c:val>
            <c:numRef>
              <c:f>GRÁFICOS!$C$2:$C$4</c:f>
              <c:numCache>
                <c:formatCode>#,##0.00;#,##0.00</c:formatCode>
                <c:ptCount val="3"/>
                <c:pt idx="0">
                  <c:v>358646.9</c:v>
                </c:pt>
                <c:pt idx="1">
                  <c:v>18650250.010000002</c:v>
                </c:pt>
                <c:pt idx="2">
                  <c:v>9381310.8399999999</c:v>
                </c:pt>
              </c:numCache>
            </c:numRef>
          </c:val>
        </c:ser>
        <c:ser>
          <c:idx val="2"/>
          <c:order val="2"/>
          <c:tx>
            <c:strRef>
              <c:f>GRÁFICOS!$D$1</c:f>
              <c:strCache>
                <c:ptCount val="1"/>
                <c:pt idx="0">
                  <c:v>2012</c:v>
                </c:pt>
              </c:strCache>
            </c:strRef>
          </c:tx>
          <c:spPr>
            <a:solidFill>
              <a:schemeClr val="accent3"/>
            </a:solidFill>
            <a:ln>
              <a:noFill/>
            </a:ln>
            <a:effectLst/>
            <a:sp3d/>
          </c:spPr>
          <c:invertIfNegative val="0"/>
          <c:cat>
            <c:strRef>
              <c:f>GRÁFICOS!$A$2:$A$4</c:f>
              <c:strCache>
                <c:ptCount val="3"/>
                <c:pt idx="0">
                  <c:v>FRJ</c:v>
                </c:pt>
                <c:pt idx="1">
                  <c:v>TJ</c:v>
                </c:pt>
                <c:pt idx="2">
                  <c:v>Sidejud</c:v>
                </c:pt>
              </c:strCache>
            </c:strRef>
          </c:cat>
          <c:val>
            <c:numRef>
              <c:f>GRÁFICOS!$D$2:$D$4</c:f>
              <c:numCache>
                <c:formatCode>#,##0.00;#,##0.00</c:formatCode>
                <c:ptCount val="3"/>
                <c:pt idx="0">
                  <c:v>480156.9</c:v>
                </c:pt>
                <c:pt idx="1">
                  <c:v>18700472.370000001</c:v>
                </c:pt>
                <c:pt idx="2">
                  <c:v>3921424.74</c:v>
                </c:pt>
              </c:numCache>
            </c:numRef>
          </c:val>
        </c:ser>
        <c:ser>
          <c:idx val="3"/>
          <c:order val="3"/>
          <c:tx>
            <c:strRef>
              <c:f>GRÁFICOS!$E$1</c:f>
              <c:strCache>
                <c:ptCount val="1"/>
                <c:pt idx="0">
                  <c:v>2013</c:v>
                </c:pt>
              </c:strCache>
            </c:strRef>
          </c:tx>
          <c:spPr>
            <a:solidFill>
              <a:schemeClr val="accent4"/>
            </a:solidFill>
            <a:ln>
              <a:noFill/>
            </a:ln>
            <a:effectLst/>
            <a:sp3d/>
          </c:spPr>
          <c:invertIfNegative val="0"/>
          <c:cat>
            <c:strRef>
              <c:f>GRÁFICOS!$A$2:$A$4</c:f>
              <c:strCache>
                <c:ptCount val="3"/>
                <c:pt idx="0">
                  <c:v>FRJ</c:v>
                </c:pt>
                <c:pt idx="1">
                  <c:v>TJ</c:v>
                </c:pt>
                <c:pt idx="2">
                  <c:v>Sidejud</c:v>
                </c:pt>
              </c:strCache>
            </c:strRef>
          </c:cat>
          <c:val>
            <c:numRef>
              <c:f>GRÁFICOS!$E$2:$E$4</c:f>
              <c:numCache>
                <c:formatCode>#,##0.00;#,##0.00</c:formatCode>
                <c:ptCount val="3"/>
                <c:pt idx="0">
                  <c:v>34299398.079999998</c:v>
                </c:pt>
                <c:pt idx="1">
                  <c:v>6579079.9400000004</c:v>
                </c:pt>
                <c:pt idx="2">
                  <c:v>8304971.5300000003</c:v>
                </c:pt>
              </c:numCache>
            </c:numRef>
          </c:val>
        </c:ser>
        <c:ser>
          <c:idx val="4"/>
          <c:order val="4"/>
          <c:tx>
            <c:strRef>
              <c:f>GRÁFICOS!$F$1</c:f>
              <c:strCache>
                <c:ptCount val="1"/>
                <c:pt idx="0">
                  <c:v>2014</c:v>
                </c:pt>
              </c:strCache>
            </c:strRef>
          </c:tx>
          <c:spPr>
            <a:solidFill>
              <a:schemeClr val="accent5"/>
            </a:solidFill>
            <a:ln>
              <a:noFill/>
            </a:ln>
            <a:effectLst/>
            <a:sp3d/>
          </c:spPr>
          <c:invertIfNegative val="0"/>
          <c:cat>
            <c:strRef>
              <c:f>GRÁFICOS!$A$2:$A$4</c:f>
              <c:strCache>
                <c:ptCount val="3"/>
                <c:pt idx="0">
                  <c:v>FRJ</c:v>
                </c:pt>
                <c:pt idx="1">
                  <c:v>TJ</c:v>
                </c:pt>
                <c:pt idx="2">
                  <c:v>Sidejud</c:v>
                </c:pt>
              </c:strCache>
            </c:strRef>
          </c:cat>
          <c:val>
            <c:numRef>
              <c:f>GRÁFICOS!$F$2:$F$4</c:f>
              <c:numCache>
                <c:formatCode>#,##0.00;#,##0.00</c:formatCode>
                <c:ptCount val="3"/>
                <c:pt idx="0">
                  <c:v>28679588.960000001</c:v>
                </c:pt>
                <c:pt idx="1">
                  <c:v>12124755.800000001</c:v>
                </c:pt>
                <c:pt idx="2">
                  <c:v>15650500.939999999</c:v>
                </c:pt>
              </c:numCache>
            </c:numRef>
          </c:val>
        </c:ser>
        <c:dLbls>
          <c:showLegendKey val="0"/>
          <c:showVal val="0"/>
          <c:showCatName val="0"/>
          <c:showSerName val="0"/>
          <c:showPercent val="0"/>
          <c:showBubbleSize val="0"/>
        </c:dLbls>
        <c:gapWidth val="150"/>
        <c:shape val="box"/>
        <c:axId val="187687944"/>
        <c:axId val="241203168"/>
        <c:axId val="0"/>
      </c:bar3DChart>
      <c:catAx>
        <c:axId val="1876879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241203168"/>
        <c:crosses val="autoZero"/>
        <c:auto val="1"/>
        <c:lblAlgn val="ctr"/>
        <c:lblOffset val="100"/>
        <c:noMultiLvlLbl val="0"/>
      </c:catAx>
      <c:valAx>
        <c:axId val="241203168"/>
        <c:scaling>
          <c:orientation val="minMax"/>
        </c:scaling>
        <c:delete val="0"/>
        <c:axPos val="l"/>
        <c:majorGridlines>
          <c:spPr>
            <a:ln w="9525" cap="flat" cmpd="sng" algn="ctr">
              <a:solidFill>
                <a:schemeClr val="tx1">
                  <a:lumMod val="15000"/>
                  <a:lumOff val="85000"/>
                </a:schemeClr>
              </a:solidFill>
              <a:round/>
            </a:ln>
            <a:effectLst/>
          </c:spPr>
        </c:majorGridlines>
        <c:numFmt formatCode="&quot;R$&quot;\ #,##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87687944"/>
        <c:crosses val="autoZero"/>
        <c:crossBetween val="between"/>
      </c:valAx>
      <c:spPr>
        <a:noFill/>
        <a:ln>
          <a:noFill/>
        </a:ln>
        <a:effectLst/>
      </c:spPr>
    </c:plotArea>
    <c:legend>
      <c:legendPos val="b"/>
      <c:layout>
        <c:manualLayout>
          <c:xMode val="edge"/>
          <c:yMode val="edge"/>
          <c:x val="0.20673425625718353"/>
          <c:y val="0.90798556430446198"/>
          <c:w val="0.63889163364383372"/>
          <c:h val="7.8537839020122485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pt-B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038188976377953"/>
          <c:y val="5.0925925925925923E-2"/>
          <c:w val="0.87684033245844273"/>
          <c:h val="0.84020815106445024"/>
        </c:manualLayout>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'Análise vertical caixa'!$AA$4:$AA$8</c:f>
              <c:numCache>
                <c:formatCode>General</c:formatCode>
                <c:ptCount val="5"/>
                <c:pt idx="0">
                  <c:v>2010</c:v>
                </c:pt>
                <c:pt idx="1">
                  <c:v>2011</c:v>
                </c:pt>
                <c:pt idx="2">
                  <c:v>2012</c:v>
                </c:pt>
                <c:pt idx="3" formatCode="0">
                  <c:v>2013</c:v>
                </c:pt>
                <c:pt idx="4">
                  <c:v>2014</c:v>
                </c:pt>
              </c:numCache>
            </c:numRef>
          </c:cat>
          <c:val>
            <c:numRef>
              <c:f>'Análise vertical caixa'!$AD$4:$AD$8</c:f>
              <c:numCache>
                <c:formatCode>0%</c:formatCode>
                <c:ptCount val="5"/>
                <c:pt idx="0">
                  <c:v>0.20337161867522882</c:v>
                </c:pt>
                <c:pt idx="1">
                  <c:v>0.12822777686502837</c:v>
                </c:pt>
                <c:pt idx="2">
                  <c:v>8.6002358641075236E-2</c:v>
                </c:pt>
                <c:pt idx="3">
                  <c:v>0.20599957206066941</c:v>
                </c:pt>
                <c:pt idx="4">
                  <c:v>0.2</c:v>
                </c:pt>
              </c:numCache>
            </c:numRef>
          </c:val>
          <c:smooth val="0"/>
        </c:ser>
        <c:dLbls>
          <c:showLegendKey val="0"/>
          <c:showVal val="0"/>
          <c:showCatName val="0"/>
          <c:showSerName val="0"/>
          <c:showPercent val="0"/>
          <c:showBubbleSize val="0"/>
        </c:dLbls>
        <c:marker val="1"/>
        <c:smooth val="0"/>
        <c:axId val="241203952"/>
        <c:axId val="241204344"/>
      </c:lineChart>
      <c:catAx>
        <c:axId val="24120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241204344"/>
        <c:crosses val="autoZero"/>
        <c:auto val="1"/>
        <c:lblAlgn val="ctr"/>
        <c:lblOffset val="100"/>
        <c:noMultiLvlLbl val="0"/>
      </c:catAx>
      <c:valAx>
        <c:axId val="2412043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indent="-43200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241203952"/>
        <c:crosses val="autoZero"/>
        <c:crossBetween val="between"/>
      </c:valAx>
      <c:spPr>
        <a:noFill/>
        <a:ln w="25400">
          <a:noFill/>
        </a:ln>
        <a:effectLst/>
      </c:spPr>
    </c:plotArea>
    <c:plotVisOnly val="1"/>
    <c:dispBlanksAs val="zero"/>
    <c:showDLblsOverMax val="0"/>
  </c:chart>
  <c:spPr>
    <a:solidFill>
      <a:schemeClr val="bg1"/>
    </a:solidFill>
    <a:ln w="9525" cap="flat" cmpd="sng" algn="ctr">
      <a:solidFill>
        <a:sysClr val="windowText" lastClr="000000"/>
      </a:solidFill>
      <a:round/>
    </a:ln>
    <a:effectLst/>
  </c:spPr>
  <c:txPr>
    <a:bodyPr/>
    <a:lstStyle/>
    <a:p>
      <a:pPr>
        <a:defRPr/>
      </a:pPr>
      <a:endParaRPr lang="pt-B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3E6CD-1628-4FFD-A5C2-D1736A05C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19</Pages>
  <Words>7308</Words>
  <Characters>39466</Characters>
  <Application>Microsoft Office Word</Application>
  <DocSecurity>0</DocSecurity>
  <Lines>328</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46681</CharactersWithSpaces>
  <SharedDoc>false</SharedDoc>
  <HLinks>
    <vt:vector size="30" baseType="variant">
      <vt:variant>
        <vt:i4>4849725</vt:i4>
      </vt:variant>
      <vt:variant>
        <vt:i4>12</vt:i4>
      </vt:variant>
      <vt:variant>
        <vt:i4>0</vt:i4>
      </vt:variant>
      <vt:variant>
        <vt:i4>5</vt:i4>
      </vt:variant>
      <vt:variant>
        <vt:lpwstr>https://pt.wikipedia.org/wiki/Primeira_inst%C3%A2ncia</vt:lpwstr>
      </vt:variant>
      <vt:variant>
        <vt:lpwstr/>
      </vt:variant>
      <vt:variant>
        <vt:i4>7667734</vt:i4>
      </vt:variant>
      <vt:variant>
        <vt:i4>9</vt:i4>
      </vt:variant>
      <vt:variant>
        <vt:i4>0</vt:i4>
      </vt:variant>
      <vt:variant>
        <vt:i4>5</vt:i4>
      </vt:variant>
      <vt:variant>
        <vt:lpwstr>https://pt.wikipedia.org/wiki/Santa_Catarina</vt:lpwstr>
      </vt:variant>
      <vt:variant>
        <vt:lpwstr/>
      </vt:variant>
      <vt:variant>
        <vt:i4>8192021</vt:i4>
      </vt:variant>
      <vt:variant>
        <vt:i4>6</vt:i4>
      </vt:variant>
      <vt:variant>
        <vt:i4>0</vt:i4>
      </vt:variant>
      <vt:variant>
        <vt:i4>5</vt:i4>
      </vt:variant>
      <vt:variant>
        <vt:lpwstr>https://pt.wikipedia.org/wiki/Unidades_federativas_do_Brasil</vt:lpwstr>
      </vt:variant>
      <vt:variant>
        <vt:lpwstr/>
      </vt:variant>
      <vt:variant>
        <vt:i4>589935</vt:i4>
      </vt:variant>
      <vt:variant>
        <vt:i4>3</vt:i4>
      </vt:variant>
      <vt:variant>
        <vt:i4>0</vt:i4>
      </vt:variant>
      <vt:variant>
        <vt:i4>5</vt:i4>
      </vt:variant>
      <vt:variant>
        <vt:lpwstr>https://pt.wikipedia.org/wiki/Poder_judici%C3%A1rio</vt:lpwstr>
      </vt:variant>
      <vt:variant>
        <vt:lpwstr/>
      </vt:variant>
      <vt:variant>
        <vt:i4>3801140</vt:i4>
      </vt:variant>
      <vt:variant>
        <vt:i4>0</vt:i4>
      </vt:variant>
      <vt:variant>
        <vt:i4>0</vt:i4>
      </vt:variant>
      <vt:variant>
        <vt:i4>5</vt:i4>
      </vt:variant>
      <vt:variant>
        <vt:lpwstr>http://www.tjsc.jus.br/web/transparencia/resolucao-cnj-n-102-e-151/acompanhamento-da-execucao-orcamentaria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subject/>
  <dc:creator>PACTO FIA</dc:creator>
  <cp:keywords/>
  <cp:lastModifiedBy>Alessandra Meurer</cp:lastModifiedBy>
  <cp:revision>7</cp:revision>
  <cp:lastPrinted>2016-08-30T16:57:00Z</cp:lastPrinted>
  <dcterms:created xsi:type="dcterms:W3CDTF">2016-09-06T18:07:00Z</dcterms:created>
  <dcterms:modified xsi:type="dcterms:W3CDTF">2016-09-08T18:12:00Z</dcterms:modified>
</cp:coreProperties>
</file>