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40EA" w:rsidRPr="00340BF5" w:rsidRDefault="00EC40EA" w:rsidP="00983013">
      <w:pPr>
        <w:pStyle w:val="Ttulo1"/>
        <w:numPr>
          <w:ilvl w:val="0"/>
          <w:numId w:val="0"/>
        </w:numPr>
        <w:spacing w:line="240" w:lineRule="auto"/>
        <w:jc w:val="center"/>
        <w:rPr>
          <w:rFonts w:ascii="Times New Roman" w:hAnsi="Times New Roman" w:cs="Times New Roman"/>
          <w:sz w:val="24"/>
          <w:szCs w:val="24"/>
        </w:rPr>
      </w:pPr>
    </w:p>
    <w:p w:rsidR="00664CB7" w:rsidRPr="00A148F1" w:rsidRDefault="00664CB7" w:rsidP="00983013">
      <w:pPr>
        <w:pStyle w:val="Ttulo1"/>
        <w:numPr>
          <w:ilvl w:val="0"/>
          <w:numId w:val="0"/>
        </w:numPr>
        <w:spacing w:line="240" w:lineRule="auto"/>
        <w:jc w:val="center"/>
        <w:rPr>
          <w:rFonts w:ascii="Times New Roman" w:hAnsi="Times New Roman" w:cs="Times New Roman"/>
          <w:sz w:val="24"/>
          <w:szCs w:val="22"/>
        </w:rPr>
      </w:pPr>
      <w:r w:rsidRPr="00A148F1">
        <w:rPr>
          <w:rFonts w:ascii="Times New Roman" w:hAnsi="Times New Roman" w:cs="Times New Roman"/>
          <w:sz w:val="24"/>
          <w:szCs w:val="22"/>
        </w:rPr>
        <w:t xml:space="preserve">O </w:t>
      </w:r>
      <w:r w:rsidR="009F62DA" w:rsidRPr="00A148F1">
        <w:rPr>
          <w:rFonts w:ascii="Times New Roman" w:hAnsi="Times New Roman" w:cs="Times New Roman"/>
          <w:sz w:val="24"/>
          <w:szCs w:val="22"/>
        </w:rPr>
        <w:t xml:space="preserve">DESEMPENHO DO MUNICÍPIO DE FLORIANÓPOLIS – SC EM RELAÇÃO AO CUMPRIMENTO DA APLICAÇÃO MÍNIMA CONSTITUCIONAL EM SAÚDE </w:t>
      </w:r>
      <w:r w:rsidR="002D0D0A" w:rsidRPr="00A148F1">
        <w:rPr>
          <w:rFonts w:ascii="Times New Roman" w:hAnsi="Times New Roman" w:cs="Times New Roman"/>
          <w:sz w:val="24"/>
          <w:szCs w:val="22"/>
        </w:rPr>
        <w:t xml:space="preserve">                   </w:t>
      </w:r>
      <w:r w:rsidR="009F62DA" w:rsidRPr="00A148F1">
        <w:rPr>
          <w:rFonts w:ascii="Times New Roman" w:hAnsi="Times New Roman" w:cs="Times New Roman"/>
          <w:sz w:val="24"/>
          <w:szCs w:val="22"/>
        </w:rPr>
        <w:t>NO PERÍODO DE 2000 A 2015</w:t>
      </w:r>
    </w:p>
    <w:p w:rsidR="009F62DA" w:rsidRPr="00A148F1" w:rsidRDefault="009F62DA" w:rsidP="00983013">
      <w:pPr>
        <w:spacing w:after="0" w:line="240" w:lineRule="auto"/>
        <w:jc w:val="center"/>
        <w:rPr>
          <w:rFonts w:ascii="Times New Roman" w:hAnsi="Times New Roman" w:cs="Times New Roman"/>
          <w:sz w:val="24"/>
        </w:rPr>
      </w:pPr>
    </w:p>
    <w:p w:rsidR="009F62DA" w:rsidRPr="00A148F1" w:rsidRDefault="009F62DA" w:rsidP="00983013">
      <w:pPr>
        <w:spacing w:after="0" w:line="240" w:lineRule="auto"/>
        <w:rPr>
          <w:rFonts w:ascii="Times New Roman" w:hAnsi="Times New Roman" w:cs="Times New Roman"/>
          <w:sz w:val="24"/>
        </w:rPr>
      </w:pPr>
    </w:p>
    <w:p w:rsidR="005F329B" w:rsidRPr="00A148F1" w:rsidRDefault="005F329B" w:rsidP="0098300A">
      <w:pPr>
        <w:spacing w:after="0" w:line="240" w:lineRule="auto"/>
        <w:jc w:val="center"/>
        <w:rPr>
          <w:rFonts w:ascii="Times New Roman" w:hAnsi="Times New Roman" w:cs="Times New Roman"/>
          <w:b/>
          <w:sz w:val="24"/>
          <w:szCs w:val="24"/>
        </w:rPr>
      </w:pPr>
      <w:r w:rsidRPr="00A148F1">
        <w:rPr>
          <w:rFonts w:ascii="Times New Roman" w:hAnsi="Times New Roman" w:cs="Times New Roman"/>
          <w:b/>
          <w:sz w:val="24"/>
          <w:szCs w:val="24"/>
        </w:rPr>
        <w:t>Paulo Bittencourt</w:t>
      </w:r>
    </w:p>
    <w:p w:rsidR="005F329B" w:rsidRPr="00A148F1" w:rsidRDefault="005F329B" w:rsidP="0098300A">
      <w:pPr>
        <w:spacing w:after="0" w:line="240" w:lineRule="auto"/>
        <w:jc w:val="center"/>
        <w:rPr>
          <w:rFonts w:ascii="Times New Roman" w:hAnsi="Times New Roman" w:cs="Times New Roman"/>
          <w:sz w:val="24"/>
          <w:szCs w:val="24"/>
        </w:rPr>
      </w:pPr>
      <w:r w:rsidRPr="00A148F1">
        <w:rPr>
          <w:rFonts w:ascii="Times New Roman" w:hAnsi="Times New Roman" w:cs="Times New Roman"/>
          <w:sz w:val="24"/>
          <w:szCs w:val="24"/>
        </w:rPr>
        <w:t>Universidade Federal de Santa Catarina (UFSC)</w:t>
      </w:r>
    </w:p>
    <w:p w:rsidR="005F329B" w:rsidRPr="00A148F1" w:rsidRDefault="005F329B" w:rsidP="0098300A">
      <w:pPr>
        <w:spacing w:after="0" w:line="240" w:lineRule="auto"/>
        <w:jc w:val="center"/>
        <w:rPr>
          <w:rFonts w:ascii="Times New Roman" w:hAnsi="Times New Roman" w:cs="Times New Roman"/>
          <w:i/>
          <w:sz w:val="24"/>
          <w:szCs w:val="24"/>
        </w:rPr>
      </w:pPr>
      <w:r w:rsidRPr="00A148F1">
        <w:rPr>
          <w:rFonts w:ascii="Times New Roman" w:hAnsi="Times New Roman" w:cs="Times New Roman"/>
          <w:i/>
          <w:sz w:val="24"/>
          <w:szCs w:val="24"/>
        </w:rPr>
        <w:t>paulobcnm@gmail.com</w:t>
      </w:r>
    </w:p>
    <w:p w:rsidR="005F329B" w:rsidRPr="00A148F1" w:rsidRDefault="005F329B" w:rsidP="0098300A">
      <w:pPr>
        <w:spacing w:after="0" w:line="240" w:lineRule="auto"/>
        <w:jc w:val="center"/>
        <w:rPr>
          <w:rFonts w:ascii="Times New Roman" w:hAnsi="Times New Roman" w:cs="Times New Roman"/>
          <w:b/>
          <w:sz w:val="24"/>
          <w:szCs w:val="24"/>
        </w:rPr>
      </w:pPr>
    </w:p>
    <w:p w:rsidR="005F329B" w:rsidRPr="00A148F1" w:rsidRDefault="005F329B" w:rsidP="0098300A">
      <w:pPr>
        <w:spacing w:after="0" w:line="240" w:lineRule="auto"/>
        <w:jc w:val="center"/>
        <w:rPr>
          <w:rFonts w:ascii="Times New Roman" w:hAnsi="Times New Roman" w:cs="Times New Roman"/>
          <w:b/>
          <w:sz w:val="24"/>
          <w:szCs w:val="24"/>
        </w:rPr>
      </w:pPr>
      <w:proofErr w:type="spellStart"/>
      <w:r w:rsidRPr="00A148F1">
        <w:rPr>
          <w:rFonts w:ascii="Times New Roman" w:hAnsi="Times New Roman" w:cs="Times New Roman"/>
          <w:b/>
          <w:sz w:val="24"/>
          <w:szCs w:val="24"/>
        </w:rPr>
        <w:t>Orion</w:t>
      </w:r>
      <w:proofErr w:type="spellEnd"/>
      <w:r w:rsidRPr="00A148F1">
        <w:rPr>
          <w:rFonts w:ascii="Times New Roman" w:hAnsi="Times New Roman" w:cs="Times New Roman"/>
          <w:b/>
          <w:sz w:val="24"/>
          <w:szCs w:val="24"/>
        </w:rPr>
        <w:t xml:space="preserve"> Augusto </w:t>
      </w:r>
      <w:proofErr w:type="spellStart"/>
      <w:r w:rsidRPr="00A148F1">
        <w:rPr>
          <w:rFonts w:ascii="Times New Roman" w:hAnsi="Times New Roman" w:cs="Times New Roman"/>
          <w:b/>
          <w:sz w:val="24"/>
          <w:szCs w:val="24"/>
        </w:rPr>
        <w:t>Platt</w:t>
      </w:r>
      <w:proofErr w:type="spellEnd"/>
      <w:r w:rsidRPr="00A148F1">
        <w:rPr>
          <w:rFonts w:ascii="Times New Roman" w:hAnsi="Times New Roman" w:cs="Times New Roman"/>
          <w:b/>
          <w:sz w:val="24"/>
          <w:szCs w:val="24"/>
        </w:rPr>
        <w:t xml:space="preserve"> Neto</w:t>
      </w:r>
    </w:p>
    <w:p w:rsidR="005F329B" w:rsidRPr="00A148F1" w:rsidRDefault="005F329B" w:rsidP="0098300A">
      <w:pPr>
        <w:spacing w:after="0" w:line="240" w:lineRule="auto"/>
        <w:jc w:val="center"/>
        <w:rPr>
          <w:rFonts w:ascii="Times New Roman" w:hAnsi="Times New Roman" w:cs="Times New Roman"/>
          <w:sz w:val="24"/>
          <w:szCs w:val="24"/>
        </w:rPr>
      </w:pPr>
      <w:r w:rsidRPr="00A148F1">
        <w:rPr>
          <w:rFonts w:ascii="Times New Roman" w:hAnsi="Times New Roman" w:cs="Times New Roman"/>
          <w:sz w:val="24"/>
          <w:szCs w:val="24"/>
        </w:rPr>
        <w:t>Universidade Federal de Santa Catarina (UFSC)</w:t>
      </w:r>
    </w:p>
    <w:p w:rsidR="005F329B" w:rsidRPr="00A148F1" w:rsidRDefault="005F329B" w:rsidP="0098300A">
      <w:pPr>
        <w:spacing w:after="0" w:line="240" w:lineRule="auto"/>
        <w:jc w:val="center"/>
        <w:rPr>
          <w:rFonts w:ascii="Times New Roman" w:hAnsi="Times New Roman" w:cs="Times New Roman"/>
          <w:i/>
          <w:sz w:val="24"/>
          <w:szCs w:val="24"/>
        </w:rPr>
      </w:pPr>
      <w:r w:rsidRPr="00A148F1">
        <w:rPr>
          <w:rFonts w:ascii="Times New Roman" w:hAnsi="Times New Roman" w:cs="Times New Roman"/>
          <w:i/>
          <w:sz w:val="24"/>
          <w:szCs w:val="24"/>
        </w:rPr>
        <w:t>orion.platt@ufsc.br</w:t>
      </w:r>
    </w:p>
    <w:p w:rsidR="00925560" w:rsidRPr="00A148F1" w:rsidRDefault="00925560" w:rsidP="00983013">
      <w:pPr>
        <w:autoSpaceDE w:val="0"/>
        <w:autoSpaceDN w:val="0"/>
        <w:adjustRightInd w:val="0"/>
        <w:spacing w:after="0" w:line="240" w:lineRule="auto"/>
        <w:jc w:val="both"/>
        <w:rPr>
          <w:rFonts w:ascii="Times New Roman" w:hAnsi="Times New Roman" w:cs="Times New Roman"/>
          <w:b/>
          <w:bCs/>
          <w:sz w:val="24"/>
        </w:rPr>
      </w:pPr>
    </w:p>
    <w:p w:rsidR="00B601A7" w:rsidRPr="00A148F1" w:rsidRDefault="008C55AA" w:rsidP="00983013">
      <w:pPr>
        <w:spacing w:after="0" w:line="240" w:lineRule="auto"/>
        <w:jc w:val="both"/>
        <w:rPr>
          <w:rFonts w:ascii="Times New Roman" w:hAnsi="Times New Roman" w:cs="Times New Roman"/>
          <w:b/>
          <w:bCs/>
          <w:sz w:val="24"/>
        </w:rPr>
      </w:pPr>
      <w:r w:rsidRPr="00A148F1">
        <w:rPr>
          <w:rFonts w:ascii="Times New Roman" w:hAnsi="Times New Roman" w:cs="Times New Roman"/>
          <w:b/>
          <w:bCs/>
          <w:sz w:val="24"/>
        </w:rPr>
        <w:t>Resumo:</w:t>
      </w:r>
    </w:p>
    <w:p w:rsidR="00886D36" w:rsidRPr="00A148F1" w:rsidRDefault="005557FB" w:rsidP="0098300A">
      <w:pPr>
        <w:spacing w:after="0" w:line="240" w:lineRule="auto"/>
        <w:jc w:val="both"/>
        <w:rPr>
          <w:rFonts w:ascii="Times New Roman" w:hAnsi="Times New Roman" w:cs="Times New Roman"/>
          <w:bCs/>
          <w:sz w:val="24"/>
        </w:rPr>
      </w:pPr>
      <w:r w:rsidRPr="00A148F1">
        <w:rPr>
          <w:rFonts w:ascii="Times New Roman" w:hAnsi="Times New Roman" w:cs="Times New Roman"/>
          <w:bCs/>
          <w:sz w:val="24"/>
        </w:rPr>
        <w:t>No Brasil, por meio de dispositivo expresso na Constituição Federal, os entes públicos devem cumprir limite</w:t>
      </w:r>
      <w:r w:rsidR="004A7766" w:rsidRPr="00A148F1">
        <w:rPr>
          <w:rFonts w:ascii="Times New Roman" w:hAnsi="Times New Roman" w:cs="Times New Roman"/>
          <w:bCs/>
          <w:sz w:val="24"/>
        </w:rPr>
        <w:t xml:space="preserve"> mínimo</w:t>
      </w:r>
      <w:r w:rsidRPr="00A148F1">
        <w:rPr>
          <w:rFonts w:ascii="Times New Roman" w:hAnsi="Times New Roman" w:cs="Times New Roman"/>
          <w:bCs/>
          <w:sz w:val="24"/>
        </w:rPr>
        <w:t xml:space="preserve"> de aplicação em</w:t>
      </w:r>
      <w:r w:rsidR="00A00A47" w:rsidRPr="00A148F1">
        <w:rPr>
          <w:rFonts w:ascii="Times New Roman" w:hAnsi="Times New Roman" w:cs="Times New Roman"/>
          <w:bCs/>
          <w:sz w:val="24"/>
        </w:rPr>
        <w:t xml:space="preserve"> Ações e Serviços Públicos em</w:t>
      </w:r>
      <w:r w:rsidRPr="00A148F1">
        <w:rPr>
          <w:rFonts w:ascii="Times New Roman" w:hAnsi="Times New Roman" w:cs="Times New Roman"/>
          <w:bCs/>
          <w:sz w:val="24"/>
        </w:rPr>
        <w:t xml:space="preserve"> Saúde</w:t>
      </w:r>
      <w:r w:rsidR="00A00A47" w:rsidRPr="00A148F1">
        <w:rPr>
          <w:rFonts w:ascii="Times New Roman" w:hAnsi="Times New Roman" w:cs="Times New Roman"/>
          <w:bCs/>
          <w:sz w:val="24"/>
        </w:rPr>
        <w:t xml:space="preserve"> (ASPS)</w:t>
      </w:r>
      <w:r w:rsidR="00CA5E17" w:rsidRPr="00A148F1">
        <w:rPr>
          <w:rFonts w:ascii="Times New Roman" w:hAnsi="Times New Roman" w:cs="Times New Roman"/>
          <w:bCs/>
          <w:sz w:val="24"/>
        </w:rPr>
        <w:t>. Ness</w:t>
      </w:r>
      <w:r w:rsidRPr="00A148F1">
        <w:rPr>
          <w:rFonts w:ascii="Times New Roman" w:hAnsi="Times New Roman" w:cs="Times New Roman"/>
          <w:bCs/>
          <w:sz w:val="24"/>
        </w:rPr>
        <w:t>e sentido, o objetivo deste arti</w:t>
      </w:r>
      <w:r w:rsidR="0086325E" w:rsidRPr="00A148F1">
        <w:rPr>
          <w:rFonts w:ascii="Times New Roman" w:hAnsi="Times New Roman" w:cs="Times New Roman"/>
          <w:bCs/>
          <w:sz w:val="24"/>
        </w:rPr>
        <w:t xml:space="preserve">go é evidenciar o desempenho do Município de Florianópolis - SC em relação ao cumprimento dos limites constitucionais de aplicação mínima em saúde no período de 2000 a 2015. </w:t>
      </w:r>
      <w:r w:rsidR="005736AC" w:rsidRPr="00A148F1">
        <w:rPr>
          <w:rFonts w:ascii="Times New Roman" w:hAnsi="Times New Roman" w:cs="Times New Roman"/>
          <w:bCs/>
          <w:sz w:val="24"/>
        </w:rPr>
        <w:t>E</w:t>
      </w:r>
      <w:r w:rsidR="0086325E" w:rsidRPr="00A148F1">
        <w:rPr>
          <w:rFonts w:ascii="Times New Roman" w:hAnsi="Times New Roman" w:cs="Times New Roman"/>
          <w:bCs/>
          <w:sz w:val="24"/>
        </w:rPr>
        <w:t xml:space="preserve">sta pesquisa é classificada como descritiva, </w:t>
      </w:r>
      <w:r w:rsidR="00A00A47" w:rsidRPr="00A148F1">
        <w:rPr>
          <w:rFonts w:ascii="Times New Roman" w:hAnsi="Times New Roman" w:cs="Times New Roman"/>
          <w:bCs/>
          <w:sz w:val="24"/>
        </w:rPr>
        <w:t xml:space="preserve">com </w:t>
      </w:r>
      <w:r w:rsidR="007C2E2C" w:rsidRPr="00A148F1">
        <w:rPr>
          <w:rFonts w:ascii="Times New Roman" w:hAnsi="Times New Roman" w:cs="Times New Roman"/>
          <w:bCs/>
          <w:sz w:val="24"/>
        </w:rPr>
        <w:t xml:space="preserve">abordagem do problema </w:t>
      </w:r>
      <w:r w:rsidR="004A7766" w:rsidRPr="00A148F1">
        <w:rPr>
          <w:rFonts w:ascii="Times New Roman" w:hAnsi="Times New Roman" w:cs="Times New Roman"/>
          <w:bCs/>
          <w:sz w:val="24"/>
        </w:rPr>
        <w:t>qualitativa e quantitativa</w:t>
      </w:r>
      <w:r w:rsidR="0086325E" w:rsidRPr="00A148F1">
        <w:rPr>
          <w:rFonts w:ascii="Times New Roman" w:hAnsi="Times New Roman" w:cs="Times New Roman"/>
          <w:bCs/>
          <w:sz w:val="24"/>
        </w:rPr>
        <w:t xml:space="preserve">. </w:t>
      </w:r>
      <w:r w:rsidR="004E63DC" w:rsidRPr="00A148F1">
        <w:rPr>
          <w:rFonts w:ascii="Times New Roman" w:hAnsi="Times New Roman" w:cs="Times New Roman"/>
          <w:bCs/>
          <w:sz w:val="24"/>
        </w:rPr>
        <w:t>Quanto aos procedimentos</w:t>
      </w:r>
      <w:r w:rsidR="0080096B" w:rsidRPr="00A148F1">
        <w:rPr>
          <w:rFonts w:ascii="Times New Roman" w:hAnsi="Times New Roman" w:cs="Times New Roman"/>
          <w:bCs/>
          <w:sz w:val="24"/>
        </w:rPr>
        <w:t>, a</w:t>
      </w:r>
      <w:r w:rsidR="004E63DC" w:rsidRPr="00A148F1">
        <w:rPr>
          <w:rFonts w:ascii="Times New Roman" w:hAnsi="Times New Roman" w:cs="Times New Roman"/>
          <w:bCs/>
          <w:sz w:val="24"/>
        </w:rPr>
        <w:t xml:space="preserve"> pesquisa</w:t>
      </w:r>
      <w:r w:rsidR="00A00A47" w:rsidRPr="00A148F1">
        <w:rPr>
          <w:rFonts w:ascii="Times New Roman" w:hAnsi="Times New Roman" w:cs="Times New Roman"/>
          <w:bCs/>
          <w:sz w:val="24"/>
        </w:rPr>
        <w:t xml:space="preserve"> é </w:t>
      </w:r>
      <w:r w:rsidR="0084647B" w:rsidRPr="00A148F1">
        <w:rPr>
          <w:rFonts w:ascii="Times New Roman" w:hAnsi="Times New Roman" w:cs="Times New Roman"/>
          <w:bCs/>
          <w:sz w:val="24"/>
        </w:rPr>
        <w:t xml:space="preserve">documental, sendo os </w:t>
      </w:r>
      <w:r w:rsidR="004E63DC" w:rsidRPr="00A148F1">
        <w:rPr>
          <w:rFonts w:ascii="Times New Roman" w:hAnsi="Times New Roman" w:cs="Times New Roman"/>
          <w:bCs/>
          <w:sz w:val="24"/>
        </w:rPr>
        <w:t>documentos de fontes primárias e secundárias</w:t>
      </w:r>
      <w:r w:rsidR="000240D2" w:rsidRPr="00A148F1">
        <w:rPr>
          <w:rFonts w:ascii="Times New Roman" w:hAnsi="Times New Roman" w:cs="Times New Roman"/>
          <w:bCs/>
          <w:sz w:val="24"/>
        </w:rPr>
        <w:t xml:space="preserve">. Por meio da análise </w:t>
      </w:r>
      <w:r w:rsidR="009C3A88" w:rsidRPr="00A148F1">
        <w:rPr>
          <w:rFonts w:ascii="Times New Roman" w:hAnsi="Times New Roman" w:cs="Times New Roman"/>
          <w:bCs/>
          <w:sz w:val="24"/>
        </w:rPr>
        <w:t xml:space="preserve">dos demonstrativos contábeis da Prefeitura Municipal de Florianópolis (PMF) </w:t>
      </w:r>
      <w:r w:rsidR="004A7766" w:rsidRPr="00A148F1">
        <w:rPr>
          <w:rFonts w:ascii="Times New Roman" w:hAnsi="Times New Roman" w:cs="Times New Roman"/>
          <w:bCs/>
          <w:sz w:val="24"/>
        </w:rPr>
        <w:t>e de</w:t>
      </w:r>
      <w:r w:rsidR="000240D2" w:rsidRPr="00A148F1">
        <w:rPr>
          <w:rFonts w:ascii="Times New Roman" w:hAnsi="Times New Roman" w:cs="Times New Roman"/>
          <w:bCs/>
          <w:sz w:val="24"/>
        </w:rPr>
        <w:t xml:space="preserve"> dados dos pareceres </w:t>
      </w:r>
      <w:r w:rsidR="007C2E2C" w:rsidRPr="00A148F1">
        <w:rPr>
          <w:rFonts w:ascii="Times New Roman" w:hAnsi="Times New Roman" w:cs="Times New Roman"/>
          <w:bCs/>
          <w:sz w:val="24"/>
        </w:rPr>
        <w:t xml:space="preserve">prévios </w:t>
      </w:r>
      <w:r w:rsidR="000240D2" w:rsidRPr="00A148F1">
        <w:rPr>
          <w:rFonts w:ascii="Times New Roman" w:hAnsi="Times New Roman" w:cs="Times New Roman"/>
          <w:bCs/>
          <w:sz w:val="24"/>
        </w:rPr>
        <w:t>do Tribunal de Contas do Estado de Santa Catarina</w:t>
      </w:r>
      <w:r w:rsidR="009C3A88" w:rsidRPr="00A148F1">
        <w:rPr>
          <w:rFonts w:ascii="Times New Roman" w:hAnsi="Times New Roman" w:cs="Times New Roman"/>
          <w:bCs/>
          <w:sz w:val="24"/>
        </w:rPr>
        <w:t xml:space="preserve"> (TCE/SC)</w:t>
      </w:r>
      <w:r w:rsidR="000240D2" w:rsidRPr="00A148F1">
        <w:rPr>
          <w:rFonts w:ascii="Times New Roman" w:hAnsi="Times New Roman" w:cs="Times New Roman"/>
          <w:bCs/>
          <w:sz w:val="24"/>
        </w:rPr>
        <w:t xml:space="preserve">, pôde-se conhecer o cumprimento da exigência constitucional </w:t>
      </w:r>
      <w:r w:rsidR="001B69A5" w:rsidRPr="00A148F1">
        <w:rPr>
          <w:rFonts w:ascii="Times New Roman" w:hAnsi="Times New Roman" w:cs="Times New Roman"/>
          <w:bCs/>
          <w:sz w:val="24"/>
        </w:rPr>
        <w:t xml:space="preserve">imposta ao </w:t>
      </w:r>
      <w:r w:rsidR="00A00A47" w:rsidRPr="00A148F1">
        <w:rPr>
          <w:rFonts w:ascii="Times New Roman" w:hAnsi="Times New Roman" w:cs="Times New Roman"/>
          <w:bCs/>
          <w:sz w:val="24"/>
        </w:rPr>
        <w:t>Município</w:t>
      </w:r>
      <w:r w:rsidR="000240D2" w:rsidRPr="00A148F1">
        <w:rPr>
          <w:rFonts w:ascii="Times New Roman" w:hAnsi="Times New Roman" w:cs="Times New Roman"/>
          <w:bCs/>
          <w:sz w:val="24"/>
        </w:rPr>
        <w:t xml:space="preserve">. </w:t>
      </w:r>
      <w:r w:rsidR="00FC1F7A" w:rsidRPr="00A148F1">
        <w:rPr>
          <w:rFonts w:ascii="Times New Roman" w:hAnsi="Times New Roman" w:cs="Times New Roman"/>
          <w:bCs/>
          <w:sz w:val="24"/>
        </w:rPr>
        <w:t>Conclui</w:t>
      </w:r>
      <w:r w:rsidR="009C3A88" w:rsidRPr="00A148F1">
        <w:rPr>
          <w:rFonts w:ascii="Times New Roman" w:hAnsi="Times New Roman" w:cs="Times New Roman"/>
          <w:bCs/>
          <w:sz w:val="24"/>
        </w:rPr>
        <w:t>-se que a PMF</w:t>
      </w:r>
      <w:r w:rsidR="00FC1F7A" w:rsidRPr="00A148F1">
        <w:rPr>
          <w:rFonts w:ascii="Times New Roman" w:hAnsi="Times New Roman" w:cs="Times New Roman"/>
          <w:bCs/>
          <w:sz w:val="24"/>
        </w:rPr>
        <w:t xml:space="preserve"> cumpriu o limite mínimo de aplicação em quase </w:t>
      </w:r>
      <w:r w:rsidR="00A00A47" w:rsidRPr="00A148F1">
        <w:rPr>
          <w:rFonts w:ascii="Times New Roman" w:hAnsi="Times New Roman" w:cs="Times New Roman"/>
          <w:bCs/>
          <w:sz w:val="24"/>
        </w:rPr>
        <w:t>todos os an</w:t>
      </w:r>
      <w:bookmarkStart w:id="0" w:name="_GoBack"/>
      <w:bookmarkEnd w:id="0"/>
      <w:r w:rsidR="00A00A47" w:rsidRPr="00A148F1">
        <w:rPr>
          <w:rFonts w:ascii="Times New Roman" w:hAnsi="Times New Roman" w:cs="Times New Roman"/>
          <w:bCs/>
          <w:sz w:val="24"/>
        </w:rPr>
        <w:t>os analisados</w:t>
      </w:r>
      <w:r w:rsidR="007C2E2C" w:rsidRPr="00A148F1">
        <w:rPr>
          <w:rFonts w:ascii="Times New Roman" w:hAnsi="Times New Roman" w:cs="Times New Roman"/>
          <w:bCs/>
          <w:sz w:val="24"/>
        </w:rPr>
        <w:t>.</w:t>
      </w:r>
      <w:r w:rsidR="00FC1F7A" w:rsidRPr="00A148F1">
        <w:rPr>
          <w:rFonts w:ascii="Times New Roman" w:hAnsi="Times New Roman" w:cs="Times New Roman"/>
          <w:bCs/>
          <w:sz w:val="24"/>
        </w:rPr>
        <w:t xml:space="preserve"> </w:t>
      </w:r>
      <w:r w:rsidR="007C2E2C" w:rsidRPr="00A148F1">
        <w:rPr>
          <w:rFonts w:ascii="Times New Roman" w:hAnsi="Times New Roman" w:cs="Times New Roman"/>
          <w:bCs/>
          <w:sz w:val="24"/>
        </w:rPr>
        <w:t>Os anos em que não houve o c</w:t>
      </w:r>
      <w:r w:rsidR="00E85475" w:rsidRPr="00A148F1">
        <w:rPr>
          <w:rFonts w:ascii="Times New Roman" w:hAnsi="Times New Roman" w:cs="Times New Roman"/>
          <w:bCs/>
          <w:sz w:val="24"/>
        </w:rPr>
        <w:t xml:space="preserve">umprimento </w:t>
      </w:r>
      <w:r w:rsidR="002B6E57" w:rsidRPr="00A148F1">
        <w:rPr>
          <w:rFonts w:ascii="Times New Roman" w:hAnsi="Times New Roman" w:cs="Times New Roman"/>
          <w:bCs/>
          <w:sz w:val="24"/>
        </w:rPr>
        <w:t>do percentual mínimo</w:t>
      </w:r>
      <w:r w:rsidR="00E85475" w:rsidRPr="00A148F1">
        <w:rPr>
          <w:rFonts w:ascii="Times New Roman" w:hAnsi="Times New Roman" w:cs="Times New Roman"/>
          <w:bCs/>
          <w:sz w:val="24"/>
        </w:rPr>
        <w:t xml:space="preserve"> foram</w:t>
      </w:r>
      <w:r w:rsidR="002B6E57" w:rsidRPr="00A148F1">
        <w:rPr>
          <w:rFonts w:ascii="Times New Roman" w:hAnsi="Times New Roman" w:cs="Times New Roman"/>
          <w:bCs/>
          <w:sz w:val="24"/>
        </w:rPr>
        <w:t>:</w:t>
      </w:r>
      <w:r w:rsidR="00E85475" w:rsidRPr="00A148F1">
        <w:rPr>
          <w:rFonts w:ascii="Times New Roman" w:hAnsi="Times New Roman" w:cs="Times New Roman"/>
          <w:bCs/>
          <w:sz w:val="24"/>
        </w:rPr>
        <w:t xml:space="preserve"> </w:t>
      </w:r>
      <w:r w:rsidR="007C2E2C" w:rsidRPr="00A148F1">
        <w:rPr>
          <w:rFonts w:ascii="Times New Roman" w:hAnsi="Times New Roman" w:cs="Times New Roman"/>
          <w:bCs/>
          <w:sz w:val="24"/>
        </w:rPr>
        <w:t>2001 e 2003</w:t>
      </w:r>
      <w:r w:rsidR="00E85475" w:rsidRPr="00A148F1">
        <w:rPr>
          <w:rFonts w:ascii="Times New Roman" w:hAnsi="Times New Roman" w:cs="Times New Roman"/>
          <w:bCs/>
          <w:sz w:val="24"/>
        </w:rPr>
        <w:t>,</w:t>
      </w:r>
      <w:r w:rsidR="00FC1F7A" w:rsidRPr="00A148F1">
        <w:rPr>
          <w:rFonts w:ascii="Times New Roman" w:hAnsi="Times New Roman" w:cs="Times New Roman"/>
          <w:bCs/>
          <w:sz w:val="24"/>
        </w:rPr>
        <w:t xml:space="preserve"> co</w:t>
      </w:r>
      <w:r w:rsidR="007C2E2C" w:rsidRPr="00A148F1">
        <w:rPr>
          <w:rFonts w:ascii="Times New Roman" w:hAnsi="Times New Roman" w:cs="Times New Roman"/>
          <w:bCs/>
          <w:sz w:val="24"/>
        </w:rPr>
        <w:t>nforme</w:t>
      </w:r>
      <w:r w:rsidR="00FC1F7A" w:rsidRPr="00A148F1">
        <w:rPr>
          <w:rFonts w:ascii="Times New Roman" w:hAnsi="Times New Roman" w:cs="Times New Roman"/>
          <w:bCs/>
          <w:sz w:val="24"/>
        </w:rPr>
        <w:t xml:space="preserve"> dados do TCE/SC</w:t>
      </w:r>
      <w:r w:rsidR="002B6E57" w:rsidRPr="00A148F1">
        <w:rPr>
          <w:rFonts w:ascii="Times New Roman" w:hAnsi="Times New Roman" w:cs="Times New Roman"/>
          <w:bCs/>
          <w:sz w:val="24"/>
        </w:rPr>
        <w:t>;</w:t>
      </w:r>
      <w:r w:rsidR="00FC1F7A" w:rsidRPr="00A148F1">
        <w:rPr>
          <w:rFonts w:ascii="Times New Roman" w:hAnsi="Times New Roman" w:cs="Times New Roman"/>
          <w:bCs/>
          <w:sz w:val="24"/>
        </w:rPr>
        <w:t xml:space="preserve"> e 2002 e 2003</w:t>
      </w:r>
      <w:r w:rsidR="00E85475" w:rsidRPr="00A148F1">
        <w:rPr>
          <w:rFonts w:ascii="Times New Roman" w:hAnsi="Times New Roman" w:cs="Times New Roman"/>
          <w:bCs/>
          <w:sz w:val="24"/>
        </w:rPr>
        <w:t>,</w:t>
      </w:r>
      <w:r w:rsidR="00FC1F7A" w:rsidRPr="00A148F1">
        <w:rPr>
          <w:rFonts w:ascii="Times New Roman" w:hAnsi="Times New Roman" w:cs="Times New Roman"/>
          <w:bCs/>
          <w:sz w:val="24"/>
        </w:rPr>
        <w:t xml:space="preserve"> co</w:t>
      </w:r>
      <w:r w:rsidR="007C2E2C" w:rsidRPr="00A148F1">
        <w:rPr>
          <w:rFonts w:ascii="Times New Roman" w:hAnsi="Times New Roman" w:cs="Times New Roman"/>
          <w:bCs/>
          <w:sz w:val="24"/>
        </w:rPr>
        <w:t>nforme</w:t>
      </w:r>
      <w:r w:rsidR="00FC1F7A" w:rsidRPr="00A148F1">
        <w:rPr>
          <w:rFonts w:ascii="Times New Roman" w:hAnsi="Times New Roman" w:cs="Times New Roman"/>
          <w:bCs/>
          <w:sz w:val="24"/>
        </w:rPr>
        <w:t xml:space="preserve"> dados da </w:t>
      </w:r>
      <w:r w:rsidR="009C3A88" w:rsidRPr="00A148F1">
        <w:rPr>
          <w:rFonts w:ascii="Times New Roman" w:hAnsi="Times New Roman" w:cs="Times New Roman"/>
          <w:bCs/>
          <w:sz w:val="24"/>
        </w:rPr>
        <w:t>PMF</w:t>
      </w:r>
      <w:r w:rsidR="00FC1F7A" w:rsidRPr="00A148F1">
        <w:rPr>
          <w:rFonts w:ascii="Times New Roman" w:hAnsi="Times New Roman" w:cs="Times New Roman"/>
          <w:bCs/>
          <w:sz w:val="24"/>
        </w:rPr>
        <w:t xml:space="preserve">. </w:t>
      </w:r>
      <w:r w:rsidR="002B6E57" w:rsidRPr="00A148F1">
        <w:rPr>
          <w:rFonts w:ascii="Times New Roman" w:hAnsi="Times New Roman" w:cs="Times New Roman"/>
          <w:bCs/>
          <w:sz w:val="24"/>
        </w:rPr>
        <w:t xml:space="preserve">Todavia, tais anos </w:t>
      </w:r>
      <w:r w:rsidR="0084647B" w:rsidRPr="00A148F1">
        <w:rPr>
          <w:rFonts w:ascii="Times New Roman" w:hAnsi="Times New Roman" w:cs="Times New Roman"/>
          <w:bCs/>
          <w:sz w:val="24"/>
        </w:rPr>
        <w:t>foram</w:t>
      </w:r>
      <w:r w:rsidR="002B6E57" w:rsidRPr="00A148F1">
        <w:rPr>
          <w:rFonts w:ascii="Times New Roman" w:hAnsi="Times New Roman" w:cs="Times New Roman"/>
          <w:bCs/>
          <w:sz w:val="24"/>
        </w:rPr>
        <w:t xml:space="preserve"> </w:t>
      </w:r>
      <w:r w:rsidR="008506BE" w:rsidRPr="00A148F1">
        <w:rPr>
          <w:rFonts w:ascii="Times New Roman" w:hAnsi="Times New Roman" w:cs="Times New Roman"/>
          <w:bCs/>
          <w:sz w:val="24"/>
        </w:rPr>
        <w:t>parte de um</w:t>
      </w:r>
      <w:r w:rsidR="002B6E57" w:rsidRPr="00A148F1">
        <w:rPr>
          <w:rFonts w:ascii="Times New Roman" w:hAnsi="Times New Roman" w:cs="Times New Roman"/>
          <w:bCs/>
          <w:sz w:val="24"/>
        </w:rPr>
        <w:t xml:space="preserve"> período de adaptação</w:t>
      </w:r>
      <w:r w:rsidR="008506BE" w:rsidRPr="00A148F1">
        <w:rPr>
          <w:rFonts w:ascii="Times New Roman" w:hAnsi="Times New Roman" w:cs="Times New Roman"/>
          <w:bCs/>
          <w:sz w:val="24"/>
        </w:rPr>
        <w:t xml:space="preserve"> gradual ao limite</w:t>
      </w:r>
      <w:r w:rsidR="002B6E57" w:rsidRPr="00A148F1">
        <w:rPr>
          <w:rFonts w:ascii="Times New Roman" w:hAnsi="Times New Roman" w:cs="Times New Roman"/>
          <w:bCs/>
          <w:sz w:val="24"/>
        </w:rPr>
        <w:t>, que s</w:t>
      </w:r>
      <w:r w:rsidR="008506BE" w:rsidRPr="00A148F1">
        <w:rPr>
          <w:rFonts w:ascii="Times New Roman" w:hAnsi="Times New Roman" w:cs="Times New Roman"/>
          <w:bCs/>
          <w:sz w:val="24"/>
        </w:rPr>
        <w:t>e</w:t>
      </w:r>
      <w:r w:rsidR="002B6E57" w:rsidRPr="00A148F1">
        <w:rPr>
          <w:rFonts w:ascii="Times New Roman" w:hAnsi="Times New Roman" w:cs="Times New Roman"/>
          <w:bCs/>
          <w:sz w:val="24"/>
        </w:rPr>
        <w:t xml:space="preserve">ria concluído </w:t>
      </w:r>
      <w:r w:rsidR="008506BE" w:rsidRPr="00A148F1">
        <w:rPr>
          <w:rFonts w:ascii="Times New Roman" w:hAnsi="Times New Roman" w:cs="Times New Roman"/>
          <w:bCs/>
          <w:sz w:val="24"/>
        </w:rPr>
        <w:t xml:space="preserve">apenas </w:t>
      </w:r>
      <w:r w:rsidR="002B6E57" w:rsidRPr="00A148F1">
        <w:rPr>
          <w:rFonts w:ascii="Times New Roman" w:hAnsi="Times New Roman" w:cs="Times New Roman"/>
          <w:bCs/>
          <w:sz w:val="24"/>
        </w:rPr>
        <w:t>em 2004.</w:t>
      </w:r>
    </w:p>
    <w:p w:rsidR="007078E7" w:rsidRPr="00A148F1" w:rsidRDefault="007078E7" w:rsidP="0098300A">
      <w:pPr>
        <w:spacing w:after="0" w:line="240" w:lineRule="auto"/>
        <w:jc w:val="both"/>
        <w:rPr>
          <w:rFonts w:ascii="Times New Roman" w:hAnsi="Times New Roman" w:cs="Times New Roman"/>
          <w:bCs/>
          <w:sz w:val="24"/>
        </w:rPr>
      </w:pPr>
    </w:p>
    <w:p w:rsidR="007B6B80" w:rsidRPr="00A148F1" w:rsidRDefault="007B6B80" w:rsidP="0098300A">
      <w:pPr>
        <w:spacing w:after="0" w:line="240" w:lineRule="auto"/>
        <w:jc w:val="both"/>
        <w:rPr>
          <w:rFonts w:ascii="Times New Roman" w:hAnsi="Times New Roman" w:cs="Times New Roman"/>
          <w:sz w:val="24"/>
        </w:rPr>
      </w:pPr>
      <w:r w:rsidRPr="00A148F1">
        <w:rPr>
          <w:rFonts w:ascii="Times New Roman" w:hAnsi="Times New Roman" w:cs="Times New Roman"/>
          <w:b/>
          <w:bCs/>
          <w:sz w:val="24"/>
        </w:rPr>
        <w:t>Palavras-chave:</w:t>
      </w:r>
      <w:r w:rsidR="002E328C" w:rsidRPr="00A148F1">
        <w:rPr>
          <w:rFonts w:ascii="Times New Roman" w:hAnsi="Times New Roman" w:cs="Times New Roman"/>
          <w:sz w:val="24"/>
        </w:rPr>
        <w:t xml:space="preserve"> </w:t>
      </w:r>
      <w:r w:rsidR="0098300A" w:rsidRPr="00A148F1">
        <w:rPr>
          <w:rFonts w:ascii="Times New Roman" w:hAnsi="Times New Roman" w:cs="Times New Roman"/>
          <w:sz w:val="24"/>
        </w:rPr>
        <w:t xml:space="preserve">Aplicação mínima constitucional, </w:t>
      </w:r>
      <w:r w:rsidR="00E20A8E" w:rsidRPr="00A148F1">
        <w:rPr>
          <w:rFonts w:ascii="Times New Roman" w:hAnsi="Times New Roman" w:cs="Times New Roman"/>
          <w:sz w:val="24"/>
        </w:rPr>
        <w:t>Despesa pública</w:t>
      </w:r>
      <w:r w:rsidR="00D2024C" w:rsidRPr="00A148F1">
        <w:rPr>
          <w:rFonts w:ascii="Times New Roman" w:hAnsi="Times New Roman" w:cs="Times New Roman"/>
          <w:sz w:val="24"/>
        </w:rPr>
        <w:t xml:space="preserve">, </w:t>
      </w:r>
      <w:r w:rsidR="00E20A8E" w:rsidRPr="00A148F1">
        <w:rPr>
          <w:rFonts w:ascii="Times New Roman" w:hAnsi="Times New Roman" w:cs="Times New Roman"/>
          <w:sz w:val="24"/>
        </w:rPr>
        <w:t>Despesa</w:t>
      </w:r>
      <w:r w:rsidR="00BA3740" w:rsidRPr="00A148F1">
        <w:rPr>
          <w:rFonts w:ascii="Times New Roman" w:hAnsi="Times New Roman" w:cs="Times New Roman"/>
          <w:sz w:val="24"/>
        </w:rPr>
        <w:t>s</w:t>
      </w:r>
      <w:r w:rsidR="0098300A" w:rsidRPr="00A148F1">
        <w:rPr>
          <w:rFonts w:ascii="Times New Roman" w:hAnsi="Times New Roman" w:cs="Times New Roman"/>
          <w:sz w:val="24"/>
        </w:rPr>
        <w:t xml:space="preserve"> com saúde</w:t>
      </w:r>
      <w:r w:rsidR="00E20A8E" w:rsidRPr="00A148F1">
        <w:rPr>
          <w:rFonts w:ascii="Times New Roman" w:hAnsi="Times New Roman" w:cs="Times New Roman"/>
          <w:sz w:val="24"/>
        </w:rPr>
        <w:t>.</w:t>
      </w:r>
    </w:p>
    <w:p w:rsidR="00B5423A" w:rsidRPr="00A148F1" w:rsidRDefault="00B5423A" w:rsidP="0098300A">
      <w:pPr>
        <w:spacing w:after="0" w:line="240" w:lineRule="auto"/>
        <w:rPr>
          <w:rFonts w:ascii="Times New Roman" w:hAnsi="Times New Roman" w:cs="Times New Roman"/>
          <w:b/>
          <w:bCs/>
          <w:sz w:val="24"/>
        </w:rPr>
      </w:pPr>
    </w:p>
    <w:p w:rsidR="009C7E67" w:rsidRPr="00A148F1" w:rsidRDefault="005F329B" w:rsidP="0098300A">
      <w:pPr>
        <w:spacing w:after="0" w:line="240" w:lineRule="auto"/>
        <w:rPr>
          <w:rFonts w:ascii="Times New Roman" w:hAnsi="Times New Roman" w:cs="Times New Roman"/>
          <w:bCs/>
          <w:sz w:val="24"/>
        </w:rPr>
      </w:pPr>
      <w:r w:rsidRPr="00A148F1">
        <w:rPr>
          <w:rFonts w:ascii="Times New Roman" w:hAnsi="Times New Roman" w:cs="Times New Roman"/>
          <w:b/>
          <w:bCs/>
          <w:sz w:val="24"/>
        </w:rPr>
        <w:t>Área Temática:</w:t>
      </w:r>
      <w:r w:rsidRPr="00A148F1">
        <w:rPr>
          <w:rFonts w:ascii="Times New Roman" w:hAnsi="Times New Roman" w:cs="Times New Roman"/>
          <w:bCs/>
          <w:sz w:val="24"/>
        </w:rPr>
        <w:t xml:space="preserve"> Contabilidade Governamental e do Terceiro Setor.</w:t>
      </w:r>
    </w:p>
    <w:p w:rsidR="00DB4159" w:rsidRPr="00A148F1" w:rsidRDefault="00DB4159" w:rsidP="00E70C56">
      <w:pPr>
        <w:spacing w:after="120" w:line="240" w:lineRule="auto"/>
        <w:rPr>
          <w:rFonts w:ascii="Times New Roman" w:hAnsi="Times New Roman" w:cs="Times New Roman"/>
          <w:b/>
          <w:color w:val="000000"/>
          <w:sz w:val="24"/>
          <w:shd w:val="clear" w:color="auto" w:fill="FFFFFF"/>
        </w:rPr>
      </w:pPr>
      <w:r w:rsidRPr="00A148F1">
        <w:rPr>
          <w:rFonts w:ascii="Times New Roman" w:hAnsi="Times New Roman" w:cs="Times New Roman"/>
          <w:b/>
          <w:color w:val="000000"/>
          <w:sz w:val="24"/>
          <w:shd w:val="clear" w:color="auto" w:fill="FFFFFF"/>
        </w:rPr>
        <w:br w:type="page"/>
      </w:r>
    </w:p>
    <w:p w:rsidR="003959A0" w:rsidRPr="00A148F1" w:rsidRDefault="00EC40EA" w:rsidP="00CB0100">
      <w:pPr>
        <w:pStyle w:val="Ttulo1"/>
        <w:rPr>
          <w:rFonts w:ascii="Times New Roman" w:hAnsi="Times New Roman" w:cs="Times New Roman"/>
          <w:sz w:val="24"/>
          <w:szCs w:val="24"/>
        </w:rPr>
      </w:pPr>
      <w:r w:rsidRPr="00A148F1">
        <w:rPr>
          <w:rFonts w:ascii="Times New Roman" w:hAnsi="Times New Roman" w:cs="Times New Roman"/>
          <w:sz w:val="24"/>
          <w:szCs w:val="24"/>
        </w:rPr>
        <w:lastRenderedPageBreak/>
        <w:t>INTRODUÇÃ</w:t>
      </w:r>
      <w:r w:rsidR="00580DA1" w:rsidRPr="00A148F1">
        <w:rPr>
          <w:rFonts w:ascii="Times New Roman" w:hAnsi="Times New Roman" w:cs="Times New Roman"/>
          <w:sz w:val="24"/>
          <w:szCs w:val="24"/>
        </w:rPr>
        <w:t>O</w:t>
      </w:r>
    </w:p>
    <w:p w:rsidR="00434C3D" w:rsidRPr="00A148F1" w:rsidRDefault="009D5445" w:rsidP="00812D0B">
      <w:pPr>
        <w:spacing w:after="0" w:line="240" w:lineRule="auto"/>
        <w:ind w:firstLine="709"/>
        <w:jc w:val="both"/>
        <w:rPr>
          <w:rFonts w:ascii="Times New Roman" w:hAnsi="Times New Roman" w:cs="Times New Roman"/>
          <w:bCs/>
          <w:sz w:val="24"/>
          <w:szCs w:val="24"/>
        </w:rPr>
      </w:pPr>
      <w:r w:rsidRPr="00A148F1">
        <w:rPr>
          <w:rFonts w:ascii="Times New Roman" w:hAnsi="Times New Roman" w:cs="Times New Roman"/>
          <w:bCs/>
          <w:sz w:val="24"/>
          <w:szCs w:val="24"/>
        </w:rPr>
        <w:t>A correta e eficiente aplicação de recursos públicos é um ass</w:t>
      </w:r>
      <w:r w:rsidR="00E20A8E" w:rsidRPr="00A148F1">
        <w:rPr>
          <w:rFonts w:ascii="Times New Roman" w:hAnsi="Times New Roman" w:cs="Times New Roman"/>
          <w:bCs/>
          <w:sz w:val="24"/>
          <w:szCs w:val="24"/>
        </w:rPr>
        <w:t>unto de crescente interesse na</w:t>
      </w:r>
      <w:r w:rsidR="00335EC5" w:rsidRPr="00A148F1">
        <w:rPr>
          <w:rFonts w:ascii="Times New Roman" w:hAnsi="Times New Roman" w:cs="Times New Roman"/>
          <w:bCs/>
          <w:sz w:val="24"/>
          <w:szCs w:val="24"/>
        </w:rPr>
        <w:t xml:space="preserve"> sociedade brasileira</w:t>
      </w:r>
      <w:r w:rsidRPr="00A148F1">
        <w:rPr>
          <w:rFonts w:ascii="Times New Roman" w:hAnsi="Times New Roman" w:cs="Times New Roman"/>
          <w:bCs/>
          <w:sz w:val="24"/>
          <w:szCs w:val="24"/>
        </w:rPr>
        <w:t xml:space="preserve">, fato que faz com que o Estado </w:t>
      </w:r>
      <w:r w:rsidR="0099504B" w:rsidRPr="00A148F1">
        <w:rPr>
          <w:rFonts w:ascii="Times New Roman" w:hAnsi="Times New Roman" w:cs="Times New Roman"/>
          <w:bCs/>
          <w:sz w:val="24"/>
          <w:szCs w:val="24"/>
        </w:rPr>
        <w:t>tenha que evidenciar</w:t>
      </w:r>
      <w:r w:rsidRPr="00A148F1">
        <w:rPr>
          <w:rFonts w:ascii="Times New Roman" w:hAnsi="Times New Roman" w:cs="Times New Roman"/>
          <w:bCs/>
          <w:sz w:val="24"/>
          <w:szCs w:val="24"/>
        </w:rPr>
        <w:t xml:space="preserve"> como são </w:t>
      </w:r>
      <w:r w:rsidR="0099504B" w:rsidRPr="00A148F1">
        <w:rPr>
          <w:rFonts w:ascii="Times New Roman" w:hAnsi="Times New Roman" w:cs="Times New Roman"/>
          <w:bCs/>
          <w:sz w:val="24"/>
          <w:szCs w:val="24"/>
        </w:rPr>
        <w:t xml:space="preserve">aplicados tais recursos. </w:t>
      </w:r>
      <w:r w:rsidR="00A530EC" w:rsidRPr="00A148F1">
        <w:rPr>
          <w:rFonts w:ascii="Times New Roman" w:hAnsi="Times New Roman" w:cs="Times New Roman"/>
          <w:bCs/>
          <w:sz w:val="24"/>
          <w:szCs w:val="24"/>
        </w:rPr>
        <w:t xml:space="preserve">No Brasil, em relação </w:t>
      </w:r>
      <w:r w:rsidR="00434C3D" w:rsidRPr="00A148F1">
        <w:rPr>
          <w:rFonts w:ascii="Times New Roman" w:hAnsi="Times New Roman" w:cs="Times New Roman"/>
          <w:bCs/>
          <w:sz w:val="24"/>
          <w:szCs w:val="24"/>
        </w:rPr>
        <w:t>à</w:t>
      </w:r>
      <w:r w:rsidR="00A530EC" w:rsidRPr="00A148F1">
        <w:rPr>
          <w:rFonts w:ascii="Times New Roman" w:hAnsi="Times New Roman" w:cs="Times New Roman"/>
          <w:bCs/>
          <w:sz w:val="24"/>
          <w:szCs w:val="24"/>
        </w:rPr>
        <w:t xml:space="preserve"> saúde, </w:t>
      </w:r>
      <w:r w:rsidR="00434C3D" w:rsidRPr="00A148F1">
        <w:rPr>
          <w:rFonts w:ascii="Times New Roman" w:hAnsi="Times New Roman" w:cs="Times New Roman"/>
          <w:bCs/>
          <w:sz w:val="24"/>
          <w:szCs w:val="24"/>
        </w:rPr>
        <w:t>existe desde 1988 o Sistema Único de Saúde (SUS), que é um dos maiores sistemas de saúde do mundo e que foi criado para garantir o acesso integra</w:t>
      </w:r>
      <w:r w:rsidR="006101B4" w:rsidRPr="00A148F1">
        <w:rPr>
          <w:rFonts w:ascii="Times New Roman" w:hAnsi="Times New Roman" w:cs="Times New Roman"/>
          <w:bCs/>
          <w:sz w:val="24"/>
          <w:szCs w:val="24"/>
        </w:rPr>
        <w:t>l e universal de toda população a</w:t>
      </w:r>
      <w:r w:rsidR="00434C3D" w:rsidRPr="00A148F1">
        <w:rPr>
          <w:rFonts w:ascii="Times New Roman" w:hAnsi="Times New Roman" w:cs="Times New Roman"/>
          <w:bCs/>
          <w:sz w:val="24"/>
          <w:szCs w:val="24"/>
        </w:rPr>
        <w:t xml:space="preserve">o atendimento </w:t>
      </w:r>
      <w:r w:rsidR="00CA5E17" w:rsidRPr="00A148F1">
        <w:rPr>
          <w:rFonts w:ascii="Times New Roman" w:hAnsi="Times New Roman" w:cs="Times New Roman"/>
          <w:bCs/>
          <w:sz w:val="24"/>
          <w:szCs w:val="24"/>
        </w:rPr>
        <w:t xml:space="preserve">do </w:t>
      </w:r>
      <w:r w:rsidR="00434C3D" w:rsidRPr="00A148F1">
        <w:rPr>
          <w:rFonts w:ascii="Times New Roman" w:hAnsi="Times New Roman" w:cs="Times New Roman"/>
          <w:bCs/>
          <w:sz w:val="24"/>
          <w:szCs w:val="24"/>
        </w:rPr>
        <w:t>mais simples até os mais complexos procedimentos ambulatoriais (MS, 2016).</w:t>
      </w:r>
    </w:p>
    <w:p w:rsidR="00A42C43" w:rsidRPr="00A148F1" w:rsidRDefault="004261B7" w:rsidP="00812D0B">
      <w:pPr>
        <w:spacing w:after="0" w:line="240" w:lineRule="auto"/>
        <w:ind w:firstLine="709"/>
        <w:jc w:val="both"/>
        <w:rPr>
          <w:rFonts w:ascii="Times New Roman" w:hAnsi="Times New Roman" w:cs="Times New Roman"/>
          <w:bCs/>
          <w:sz w:val="24"/>
          <w:szCs w:val="24"/>
        </w:rPr>
      </w:pPr>
      <w:r w:rsidRPr="00A148F1">
        <w:rPr>
          <w:rFonts w:ascii="Times New Roman" w:hAnsi="Times New Roman" w:cs="Times New Roman"/>
          <w:bCs/>
          <w:sz w:val="24"/>
          <w:szCs w:val="24"/>
        </w:rPr>
        <w:t>Desde a criação do SUS, observou-se um aumento nos gastos públicos com saúde no Brasil, que</w:t>
      </w:r>
      <w:r w:rsidR="00CA5E17" w:rsidRPr="00A148F1">
        <w:rPr>
          <w:rFonts w:ascii="Times New Roman" w:hAnsi="Times New Roman" w:cs="Times New Roman"/>
          <w:bCs/>
          <w:sz w:val="24"/>
          <w:szCs w:val="24"/>
        </w:rPr>
        <w:t>,</w:t>
      </w:r>
      <w:r w:rsidRPr="00A148F1">
        <w:rPr>
          <w:rFonts w:ascii="Times New Roman" w:hAnsi="Times New Roman" w:cs="Times New Roman"/>
          <w:bCs/>
          <w:sz w:val="24"/>
          <w:szCs w:val="24"/>
        </w:rPr>
        <w:t xml:space="preserve"> entre os anos d</w:t>
      </w:r>
      <w:r w:rsidR="00DE07BB" w:rsidRPr="00A148F1">
        <w:rPr>
          <w:rFonts w:ascii="Times New Roman" w:hAnsi="Times New Roman" w:cs="Times New Roman"/>
          <w:bCs/>
          <w:sz w:val="24"/>
          <w:szCs w:val="24"/>
        </w:rPr>
        <w:t>e 1995 e 2010, foi em média 3%</w:t>
      </w:r>
      <w:r w:rsidRPr="00A148F1">
        <w:rPr>
          <w:rFonts w:ascii="Times New Roman" w:hAnsi="Times New Roman" w:cs="Times New Roman"/>
          <w:bCs/>
          <w:sz w:val="24"/>
          <w:szCs w:val="24"/>
        </w:rPr>
        <w:t>, mas ficou abaixo do crescimento da maioria dos países de renda média, com</w:t>
      </w:r>
      <w:r w:rsidR="000E3C2E" w:rsidRPr="00A148F1">
        <w:rPr>
          <w:rFonts w:ascii="Times New Roman" w:hAnsi="Times New Roman" w:cs="Times New Roman"/>
          <w:bCs/>
          <w:sz w:val="24"/>
          <w:szCs w:val="24"/>
        </w:rPr>
        <w:t>o</w:t>
      </w:r>
      <w:r w:rsidRPr="00A148F1">
        <w:rPr>
          <w:rFonts w:ascii="Times New Roman" w:hAnsi="Times New Roman" w:cs="Times New Roman"/>
          <w:bCs/>
          <w:sz w:val="24"/>
          <w:szCs w:val="24"/>
        </w:rPr>
        <w:t xml:space="preserve"> China, África do Sul e Turquia, que obtiveram crescimento entre 8% e 12% </w:t>
      </w:r>
      <w:r w:rsidR="0064539C" w:rsidRPr="00A148F1">
        <w:rPr>
          <w:rFonts w:ascii="Times New Roman" w:hAnsi="Times New Roman" w:cs="Times New Roman"/>
          <w:bCs/>
          <w:sz w:val="24"/>
          <w:szCs w:val="24"/>
        </w:rPr>
        <w:t xml:space="preserve">analisados na mesma série histórica </w:t>
      </w:r>
      <w:r w:rsidRPr="00A148F1">
        <w:rPr>
          <w:rFonts w:ascii="Times New Roman" w:hAnsi="Times New Roman" w:cs="Times New Roman"/>
          <w:bCs/>
          <w:sz w:val="24"/>
          <w:szCs w:val="24"/>
        </w:rPr>
        <w:t>(</w:t>
      </w:r>
      <w:r w:rsidR="00941CDC" w:rsidRPr="00A148F1">
        <w:rPr>
          <w:rFonts w:ascii="Times New Roman" w:hAnsi="Times New Roman" w:cs="Times New Roman"/>
          <w:bCs/>
          <w:sz w:val="24"/>
          <w:szCs w:val="24"/>
        </w:rPr>
        <w:t>COUTTOLENC;</w:t>
      </w:r>
      <w:r w:rsidR="00A42C43" w:rsidRPr="00A148F1">
        <w:rPr>
          <w:rFonts w:ascii="Times New Roman" w:hAnsi="Times New Roman" w:cs="Times New Roman"/>
          <w:bCs/>
          <w:sz w:val="24"/>
          <w:szCs w:val="24"/>
        </w:rPr>
        <w:t xml:space="preserve"> </w:t>
      </w:r>
      <w:r w:rsidRPr="00A148F1">
        <w:rPr>
          <w:rFonts w:ascii="Times New Roman" w:hAnsi="Times New Roman" w:cs="Times New Roman"/>
          <w:bCs/>
          <w:sz w:val="24"/>
          <w:szCs w:val="24"/>
        </w:rPr>
        <w:t>GRAGNOLATI</w:t>
      </w:r>
      <w:r w:rsidR="00941CDC" w:rsidRPr="00A148F1">
        <w:rPr>
          <w:rFonts w:ascii="Times New Roman" w:hAnsi="Times New Roman" w:cs="Times New Roman"/>
          <w:bCs/>
          <w:sz w:val="24"/>
          <w:szCs w:val="24"/>
        </w:rPr>
        <w:t>;</w:t>
      </w:r>
      <w:r w:rsidRPr="00A148F1">
        <w:rPr>
          <w:rFonts w:ascii="Times New Roman" w:hAnsi="Times New Roman" w:cs="Times New Roman"/>
          <w:bCs/>
          <w:sz w:val="24"/>
          <w:szCs w:val="24"/>
        </w:rPr>
        <w:t xml:space="preserve"> LINDELOW</w:t>
      </w:r>
      <w:r w:rsidR="00A42C43" w:rsidRPr="00A148F1">
        <w:rPr>
          <w:rFonts w:ascii="Times New Roman" w:hAnsi="Times New Roman" w:cs="Times New Roman"/>
          <w:bCs/>
          <w:sz w:val="24"/>
          <w:szCs w:val="24"/>
        </w:rPr>
        <w:t>, 2013, p. 3).</w:t>
      </w:r>
    </w:p>
    <w:p w:rsidR="00FC2D0B" w:rsidRPr="00A148F1" w:rsidRDefault="00A42C43" w:rsidP="00812D0B">
      <w:pPr>
        <w:spacing w:after="0" w:line="240" w:lineRule="auto"/>
        <w:ind w:firstLine="709"/>
        <w:jc w:val="both"/>
        <w:rPr>
          <w:rFonts w:ascii="Times New Roman" w:hAnsi="Times New Roman" w:cs="Times New Roman"/>
          <w:bCs/>
          <w:sz w:val="24"/>
          <w:szCs w:val="24"/>
        </w:rPr>
      </w:pPr>
      <w:r w:rsidRPr="00A148F1">
        <w:rPr>
          <w:rFonts w:ascii="Times New Roman" w:hAnsi="Times New Roman" w:cs="Times New Roman"/>
          <w:bCs/>
          <w:sz w:val="24"/>
          <w:szCs w:val="24"/>
        </w:rPr>
        <w:t>Para garantir e incentivar os gastos com saúde</w:t>
      </w:r>
      <w:r w:rsidR="00A27EF9" w:rsidRPr="00A148F1">
        <w:rPr>
          <w:rFonts w:ascii="Times New Roman" w:hAnsi="Times New Roman" w:cs="Times New Roman"/>
          <w:bCs/>
          <w:sz w:val="24"/>
          <w:szCs w:val="24"/>
        </w:rPr>
        <w:t>,</w:t>
      </w:r>
      <w:r w:rsidR="00707C01" w:rsidRPr="00A148F1">
        <w:rPr>
          <w:rFonts w:ascii="Times New Roman" w:hAnsi="Times New Roman" w:cs="Times New Roman"/>
          <w:bCs/>
          <w:sz w:val="24"/>
          <w:szCs w:val="24"/>
        </w:rPr>
        <w:t xml:space="preserve"> </w:t>
      </w:r>
      <w:r w:rsidR="00FC2D0B" w:rsidRPr="00A148F1">
        <w:rPr>
          <w:rFonts w:ascii="Times New Roman" w:hAnsi="Times New Roman" w:cs="Times New Roman"/>
          <w:bCs/>
          <w:sz w:val="24"/>
          <w:szCs w:val="24"/>
        </w:rPr>
        <w:t>a Constituição Federal</w:t>
      </w:r>
      <w:r w:rsidR="00A27EF9" w:rsidRPr="00A148F1">
        <w:rPr>
          <w:rFonts w:ascii="Times New Roman" w:hAnsi="Times New Roman" w:cs="Times New Roman"/>
          <w:bCs/>
          <w:sz w:val="24"/>
          <w:szCs w:val="24"/>
        </w:rPr>
        <w:t>,</w:t>
      </w:r>
      <w:r w:rsidR="00FC2D0B" w:rsidRPr="00A148F1">
        <w:rPr>
          <w:rFonts w:ascii="Times New Roman" w:hAnsi="Times New Roman" w:cs="Times New Roman"/>
          <w:bCs/>
          <w:sz w:val="24"/>
          <w:szCs w:val="24"/>
        </w:rPr>
        <w:t xml:space="preserve"> </w:t>
      </w:r>
      <w:r w:rsidR="00941CDC" w:rsidRPr="00A148F1">
        <w:rPr>
          <w:rFonts w:ascii="Times New Roman" w:hAnsi="Times New Roman" w:cs="Times New Roman"/>
          <w:bCs/>
          <w:sz w:val="24"/>
          <w:szCs w:val="24"/>
        </w:rPr>
        <w:t xml:space="preserve">alterada </w:t>
      </w:r>
      <w:r w:rsidR="00F10F36" w:rsidRPr="00A148F1">
        <w:rPr>
          <w:rFonts w:ascii="Times New Roman" w:hAnsi="Times New Roman" w:cs="Times New Roman"/>
          <w:bCs/>
          <w:sz w:val="24"/>
          <w:szCs w:val="24"/>
        </w:rPr>
        <w:t>pela</w:t>
      </w:r>
      <w:r w:rsidR="00FC2D0B" w:rsidRPr="00A148F1">
        <w:rPr>
          <w:rFonts w:ascii="Times New Roman" w:hAnsi="Times New Roman" w:cs="Times New Roman"/>
          <w:bCs/>
          <w:sz w:val="24"/>
          <w:szCs w:val="24"/>
        </w:rPr>
        <w:t xml:space="preserve"> Emenda Constitucional n.º 29/2000</w:t>
      </w:r>
      <w:r w:rsidR="00941CDC" w:rsidRPr="00A148F1">
        <w:rPr>
          <w:rFonts w:ascii="Times New Roman" w:hAnsi="Times New Roman" w:cs="Times New Roman"/>
          <w:bCs/>
          <w:sz w:val="24"/>
          <w:szCs w:val="24"/>
        </w:rPr>
        <w:t>,</w:t>
      </w:r>
      <w:r w:rsidR="00FC2D0B" w:rsidRPr="00A148F1">
        <w:rPr>
          <w:rFonts w:ascii="Times New Roman" w:hAnsi="Times New Roman" w:cs="Times New Roman"/>
          <w:bCs/>
          <w:sz w:val="24"/>
          <w:szCs w:val="24"/>
        </w:rPr>
        <w:t xml:space="preserve"> definiu que os municípios deverão aplicar um mínimo em despesas com saúde, e que a partir do ano de 2004</w:t>
      </w:r>
      <w:r w:rsidR="00707C01" w:rsidRPr="00A148F1">
        <w:rPr>
          <w:rFonts w:ascii="Times New Roman" w:hAnsi="Times New Roman" w:cs="Times New Roman"/>
          <w:bCs/>
          <w:sz w:val="24"/>
          <w:szCs w:val="24"/>
        </w:rPr>
        <w:t>,</w:t>
      </w:r>
      <w:r w:rsidR="00E20A8E" w:rsidRPr="00A148F1">
        <w:rPr>
          <w:rFonts w:ascii="Times New Roman" w:hAnsi="Times New Roman" w:cs="Times New Roman"/>
          <w:bCs/>
          <w:sz w:val="24"/>
          <w:szCs w:val="24"/>
        </w:rPr>
        <w:t xml:space="preserve"> o</w:t>
      </w:r>
      <w:r w:rsidR="00FC2D0B" w:rsidRPr="00A148F1">
        <w:rPr>
          <w:rFonts w:ascii="Times New Roman" w:hAnsi="Times New Roman" w:cs="Times New Roman"/>
          <w:bCs/>
          <w:sz w:val="24"/>
          <w:szCs w:val="24"/>
        </w:rPr>
        <w:t xml:space="preserve"> percentual deveria ser de </w:t>
      </w:r>
      <w:r w:rsidR="009F52E0" w:rsidRPr="00A148F1">
        <w:rPr>
          <w:rFonts w:ascii="Times New Roman" w:hAnsi="Times New Roman" w:cs="Times New Roman"/>
          <w:bCs/>
          <w:sz w:val="24"/>
          <w:szCs w:val="24"/>
        </w:rPr>
        <w:t xml:space="preserve">no mínimo </w:t>
      </w:r>
      <w:r w:rsidR="00E20A8E" w:rsidRPr="00A148F1">
        <w:rPr>
          <w:rFonts w:ascii="Times New Roman" w:hAnsi="Times New Roman" w:cs="Times New Roman"/>
          <w:bCs/>
          <w:sz w:val="24"/>
          <w:szCs w:val="24"/>
        </w:rPr>
        <w:t>15%</w:t>
      </w:r>
      <w:r w:rsidR="00FC2D0B" w:rsidRPr="00A148F1">
        <w:rPr>
          <w:rFonts w:ascii="Times New Roman" w:hAnsi="Times New Roman" w:cs="Times New Roman"/>
          <w:bCs/>
          <w:sz w:val="24"/>
          <w:szCs w:val="24"/>
        </w:rPr>
        <w:t xml:space="preserve"> das arrecadações de impostos (próprios e de transferências).</w:t>
      </w:r>
    </w:p>
    <w:p w:rsidR="00107135" w:rsidRPr="00A148F1" w:rsidRDefault="00A27EF9" w:rsidP="00812D0B">
      <w:pPr>
        <w:spacing w:after="0" w:line="240" w:lineRule="auto"/>
        <w:ind w:firstLine="709"/>
        <w:jc w:val="both"/>
        <w:rPr>
          <w:rFonts w:ascii="Times New Roman" w:hAnsi="Times New Roman" w:cs="Times New Roman"/>
          <w:bCs/>
          <w:sz w:val="24"/>
          <w:szCs w:val="24"/>
        </w:rPr>
      </w:pPr>
      <w:r w:rsidRPr="00A148F1">
        <w:rPr>
          <w:rFonts w:ascii="Times New Roman" w:hAnsi="Times New Roman" w:cs="Times New Roman"/>
          <w:bCs/>
          <w:sz w:val="24"/>
          <w:szCs w:val="24"/>
        </w:rPr>
        <w:t>P</w:t>
      </w:r>
      <w:r w:rsidR="00FC2D0B" w:rsidRPr="00A148F1">
        <w:rPr>
          <w:rFonts w:ascii="Times New Roman" w:hAnsi="Times New Roman" w:cs="Times New Roman"/>
          <w:bCs/>
          <w:sz w:val="24"/>
          <w:szCs w:val="24"/>
        </w:rPr>
        <w:t>ara evidenciar os resultados das aplicações das despesas em saúde, exis</w:t>
      </w:r>
      <w:r w:rsidR="00781670" w:rsidRPr="00A148F1">
        <w:rPr>
          <w:rFonts w:ascii="Times New Roman" w:hAnsi="Times New Roman" w:cs="Times New Roman"/>
          <w:bCs/>
          <w:sz w:val="24"/>
          <w:szCs w:val="24"/>
        </w:rPr>
        <w:t xml:space="preserve">tem </w:t>
      </w:r>
      <w:r w:rsidRPr="00A148F1">
        <w:rPr>
          <w:rFonts w:ascii="Times New Roman" w:hAnsi="Times New Roman" w:cs="Times New Roman"/>
          <w:bCs/>
          <w:sz w:val="24"/>
          <w:szCs w:val="24"/>
        </w:rPr>
        <w:t>demonstrativos emitidos pelo</w:t>
      </w:r>
      <w:r w:rsidR="00E20A8E" w:rsidRPr="00A148F1">
        <w:rPr>
          <w:rFonts w:ascii="Times New Roman" w:hAnsi="Times New Roman" w:cs="Times New Roman"/>
          <w:bCs/>
          <w:sz w:val="24"/>
          <w:szCs w:val="24"/>
        </w:rPr>
        <w:t>s</w:t>
      </w:r>
      <w:r w:rsidRPr="00A148F1">
        <w:rPr>
          <w:rFonts w:ascii="Times New Roman" w:hAnsi="Times New Roman" w:cs="Times New Roman"/>
          <w:bCs/>
          <w:sz w:val="24"/>
          <w:szCs w:val="24"/>
        </w:rPr>
        <w:t xml:space="preserve"> próprio</w:t>
      </w:r>
      <w:r w:rsidR="00E20A8E" w:rsidRPr="00A148F1">
        <w:rPr>
          <w:rFonts w:ascii="Times New Roman" w:hAnsi="Times New Roman" w:cs="Times New Roman"/>
          <w:bCs/>
          <w:sz w:val="24"/>
          <w:szCs w:val="24"/>
        </w:rPr>
        <w:t>s</w:t>
      </w:r>
      <w:r w:rsidRPr="00A148F1">
        <w:rPr>
          <w:rFonts w:ascii="Times New Roman" w:hAnsi="Times New Roman" w:cs="Times New Roman"/>
          <w:bCs/>
          <w:sz w:val="24"/>
          <w:szCs w:val="24"/>
        </w:rPr>
        <w:t xml:space="preserve"> e</w:t>
      </w:r>
      <w:r w:rsidR="00F10F36" w:rsidRPr="00A148F1">
        <w:rPr>
          <w:rFonts w:ascii="Times New Roman" w:hAnsi="Times New Roman" w:cs="Times New Roman"/>
          <w:bCs/>
          <w:sz w:val="24"/>
          <w:szCs w:val="24"/>
        </w:rPr>
        <w:t>nte</w:t>
      </w:r>
      <w:r w:rsidR="00E20A8E" w:rsidRPr="00A148F1">
        <w:rPr>
          <w:rFonts w:ascii="Times New Roman" w:hAnsi="Times New Roman" w:cs="Times New Roman"/>
          <w:bCs/>
          <w:sz w:val="24"/>
          <w:szCs w:val="24"/>
        </w:rPr>
        <w:t>s</w:t>
      </w:r>
      <w:r w:rsidR="00781670" w:rsidRPr="00A148F1">
        <w:rPr>
          <w:rFonts w:ascii="Times New Roman" w:hAnsi="Times New Roman" w:cs="Times New Roman"/>
          <w:bCs/>
          <w:sz w:val="24"/>
          <w:szCs w:val="24"/>
        </w:rPr>
        <w:t xml:space="preserve"> e pareceres emitidos pelo</w:t>
      </w:r>
      <w:r w:rsidR="00941CDC" w:rsidRPr="00A148F1">
        <w:rPr>
          <w:rFonts w:ascii="Times New Roman" w:hAnsi="Times New Roman" w:cs="Times New Roman"/>
          <w:bCs/>
          <w:sz w:val="24"/>
          <w:szCs w:val="24"/>
        </w:rPr>
        <w:t>s Tribunais de Contas</w:t>
      </w:r>
      <w:r w:rsidR="00781670" w:rsidRPr="00A148F1">
        <w:rPr>
          <w:rFonts w:ascii="Times New Roman" w:hAnsi="Times New Roman" w:cs="Times New Roman"/>
          <w:bCs/>
          <w:sz w:val="24"/>
          <w:szCs w:val="24"/>
        </w:rPr>
        <w:t xml:space="preserve">, que demonstram </w:t>
      </w:r>
      <w:r w:rsidR="00FC2D0B" w:rsidRPr="00A148F1">
        <w:rPr>
          <w:rFonts w:ascii="Times New Roman" w:hAnsi="Times New Roman" w:cs="Times New Roman"/>
          <w:bCs/>
          <w:sz w:val="24"/>
          <w:szCs w:val="24"/>
        </w:rPr>
        <w:t>se as apl</w:t>
      </w:r>
      <w:r w:rsidR="00F10F36" w:rsidRPr="00A148F1">
        <w:rPr>
          <w:rFonts w:ascii="Times New Roman" w:hAnsi="Times New Roman" w:cs="Times New Roman"/>
          <w:bCs/>
          <w:sz w:val="24"/>
          <w:szCs w:val="24"/>
        </w:rPr>
        <w:t>icações mínimas foram cumpridas</w:t>
      </w:r>
      <w:r w:rsidR="00FC2D0B" w:rsidRPr="00A148F1">
        <w:rPr>
          <w:rFonts w:ascii="Times New Roman" w:hAnsi="Times New Roman" w:cs="Times New Roman"/>
          <w:bCs/>
          <w:sz w:val="24"/>
          <w:szCs w:val="24"/>
        </w:rPr>
        <w:t xml:space="preserve"> ou não</w:t>
      </w:r>
      <w:r w:rsidRPr="00A148F1">
        <w:rPr>
          <w:rFonts w:ascii="Times New Roman" w:hAnsi="Times New Roman" w:cs="Times New Roman"/>
          <w:bCs/>
          <w:sz w:val="24"/>
          <w:szCs w:val="24"/>
        </w:rPr>
        <w:t>.</w:t>
      </w:r>
      <w:r w:rsidR="00FC2D0B" w:rsidRPr="00A148F1">
        <w:rPr>
          <w:rFonts w:ascii="Times New Roman" w:hAnsi="Times New Roman" w:cs="Times New Roman"/>
          <w:bCs/>
          <w:sz w:val="24"/>
          <w:szCs w:val="24"/>
        </w:rPr>
        <w:t xml:space="preserve"> </w:t>
      </w:r>
    </w:p>
    <w:p w:rsidR="00EA64B2" w:rsidRPr="00A148F1" w:rsidRDefault="00FC2D0B" w:rsidP="00812D0B">
      <w:pPr>
        <w:spacing w:after="0" w:line="240" w:lineRule="auto"/>
        <w:ind w:firstLine="709"/>
        <w:jc w:val="both"/>
        <w:rPr>
          <w:rFonts w:ascii="Times New Roman" w:hAnsi="Times New Roman" w:cs="Times New Roman"/>
          <w:bCs/>
          <w:sz w:val="24"/>
          <w:szCs w:val="24"/>
        </w:rPr>
      </w:pPr>
      <w:r w:rsidRPr="00A148F1">
        <w:rPr>
          <w:rFonts w:ascii="Times New Roman" w:hAnsi="Times New Roman" w:cs="Times New Roman"/>
          <w:bCs/>
          <w:sz w:val="24"/>
          <w:szCs w:val="24"/>
        </w:rPr>
        <w:t xml:space="preserve">O acesso a tais demonstrativos </w:t>
      </w:r>
      <w:r w:rsidR="00A27EF9" w:rsidRPr="00A148F1">
        <w:rPr>
          <w:rFonts w:ascii="Times New Roman" w:hAnsi="Times New Roman" w:cs="Times New Roman"/>
          <w:bCs/>
          <w:sz w:val="24"/>
          <w:szCs w:val="24"/>
        </w:rPr>
        <w:t>é</w:t>
      </w:r>
      <w:r w:rsidR="00F10F36" w:rsidRPr="00A148F1">
        <w:rPr>
          <w:rFonts w:ascii="Times New Roman" w:hAnsi="Times New Roman" w:cs="Times New Roman"/>
          <w:bCs/>
          <w:sz w:val="24"/>
          <w:szCs w:val="24"/>
        </w:rPr>
        <w:t xml:space="preserve"> público. P</w:t>
      </w:r>
      <w:r w:rsidRPr="00A148F1">
        <w:rPr>
          <w:rFonts w:ascii="Times New Roman" w:hAnsi="Times New Roman" w:cs="Times New Roman"/>
          <w:bCs/>
          <w:sz w:val="24"/>
          <w:szCs w:val="24"/>
        </w:rPr>
        <w:t xml:space="preserve">orém, </w:t>
      </w:r>
      <w:r w:rsidR="00F10F36" w:rsidRPr="00A148F1">
        <w:rPr>
          <w:rFonts w:ascii="Times New Roman" w:hAnsi="Times New Roman" w:cs="Times New Roman"/>
          <w:bCs/>
          <w:sz w:val="24"/>
          <w:szCs w:val="24"/>
        </w:rPr>
        <w:t>a análise demanda</w:t>
      </w:r>
      <w:r w:rsidRPr="00A148F1">
        <w:rPr>
          <w:rFonts w:ascii="Times New Roman" w:hAnsi="Times New Roman" w:cs="Times New Roman"/>
          <w:bCs/>
          <w:sz w:val="24"/>
          <w:szCs w:val="24"/>
        </w:rPr>
        <w:t xml:space="preserve"> tempo para coleta</w:t>
      </w:r>
      <w:r w:rsidR="00BA3740" w:rsidRPr="00A148F1">
        <w:rPr>
          <w:rFonts w:ascii="Times New Roman" w:hAnsi="Times New Roman" w:cs="Times New Roman"/>
          <w:bCs/>
          <w:sz w:val="24"/>
          <w:szCs w:val="24"/>
        </w:rPr>
        <w:t xml:space="preserve"> e tabulação</w:t>
      </w:r>
      <w:r w:rsidR="00941CDC" w:rsidRPr="00A148F1">
        <w:rPr>
          <w:rFonts w:ascii="Times New Roman" w:hAnsi="Times New Roman" w:cs="Times New Roman"/>
          <w:bCs/>
          <w:sz w:val="24"/>
          <w:szCs w:val="24"/>
        </w:rPr>
        <w:t xml:space="preserve">, sendo necessários muitas vezes ajustes para que possam ser </w:t>
      </w:r>
      <w:r w:rsidR="00F10F36" w:rsidRPr="00A148F1">
        <w:rPr>
          <w:rFonts w:ascii="Times New Roman" w:hAnsi="Times New Roman" w:cs="Times New Roman"/>
          <w:bCs/>
          <w:sz w:val="24"/>
          <w:szCs w:val="24"/>
        </w:rPr>
        <w:t>corretamente interpretados</w:t>
      </w:r>
      <w:r w:rsidR="00941CDC" w:rsidRPr="00A148F1">
        <w:rPr>
          <w:rFonts w:ascii="Times New Roman" w:hAnsi="Times New Roman" w:cs="Times New Roman"/>
          <w:bCs/>
          <w:sz w:val="24"/>
          <w:szCs w:val="24"/>
        </w:rPr>
        <w:t>.</w:t>
      </w:r>
      <w:r w:rsidR="00107135" w:rsidRPr="00A148F1">
        <w:rPr>
          <w:rFonts w:ascii="Times New Roman" w:hAnsi="Times New Roman" w:cs="Times New Roman"/>
          <w:bCs/>
          <w:sz w:val="24"/>
          <w:szCs w:val="24"/>
        </w:rPr>
        <w:t xml:space="preserve"> </w:t>
      </w:r>
      <w:r w:rsidR="00781670" w:rsidRPr="00A148F1">
        <w:rPr>
          <w:rFonts w:ascii="Times New Roman" w:hAnsi="Times New Roman" w:cs="Times New Roman"/>
          <w:bCs/>
          <w:sz w:val="24"/>
          <w:szCs w:val="24"/>
        </w:rPr>
        <w:t>Deste modo, tornar os dados públicos</w:t>
      </w:r>
      <w:r w:rsidR="00E10B72" w:rsidRPr="00A148F1">
        <w:rPr>
          <w:rFonts w:ascii="Times New Roman" w:hAnsi="Times New Roman" w:cs="Times New Roman"/>
          <w:bCs/>
          <w:sz w:val="24"/>
          <w:szCs w:val="24"/>
        </w:rPr>
        <w:t>,</w:t>
      </w:r>
      <w:r w:rsidR="00781670" w:rsidRPr="00A148F1">
        <w:rPr>
          <w:rFonts w:ascii="Times New Roman" w:hAnsi="Times New Roman" w:cs="Times New Roman"/>
          <w:bCs/>
          <w:sz w:val="24"/>
          <w:szCs w:val="24"/>
        </w:rPr>
        <w:t xml:space="preserve"> e </w:t>
      </w:r>
      <w:r w:rsidR="00CA5E17" w:rsidRPr="00A148F1">
        <w:rPr>
          <w:rFonts w:ascii="Times New Roman" w:hAnsi="Times New Roman" w:cs="Times New Roman"/>
          <w:bCs/>
          <w:sz w:val="24"/>
          <w:szCs w:val="24"/>
        </w:rPr>
        <w:t>mais do que isso, torná</w:t>
      </w:r>
      <w:r w:rsidR="00E10B72" w:rsidRPr="00A148F1">
        <w:rPr>
          <w:rFonts w:ascii="Times New Roman" w:hAnsi="Times New Roman" w:cs="Times New Roman"/>
          <w:bCs/>
          <w:sz w:val="24"/>
          <w:szCs w:val="24"/>
        </w:rPr>
        <w:t xml:space="preserve">-los compreensíveis </w:t>
      </w:r>
      <w:r w:rsidR="004261B7" w:rsidRPr="00A148F1">
        <w:rPr>
          <w:rFonts w:ascii="Times New Roman" w:hAnsi="Times New Roman" w:cs="Times New Roman"/>
          <w:bCs/>
          <w:sz w:val="24"/>
          <w:szCs w:val="24"/>
        </w:rPr>
        <w:t>à</w:t>
      </w:r>
      <w:r w:rsidR="00E10B72" w:rsidRPr="00A148F1">
        <w:rPr>
          <w:rFonts w:ascii="Times New Roman" w:hAnsi="Times New Roman" w:cs="Times New Roman"/>
          <w:bCs/>
          <w:sz w:val="24"/>
          <w:szCs w:val="24"/>
        </w:rPr>
        <w:t xml:space="preserve"> população em geral</w:t>
      </w:r>
      <w:r w:rsidR="001019DF" w:rsidRPr="00A148F1">
        <w:rPr>
          <w:rFonts w:ascii="Times New Roman" w:hAnsi="Times New Roman" w:cs="Times New Roman"/>
          <w:bCs/>
          <w:sz w:val="24"/>
          <w:szCs w:val="24"/>
        </w:rPr>
        <w:t>, é de fundamen</w:t>
      </w:r>
      <w:r w:rsidR="00E10B72" w:rsidRPr="00A148F1">
        <w:rPr>
          <w:rFonts w:ascii="Times New Roman" w:hAnsi="Times New Roman" w:cs="Times New Roman"/>
          <w:bCs/>
          <w:sz w:val="24"/>
          <w:szCs w:val="24"/>
        </w:rPr>
        <w:t>tal importância</w:t>
      </w:r>
      <w:r w:rsidR="00243BDA" w:rsidRPr="00A148F1">
        <w:rPr>
          <w:rFonts w:ascii="Times New Roman" w:hAnsi="Times New Roman" w:cs="Times New Roman"/>
          <w:bCs/>
          <w:sz w:val="24"/>
          <w:szCs w:val="24"/>
        </w:rPr>
        <w:t>.</w:t>
      </w:r>
    </w:p>
    <w:p w:rsidR="00EA64B2" w:rsidRPr="00A148F1" w:rsidRDefault="00EA64B2" w:rsidP="00812D0B">
      <w:pPr>
        <w:spacing w:after="0" w:line="240" w:lineRule="auto"/>
        <w:ind w:firstLine="709"/>
        <w:jc w:val="both"/>
        <w:rPr>
          <w:rFonts w:ascii="Times New Roman" w:hAnsi="Times New Roman" w:cs="Times New Roman"/>
          <w:bCs/>
          <w:sz w:val="24"/>
          <w:szCs w:val="24"/>
        </w:rPr>
      </w:pPr>
      <w:r w:rsidRPr="00A148F1">
        <w:rPr>
          <w:rFonts w:ascii="Times New Roman" w:hAnsi="Times New Roman" w:cs="Times New Roman"/>
          <w:bCs/>
          <w:sz w:val="24"/>
          <w:szCs w:val="24"/>
        </w:rPr>
        <w:t>A pergunta da pesquisa que envolve o problema investigado é</w:t>
      </w:r>
      <w:r w:rsidR="00182F82" w:rsidRPr="00A148F1">
        <w:rPr>
          <w:rFonts w:ascii="Times New Roman" w:hAnsi="Times New Roman" w:cs="Times New Roman"/>
          <w:bCs/>
          <w:sz w:val="24"/>
          <w:szCs w:val="24"/>
        </w:rPr>
        <w:t>: O Município de Florianópolis -</w:t>
      </w:r>
      <w:r w:rsidRPr="00A148F1">
        <w:rPr>
          <w:rFonts w:ascii="Times New Roman" w:hAnsi="Times New Roman" w:cs="Times New Roman"/>
          <w:bCs/>
          <w:sz w:val="24"/>
          <w:szCs w:val="24"/>
        </w:rPr>
        <w:t xml:space="preserve"> SC cumpriu o limite constitucional relativo à aplicação mínima em saúde no período de 2000 a 2015?</w:t>
      </w:r>
    </w:p>
    <w:p w:rsidR="00EA64B2" w:rsidRPr="00A148F1" w:rsidRDefault="00EA64B2" w:rsidP="00812D0B">
      <w:pPr>
        <w:spacing w:after="0" w:line="240" w:lineRule="auto"/>
        <w:ind w:firstLine="709"/>
        <w:jc w:val="both"/>
        <w:rPr>
          <w:rFonts w:ascii="Times New Roman" w:hAnsi="Times New Roman" w:cs="Times New Roman"/>
          <w:bCs/>
          <w:sz w:val="24"/>
          <w:szCs w:val="24"/>
        </w:rPr>
      </w:pPr>
      <w:r w:rsidRPr="00A148F1">
        <w:rPr>
          <w:rFonts w:ascii="Times New Roman" w:hAnsi="Times New Roman" w:cs="Times New Roman"/>
          <w:bCs/>
          <w:sz w:val="24"/>
          <w:szCs w:val="24"/>
        </w:rPr>
        <w:t>O objetivo desta pesquisa é evidenciar o desempenho</w:t>
      </w:r>
      <w:r w:rsidR="00182F82" w:rsidRPr="00A148F1">
        <w:rPr>
          <w:rFonts w:ascii="Times New Roman" w:hAnsi="Times New Roman" w:cs="Times New Roman"/>
          <w:bCs/>
          <w:sz w:val="24"/>
          <w:szCs w:val="24"/>
        </w:rPr>
        <w:t xml:space="preserve"> do Município de Florianópolis -</w:t>
      </w:r>
      <w:r w:rsidRPr="00A148F1">
        <w:rPr>
          <w:rFonts w:ascii="Times New Roman" w:hAnsi="Times New Roman" w:cs="Times New Roman"/>
          <w:bCs/>
          <w:sz w:val="24"/>
          <w:szCs w:val="24"/>
        </w:rPr>
        <w:t xml:space="preserve"> SC em relação ao cumprimento </w:t>
      </w:r>
      <w:r w:rsidR="001A672F" w:rsidRPr="00A148F1">
        <w:rPr>
          <w:rFonts w:ascii="Times New Roman" w:hAnsi="Times New Roman" w:cs="Times New Roman"/>
          <w:bCs/>
          <w:sz w:val="24"/>
          <w:szCs w:val="24"/>
        </w:rPr>
        <w:t>dos limites constitucionais de</w:t>
      </w:r>
      <w:r w:rsidRPr="00A148F1">
        <w:rPr>
          <w:rFonts w:ascii="Times New Roman" w:hAnsi="Times New Roman" w:cs="Times New Roman"/>
          <w:bCs/>
          <w:sz w:val="24"/>
          <w:szCs w:val="24"/>
        </w:rPr>
        <w:t xml:space="preserve"> aplicação mínima em saúde no período de 2000 a 2015.</w:t>
      </w:r>
    </w:p>
    <w:p w:rsidR="00941CDC" w:rsidRPr="00A148F1" w:rsidRDefault="000274AB" w:rsidP="00812D0B">
      <w:pPr>
        <w:spacing w:after="0" w:line="240" w:lineRule="auto"/>
        <w:ind w:firstLine="709"/>
        <w:jc w:val="both"/>
        <w:rPr>
          <w:rFonts w:ascii="Times New Roman" w:hAnsi="Times New Roman" w:cs="Times New Roman"/>
          <w:bCs/>
          <w:sz w:val="24"/>
          <w:szCs w:val="24"/>
        </w:rPr>
      </w:pPr>
      <w:r w:rsidRPr="00A148F1">
        <w:rPr>
          <w:rFonts w:ascii="Times New Roman" w:hAnsi="Times New Roman" w:cs="Times New Roman"/>
          <w:bCs/>
          <w:sz w:val="24"/>
          <w:szCs w:val="24"/>
        </w:rPr>
        <w:t xml:space="preserve">Diante das exigências </w:t>
      </w:r>
      <w:r w:rsidR="00243BDA" w:rsidRPr="00A148F1">
        <w:rPr>
          <w:rFonts w:ascii="Times New Roman" w:hAnsi="Times New Roman" w:cs="Times New Roman"/>
          <w:bCs/>
          <w:sz w:val="24"/>
          <w:szCs w:val="24"/>
        </w:rPr>
        <w:t>normativas</w:t>
      </w:r>
      <w:r w:rsidRPr="00A148F1">
        <w:rPr>
          <w:rFonts w:ascii="Times New Roman" w:hAnsi="Times New Roman" w:cs="Times New Roman"/>
          <w:bCs/>
          <w:sz w:val="24"/>
          <w:szCs w:val="24"/>
        </w:rPr>
        <w:t xml:space="preserve"> existentes e de acordo com os demonstrativos </w:t>
      </w:r>
      <w:r w:rsidR="00107135" w:rsidRPr="00A148F1">
        <w:rPr>
          <w:rFonts w:ascii="Times New Roman" w:hAnsi="Times New Roman" w:cs="Times New Roman"/>
          <w:bCs/>
          <w:sz w:val="24"/>
          <w:szCs w:val="24"/>
        </w:rPr>
        <w:t xml:space="preserve">e pareceres </w:t>
      </w:r>
      <w:r w:rsidRPr="00A148F1">
        <w:rPr>
          <w:rFonts w:ascii="Times New Roman" w:hAnsi="Times New Roman" w:cs="Times New Roman"/>
          <w:bCs/>
          <w:sz w:val="24"/>
          <w:szCs w:val="24"/>
        </w:rPr>
        <w:t xml:space="preserve">estudados, este artigo apresenta </w:t>
      </w:r>
      <w:r w:rsidR="007B49C8" w:rsidRPr="00A148F1">
        <w:rPr>
          <w:rFonts w:ascii="Times New Roman" w:hAnsi="Times New Roman" w:cs="Times New Roman"/>
          <w:bCs/>
          <w:sz w:val="24"/>
          <w:szCs w:val="24"/>
        </w:rPr>
        <w:t>os dados d</w:t>
      </w:r>
      <w:r w:rsidR="00243BDA" w:rsidRPr="00A148F1">
        <w:rPr>
          <w:rFonts w:ascii="Times New Roman" w:hAnsi="Times New Roman" w:cs="Times New Roman"/>
          <w:bCs/>
          <w:sz w:val="24"/>
          <w:szCs w:val="24"/>
        </w:rPr>
        <w:t>as</w:t>
      </w:r>
      <w:r w:rsidR="007B49C8" w:rsidRPr="00A148F1">
        <w:rPr>
          <w:rFonts w:ascii="Times New Roman" w:hAnsi="Times New Roman" w:cs="Times New Roman"/>
          <w:bCs/>
          <w:sz w:val="24"/>
          <w:szCs w:val="24"/>
        </w:rPr>
        <w:t xml:space="preserve"> receitas e despesas </w:t>
      </w:r>
      <w:r w:rsidR="00243BDA" w:rsidRPr="00A148F1">
        <w:rPr>
          <w:rFonts w:ascii="Times New Roman" w:hAnsi="Times New Roman" w:cs="Times New Roman"/>
          <w:bCs/>
          <w:sz w:val="24"/>
          <w:szCs w:val="24"/>
        </w:rPr>
        <w:t xml:space="preserve">com saúde, </w:t>
      </w:r>
      <w:r w:rsidR="007B49C8" w:rsidRPr="00A148F1">
        <w:rPr>
          <w:rFonts w:ascii="Times New Roman" w:hAnsi="Times New Roman" w:cs="Times New Roman"/>
          <w:bCs/>
          <w:sz w:val="24"/>
          <w:szCs w:val="24"/>
        </w:rPr>
        <w:t>relativos à apuração do limite mínimo consti</w:t>
      </w:r>
      <w:r w:rsidR="00445035" w:rsidRPr="00A148F1">
        <w:rPr>
          <w:rFonts w:ascii="Times New Roman" w:hAnsi="Times New Roman" w:cs="Times New Roman"/>
          <w:bCs/>
          <w:sz w:val="24"/>
          <w:szCs w:val="24"/>
        </w:rPr>
        <w:t>tucional, em termos percentuais</w:t>
      </w:r>
      <w:r w:rsidR="006C093E" w:rsidRPr="00A148F1">
        <w:rPr>
          <w:rFonts w:ascii="Times New Roman" w:hAnsi="Times New Roman" w:cs="Times New Roman"/>
          <w:bCs/>
          <w:sz w:val="24"/>
          <w:szCs w:val="24"/>
        </w:rPr>
        <w:t>. Adicionalmente</w:t>
      </w:r>
      <w:r w:rsidR="00107135" w:rsidRPr="00A148F1">
        <w:rPr>
          <w:rFonts w:ascii="Times New Roman" w:hAnsi="Times New Roman" w:cs="Times New Roman"/>
          <w:bCs/>
          <w:sz w:val="24"/>
          <w:szCs w:val="24"/>
        </w:rPr>
        <w:t>,</w:t>
      </w:r>
      <w:r w:rsidR="006C093E" w:rsidRPr="00A148F1">
        <w:rPr>
          <w:rFonts w:ascii="Times New Roman" w:hAnsi="Times New Roman" w:cs="Times New Roman"/>
          <w:bCs/>
          <w:sz w:val="24"/>
          <w:szCs w:val="24"/>
        </w:rPr>
        <w:t xml:space="preserve"> é feita a comparação dos dados c</w:t>
      </w:r>
      <w:r w:rsidR="00243BDA" w:rsidRPr="00A148F1">
        <w:rPr>
          <w:rFonts w:ascii="Times New Roman" w:hAnsi="Times New Roman" w:cs="Times New Roman"/>
          <w:bCs/>
          <w:sz w:val="24"/>
          <w:szCs w:val="24"/>
        </w:rPr>
        <w:t>oletados n</w:t>
      </w:r>
      <w:r w:rsidR="00FC2D0B" w:rsidRPr="00A148F1">
        <w:rPr>
          <w:rFonts w:ascii="Times New Roman" w:hAnsi="Times New Roman" w:cs="Times New Roman"/>
          <w:bCs/>
          <w:sz w:val="24"/>
          <w:szCs w:val="24"/>
        </w:rPr>
        <w:t>os demonstrativos do M</w:t>
      </w:r>
      <w:r w:rsidR="006C093E" w:rsidRPr="00A148F1">
        <w:rPr>
          <w:rFonts w:ascii="Times New Roman" w:hAnsi="Times New Roman" w:cs="Times New Roman"/>
          <w:bCs/>
          <w:sz w:val="24"/>
          <w:szCs w:val="24"/>
        </w:rPr>
        <w:t xml:space="preserve">unicípio com os </w:t>
      </w:r>
      <w:r w:rsidR="00243BDA" w:rsidRPr="00A148F1">
        <w:rPr>
          <w:rFonts w:ascii="Times New Roman" w:hAnsi="Times New Roman" w:cs="Times New Roman"/>
          <w:bCs/>
          <w:sz w:val="24"/>
          <w:szCs w:val="24"/>
        </w:rPr>
        <w:t xml:space="preserve">dados provenientes dos </w:t>
      </w:r>
      <w:r w:rsidR="006C093E" w:rsidRPr="00A148F1">
        <w:rPr>
          <w:rFonts w:ascii="Times New Roman" w:hAnsi="Times New Roman" w:cs="Times New Roman"/>
          <w:bCs/>
          <w:sz w:val="24"/>
          <w:szCs w:val="24"/>
        </w:rPr>
        <w:t>pareceres do Tribunal de Contas do Estado de Santa Catarina</w:t>
      </w:r>
      <w:r w:rsidR="00941CDC" w:rsidRPr="00A148F1">
        <w:rPr>
          <w:rFonts w:ascii="Times New Roman" w:hAnsi="Times New Roman" w:cs="Times New Roman"/>
          <w:bCs/>
          <w:sz w:val="24"/>
          <w:szCs w:val="24"/>
        </w:rPr>
        <w:t xml:space="preserve"> (TCE/SC)</w:t>
      </w:r>
      <w:r w:rsidR="006C093E" w:rsidRPr="00A148F1">
        <w:rPr>
          <w:rFonts w:ascii="Times New Roman" w:hAnsi="Times New Roman" w:cs="Times New Roman"/>
          <w:bCs/>
          <w:sz w:val="24"/>
          <w:szCs w:val="24"/>
        </w:rPr>
        <w:t>.</w:t>
      </w:r>
    </w:p>
    <w:p w:rsidR="00A27EF9" w:rsidRPr="00A148F1" w:rsidRDefault="00B86630" w:rsidP="00812D0B">
      <w:pPr>
        <w:spacing w:after="0" w:line="240" w:lineRule="auto"/>
        <w:ind w:firstLine="709"/>
        <w:jc w:val="both"/>
        <w:rPr>
          <w:rFonts w:ascii="Times New Roman" w:hAnsi="Times New Roman" w:cs="Times New Roman"/>
          <w:bCs/>
          <w:sz w:val="24"/>
          <w:szCs w:val="24"/>
        </w:rPr>
      </w:pPr>
      <w:r w:rsidRPr="00A148F1">
        <w:rPr>
          <w:rFonts w:ascii="Times New Roman" w:hAnsi="Times New Roman" w:cs="Times New Roman"/>
          <w:bCs/>
          <w:sz w:val="24"/>
          <w:szCs w:val="24"/>
        </w:rPr>
        <w:t>O presente artigo não possui o propósito de avaliar qualitativamente as despesas com saúde</w:t>
      </w:r>
      <w:r w:rsidR="00CA5E17" w:rsidRPr="00A148F1">
        <w:rPr>
          <w:rFonts w:ascii="Times New Roman" w:hAnsi="Times New Roman" w:cs="Times New Roman"/>
          <w:bCs/>
          <w:sz w:val="24"/>
          <w:szCs w:val="24"/>
        </w:rPr>
        <w:t>;</w:t>
      </w:r>
      <w:r w:rsidRPr="00A148F1">
        <w:rPr>
          <w:rFonts w:ascii="Times New Roman" w:hAnsi="Times New Roman" w:cs="Times New Roman"/>
          <w:bCs/>
          <w:sz w:val="24"/>
          <w:szCs w:val="24"/>
        </w:rPr>
        <w:t xml:space="preserve"> assim, não é objetivo analisar fatos históricos que estão associados aos dados coletados. </w:t>
      </w:r>
      <w:r w:rsidR="0080071A" w:rsidRPr="00A148F1">
        <w:rPr>
          <w:rFonts w:ascii="Times New Roman" w:hAnsi="Times New Roman" w:cs="Times New Roman"/>
          <w:bCs/>
          <w:sz w:val="24"/>
          <w:szCs w:val="24"/>
        </w:rPr>
        <w:t>Não há a intenção de explicar os resultados por meio de relações de causa efeito e não são criticadas e questionad</w:t>
      </w:r>
      <w:r w:rsidR="00A530EC" w:rsidRPr="00A148F1">
        <w:rPr>
          <w:rFonts w:ascii="Times New Roman" w:hAnsi="Times New Roman" w:cs="Times New Roman"/>
          <w:bCs/>
          <w:sz w:val="24"/>
          <w:szCs w:val="24"/>
        </w:rPr>
        <w:t>a</w:t>
      </w:r>
      <w:r w:rsidR="0080071A" w:rsidRPr="00A148F1">
        <w:rPr>
          <w:rFonts w:ascii="Times New Roman" w:hAnsi="Times New Roman" w:cs="Times New Roman"/>
          <w:bCs/>
          <w:sz w:val="24"/>
          <w:szCs w:val="24"/>
        </w:rPr>
        <w:t xml:space="preserve">s as normas e </w:t>
      </w:r>
      <w:r w:rsidR="00A530EC" w:rsidRPr="00A148F1">
        <w:rPr>
          <w:rFonts w:ascii="Times New Roman" w:hAnsi="Times New Roman" w:cs="Times New Roman"/>
          <w:bCs/>
          <w:sz w:val="24"/>
          <w:szCs w:val="24"/>
        </w:rPr>
        <w:t xml:space="preserve">nem </w:t>
      </w:r>
      <w:r w:rsidR="0080071A" w:rsidRPr="00A148F1">
        <w:rPr>
          <w:rFonts w:ascii="Times New Roman" w:hAnsi="Times New Roman" w:cs="Times New Roman"/>
          <w:bCs/>
          <w:sz w:val="24"/>
          <w:szCs w:val="24"/>
        </w:rPr>
        <w:t xml:space="preserve">os critérios contábeis seguidos pelo ente. Contudo, o artigo está delimitado a cumprir o objetivo expresso, mediante </w:t>
      </w:r>
      <w:r w:rsidR="00A530EC" w:rsidRPr="00A148F1">
        <w:rPr>
          <w:rFonts w:ascii="Times New Roman" w:hAnsi="Times New Roman" w:cs="Times New Roman"/>
          <w:bCs/>
          <w:sz w:val="24"/>
          <w:szCs w:val="24"/>
        </w:rPr>
        <w:t xml:space="preserve">a realização dos </w:t>
      </w:r>
      <w:r w:rsidR="0080071A" w:rsidRPr="00A148F1">
        <w:rPr>
          <w:rFonts w:ascii="Times New Roman" w:hAnsi="Times New Roman" w:cs="Times New Roman"/>
          <w:bCs/>
          <w:sz w:val="24"/>
          <w:szCs w:val="24"/>
        </w:rPr>
        <w:t xml:space="preserve">procedimentos </w:t>
      </w:r>
      <w:r w:rsidR="00A530EC" w:rsidRPr="00A148F1">
        <w:rPr>
          <w:rFonts w:ascii="Times New Roman" w:hAnsi="Times New Roman" w:cs="Times New Roman"/>
          <w:bCs/>
          <w:sz w:val="24"/>
          <w:szCs w:val="24"/>
        </w:rPr>
        <w:t>e da aplicação</w:t>
      </w:r>
      <w:r w:rsidR="005557FB" w:rsidRPr="00A148F1">
        <w:rPr>
          <w:rFonts w:ascii="Times New Roman" w:hAnsi="Times New Roman" w:cs="Times New Roman"/>
          <w:bCs/>
          <w:sz w:val="24"/>
          <w:szCs w:val="24"/>
        </w:rPr>
        <w:t xml:space="preserve"> dos instrumentos descritos no C</w:t>
      </w:r>
      <w:r w:rsidR="00A530EC" w:rsidRPr="00A148F1">
        <w:rPr>
          <w:rFonts w:ascii="Times New Roman" w:hAnsi="Times New Roman" w:cs="Times New Roman"/>
          <w:bCs/>
          <w:sz w:val="24"/>
          <w:szCs w:val="24"/>
        </w:rPr>
        <w:t>apítulo</w:t>
      </w:r>
      <w:r w:rsidR="00941CDC" w:rsidRPr="00A148F1">
        <w:rPr>
          <w:rFonts w:ascii="Times New Roman" w:hAnsi="Times New Roman" w:cs="Times New Roman"/>
          <w:bCs/>
          <w:sz w:val="24"/>
          <w:szCs w:val="24"/>
        </w:rPr>
        <w:t xml:space="preserve"> </w:t>
      </w:r>
      <w:r w:rsidR="00A530EC" w:rsidRPr="00A148F1">
        <w:rPr>
          <w:rFonts w:ascii="Times New Roman" w:hAnsi="Times New Roman" w:cs="Times New Roman"/>
          <w:bCs/>
          <w:sz w:val="24"/>
          <w:szCs w:val="24"/>
        </w:rPr>
        <w:t>3.</w:t>
      </w:r>
    </w:p>
    <w:p w:rsidR="002137E6" w:rsidRPr="00A148F1" w:rsidRDefault="00520EF9" w:rsidP="00812D0B">
      <w:pPr>
        <w:spacing w:after="0" w:line="240" w:lineRule="auto"/>
        <w:ind w:firstLine="709"/>
        <w:jc w:val="both"/>
        <w:rPr>
          <w:rFonts w:ascii="Times New Roman" w:hAnsi="Times New Roman" w:cs="Times New Roman"/>
          <w:bCs/>
          <w:sz w:val="24"/>
          <w:szCs w:val="24"/>
        </w:rPr>
      </w:pPr>
      <w:r w:rsidRPr="00A148F1">
        <w:rPr>
          <w:rFonts w:ascii="Times New Roman" w:hAnsi="Times New Roman" w:cs="Times New Roman"/>
          <w:bCs/>
          <w:sz w:val="24"/>
          <w:szCs w:val="24"/>
        </w:rPr>
        <w:t xml:space="preserve">O artigo justifica-se </w:t>
      </w:r>
      <w:r w:rsidR="001B5F1C" w:rsidRPr="00A148F1">
        <w:rPr>
          <w:rFonts w:ascii="Times New Roman" w:hAnsi="Times New Roman" w:cs="Times New Roman"/>
          <w:bCs/>
          <w:sz w:val="24"/>
          <w:szCs w:val="24"/>
        </w:rPr>
        <w:t>pela potencial relevância no</w:t>
      </w:r>
      <w:r w:rsidR="00FC2D0B" w:rsidRPr="00A148F1">
        <w:rPr>
          <w:rFonts w:ascii="Times New Roman" w:hAnsi="Times New Roman" w:cs="Times New Roman"/>
          <w:bCs/>
          <w:sz w:val="24"/>
          <w:szCs w:val="24"/>
        </w:rPr>
        <w:t>s</w:t>
      </w:r>
      <w:r w:rsidR="001B5F1C" w:rsidRPr="00A148F1">
        <w:rPr>
          <w:rFonts w:ascii="Times New Roman" w:hAnsi="Times New Roman" w:cs="Times New Roman"/>
          <w:bCs/>
          <w:sz w:val="24"/>
          <w:szCs w:val="24"/>
        </w:rPr>
        <w:t xml:space="preserve"> contexto</w:t>
      </w:r>
      <w:r w:rsidR="00FC2D0B" w:rsidRPr="00A148F1">
        <w:rPr>
          <w:rFonts w:ascii="Times New Roman" w:hAnsi="Times New Roman" w:cs="Times New Roman"/>
          <w:bCs/>
          <w:sz w:val="24"/>
          <w:szCs w:val="24"/>
        </w:rPr>
        <w:t>s</w:t>
      </w:r>
      <w:r w:rsidR="001B5F1C" w:rsidRPr="00A148F1">
        <w:rPr>
          <w:rFonts w:ascii="Times New Roman" w:hAnsi="Times New Roman" w:cs="Times New Roman"/>
          <w:bCs/>
          <w:sz w:val="24"/>
          <w:szCs w:val="24"/>
        </w:rPr>
        <w:t xml:space="preserve"> social e governamental. Nesse sentido, o contexto social é justificado pela simplificação dos dados apresentados pela </w:t>
      </w:r>
      <w:r w:rsidR="001B5F1C" w:rsidRPr="00A148F1">
        <w:rPr>
          <w:rFonts w:ascii="Times New Roman" w:hAnsi="Times New Roman" w:cs="Times New Roman"/>
          <w:bCs/>
          <w:sz w:val="24"/>
          <w:szCs w:val="24"/>
        </w:rPr>
        <w:lastRenderedPageBreak/>
        <w:t xml:space="preserve">Prefeitura </w:t>
      </w:r>
      <w:r w:rsidR="00A27EF9" w:rsidRPr="00A148F1">
        <w:rPr>
          <w:rFonts w:ascii="Times New Roman" w:hAnsi="Times New Roman" w:cs="Times New Roman"/>
          <w:bCs/>
          <w:sz w:val="24"/>
          <w:szCs w:val="24"/>
        </w:rPr>
        <w:t xml:space="preserve">Municipal </w:t>
      </w:r>
      <w:r w:rsidR="001B5F1C" w:rsidRPr="00A148F1">
        <w:rPr>
          <w:rFonts w:ascii="Times New Roman" w:hAnsi="Times New Roman" w:cs="Times New Roman"/>
          <w:bCs/>
          <w:sz w:val="24"/>
          <w:szCs w:val="24"/>
        </w:rPr>
        <w:t xml:space="preserve">de Florianópolis </w:t>
      </w:r>
      <w:r w:rsidR="00A27EF9" w:rsidRPr="00A148F1">
        <w:rPr>
          <w:rFonts w:ascii="Times New Roman" w:hAnsi="Times New Roman" w:cs="Times New Roman"/>
          <w:bCs/>
          <w:sz w:val="24"/>
          <w:szCs w:val="24"/>
        </w:rPr>
        <w:t xml:space="preserve">e pelo TCE/SC, </w:t>
      </w:r>
      <w:r w:rsidR="001B5F1C" w:rsidRPr="00A148F1">
        <w:rPr>
          <w:rFonts w:ascii="Times New Roman" w:hAnsi="Times New Roman" w:cs="Times New Roman"/>
          <w:bCs/>
          <w:sz w:val="24"/>
          <w:szCs w:val="24"/>
        </w:rPr>
        <w:t>relativo</w:t>
      </w:r>
      <w:r w:rsidR="00A27EF9" w:rsidRPr="00A148F1">
        <w:rPr>
          <w:rFonts w:ascii="Times New Roman" w:hAnsi="Times New Roman" w:cs="Times New Roman"/>
          <w:bCs/>
          <w:sz w:val="24"/>
          <w:szCs w:val="24"/>
        </w:rPr>
        <w:t>s</w:t>
      </w:r>
      <w:r w:rsidR="001B5F1C" w:rsidRPr="00A148F1">
        <w:rPr>
          <w:rFonts w:ascii="Times New Roman" w:hAnsi="Times New Roman" w:cs="Times New Roman"/>
          <w:bCs/>
          <w:sz w:val="24"/>
          <w:szCs w:val="24"/>
        </w:rPr>
        <w:t xml:space="preserve"> </w:t>
      </w:r>
      <w:r w:rsidR="00FC2D0B" w:rsidRPr="00A148F1">
        <w:rPr>
          <w:rFonts w:ascii="Times New Roman" w:hAnsi="Times New Roman" w:cs="Times New Roman"/>
          <w:bCs/>
          <w:sz w:val="24"/>
          <w:szCs w:val="24"/>
        </w:rPr>
        <w:t>à</w:t>
      </w:r>
      <w:r w:rsidR="00107135" w:rsidRPr="00A148F1">
        <w:rPr>
          <w:rFonts w:ascii="Times New Roman" w:hAnsi="Times New Roman" w:cs="Times New Roman"/>
          <w:bCs/>
          <w:sz w:val="24"/>
          <w:szCs w:val="24"/>
        </w:rPr>
        <w:t>s</w:t>
      </w:r>
      <w:r w:rsidR="005C24B9" w:rsidRPr="00A148F1">
        <w:rPr>
          <w:rFonts w:ascii="Times New Roman" w:hAnsi="Times New Roman" w:cs="Times New Roman"/>
          <w:bCs/>
          <w:sz w:val="24"/>
          <w:szCs w:val="24"/>
        </w:rPr>
        <w:t xml:space="preserve"> despesa</w:t>
      </w:r>
      <w:r w:rsidR="00107135" w:rsidRPr="00A148F1">
        <w:rPr>
          <w:rFonts w:ascii="Times New Roman" w:hAnsi="Times New Roman" w:cs="Times New Roman"/>
          <w:bCs/>
          <w:sz w:val="24"/>
          <w:szCs w:val="24"/>
        </w:rPr>
        <w:t>s com</w:t>
      </w:r>
      <w:r w:rsidR="001B5F1C" w:rsidRPr="00A148F1">
        <w:rPr>
          <w:rFonts w:ascii="Times New Roman" w:hAnsi="Times New Roman" w:cs="Times New Roman"/>
          <w:bCs/>
          <w:sz w:val="24"/>
          <w:szCs w:val="24"/>
        </w:rPr>
        <w:t xml:space="preserve"> saúde, por meio de tabelas</w:t>
      </w:r>
      <w:r w:rsidR="00396DF1" w:rsidRPr="00A148F1">
        <w:rPr>
          <w:rFonts w:ascii="Times New Roman" w:hAnsi="Times New Roman" w:cs="Times New Roman"/>
          <w:bCs/>
          <w:sz w:val="24"/>
          <w:szCs w:val="24"/>
        </w:rPr>
        <w:t xml:space="preserve"> e gráficos comparativos</w:t>
      </w:r>
      <w:r w:rsidR="00963ED6" w:rsidRPr="00A148F1">
        <w:rPr>
          <w:rFonts w:ascii="Times New Roman" w:hAnsi="Times New Roman" w:cs="Times New Roman"/>
          <w:bCs/>
          <w:sz w:val="24"/>
          <w:szCs w:val="24"/>
        </w:rPr>
        <w:t>,</w:t>
      </w:r>
      <w:r w:rsidR="00396DF1" w:rsidRPr="00A148F1">
        <w:rPr>
          <w:rFonts w:ascii="Times New Roman" w:hAnsi="Times New Roman" w:cs="Times New Roman"/>
          <w:bCs/>
          <w:sz w:val="24"/>
          <w:szCs w:val="24"/>
        </w:rPr>
        <w:t xml:space="preserve"> bem como</w:t>
      </w:r>
      <w:r w:rsidR="001B5F1C" w:rsidRPr="00A148F1">
        <w:rPr>
          <w:rFonts w:ascii="Times New Roman" w:hAnsi="Times New Roman" w:cs="Times New Roman"/>
          <w:bCs/>
          <w:sz w:val="24"/>
          <w:szCs w:val="24"/>
        </w:rPr>
        <w:t xml:space="preserve"> explicações que facilitam o entendimento dos </w:t>
      </w:r>
      <w:r w:rsidR="00396DF1" w:rsidRPr="00A148F1">
        <w:rPr>
          <w:rFonts w:ascii="Times New Roman" w:hAnsi="Times New Roman" w:cs="Times New Roman"/>
          <w:bCs/>
          <w:sz w:val="24"/>
          <w:szCs w:val="24"/>
        </w:rPr>
        <w:t>leitores</w:t>
      </w:r>
      <w:r w:rsidR="001B5F1C" w:rsidRPr="00A148F1">
        <w:rPr>
          <w:rFonts w:ascii="Times New Roman" w:hAnsi="Times New Roman" w:cs="Times New Roman"/>
          <w:bCs/>
          <w:sz w:val="24"/>
          <w:szCs w:val="24"/>
        </w:rPr>
        <w:t xml:space="preserve"> sobre o cumprimento ou não do limite constitucional.</w:t>
      </w:r>
    </w:p>
    <w:p w:rsidR="000E0E7C" w:rsidRPr="00A148F1" w:rsidRDefault="001B5F1C" w:rsidP="00812D0B">
      <w:pPr>
        <w:spacing w:after="0" w:line="240" w:lineRule="auto"/>
        <w:ind w:firstLine="709"/>
        <w:jc w:val="both"/>
        <w:rPr>
          <w:rFonts w:ascii="Times New Roman" w:hAnsi="Times New Roman" w:cs="Times New Roman"/>
          <w:bCs/>
          <w:sz w:val="24"/>
          <w:szCs w:val="24"/>
        </w:rPr>
      </w:pPr>
      <w:r w:rsidRPr="00A148F1">
        <w:rPr>
          <w:rFonts w:ascii="Times New Roman" w:hAnsi="Times New Roman" w:cs="Times New Roman"/>
          <w:bCs/>
          <w:sz w:val="24"/>
          <w:szCs w:val="24"/>
        </w:rPr>
        <w:t xml:space="preserve">No contexto governamental, a pesquisa justifica-se porque </w:t>
      </w:r>
      <w:r w:rsidR="0099355D" w:rsidRPr="00A148F1">
        <w:rPr>
          <w:rFonts w:ascii="Times New Roman" w:hAnsi="Times New Roman" w:cs="Times New Roman"/>
          <w:bCs/>
          <w:sz w:val="24"/>
          <w:szCs w:val="24"/>
        </w:rPr>
        <w:t>oferece informações de</w:t>
      </w:r>
      <w:r w:rsidR="00243BDA" w:rsidRPr="00A148F1">
        <w:rPr>
          <w:rFonts w:ascii="Times New Roman" w:hAnsi="Times New Roman" w:cs="Times New Roman"/>
          <w:bCs/>
          <w:sz w:val="24"/>
          <w:szCs w:val="24"/>
        </w:rPr>
        <w:t xml:space="preserve"> 16</w:t>
      </w:r>
      <w:r w:rsidR="00967691" w:rsidRPr="00A148F1">
        <w:rPr>
          <w:rFonts w:ascii="Times New Roman" w:hAnsi="Times New Roman" w:cs="Times New Roman"/>
          <w:bCs/>
          <w:sz w:val="24"/>
          <w:szCs w:val="24"/>
        </w:rPr>
        <w:t xml:space="preserve"> anos da série histórica</w:t>
      </w:r>
      <w:r w:rsidRPr="00A148F1">
        <w:rPr>
          <w:rFonts w:ascii="Times New Roman" w:hAnsi="Times New Roman" w:cs="Times New Roman"/>
          <w:bCs/>
          <w:sz w:val="24"/>
          <w:szCs w:val="24"/>
        </w:rPr>
        <w:t xml:space="preserve"> </w:t>
      </w:r>
      <w:r w:rsidR="00C072DA" w:rsidRPr="00A148F1">
        <w:rPr>
          <w:rFonts w:ascii="Times New Roman" w:hAnsi="Times New Roman" w:cs="Times New Roman"/>
          <w:bCs/>
          <w:sz w:val="24"/>
          <w:szCs w:val="24"/>
        </w:rPr>
        <w:t>referente</w:t>
      </w:r>
      <w:r w:rsidR="007D593C" w:rsidRPr="00A148F1">
        <w:rPr>
          <w:rFonts w:ascii="Times New Roman" w:hAnsi="Times New Roman" w:cs="Times New Roman"/>
          <w:bCs/>
          <w:sz w:val="24"/>
          <w:szCs w:val="24"/>
        </w:rPr>
        <w:t>s</w:t>
      </w:r>
      <w:r w:rsidR="00C072DA" w:rsidRPr="00A148F1">
        <w:rPr>
          <w:rFonts w:ascii="Times New Roman" w:hAnsi="Times New Roman" w:cs="Times New Roman"/>
          <w:bCs/>
          <w:sz w:val="24"/>
          <w:szCs w:val="24"/>
        </w:rPr>
        <w:t xml:space="preserve"> a</w:t>
      </w:r>
      <w:r w:rsidR="00396DF1" w:rsidRPr="00A148F1">
        <w:rPr>
          <w:rFonts w:ascii="Times New Roman" w:hAnsi="Times New Roman" w:cs="Times New Roman"/>
          <w:bCs/>
          <w:sz w:val="24"/>
          <w:szCs w:val="24"/>
        </w:rPr>
        <w:t>o cumprimento</w:t>
      </w:r>
      <w:r w:rsidR="008B183F" w:rsidRPr="00A148F1">
        <w:rPr>
          <w:rFonts w:ascii="Times New Roman" w:hAnsi="Times New Roman" w:cs="Times New Roman"/>
          <w:bCs/>
          <w:sz w:val="24"/>
          <w:szCs w:val="24"/>
        </w:rPr>
        <w:t>,</w:t>
      </w:r>
      <w:r w:rsidRPr="00A148F1">
        <w:rPr>
          <w:rFonts w:ascii="Times New Roman" w:hAnsi="Times New Roman" w:cs="Times New Roman"/>
          <w:bCs/>
          <w:sz w:val="24"/>
          <w:szCs w:val="24"/>
        </w:rPr>
        <w:t xml:space="preserve"> </w:t>
      </w:r>
      <w:r w:rsidR="005C351E" w:rsidRPr="00A148F1">
        <w:rPr>
          <w:rFonts w:ascii="Times New Roman" w:hAnsi="Times New Roman" w:cs="Times New Roman"/>
          <w:bCs/>
          <w:sz w:val="24"/>
          <w:szCs w:val="24"/>
        </w:rPr>
        <w:t>estabelecid</w:t>
      </w:r>
      <w:r w:rsidR="005C24B9" w:rsidRPr="00A148F1">
        <w:rPr>
          <w:rFonts w:ascii="Times New Roman" w:hAnsi="Times New Roman" w:cs="Times New Roman"/>
          <w:bCs/>
          <w:sz w:val="24"/>
          <w:szCs w:val="24"/>
        </w:rPr>
        <w:t>o constitucionalmente</w:t>
      </w:r>
      <w:r w:rsidR="008B183F" w:rsidRPr="00A148F1">
        <w:rPr>
          <w:rFonts w:ascii="Times New Roman" w:hAnsi="Times New Roman" w:cs="Times New Roman"/>
          <w:bCs/>
          <w:sz w:val="24"/>
          <w:szCs w:val="24"/>
        </w:rPr>
        <w:t>,</w:t>
      </w:r>
      <w:r w:rsidR="005C24B9" w:rsidRPr="00A148F1">
        <w:rPr>
          <w:rFonts w:ascii="Times New Roman" w:hAnsi="Times New Roman" w:cs="Times New Roman"/>
          <w:bCs/>
          <w:sz w:val="24"/>
          <w:szCs w:val="24"/>
        </w:rPr>
        <w:t xml:space="preserve"> das despesas</w:t>
      </w:r>
      <w:r w:rsidR="007D593C" w:rsidRPr="00A148F1">
        <w:rPr>
          <w:rFonts w:ascii="Times New Roman" w:hAnsi="Times New Roman" w:cs="Times New Roman"/>
          <w:bCs/>
          <w:sz w:val="24"/>
          <w:szCs w:val="24"/>
        </w:rPr>
        <w:t xml:space="preserve"> com</w:t>
      </w:r>
      <w:r w:rsidR="005C351E" w:rsidRPr="00A148F1">
        <w:rPr>
          <w:rFonts w:ascii="Times New Roman" w:hAnsi="Times New Roman" w:cs="Times New Roman"/>
          <w:bCs/>
          <w:sz w:val="24"/>
          <w:szCs w:val="24"/>
        </w:rPr>
        <w:t xml:space="preserve"> saúde</w:t>
      </w:r>
      <w:r w:rsidR="007D593C" w:rsidRPr="00A148F1">
        <w:rPr>
          <w:rFonts w:ascii="Times New Roman" w:hAnsi="Times New Roman" w:cs="Times New Roman"/>
          <w:bCs/>
          <w:sz w:val="24"/>
          <w:szCs w:val="24"/>
        </w:rPr>
        <w:t>,</w:t>
      </w:r>
      <w:r w:rsidR="005C351E" w:rsidRPr="00A148F1">
        <w:rPr>
          <w:rFonts w:ascii="Times New Roman" w:hAnsi="Times New Roman" w:cs="Times New Roman"/>
          <w:bCs/>
          <w:sz w:val="24"/>
          <w:szCs w:val="24"/>
        </w:rPr>
        <w:t xml:space="preserve"> </w:t>
      </w:r>
      <w:r w:rsidR="00967691" w:rsidRPr="00A148F1">
        <w:rPr>
          <w:rFonts w:ascii="Times New Roman" w:hAnsi="Times New Roman" w:cs="Times New Roman"/>
          <w:bCs/>
          <w:sz w:val="24"/>
          <w:szCs w:val="24"/>
        </w:rPr>
        <w:t xml:space="preserve">do Município </w:t>
      </w:r>
      <w:r w:rsidR="007D593C" w:rsidRPr="00A148F1">
        <w:rPr>
          <w:rFonts w:ascii="Times New Roman" w:hAnsi="Times New Roman" w:cs="Times New Roman"/>
          <w:bCs/>
          <w:sz w:val="24"/>
          <w:szCs w:val="24"/>
        </w:rPr>
        <w:t>e</w:t>
      </w:r>
      <w:r w:rsidR="005C351E" w:rsidRPr="00A148F1">
        <w:rPr>
          <w:rFonts w:ascii="Times New Roman" w:hAnsi="Times New Roman" w:cs="Times New Roman"/>
          <w:bCs/>
          <w:sz w:val="24"/>
          <w:szCs w:val="24"/>
        </w:rPr>
        <w:t xml:space="preserve"> </w:t>
      </w:r>
      <w:r w:rsidR="007D593C" w:rsidRPr="00A148F1">
        <w:rPr>
          <w:rFonts w:ascii="Times New Roman" w:hAnsi="Times New Roman" w:cs="Times New Roman"/>
          <w:bCs/>
          <w:sz w:val="24"/>
          <w:szCs w:val="24"/>
        </w:rPr>
        <w:t>d</w:t>
      </w:r>
      <w:r w:rsidR="005C351E" w:rsidRPr="00A148F1">
        <w:rPr>
          <w:rFonts w:ascii="Times New Roman" w:hAnsi="Times New Roman" w:cs="Times New Roman"/>
          <w:bCs/>
          <w:sz w:val="24"/>
          <w:szCs w:val="24"/>
        </w:rPr>
        <w:t xml:space="preserve">os pareceres do </w:t>
      </w:r>
      <w:r w:rsidR="00A27EF9" w:rsidRPr="00A148F1">
        <w:rPr>
          <w:rFonts w:ascii="Times New Roman" w:hAnsi="Times New Roman" w:cs="Times New Roman"/>
          <w:bCs/>
          <w:sz w:val="24"/>
          <w:szCs w:val="24"/>
        </w:rPr>
        <w:t>TCE/SC</w:t>
      </w:r>
      <w:r w:rsidR="005C351E" w:rsidRPr="00A148F1">
        <w:rPr>
          <w:rFonts w:ascii="Times New Roman" w:hAnsi="Times New Roman" w:cs="Times New Roman"/>
          <w:bCs/>
          <w:sz w:val="24"/>
          <w:szCs w:val="24"/>
        </w:rPr>
        <w:t>. Deste modo, o gestor público poderá avaliar como foi o desempenho do Município na série analisada</w:t>
      </w:r>
      <w:r w:rsidR="00107135" w:rsidRPr="00A148F1">
        <w:rPr>
          <w:rFonts w:ascii="Times New Roman" w:hAnsi="Times New Roman" w:cs="Times New Roman"/>
          <w:bCs/>
          <w:sz w:val="24"/>
          <w:szCs w:val="24"/>
        </w:rPr>
        <w:t>.</w:t>
      </w:r>
    </w:p>
    <w:p w:rsidR="00E70C56" w:rsidRPr="00A148F1" w:rsidRDefault="00E70C56" w:rsidP="00983013">
      <w:pPr>
        <w:spacing w:after="0" w:line="240" w:lineRule="auto"/>
        <w:ind w:firstLine="709"/>
        <w:jc w:val="both"/>
        <w:rPr>
          <w:rFonts w:ascii="Times New Roman" w:hAnsi="Times New Roman" w:cs="Times New Roman"/>
          <w:bCs/>
          <w:sz w:val="24"/>
          <w:szCs w:val="24"/>
        </w:rPr>
      </w:pPr>
    </w:p>
    <w:p w:rsidR="00D82317" w:rsidRPr="00A148F1" w:rsidRDefault="001C43C5" w:rsidP="00203B12">
      <w:pPr>
        <w:pStyle w:val="Ttulo1"/>
        <w:rPr>
          <w:rFonts w:ascii="Times New Roman" w:hAnsi="Times New Roman" w:cs="Times New Roman"/>
          <w:sz w:val="24"/>
          <w:szCs w:val="24"/>
        </w:rPr>
      </w:pPr>
      <w:r>
        <w:rPr>
          <w:rFonts w:ascii="Times New Roman" w:hAnsi="Times New Roman" w:cs="Times New Roman"/>
          <w:sz w:val="24"/>
          <w:szCs w:val="24"/>
        </w:rPr>
        <w:t>FUNDAMENTAÇÃO TEÓRICA</w:t>
      </w:r>
    </w:p>
    <w:p w:rsidR="00812D0B" w:rsidRPr="00A148F1" w:rsidRDefault="00812D0B" w:rsidP="00983013">
      <w:pPr>
        <w:spacing w:after="0" w:line="240" w:lineRule="auto"/>
        <w:jc w:val="both"/>
        <w:rPr>
          <w:rFonts w:ascii="Times New Roman" w:hAnsi="Times New Roman" w:cs="Times New Roman"/>
          <w:b/>
          <w:sz w:val="24"/>
          <w:szCs w:val="24"/>
        </w:rPr>
      </w:pPr>
    </w:p>
    <w:p w:rsidR="00292A70" w:rsidRPr="00A148F1" w:rsidRDefault="00CF27E4" w:rsidP="00203B12">
      <w:pPr>
        <w:pStyle w:val="Ttulo2"/>
        <w:rPr>
          <w:rFonts w:ascii="Times New Roman" w:hAnsi="Times New Roman"/>
          <w:sz w:val="24"/>
        </w:rPr>
      </w:pPr>
      <w:r w:rsidRPr="00A148F1">
        <w:rPr>
          <w:rFonts w:ascii="Times New Roman" w:hAnsi="Times New Roman"/>
          <w:sz w:val="24"/>
        </w:rPr>
        <w:t>Receitas e despesas públicas</w:t>
      </w:r>
    </w:p>
    <w:p w:rsidR="00C95631" w:rsidRPr="00A148F1" w:rsidRDefault="00C95631" w:rsidP="00831265">
      <w:pPr>
        <w:spacing w:after="0" w:line="240" w:lineRule="auto"/>
        <w:ind w:firstLine="709"/>
        <w:jc w:val="both"/>
        <w:rPr>
          <w:rFonts w:ascii="Times New Roman" w:hAnsi="Times New Roman" w:cs="Times New Roman"/>
          <w:bCs/>
          <w:sz w:val="24"/>
          <w:szCs w:val="24"/>
        </w:rPr>
      </w:pPr>
      <w:r w:rsidRPr="00A148F1">
        <w:rPr>
          <w:rFonts w:ascii="Times New Roman" w:hAnsi="Times New Roman" w:cs="Times New Roman"/>
          <w:bCs/>
          <w:sz w:val="24"/>
          <w:szCs w:val="24"/>
        </w:rPr>
        <w:t xml:space="preserve">Os entes públicos do Brasil elaboram orçamentos </w:t>
      </w:r>
      <w:r w:rsidR="00534FDC" w:rsidRPr="00A148F1">
        <w:rPr>
          <w:rFonts w:ascii="Times New Roman" w:hAnsi="Times New Roman" w:cs="Times New Roman"/>
          <w:bCs/>
          <w:sz w:val="24"/>
          <w:szCs w:val="24"/>
        </w:rPr>
        <w:t xml:space="preserve">baseados </w:t>
      </w:r>
      <w:r w:rsidR="00AE41C0" w:rsidRPr="00A148F1">
        <w:rPr>
          <w:rFonts w:ascii="Times New Roman" w:hAnsi="Times New Roman" w:cs="Times New Roman"/>
          <w:bCs/>
          <w:sz w:val="24"/>
          <w:szCs w:val="24"/>
        </w:rPr>
        <w:t>em</w:t>
      </w:r>
      <w:r w:rsidR="00534FDC" w:rsidRPr="00A148F1">
        <w:rPr>
          <w:rFonts w:ascii="Times New Roman" w:hAnsi="Times New Roman" w:cs="Times New Roman"/>
          <w:bCs/>
          <w:sz w:val="24"/>
          <w:szCs w:val="24"/>
        </w:rPr>
        <w:t xml:space="preserve"> receitas estimadas e </w:t>
      </w:r>
      <w:r w:rsidR="00AE41C0" w:rsidRPr="00A148F1">
        <w:rPr>
          <w:rFonts w:ascii="Times New Roman" w:hAnsi="Times New Roman" w:cs="Times New Roman"/>
          <w:bCs/>
          <w:sz w:val="24"/>
          <w:szCs w:val="24"/>
        </w:rPr>
        <w:t>em</w:t>
      </w:r>
      <w:r w:rsidR="00574E4C" w:rsidRPr="00A148F1">
        <w:rPr>
          <w:rFonts w:ascii="Times New Roman" w:hAnsi="Times New Roman" w:cs="Times New Roman"/>
          <w:bCs/>
          <w:sz w:val="24"/>
          <w:szCs w:val="24"/>
        </w:rPr>
        <w:t xml:space="preserve"> </w:t>
      </w:r>
      <w:r w:rsidR="00534FDC" w:rsidRPr="00A148F1">
        <w:rPr>
          <w:rFonts w:ascii="Times New Roman" w:hAnsi="Times New Roman" w:cs="Times New Roman"/>
          <w:bCs/>
          <w:sz w:val="24"/>
          <w:szCs w:val="24"/>
        </w:rPr>
        <w:t>despesas fixadas</w:t>
      </w:r>
      <w:r w:rsidR="00574E4C" w:rsidRPr="00A148F1">
        <w:rPr>
          <w:rFonts w:ascii="Times New Roman" w:hAnsi="Times New Roman" w:cs="Times New Roman"/>
          <w:bCs/>
          <w:sz w:val="24"/>
          <w:szCs w:val="24"/>
        </w:rPr>
        <w:t>.</w:t>
      </w:r>
      <w:r w:rsidR="0075546C" w:rsidRPr="00A148F1">
        <w:rPr>
          <w:rFonts w:ascii="Times New Roman" w:hAnsi="Times New Roman" w:cs="Times New Roman"/>
          <w:bCs/>
          <w:sz w:val="24"/>
          <w:szCs w:val="24"/>
        </w:rPr>
        <w:t xml:space="preserve"> </w:t>
      </w:r>
      <w:r w:rsidR="00574E4C" w:rsidRPr="00A148F1">
        <w:rPr>
          <w:rFonts w:ascii="Times New Roman" w:hAnsi="Times New Roman" w:cs="Times New Roman"/>
          <w:bCs/>
          <w:sz w:val="24"/>
          <w:szCs w:val="24"/>
        </w:rPr>
        <w:t xml:space="preserve">Posteriormente, </w:t>
      </w:r>
      <w:r w:rsidR="00BB73FB" w:rsidRPr="00A148F1">
        <w:rPr>
          <w:rFonts w:ascii="Times New Roman" w:hAnsi="Times New Roman" w:cs="Times New Roman"/>
          <w:bCs/>
          <w:sz w:val="24"/>
          <w:szCs w:val="24"/>
        </w:rPr>
        <w:t xml:space="preserve">os entes executam as receitas e </w:t>
      </w:r>
      <w:r w:rsidR="00AE41C0" w:rsidRPr="00A148F1">
        <w:rPr>
          <w:rFonts w:ascii="Times New Roman" w:hAnsi="Times New Roman" w:cs="Times New Roman"/>
          <w:bCs/>
          <w:sz w:val="24"/>
          <w:szCs w:val="24"/>
        </w:rPr>
        <w:t xml:space="preserve">as </w:t>
      </w:r>
      <w:r w:rsidR="00BB73FB" w:rsidRPr="00A148F1">
        <w:rPr>
          <w:rFonts w:ascii="Times New Roman" w:hAnsi="Times New Roman" w:cs="Times New Roman"/>
          <w:bCs/>
          <w:sz w:val="24"/>
          <w:szCs w:val="24"/>
        </w:rPr>
        <w:t xml:space="preserve">despesas durante o exercício financeiro. Conforme a </w:t>
      </w:r>
      <w:r w:rsidR="00AE41C0" w:rsidRPr="00A148F1">
        <w:rPr>
          <w:rFonts w:ascii="Times New Roman" w:hAnsi="Times New Roman" w:cs="Times New Roman"/>
          <w:bCs/>
          <w:sz w:val="24"/>
          <w:szCs w:val="24"/>
        </w:rPr>
        <w:t>L</w:t>
      </w:r>
      <w:r w:rsidR="00BB73FB" w:rsidRPr="00A148F1">
        <w:rPr>
          <w:rFonts w:ascii="Times New Roman" w:hAnsi="Times New Roman" w:cs="Times New Roman"/>
          <w:bCs/>
          <w:sz w:val="24"/>
          <w:szCs w:val="24"/>
        </w:rPr>
        <w:t xml:space="preserve">ei </w:t>
      </w:r>
      <w:r w:rsidR="00AE41C0" w:rsidRPr="00A148F1">
        <w:rPr>
          <w:rFonts w:ascii="Times New Roman" w:hAnsi="Times New Roman" w:cs="Times New Roman"/>
          <w:bCs/>
          <w:sz w:val="24"/>
          <w:szCs w:val="24"/>
        </w:rPr>
        <w:t xml:space="preserve">n.º </w:t>
      </w:r>
      <w:r w:rsidR="00BB73FB" w:rsidRPr="00A148F1">
        <w:rPr>
          <w:rFonts w:ascii="Times New Roman" w:hAnsi="Times New Roman" w:cs="Times New Roman"/>
          <w:bCs/>
          <w:sz w:val="24"/>
          <w:szCs w:val="24"/>
        </w:rPr>
        <w:t>4.320/1964</w:t>
      </w:r>
      <w:r w:rsidR="00AE41C0" w:rsidRPr="00A148F1">
        <w:rPr>
          <w:rFonts w:ascii="Times New Roman" w:hAnsi="Times New Roman" w:cs="Times New Roman"/>
          <w:bCs/>
          <w:sz w:val="24"/>
          <w:szCs w:val="24"/>
        </w:rPr>
        <w:t>,</w:t>
      </w:r>
      <w:r w:rsidR="00BB73FB" w:rsidRPr="00A148F1">
        <w:rPr>
          <w:rFonts w:ascii="Times New Roman" w:hAnsi="Times New Roman" w:cs="Times New Roman"/>
          <w:bCs/>
          <w:sz w:val="24"/>
          <w:szCs w:val="24"/>
        </w:rPr>
        <w:t xml:space="preserve"> o “exercício financeiro coincidirá com o ano civil” (BRASIL, 1964, art. 34).</w:t>
      </w:r>
    </w:p>
    <w:p w:rsidR="00C95631" w:rsidRPr="00A148F1" w:rsidRDefault="0077359A" w:rsidP="00831265">
      <w:pPr>
        <w:spacing w:after="0" w:line="240" w:lineRule="auto"/>
        <w:ind w:firstLine="709"/>
        <w:jc w:val="both"/>
        <w:rPr>
          <w:rFonts w:ascii="Times New Roman" w:hAnsi="Times New Roman" w:cs="Times New Roman"/>
          <w:bCs/>
          <w:sz w:val="24"/>
          <w:szCs w:val="24"/>
        </w:rPr>
      </w:pPr>
      <w:r w:rsidRPr="00A148F1">
        <w:rPr>
          <w:rFonts w:ascii="Times New Roman" w:hAnsi="Times New Roman" w:cs="Times New Roman"/>
          <w:bCs/>
          <w:sz w:val="24"/>
          <w:szCs w:val="24"/>
        </w:rPr>
        <w:t xml:space="preserve">O orçamento público é conceituado </w:t>
      </w:r>
      <w:r w:rsidR="00AE41C0" w:rsidRPr="00A148F1">
        <w:rPr>
          <w:rFonts w:ascii="Times New Roman" w:hAnsi="Times New Roman" w:cs="Times New Roman"/>
          <w:bCs/>
          <w:sz w:val="24"/>
          <w:szCs w:val="24"/>
        </w:rPr>
        <w:t>por</w:t>
      </w:r>
      <w:r w:rsidRPr="00A148F1">
        <w:rPr>
          <w:rFonts w:ascii="Times New Roman" w:hAnsi="Times New Roman" w:cs="Times New Roman"/>
          <w:bCs/>
          <w:sz w:val="24"/>
          <w:szCs w:val="24"/>
        </w:rPr>
        <w:t xml:space="preserve"> </w:t>
      </w:r>
      <w:r w:rsidR="00CD1D0A" w:rsidRPr="00A148F1">
        <w:rPr>
          <w:rFonts w:ascii="Times New Roman" w:hAnsi="Times New Roman" w:cs="Times New Roman"/>
          <w:bCs/>
          <w:sz w:val="24"/>
          <w:szCs w:val="24"/>
        </w:rPr>
        <w:t>Cruz</w:t>
      </w:r>
      <w:r w:rsidR="00AE41C0" w:rsidRPr="00A148F1">
        <w:rPr>
          <w:rFonts w:ascii="Times New Roman" w:hAnsi="Times New Roman" w:cs="Times New Roman"/>
          <w:bCs/>
          <w:sz w:val="24"/>
          <w:szCs w:val="24"/>
        </w:rPr>
        <w:t xml:space="preserve"> (1988, p.17) como</w:t>
      </w:r>
      <w:r w:rsidRPr="00A148F1">
        <w:rPr>
          <w:rFonts w:ascii="Times New Roman" w:hAnsi="Times New Roman" w:cs="Times New Roman"/>
          <w:bCs/>
          <w:sz w:val="24"/>
          <w:szCs w:val="24"/>
        </w:rPr>
        <w:t xml:space="preserve"> “um meio de prever as intenções da programação econômica e financeira que o Poder Executivo deseja adotar no exercício financeiro seguinte”. </w:t>
      </w:r>
      <w:r w:rsidR="00C95631" w:rsidRPr="00A148F1">
        <w:rPr>
          <w:rFonts w:ascii="Times New Roman" w:hAnsi="Times New Roman" w:cs="Times New Roman"/>
          <w:bCs/>
          <w:sz w:val="24"/>
          <w:szCs w:val="24"/>
        </w:rPr>
        <w:t xml:space="preserve"> </w:t>
      </w:r>
      <w:r w:rsidRPr="00A148F1">
        <w:rPr>
          <w:rFonts w:ascii="Times New Roman" w:hAnsi="Times New Roman" w:cs="Times New Roman"/>
          <w:bCs/>
          <w:sz w:val="24"/>
          <w:szCs w:val="24"/>
        </w:rPr>
        <w:t>Portanto, integram o orçamento as receitas públicas e as despesas públicas.</w:t>
      </w:r>
    </w:p>
    <w:p w:rsidR="00C95631" w:rsidRPr="00A148F1" w:rsidRDefault="00C95631" w:rsidP="00831265">
      <w:pPr>
        <w:spacing w:after="0" w:line="240" w:lineRule="auto"/>
        <w:ind w:firstLine="709"/>
        <w:jc w:val="both"/>
        <w:rPr>
          <w:rFonts w:ascii="Times New Roman" w:hAnsi="Times New Roman" w:cs="Times New Roman"/>
          <w:bCs/>
          <w:sz w:val="24"/>
          <w:szCs w:val="24"/>
        </w:rPr>
      </w:pPr>
      <w:r w:rsidRPr="00A148F1">
        <w:rPr>
          <w:rFonts w:ascii="Times New Roman" w:hAnsi="Times New Roman" w:cs="Times New Roman"/>
          <w:bCs/>
          <w:sz w:val="24"/>
          <w:szCs w:val="24"/>
        </w:rPr>
        <w:t xml:space="preserve">As receitas públicas são </w:t>
      </w:r>
      <w:r w:rsidR="009B4AA6" w:rsidRPr="00A148F1">
        <w:rPr>
          <w:rFonts w:ascii="Times New Roman" w:hAnsi="Times New Roman" w:cs="Times New Roman"/>
          <w:bCs/>
          <w:sz w:val="24"/>
          <w:szCs w:val="24"/>
        </w:rPr>
        <w:t>arrecadadas</w:t>
      </w:r>
      <w:r w:rsidRPr="00A148F1">
        <w:rPr>
          <w:rFonts w:ascii="Times New Roman" w:hAnsi="Times New Roman" w:cs="Times New Roman"/>
          <w:bCs/>
          <w:sz w:val="24"/>
          <w:szCs w:val="24"/>
        </w:rPr>
        <w:t xml:space="preserve"> com o intuito de </w:t>
      </w:r>
      <w:r w:rsidR="00AE41C0" w:rsidRPr="00A148F1">
        <w:rPr>
          <w:rFonts w:ascii="Times New Roman" w:hAnsi="Times New Roman" w:cs="Times New Roman"/>
          <w:bCs/>
          <w:sz w:val="24"/>
          <w:szCs w:val="24"/>
        </w:rPr>
        <w:t>dar condições ao E</w:t>
      </w:r>
      <w:r w:rsidR="009B4AA6" w:rsidRPr="00A148F1">
        <w:rPr>
          <w:rFonts w:ascii="Times New Roman" w:hAnsi="Times New Roman" w:cs="Times New Roman"/>
          <w:bCs/>
          <w:sz w:val="24"/>
          <w:szCs w:val="24"/>
        </w:rPr>
        <w:t>stado de prestar os serviços de interesse da população</w:t>
      </w:r>
      <w:r w:rsidR="009C2A6F" w:rsidRPr="00A148F1">
        <w:rPr>
          <w:rFonts w:ascii="Times New Roman" w:hAnsi="Times New Roman" w:cs="Times New Roman"/>
          <w:bCs/>
          <w:sz w:val="24"/>
          <w:szCs w:val="24"/>
        </w:rPr>
        <w:t xml:space="preserve">. </w:t>
      </w:r>
      <w:r w:rsidR="00AE41C0" w:rsidRPr="00A148F1">
        <w:rPr>
          <w:rFonts w:ascii="Times New Roman" w:hAnsi="Times New Roman" w:cs="Times New Roman"/>
          <w:bCs/>
          <w:sz w:val="24"/>
          <w:szCs w:val="24"/>
        </w:rPr>
        <w:t>Segundo Silva (2011), a</w:t>
      </w:r>
      <w:r w:rsidR="009C2A6F" w:rsidRPr="00A148F1">
        <w:rPr>
          <w:rFonts w:ascii="Times New Roman" w:hAnsi="Times New Roman" w:cs="Times New Roman"/>
          <w:bCs/>
          <w:sz w:val="24"/>
          <w:szCs w:val="24"/>
        </w:rPr>
        <w:t xml:space="preserve"> entrega de recursos </w:t>
      </w:r>
      <w:r w:rsidR="00533469" w:rsidRPr="00A148F1">
        <w:rPr>
          <w:rFonts w:ascii="Times New Roman" w:hAnsi="Times New Roman" w:cs="Times New Roman"/>
          <w:bCs/>
          <w:sz w:val="24"/>
          <w:szCs w:val="24"/>
        </w:rPr>
        <w:t>ou rendas por meio</w:t>
      </w:r>
      <w:r w:rsidR="009C2A6F" w:rsidRPr="00A148F1">
        <w:rPr>
          <w:rFonts w:ascii="Times New Roman" w:hAnsi="Times New Roman" w:cs="Times New Roman"/>
          <w:bCs/>
          <w:sz w:val="24"/>
          <w:szCs w:val="24"/>
        </w:rPr>
        <w:t xml:space="preserve"> da contrib</w:t>
      </w:r>
      <w:r w:rsidR="00AE41C0" w:rsidRPr="00A148F1">
        <w:rPr>
          <w:rFonts w:ascii="Times New Roman" w:hAnsi="Times New Roman" w:cs="Times New Roman"/>
          <w:bCs/>
          <w:sz w:val="24"/>
          <w:szCs w:val="24"/>
        </w:rPr>
        <w:t>uição da coletividade constitui as receitas públicas</w:t>
      </w:r>
      <w:r w:rsidR="009C2A6F" w:rsidRPr="00A148F1">
        <w:rPr>
          <w:rFonts w:ascii="Times New Roman" w:hAnsi="Times New Roman" w:cs="Times New Roman"/>
          <w:bCs/>
          <w:sz w:val="24"/>
          <w:szCs w:val="24"/>
        </w:rPr>
        <w:t>.</w:t>
      </w:r>
    </w:p>
    <w:p w:rsidR="003A4F9C" w:rsidRPr="00A148F1" w:rsidRDefault="003A4F9C" w:rsidP="00831265">
      <w:pPr>
        <w:spacing w:after="0" w:line="240" w:lineRule="auto"/>
        <w:ind w:firstLine="709"/>
        <w:jc w:val="both"/>
        <w:rPr>
          <w:rFonts w:ascii="Times New Roman" w:hAnsi="Times New Roman" w:cs="Times New Roman"/>
          <w:bCs/>
          <w:sz w:val="24"/>
          <w:szCs w:val="24"/>
        </w:rPr>
      </w:pPr>
      <w:r w:rsidRPr="00A148F1">
        <w:rPr>
          <w:rFonts w:ascii="Times New Roman" w:hAnsi="Times New Roman" w:cs="Times New Roman"/>
          <w:bCs/>
          <w:sz w:val="24"/>
          <w:szCs w:val="24"/>
        </w:rPr>
        <w:t xml:space="preserve">De acordo com </w:t>
      </w:r>
      <w:proofErr w:type="spellStart"/>
      <w:r w:rsidRPr="00A148F1">
        <w:rPr>
          <w:rFonts w:ascii="Times New Roman" w:hAnsi="Times New Roman" w:cs="Times New Roman"/>
          <w:bCs/>
          <w:sz w:val="24"/>
          <w:szCs w:val="24"/>
        </w:rPr>
        <w:t>Kohama</w:t>
      </w:r>
      <w:proofErr w:type="spellEnd"/>
      <w:r w:rsidRPr="00A148F1">
        <w:rPr>
          <w:rFonts w:ascii="Times New Roman" w:hAnsi="Times New Roman" w:cs="Times New Roman"/>
          <w:bCs/>
          <w:sz w:val="24"/>
          <w:szCs w:val="24"/>
        </w:rPr>
        <w:t xml:space="preserve"> (2010, p. 62), identificam-se dois tipos de receitas públicas, as </w:t>
      </w:r>
      <w:r w:rsidR="00210E16" w:rsidRPr="00A148F1">
        <w:rPr>
          <w:rFonts w:ascii="Times New Roman" w:hAnsi="Times New Roman" w:cs="Times New Roman"/>
          <w:bCs/>
          <w:sz w:val="24"/>
          <w:szCs w:val="24"/>
        </w:rPr>
        <w:t xml:space="preserve">orçamentárias e as extraorçamentárias. Segundo o mesmo autor </w:t>
      </w:r>
      <w:r w:rsidR="00BA3740" w:rsidRPr="00A148F1">
        <w:rPr>
          <w:rFonts w:ascii="Times New Roman" w:hAnsi="Times New Roman" w:cs="Times New Roman"/>
          <w:bCs/>
          <w:sz w:val="24"/>
          <w:szCs w:val="24"/>
        </w:rPr>
        <w:t xml:space="preserve">(2010), </w:t>
      </w:r>
      <w:r w:rsidR="00210E16" w:rsidRPr="00A148F1">
        <w:rPr>
          <w:rFonts w:ascii="Times New Roman" w:hAnsi="Times New Roman" w:cs="Times New Roman"/>
          <w:bCs/>
          <w:sz w:val="24"/>
          <w:szCs w:val="24"/>
        </w:rPr>
        <w:t xml:space="preserve">as orçamentárias </w:t>
      </w:r>
      <w:r w:rsidRPr="00A148F1">
        <w:rPr>
          <w:rFonts w:ascii="Times New Roman" w:hAnsi="Times New Roman" w:cs="Times New Roman"/>
          <w:bCs/>
          <w:sz w:val="24"/>
          <w:szCs w:val="24"/>
        </w:rPr>
        <w:t>devem estar compreendidas e</w:t>
      </w:r>
      <w:r w:rsidR="00BA3740" w:rsidRPr="00A148F1">
        <w:rPr>
          <w:rFonts w:ascii="Times New Roman" w:hAnsi="Times New Roman" w:cs="Times New Roman"/>
          <w:bCs/>
          <w:sz w:val="24"/>
          <w:szCs w:val="24"/>
        </w:rPr>
        <w:t xml:space="preserve"> fazer parte do orçamento anual. Ainda conforme </w:t>
      </w:r>
      <w:proofErr w:type="spellStart"/>
      <w:r w:rsidR="00BA3740" w:rsidRPr="00A148F1">
        <w:rPr>
          <w:rFonts w:ascii="Times New Roman" w:hAnsi="Times New Roman" w:cs="Times New Roman"/>
          <w:bCs/>
          <w:sz w:val="24"/>
          <w:szCs w:val="24"/>
        </w:rPr>
        <w:t>Kohama</w:t>
      </w:r>
      <w:proofErr w:type="spellEnd"/>
      <w:r w:rsidR="00BA3740" w:rsidRPr="00A148F1">
        <w:rPr>
          <w:rFonts w:ascii="Times New Roman" w:hAnsi="Times New Roman" w:cs="Times New Roman"/>
          <w:bCs/>
          <w:sz w:val="24"/>
          <w:szCs w:val="24"/>
        </w:rPr>
        <w:t xml:space="preserve"> (2010)</w:t>
      </w:r>
      <w:r w:rsidR="00CC7B93" w:rsidRPr="00A148F1">
        <w:rPr>
          <w:rFonts w:ascii="Times New Roman" w:hAnsi="Times New Roman" w:cs="Times New Roman"/>
          <w:bCs/>
          <w:sz w:val="24"/>
          <w:szCs w:val="24"/>
        </w:rPr>
        <w:t xml:space="preserve">, </w:t>
      </w:r>
      <w:r w:rsidR="00210E16" w:rsidRPr="00A148F1">
        <w:rPr>
          <w:rFonts w:ascii="Times New Roman" w:hAnsi="Times New Roman" w:cs="Times New Roman"/>
          <w:bCs/>
          <w:sz w:val="24"/>
          <w:szCs w:val="24"/>
        </w:rPr>
        <w:t xml:space="preserve">as extraorçamentárias </w:t>
      </w:r>
      <w:r w:rsidR="00CC7B93" w:rsidRPr="00A148F1">
        <w:rPr>
          <w:rFonts w:ascii="Times New Roman" w:hAnsi="Times New Roman" w:cs="Times New Roman"/>
          <w:bCs/>
          <w:sz w:val="24"/>
          <w:szCs w:val="24"/>
        </w:rPr>
        <w:t xml:space="preserve">não pertencem ao poder público, </w:t>
      </w:r>
      <w:r w:rsidRPr="00A148F1">
        <w:rPr>
          <w:rFonts w:ascii="Times New Roman" w:hAnsi="Times New Roman" w:cs="Times New Roman"/>
          <w:bCs/>
          <w:sz w:val="24"/>
          <w:szCs w:val="24"/>
        </w:rPr>
        <w:t>que é um mero depositário dos valores arrecadados</w:t>
      </w:r>
      <w:r w:rsidR="00CC7B93" w:rsidRPr="00A148F1">
        <w:rPr>
          <w:rFonts w:ascii="Times New Roman" w:hAnsi="Times New Roman" w:cs="Times New Roman"/>
          <w:bCs/>
          <w:sz w:val="24"/>
          <w:szCs w:val="24"/>
        </w:rPr>
        <w:t>, ou seja, ele arrecada, mas terá que as devolver a quem de direito</w:t>
      </w:r>
      <w:r w:rsidR="00210E16" w:rsidRPr="00A148F1">
        <w:rPr>
          <w:rFonts w:ascii="Times New Roman" w:hAnsi="Times New Roman" w:cs="Times New Roman"/>
          <w:bCs/>
          <w:sz w:val="24"/>
          <w:szCs w:val="24"/>
        </w:rPr>
        <w:t>.</w:t>
      </w:r>
    </w:p>
    <w:p w:rsidR="00620541" w:rsidRPr="00A148F1" w:rsidRDefault="00590542" w:rsidP="00831265">
      <w:pPr>
        <w:spacing w:after="0" w:line="240" w:lineRule="auto"/>
        <w:ind w:firstLine="709"/>
        <w:jc w:val="both"/>
        <w:rPr>
          <w:rFonts w:ascii="Times New Roman" w:hAnsi="Times New Roman" w:cs="Times New Roman"/>
          <w:bCs/>
          <w:sz w:val="24"/>
          <w:szCs w:val="24"/>
        </w:rPr>
      </w:pPr>
      <w:r w:rsidRPr="00A148F1">
        <w:rPr>
          <w:rFonts w:ascii="Times New Roman" w:hAnsi="Times New Roman" w:cs="Times New Roman"/>
          <w:bCs/>
          <w:sz w:val="24"/>
          <w:szCs w:val="24"/>
        </w:rPr>
        <w:t>Conforme a Lei n.</w:t>
      </w:r>
      <w:r w:rsidR="00133E75" w:rsidRPr="00A148F1">
        <w:rPr>
          <w:rFonts w:ascii="Times New Roman" w:hAnsi="Times New Roman" w:cs="Times New Roman"/>
          <w:bCs/>
          <w:sz w:val="24"/>
          <w:szCs w:val="24"/>
        </w:rPr>
        <w:t>º</w:t>
      </w:r>
      <w:r w:rsidRPr="00A148F1">
        <w:rPr>
          <w:rFonts w:ascii="Times New Roman" w:hAnsi="Times New Roman" w:cs="Times New Roman"/>
          <w:bCs/>
          <w:sz w:val="24"/>
          <w:szCs w:val="24"/>
        </w:rPr>
        <w:t xml:space="preserve"> 4.320/1964</w:t>
      </w:r>
      <w:r w:rsidR="00620541" w:rsidRPr="00A148F1">
        <w:rPr>
          <w:rFonts w:ascii="Times New Roman" w:hAnsi="Times New Roman" w:cs="Times New Roman"/>
          <w:bCs/>
          <w:sz w:val="24"/>
          <w:szCs w:val="24"/>
        </w:rPr>
        <w:t>,</w:t>
      </w:r>
      <w:r w:rsidRPr="00A148F1">
        <w:rPr>
          <w:rFonts w:ascii="Times New Roman" w:hAnsi="Times New Roman" w:cs="Times New Roman"/>
          <w:bCs/>
          <w:sz w:val="24"/>
          <w:szCs w:val="24"/>
        </w:rPr>
        <w:t xml:space="preserve"> a receita orçamentária </w:t>
      </w:r>
      <w:r w:rsidR="00620541" w:rsidRPr="00A148F1">
        <w:rPr>
          <w:rFonts w:ascii="Times New Roman" w:hAnsi="Times New Roman" w:cs="Times New Roman"/>
          <w:bCs/>
          <w:sz w:val="24"/>
          <w:szCs w:val="24"/>
        </w:rPr>
        <w:t>“classificar-se-á nas seguintes categorias econômicas: Receitas Correntes e Receitas de Capita</w:t>
      </w:r>
      <w:r w:rsidR="00F86F08" w:rsidRPr="00A148F1">
        <w:rPr>
          <w:rFonts w:ascii="Times New Roman" w:hAnsi="Times New Roman" w:cs="Times New Roman"/>
          <w:bCs/>
          <w:sz w:val="24"/>
          <w:szCs w:val="24"/>
        </w:rPr>
        <w:t>l</w:t>
      </w:r>
      <w:r w:rsidR="00620541" w:rsidRPr="00A148F1">
        <w:rPr>
          <w:rFonts w:ascii="Times New Roman" w:hAnsi="Times New Roman" w:cs="Times New Roman"/>
          <w:bCs/>
          <w:sz w:val="24"/>
          <w:szCs w:val="24"/>
        </w:rPr>
        <w:t xml:space="preserve">” </w:t>
      </w:r>
      <w:r w:rsidR="00210E16" w:rsidRPr="00A148F1">
        <w:rPr>
          <w:rFonts w:ascii="Times New Roman" w:hAnsi="Times New Roman" w:cs="Times New Roman"/>
          <w:bCs/>
          <w:sz w:val="24"/>
          <w:szCs w:val="24"/>
        </w:rPr>
        <w:t>(BRASIL, 1964, art. 11). C</w:t>
      </w:r>
      <w:r w:rsidR="00620541" w:rsidRPr="00A148F1">
        <w:rPr>
          <w:rFonts w:ascii="Times New Roman" w:hAnsi="Times New Roman" w:cs="Times New Roman"/>
          <w:bCs/>
          <w:sz w:val="24"/>
          <w:szCs w:val="24"/>
        </w:rPr>
        <w:t xml:space="preserve">onforme a </w:t>
      </w:r>
      <w:r w:rsidR="00210E16" w:rsidRPr="00A148F1">
        <w:rPr>
          <w:rFonts w:ascii="Times New Roman" w:hAnsi="Times New Roman" w:cs="Times New Roman"/>
          <w:bCs/>
          <w:sz w:val="24"/>
          <w:szCs w:val="24"/>
        </w:rPr>
        <w:t xml:space="preserve">mesma </w:t>
      </w:r>
      <w:r w:rsidR="00620541" w:rsidRPr="00A148F1">
        <w:rPr>
          <w:rFonts w:ascii="Times New Roman" w:hAnsi="Times New Roman" w:cs="Times New Roman"/>
          <w:bCs/>
          <w:sz w:val="24"/>
          <w:szCs w:val="24"/>
        </w:rPr>
        <w:t>Lei (BRASIL, 1964, art. 11, § 1</w:t>
      </w:r>
      <w:r w:rsidR="00F67058" w:rsidRPr="00A148F1">
        <w:rPr>
          <w:rFonts w:ascii="Times New Roman" w:hAnsi="Times New Roman" w:cs="Times New Roman"/>
          <w:bCs/>
          <w:sz w:val="24"/>
          <w:szCs w:val="24"/>
        </w:rPr>
        <w:t>º)</w:t>
      </w:r>
      <w:r w:rsidR="00BB73FB" w:rsidRPr="00A148F1">
        <w:rPr>
          <w:rFonts w:ascii="Times New Roman" w:hAnsi="Times New Roman" w:cs="Times New Roman"/>
          <w:bCs/>
          <w:sz w:val="24"/>
          <w:szCs w:val="24"/>
        </w:rPr>
        <w:t xml:space="preserve">, são receitas </w:t>
      </w:r>
      <w:proofErr w:type="gramStart"/>
      <w:r w:rsidR="00BB73FB" w:rsidRPr="00A148F1">
        <w:rPr>
          <w:rFonts w:ascii="Times New Roman" w:hAnsi="Times New Roman" w:cs="Times New Roman"/>
          <w:bCs/>
          <w:sz w:val="24"/>
          <w:szCs w:val="24"/>
        </w:rPr>
        <w:t>correntes</w:t>
      </w:r>
      <w:proofErr w:type="gramEnd"/>
    </w:p>
    <w:p w:rsidR="00F67058" w:rsidRPr="00A148F1" w:rsidRDefault="00620541" w:rsidP="001941E7">
      <w:pPr>
        <w:spacing w:after="120" w:line="240" w:lineRule="auto"/>
        <w:ind w:left="2268"/>
        <w:jc w:val="both"/>
        <w:rPr>
          <w:rFonts w:ascii="Times New Roman" w:hAnsi="Times New Roman" w:cs="Times New Roman"/>
          <w:sz w:val="24"/>
          <w:szCs w:val="24"/>
        </w:rPr>
      </w:pPr>
      <w:proofErr w:type="gramStart"/>
      <w:r w:rsidRPr="00A148F1">
        <w:rPr>
          <w:rFonts w:ascii="Times New Roman" w:hAnsi="Times New Roman" w:cs="Times New Roman"/>
          <w:sz w:val="20"/>
          <w:szCs w:val="24"/>
        </w:rPr>
        <w:t>as</w:t>
      </w:r>
      <w:proofErr w:type="gramEnd"/>
      <w:r w:rsidRPr="00A148F1">
        <w:rPr>
          <w:rFonts w:ascii="Times New Roman" w:hAnsi="Times New Roman" w:cs="Times New Roman"/>
          <w:sz w:val="20"/>
          <w:szCs w:val="24"/>
        </w:rPr>
        <w:t xml:space="preserve"> receitas tributária</w:t>
      </w:r>
      <w:r w:rsidR="00CA5E17" w:rsidRPr="00A148F1">
        <w:rPr>
          <w:rFonts w:ascii="Times New Roman" w:hAnsi="Times New Roman" w:cs="Times New Roman"/>
          <w:sz w:val="20"/>
          <w:szCs w:val="24"/>
        </w:rPr>
        <w:t>s</w:t>
      </w:r>
      <w:r w:rsidRPr="00A148F1">
        <w:rPr>
          <w:rFonts w:ascii="Times New Roman" w:hAnsi="Times New Roman" w:cs="Times New Roman"/>
          <w:sz w:val="20"/>
          <w:szCs w:val="24"/>
        </w:rPr>
        <w:t>, de contribuições, patrimonial, agropecuária, industrial, de serviços e outras e, ainda, as provenientes de recursos financeiros recebidos de outras pessoas de direito público ou privado, quando destinadas a atender despesas classificáveis em Despesas Correntes</w:t>
      </w:r>
      <w:r w:rsidR="00676657" w:rsidRPr="00A148F1">
        <w:rPr>
          <w:rFonts w:ascii="Times New Roman" w:hAnsi="Times New Roman" w:cs="Times New Roman"/>
          <w:sz w:val="20"/>
          <w:szCs w:val="24"/>
        </w:rPr>
        <w:t>.</w:t>
      </w:r>
    </w:p>
    <w:p w:rsidR="00F67058" w:rsidRPr="00A148F1" w:rsidRDefault="00F67058" w:rsidP="00831265">
      <w:pPr>
        <w:spacing w:after="0" w:line="240" w:lineRule="auto"/>
        <w:ind w:firstLine="709"/>
        <w:jc w:val="both"/>
        <w:rPr>
          <w:rFonts w:ascii="Times New Roman" w:hAnsi="Times New Roman" w:cs="Times New Roman"/>
          <w:bCs/>
          <w:sz w:val="24"/>
        </w:rPr>
      </w:pPr>
      <w:r w:rsidRPr="00A148F1">
        <w:rPr>
          <w:rFonts w:ascii="Times New Roman" w:hAnsi="Times New Roman" w:cs="Times New Roman"/>
          <w:bCs/>
          <w:sz w:val="24"/>
        </w:rPr>
        <w:t>As receitas de capital</w:t>
      </w:r>
      <w:r w:rsidR="00210E16" w:rsidRPr="00A148F1">
        <w:rPr>
          <w:rFonts w:ascii="Times New Roman" w:hAnsi="Times New Roman" w:cs="Times New Roman"/>
          <w:bCs/>
          <w:sz w:val="24"/>
        </w:rPr>
        <w:t xml:space="preserve"> são definidas na L</w:t>
      </w:r>
      <w:r w:rsidR="00B85B4E" w:rsidRPr="00A148F1">
        <w:rPr>
          <w:rFonts w:ascii="Times New Roman" w:hAnsi="Times New Roman" w:cs="Times New Roman"/>
          <w:bCs/>
          <w:sz w:val="24"/>
        </w:rPr>
        <w:t>ei como (BRASIL, 1964, art. 11, § 2º</w:t>
      </w:r>
      <w:proofErr w:type="gramStart"/>
      <w:r w:rsidR="00B85B4E" w:rsidRPr="00A148F1">
        <w:rPr>
          <w:rFonts w:ascii="Times New Roman" w:hAnsi="Times New Roman" w:cs="Times New Roman"/>
          <w:bCs/>
          <w:sz w:val="24"/>
        </w:rPr>
        <w:t>)</w:t>
      </w:r>
      <w:proofErr w:type="gramEnd"/>
    </w:p>
    <w:p w:rsidR="00C95631" w:rsidRPr="00A148F1" w:rsidRDefault="00F67058" w:rsidP="001941E7">
      <w:pPr>
        <w:spacing w:after="120" w:line="240" w:lineRule="auto"/>
        <w:ind w:left="2268"/>
        <w:jc w:val="both"/>
        <w:rPr>
          <w:rFonts w:ascii="Times New Roman" w:hAnsi="Times New Roman" w:cs="Times New Roman"/>
          <w:sz w:val="20"/>
          <w:szCs w:val="24"/>
        </w:rPr>
      </w:pPr>
      <w:proofErr w:type="gramStart"/>
      <w:r w:rsidRPr="00A148F1">
        <w:rPr>
          <w:rFonts w:ascii="Times New Roman" w:hAnsi="Times New Roman" w:cs="Times New Roman"/>
          <w:sz w:val="20"/>
          <w:szCs w:val="24"/>
        </w:rPr>
        <w:t>as</w:t>
      </w:r>
      <w:proofErr w:type="gramEnd"/>
      <w:r w:rsidRPr="00A148F1">
        <w:rPr>
          <w:rFonts w:ascii="Times New Roman" w:hAnsi="Times New Roman" w:cs="Times New Roman"/>
          <w:sz w:val="20"/>
          <w:szCs w:val="24"/>
        </w:rPr>
        <w:t xml:space="preserve"> provenientes da realização de recursos financeiros oriundos de constituição de dívidas; da conversão, em espécie, de bens e direitos; os recursos recebidos de outras pessoas de direito público ou privado, destinados a atender despesas classificáveis em Despesas de Capital e, ainda, o superávit do Orçamento Corrente</w:t>
      </w:r>
      <w:r w:rsidR="00676657" w:rsidRPr="00A148F1">
        <w:rPr>
          <w:rFonts w:ascii="Times New Roman" w:hAnsi="Times New Roman" w:cs="Times New Roman"/>
          <w:sz w:val="20"/>
          <w:szCs w:val="24"/>
        </w:rPr>
        <w:t>.</w:t>
      </w:r>
    </w:p>
    <w:p w:rsidR="002E4CAA" w:rsidRPr="00A148F1" w:rsidRDefault="00CA5E17" w:rsidP="00831265">
      <w:pPr>
        <w:spacing w:after="0" w:line="240" w:lineRule="auto"/>
        <w:ind w:firstLine="708"/>
        <w:jc w:val="both"/>
        <w:rPr>
          <w:rFonts w:ascii="Times New Roman" w:hAnsi="Times New Roman" w:cs="Times New Roman"/>
          <w:bCs/>
          <w:sz w:val="24"/>
        </w:rPr>
      </w:pPr>
      <w:r w:rsidRPr="00A148F1">
        <w:rPr>
          <w:rFonts w:ascii="Times New Roman" w:hAnsi="Times New Roman" w:cs="Times New Roman"/>
          <w:bCs/>
          <w:sz w:val="24"/>
        </w:rPr>
        <w:t>No que tange à</w:t>
      </w:r>
      <w:r w:rsidR="00FB64ED" w:rsidRPr="00A148F1">
        <w:rPr>
          <w:rFonts w:ascii="Times New Roman" w:hAnsi="Times New Roman" w:cs="Times New Roman"/>
          <w:bCs/>
          <w:sz w:val="24"/>
        </w:rPr>
        <w:t xml:space="preserve"> de</w:t>
      </w:r>
      <w:r w:rsidR="00D62A75" w:rsidRPr="00A148F1">
        <w:rPr>
          <w:rFonts w:ascii="Times New Roman" w:hAnsi="Times New Roman" w:cs="Times New Roman"/>
          <w:bCs/>
          <w:sz w:val="24"/>
        </w:rPr>
        <w:t xml:space="preserve">spesa pública, </w:t>
      </w:r>
      <w:r w:rsidR="00AA3E02" w:rsidRPr="00A148F1">
        <w:rPr>
          <w:rFonts w:ascii="Times New Roman" w:hAnsi="Times New Roman" w:cs="Times New Roman"/>
          <w:bCs/>
          <w:sz w:val="24"/>
        </w:rPr>
        <w:t>Silva</w:t>
      </w:r>
      <w:r w:rsidR="00D62A75" w:rsidRPr="00A148F1">
        <w:rPr>
          <w:rFonts w:ascii="Times New Roman" w:hAnsi="Times New Roman" w:cs="Times New Roman"/>
          <w:bCs/>
          <w:sz w:val="24"/>
        </w:rPr>
        <w:t xml:space="preserve"> (</w:t>
      </w:r>
      <w:r w:rsidR="00AA3E02" w:rsidRPr="00A148F1">
        <w:rPr>
          <w:rFonts w:ascii="Times New Roman" w:hAnsi="Times New Roman" w:cs="Times New Roman"/>
          <w:bCs/>
          <w:sz w:val="24"/>
        </w:rPr>
        <w:t>2011</w:t>
      </w:r>
      <w:r w:rsidR="00BA3740" w:rsidRPr="00A148F1">
        <w:rPr>
          <w:rFonts w:ascii="Times New Roman" w:hAnsi="Times New Roman" w:cs="Times New Roman"/>
          <w:bCs/>
          <w:sz w:val="24"/>
        </w:rPr>
        <w:t xml:space="preserve">, </w:t>
      </w:r>
      <w:r w:rsidR="00EC77E5" w:rsidRPr="00A148F1">
        <w:rPr>
          <w:rFonts w:ascii="Times New Roman" w:hAnsi="Times New Roman" w:cs="Times New Roman"/>
          <w:bCs/>
          <w:sz w:val="24"/>
        </w:rPr>
        <w:t>p. 247</w:t>
      </w:r>
      <w:r w:rsidR="00275317" w:rsidRPr="00A148F1">
        <w:rPr>
          <w:rFonts w:ascii="Times New Roman" w:hAnsi="Times New Roman" w:cs="Times New Roman"/>
          <w:bCs/>
          <w:sz w:val="24"/>
        </w:rPr>
        <w:t xml:space="preserve">) </w:t>
      </w:r>
      <w:r w:rsidR="00AA3E02" w:rsidRPr="00A148F1">
        <w:rPr>
          <w:rFonts w:ascii="Times New Roman" w:hAnsi="Times New Roman" w:cs="Times New Roman"/>
          <w:bCs/>
          <w:sz w:val="24"/>
        </w:rPr>
        <w:t>define que são</w:t>
      </w:r>
      <w:r w:rsidR="00275317" w:rsidRPr="00A148F1">
        <w:rPr>
          <w:rFonts w:ascii="Times New Roman" w:hAnsi="Times New Roman" w:cs="Times New Roman"/>
          <w:bCs/>
          <w:sz w:val="24"/>
        </w:rPr>
        <w:t xml:space="preserve"> “</w:t>
      </w:r>
      <w:r w:rsidR="00D62A75" w:rsidRPr="00A148F1">
        <w:rPr>
          <w:rFonts w:ascii="Times New Roman" w:hAnsi="Times New Roman" w:cs="Times New Roman"/>
          <w:bCs/>
          <w:sz w:val="24"/>
        </w:rPr>
        <w:t>todo</w:t>
      </w:r>
      <w:r w:rsidR="00AA3E02" w:rsidRPr="00A148F1">
        <w:rPr>
          <w:rFonts w:ascii="Times New Roman" w:hAnsi="Times New Roman" w:cs="Times New Roman"/>
          <w:bCs/>
          <w:sz w:val="24"/>
        </w:rPr>
        <w:t>s os desembolsos efetuados pelo Estado no atendimento dos serviços e encargos assumidos no interesse geral da comunidade</w:t>
      </w:r>
      <w:r w:rsidR="0042730D" w:rsidRPr="00A148F1">
        <w:rPr>
          <w:rFonts w:ascii="Times New Roman" w:hAnsi="Times New Roman" w:cs="Times New Roman"/>
          <w:bCs/>
          <w:sz w:val="24"/>
        </w:rPr>
        <w:t>, nos termos da Constituição, das leis, ou e</w:t>
      </w:r>
      <w:r w:rsidRPr="00A148F1">
        <w:rPr>
          <w:rFonts w:ascii="Times New Roman" w:hAnsi="Times New Roman" w:cs="Times New Roman"/>
          <w:bCs/>
          <w:sz w:val="24"/>
        </w:rPr>
        <w:t>m</w:t>
      </w:r>
      <w:r w:rsidR="0042730D" w:rsidRPr="00A148F1">
        <w:rPr>
          <w:rFonts w:ascii="Times New Roman" w:hAnsi="Times New Roman" w:cs="Times New Roman"/>
          <w:bCs/>
          <w:sz w:val="24"/>
        </w:rPr>
        <w:t xml:space="preserve"> decorrência de contratos ou outros instrumentos</w:t>
      </w:r>
      <w:r w:rsidR="00AA3E02" w:rsidRPr="00A148F1">
        <w:rPr>
          <w:rFonts w:ascii="Times New Roman" w:hAnsi="Times New Roman" w:cs="Times New Roman"/>
          <w:bCs/>
          <w:sz w:val="24"/>
        </w:rPr>
        <w:t>”</w:t>
      </w:r>
      <w:r w:rsidR="00D62A75" w:rsidRPr="00A148F1">
        <w:rPr>
          <w:rFonts w:ascii="Times New Roman" w:hAnsi="Times New Roman" w:cs="Times New Roman"/>
          <w:bCs/>
          <w:sz w:val="24"/>
        </w:rPr>
        <w:t xml:space="preserve">. </w:t>
      </w:r>
      <w:r w:rsidR="0072710D" w:rsidRPr="00A148F1">
        <w:rPr>
          <w:rFonts w:ascii="Times New Roman" w:hAnsi="Times New Roman" w:cs="Times New Roman"/>
          <w:bCs/>
          <w:sz w:val="24"/>
        </w:rPr>
        <w:t xml:space="preserve">Entre os </w:t>
      </w:r>
      <w:r w:rsidR="00AA3E02" w:rsidRPr="00A148F1">
        <w:rPr>
          <w:rFonts w:ascii="Times New Roman" w:hAnsi="Times New Roman" w:cs="Times New Roman"/>
          <w:bCs/>
          <w:sz w:val="24"/>
        </w:rPr>
        <w:t>desembolsos</w:t>
      </w:r>
      <w:r w:rsidR="0072710D" w:rsidRPr="00A148F1">
        <w:rPr>
          <w:rFonts w:ascii="Times New Roman" w:hAnsi="Times New Roman" w:cs="Times New Roman"/>
          <w:bCs/>
          <w:sz w:val="24"/>
        </w:rPr>
        <w:t xml:space="preserve"> efetuados pelo Estado</w:t>
      </w:r>
      <w:r w:rsidR="00275317" w:rsidRPr="00A148F1">
        <w:rPr>
          <w:rFonts w:ascii="Times New Roman" w:hAnsi="Times New Roman" w:cs="Times New Roman"/>
          <w:bCs/>
          <w:sz w:val="24"/>
        </w:rPr>
        <w:t xml:space="preserve">, existem </w:t>
      </w:r>
      <w:r w:rsidR="00275317" w:rsidRPr="00A148F1">
        <w:rPr>
          <w:rFonts w:ascii="Times New Roman" w:hAnsi="Times New Roman" w:cs="Times New Roman"/>
          <w:bCs/>
          <w:sz w:val="24"/>
        </w:rPr>
        <w:lastRenderedPageBreak/>
        <w:t xml:space="preserve">aqueles que são meras devoluções de valores recebidos </w:t>
      </w:r>
      <w:r w:rsidR="002E4CAA" w:rsidRPr="00A148F1">
        <w:rPr>
          <w:rFonts w:ascii="Times New Roman" w:hAnsi="Times New Roman" w:cs="Times New Roman"/>
          <w:bCs/>
          <w:sz w:val="24"/>
        </w:rPr>
        <w:t>anteriormente, sem afetar o patrimônio (</w:t>
      </w:r>
      <w:r w:rsidR="00D62A75" w:rsidRPr="00A148F1">
        <w:rPr>
          <w:rFonts w:ascii="Times New Roman" w:hAnsi="Times New Roman" w:cs="Times New Roman"/>
          <w:bCs/>
          <w:sz w:val="24"/>
        </w:rPr>
        <w:t>SILVA, 2011, p.</w:t>
      </w:r>
      <w:r w:rsidR="00210E16" w:rsidRPr="00A148F1">
        <w:rPr>
          <w:rFonts w:ascii="Times New Roman" w:hAnsi="Times New Roman" w:cs="Times New Roman"/>
          <w:bCs/>
          <w:sz w:val="24"/>
        </w:rPr>
        <w:t xml:space="preserve"> </w:t>
      </w:r>
      <w:r w:rsidR="00D62A75" w:rsidRPr="00A148F1">
        <w:rPr>
          <w:rFonts w:ascii="Times New Roman" w:hAnsi="Times New Roman" w:cs="Times New Roman"/>
          <w:bCs/>
          <w:sz w:val="24"/>
        </w:rPr>
        <w:t>247),</w:t>
      </w:r>
      <w:r w:rsidRPr="00A148F1">
        <w:rPr>
          <w:rFonts w:ascii="Times New Roman" w:hAnsi="Times New Roman" w:cs="Times New Roman"/>
          <w:bCs/>
          <w:sz w:val="24"/>
        </w:rPr>
        <w:t xml:space="preserve"> esses valores</w:t>
      </w:r>
      <w:r w:rsidR="00D62A75" w:rsidRPr="00A148F1">
        <w:rPr>
          <w:rFonts w:ascii="Times New Roman" w:hAnsi="Times New Roman" w:cs="Times New Roman"/>
          <w:bCs/>
          <w:sz w:val="24"/>
        </w:rPr>
        <w:t xml:space="preserve"> são chamado</w:t>
      </w:r>
      <w:r w:rsidR="002E4CAA" w:rsidRPr="00A148F1">
        <w:rPr>
          <w:rFonts w:ascii="Times New Roman" w:hAnsi="Times New Roman" w:cs="Times New Roman"/>
          <w:bCs/>
          <w:sz w:val="24"/>
        </w:rPr>
        <w:t>s de d</w:t>
      </w:r>
      <w:r w:rsidR="00210E16" w:rsidRPr="00A148F1">
        <w:rPr>
          <w:rFonts w:ascii="Times New Roman" w:hAnsi="Times New Roman" w:cs="Times New Roman"/>
          <w:bCs/>
          <w:sz w:val="24"/>
        </w:rPr>
        <w:t>esembolsos</w:t>
      </w:r>
      <w:r w:rsidR="002E4CAA" w:rsidRPr="00A148F1">
        <w:rPr>
          <w:rFonts w:ascii="Times New Roman" w:hAnsi="Times New Roman" w:cs="Times New Roman"/>
          <w:bCs/>
          <w:sz w:val="24"/>
        </w:rPr>
        <w:t xml:space="preserve"> extraorçamentárias.</w:t>
      </w:r>
    </w:p>
    <w:p w:rsidR="00275317" w:rsidRPr="00A148F1" w:rsidRDefault="002E4CAA" w:rsidP="00831265">
      <w:pPr>
        <w:spacing w:after="0" w:line="240" w:lineRule="auto"/>
        <w:ind w:firstLine="709"/>
        <w:jc w:val="both"/>
        <w:rPr>
          <w:rFonts w:ascii="Times New Roman" w:hAnsi="Times New Roman" w:cs="Times New Roman"/>
          <w:bCs/>
          <w:sz w:val="24"/>
        </w:rPr>
      </w:pPr>
      <w:r w:rsidRPr="00A148F1">
        <w:rPr>
          <w:rFonts w:ascii="Times New Roman" w:hAnsi="Times New Roman" w:cs="Times New Roman"/>
          <w:bCs/>
          <w:sz w:val="24"/>
        </w:rPr>
        <w:t>As despesas que dependem de autorização legislativa para serem executadas</w:t>
      </w:r>
      <w:r w:rsidR="00C55DF8" w:rsidRPr="00A148F1">
        <w:rPr>
          <w:rFonts w:ascii="Times New Roman" w:hAnsi="Times New Roman" w:cs="Times New Roman"/>
          <w:bCs/>
          <w:sz w:val="24"/>
        </w:rPr>
        <w:t xml:space="preserve"> são chamadas de </w:t>
      </w:r>
      <w:r w:rsidR="00F0553D" w:rsidRPr="00A148F1">
        <w:rPr>
          <w:rFonts w:ascii="Times New Roman" w:hAnsi="Times New Roman" w:cs="Times New Roman"/>
          <w:bCs/>
          <w:sz w:val="24"/>
        </w:rPr>
        <w:t>despesas orçamentárias. A</w:t>
      </w:r>
      <w:r w:rsidR="007050CD" w:rsidRPr="00A148F1">
        <w:rPr>
          <w:rFonts w:ascii="Times New Roman" w:hAnsi="Times New Roman" w:cs="Times New Roman"/>
          <w:bCs/>
          <w:sz w:val="24"/>
        </w:rPr>
        <w:t>ssim</w:t>
      </w:r>
      <w:r w:rsidR="00F0553D" w:rsidRPr="00A148F1">
        <w:rPr>
          <w:rFonts w:ascii="Times New Roman" w:hAnsi="Times New Roman" w:cs="Times New Roman"/>
          <w:bCs/>
          <w:sz w:val="24"/>
        </w:rPr>
        <w:t>,</w:t>
      </w:r>
      <w:r w:rsidR="00C55DF8" w:rsidRPr="00A148F1">
        <w:rPr>
          <w:rFonts w:ascii="Times New Roman" w:hAnsi="Times New Roman" w:cs="Times New Roman"/>
          <w:bCs/>
          <w:sz w:val="24"/>
        </w:rPr>
        <w:t xml:space="preserve"> integram o orçamento anual dos entes, ou seja, não pode</w:t>
      </w:r>
      <w:r w:rsidR="007050CD" w:rsidRPr="00A148F1">
        <w:rPr>
          <w:rFonts w:ascii="Times New Roman" w:hAnsi="Times New Roman" w:cs="Times New Roman"/>
          <w:bCs/>
          <w:sz w:val="24"/>
        </w:rPr>
        <w:t>m</w:t>
      </w:r>
      <w:r w:rsidR="00C55DF8" w:rsidRPr="00A148F1">
        <w:rPr>
          <w:rFonts w:ascii="Times New Roman" w:hAnsi="Times New Roman" w:cs="Times New Roman"/>
          <w:bCs/>
          <w:sz w:val="24"/>
        </w:rPr>
        <w:t xml:space="preserve"> ser realizada</w:t>
      </w:r>
      <w:r w:rsidR="007050CD" w:rsidRPr="00A148F1">
        <w:rPr>
          <w:rFonts w:ascii="Times New Roman" w:hAnsi="Times New Roman" w:cs="Times New Roman"/>
          <w:bCs/>
          <w:sz w:val="24"/>
        </w:rPr>
        <w:t>s</w:t>
      </w:r>
      <w:r w:rsidR="00C55DF8" w:rsidRPr="00A148F1">
        <w:rPr>
          <w:rFonts w:ascii="Times New Roman" w:hAnsi="Times New Roman" w:cs="Times New Roman"/>
          <w:bCs/>
          <w:sz w:val="24"/>
        </w:rPr>
        <w:t xml:space="preserve"> sem crédito orçamentário correspondente (KOHAMA, 2010, p. 88).</w:t>
      </w:r>
    </w:p>
    <w:p w:rsidR="00C95631" w:rsidRPr="00A148F1" w:rsidRDefault="00837E27" w:rsidP="00831265">
      <w:pPr>
        <w:spacing w:after="0" w:line="240" w:lineRule="auto"/>
        <w:ind w:firstLine="708"/>
        <w:jc w:val="both"/>
        <w:rPr>
          <w:rFonts w:ascii="Times New Roman" w:hAnsi="Times New Roman" w:cs="Times New Roman"/>
          <w:bCs/>
          <w:sz w:val="24"/>
        </w:rPr>
      </w:pPr>
      <w:r w:rsidRPr="00A148F1">
        <w:rPr>
          <w:rFonts w:ascii="Times New Roman" w:hAnsi="Times New Roman" w:cs="Times New Roman"/>
          <w:bCs/>
          <w:sz w:val="24"/>
        </w:rPr>
        <w:t>Segundo o Manual de Contabilidade Aplica</w:t>
      </w:r>
      <w:r w:rsidR="00712E26" w:rsidRPr="00A148F1">
        <w:rPr>
          <w:rFonts w:ascii="Times New Roman" w:hAnsi="Times New Roman" w:cs="Times New Roman"/>
          <w:bCs/>
          <w:sz w:val="24"/>
        </w:rPr>
        <w:t>da ao Setor Público (MCASP)</w:t>
      </w:r>
      <w:r w:rsidRPr="00A148F1">
        <w:rPr>
          <w:rFonts w:ascii="Times New Roman" w:hAnsi="Times New Roman" w:cs="Times New Roman"/>
          <w:bCs/>
          <w:sz w:val="24"/>
        </w:rPr>
        <w:t xml:space="preserve">, despesa orçamentária </w:t>
      </w:r>
      <w:r w:rsidR="00C95631" w:rsidRPr="00A148F1">
        <w:rPr>
          <w:rFonts w:ascii="Times New Roman" w:hAnsi="Times New Roman" w:cs="Times New Roman"/>
          <w:bCs/>
          <w:sz w:val="24"/>
        </w:rPr>
        <w:t xml:space="preserve">“é toda transação que depende de autorização legislativa, na forma de consignação de dotação orçamentária, para </w:t>
      </w:r>
      <w:r w:rsidRPr="00A148F1">
        <w:rPr>
          <w:rFonts w:ascii="Times New Roman" w:hAnsi="Times New Roman" w:cs="Times New Roman"/>
          <w:bCs/>
          <w:sz w:val="24"/>
        </w:rPr>
        <w:t>ser efetivada” (STN, 2014</w:t>
      </w:r>
      <w:r w:rsidR="00EC77E5" w:rsidRPr="00A148F1">
        <w:rPr>
          <w:rFonts w:ascii="Times New Roman" w:hAnsi="Times New Roman" w:cs="Times New Roman"/>
          <w:bCs/>
          <w:sz w:val="24"/>
        </w:rPr>
        <w:t>a, p. 61</w:t>
      </w:r>
      <w:r w:rsidR="00C95631" w:rsidRPr="00A148F1">
        <w:rPr>
          <w:rFonts w:ascii="Times New Roman" w:hAnsi="Times New Roman" w:cs="Times New Roman"/>
          <w:bCs/>
          <w:sz w:val="24"/>
        </w:rPr>
        <w:t xml:space="preserve">). </w:t>
      </w:r>
      <w:r w:rsidR="00712E26" w:rsidRPr="00A148F1">
        <w:rPr>
          <w:rFonts w:ascii="Times New Roman" w:hAnsi="Times New Roman" w:cs="Times New Roman"/>
          <w:bCs/>
          <w:sz w:val="24"/>
        </w:rPr>
        <w:t>S</w:t>
      </w:r>
      <w:r w:rsidRPr="00A148F1">
        <w:rPr>
          <w:rFonts w:ascii="Times New Roman" w:hAnsi="Times New Roman" w:cs="Times New Roman"/>
          <w:bCs/>
          <w:sz w:val="24"/>
        </w:rPr>
        <w:t xml:space="preserve">egundo a categoria econômica, </w:t>
      </w:r>
      <w:r w:rsidR="00712E26" w:rsidRPr="00A148F1">
        <w:rPr>
          <w:rFonts w:ascii="Times New Roman" w:hAnsi="Times New Roman" w:cs="Times New Roman"/>
          <w:bCs/>
          <w:sz w:val="24"/>
        </w:rPr>
        <w:t xml:space="preserve">as despesas orçamentárias </w:t>
      </w:r>
      <w:r w:rsidRPr="00A148F1">
        <w:rPr>
          <w:rFonts w:ascii="Times New Roman" w:hAnsi="Times New Roman" w:cs="Times New Roman"/>
          <w:bCs/>
          <w:sz w:val="24"/>
        </w:rPr>
        <w:t>serão classificadas em despesas correntes e de capital (BRASIL, 1964, art. 12).</w:t>
      </w:r>
    </w:p>
    <w:p w:rsidR="00C95631" w:rsidRPr="00A148F1" w:rsidRDefault="00495B72" w:rsidP="00831265">
      <w:pPr>
        <w:spacing w:after="0" w:line="240" w:lineRule="auto"/>
        <w:ind w:firstLine="708"/>
        <w:jc w:val="both"/>
        <w:rPr>
          <w:rFonts w:ascii="Times New Roman" w:hAnsi="Times New Roman" w:cs="Times New Roman"/>
          <w:bCs/>
          <w:sz w:val="24"/>
        </w:rPr>
      </w:pPr>
      <w:r w:rsidRPr="00A148F1">
        <w:rPr>
          <w:rFonts w:ascii="Times New Roman" w:hAnsi="Times New Roman" w:cs="Times New Roman"/>
          <w:bCs/>
          <w:sz w:val="24"/>
        </w:rPr>
        <w:t>Como despesas correntes</w:t>
      </w:r>
      <w:r w:rsidR="00F0553D" w:rsidRPr="00A148F1">
        <w:rPr>
          <w:rFonts w:ascii="Times New Roman" w:hAnsi="Times New Roman" w:cs="Times New Roman"/>
          <w:bCs/>
          <w:sz w:val="24"/>
        </w:rPr>
        <w:t>,</w:t>
      </w:r>
      <w:r w:rsidRPr="00A148F1">
        <w:rPr>
          <w:rFonts w:ascii="Times New Roman" w:hAnsi="Times New Roman" w:cs="Times New Roman"/>
          <w:bCs/>
          <w:sz w:val="24"/>
        </w:rPr>
        <w:t xml:space="preserve"> pode</w:t>
      </w:r>
      <w:r w:rsidR="00FB64ED" w:rsidRPr="00A148F1">
        <w:rPr>
          <w:rFonts w:ascii="Times New Roman" w:hAnsi="Times New Roman" w:cs="Times New Roman"/>
          <w:bCs/>
          <w:sz w:val="24"/>
        </w:rPr>
        <w:t>m</w:t>
      </w:r>
      <w:r w:rsidRPr="00A148F1">
        <w:rPr>
          <w:rFonts w:ascii="Times New Roman" w:hAnsi="Times New Roman" w:cs="Times New Roman"/>
          <w:bCs/>
          <w:sz w:val="24"/>
        </w:rPr>
        <w:t>-se</w:t>
      </w:r>
      <w:r w:rsidR="00C95631" w:rsidRPr="00A148F1">
        <w:rPr>
          <w:rFonts w:ascii="Times New Roman" w:hAnsi="Times New Roman" w:cs="Times New Roman"/>
          <w:bCs/>
          <w:sz w:val="24"/>
        </w:rPr>
        <w:t xml:space="preserve"> classificar todas que “não contribuem, diretamente, para a formação ou aquisição de um bem de capital” (STN, 2014</w:t>
      </w:r>
      <w:r w:rsidR="00EC77E5" w:rsidRPr="00A148F1">
        <w:rPr>
          <w:rFonts w:ascii="Times New Roman" w:hAnsi="Times New Roman" w:cs="Times New Roman"/>
          <w:bCs/>
          <w:sz w:val="24"/>
        </w:rPr>
        <w:t>a</w:t>
      </w:r>
      <w:r w:rsidR="00C95631" w:rsidRPr="00A148F1">
        <w:rPr>
          <w:rFonts w:ascii="Times New Roman" w:hAnsi="Times New Roman" w:cs="Times New Roman"/>
          <w:bCs/>
          <w:sz w:val="24"/>
        </w:rPr>
        <w:t xml:space="preserve">, p. </w:t>
      </w:r>
      <w:r w:rsidR="007B2CEB" w:rsidRPr="00A148F1">
        <w:rPr>
          <w:rFonts w:ascii="Times New Roman" w:hAnsi="Times New Roman" w:cs="Times New Roman"/>
          <w:bCs/>
          <w:sz w:val="24"/>
        </w:rPr>
        <w:t>65</w:t>
      </w:r>
      <w:r w:rsidR="00C95631" w:rsidRPr="00A148F1">
        <w:rPr>
          <w:rFonts w:ascii="Times New Roman" w:hAnsi="Times New Roman" w:cs="Times New Roman"/>
          <w:bCs/>
          <w:sz w:val="24"/>
        </w:rPr>
        <w:t xml:space="preserve">). Ainda conforme </w:t>
      </w:r>
      <w:r w:rsidR="00A55CAA" w:rsidRPr="00A148F1">
        <w:rPr>
          <w:rFonts w:ascii="Times New Roman" w:hAnsi="Times New Roman" w:cs="Times New Roman"/>
          <w:bCs/>
          <w:sz w:val="24"/>
        </w:rPr>
        <w:t xml:space="preserve">o </w:t>
      </w:r>
      <w:r w:rsidR="00837E27" w:rsidRPr="00A148F1">
        <w:rPr>
          <w:rFonts w:ascii="Times New Roman" w:hAnsi="Times New Roman" w:cs="Times New Roman"/>
          <w:bCs/>
          <w:sz w:val="24"/>
        </w:rPr>
        <w:t>MCASP</w:t>
      </w:r>
      <w:r w:rsidR="00CA5E17" w:rsidRPr="00A148F1">
        <w:rPr>
          <w:rFonts w:ascii="Times New Roman" w:hAnsi="Times New Roman" w:cs="Times New Roman"/>
          <w:bCs/>
          <w:sz w:val="24"/>
        </w:rPr>
        <w:t>,</w:t>
      </w:r>
      <w:r w:rsidR="00A55CAA" w:rsidRPr="00A148F1">
        <w:rPr>
          <w:rFonts w:ascii="Times New Roman" w:hAnsi="Times New Roman" w:cs="Times New Roman"/>
          <w:bCs/>
          <w:sz w:val="24"/>
        </w:rPr>
        <w:t xml:space="preserve"> </w:t>
      </w:r>
      <w:r w:rsidR="00C95631" w:rsidRPr="00A148F1">
        <w:rPr>
          <w:rFonts w:ascii="Times New Roman" w:hAnsi="Times New Roman" w:cs="Times New Roman"/>
          <w:bCs/>
          <w:sz w:val="24"/>
        </w:rPr>
        <w:t>“as despesas de capital são aquelas que contribuem, diretamente, para a formação ou aquisição de um bem de capital”</w:t>
      </w:r>
      <w:r w:rsidR="00A55CAA" w:rsidRPr="00A148F1">
        <w:rPr>
          <w:rFonts w:ascii="Times New Roman" w:hAnsi="Times New Roman" w:cs="Times New Roman"/>
          <w:bCs/>
          <w:sz w:val="24"/>
        </w:rPr>
        <w:t xml:space="preserve"> (STN, 2014</w:t>
      </w:r>
      <w:r w:rsidR="007B2CEB" w:rsidRPr="00A148F1">
        <w:rPr>
          <w:rFonts w:ascii="Times New Roman" w:hAnsi="Times New Roman" w:cs="Times New Roman"/>
          <w:bCs/>
          <w:sz w:val="24"/>
        </w:rPr>
        <w:t>a</w:t>
      </w:r>
      <w:r w:rsidR="00A55CAA" w:rsidRPr="00A148F1">
        <w:rPr>
          <w:rFonts w:ascii="Times New Roman" w:hAnsi="Times New Roman" w:cs="Times New Roman"/>
          <w:bCs/>
          <w:sz w:val="24"/>
        </w:rPr>
        <w:t>, p.</w:t>
      </w:r>
      <w:r w:rsidR="007B2CEB" w:rsidRPr="00A148F1">
        <w:rPr>
          <w:rFonts w:ascii="Times New Roman" w:hAnsi="Times New Roman" w:cs="Times New Roman"/>
          <w:bCs/>
          <w:sz w:val="24"/>
        </w:rPr>
        <w:t>65</w:t>
      </w:r>
      <w:r w:rsidR="00A55CAA" w:rsidRPr="00A148F1">
        <w:rPr>
          <w:rFonts w:ascii="Times New Roman" w:hAnsi="Times New Roman" w:cs="Times New Roman"/>
          <w:bCs/>
          <w:sz w:val="24"/>
        </w:rPr>
        <w:t>)</w:t>
      </w:r>
      <w:r w:rsidR="00C95631" w:rsidRPr="00A148F1">
        <w:rPr>
          <w:rFonts w:ascii="Times New Roman" w:hAnsi="Times New Roman" w:cs="Times New Roman"/>
          <w:bCs/>
          <w:sz w:val="24"/>
        </w:rPr>
        <w:t>.</w:t>
      </w:r>
    </w:p>
    <w:p w:rsidR="00EC703C" w:rsidRPr="00A148F1" w:rsidRDefault="00EC703C" w:rsidP="00831265">
      <w:pPr>
        <w:spacing w:after="0" w:line="240" w:lineRule="auto"/>
        <w:ind w:firstLine="708"/>
        <w:jc w:val="both"/>
        <w:rPr>
          <w:rFonts w:ascii="Times New Roman" w:hAnsi="Times New Roman" w:cs="Times New Roman"/>
          <w:bCs/>
          <w:sz w:val="24"/>
        </w:rPr>
      </w:pPr>
      <w:r w:rsidRPr="00A148F1">
        <w:rPr>
          <w:rFonts w:ascii="Times New Roman" w:hAnsi="Times New Roman" w:cs="Times New Roman"/>
          <w:bCs/>
          <w:sz w:val="24"/>
        </w:rPr>
        <w:t xml:space="preserve">Outra </w:t>
      </w:r>
      <w:r w:rsidR="00712E26" w:rsidRPr="00A148F1">
        <w:rPr>
          <w:rFonts w:ascii="Times New Roman" w:hAnsi="Times New Roman" w:cs="Times New Roman"/>
          <w:bCs/>
          <w:sz w:val="24"/>
        </w:rPr>
        <w:t>c</w:t>
      </w:r>
      <w:r w:rsidRPr="00A148F1">
        <w:rPr>
          <w:rFonts w:ascii="Times New Roman" w:hAnsi="Times New Roman" w:cs="Times New Roman"/>
          <w:bCs/>
          <w:sz w:val="24"/>
        </w:rPr>
        <w:t>lassificação das despesas</w:t>
      </w:r>
      <w:r w:rsidR="000E54AE" w:rsidRPr="00A148F1">
        <w:rPr>
          <w:rFonts w:ascii="Times New Roman" w:hAnsi="Times New Roman" w:cs="Times New Roman"/>
          <w:bCs/>
          <w:sz w:val="24"/>
        </w:rPr>
        <w:t xml:space="preserve"> é</w:t>
      </w:r>
      <w:r w:rsidRPr="00A148F1">
        <w:rPr>
          <w:rFonts w:ascii="Times New Roman" w:hAnsi="Times New Roman" w:cs="Times New Roman"/>
          <w:bCs/>
          <w:sz w:val="24"/>
        </w:rPr>
        <w:t xml:space="preserve"> </w:t>
      </w:r>
      <w:r w:rsidR="007D0A72" w:rsidRPr="00A148F1">
        <w:rPr>
          <w:rFonts w:ascii="Times New Roman" w:hAnsi="Times New Roman" w:cs="Times New Roman"/>
          <w:bCs/>
          <w:sz w:val="24"/>
        </w:rPr>
        <w:t xml:space="preserve">a </w:t>
      </w:r>
      <w:r w:rsidR="00712E26" w:rsidRPr="00A148F1">
        <w:rPr>
          <w:rFonts w:ascii="Times New Roman" w:hAnsi="Times New Roman" w:cs="Times New Roman"/>
          <w:bCs/>
          <w:sz w:val="24"/>
        </w:rPr>
        <w:t>funcional</w:t>
      </w:r>
      <w:r w:rsidRPr="00A148F1">
        <w:rPr>
          <w:rFonts w:ascii="Times New Roman" w:hAnsi="Times New Roman" w:cs="Times New Roman"/>
          <w:bCs/>
          <w:sz w:val="24"/>
        </w:rPr>
        <w:t xml:space="preserve">. </w:t>
      </w:r>
      <w:r w:rsidR="00712E26" w:rsidRPr="00A148F1">
        <w:rPr>
          <w:rFonts w:ascii="Times New Roman" w:hAnsi="Times New Roman" w:cs="Times New Roman"/>
          <w:bCs/>
          <w:sz w:val="24"/>
        </w:rPr>
        <w:t>Tal</w:t>
      </w:r>
      <w:r w:rsidR="000E54AE" w:rsidRPr="00A148F1">
        <w:rPr>
          <w:rFonts w:ascii="Times New Roman" w:hAnsi="Times New Roman" w:cs="Times New Roman"/>
          <w:bCs/>
          <w:sz w:val="24"/>
        </w:rPr>
        <w:t xml:space="preserve"> classificação é normatizad</w:t>
      </w:r>
      <w:r w:rsidR="00712E26" w:rsidRPr="00A148F1">
        <w:rPr>
          <w:rFonts w:ascii="Times New Roman" w:hAnsi="Times New Roman" w:cs="Times New Roman"/>
          <w:bCs/>
          <w:sz w:val="24"/>
        </w:rPr>
        <w:t>a por meio da Portaria n.º 42/</w:t>
      </w:r>
      <w:r w:rsidR="000E54AE" w:rsidRPr="00A148F1">
        <w:rPr>
          <w:rFonts w:ascii="Times New Roman" w:hAnsi="Times New Roman" w:cs="Times New Roman"/>
          <w:bCs/>
          <w:sz w:val="24"/>
        </w:rPr>
        <w:t>1999 do então Ministério do Orçamento e Gestão (MOG).</w:t>
      </w:r>
      <w:r w:rsidR="00B2345C" w:rsidRPr="00A148F1">
        <w:rPr>
          <w:rFonts w:ascii="Times New Roman" w:hAnsi="Times New Roman" w:cs="Times New Roman"/>
          <w:bCs/>
          <w:sz w:val="24"/>
        </w:rPr>
        <w:t xml:space="preserve"> </w:t>
      </w:r>
      <w:r w:rsidR="00712E26" w:rsidRPr="00A148F1">
        <w:rPr>
          <w:rFonts w:ascii="Times New Roman" w:hAnsi="Times New Roman" w:cs="Times New Roman"/>
          <w:bCs/>
          <w:sz w:val="24"/>
        </w:rPr>
        <w:t>A classificação funcional “segrega as dotações orçamentárias em funções e subfunções, buscando responder basicamente a indagação “em que” área de ação governamental a despesa será realizada” (SILVA, 2011, p. 255).</w:t>
      </w:r>
    </w:p>
    <w:p w:rsidR="00246762" w:rsidRPr="00A148F1" w:rsidRDefault="00712E26" w:rsidP="00831265">
      <w:pPr>
        <w:spacing w:after="0" w:line="240" w:lineRule="auto"/>
        <w:ind w:firstLine="708"/>
        <w:jc w:val="both"/>
        <w:rPr>
          <w:rFonts w:ascii="Times New Roman" w:hAnsi="Times New Roman" w:cs="Times New Roman"/>
          <w:bCs/>
          <w:sz w:val="24"/>
        </w:rPr>
      </w:pPr>
      <w:r w:rsidRPr="00A148F1">
        <w:rPr>
          <w:rFonts w:ascii="Times New Roman" w:hAnsi="Times New Roman" w:cs="Times New Roman"/>
          <w:bCs/>
          <w:sz w:val="24"/>
        </w:rPr>
        <w:t xml:space="preserve">Conforme a referida norma, “como função, deve entender-se o maior nível de agregação das diversas áreas de despesas que competem ao setor público” (MOG, 1999, art. 1º, §2). </w:t>
      </w:r>
      <w:r w:rsidR="00042781" w:rsidRPr="00A148F1">
        <w:rPr>
          <w:rFonts w:ascii="Times New Roman" w:hAnsi="Times New Roman" w:cs="Times New Roman"/>
          <w:bCs/>
          <w:sz w:val="24"/>
        </w:rPr>
        <w:t>Ao total a norma apresent</w:t>
      </w:r>
      <w:r w:rsidR="00045C3D" w:rsidRPr="00A148F1">
        <w:rPr>
          <w:rFonts w:ascii="Times New Roman" w:hAnsi="Times New Roman" w:cs="Times New Roman"/>
          <w:bCs/>
          <w:sz w:val="24"/>
        </w:rPr>
        <w:t>a</w:t>
      </w:r>
      <w:r w:rsidR="00042781" w:rsidRPr="00A148F1">
        <w:rPr>
          <w:rFonts w:ascii="Times New Roman" w:hAnsi="Times New Roman" w:cs="Times New Roman"/>
          <w:bCs/>
          <w:sz w:val="24"/>
        </w:rPr>
        <w:t xml:space="preserve"> 28 funções </w:t>
      </w:r>
      <w:r w:rsidR="00B2345C" w:rsidRPr="00A148F1">
        <w:rPr>
          <w:rFonts w:ascii="Times New Roman" w:hAnsi="Times New Roman" w:cs="Times New Roman"/>
          <w:bCs/>
          <w:sz w:val="24"/>
        </w:rPr>
        <w:t>de governo</w:t>
      </w:r>
      <w:r w:rsidR="001946E1" w:rsidRPr="00A148F1">
        <w:rPr>
          <w:rFonts w:ascii="Times New Roman" w:hAnsi="Times New Roman" w:cs="Times New Roman"/>
          <w:bCs/>
          <w:sz w:val="24"/>
        </w:rPr>
        <w:t xml:space="preserve">, cada uma com um código próprio, tais como: </w:t>
      </w:r>
      <w:proofErr w:type="gramStart"/>
      <w:r w:rsidR="00042781" w:rsidRPr="00A148F1">
        <w:rPr>
          <w:rFonts w:ascii="Times New Roman" w:hAnsi="Times New Roman" w:cs="Times New Roman"/>
          <w:bCs/>
          <w:sz w:val="24"/>
        </w:rPr>
        <w:t>06 – Segurança</w:t>
      </w:r>
      <w:proofErr w:type="gramEnd"/>
      <w:r w:rsidR="00042781" w:rsidRPr="00A148F1">
        <w:rPr>
          <w:rFonts w:ascii="Times New Roman" w:hAnsi="Times New Roman" w:cs="Times New Roman"/>
          <w:bCs/>
          <w:sz w:val="24"/>
        </w:rPr>
        <w:t xml:space="preserve"> Pública, 10 – Saúde e 12 – Educação.</w:t>
      </w:r>
    </w:p>
    <w:p w:rsidR="0041751F" w:rsidRPr="00A148F1" w:rsidRDefault="0041751F" w:rsidP="00831265">
      <w:pPr>
        <w:spacing w:after="0" w:line="240" w:lineRule="auto"/>
        <w:ind w:firstLine="708"/>
        <w:jc w:val="both"/>
        <w:rPr>
          <w:rFonts w:ascii="Times New Roman" w:hAnsi="Times New Roman" w:cs="Times New Roman"/>
          <w:bCs/>
          <w:sz w:val="24"/>
        </w:rPr>
      </w:pPr>
    </w:p>
    <w:p w:rsidR="00AD15C5" w:rsidRPr="00A148F1" w:rsidRDefault="00396DF1" w:rsidP="00203B12">
      <w:pPr>
        <w:pStyle w:val="Ttulo2"/>
        <w:rPr>
          <w:rFonts w:ascii="Times New Roman" w:hAnsi="Times New Roman"/>
          <w:sz w:val="24"/>
        </w:rPr>
      </w:pPr>
      <w:r w:rsidRPr="00A148F1">
        <w:rPr>
          <w:rFonts w:ascii="Times New Roman" w:hAnsi="Times New Roman"/>
          <w:sz w:val="24"/>
        </w:rPr>
        <w:t>Despesas com Ações e Serviços Públicos de S</w:t>
      </w:r>
      <w:r w:rsidR="00CF27E4" w:rsidRPr="00A148F1">
        <w:rPr>
          <w:rFonts w:ascii="Times New Roman" w:hAnsi="Times New Roman"/>
          <w:sz w:val="24"/>
        </w:rPr>
        <w:t>aúde</w:t>
      </w:r>
      <w:r w:rsidRPr="00A148F1">
        <w:rPr>
          <w:rFonts w:ascii="Times New Roman" w:hAnsi="Times New Roman"/>
          <w:sz w:val="24"/>
        </w:rPr>
        <w:t xml:space="preserve"> (ASPS)</w:t>
      </w:r>
    </w:p>
    <w:p w:rsidR="00AD15C5" w:rsidRPr="00A148F1" w:rsidRDefault="00741567" w:rsidP="00831265">
      <w:pPr>
        <w:spacing w:after="0" w:line="240" w:lineRule="auto"/>
        <w:ind w:firstLine="709"/>
        <w:jc w:val="both"/>
        <w:rPr>
          <w:rFonts w:ascii="Times New Roman" w:hAnsi="Times New Roman" w:cs="Times New Roman"/>
          <w:bCs/>
          <w:sz w:val="24"/>
        </w:rPr>
      </w:pPr>
      <w:r w:rsidRPr="00A148F1">
        <w:rPr>
          <w:rFonts w:ascii="Times New Roman" w:hAnsi="Times New Roman" w:cs="Times New Roman"/>
          <w:bCs/>
          <w:sz w:val="24"/>
        </w:rPr>
        <w:t>O poder público, por meio de suas ações, deve garantir a população</w:t>
      </w:r>
      <w:r w:rsidR="00265834" w:rsidRPr="00A148F1">
        <w:rPr>
          <w:rFonts w:ascii="Times New Roman" w:hAnsi="Times New Roman" w:cs="Times New Roman"/>
          <w:bCs/>
          <w:sz w:val="24"/>
        </w:rPr>
        <w:t>,</w:t>
      </w:r>
      <w:r w:rsidRPr="00A148F1">
        <w:rPr>
          <w:rFonts w:ascii="Times New Roman" w:hAnsi="Times New Roman" w:cs="Times New Roman"/>
          <w:bCs/>
          <w:sz w:val="24"/>
        </w:rPr>
        <w:t xml:space="preserve"> direitos sociais</w:t>
      </w:r>
      <w:r w:rsidR="00AB4E22" w:rsidRPr="00A148F1">
        <w:rPr>
          <w:rFonts w:ascii="Times New Roman" w:hAnsi="Times New Roman" w:cs="Times New Roman"/>
          <w:bCs/>
          <w:sz w:val="24"/>
        </w:rPr>
        <w:t xml:space="preserve"> essenciais</w:t>
      </w:r>
      <w:r w:rsidRPr="00A148F1">
        <w:rPr>
          <w:rFonts w:ascii="Times New Roman" w:hAnsi="Times New Roman" w:cs="Times New Roman"/>
          <w:bCs/>
          <w:sz w:val="24"/>
        </w:rPr>
        <w:t xml:space="preserve">. </w:t>
      </w:r>
      <w:r w:rsidR="007F74AB" w:rsidRPr="00A148F1">
        <w:rPr>
          <w:rFonts w:ascii="Times New Roman" w:hAnsi="Times New Roman" w:cs="Times New Roman"/>
          <w:bCs/>
          <w:sz w:val="24"/>
        </w:rPr>
        <w:t>Conforme a Constituição F</w:t>
      </w:r>
      <w:r w:rsidR="00396DF1" w:rsidRPr="00A148F1">
        <w:rPr>
          <w:rFonts w:ascii="Times New Roman" w:hAnsi="Times New Roman" w:cs="Times New Roman"/>
          <w:bCs/>
          <w:sz w:val="24"/>
        </w:rPr>
        <w:t xml:space="preserve">ederal de 1988, </w:t>
      </w:r>
      <w:r w:rsidRPr="00A148F1">
        <w:rPr>
          <w:rFonts w:ascii="Times New Roman" w:hAnsi="Times New Roman" w:cs="Times New Roman"/>
          <w:bCs/>
          <w:sz w:val="24"/>
        </w:rPr>
        <w:t>“São direitos sociais a educação, a saúde, a alimentação, o trabalho, a moradia, o transporte, o lazer, a segurança, a previdência social, a proteção à maternidade e à infância, a assistência aos desamparados, na forma desta Constituição” (BRASIL, 1988, art. 6º).</w:t>
      </w:r>
    </w:p>
    <w:p w:rsidR="00AB4E22" w:rsidRPr="00A148F1" w:rsidRDefault="00411029" w:rsidP="00831265">
      <w:pPr>
        <w:spacing w:after="0" w:line="240" w:lineRule="auto"/>
        <w:ind w:firstLine="709"/>
        <w:jc w:val="both"/>
        <w:rPr>
          <w:rFonts w:ascii="Times New Roman" w:hAnsi="Times New Roman" w:cs="Times New Roman"/>
          <w:sz w:val="28"/>
          <w:szCs w:val="24"/>
        </w:rPr>
      </w:pPr>
      <w:r w:rsidRPr="00A148F1">
        <w:rPr>
          <w:rFonts w:ascii="Times New Roman" w:hAnsi="Times New Roman" w:cs="Times New Roman"/>
          <w:bCs/>
          <w:sz w:val="24"/>
        </w:rPr>
        <w:t>Ainda</w:t>
      </w:r>
      <w:r w:rsidR="007F74AB" w:rsidRPr="00A148F1">
        <w:rPr>
          <w:rFonts w:ascii="Times New Roman" w:hAnsi="Times New Roman" w:cs="Times New Roman"/>
          <w:bCs/>
          <w:sz w:val="24"/>
        </w:rPr>
        <w:t xml:space="preserve"> conforme a Constituição</w:t>
      </w:r>
      <w:r w:rsidRPr="00A148F1">
        <w:rPr>
          <w:rFonts w:ascii="Times New Roman" w:hAnsi="Times New Roman" w:cs="Times New Roman"/>
          <w:bCs/>
          <w:sz w:val="24"/>
        </w:rPr>
        <w:t xml:space="preserve"> (BRASIL, 1988, art. 198</w:t>
      </w:r>
      <w:r w:rsidR="00F266C2" w:rsidRPr="00A148F1">
        <w:rPr>
          <w:rFonts w:ascii="Times New Roman" w:hAnsi="Times New Roman" w:cs="Times New Roman"/>
          <w:bCs/>
          <w:sz w:val="24"/>
        </w:rPr>
        <w:t>, caput, I, II e III</w:t>
      </w:r>
      <w:r w:rsidRPr="00A148F1">
        <w:rPr>
          <w:rFonts w:ascii="Times New Roman" w:hAnsi="Times New Roman" w:cs="Times New Roman"/>
          <w:bCs/>
          <w:sz w:val="24"/>
        </w:rPr>
        <w:t>)</w:t>
      </w:r>
      <w:r w:rsidR="00396DF1" w:rsidRPr="00A148F1">
        <w:rPr>
          <w:rFonts w:ascii="Times New Roman" w:hAnsi="Times New Roman" w:cs="Times New Roman"/>
          <w:bCs/>
          <w:sz w:val="24"/>
        </w:rPr>
        <w:t xml:space="preserve"> as </w:t>
      </w:r>
      <w:proofErr w:type="gramStart"/>
      <w:r w:rsidR="00396DF1" w:rsidRPr="00A148F1">
        <w:rPr>
          <w:rFonts w:ascii="Times New Roman" w:hAnsi="Times New Roman" w:cs="Times New Roman"/>
          <w:bCs/>
          <w:sz w:val="24"/>
        </w:rPr>
        <w:t>ASPS</w:t>
      </w:r>
      <w:proofErr w:type="gramEnd"/>
    </w:p>
    <w:p w:rsidR="00F266C2" w:rsidRPr="00A148F1" w:rsidRDefault="00411029" w:rsidP="000F496A">
      <w:pPr>
        <w:spacing w:after="0" w:line="240" w:lineRule="auto"/>
        <w:ind w:left="2268"/>
        <w:jc w:val="both"/>
        <w:rPr>
          <w:rFonts w:ascii="Times New Roman" w:hAnsi="Times New Roman" w:cs="Times New Roman"/>
          <w:sz w:val="20"/>
          <w:szCs w:val="24"/>
        </w:rPr>
      </w:pPr>
      <w:proofErr w:type="gramStart"/>
      <w:r w:rsidRPr="00A148F1">
        <w:rPr>
          <w:rFonts w:ascii="Times New Roman" w:hAnsi="Times New Roman" w:cs="Times New Roman"/>
          <w:sz w:val="20"/>
          <w:szCs w:val="24"/>
        </w:rPr>
        <w:t>integram</w:t>
      </w:r>
      <w:proofErr w:type="gramEnd"/>
      <w:r w:rsidRPr="00A148F1">
        <w:rPr>
          <w:rFonts w:ascii="Times New Roman" w:hAnsi="Times New Roman" w:cs="Times New Roman"/>
          <w:sz w:val="20"/>
          <w:szCs w:val="24"/>
        </w:rPr>
        <w:t xml:space="preserve"> uma rede regionalizada e hierarquizada e constituem um sistema único, organizado de acordo com as seguintes diretrizes: </w:t>
      </w:r>
    </w:p>
    <w:p w:rsidR="00F266C2" w:rsidRPr="00A148F1" w:rsidRDefault="00411029" w:rsidP="000F496A">
      <w:pPr>
        <w:spacing w:after="0" w:line="240" w:lineRule="auto"/>
        <w:ind w:left="2268"/>
        <w:jc w:val="both"/>
        <w:rPr>
          <w:rFonts w:ascii="Times New Roman" w:hAnsi="Times New Roman" w:cs="Times New Roman"/>
          <w:sz w:val="20"/>
          <w:szCs w:val="24"/>
        </w:rPr>
      </w:pPr>
      <w:r w:rsidRPr="00A148F1">
        <w:rPr>
          <w:rFonts w:ascii="Times New Roman" w:hAnsi="Times New Roman" w:cs="Times New Roman"/>
          <w:sz w:val="20"/>
          <w:szCs w:val="24"/>
        </w:rPr>
        <w:t xml:space="preserve">I - descentralização, com direção única em cada esfera de governo; </w:t>
      </w:r>
    </w:p>
    <w:p w:rsidR="00F266C2" w:rsidRPr="00A148F1" w:rsidRDefault="00411029" w:rsidP="000F496A">
      <w:pPr>
        <w:spacing w:after="0" w:line="240" w:lineRule="auto"/>
        <w:ind w:left="2268"/>
        <w:jc w:val="both"/>
        <w:rPr>
          <w:rFonts w:ascii="Times New Roman" w:hAnsi="Times New Roman" w:cs="Times New Roman"/>
          <w:sz w:val="20"/>
          <w:szCs w:val="24"/>
        </w:rPr>
      </w:pPr>
      <w:r w:rsidRPr="00A148F1">
        <w:rPr>
          <w:rFonts w:ascii="Times New Roman" w:hAnsi="Times New Roman" w:cs="Times New Roman"/>
          <w:sz w:val="20"/>
          <w:szCs w:val="24"/>
        </w:rPr>
        <w:t xml:space="preserve">II - atendimento integral, com prioridade para as atividades preventivas, sem prejuízo dos serviços assistenciais; </w:t>
      </w:r>
    </w:p>
    <w:p w:rsidR="00AB4E22" w:rsidRPr="00A148F1" w:rsidRDefault="00411029" w:rsidP="000F496A">
      <w:pPr>
        <w:spacing w:after="120" w:line="240" w:lineRule="auto"/>
        <w:ind w:left="2268"/>
        <w:jc w:val="both"/>
        <w:rPr>
          <w:rFonts w:ascii="Times New Roman" w:hAnsi="Times New Roman" w:cs="Times New Roman"/>
          <w:sz w:val="20"/>
          <w:szCs w:val="24"/>
        </w:rPr>
      </w:pPr>
      <w:r w:rsidRPr="00A148F1">
        <w:rPr>
          <w:rFonts w:ascii="Times New Roman" w:hAnsi="Times New Roman" w:cs="Times New Roman"/>
          <w:sz w:val="20"/>
          <w:szCs w:val="24"/>
        </w:rPr>
        <w:t>III - participação da comunidade.</w:t>
      </w:r>
    </w:p>
    <w:p w:rsidR="00265834" w:rsidRPr="00A148F1" w:rsidRDefault="00265834" w:rsidP="00A148F1">
      <w:pPr>
        <w:spacing w:after="0" w:line="240" w:lineRule="auto"/>
        <w:ind w:left="708" w:firstLine="709"/>
        <w:jc w:val="both"/>
        <w:rPr>
          <w:rFonts w:ascii="Times New Roman" w:hAnsi="Times New Roman" w:cs="Times New Roman"/>
          <w:bCs/>
        </w:rPr>
      </w:pPr>
      <w:r w:rsidRPr="00A148F1">
        <w:rPr>
          <w:rFonts w:ascii="Times New Roman" w:hAnsi="Times New Roman" w:cs="Times New Roman"/>
          <w:bCs/>
          <w:sz w:val="24"/>
        </w:rPr>
        <w:t>Deste m</w:t>
      </w:r>
      <w:r w:rsidR="00CA5E17" w:rsidRPr="00A148F1">
        <w:rPr>
          <w:rFonts w:ascii="Times New Roman" w:hAnsi="Times New Roman" w:cs="Times New Roman"/>
          <w:bCs/>
          <w:sz w:val="24"/>
        </w:rPr>
        <w:t>odo, assim como as despesas em E</w:t>
      </w:r>
      <w:r w:rsidRPr="00A148F1">
        <w:rPr>
          <w:rFonts w:ascii="Times New Roman" w:hAnsi="Times New Roman" w:cs="Times New Roman"/>
          <w:bCs/>
          <w:sz w:val="24"/>
        </w:rPr>
        <w:t xml:space="preserve">ducação, </w:t>
      </w:r>
      <w:r w:rsidR="000F29C5" w:rsidRPr="00A148F1">
        <w:rPr>
          <w:rFonts w:ascii="Times New Roman" w:hAnsi="Times New Roman" w:cs="Times New Roman"/>
          <w:bCs/>
          <w:sz w:val="24"/>
        </w:rPr>
        <w:t xml:space="preserve">a </w:t>
      </w:r>
      <w:r w:rsidR="0078200A" w:rsidRPr="00A148F1">
        <w:rPr>
          <w:rFonts w:ascii="Times New Roman" w:hAnsi="Times New Roman" w:cs="Times New Roman"/>
          <w:bCs/>
          <w:sz w:val="24"/>
        </w:rPr>
        <w:t>C</w:t>
      </w:r>
      <w:r w:rsidR="00E36942" w:rsidRPr="00A148F1">
        <w:rPr>
          <w:rFonts w:ascii="Times New Roman" w:hAnsi="Times New Roman" w:cs="Times New Roman"/>
          <w:bCs/>
          <w:sz w:val="24"/>
        </w:rPr>
        <w:t>ons</w:t>
      </w:r>
      <w:r w:rsidR="0064030D" w:rsidRPr="00A148F1">
        <w:rPr>
          <w:rFonts w:ascii="Times New Roman" w:hAnsi="Times New Roman" w:cs="Times New Roman"/>
          <w:bCs/>
          <w:sz w:val="24"/>
        </w:rPr>
        <w:t>t</w:t>
      </w:r>
      <w:r w:rsidR="00E36942" w:rsidRPr="00A148F1">
        <w:rPr>
          <w:rFonts w:ascii="Times New Roman" w:hAnsi="Times New Roman" w:cs="Times New Roman"/>
          <w:bCs/>
          <w:sz w:val="24"/>
        </w:rPr>
        <w:t>ituição</w:t>
      </w:r>
      <w:r w:rsidR="000F29C5" w:rsidRPr="00A148F1">
        <w:rPr>
          <w:rFonts w:ascii="Times New Roman" w:hAnsi="Times New Roman" w:cs="Times New Roman"/>
          <w:bCs/>
          <w:sz w:val="24"/>
        </w:rPr>
        <w:t xml:space="preserve"> obriga todos os entes da federação a aplicar um percentual mínimo </w:t>
      </w:r>
      <w:r w:rsidR="00411029" w:rsidRPr="00A148F1">
        <w:rPr>
          <w:rFonts w:ascii="Times New Roman" w:hAnsi="Times New Roman" w:cs="Times New Roman"/>
          <w:bCs/>
          <w:sz w:val="24"/>
        </w:rPr>
        <w:t xml:space="preserve">de suas </w:t>
      </w:r>
      <w:r w:rsidR="00AB4E22" w:rsidRPr="00A148F1">
        <w:rPr>
          <w:rFonts w:ascii="Times New Roman" w:hAnsi="Times New Roman" w:cs="Times New Roman"/>
          <w:bCs/>
          <w:sz w:val="24"/>
        </w:rPr>
        <w:t xml:space="preserve">Receitas de Impostos e Transferências Constitucionais (RITC) </w:t>
      </w:r>
      <w:r w:rsidR="000F29C5" w:rsidRPr="00A148F1">
        <w:rPr>
          <w:rFonts w:ascii="Times New Roman" w:hAnsi="Times New Roman" w:cs="Times New Roman"/>
          <w:bCs/>
          <w:sz w:val="24"/>
        </w:rPr>
        <w:t>em ações e serviços públ</w:t>
      </w:r>
      <w:r w:rsidR="00BA5FE7" w:rsidRPr="00A148F1">
        <w:rPr>
          <w:rFonts w:ascii="Times New Roman" w:hAnsi="Times New Roman" w:cs="Times New Roman"/>
          <w:bCs/>
          <w:sz w:val="24"/>
        </w:rPr>
        <w:t>icos de saúde, conforme Emenda C</w:t>
      </w:r>
      <w:r w:rsidR="000F29C5" w:rsidRPr="00A148F1">
        <w:rPr>
          <w:rFonts w:ascii="Times New Roman" w:hAnsi="Times New Roman" w:cs="Times New Roman"/>
          <w:bCs/>
          <w:sz w:val="24"/>
        </w:rPr>
        <w:t>o</w:t>
      </w:r>
      <w:r w:rsidR="00143DF3" w:rsidRPr="00A148F1">
        <w:rPr>
          <w:rFonts w:ascii="Times New Roman" w:hAnsi="Times New Roman" w:cs="Times New Roman"/>
          <w:bCs/>
          <w:sz w:val="24"/>
        </w:rPr>
        <w:t>nstitucional n.</w:t>
      </w:r>
      <w:r w:rsidR="00133E75" w:rsidRPr="00A148F1">
        <w:rPr>
          <w:rFonts w:ascii="Times New Roman" w:hAnsi="Times New Roman" w:cs="Times New Roman"/>
          <w:bCs/>
          <w:sz w:val="24"/>
        </w:rPr>
        <w:t>º</w:t>
      </w:r>
      <w:r w:rsidR="00143DF3" w:rsidRPr="00A148F1">
        <w:rPr>
          <w:rFonts w:ascii="Times New Roman" w:hAnsi="Times New Roman" w:cs="Times New Roman"/>
          <w:bCs/>
          <w:sz w:val="24"/>
        </w:rPr>
        <w:t xml:space="preserve"> 29/2000 (BRASIL, 1988, ADCT, art. 77):</w:t>
      </w:r>
    </w:p>
    <w:p w:rsidR="000F29C5" w:rsidRPr="00A148F1" w:rsidRDefault="00743FEE" w:rsidP="007E3C5C">
      <w:pPr>
        <w:spacing w:after="0" w:line="240" w:lineRule="auto"/>
        <w:ind w:left="2268"/>
        <w:jc w:val="both"/>
        <w:rPr>
          <w:rFonts w:ascii="Times New Roman" w:hAnsi="Times New Roman" w:cs="Times New Roman"/>
          <w:sz w:val="20"/>
          <w:szCs w:val="24"/>
        </w:rPr>
      </w:pPr>
      <w:r w:rsidRPr="00A148F1">
        <w:rPr>
          <w:rFonts w:ascii="Times New Roman" w:hAnsi="Times New Roman" w:cs="Times New Roman"/>
          <w:sz w:val="20"/>
          <w:szCs w:val="24"/>
        </w:rPr>
        <w:t>Art. 77. Até o exercício financeiro de 2004, os recursos mínimos aplicados nas ações e serviços públic</w:t>
      </w:r>
      <w:r w:rsidR="00143DF3" w:rsidRPr="00A148F1">
        <w:rPr>
          <w:rFonts w:ascii="Times New Roman" w:hAnsi="Times New Roman" w:cs="Times New Roman"/>
          <w:sz w:val="20"/>
          <w:szCs w:val="24"/>
        </w:rPr>
        <w:t>os de saúde serão equivalentes:</w:t>
      </w:r>
    </w:p>
    <w:p w:rsidR="00743FEE" w:rsidRPr="00A148F1" w:rsidRDefault="00743FEE" w:rsidP="007E3C5C">
      <w:pPr>
        <w:spacing w:after="0" w:line="240" w:lineRule="auto"/>
        <w:ind w:left="2268"/>
        <w:jc w:val="both"/>
        <w:rPr>
          <w:rFonts w:ascii="Times New Roman" w:hAnsi="Times New Roman" w:cs="Times New Roman"/>
          <w:sz w:val="20"/>
          <w:szCs w:val="24"/>
        </w:rPr>
      </w:pPr>
      <w:r w:rsidRPr="00A148F1">
        <w:rPr>
          <w:rFonts w:ascii="Times New Roman" w:hAnsi="Times New Roman" w:cs="Times New Roman"/>
          <w:sz w:val="20"/>
          <w:szCs w:val="24"/>
        </w:rPr>
        <w:lastRenderedPageBreak/>
        <w:t>[...]</w:t>
      </w:r>
    </w:p>
    <w:p w:rsidR="00743FEE" w:rsidRPr="00A148F1" w:rsidRDefault="00743FEE" w:rsidP="007E3C5C">
      <w:pPr>
        <w:spacing w:after="0" w:line="240" w:lineRule="auto"/>
        <w:ind w:left="2268"/>
        <w:jc w:val="both"/>
        <w:rPr>
          <w:rFonts w:ascii="Times New Roman" w:hAnsi="Times New Roman" w:cs="Times New Roman"/>
          <w:sz w:val="20"/>
          <w:szCs w:val="24"/>
        </w:rPr>
      </w:pPr>
      <w:r w:rsidRPr="00A148F1">
        <w:rPr>
          <w:rFonts w:ascii="Times New Roman" w:hAnsi="Times New Roman" w:cs="Times New Roman"/>
          <w:sz w:val="20"/>
          <w:szCs w:val="24"/>
        </w:rPr>
        <w:t xml:space="preserve">III – no caso dos Municípios e do Distrito Federal, quinze por cento do produto da arrecadação dos impostos a que se refere o art. 156 e dos recursos de que tratam os </w:t>
      </w:r>
      <w:proofErr w:type="spellStart"/>
      <w:r w:rsidRPr="00A148F1">
        <w:rPr>
          <w:rFonts w:ascii="Times New Roman" w:hAnsi="Times New Roman" w:cs="Times New Roman"/>
          <w:sz w:val="20"/>
          <w:szCs w:val="24"/>
        </w:rPr>
        <w:t>arts</w:t>
      </w:r>
      <w:proofErr w:type="spellEnd"/>
      <w:r w:rsidRPr="00A148F1">
        <w:rPr>
          <w:rFonts w:ascii="Times New Roman" w:hAnsi="Times New Roman" w:cs="Times New Roman"/>
          <w:sz w:val="20"/>
          <w:szCs w:val="24"/>
        </w:rPr>
        <w:t>. 158 e 1</w:t>
      </w:r>
      <w:r w:rsidR="00143DF3" w:rsidRPr="00A148F1">
        <w:rPr>
          <w:rFonts w:ascii="Times New Roman" w:hAnsi="Times New Roman" w:cs="Times New Roman"/>
          <w:sz w:val="20"/>
          <w:szCs w:val="24"/>
        </w:rPr>
        <w:t xml:space="preserve">59, </w:t>
      </w:r>
      <w:proofErr w:type="gramStart"/>
      <w:r w:rsidR="00143DF3" w:rsidRPr="00A148F1">
        <w:rPr>
          <w:rFonts w:ascii="Times New Roman" w:hAnsi="Times New Roman" w:cs="Times New Roman"/>
          <w:sz w:val="20"/>
          <w:szCs w:val="24"/>
        </w:rPr>
        <w:t>inciso I</w:t>
      </w:r>
      <w:proofErr w:type="gramEnd"/>
      <w:r w:rsidR="00143DF3" w:rsidRPr="00A148F1">
        <w:rPr>
          <w:rFonts w:ascii="Times New Roman" w:hAnsi="Times New Roman" w:cs="Times New Roman"/>
          <w:sz w:val="20"/>
          <w:szCs w:val="24"/>
        </w:rPr>
        <w:t>, alínea b e § 3º.</w:t>
      </w:r>
    </w:p>
    <w:p w:rsidR="00743FEE" w:rsidRPr="00A148F1" w:rsidRDefault="00743FEE" w:rsidP="007E3C5C">
      <w:pPr>
        <w:spacing w:after="120" w:line="240" w:lineRule="auto"/>
        <w:ind w:left="2268"/>
        <w:jc w:val="both"/>
        <w:rPr>
          <w:rFonts w:ascii="Times New Roman" w:hAnsi="Times New Roman" w:cs="Times New Roman"/>
          <w:sz w:val="20"/>
          <w:szCs w:val="24"/>
        </w:rPr>
      </w:pPr>
      <w:r w:rsidRPr="00A148F1">
        <w:rPr>
          <w:rFonts w:ascii="Times New Roman" w:hAnsi="Times New Roman" w:cs="Times New Roman"/>
          <w:sz w:val="20"/>
          <w:szCs w:val="24"/>
        </w:rPr>
        <w:t xml:space="preserve">§ 1º Os Estados, o Distrito Federal e os Municípios que apliquem percentuais inferiores aos fixados nos incisos II e III deverão elevá-los gradualmente, até o exercício </w:t>
      </w:r>
      <w:proofErr w:type="gramStart"/>
      <w:r w:rsidRPr="00A148F1">
        <w:rPr>
          <w:rFonts w:ascii="Times New Roman" w:hAnsi="Times New Roman" w:cs="Times New Roman"/>
          <w:sz w:val="20"/>
          <w:szCs w:val="24"/>
        </w:rPr>
        <w:t>financeiro de 2004, reduzida</w:t>
      </w:r>
      <w:proofErr w:type="gramEnd"/>
      <w:r w:rsidRPr="00A148F1">
        <w:rPr>
          <w:rFonts w:ascii="Times New Roman" w:hAnsi="Times New Roman" w:cs="Times New Roman"/>
          <w:sz w:val="20"/>
          <w:szCs w:val="24"/>
        </w:rPr>
        <w:t xml:space="preserve"> a diferença à razão de, pelo menos, um quinto por ano, sendo que, a partir de 2000, a aplicação ser</w:t>
      </w:r>
      <w:r w:rsidR="00143DF3" w:rsidRPr="00A148F1">
        <w:rPr>
          <w:rFonts w:ascii="Times New Roman" w:hAnsi="Times New Roman" w:cs="Times New Roman"/>
          <w:sz w:val="20"/>
          <w:szCs w:val="24"/>
        </w:rPr>
        <w:t>á de pelo menos sete por cento.</w:t>
      </w:r>
    </w:p>
    <w:p w:rsidR="0041751F" w:rsidRPr="00A148F1" w:rsidRDefault="00936F01" w:rsidP="009E6A69">
      <w:pPr>
        <w:spacing w:after="0" w:line="240" w:lineRule="auto"/>
        <w:ind w:firstLine="709"/>
        <w:jc w:val="both"/>
        <w:rPr>
          <w:rFonts w:ascii="Times New Roman" w:hAnsi="Times New Roman" w:cs="Times New Roman"/>
          <w:bCs/>
          <w:sz w:val="24"/>
        </w:rPr>
      </w:pPr>
      <w:r w:rsidRPr="00A148F1">
        <w:rPr>
          <w:rFonts w:ascii="Times New Roman" w:hAnsi="Times New Roman" w:cs="Times New Roman"/>
          <w:bCs/>
          <w:sz w:val="24"/>
        </w:rPr>
        <w:t>São diversas as receitas que o</w:t>
      </w:r>
      <w:r w:rsidR="0072710D" w:rsidRPr="00A148F1">
        <w:rPr>
          <w:rFonts w:ascii="Times New Roman" w:hAnsi="Times New Roman" w:cs="Times New Roman"/>
          <w:bCs/>
          <w:sz w:val="24"/>
        </w:rPr>
        <w:t>s</w:t>
      </w:r>
      <w:r w:rsidRPr="00A148F1">
        <w:rPr>
          <w:rFonts w:ascii="Times New Roman" w:hAnsi="Times New Roman" w:cs="Times New Roman"/>
          <w:bCs/>
          <w:sz w:val="24"/>
        </w:rPr>
        <w:t xml:space="preserve"> m</w:t>
      </w:r>
      <w:r w:rsidR="00F266C2" w:rsidRPr="00A148F1">
        <w:rPr>
          <w:rFonts w:ascii="Times New Roman" w:hAnsi="Times New Roman" w:cs="Times New Roman"/>
          <w:bCs/>
          <w:sz w:val="24"/>
        </w:rPr>
        <w:t>unicípio</w:t>
      </w:r>
      <w:r w:rsidR="0072710D" w:rsidRPr="00A148F1">
        <w:rPr>
          <w:rFonts w:ascii="Times New Roman" w:hAnsi="Times New Roman" w:cs="Times New Roman"/>
          <w:bCs/>
          <w:sz w:val="24"/>
        </w:rPr>
        <w:t>s</w:t>
      </w:r>
      <w:r w:rsidR="00F266C2" w:rsidRPr="00A148F1">
        <w:rPr>
          <w:rFonts w:ascii="Times New Roman" w:hAnsi="Times New Roman" w:cs="Times New Roman"/>
          <w:bCs/>
          <w:sz w:val="24"/>
        </w:rPr>
        <w:t xml:space="preserve"> arrecada</w:t>
      </w:r>
      <w:r w:rsidR="0072710D" w:rsidRPr="00A148F1">
        <w:rPr>
          <w:rFonts w:ascii="Times New Roman" w:hAnsi="Times New Roman" w:cs="Times New Roman"/>
          <w:bCs/>
          <w:sz w:val="24"/>
        </w:rPr>
        <w:t>m</w:t>
      </w:r>
      <w:r w:rsidR="00F266C2" w:rsidRPr="00A148F1">
        <w:rPr>
          <w:rFonts w:ascii="Times New Roman" w:hAnsi="Times New Roman" w:cs="Times New Roman"/>
          <w:bCs/>
          <w:sz w:val="24"/>
        </w:rPr>
        <w:t xml:space="preserve"> durante o ano. C</w:t>
      </w:r>
      <w:r w:rsidRPr="00A148F1">
        <w:rPr>
          <w:rFonts w:ascii="Times New Roman" w:hAnsi="Times New Roman" w:cs="Times New Roman"/>
          <w:bCs/>
          <w:sz w:val="24"/>
        </w:rPr>
        <w:t>ontudo</w:t>
      </w:r>
      <w:r w:rsidR="00F266C2" w:rsidRPr="00A148F1">
        <w:rPr>
          <w:rFonts w:ascii="Times New Roman" w:hAnsi="Times New Roman" w:cs="Times New Roman"/>
          <w:bCs/>
          <w:sz w:val="24"/>
        </w:rPr>
        <w:t>,</w:t>
      </w:r>
      <w:r w:rsidRPr="00A148F1">
        <w:rPr>
          <w:rFonts w:ascii="Times New Roman" w:hAnsi="Times New Roman" w:cs="Times New Roman"/>
          <w:bCs/>
          <w:sz w:val="24"/>
        </w:rPr>
        <w:t xml:space="preserve"> </w:t>
      </w:r>
      <w:r w:rsidR="00A60F4E" w:rsidRPr="00A148F1">
        <w:rPr>
          <w:rFonts w:ascii="Times New Roman" w:hAnsi="Times New Roman" w:cs="Times New Roman"/>
          <w:bCs/>
          <w:sz w:val="24"/>
        </w:rPr>
        <w:t xml:space="preserve">somente algumas </w:t>
      </w:r>
      <w:r w:rsidR="00F266C2" w:rsidRPr="00A148F1">
        <w:rPr>
          <w:rFonts w:ascii="Times New Roman" w:hAnsi="Times New Roman" w:cs="Times New Roman"/>
          <w:bCs/>
          <w:sz w:val="24"/>
        </w:rPr>
        <w:t xml:space="preserve">delas </w:t>
      </w:r>
      <w:r w:rsidR="00A60F4E" w:rsidRPr="00A148F1">
        <w:rPr>
          <w:rFonts w:ascii="Times New Roman" w:hAnsi="Times New Roman" w:cs="Times New Roman"/>
          <w:bCs/>
          <w:sz w:val="24"/>
        </w:rPr>
        <w:t xml:space="preserve">são consideradas para compor </w:t>
      </w:r>
      <w:r w:rsidR="00F266C2" w:rsidRPr="00A148F1">
        <w:rPr>
          <w:rFonts w:ascii="Times New Roman" w:hAnsi="Times New Roman" w:cs="Times New Roman"/>
          <w:bCs/>
          <w:sz w:val="24"/>
        </w:rPr>
        <w:t xml:space="preserve">a base de cálculo da aplicação </w:t>
      </w:r>
      <w:r w:rsidR="00A60F4E" w:rsidRPr="00A148F1">
        <w:rPr>
          <w:rFonts w:ascii="Times New Roman" w:hAnsi="Times New Roman" w:cs="Times New Roman"/>
          <w:bCs/>
          <w:sz w:val="24"/>
        </w:rPr>
        <w:t>e</w:t>
      </w:r>
      <w:r w:rsidR="00F266C2" w:rsidRPr="00A148F1">
        <w:rPr>
          <w:rFonts w:ascii="Times New Roman" w:hAnsi="Times New Roman" w:cs="Times New Roman"/>
          <w:bCs/>
          <w:sz w:val="24"/>
        </w:rPr>
        <w:t>m</w:t>
      </w:r>
      <w:r w:rsidR="00A60F4E" w:rsidRPr="00A148F1">
        <w:rPr>
          <w:rFonts w:ascii="Times New Roman" w:hAnsi="Times New Roman" w:cs="Times New Roman"/>
          <w:bCs/>
          <w:sz w:val="24"/>
        </w:rPr>
        <w:t xml:space="preserve"> despesas </w:t>
      </w:r>
      <w:r w:rsidR="00F266C2" w:rsidRPr="00A148F1">
        <w:rPr>
          <w:rFonts w:ascii="Times New Roman" w:hAnsi="Times New Roman" w:cs="Times New Roman"/>
          <w:bCs/>
          <w:sz w:val="24"/>
        </w:rPr>
        <w:t xml:space="preserve">com </w:t>
      </w:r>
      <w:r w:rsidR="00A60F4E" w:rsidRPr="00A148F1">
        <w:rPr>
          <w:rFonts w:ascii="Times New Roman" w:hAnsi="Times New Roman" w:cs="Times New Roman"/>
          <w:bCs/>
          <w:sz w:val="24"/>
        </w:rPr>
        <w:t xml:space="preserve">saúde. </w:t>
      </w:r>
      <w:r w:rsidR="009700F3" w:rsidRPr="00A148F1">
        <w:rPr>
          <w:rFonts w:ascii="Times New Roman" w:hAnsi="Times New Roman" w:cs="Times New Roman"/>
          <w:bCs/>
          <w:sz w:val="24"/>
        </w:rPr>
        <w:t>No quadro a seguir</w:t>
      </w:r>
      <w:r w:rsidR="00CA5E17" w:rsidRPr="00A148F1">
        <w:rPr>
          <w:rFonts w:ascii="Times New Roman" w:hAnsi="Times New Roman" w:cs="Times New Roman"/>
          <w:bCs/>
          <w:sz w:val="24"/>
        </w:rPr>
        <w:t>,</w:t>
      </w:r>
      <w:r w:rsidR="009700F3" w:rsidRPr="00A148F1">
        <w:rPr>
          <w:rFonts w:ascii="Times New Roman" w:hAnsi="Times New Roman" w:cs="Times New Roman"/>
          <w:bCs/>
          <w:sz w:val="24"/>
        </w:rPr>
        <w:t xml:space="preserve"> consta uma lista de todos os recursos recebidos pelo</w:t>
      </w:r>
      <w:r w:rsidR="00F266C2" w:rsidRPr="00A148F1">
        <w:rPr>
          <w:rFonts w:ascii="Times New Roman" w:hAnsi="Times New Roman" w:cs="Times New Roman"/>
          <w:bCs/>
          <w:sz w:val="24"/>
        </w:rPr>
        <w:t>s</w:t>
      </w:r>
      <w:r w:rsidR="009700F3" w:rsidRPr="00A148F1">
        <w:rPr>
          <w:rFonts w:ascii="Times New Roman" w:hAnsi="Times New Roman" w:cs="Times New Roman"/>
          <w:bCs/>
          <w:sz w:val="24"/>
        </w:rPr>
        <w:t xml:space="preserve"> município</w:t>
      </w:r>
      <w:r w:rsidR="00F266C2" w:rsidRPr="00A148F1">
        <w:rPr>
          <w:rFonts w:ascii="Times New Roman" w:hAnsi="Times New Roman" w:cs="Times New Roman"/>
          <w:bCs/>
          <w:sz w:val="24"/>
        </w:rPr>
        <w:t>s</w:t>
      </w:r>
      <w:r w:rsidR="009700F3" w:rsidRPr="00A148F1">
        <w:rPr>
          <w:rFonts w:ascii="Times New Roman" w:hAnsi="Times New Roman" w:cs="Times New Roman"/>
          <w:bCs/>
          <w:sz w:val="24"/>
        </w:rPr>
        <w:t xml:space="preserve"> que são consideradas para apuração da aplicação mínima constitucional em saúde.</w:t>
      </w:r>
    </w:p>
    <w:p w:rsidR="009E6A69" w:rsidRPr="00A148F1" w:rsidRDefault="009E6A69" w:rsidP="00A148F1">
      <w:pPr>
        <w:spacing w:after="0" w:line="240" w:lineRule="auto"/>
        <w:jc w:val="both"/>
        <w:rPr>
          <w:rFonts w:ascii="Times New Roman" w:hAnsi="Times New Roman" w:cs="Times New Roman"/>
          <w:bCs/>
          <w:sz w:val="24"/>
          <w:szCs w:val="24"/>
        </w:rPr>
      </w:pPr>
    </w:p>
    <w:p w:rsidR="009700F3" w:rsidRPr="00A148F1" w:rsidRDefault="00F86F08" w:rsidP="009E6A69">
      <w:pPr>
        <w:spacing w:after="0" w:line="240" w:lineRule="auto"/>
        <w:jc w:val="center"/>
        <w:rPr>
          <w:rFonts w:ascii="Times New Roman" w:hAnsi="Times New Roman" w:cs="Times New Roman"/>
          <w:b/>
          <w:sz w:val="24"/>
          <w:szCs w:val="24"/>
        </w:rPr>
      </w:pPr>
      <w:r w:rsidRPr="00A148F1">
        <w:rPr>
          <w:rFonts w:ascii="Times New Roman" w:hAnsi="Times New Roman" w:cs="Times New Roman"/>
          <w:b/>
          <w:sz w:val="24"/>
          <w:szCs w:val="24"/>
        </w:rPr>
        <w:t>Quadro 1</w:t>
      </w:r>
      <w:r w:rsidR="002B4116" w:rsidRPr="00A148F1">
        <w:rPr>
          <w:rFonts w:ascii="Times New Roman" w:hAnsi="Times New Roman" w:cs="Times New Roman"/>
          <w:b/>
          <w:sz w:val="24"/>
          <w:szCs w:val="24"/>
        </w:rPr>
        <w:t xml:space="preserve"> – Receitas consideradas para cálculo da aplicação </w:t>
      </w:r>
      <w:r w:rsidR="00BC1EE0" w:rsidRPr="00A148F1">
        <w:rPr>
          <w:rFonts w:ascii="Times New Roman" w:hAnsi="Times New Roman" w:cs="Times New Roman"/>
          <w:b/>
          <w:sz w:val="24"/>
          <w:szCs w:val="24"/>
        </w:rPr>
        <w:t xml:space="preserve">        </w:t>
      </w:r>
      <w:r w:rsidR="00A148F1" w:rsidRPr="00A148F1">
        <w:rPr>
          <w:rFonts w:ascii="Times New Roman" w:hAnsi="Times New Roman" w:cs="Times New Roman"/>
          <w:b/>
          <w:sz w:val="24"/>
          <w:szCs w:val="24"/>
        </w:rPr>
        <w:t xml:space="preserve">                 </w:t>
      </w:r>
      <w:r w:rsidR="00BC1EE0" w:rsidRPr="00A148F1">
        <w:rPr>
          <w:rFonts w:ascii="Times New Roman" w:hAnsi="Times New Roman" w:cs="Times New Roman"/>
          <w:b/>
          <w:sz w:val="24"/>
          <w:szCs w:val="24"/>
        </w:rPr>
        <w:t xml:space="preserve">                        </w:t>
      </w:r>
      <w:r w:rsidR="002B4116" w:rsidRPr="00A148F1">
        <w:rPr>
          <w:rFonts w:ascii="Times New Roman" w:hAnsi="Times New Roman" w:cs="Times New Roman"/>
          <w:b/>
          <w:sz w:val="24"/>
          <w:szCs w:val="24"/>
        </w:rPr>
        <w:t>mínima constitucional em saúde</w:t>
      </w:r>
    </w:p>
    <w:tbl>
      <w:tblPr>
        <w:tblStyle w:val="Tabelacomgrade"/>
        <w:tblW w:w="9072" w:type="dxa"/>
        <w:tblInd w:w="108" w:type="dxa"/>
        <w:tblLook w:val="04A0"/>
      </w:tblPr>
      <w:tblGrid>
        <w:gridCol w:w="3261"/>
        <w:gridCol w:w="5811"/>
      </w:tblGrid>
      <w:tr w:rsidR="009700F3" w:rsidRPr="002B4116" w:rsidTr="0041751F">
        <w:tc>
          <w:tcPr>
            <w:tcW w:w="3261" w:type="dxa"/>
            <w:shd w:val="clear" w:color="auto" w:fill="D9D9D9" w:themeFill="background1" w:themeFillShade="D9"/>
          </w:tcPr>
          <w:p w:rsidR="009700F3" w:rsidRPr="002B4116" w:rsidRDefault="009700F3" w:rsidP="002B4116">
            <w:pPr>
              <w:jc w:val="center"/>
              <w:rPr>
                <w:rFonts w:ascii="Times New Roman" w:hAnsi="Times New Roman" w:cs="Times New Roman"/>
                <w:b/>
                <w:sz w:val="20"/>
                <w:szCs w:val="24"/>
              </w:rPr>
            </w:pPr>
            <w:r w:rsidRPr="002B4116">
              <w:rPr>
                <w:rFonts w:ascii="Times New Roman" w:hAnsi="Times New Roman" w:cs="Times New Roman"/>
                <w:b/>
                <w:sz w:val="20"/>
                <w:szCs w:val="24"/>
              </w:rPr>
              <w:t>Impostos</w:t>
            </w:r>
          </w:p>
        </w:tc>
        <w:tc>
          <w:tcPr>
            <w:tcW w:w="5811" w:type="dxa"/>
            <w:shd w:val="clear" w:color="auto" w:fill="D9D9D9" w:themeFill="background1" w:themeFillShade="D9"/>
          </w:tcPr>
          <w:p w:rsidR="009700F3" w:rsidRPr="002B4116" w:rsidRDefault="009700F3" w:rsidP="002B4116">
            <w:pPr>
              <w:jc w:val="center"/>
              <w:rPr>
                <w:rFonts w:ascii="Times New Roman" w:hAnsi="Times New Roman" w:cs="Times New Roman"/>
                <w:b/>
                <w:sz w:val="20"/>
                <w:szCs w:val="24"/>
              </w:rPr>
            </w:pPr>
            <w:r w:rsidRPr="002B4116">
              <w:rPr>
                <w:rFonts w:ascii="Times New Roman" w:hAnsi="Times New Roman" w:cs="Times New Roman"/>
                <w:b/>
                <w:sz w:val="20"/>
                <w:szCs w:val="24"/>
              </w:rPr>
              <w:t>Outros recursos</w:t>
            </w:r>
          </w:p>
        </w:tc>
      </w:tr>
      <w:tr w:rsidR="009700F3" w:rsidRPr="002B4116" w:rsidTr="0041751F">
        <w:tc>
          <w:tcPr>
            <w:tcW w:w="3261" w:type="dxa"/>
          </w:tcPr>
          <w:p w:rsidR="009700F3" w:rsidRPr="002B4116" w:rsidRDefault="009700F3" w:rsidP="00A60F4E">
            <w:pPr>
              <w:rPr>
                <w:rFonts w:ascii="Times New Roman" w:hAnsi="Times New Roman" w:cs="Times New Roman"/>
                <w:sz w:val="20"/>
                <w:szCs w:val="24"/>
              </w:rPr>
            </w:pPr>
            <w:r w:rsidRPr="002B4116">
              <w:rPr>
                <w:rFonts w:ascii="Times New Roman" w:hAnsi="Times New Roman" w:cs="Times New Roman"/>
                <w:sz w:val="20"/>
                <w:szCs w:val="24"/>
              </w:rPr>
              <w:t>- Imposto s/ Propriedade Territorial e Urbana (IPTU)</w:t>
            </w:r>
          </w:p>
          <w:p w:rsidR="009700F3" w:rsidRPr="002B4116" w:rsidRDefault="009700F3" w:rsidP="00A60F4E">
            <w:pPr>
              <w:rPr>
                <w:rFonts w:ascii="Times New Roman" w:hAnsi="Times New Roman" w:cs="Times New Roman"/>
                <w:sz w:val="20"/>
                <w:szCs w:val="24"/>
              </w:rPr>
            </w:pPr>
            <w:r w:rsidRPr="002B4116">
              <w:rPr>
                <w:rFonts w:ascii="Times New Roman" w:hAnsi="Times New Roman" w:cs="Times New Roman"/>
                <w:sz w:val="20"/>
                <w:szCs w:val="24"/>
              </w:rPr>
              <w:t>- Imposto s/ Transmissão de Bens “Inter Vivos” (ITBI)</w:t>
            </w:r>
          </w:p>
          <w:p w:rsidR="009700F3" w:rsidRPr="002B4116" w:rsidRDefault="009700F3" w:rsidP="00A60F4E">
            <w:pPr>
              <w:rPr>
                <w:rFonts w:ascii="Times New Roman" w:hAnsi="Times New Roman" w:cs="Times New Roman"/>
                <w:sz w:val="20"/>
                <w:szCs w:val="24"/>
              </w:rPr>
            </w:pPr>
            <w:r w:rsidRPr="002B4116">
              <w:rPr>
                <w:rFonts w:ascii="Times New Roman" w:hAnsi="Times New Roman" w:cs="Times New Roman"/>
                <w:sz w:val="20"/>
                <w:szCs w:val="24"/>
              </w:rPr>
              <w:t>- Impostos s/ Serviços de Qualquer Natureza (ISS)</w:t>
            </w:r>
          </w:p>
          <w:p w:rsidR="009700F3" w:rsidRPr="002B4116" w:rsidRDefault="009700F3" w:rsidP="00A60F4E">
            <w:pPr>
              <w:rPr>
                <w:rFonts w:ascii="Times New Roman" w:hAnsi="Times New Roman" w:cs="Times New Roman"/>
                <w:sz w:val="20"/>
                <w:szCs w:val="24"/>
              </w:rPr>
            </w:pPr>
            <w:r w:rsidRPr="002B4116">
              <w:rPr>
                <w:rFonts w:ascii="Times New Roman" w:hAnsi="Times New Roman" w:cs="Times New Roman"/>
                <w:sz w:val="20"/>
                <w:szCs w:val="24"/>
              </w:rPr>
              <w:t>- Imposto de Renda Retido na Fonte (IRRF)</w:t>
            </w:r>
          </w:p>
          <w:p w:rsidR="002B4116" w:rsidRPr="002B4116" w:rsidRDefault="002B4116" w:rsidP="00A60F4E">
            <w:pPr>
              <w:rPr>
                <w:rFonts w:ascii="Times New Roman" w:hAnsi="Times New Roman" w:cs="Times New Roman"/>
                <w:sz w:val="20"/>
                <w:szCs w:val="24"/>
              </w:rPr>
            </w:pPr>
            <w:r w:rsidRPr="002B4116">
              <w:rPr>
                <w:rFonts w:ascii="Times New Roman" w:hAnsi="Times New Roman" w:cs="Times New Roman"/>
                <w:sz w:val="20"/>
                <w:szCs w:val="24"/>
              </w:rPr>
              <w:t>- Imposto Territorial Rural (ITR)</w:t>
            </w:r>
          </w:p>
        </w:tc>
        <w:tc>
          <w:tcPr>
            <w:tcW w:w="5811" w:type="dxa"/>
          </w:tcPr>
          <w:p w:rsidR="009700F3" w:rsidRDefault="002B4116" w:rsidP="00A60F4E">
            <w:pPr>
              <w:rPr>
                <w:rFonts w:ascii="Times New Roman" w:hAnsi="Times New Roman" w:cs="Times New Roman"/>
                <w:sz w:val="20"/>
                <w:szCs w:val="24"/>
              </w:rPr>
            </w:pPr>
            <w:r w:rsidRPr="002B4116">
              <w:rPr>
                <w:rFonts w:ascii="Times New Roman" w:hAnsi="Times New Roman" w:cs="Times New Roman"/>
                <w:sz w:val="20"/>
                <w:szCs w:val="24"/>
              </w:rPr>
              <w:t>-</w:t>
            </w:r>
            <w:r>
              <w:rPr>
                <w:rFonts w:ascii="Times New Roman" w:hAnsi="Times New Roman" w:cs="Times New Roman"/>
                <w:sz w:val="20"/>
                <w:szCs w:val="24"/>
              </w:rPr>
              <w:t xml:space="preserve"> </w:t>
            </w:r>
            <w:proofErr w:type="gramStart"/>
            <w:r>
              <w:rPr>
                <w:rFonts w:ascii="Times New Roman" w:hAnsi="Times New Roman" w:cs="Times New Roman"/>
                <w:sz w:val="20"/>
                <w:szCs w:val="24"/>
              </w:rPr>
              <w:t>Cota-Parte Imposto</w:t>
            </w:r>
            <w:proofErr w:type="gramEnd"/>
            <w:r>
              <w:rPr>
                <w:rFonts w:ascii="Times New Roman" w:hAnsi="Times New Roman" w:cs="Times New Roman"/>
                <w:sz w:val="20"/>
                <w:szCs w:val="24"/>
              </w:rPr>
              <w:t xml:space="preserve"> s/ Propriedade de Veículos Automotores (IPVA)</w:t>
            </w:r>
          </w:p>
          <w:p w:rsidR="002B4116" w:rsidRDefault="002B4116" w:rsidP="00A60F4E">
            <w:pPr>
              <w:rPr>
                <w:rFonts w:ascii="Times New Roman" w:hAnsi="Times New Roman" w:cs="Times New Roman"/>
                <w:sz w:val="20"/>
                <w:szCs w:val="24"/>
              </w:rPr>
            </w:pPr>
            <w:r>
              <w:rPr>
                <w:rFonts w:ascii="Times New Roman" w:hAnsi="Times New Roman" w:cs="Times New Roman"/>
                <w:sz w:val="20"/>
                <w:szCs w:val="24"/>
              </w:rPr>
              <w:t xml:space="preserve">- </w:t>
            </w:r>
            <w:proofErr w:type="gramStart"/>
            <w:r>
              <w:rPr>
                <w:rFonts w:ascii="Times New Roman" w:hAnsi="Times New Roman" w:cs="Times New Roman"/>
                <w:sz w:val="20"/>
                <w:szCs w:val="24"/>
              </w:rPr>
              <w:t>Cota-Parte Imposto</w:t>
            </w:r>
            <w:proofErr w:type="gramEnd"/>
            <w:r>
              <w:rPr>
                <w:rFonts w:ascii="Times New Roman" w:hAnsi="Times New Roman" w:cs="Times New Roman"/>
                <w:sz w:val="20"/>
                <w:szCs w:val="24"/>
              </w:rPr>
              <w:t xml:space="preserve"> s/ Circulação de Mercadorias e Serviços (ICMS)</w:t>
            </w:r>
          </w:p>
          <w:p w:rsidR="002B4116" w:rsidRDefault="002B4116" w:rsidP="00A60F4E">
            <w:pPr>
              <w:rPr>
                <w:rFonts w:ascii="Times New Roman" w:hAnsi="Times New Roman" w:cs="Times New Roman"/>
                <w:sz w:val="20"/>
                <w:szCs w:val="24"/>
              </w:rPr>
            </w:pPr>
            <w:r>
              <w:rPr>
                <w:rFonts w:ascii="Times New Roman" w:hAnsi="Times New Roman" w:cs="Times New Roman"/>
                <w:sz w:val="20"/>
                <w:szCs w:val="24"/>
              </w:rPr>
              <w:t xml:space="preserve">- </w:t>
            </w:r>
            <w:proofErr w:type="gramStart"/>
            <w:r>
              <w:rPr>
                <w:rFonts w:ascii="Times New Roman" w:hAnsi="Times New Roman" w:cs="Times New Roman"/>
                <w:sz w:val="20"/>
                <w:szCs w:val="24"/>
              </w:rPr>
              <w:t>Cota-Parte Imposto Territorial Rural</w:t>
            </w:r>
            <w:proofErr w:type="gramEnd"/>
            <w:r>
              <w:rPr>
                <w:rFonts w:ascii="Times New Roman" w:hAnsi="Times New Roman" w:cs="Times New Roman"/>
                <w:sz w:val="20"/>
                <w:szCs w:val="24"/>
              </w:rPr>
              <w:t xml:space="preserve"> (ITR)</w:t>
            </w:r>
          </w:p>
          <w:p w:rsidR="002B4116" w:rsidRDefault="002B4116" w:rsidP="00A60F4E">
            <w:pPr>
              <w:rPr>
                <w:rFonts w:ascii="Times New Roman" w:hAnsi="Times New Roman" w:cs="Times New Roman"/>
                <w:sz w:val="20"/>
                <w:szCs w:val="24"/>
              </w:rPr>
            </w:pPr>
            <w:r>
              <w:rPr>
                <w:rFonts w:ascii="Times New Roman" w:hAnsi="Times New Roman" w:cs="Times New Roman"/>
                <w:sz w:val="20"/>
                <w:szCs w:val="24"/>
              </w:rPr>
              <w:t>- Fundo de Participação dos Municípios (FPM)</w:t>
            </w:r>
          </w:p>
          <w:p w:rsidR="002B4116" w:rsidRDefault="002B4116" w:rsidP="00A60F4E">
            <w:pPr>
              <w:rPr>
                <w:rFonts w:ascii="Times New Roman" w:hAnsi="Times New Roman" w:cs="Times New Roman"/>
                <w:sz w:val="20"/>
                <w:szCs w:val="24"/>
              </w:rPr>
            </w:pPr>
            <w:r>
              <w:rPr>
                <w:rFonts w:ascii="Times New Roman" w:hAnsi="Times New Roman" w:cs="Times New Roman"/>
                <w:sz w:val="20"/>
                <w:szCs w:val="24"/>
              </w:rPr>
              <w:t xml:space="preserve">- </w:t>
            </w:r>
            <w:proofErr w:type="gramStart"/>
            <w:r>
              <w:rPr>
                <w:rFonts w:ascii="Times New Roman" w:hAnsi="Times New Roman" w:cs="Times New Roman"/>
                <w:sz w:val="20"/>
                <w:szCs w:val="24"/>
              </w:rPr>
              <w:t>Cota-Parte Imposto</w:t>
            </w:r>
            <w:proofErr w:type="gramEnd"/>
            <w:r>
              <w:rPr>
                <w:rFonts w:ascii="Times New Roman" w:hAnsi="Times New Roman" w:cs="Times New Roman"/>
                <w:sz w:val="20"/>
                <w:szCs w:val="24"/>
              </w:rPr>
              <w:t xml:space="preserve"> s/ Produtos Industrializados – Exportação (IPI)</w:t>
            </w:r>
          </w:p>
          <w:p w:rsidR="002B4116" w:rsidRPr="002B4116" w:rsidRDefault="002B4116" w:rsidP="00A60F4E">
            <w:pPr>
              <w:rPr>
                <w:rFonts w:ascii="Times New Roman" w:hAnsi="Times New Roman" w:cs="Times New Roman"/>
                <w:sz w:val="20"/>
                <w:szCs w:val="24"/>
              </w:rPr>
            </w:pPr>
            <w:r>
              <w:rPr>
                <w:rFonts w:ascii="Times New Roman" w:hAnsi="Times New Roman" w:cs="Times New Roman"/>
                <w:sz w:val="20"/>
                <w:szCs w:val="24"/>
              </w:rPr>
              <w:t>- Compensações Financeiras Provenientes de Impostos e Transferências Constitucionais</w:t>
            </w:r>
          </w:p>
        </w:tc>
      </w:tr>
    </w:tbl>
    <w:p w:rsidR="009700F3" w:rsidRDefault="00880B57" w:rsidP="00340DB4">
      <w:pPr>
        <w:spacing w:after="120" w:line="240" w:lineRule="auto"/>
        <w:jc w:val="center"/>
        <w:rPr>
          <w:rFonts w:ascii="Times New Roman" w:hAnsi="Times New Roman" w:cs="Times New Roman"/>
          <w:sz w:val="20"/>
          <w:szCs w:val="24"/>
        </w:rPr>
      </w:pPr>
      <w:r>
        <w:rPr>
          <w:rFonts w:ascii="Times New Roman" w:hAnsi="Times New Roman" w:cs="Times New Roman"/>
          <w:sz w:val="20"/>
          <w:szCs w:val="24"/>
        </w:rPr>
        <w:t>Fonte: Elaborado</w:t>
      </w:r>
      <w:r w:rsidR="00A60F4E" w:rsidRPr="00A60F4E">
        <w:rPr>
          <w:rFonts w:ascii="Times New Roman" w:hAnsi="Times New Roman" w:cs="Times New Roman"/>
          <w:sz w:val="20"/>
          <w:szCs w:val="24"/>
        </w:rPr>
        <w:t xml:space="preserve"> pelos autores </w:t>
      </w:r>
      <w:r>
        <w:rPr>
          <w:rFonts w:ascii="Times New Roman" w:hAnsi="Times New Roman" w:cs="Times New Roman"/>
          <w:sz w:val="20"/>
          <w:szCs w:val="24"/>
        </w:rPr>
        <w:t>com base em Brasil (</w:t>
      </w:r>
      <w:proofErr w:type="gramStart"/>
      <w:r>
        <w:rPr>
          <w:rFonts w:ascii="Times New Roman" w:hAnsi="Times New Roman" w:cs="Times New Roman"/>
          <w:sz w:val="20"/>
          <w:szCs w:val="24"/>
        </w:rPr>
        <w:t xml:space="preserve">1988, </w:t>
      </w:r>
      <w:proofErr w:type="spellStart"/>
      <w:r>
        <w:rPr>
          <w:rFonts w:ascii="Times New Roman" w:hAnsi="Times New Roman" w:cs="Times New Roman"/>
          <w:sz w:val="20"/>
          <w:szCs w:val="24"/>
        </w:rPr>
        <w:t>art</w:t>
      </w:r>
      <w:r w:rsidR="00F266C2">
        <w:rPr>
          <w:rFonts w:ascii="Times New Roman" w:hAnsi="Times New Roman" w:cs="Times New Roman"/>
          <w:sz w:val="20"/>
          <w:szCs w:val="24"/>
        </w:rPr>
        <w:t>s</w:t>
      </w:r>
      <w:proofErr w:type="spellEnd"/>
      <w:proofErr w:type="gramEnd"/>
      <w:r>
        <w:rPr>
          <w:rFonts w:ascii="Times New Roman" w:hAnsi="Times New Roman" w:cs="Times New Roman"/>
          <w:sz w:val="20"/>
          <w:szCs w:val="24"/>
        </w:rPr>
        <w:t>. 156, 158 e 159)</w:t>
      </w:r>
      <w:r w:rsidR="00A60F4E" w:rsidRPr="00A60F4E">
        <w:rPr>
          <w:rFonts w:ascii="Times New Roman" w:hAnsi="Times New Roman" w:cs="Times New Roman"/>
          <w:sz w:val="20"/>
          <w:szCs w:val="24"/>
        </w:rPr>
        <w:t>.</w:t>
      </w:r>
    </w:p>
    <w:p w:rsidR="005D2B5E" w:rsidRPr="00A148F1" w:rsidRDefault="00234B9A" w:rsidP="00831265">
      <w:pPr>
        <w:spacing w:after="0" w:line="240" w:lineRule="auto"/>
        <w:ind w:firstLine="709"/>
        <w:jc w:val="both"/>
        <w:rPr>
          <w:rFonts w:ascii="Times New Roman" w:hAnsi="Times New Roman" w:cs="Times New Roman"/>
          <w:bCs/>
          <w:sz w:val="24"/>
        </w:rPr>
      </w:pPr>
      <w:r w:rsidRPr="00A148F1">
        <w:rPr>
          <w:rFonts w:ascii="Times New Roman" w:hAnsi="Times New Roman" w:cs="Times New Roman"/>
          <w:bCs/>
          <w:sz w:val="24"/>
        </w:rPr>
        <w:t xml:space="preserve">Em relação </w:t>
      </w:r>
      <w:r w:rsidR="005D2B5E" w:rsidRPr="00A148F1">
        <w:rPr>
          <w:rFonts w:ascii="Times New Roman" w:hAnsi="Times New Roman" w:cs="Times New Roman"/>
          <w:bCs/>
          <w:sz w:val="24"/>
        </w:rPr>
        <w:t>às</w:t>
      </w:r>
      <w:r w:rsidRPr="00A148F1">
        <w:rPr>
          <w:rFonts w:ascii="Times New Roman" w:hAnsi="Times New Roman" w:cs="Times New Roman"/>
          <w:bCs/>
          <w:sz w:val="24"/>
        </w:rPr>
        <w:t xml:space="preserve"> despesas com </w:t>
      </w:r>
      <w:r w:rsidR="00880B57" w:rsidRPr="00A148F1">
        <w:rPr>
          <w:rFonts w:ascii="Times New Roman" w:hAnsi="Times New Roman" w:cs="Times New Roman"/>
          <w:bCs/>
          <w:sz w:val="24"/>
        </w:rPr>
        <w:t>ASPS</w:t>
      </w:r>
      <w:r w:rsidRPr="00A148F1">
        <w:rPr>
          <w:rFonts w:ascii="Times New Roman" w:hAnsi="Times New Roman" w:cs="Times New Roman"/>
          <w:bCs/>
          <w:sz w:val="24"/>
        </w:rPr>
        <w:t xml:space="preserve">, a Lei </w:t>
      </w:r>
      <w:r w:rsidR="005D2B5E" w:rsidRPr="00A148F1">
        <w:rPr>
          <w:rFonts w:ascii="Times New Roman" w:hAnsi="Times New Roman" w:cs="Times New Roman"/>
          <w:bCs/>
          <w:sz w:val="24"/>
        </w:rPr>
        <w:t>C</w:t>
      </w:r>
      <w:r w:rsidRPr="00A148F1">
        <w:rPr>
          <w:rFonts w:ascii="Times New Roman" w:hAnsi="Times New Roman" w:cs="Times New Roman"/>
          <w:bCs/>
          <w:sz w:val="24"/>
        </w:rPr>
        <w:t xml:space="preserve">omplementar </w:t>
      </w:r>
      <w:r w:rsidR="00D60A2E" w:rsidRPr="00A148F1">
        <w:rPr>
          <w:rFonts w:ascii="Times New Roman" w:hAnsi="Times New Roman" w:cs="Times New Roman"/>
          <w:bCs/>
          <w:sz w:val="24"/>
        </w:rPr>
        <w:t xml:space="preserve">n.º </w:t>
      </w:r>
      <w:r w:rsidRPr="00A148F1">
        <w:rPr>
          <w:rFonts w:ascii="Times New Roman" w:hAnsi="Times New Roman" w:cs="Times New Roman"/>
          <w:bCs/>
          <w:sz w:val="24"/>
        </w:rPr>
        <w:t xml:space="preserve">141/2012 </w:t>
      </w:r>
      <w:r w:rsidR="005D2B5E" w:rsidRPr="00A148F1">
        <w:rPr>
          <w:rFonts w:ascii="Times New Roman" w:hAnsi="Times New Roman" w:cs="Times New Roman"/>
          <w:bCs/>
          <w:sz w:val="24"/>
        </w:rPr>
        <w:t xml:space="preserve">considera que são “aquelas voltadas para a promoção, proteção e recuperação da saúde [...]” (BRASIL, 2012, art. 2º). </w:t>
      </w:r>
      <w:r w:rsidR="00963ED6" w:rsidRPr="00A148F1">
        <w:rPr>
          <w:rFonts w:ascii="Times New Roman" w:hAnsi="Times New Roman" w:cs="Times New Roman"/>
          <w:bCs/>
          <w:sz w:val="24"/>
        </w:rPr>
        <w:t xml:space="preserve">A mesma Lei </w:t>
      </w:r>
      <w:r w:rsidR="00F266C2" w:rsidRPr="00A148F1">
        <w:rPr>
          <w:rFonts w:ascii="Times New Roman" w:hAnsi="Times New Roman" w:cs="Times New Roman"/>
          <w:bCs/>
          <w:sz w:val="24"/>
        </w:rPr>
        <w:t>estabelece</w:t>
      </w:r>
      <w:r w:rsidR="00E406F4" w:rsidRPr="00A148F1">
        <w:rPr>
          <w:rFonts w:ascii="Times New Roman" w:hAnsi="Times New Roman" w:cs="Times New Roman"/>
          <w:bCs/>
          <w:sz w:val="24"/>
        </w:rPr>
        <w:t xml:space="preserve"> quais as despesas são consideradas com ASPS, como</w:t>
      </w:r>
      <w:r w:rsidR="00F266C2" w:rsidRPr="00A148F1">
        <w:rPr>
          <w:rFonts w:ascii="Times New Roman" w:hAnsi="Times New Roman" w:cs="Times New Roman"/>
          <w:bCs/>
          <w:sz w:val="24"/>
        </w:rPr>
        <w:t>,</w:t>
      </w:r>
      <w:r w:rsidR="00E406F4" w:rsidRPr="00A148F1">
        <w:rPr>
          <w:rFonts w:ascii="Times New Roman" w:hAnsi="Times New Roman" w:cs="Times New Roman"/>
          <w:bCs/>
          <w:sz w:val="24"/>
        </w:rPr>
        <w:t xml:space="preserve"> </w:t>
      </w:r>
      <w:r w:rsidR="00F266C2" w:rsidRPr="00A148F1">
        <w:rPr>
          <w:rFonts w:ascii="Times New Roman" w:hAnsi="Times New Roman" w:cs="Times New Roman"/>
          <w:bCs/>
          <w:sz w:val="24"/>
        </w:rPr>
        <w:t>por exemplo</w:t>
      </w:r>
      <w:r w:rsidR="00E406F4" w:rsidRPr="00A148F1">
        <w:rPr>
          <w:rFonts w:ascii="Times New Roman" w:hAnsi="Times New Roman" w:cs="Times New Roman"/>
          <w:bCs/>
          <w:sz w:val="24"/>
        </w:rPr>
        <w:t xml:space="preserve">: </w:t>
      </w:r>
      <w:r w:rsidR="00F266C2" w:rsidRPr="00A148F1">
        <w:rPr>
          <w:rFonts w:ascii="Times New Roman" w:hAnsi="Times New Roman" w:cs="Times New Roman"/>
          <w:bCs/>
          <w:sz w:val="24"/>
        </w:rPr>
        <w:t>“</w:t>
      </w:r>
      <w:r w:rsidR="00E406F4" w:rsidRPr="00A148F1">
        <w:rPr>
          <w:rFonts w:ascii="Times New Roman" w:hAnsi="Times New Roman" w:cs="Times New Roman"/>
          <w:bCs/>
          <w:sz w:val="24"/>
        </w:rPr>
        <w:t>vigilância em saúde, incluindo a epidemiológica e sanitária</w:t>
      </w:r>
      <w:r w:rsidR="00F266C2" w:rsidRPr="00A148F1">
        <w:rPr>
          <w:rFonts w:ascii="Times New Roman" w:hAnsi="Times New Roman" w:cs="Times New Roman"/>
          <w:bCs/>
          <w:sz w:val="24"/>
        </w:rPr>
        <w:t>”</w:t>
      </w:r>
      <w:r w:rsidR="00E406F4" w:rsidRPr="00A148F1">
        <w:rPr>
          <w:rFonts w:ascii="Times New Roman" w:hAnsi="Times New Roman" w:cs="Times New Roman"/>
          <w:bCs/>
          <w:sz w:val="24"/>
        </w:rPr>
        <w:t xml:space="preserve">; </w:t>
      </w:r>
      <w:r w:rsidR="00416A1D" w:rsidRPr="00A148F1">
        <w:rPr>
          <w:rFonts w:ascii="Times New Roman" w:hAnsi="Times New Roman" w:cs="Times New Roman"/>
          <w:bCs/>
          <w:sz w:val="24"/>
        </w:rPr>
        <w:t xml:space="preserve">“ações de apoio </w:t>
      </w:r>
      <w:proofErr w:type="gramStart"/>
      <w:r w:rsidR="00416A1D" w:rsidRPr="00A148F1">
        <w:rPr>
          <w:rFonts w:ascii="Times New Roman" w:hAnsi="Times New Roman" w:cs="Times New Roman"/>
          <w:bCs/>
          <w:sz w:val="24"/>
        </w:rPr>
        <w:t>administrativo realizadas</w:t>
      </w:r>
      <w:proofErr w:type="gramEnd"/>
      <w:r w:rsidR="00416A1D" w:rsidRPr="00A148F1">
        <w:rPr>
          <w:rFonts w:ascii="Times New Roman" w:hAnsi="Times New Roman" w:cs="Times New Roman"/>
          <w:bCs/>
          <w:sz w:val="24"/>
        </w:rPr>
        <w:t xml:space="preserve"> pelas instituições públicas do SUS e imprescindíveis à execução das ações e serviços públicos de saúde” </w:t>
      </w:r>
      <w:r w:rsidR="00E406F4" w:rsidRPr="00A148F1">
        <w:rPr>
          <w:rFonts w:ascii="Times New Roman" w:hAnsi="Times New Roman" w:cs="Times New Roman"/>
          <w:bCs/>
          <w:sz w:val="24"/>
        </w:rPr>
        <w:t xml:space="preserve">e </w:t>
      </w:r>
      <w:r w:rsidR="00416A1D" w:rsidRPr="00A148F1">
        <w:rPr>
          <w:rFonts w:ascii="Times New Roman" w:hAnsi="Times New Roman" w:cs="Times New Roman"/>
          <w:bCs/>
          <w:sz w:val="24"/>
        </w:rPr>
        <w:t>“</w:t>
      </w:r>
      <w:r w:rsidR="00E406F4" w:rsidRPr="00A148F1">
        <w:rPr>
          <w:rFonts w:ascii="Times New Roman" w:hAnsi="Times New Roman" w:cs="Times New Roman"/>
          <w:bCs/>
          <w:sz w:val="24"/>
        </w:rPr>
        <w:t>gestão do sistema público de saúde e operação de unidades prestadoras de serviços públicos de saúde</w:t>
      </w:r>
      <w:r w:rsidR="00416A1D" w:rsidRPr="00A148F1">
        <w:rPr>
          <w:rFonts w:ascii="Times New Roman" w:hAnsi="Times New Roman" w:cs="Times New Roman"/>
          <w:bCs/>
          <w:sz w:val="24"/>
        </w:rPr>
        <w:t>”</w:t>
      </w:r>
      <w:r w:rsidR="00E406F4" w:rsidRPr="00A148F1">
        <w:rPr>
          <w:rFonts w:ascii="Times New Roman" w:hAnsi="Times New Roman" w:cs="Times New Roman"/>
          <w:bCs/>
          <w:sz w:val="24"/>
        </w:rPr>
        <w:t xml:space="preserve"> (BRASIL, 2012, art. 3º</w:t>
      </w:r>
      <w:r w:rsidR="00416A1D" w:rsidRPr="00A148F1">
        <w:rPr>
          <w:rFonts w:ascii="Times New Roman" w:hAnsi="Times New Roman" w:cs="Times New Roman"/>
          <w:bCs/>
          <w:sz w:val="24"/>
        </w:rPr>
        <w:t>, I, XI e XII</w:t>
      </w:r>
      <w:r w:rsidR="00E406F4" w:rsidRPr="00A148F1">
        <w:rPr>
          <w:rFonts w:ascii="Times New Roman" w:hAnsi="Times New Roman" w:cs="Times New Roman"/>
          <w:bCs/>
          <w:sz w:val="24"/>
        </w:rPr>
        <w:t>).</w:t>
      </w:r>
    </w:p>
    <w:p w:rsidR="00FE28F6" w:rsidRPr="00A148F1" w:rsidRDefault="00234B9A" w:rsidP="00831265">
      <w:pPr>
        <w:spacing w:after="0" w:line="240" w:lineRule="auto"/>
        <w:ind w:firstLine="709"/>
        <w:jc w:val="both"/>
        <w:rPr>
          <w:rFonts w:ascii="Times New Roman" w:hAnsi="Times New Roman" w:cs="Times New Roman"/>
          <w:bCs/>
          <w:sz w:val="24"/>
        </w:rPr>
      </w:pPr>
      <w:r w:rsidRPr="00A148F1">
        <w:rPr>
          <w:rFonts w:ascii="Times New Roman" w:hAnsi="Times New Roman" w:cs="Times New Roman"/>
          <w:bCs/>
          <w:sz w:val="24"/>
        </w:rPr>
        <w:t>A evidenciação das receitas e despesas relacionadas com a fu</w:t>
      </w:r>
      <w:r w:rsidR="00416A1D" w:rsidRPr="00A148F1">
        <w:rPr>
          <w:rFonts w:ascii="Times New Roman" w:hAnsi="Times New Roman" w:cs="Times New Roman"/>
          <w:bCs/>
          <w:sz w:val="24"/>
        </w:rPr>
        <w:t>nção saúde é feita por meio do Demonstrativo das Receitas e Despesas com Ações e Serviços P</w:t>
      </w:r>
      <w:r w:rsidR="00FE28F6" w:rsidRPr="00A148F1">
        <w:rPr>
          <w:rFonts w:ascii="Times New Roman" w:hAnsi="Times New Roman" w:cs="Times New Roman"/>
          <w:bCs/>
          <w:sz w:val="24"/>
        </w:rPr>
        <w:t xml:space="preserve">úblicos </w:t>
      </w:r>
      <w:r w:rsidR="00510963" w:rsidRPr="00A148F1">
        <w:rPr>
          <w:rFonts w:ascii="Times New Roman" w:hAnsi="Times New Roman" w:cs="Times New Roman"/>
          <w:bCs/>
          <w:sz w:val="24"/>
        </w:rPr>
        <w:t>de</w:t>
      </w:r>
      <w:r w:rsidR="00416A1D" w:rsidRPr="00A148F1">
        <w:rPr>
          <w:rFonts w:ascii="Times New Roman" w:hAnsi="Times New Roman" w:cs="Times New Roman"/>
          <w:bCs/>
          <w:sz w:val="24"/>
        </w:rPr>
        <w:t xml:space="preserve"> S</w:t>
      </w:r>
      <w:r w:rsidR="00FE28F6" w:rsidRPr="00A148F1">
        <w:rPr>
          <w:rFonts w:ascii="Times New Roman" w:hAnsi="Times New Roman" w:cs="Times New Roman"/>
          <w:bCs/>
          <w:sz w:val="24"/>
        </w:rPr>
        <w:t>aúde</w:t>
      </w:r>
      <w:r w:rsidR="00510963" w:rsidRPr="00A148F1">
        <w:rPr>
          <w:rFonts w:ascii="Times New Roman" w:hAnsi="Times New Roman" w:cs="Times New Roman"/>
          <w:bCs/>
          <w:sz w:val="24"/>
        </w:rPr>
        <w:t>, que</w:t>
      </w:r>
      <w:r w:rsidR="00FE28F6" w:rsidRPr="00A148F1">
        <w:rPr>
          <w:rFonts w:ascii="Times New Roman" w:hAnsi="Times New Roman" w:cs="Times New Roman"/>
          <w:bCs/>
          <w:sz w:val="24"/>
        </w:rPr>
        <w:t xml:space="preserve"> integra o Relatório Resumido da Execução Orçamentária</w:t>
      </w:r>
      <w:r w:rsidRPr="00A148F1">
        <w:rPr>
          <w:rFonts w:ascii="Times New Roman" w:hAnsi="Times New Roman" w:cs="Times New Roman"/>
          <w:bCs/>
          <w:sz w:val="24"/>
        </w:rPr>
        <w:t>.</w:t>
      </w:r>
      <w:r w:rsidR="00FE28F6" w:rsidRPr="00A148F1">
        <w:rPr>
          <w:rFonts w:ascii="Times New Roman" w:hAnsi="Times New Roman" w:cs="Times New Roman"/>
          <w:bCs/>
          <w:sz w:val="24"/>
        </w:rPr>
        <w:t xml:space="preserve"> </w:t>
      </w:r>
      <w:r w:rsidR="00416A1D" w:rsidRPr="00A148F1">
        <w:rPr>
          <w:rFonts w:ascii="Times New Roman" w:hAnsi="Times New Roman" w:cs="Times New Roman"/>
          <w:bCs/>
          <w:sz w:val="24"/>
        </w:rPr>
        <w:t>Tal R</w:t>
      </w:r>
      <w:r w:rsidRPr="00A148F1">
        <w:rPr>
          <w:rFonts w:ascii="Times New Roman" w:hAnsi="Times New Roman" w:cs="Times New Roman"/>
          <w:bCs/>
          <w:sz w:val="24"/>
        </w:rPr>
        <w:t>elatório</w:t>
      </w:r>
      <w:r w:rsidR="00FE28F6" w:rsidRPr="00A148F1">
        <w:rPr>
          <w:rFonts w:ascii="Times New Roman" w:hAnsi="Times New Roman" w:cs="Times New Roman"/>
          <w:bCs/>
          <w:sz w:val="24"/>
        </w:rPr>
        <w:t xml:space="preserve"> deverá ser publicado bimestralmente pelos entes da federação até 30 (tri</w:t>
      </w:r>
      <w:r w:rsidR="00416A1D" w:rsidRPr="00A148F1">
        <w:rPr>
          <w:rFonts w:ascii="Times New Roman" w:hAnsi="Times New Roman" w:cs="Times New Roman"/>
          <w:bCs/>
          <w:sz w:val="24"/>
        </w:rPr>
        <w:t>nta) dias após o encerramento de cada</w:t>
      </w:r>
      <w:r w:rsidR="00FE28F6" w:rsidRPr="00A148F1">
        <w:rPr>
          <w:rFonts w:ascii="Times New Roman" w:hAnsi="Times New Roman" w:cs="Times New Roman"/>
          <w:bCs/>
          <w:sz w:val="24"/>
        </w:rPr>
        <w:t xml:space="preserve"> período (BRASIL, 2000</w:t>
      </w:r>
      <w:r w:rsidR="006B0414" w:rsidRPr="00A148F1">
        <w:rPr>
          <w:rFonts w:ascii="Times New Roman" w:hAnsi="Times New Roman" w:cs="Times New Roman"/>
          <w:bCs/>
          <w:sz w:val="24"/>
        </w:rPr>
        <w:t>b</w:t>
      </w:r>
      <w:r w:rsidR="00FE28F6" w:rsidRPr="00A148F1">
        <w:rPr>
          <w:rFonts w:ascii="Times New Roman" w:hAnsi="Times New Roman" w:cs="Times New Roman"/>
          <w:bCs/>
          <w:sz w:val="24"/>
        </w:rPr>
        <w:t>, art. 52).</w:t>
      </w:r>
    </w:p>
    <w:p w:rsidR="00F320ED" w:rsidRPr="00A148F1" w:rsidRDefault="0009306E" w:rsidP="00831265">
      <w:pPr>
        <w:spacing w:after="0" w:line="240" w:lineRule="auto"/>
        <w:ind w:firstLine="708"/>
        <w:jc w:val="both"/>
        <w:rPr>
          <w:rFonts w:ascii="Times New Roman" w:hAnsi="Times New Roman" w:cs="Times New Roman"/>
          <w:bCs/>
          <w:sz w:val="24"/>
        </w:rPr>
      </w:pPr>
      <w:r w:rsidRPr="00A148F1">
        <w:rPr>
          <w:rFonts w:ascii="Times New Roman" w:hAnsi="Times New Roman" w:cs="Times New Roman"/>
          <w:bCs/>
          <w:sz w:val="24"/>
        </w:rPr>
        <w:t>Segundo o</w:t>
      </w:r>
      <w:r w:rsidR="00F320ED" w:rsidRPr="00A148F1">
        <w:rPr>
          <w:rFonts w:ascii="Times New Roman" w:hAnsi="Times New Roman" w:cs="Times New Roman"/>
          <w:bCs/>
          <w:sz w:val="24"/>
        </w:rPr>
        <w:t xml:space="preserve"> Manual de Demonstrativos Fiscais (MDF), </w:t>
      </w:r>
      <w:r w:rsidR="00CA5E17" w:rsidRPr="00A148F1">
        <w:rPr>
          <w:rFonts w:ascii="Times New Roman" w:hAnsi="Times New Roman" w:cs="Times New Roman"/>
          <w:bCs/>
          <w:sz w:val="24"/>
        </w:rPr>
        <w:t>o Demonstrativo</w:t>
      </w:r>
      <w:r w:rsidRPr="00A148F1">
        <w:rPr>
          <w:rFonts w:ascii="Times New Roman" w:hAnsi="Times New Roman" w:cs="Times New Roman"/>
          <w:bCs/>
          <w:sz w:val="24"/>
        </w:rPr>
        <w:t xml:space="preserve"> </w:t>
      </w:r>
      <w:r w:rsidR="00F320ED" w:rsidRPr="00A148F1">
        <w:rPr>
          <w:rFonts w:ascii="Times New Roman" w:hAnsi="Times New Roman" w:cs="Times New Roman"/>
          <w:bCs/>
          <w:sz w:val="24"/>
        </w:rPr>
        <w:t>“tem por finalidade dar transparência e comprovar o cumprimento da aplicação dos recursos nas ações e serviços públicos de saúde [...], bem como apresentar informações para fins de controle pelo governo e pela sociedade” (</w:t>
      </w:r>
      <w:r w:rsidR="00C66A66" w:rsidRPr="00A148F1">
        <w:rPr>
          <w:rFonts w:ascii="Times New Roman" w:hAnsi="Times New Roman" w:cs="Times New Roman"/>
          <w:bCs/>
          <w:sz w:val="24"/>
        </w:rPr>
        <w:t>STN, 2014</w:t>
      </w:r>
      <w:r w:rsidR="007B2CEB" w:rsidRPr="00A148F1">
        <w:rPr>
          <w:rFonts w:ascii="Times New Roman" w:hAnsi="Times New Roman" w:cs="Times New Roman"/>
          <w:bCs/>
          <w:sz w:val="24"/>
        </w:rPr>
        <w:t>b</w:t>
      </w:r>
      <w:r w:rsidR="00F320ED" w:rsidRPr="00A148F1">
        <w:rPr>
          <w:rFonts w:ascii="Times New Roman" w:hAnsi="Times New Roman" w:cs="Times New Roman"/>
          <w:bCs/>
          <w:sz w:val="24"/>
        </w:rPr>
        <w:t xml:space="preserve">, p. </w:t>
      </w:r>
      <w:r w:rsidR="00C66A66" w:rsidRPr="00A148F1">
        <w:rPr>
          <w:rFonts w:ascii="Times New Roman" w:hAnsi="Times New Roman" w:cs="Times New Roman"/>
          <w:bCs/>
          <w:sz w:val="24"/>
        </w:rPr>
        <w:t>394</w:t>
      </w:r>
      <w:r w:rsidR="00F320ED" w:rsidRPr="00A148F1">
        <w:rPr>
          <w:rFonts w:ascii="Times New Roman" w:hAnsi="Times New Roman" w:cs="Times New Roman"/>
          <w:bCs/>
          <w:sz w:val="24"/>
        </w:rPr>
        <w:t>).</w:t>
      </w:r>
    </w:p>
    <w:p w:rsidR="00FE28F6" w:rsidRPr="001742DF" w:rsidRDefault="00CA5E17" w:rsidP="00831265">
      <w:pPr>
        <w:spacing w:after="0" w:line="240" w:lineRule="auto"/>
        <w:ind w:firstLine="709"/>
        <w:jc w:val="both"/>
        <w:rPr>
          <w:rFonts w:ascii="Arial" w:hAnsi="Arial" w:cs="Arial"/>
          <w:bCs/>
        </w:rPr>
      </w:pPr>
      <w:r w:rsidRPr="00A148F1">
        <w:rPr>
          <w:rFonts w:ascii="Times New Roman" w:hAnsi="Times New Roman" w:cs="Times New Roman"/>
          <w:bCs/>
          <w:sz w:val="24"/>
        </w:rPr>
        <w:t>Ness</w:t>
      </w:r>
      <w:r w:rsidR="00C9762C" w:rsidRPr="00A148F1">
        <w:rPr>
          <w:rFonts w:ascii="Times New Roman" w:hAnsi="Times New Roman" w:cs="Times New Roman"/>
          <w:bCs/>
          <w:sz w:val="24"/>
        </w:rPr>
        <w:t xml:space="preserve">e sentido, o referido </w:t>
      </w:r>
      <w:r w:rsidR="00416A1D" w:rsidRPr="00A148F1">
        <w:rPr>
          <w:rFonts w:ascii="Times New Roman" w:hAnsi="Times New Roman" w:cs="Times New Roman"/>
          <w:bCs/>
          <w:sz w:val="24"/>
        </w:rPr>
        <w:t>D</w:t>
      </w:r>
      <w:r w:rsidR="00C9762C" w:rsidRPr="00A148F1">
        <w:rPr>
          <w:rFonts w:ascii="Times New Roman" w:hAnsi="Times New Roman" w:cs="Times New Roman"/>
          <w:bCs/>
          <w:sz w:val="24"/>
        </w:rPr>
        <w:t>emonstrativo deverá apresentar</w:t>
      </w:r>
      <w:r w:rsidR="00C66A66" w:rsidRPr="00A148F1">
        <w:rPr>
          <w:rFonts w:ascii="Times New Roman" w:hAnsi="Times New Roman" w:cs="Times New Roman"/>
          <w:bCs/>
          <w:sz w:val="24"/>
        </w:rPr>
        <w:t>,</w:t>
      </w:r>
      <w:r w:rsidR="00C9762C" w:rsidRPr="00A148F1">
        <w:rPr>
          <w:rFonts w:ascii="Times New Roman" w:hAnsi="Times New Roman" w:cs="Times New Roman"/>
          <w:bCs/>
          <w:sz w:val="24"/>
        </w:rPr>
        <w:t xml:space="preserve"> </w:t>
      </w:r>
      <w:r w:rsidR="008A6B3D" w:rsidRPr="00A148F1">
        <w:rPr>
          <w:rFonts w:ascii="Times New Roman" w:hAnsi="Times New Roman" w:cs="Times New Roman"/>
          <w:bCs/>
          <w:sz w:val="24"/>
        </w:rPr>
        <w:t xml:space="preserve">entre outros aspectos, </w:t>
      </w:r>
      <w:r w:rsidR="00C9762C" w:rsidRPr="00A148F1">
        <w:rPr>
          <w:rFonts w:ascii="Times New Roman" w:hAnsi="Times New Roman" w:cs="Times New Roman"/>
          <w:bCs/>
          <w:sz w:val="24"/>
        </w:rPr>
        <w:t>(STN, 201</w:t>
      </w:r>
      <w:r w:rsidR="008A6B3D" w:rsidRPr="00A148F1">
        <w:rPr>
          <w:rFonts w:ascii="Times New Roman" w:hAnsi="Times New Roman" w:cs="Times New Roman"/>
          <w:bCs/>
          <w:sz w:val="24"/>
        </w:rPr>
        <w:t>4</w:t>
      </w:r>
      <w:r w:rsidR="007B2CEB" w:rsidRPr="00A148F1">
        <w:rPr>
          <w:rFonts w:ascii="Times New Roman" w:hAnsi="Times New Roman" w:cs="Times New Roman"/>
          <w:bCs/>
          <w:sz w:val="24"/>
        </w:rPr>
        <w:t>b</w:t>
      </w:r>
      <w:r w:rsidR="00C9762C" w:rsidRPr="00A148F1">
        <w:rPr>
          <w:rFonts w:ascii="Times New Roman" w:hAnsi="Times New Roman" w:cs="Times New Roman"/>
          <w:bCs/>
          <w:sz w:val="24"/>
        </w:rPr>
        <w:t>, p. 39</w:t>
      </w:r>
      <w:r w:rsidR="008A6B3D" w:rsidRPr="00A148F1">
        <w:rPr>
          <w:rFonts w:ascii="Times New Roman" w:hAnsi="Times New Roman" w:cs="Times New Roman"/>
          <w:bCs/>
          <w:sz w:val="24"/>
        </w:rPr>
        <w:t>3</w:t>
      </w:r>
      <w:r w:rsidR="00C9762C" w:rsidRPr="00A148F1">
        <w:rPr>
          <w:rFonts w:ascii="Times New Roman" w:hAnsi="Times New Roman" w:cs="Times New Roman"/>
          <w:bCs/>
          <w:sz w:val="24"/>
        </w:rPr>
        <w:t xml:space="preserve">): </w:t>
      </w:r>
    </w:p>
    <w:p w:rsidR="00C9762C" w:rsidRPr="00A148F1" w:rsidRDefault="00C9762C" w:rsidP="000F496A">
      <w:pPr>
        <w:spacing w:after="0" w:line="240" w:lineRule="auto"/>
        <w:ind w:left="2268"/>
        <w:jc w:val="both"/>
        <w:rPr>
          <w:rFonts w:ascii="Times New Roman" w:hAnsi="Times New Roman" w:cs="Times New Roman"/>
          <w:sz w:val="20"/>
          <w:szCs w:val="24"/>
        </w:rPr>
      </w:pPr>
      <w:r w:rsidRPr="00A148F1">
        <w:rPr>
          <w:rFonts w:ascii="Times New Roman" w:hAnsi="Times New Roman" w:cs="Times New Roman"/>
          <w:sz w:val="20"/>
          <w:szCs w:val="24"/>
        </w:rPr>
        <w:lastRenderedPageBreak/>
        <w:t>a) as receitas que compõem a base para cálculo do cumprimento do percentual mínimo de aplicação em ações e serviços públicos de saúde e as receitas adicionais para financiamento da saúde (não aplicável à União);</w:t>
      </w:r>
    </w:p>
    <w:p w:rsidR="00C9762C" w:rsidRPr="00A148F1" w:rsidRDefault="00C9762C" w:rsidP="000F496A">
      <w:pPr>
        <w:spacing w:after="0" w:line="240" w:lineRule="auto"/>
        <w:ind w:left="2268"/>
        <w:jc w:val="both"/>
        <w:rPr>
          <w:rFonts w:ascii="Times New Roman" w:hAnsi="Times New Roman" w:cs="Times New Roman"/>
          <w:sz w:val="20"/>
          <w:szCs w:val="24"/>
        </w:rPr>
      </w:pPr>
      <w:r w:rsidRPr="00A148F1">
        <w:rPr>
          <w:rFonts w:ascii="Times New Roman" w:hAnsi="Times New Roman" w:cs="Times New Roman"/>
          <w:sz w:val="20"/>
          <w:szCs w:val="24"/>
        </w:rPr>
        <w:t>b) as despesas com ações e serviços públicos de saúde, por grupo de natureza da despesa e por subfunção;</w:t>
      </w:r>
    </w:p>
    <w:p w:rsidR="00C9762C" w:rsidRPr="00A148F1" w:rsidRDefault="00C9762C" w:rsidP="000F496A">
      <w:pPr>
        <w:spacing w:after="0" w:line="240" w:lineRule="auto"/>
        <w:ind w:left="2268"/>
        <w:jc w:val="both"/>
        <w:rPr>
          <w:rFonts w:ascii="Times New Roman" w:hAnsi="Times New Roman" w:cs="Times New Roman"/>
          <w:sz w:val="20"/>
          <w:szCs w:val="24"/>
        </w:rPr>
      </w:pPr>
      <w:r w:rsidRPr="00A148F1">
        <w:rPr>
          <w:rFonts w:ascii="Times New Roman" w:hAnsi="Times New Roman" w:cs="Times New Roman"/>
          <w:sz w:val="20"/>
          <w:szCs w:val="24"/>
        </w:rPr>
        <w:t>c) o cálculo do percentual de aplicação para cumprimento do limite mínimo de aplicação em ações e serviços públicos de saúde;</w:t>
      </w:r>
    </w:p>
    <w:p w:rsidR="00C9762C" w:rsidRPr="00A148F1" w:rsidRDefault="00C9762C" w:rsidP="000F496A">
      <w:pPr>
        <w:spacing w:after="0" w:line="240" w:lineRule="auto"/>
        <w:ind w:left="2268"/>
        <w:jc w:val="both"/>
        <w:rPr>
          <w:rFonts w:ascii="Times New Roman" w:hAnsi="Times New Roman" w:cs="Times New Roman"/>
          <w:sz w:val="20"/>
          <w:szCs w:val="24"/>
        </w:rPr>
      </w:pPr>
      <w:r w:rsidRPr="00A148F1">
        <w:rPr>
          <w:rFonts w:ascii="Times New Roman" w:hAnsi="Times New Roman" w:cs="Times New Roman"/>
          <w:sz w:val="20"/>
          <w:szCs w:val="24"/>
        </w:rPr>
        <w:t xml:space="preserve">d) o confronto entre a receita e a despesa previstas e as efetivamente realizadas que resultem no não atendimento dos percentuais mínimos de aplicação em ações e serviços públicos de saúde; </w:t>
      </w:r>
      <w:proofErr w:type="gramStart"/>
      <w:r w:rsidRPr="00A148F1">
        <w:rPr>
          <w:rFonts w:ascii="Times New Roman" w:hAnsi="Times New Roman" w:cs="Times New Roman"/>
          <w:sz w:val="20"/>
          <w:szCs w:val="24"/>
        </w:rPr>
        <w:t>e</w:t>
      </w:r>
      <w:proofErr w:type="gramEnd"/>
    </w:p>
    <w:p w:rsidR="00C9762C" w:rsidRPr="00A148F1" w:rsidRDefault="00C9762C" w:rsidP="000F496A">
      <w:pPr>
        <w:spacing w:after="120" w:line="240" w:lineRule="auto"/>
        <w:ind w:left="2268"/>
        <w:jc w:val="both"/>
        <w:rPr>
          <w:rFonts w:ascii="Times New Roman" w:hAnsi="Times New Roman" w:cs="Times New Roman"/>
          <w:sz w:val="20"/>
          <w:szCs w:val="24"/>
        </w:rPr>
      </w:pPr>
      <w:r w:rsidRPr="00A148F1">
        <w:rPr>
          <w:rFonts w:ascii="Times New Roman" w:hAnsi="Times New Roman" w:cs="Times New Roman"/>
          <w:sz w:val="20"/>
          <w:szCs w:val="24"/>
        </w:rPr>
        <w:t>e) os controles de aplicação da disponibilidade de caixa vinculada a restos a pagar cancelados ou prescritos e do percentual mínimo não cumprido em exercícios anteriores.</w:t>
      </w:r>
    </w:p>
    <w:p w:rsidR="000C7C55" w:rsidRPr="00A148F1" w:rsidRDefault="00F320ED" w:rsidP="00831265">
      <w:pPr>
        <w:spacing w:after="0" w:line="240" w:lineRule="auto"/>
        <w:ind w:firstLine="709"/>
        <w:jc w:val="both"/>
        <w:rPr>
          <w:rFonts w:ascii="Times New Roman" w:hAnsi="Times New Roman" w:cs="Times New Roman"/>
          <w:bCs/>
          <w:sz w:val="24"/>
        </w:rPr>
      </w:pPr>
      <w:r w:rsidRPr="00A148F1">
        <w:rPr>
          <w:rFonts w:ascii="Times New Roman" w:hAnsi="Times New Roman" w:cs="Times New Roman"/>
          <w:bCs/>
          <w:sz w:val="24"/>
        </w:rPr>
        <w:t>A divulgação dos D</w:t>
      </w:r>
      <w:r w:rsidR="00143DF3" w:rsidRPr="00A148F1">
        <w:rPr>
          <w:rFonts w:ascii="Times New Roman" w:hAnsi="Times New Roman" w:cs="Times New Roman"/>
          <w:bCs/>
          <w:sz w:val="24"/>
        </w:rPr>
        <w:t>emonstrativos referentes à</w:t>
      </w:r>
      <w:r w:rsidRPr="00A148F1">
        <w:rPr>
          <w:rFonts w:ascii="Times New Roman" w:hAnsi="Times New Roman" w:cs="Times New Roman"/>
          <w:bCs/>
          <w:sz w:val="24"/>
        </w:rPr>
        <w:t xml:space="preserve">s </w:t>
      </w:r>
      <w:r w:rsidR="00143DF3" w:rsidRPr="00A148F1">
        <w:rPr>
          <w:rFonts w:ascii="Times New Roman" w:hAnsi="Times New Roman" w:cs="Times New Roman"/>
          <w:bCs/>
          <w:sz w:val="24"/>
        </w:rPr>
        <w:t xml:space="preserve">despesas </w:t>
      </w:r>
      <w:r w:rsidRPr="00A148F1">
        <w:rPr>
          <w:rFonts w:ascii="Times New Roman" w:hAnsi="Times New Roman" w:cs="Times New Roman"/>
          <w:bCs/>
          <w:sz w:val="24"/>
        </w:rPr>
        <w:t>com ASPS</w:t>
      </w:r>
      <w:r w:rsidR="00143DF3" w:rsidRPr="00A148F1">
        <w:rPr>
          <w:rFonts w:ascii="Times New Roman" w:hAnsi="Times New Roman" w:cs="Times New Roman"/>
          <w:bCs/>
          <w:sz w:val="24"/>
        </w:rPr>
        <w:t xml:space="preserve"> </w:t>
      </w:r>
      <w:r w:rsidRPr="00A148F1">
        <w:rPr>
          <w:rFonts w:ascii="Times New Roman" w:hAnsi="Times New Roman" w:cs="Times New Roman"/>
          <w:bCs/>
          <w:sz w:val="24"/>
        </w:rPr>
        <w:t>é</w:t>
      </w:r>
      <w:r w:rsidR="00143DF3" w:rsidRPr="00A148F1">
        <w:rPr>
          <w:rFonts w:ascii="Times New Roman" w:hAnsi="Times New Roman" w:cs="Times New Roman"/>
          <w:bCs/>
          <w:sz w:val="24"/>
        </w:rPr>
        <w:t xml:space="preserve"> </w:t>
      </w:r>
      <w:r w:rsidR="0017545A" w:rsidRPr="00A148F1">
        <w:rPr>
          <w:rFonts w:ascii="Times New Roman" w:hAnsi="Times New Roman" w:cs="Times New Roman"/>
          <w:bCs/>
          <w:sz w:val="24"/>
        </w:rPr>
        <w:t>suscetível</w:t>
      </w:r>
      <w:r w:rsidR="00143DF3" w:rsidRPr="00A148F1">
        <w:rPr>
          <w:rFonts w:ascii="Times New Roman" w:hAnsi="Times New Roman" w:cs="Times New Roman"/>
          <w:bCs/>
          <w:sz w:val="24"/>
        </w:rPr>
        <w:t xml:space="preserve"> </w:t>
      </w:r>
      <w:r w:rsidRPr="00A148F1">
        <w:rPr>
          <w:rFonts w:ascii="Times New Roman" w:hAnsi="Times New Roman" w:cs="Times New Roman"/>
          <w:bCs/>
          <w:sz w:val="24"/>
        </w:rPr>
        <w:t>à fiscalização.</w:t>
      </w:r>
      <w:r w:rsidR="006D1B3B" w:rsidRPr="00A148F1">
        <w:rPr>
          <w:rFonts w:ascii="Times New Roman" w:hAnsi="Times New Roman" w:cs="Times New Roman"/>
          <w:bCs/>
          <w:sz w:val="24"/>
        </w:rPr>
        <w:t xml:space="preserve"> </w:t>
      </w:r>
      <w:r w:rsidR="006A495B" w:rsidRPr="00A148F1">
        <w:rPr>
          <w:rFonts w:ascii="Times New Roman" w:hAnsi="Times New Roman" w:cs="Times New Roman"/>
          <w:bCs/>
          <w:sz w:val="24"/>
        </w:rPr>
        <w:t xml:space="preserve">Segundo a Lei Complementar n.º 141/2012 </w:t>
      </w:r>
      <w:r w:rsidR="006D1B3B" w:rsidRPr="00A148F1">
        <w:rPr>
          <w:rFonts w:ascii="Times New Roman" w:hAnsi="Times New Roman" w:cs="Times New Roman"/>
          <w:bCs/>
          <w:sz w:val="24"/>
        </w:rPr>
        <w:t xml:space="preserve">“Compete ao Tribunal de Contas, no âmbito de suas atribuições, verificar a aplicação dos recursos mínimos em </w:t>
      </w:r>
      <w:r w:rsidR="007C5E8D" w:rsidRPr="00A148F1">
        <w:rPr>
          <w:rFonts w:ascii="Times New Roman" w:hAnsi="Times New Roman" w:cs="Times New Roman"/>
          <w:bCs/>
          <w:sz w:val="24"/>
        </w:rPr>
        <w:t>ASPS</w:t>
      </w:r>
      <w:r w:rsidR="006D1B3B" w:rsidRPr="00A148F1">
        <w:rPr>
          <w:rFonts w:ascii="Times New Roman" w:hAnsi="Times New Roman" w:cs="Times New Roman"/>
          <w:bCs/>
          <w:sz w:val="24"/>
        </w:rPr>
        <w:t xml:space="preserve"> de cada ente da Federação sob sua jurisdição, sem prejuízo do disposto no art. 39 e observadas </w:t>
      </w:r>
      <w:proofErr w:type="gramStart"/>
      <w:r w:rsidR="006367B1" w:rsidRPr="00A148F1">
        <w:rPr>
          <w:rFonts w:ascii="Times New Roman" w:hAnsi="Times New Roman" w:cs="Times New Roman"/>
          <w:bCs/>
          <w:sz w:val="24"/>
        </w:rPr>
        <w:t>a</w:t>
      </w:r>
      <w:r w:rsidR="0017545A" w:rsidRPr="00A148F1">
        <w:rPr>
          <w:rFonts w:ascii="Times New Roman" w:hAnsi="Times New Roman" w:cs="Times New Roman"/>
          <w:bCs/>
          <w:sz w:val="24"/>
        </w:rPr>
        <w:t>s</w:t>
      </w:r>
      <w:proofErr w:type="gramEnd"/>
      <w:r w:rsidR="006D1B3B" w:rsidRPr="00A148F1">
        <w:rPr>
          <w:rFonts w:ascii="Times New Roman" w:hAnsi="Times New Roman" w:cs="Times New Roman"/>
          <w:bCs/>
          <w:sz w:val="24"/>
        </w:rPr>
        <w:t xml:space="preserve"> normas estatuídas nesta Lei Complementar</w:t>
      </w:r>
      <w:r w:rsidR="0017545A" w:rsidRPr="00A148F1">
        <w:rPr>
          <w:rFonts w:ascii="Times New Roman" w:hAnsi="Times New Roman" w:cs="Times New Roman"/>
          <w:bCs/>
          <w:sz w:val="24"/>
        </w:rPr>
        <w:t>” (BRASIL, 2012, art. 25).</w:t>
      </w:r>
      <w:r w:rsidR="006D1B3B" w:rsidRPr="00A148F1">
        <w:rPr>
          <w:rFonts w:ascii="Times New Roman" w:hAnsi="Times New Roman" w:cs="Times New Roman"/>
          <w:bCs/>
          <w:sz w:val="24"/>
        </w:rPr>
        <w:t xml:space="preserve"> </w:t>
      </w:r>
      <w:r w:rsidR="00EA7BEF" w:rsidRPr="00A148F1">
        <w:rPr>
          <w:rFonts w:ascii="Times New Roman" w:hAnsi="Times New Roman" w:cs="Times New Roman"/>
          <w:bCs/>
          <w:sz w:val="24"/>
        </w:rPr>
        <w:t>Portanto</w:t>
      </w:r>
      <w:r w:rsidRPr="00A148F1">
        <w:rPr>
          <w:rFonts w:ascii="Times New Roman" w:hAnsi="Times New Roman" w:cs="Times New Roman"/>
          <w:bCs/>
          <w:sz w:val="24"/>
        </w:rPr>
        <w:t>,</w:t>
      </w:r>
      <w:r w:rsidR="00EA7BEF" w:rsidRPr="00A148F1">
        <w:rPr>
          <w:rFonts w:ascii="Times New Roman" w:hAnsi="Times New Roman" w:cs="Times New Roman"/>
          <w:bCs/>
          <w:sz w:val="24"/>
        </w:rPr>
        <w:t xml:space="preserve"> é </w:t>
      </w:r>
      <w:r w:rsidRPr="00A148F1">
        <w:rPr>
          <w:rFonts w:ascii="Times New Roman" w:hAnsi="Times New Roman" w:cs="Times New Roman"/>
          <w:bCs/>
          <w:sz w:val="24"/>
        </w:rPr>
        <w:t>importante</w:t>
      </w:r>
      <w:r w:rsidR="00EA7BEF" w:rsidRPr="00A148F1">
        <w:rPr>
          <w:rFonts w:ascii="Times New Roman" w:hAnsi="Times New Roman" w:cs="Times New Roman"/>
          <w:bCs/>
          <w:sz w:val="24"/>
        </w:rPr>
        <w:t xml:space="preserve"> </w:t>
      </w:r>
      <w:r w:rsidR="006367B1" w:rsidRPr="00A148F1">
        <w:rPr>
          <w:rFonts w:ascii="Times New Roman" w:hAnsi="Times New Roman" w:cs="Times New Roman"/>
          <w:bCs/>
          <w:sz w:val="24"/>
        </w:rPr>
        <w:t>a</w:t>
      </w:r>
      <w:r w:rsidR="00EA7BEF" w:rsidRPr="00A148F1">
        <w:rPr>
          <w:rFonts w:ascii="Times New Roman" w:hAnsi="Times New Roman" w:cs="Times New Roman"/>
          <w:bCs/>
          <w:sz w:val="24"/>
        </w:rPr>
        <w:t xml:space="preserve"> </w:t>
      </w:r>
      <w:r w:rsidRPr="00A148F1">
        <w:rPr>
          <w:rFonts w:ascii="Times New Roman" w:hAnsi="Times New Roman" w:cs="Times New Roman"/>
          <w:bCs/>
          <w:sz w:val="24"/>
        </w:rPr>
        <w:t xml:space="preserve">correta </w:t>
      </w:r>
      <w:r w:rsidR="00EA7BEF" w:rsidRPr="00A148F1">
        <w:rPr>
          <w:rFonts w:ascii="Times New Roman" w:hAnsi="Times New Roman" w:cs="Times New Roman"/>
          <w:bCs/>
          <w:sz w:val="24"/>
        </w:rPr>
        <w:t xml:space="preserve">divulgação </w:t>
      </w:r>
      <w:r w:rsidRPr="00A148F1">
        <w:rPr>
          <w:rFonts w:ascii="Times New Roman" w:hAnsi="Times New Roman" w:cs="Times New Roman"/>
          <w:bCs/>
          <w:sz w:val="24"/>
        </w:rPr>
        <w:t>dos Demonstrativos</w:t>
      </w:r>
      <w:r w:rsidR="00EA7BEF" w:rsidRPr="00A148F1">
        <w:rPr>
          <w:rFonts w:ascii="Times New Roman" w:hAnsi="Times New Roman" w:cs="Times New Roman"/>
          <w:bCs/>
          <w:sz w:val="24"/>
        </w:rPr>
        <w:t xml:space="preserve"> dentro do</w:t>
      </w:r>
      <w:r w:rsidRPr="00A148F1">
        <w:rPr>
          <w:rFonts w:ascii="Times New Roman" w:hAnsi="Times New Roman" w:cs="Times New Roman"/>
          <w:bCs/>
          <w:sz w:val="24"/>
        </w:rPr>
        <w:t>s</w:t>
      </w:r>
      <w:r w:rsidR="00EA7BEF" w:rsidRPr="00A148F1">
        <w:rPr>
          <w:rFonts w:ascii="Times New Roman" w:hAnsi="Times New Roman" w:cs="Times New Roman"/>
          <w:bCs/>
          <w:sz w:val="24"/>
        </w:rPr>
        <w:t xml:space="preserve"> prazo</w:t>
      </w:r>
      <w:r w:rsidRPr="00A148F1">
        <w:rPr>
          <w:rFonts w:ascii="Times New Roman" w:hAnsi="Times New Roman" w:cs="Times New Roman"/>
          <w:bCs/>
          <w:sz w:val="24"/>
        </w:rPr>
        <w:t>s</w:t>
      </w:r>
      <w:r w:rsidR="00D60A2E" w:rsidRPr="00A148F1">
        <w:rPr>
          <w:rFonts w:ascii="Times New Roman" w:hAnsi="Times New Roman" w:cs="Times New Roman"/>
          <w:bCs/>
          <w:sz w:val="24"/>
        </w:rPr>
        <w:t xml:space="preserve"> </w:t>
      </w:r>
      <w:r w:rsidR="00EA7BEF" w:rsidRPr="00A148F1">
        <w:rPr>
          <w:rFonts w:ascii="Times New Roman" w:hAnsi="Times New Roman" w:cs="Times New Roman"/>
          <w:bCs/>
          <w:sz w:val="24"/>
        </w:rPr>
        <w:t>estabelecido</w:t>
      </w:r>
      <w:r w:rsidRPr="00A148F1">
        <w:rPr>
          <w:rFonts w:ascii="Times New Roman" w:hAnsi="Times New Roman" w:cs="Times New Roman"/>
          <w:bCs/>
          <w:sz w:val="24"/>
        </w:rPr>
        <w:t>s</w:t>
      </w:r>
      <w:r w:rsidR="00EA7BEF" w:rsidRPr="00A148F1">
        <w:rPr>
          <w:rFonts w:ascii="Times New Roman" w:hAnsi="Times New Roman" w:cs="Times New Roman"/>
          <w:bCs/>
          <w:sz w:val="24"/>
        </w:rPr>
        <w:t xml:space="preserve"> em lei.</w:t>
      </w:r>
    </w:p>
    <w:p w:rsidR="00203B12" w:rsidRPr="00A148F1" w:rsidRDefault="00203B12" w:rsidP="00831265">
      <w:pPr>
        <w:spacing w:after="0" w:line="240" w:lineRule="auto"/>
        <w:ind w:firstLine="709"/>
        <w:jc w:val="both"/>
        <w:rPr>
          <w:rFonts w:ascii="Times New Roman" w:hAnsi="Times New Roman" w:cs="Times New Roman"/>
          <w:bCs/>
          <w:sz w:val="24"/>
        </w:rPr>
      </w:pPr>
    </w:p>
    <w:p w:rsidR="00C13AAE" w:rsidRPr="00A148F1" w:rsidRDefault="00982E4B" w:rsidP="00203B12">
      <w:pPr>
        <w:pStyle w:val="Ttulo2"/>
        <w:rPr>
          <w:rFonts w:ascii="Times New Roman" w:hAnsi="Times New Roman"/>
          <w:sz w:val="24"/>
        </w:rPr>
      </w:pPr>
      <w:r w:rsidRPr="00A148F1">
        <w:rPr>
          <w:rFonts w:ascii="Times New Roman" w:hAnsi="Times New Roman"/>
          <w:sz w:val="24"/>
        </w:rPr>
        <w:t>Pesquisas anteriores</w:t>
      </w:r>
    </w:p>
    <w:p w:rsidR="00376532" w:rsidRPr="00A148F1" w:rsidRDefault="00C20969" w:rsidP="00831265">
      <w:pPr>
        <w:spacing w:after="0" w:line="240" w:lineRule="auto"/>
        <w:ind w:firstLine="709"/>
        <w:jc w:val="both"/>
        <w:rPr>
          <w:rFonts w:ascii="Times New Roman" w:hAnsi="Times New Roman" w:cs="Times New Roman"/>
          <w:bCs/>
          <w:sz w:val="24"/>
        </w:rPr>
      </w:pPr>
      <w:r w:rsidRPr="00A148F1">
        <w:rPr>
          <w:rFonts w:ascii="Times New Roman" w:hAnsi="Times New Roman" w:cs="Times New Roman"/>
          <w:bCs/>
          <w:sz w:val="24"/>
        </w:rPr>
        <w:t>Algumas pesquisas identificadas em p</w:t>
      </w:r>
      <w:r w:rsidR="00535206" w:rsidRPr="00A148F1">
        <w:rPr>
          <w:rFonts w:ascii="Times New Roman" w:hAnsi="Times New Roman" w:cs="Times New Roman"/>
          <w:bCs/>
          <w:sz w:val="24"/>
        </w:rPr>
        <w:t>ublicações acadêmicas, e relacionadas ao tema central desta pesquisa, são descritas nesta seção. O quadro a seguir elenca as publicações com suas fontes e principais resultados encontrados, sem a pretensão de esgotar todos os aspectos.</w:t>
      </w:r>
    </w:p>
    <w:p w:rsidR="00522907" w:rsidRPr="00A148F1" w:rsidRDefault="00522907" w:rsidP="009E6A69">
      <w:pPr>
        <w:spacing w:after="0" w:line="240" w:lineRule="auto"/>
        <w:jc w:val="both"/>
        <w:rPr>
          <w:rFonts w:ascii="Times New Roman" w:hAnsi="Times New Roman" w:cs="Times New Roman"/>
          <w:bCs/>
          <w:sz w:val="24"/>
          <w:szCs w:val="24"/>
        </w:rPr>
      </w:pPr>
    </w:p>
    <w:p w:rsidR="0056477E" w:rsidRPr="00A148F1" w:rsidRDefault="00075CB8" w:rsidP="0056477E">
      <w:pPr>
        <w:spacing w:after="0" w:line="240" w:lineRule="auto"/>
        <w:jc w:val="center"/>
        <w:rPr>
          <w:rFonts w:ascii="Times New Roman" w:hAnsi="Times New Roman" w:cs="Times New Roman"/>
          <w:b/>
          <w:sz w:val="24"/>
        </w:rPr>
      </w:pPr>
      <w:r w:rsidRPr="00A148F1">
        <w:rPr>
          <w:rFonts w:ascii="Times New Roman" w:hAnsi="Times New Roman" w:cs="Times New Roman"/>
          <w:b/>
          <w:sz w:val="24"/>
        </w:rPr>
        <w:t>Quadro 2</w:t>
      </w:r>
      <w:r w:rsidR="0056477E" w:rsidRPr="00A148F1">
        <w:rPr>
          <w:rFonts w:ascii="Times New Roman" w:hAnsi="Times New Roman" w:cs="Times New Roman"/>
          <w:b/>
          <w:sz w:val="24"/>
        </w:rPr>
        <w:t xml:space="preserve"> – Síntese das pesquisas anteriores similares em abordagem</w:t>
      </w:r>
    </w:p>
    <w:tbl>
      <w:tblPr>
        <w:tblStyle w:val="Tabelacomgrade"/>
        <w:tblW w:w="0" w:type="auto"/>
        <w:tblInd w:w="108" w:type="dxa"/>
        <w:tblLook w:val="04A0"/>
      </w:tblPr>
      <w:tblGrid>
        <w:gridCol w:w="1701"/>
        <w:gridCol w:w="2268"/>
        <w:gridCol w:w="5134"/>
      </w:tblGrid>
      <w:tr w:rsidR="0056477E" w:rsidRPr="0056477E" w:rsidTr="0041751F">
        <w:tc>
          <w:tcPr>
            <w:tcW w:w="1701" w:type="dxa"/>
            <w:shd w:val="clear" w:color="auto" w:fill="D9D9D9" w:themeFill="background1" w:themeFillShade="D9"/>
            <w:vAlign w:val="center"/>
          </w:tcPr>
          <w:p w:rsidR="0056477E" w:rsidRPr="0056477E" w:rsidRDefault="00676657" w:rsidP="00676657">
            <w:pPr>
              <w:jc w:val="center"/>
              <w:rPr>
                <w:rFonts w:ascii="Times New Roman" w:hAnsi="Times New Roman" w:cs="Times New Roman"/>
                <w:b/>
                <w:color w:val="000000" w:themeColor="text1"/>
                <w:sz w:val="20"/>
                <w:szCs w:val="20"/>
              </w:rPr>
            </w:pPr>
            <w:r>
              <w:rPr>
                <w:rFonts w:ascii="Times New Roman" w:hAnsi="Times New Roman" w:cs="Times New Roman"/>
                <w:b/>
                <w:color w:val="000000" w:themeColor="text1"/>
                <w:sz w:val="20"/>
                <w:szCs w:val="20"/>
              </w:rPr>
              <w:t xml:space="preserve">Autores </w:t>
            </w:r>
            <w:r w:rsidR="000B19D2">
              <w:rPr>
                <w:rFonts w:ascii="Times New Roman" w:hAnsi="Times New Roman" w:cs="Times New Roman"/>
                <w:b/>
                <w:color w:val="000000" w:themeColor="text1"/>
                <w:sz w:val="20"/>
                <w:szCs w:val="20"/>
                <w:vertAlign w:val="superscript"/>
              </w:rPr>
              <w:t>[1]</w:t>
            </w:r>
          </w:p>
        </w:tc>
        <w:tc>
          <w:tcPr>
            <w:tcW w:w="2268" w:type="dxa"/>
            <w:shd w:val="clear" w:color="auto" w:fill="D9D9D9" w:themeFill="background1" w:themeFillShade="D9"/>
            <w:vAlign w:val="center"/>
          </w:tcPr>
          <w:p w:rsidR="0056477E" w:rsidRPr="0056477E" w:rsidRDefault="00676657" w:rsidP="00676657">
            <w:pPr>
              <w:jc w:val="center"/>
              <w:rPr>
                <w:rFonts w:ascii="Times New Roman" w:hAnsi="Times New Roman" w:cs="Times New Roman"/>
                <w:b/>
                <w:color w:val="000000" w:themeColor="text1"/>
                <w:sz w:val="20"/>
                <w:szCs w:val="20"/>
              </w:rPr>
            </w:pPr>
            <w:r>
              <w:rPr>
                <w:rFonts w:ascii="Times New Roman" w:hAnsi="Times New Roman" w:cs="Times New Roman"/>
                <w:b/>
                <w:color w:val="000000" w:themeColor="text1"/>
                <w:sz w:val="20"/>
                <w:szCs w:val="20"/>
              </w:rPr>
              <w:t xml:space="preserve">Títulos / Tipos de publicações </w:t>
            </w:r>
            <w:r w:rsidR="000B19D2">
              <w:rPr>
                <w:rFonts w:ascii="Times New Roman" w:hAnsi="Times New Roman" w:cs="Times New Roman"/>
                <w:b/>
                <w:color w:val="000000" w:themeColor="text1"/>
                <w:sz w:val="20"/>
                <w:szCs w:val="20"/>
                <w:vertAlign w:val="superscript"/>
              </w:rPr>
              <w:t>[2]</w:t>
            </w:r>
          </w:p>
        </w:tc>
        <w:tc>
          <w:tcPr>
            <w:tcW w:w="5134" w:type="dxa"/>
            <w:shd w:val="clear" w:color="auto" w:fill="D9D9D9" w:themeFill="background1" w:themeFillShade="D9"/>
            <w:vAlign w:val="center"/>
          </w:tcPr>
          <w:p w:rsidR="0056477E" w:rsidRPr="0056477E" w:rsidRDefault="0056477E" w:rsidP="00676657">
            <w:pPr>
              <w:jc w:val="center"/>
              <w:rPr>
                <w:rFonts w:ascii="Times New Roman" w:hAnsi="Times New Roman" w:cs="Times New Roman"/>
                <w:b/>
                <w:color w:val="000000" w:themeColor="text1"/>
                <w:sz w:val="20"/>
                <w:szCs w:val="20"/>
              </w:rPr>
            </w:pPr>
            <w:r w:rsidRPr="0056477E">
              <w:rPr>
                <w:rFonts w:ascii="Times New Roman" w:hAnsi="Times New Roman" w:cs="Times New Roman"/>
                <w:b/>
                <w:color w:val="000000" w:themeColor="text1"/>
                <w:sz w:val="20"/>
                <w:szCs w:val="20"/>
              </w:rPr>
              <w:t>Temáticas abordadas e resultados encontrados</w:t>
            </w:r>
          </w:p>
        </w:tc>
      </w:tr>
      <w:tr w:rsidR="0038291E" w:rsidRPr="0056477E" w:rsidTr="0041751F">
        <w:tc>
          <w:tcPr>
            <w:tcW w:w="1701" w:type="dxa"/>
          </w:tcPr>
          <w:p w:rsidR="0038291E" w:rsidRDefault="00FE0AAC" w:rsidP="000B19D2">
            <w:pPr>
              <w:rPr>
                <w:rFonts w:ascii="Times New Roman" w:hAnsi="Times New Roman" w:cs="Times New Roman"/>
                <w:color w:val="000000" w:themeColor="text1"/>
                <w:sz w:val="20"/>
                <w:szCs w:val="20"/>
              </w:rPr>
            </w:pPr>
            <w:proofErr w:type="spellStart"/>
            <w:r>
              <w:rPr>
                <w:rFonts w:ascii="Times New Roman" w:hAnsi="Times New Roman" w:cs="Times New Roman"/>
                <w:color w:val="000000" w:themeColor="text1"/>
                <w:sz w:val="20"/>
                <w:szCs w:val="20"/>
              </w:rPr>
              <w:t>Campelli</w:t>
            </w:r>
            <w:proofErr w:type="spellEnd"/>
            <w:r>
              <w:rPr>
                <w:rFonts w:ascii="Times New Roman" w:hAnsi="Times New Roman" w:cs="Times New Roman"/>
                <w:color w:val="000000" w:themeColor="text1"/>
                <w:sz w:val="20"/>
                <w:szCs w:val="20"/>
              </w:rPr>
              <w:t xml:space="preserve"> e Calvo (2007)</w:t>
            </w:r>
          </w:p>
        </w:tc>
        <w:tc>
          <w:tcPr>
            <w:tcW w:w="2268" w:type="dxa"/>
          </w:tcPr>
          <w:p w:rsidR="0038291E" w:rsidRDefault="00FE0AAC" w:rsidP="000B19D2">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“O Cumprimento da Ementa Constitucional n.º 29 no Brasil” / Periódico</w:t>
            </w:r>
          </w:p>
        </w:tc>
        <w:tc>
          <w:tcPr>
            <w:tcW w:w="5134" w:type="dxa"/>
          </w:tcPr>
          <w:p w:rsidR="00FE0AAC" w:rsidRPr="00DE07BB" w:rsidRDefault="00FE0AAC" w:rsidP="009F2E9D">
            <w:pPr>
              <w:jc w:val="both"/>
              <w:rPr>
                <w:rFonts w:ascii="Times New Roman" w:hAnsi="Times New Roman" w:cs="Times New Roman"/>
                <w:color w:val="000000" w:themeColor="text1"/>
                <w:sz w:val="20"/>
                <w:szCs w:val="20"/>
              </w:rPr>
            </w:pPr>
            <w:r w:rsidRPr="00DE07BB">
              <w:rPr>
                <w:rFonts w:ascii="Times New Roman" w:hAnsi="Times New Roman" w:cs="Times New Roman"/>
                <w:color w:val="000000" w:themeColor="text1"/>
                <w:sz w:val="20"/>
                <w:szCs w:val="20"/>
              </w:rPr>
              <w:t>A pesquisa objetiva “verificar o cumprimento da Emenda Constitucional n.º 29 no Brasil no período de 2000 a 2003”.</w:t>
            </w:r>
          </w:p>
          <w:p w:rsidR="00FE0AAC" w:rsidRPr="00DE07BB" w:rsidRDefault="00FE0AAC" w:rsidP="009F2E9D">
            <w:pPr>
              <w:jc w:val="both"/>
              <w:rPr>
                <w:rFonts w:ascii="Times New Roman" w:hAnsi="Times New Roman" w:cs="Times New Roman"/>
                <w:color w:val="000000" w:themeColor="text1"/>
                <w:sz w:val="20"/>
                <w:szCs w:val="20"/>
              </w:rPr>
            </w:pPr>
            <w:r w:rsidRPr="00DE07BB">
              <w:rPr>
                <w:rFonts w:ascii="Times New Roman" w:hAnsi="Times New Roman" w:cs="Times New Roman"/>
                <w:color w:val="000000" w:themeColor="text1"/>
                <w:sz w:val="20"/>
                <w:szCs w:val="20"/>
              </w:rPr>
              <w:t xml:space="preserve">Os autores concluem que </w:t>
            </w:r>
            <w:r w:rsidR="009F1646" w:rsidRPr="00DE07BB">
              <w:rPr>
                <w:rFonts w:ascii="Times New Roman" w:hAnsi="Times New Roman" w:cs="Times New Roman"/>
                <w:color w:val="000000" w:themeColor="text1"/>
                <w:sz w:val="20"/>
                <w:szCs w:val="20"/>
              </w:rPr>
              <w:t xml:space="preserve">“o total de estados que cumpriram a EC-29 foi de 59% em 2000, 33% em 2001, 41% em 2002 e 52% em 2003”. Além disso, concluem que os dados do SIOPS mostram que a média percentual dos recursos aplicados em saúde dos municípios foi superior ao mínimo exigido que </w:t>
            </w:r>
            <w:proofErr w:type="gramStart"/>
            <w:r w:rsidR="009F1646" w:rsidRPr="00DE07BB">
              <w:rPr>
                <w:rFonts w:ascii="Times New Roman" w:hAnsi="Times New Roman" w:cs="Times New Roman"/>
                <w:color w:val="000000" w:themeColor="text1"/>
                <w:sz w:val="20"/>
                <w:szCs w:val="20"/>
              </w:rPr>
              <w:t>era</w:t>
            </w:r>
            <w:proofErr w:type="gramEnd"/>
            <w:r w:rsidR="009F1646" w:rsidRPr="00DE07BB">
              <w:rPr>
                <w:rFonts w:ascii="Times New Roman" w:hAnsi="Times New Roman" w:cs="Times New Roman"/>
                <w:color w:val="000000" w:themeColor="text1"/>
                <w:sz w:val="20"/>
                <w:szCs w:val="20"/>
              </w:rPr>
              <w:t xml:space="preserve"> de 7%.</w:t>
            </w:r>
          </w:p>
        </w:tc>
      </w:tr>
      <w:tr w:rsidR="009F2E9D" w:rsidRPr="0056477E" w:rsidTr="0041751F">
        <w:tc>
          <w:tcPr>
            <w:tcW w:w="1701" w:type="dxa"/>
          </w:tcPr>
          <w:p w:rsidR="009F2E9D" w:rsidRPr="0056477E" w:rsidRDefault="009F2E9D" w:rsidP="000B19D2">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Rezende (2009)</w:t>
            </w:r>
          </w:p>
        </w:tc>
        <w:tc>
          <w:tcPr>
            <w:tcW w:w="2268" w:type="dxa"/>
          </w:tcPr>
          <w:p w:rsidR="009F2E9D" w:rsidRPr="0056477E" w:rsidRDefault="009F2E9D" w:rsidP="000B19D2">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“Despesa com a Função Saúde no Município de Florianópolis, no Período de 2004 a 2008” / </w:t>
            </w:r>
            <w:proofErr w:type="gramStart"/>
            <w:r>
              <w:rPr>
                <w:rFonts w:ascii="Times New Roman" w:hAnsi="Times New Roman" w:cs="Times New Roman"/>
                <w:color w:val="000000" w:themeColor="text1"/>
                <w:sz w:val="20"/>
                <w:szCs w:val="20"/>
              </w:rPr>
              <w:t>TCC</w:t>
            </w:r>
            <w:proofErr w:type="gramEnd"/>
          </w:p>
        </w:tc>
        <w:tc>
          <w:tcPr>
            <w:tcW w:w="5134" w:type="dxa"/>
          </w:tcPr>
          <w:p w:rsidR="009F2E9D" w:rsidRPr="00DE07BB" w:rsidRDefault="009F2E9D" w:rsidP="009F2E9D">
            <w:pPr>
              <w:jc w:val="both"/>
              <w:rPr>
                <w:rFonts w:ascii="Times New Roman" w:hAnsi="Times New Roman" w:cs="Times New Roman"/>
                <w:color w:val="000000" w:themeColor="text1"/>
                <w:sz w:val="20"/>
                <w:szCs w:val="20"/>
              </w:rPr>
            </w:pPr>
            <w:r w:rsidRPr="00DE07BB">
              <w:rPr>
                <w:rFonts w:ascii="Times New Roman" w:hAnsi="Times New Roman" w:cs="Times New Roman"/>
                <w:color w:val="000000" w:themeColor="text1"/>
                <w:sz w:val="20"/>
                <w:szCs w:val="20"/>
              </w:rPr>
              <w:t>O objetivo da pesquisa é “conhecer as despesas com a função saúde no Município de Florianópolis, entre os anos de 2004 e 2008, considerando a composição, a expressividade, a evolução e o cumprimento da aplicação mínima constitucional”.</w:t>
            </w:r>
          </w:p>
          <w:p w:rsidR="009F2E9D" w:rsidRPr="00DE07BB" w:rsidRDefault="009F2E9D" w:rsidP="009F2E9D">
            <w:pPr>
              <w:jc w:val="both"/>
              <w:rPr>
                <w:rFonts w:ascii="Times New Roman" w:hAnsi="Times New Roman" w:cs="Times New Roman"/>
                <w:color w:val="000000" w:themeColor="text1"/>
                <w:sz w:val="20"/>
                <w:szCs w:val="20"/>
              </w:rPr>
            </w:pPr>
            <w:r w:rsidRPr="00DE07BB">
              <w:rPr>
                <w:rFonts w:ascii="Times New Roman" w:hAnsi="Times New Roman" w:cs="Times New Roman"/>
                <w:color w:val="000000" w:themeColor="text1"/>
                <w:sz w:val="20"/>
                <w:szCs w:val="20"/>
              </w:rPr>
              <w:t>Os resultados apresentados mostram que as despesas em saúde representam em média 15,36% das despesas municipais. “Quanto à evolução, as despesas com Saúde</w:t>
            </w:r>
            <w:r w:rsidR="006367B1">
              <w:rPr>
                <w:rFonts w:ascii="Times New Roman" w:hAnsi="Times New Roman" w:cs="Times New Roman"/>
                <w:color w:val="000000" w:themeColor="text1"/>
                <w:sz w:val="20"/>
                <w:szCs w:val="20"/>
              </w:rPr>
              <w:t>,</w:t>
            </w:r>
            <w:r w:rsidRPr="00DE07BB">
              <w:rPr>
                <w:rFonts w:ascii="Times New Roman" w:hAnsi="Times New Roman" w:cs="Times New Roman"/>
                <w:color w:val="000000" w:themeColor="text1"/>
                <w:sz w:val="20"/>
                <w:szCs w:val="20"/>
              </w:rPr>
              <w:t xml:space="preserve"> comparadas com o total das despesas da </w:t>
            </w:r>
            <w:r w:rsidR="006367B1">
              <w:rPr>
                <w:rFonts w:ascii="Times New Roman" w:hAnsi="Times New Roman" w:cs="Times New Roman"/>
                <w:color w:val="000000" w:themeColor="text1"/>
                <w:sz w:val="20"/>
                <w:szCs w:val="20"/>
              </w:rPr>
              <w:t>PMF, cresceram 3,85%” sendo que</w:t>
            </w:r>
            <w:r w:rsidRPr="00DE07BB">
              <w:rPr>
                <w:rFonts w:ascii="Times New Roman" w:hAnsi="Times New Roman" w:cs="Times New Roman"/>
                <w:color w:val="000000" w:themeColor="text1"/>
                <w:sz w:val="20"/>
                <w:szCs w:val="20"/>
              </w:rPr>
              <w:t xml:space="preserve"> o percentual de aplicação mínimo foi cumprido em todos os anos analisados.</w:t>
            </w:r>
          </w:p>
        </w:tc>
      </w:tr>
    </w:tbl>
    <w:p w:rsidR="001C43C5" w:rsidRDefault="001C43C5" w:rsidP="001C43C5">
      <w:pPr>
        <w:spacing w:after="0"/>
        <w:rPr>
          <w:rFonts w:ascii="Times New Roman" w:hAnsi="Times New Roman" w:cs="Times New Roman"/>
          <w:i/>
          <w:sz w:val="20"/>
          <w:szCs w:val="20"/>
        </w:rPr>
      </w:pPr>
      <w:r w:rsidRPr="0084647B">
        <w:rPr>
          <w:rFonts w:ascii="Times New Roman" w:hAnsi="Times New Roman" w:cs="Times New Roman"/>
          <w:i/>
          <w:sz w:val="20"/>
          <w:szCs w:val="20"/>
        </w:rPr>
        <w:t>Continua</w:t>
      </w:r>
    </w:p>
    <w:p w:rsidR="001C43C5" w:rsidRPr="001C43C5" w:rsidRDefault="001C43C5" w:rsidP="001C43C5">
      <w:pPr>
        <w:spacing w:after="0"/>
        <w:rPr>
          <w:rFonts w:ascii="Times New Roman" w:hAnsi="Times New Roman" w:cs="Times New Roman"/>
          <w:i/>
          <w:sz w:val="20"/>
          <w:szCs w:val="20"/>
        </w:rPr>
      </w:pPr>
      <w:r w:rsidRPr="0084647B">
        <w:rPr>
          <w:rFonts w:ascii="Times New Roman" w:hAnsi="Times New Roman" w:cs="Times New Roman"/>
          <w:i/>
          <w:sz w:val="20"/>
          <w:szCs w:val="20"/>
        </w:rPr>
        <w:lastRenderedPageBreak/>
        <w:t>Continuação</w:t>
      </w:r>
    </w:p>
    <w:tbl>
      <w:tblPr>
        <w:tblStyle w:val="Tabelacomgrade"/>
        <w:tblW w:w="0" w:type="auto"/>
        <w:tblInd w:w="108" w:type="dxa"/>
        <w:tblLook w:val="04A0"/>
      </w:tblPr>
      <w:tblGrid>
        <w:gridCol w:w="1701"/>
        <w:gridCol w:w="2268"/>
        <w:gridCol w:w="5134"/>
      </w:tblGrid>
      <w:tr w:rsidR="00340BF5" w:rsidRPr="0056477E" w:rsidTr="00A4136F">
        <w:tc>
          <w:tcPr>
            <w:tcW w:w="1701" w:type="dxa"/>
            <w:shd w:val="clear" w:color="auto" w:fill="D9D9D9" w:themeFill="background1" w:themeFillShade="D9"/>
            <w:vAlign w:val="center"/>
          </w:tcPr>
          <w:p w:rsidR="00340BF5" w:rsidRPr="0056477E" w:rsidRDefault="00340BF5" w:rsidP="00A4136F">
            <w:pPr>
              <w:jc w:val="center"/>
              <w:rPr>
                <w:rFonts w:ascii="Times New Roman" w:hAnsi="Times New Roman" w:cs="Times New Roman"/>
                <w:b/>
                <w:color w:val="000000" w:themeColor="text1"/>
                <w:sz w:val="20"/>
                <w:szCs w:val="20"/>
              </w:rPr>
            </w:pPr>
            <w:r>
              <w:rPr>
                <w:rFonts w:ascii="Times New Roman" w:hAnsi="Times New Roman" w:cs="Times New Roman"/>
                <w:b/>
                <w:color w:val="000000" w:themeColor="text1"/>
                <w:sz w:val="20"/>
                <w:szCs w:val="20"/>
              </w:rPr>
              <w:t xml:space="preserve">Autores </w:t>
            </w:r>
            <w:r>
              <w:rPr>
                <w:rFonts w:ascii="Times New Roman" w:hAnsi="Times New Roman" w:cs="Times New Roman"/>
                <w:b/>
                <w:color w:val="000000" w:themeColor="text1"/>
                <w:sz w:val="20"/>
                <w:szCs w:val="20"/>
                <w:vertAlign w:val="superscript"/>
              </w:rPr>
              <w:t>[1]</w:t>
            </w:r>
          </w:p>
        </w:tc>
        <w:tc>
          <w:tcPr>
            <w:tcW w:w="2268" w:type="dxa"/>
            <w:shd w:val="clear" w:color="auto" w:fill="D9D9D9" w:themeFill="background1" w:themeFillShade="D9"/>
            <w:vAlign w:val="center"/>
          </w:tcPr>
          <w:p w:rsidR="00340BF5" w:rsidRPr="0056477E" w:rsidRDefault="00340BF5" w:rsidP="00A4136F">
            <w:pPr>
              <w:jc w:val="center"/>
              <w:rPr>
                <w:rFonts w:ascii="Times New Roman" w:hAnsi="Times New Roman" w:cs="Times New Roman"/>
                <w:b/>
                <w:color w:val="000000" w:themeColor="text1"/>
                <w:sz w:val="20"/>
                <w:szCs w:val="20"/>
              </w:rPr>
            </w:pPr>
            <w:r>
              <w:rPr>
                <w:rFonts w:ascii="Times New Roman" w:hAnsi="Times New Roman" w:cs="Times New Roman"/>
                <w:b/>
                <w:color w:val="000000" w:themeColor="text1"/>
                <w:sz w:val="20"/>
                <w:szCs w:val="20"/>
              </w:rPr>
              <w:t xml:space="preserve">Títulos / Tipos de publicações </w:t>
            </w:r>
            <w:r>
              <w:rPr>
                <w:rFonts w:ascii="Times New Roman" w:hAnsi="Times New Roman" w:cs="Times New Roman"/>
                <w:b/>
                <w:color w:val="000000" w:themeColor="text1"/>
                <w:sz w:val="20"/>
                <w:szCs w:val="20"/>
                <w:vertAlign w:val="superscript"/>
              </w:rPr>
              <w:t>[2]</w:t>
            </w:r>
          </w:p>
        </w:tc>
        <w:tc>
          <w:tcPr>
            <w:tcW w:w="5134" w:type="dxa"/>
            <w:shd w:val="clear" w:color="auto" w:fill="D9D9D9" w:themeFill="background1" w:themeFillShade="D9"/>
            <w:vAlign w:val="center"/>
          </w:tcPr>
          <w:p w:rsidR="00340BF5" w:rsidRPr="0056477E" w:rsidRDefault="00340BF5" w:rsidP="00A4136F">
            <w:pPr>
              <w:jc w:val="center"/>
              <w:rPr>
                <w:rFonts w:ascii="Times New Roman" w:hAnsi="Times New Roman" w:cs="Times New Roman"/>
                <w:b/>
                <w:color w:val="000000" w:themeColor="text1"/>
                <w:sz w:val="20"/>
                <w:szCs w:val="20"/>
              </w:rPr>
            </w:pPr>
            <w:r w:rsidRPr="0056477E">
              <w:rPr>
                <w:rFonts w:ascii="Times New Roman" w:hAnsi="Times New Roman" w:cs="Times New Roman"/>
                <w:b/>
                <w:color w:val="000000" w:themeColor="text1"/>
                <w:sz w:val="20"/>
                <w:szCs w:val="20"/>
              </w:rPr>
              <w:t>Temáticas abordadas e resultados encontrados</w:t>
            </w:r>
          </w:p>
        </w:tc>
      </w:tr>
      <w:tr w:rsidR="00A572B3" w:rsidRPr="0056477E" w:rsidTr="0041751F">
        <w:tc>
          <w:tcPr>
            <w:tcW w:w="1701" w:type="dxa"/>
          </w:tcPr>
          <w:p w:rsidR="00A572B3" w:rsidRDefault="00A572B3" w:rsidP="000B19D2">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Santana (2011)</w:t>
            </w:r>
          </w:p>
        </w:tc>
        <w:tc>
          <w:tcPr>
            <w:tcW w:w="2268" w:type="dxa"/>
          </w:tcPr>
          <w:p w:rsidR="00A572B3" w:rsidRDefault="00A572B3" w:rsidP="000B19D2">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“A Fiscalização Exercida pelo Tribunal de Contas dos Municípios Goianos </w:t>
            </w:r>
            <w:r w:rsidR="00137A3B">
              <w:rPr>
                <w:rFonts w:ascii="Times New Roman" w:hAnsi="Times New Roman" w:cs="Times New Roman"/>
                <w:color w:val="000000" w:themeColor="text1"/>
                <w:sz w:val="20"/>
                <w:szCs w:val="20"/>
              </w:rPr>
              <w:t>quanto à Aplicação do Percentual Mínimo Constitucional na Saúde” / TCC</w:t>
            </w:r>
          </w:p>
        </w:tc>
        <w:tc>
          <w:tcPr>
            <w:tcW w:w="5134" w:type="dxa"/>
          </w:tcPr>
          <w:p w:rsidR="00A572B3" w:rsidRPr="00DE07BB" w:rsidRDefault="00137A3B" w:rsidP="00137A3B">
            <w:pPr>
              <w:jc w:val="both"/>
              <w:rPr>
                <w:rFonts w:ascii="Times New Roman" w:hAnsi="Times New Roman" w:cs="Times New Roman"/>
                <w:color w:val="000000" w:themeColor="text1"/>
                <w:sz w:val="20"/>
                <w:szCs w:val="20"/>
              </w:rPr>
            </w:pPr>
            <w:r w:rsidRPr="00DE07BB">
              <w:rPr>
                <w:rFonts w:ascii="Times New Roman" w:hAnsi="Times New Roman" w:cs="Times New Roman"/>
                <w:color w:val="000000" w:themeColor="text1"/>
                <w:sz w:val="20"/>
                <w:szCs w:val="20"/>
              </w:rPr>
              <w:t>O objetivo da pesquisa é “conhecer quais municípios não aplicaram o percentual mínimo na saúde, e quais são as causas da não aplicação deste percentual estabelecido na Constituição Federal”, buscou também verificar qual a metodologia utilizada pelo Tribunal de Contas para confecção dos índices da saúde.</w:t>
            </w:r>
          </w:p>
          <w:p w:rsidR="00137A3B" w:rsidRPr="00DE07BB" w:rsidRDefault="00137A3B" w:rsidP="006367B1">
            <w:pPr>
              <w:jc w:val="both"/>
              <w:rPr>
                <w:rFonts w:ascii="Times New Roman" w:hAnsi="Times New Roman" w:cs="Times New Roman"/>
                <w:color w:val="000000" w:themeColor="text1"/>
                <w:sz w:val="20"/>
                <w:szCs w:val="20"/>
              </w:rPr>
            </w:pPr>
            <w:r w:rsidRPr="00DE07BB">
              <w:rPr>
                <w:rFonts w:ascii="Times New Roman" w:hAnsi="Times New Roman" w:cs="Times New Roman"/>
                <w:color w:val="000000" w:themeColor="text1"/>
                <w:sz w:val="20"/>
                <w:szCs w:val="20"/>
              </w:rPr>
              <w:t xml:space="preserve">Como resultado o autor conclui que pequena parte dos municípios de Goiás não cumpriu o mínimo de aplicação constitucional nos anos em análise. Conclui também que as principais causas para o não cumprimento foram </w:t>
            </w:r>
            <w:proofErr w:type="gramStart"/>
            <w:r w:rsidRPr="00DE07BB">
              <w:rPr>
                <w:rFonts w:ascii="Times New Roman" w:hAnsi="Times New Roman" w:cs="Times New Roman"/>
                <w:color w:val="000000" w:themeColor="text1"/>
                <w:sz w:val="20"/>
                <w:szCs w:val="20"/>
              </w:rPr>
              <w:t>a</w:t>
            </w:r>
            <w:proofErr w:type="gramEnd"/>
            <w:r w:rsidRPr="00DE07BB">
              <w:rPr>
                <w:rFonts w:ascii="Times New Roman" w:hAnsi="Times New Roman" w:cs="Times New Roman"/>
                <w:color w:val="000000" w:themeColor="text1"/>
                <w:sz w:val="20"/>
                <w:szCs w:val="20"/>
              </w:rPr>
              <w:t xml:space="preserve"> má gestão dos </w:t>
            </w:r>
            <w:proofErr w:type="spellStart"/>
            <w:r w:rsidRPr="00DE07BB">
              <w:rPr>
                <w:rFonts w:ascii="Times New Roman" w:hAnsi="Times New Roman" w:cs="Times New Roman"/>
                <w:color w:val="000000" w:themeColor="text1"/>
                <w:sz w:val="20"/>
                <w:szCs w:val="20"/>
              </w:rPr>
              <w:t>FMS´s</w:t>
            </w:r>
            <w:proofErr w:type="spellEnd"/>
            <w:r w:rsidRPr="00DE07BB">
              <w:rPr>
                <w:rFonts w:ascii="Times New Roman" w:hAnsi="Times New Roman" w:cs="Times New Roman"/>
                <w:color w:val="000000" w:themeColor="text1"/>
                <w:sz w:val="20"/>
                <w:szCs w:val="20"/>
              </w:rPr>
              <w:t xml:space="preserve"> e os gastos com despesas indevidas.</w:t>
            </w:r>
          </w:p>
        </w:tc>
      </w:tr>
      <w:tr w:rsidR="009F2E9D" w:rsidRPr="0056477E" w:rsidTr="0041751F">
        <w:tc>
          <w:tcPr>
            <w:tcW w:w="1701" w:type="dxa"/>
          </w:tcPr>
          <w:p w:rsidR="009F2E9D" w:rsidRPr="0056477E" w:rsidRDefault="009F2E9D" w:rsidP="000B19D2">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Santos e Cruz (2011)</w:t>
            </w:r>
          </w:p>
        </w:tc>
        <w:tc>
          <w:tcPr>
            <w:tcW w:w="2268" w:type="dxa"/>
          </w:tcPr>
          <w:p w:rsidR="009F2E9D" w:rsidRPr="0056477E" w:rsidRDefault="009F2E9D" w:rsidP="000B19D2">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“Investigação da Função Saúde no Município de São José/SC, no Período de 2004 a 2008” / </w:t>
            </w:r>
            <w:proofErr w:type="gramStart"/>
            <w:r>
              <w:rPr>
                <w:rFonts w:ascii="Times New Roman" w:hAnsi="Times New Roman" w:cs="Times New Roman"/>
                <w:color w:val="000000" w:themeColor="text1"/>
                <w:sz w:val="20"/>
                <w:szCs w:val="20"/>
              </w:rPr>
              <w:t>Evento</w:t>
            </w:r>
            <w:proofErr w:type="gramEnd"/>
          </w:p>
        </w:tc>
        <w:tc>
          <w:tcPr>
            <w:tcW w:w="5134" w:type="dxa"/>
          </w:tcPr>
          <w:p w:rsidR="009F2E9D" w:rsidRPr="00DE07BB" w:rsidRDefault="009F2E9D" w:rsidP="009F2E9D">
            <w:pPr>
              <w:jc w:val="both"/>
              <w:rPr>
                <w:rFonts w:ascii="Times New Roman" w:hAnsi="Times New Roman" w:cs="Times New Roman"/>
                <w:color w:val="000000" w:themeColor="text1"/>
                <w:sz w:val="20"/>
                <w:szCs w:val="20"/>
              </w:rPr>
            </w:pPr>
            <w:r w:rsidRPr="00DE07BB">
              <w:rPr>
                <w:rFonts w:ascii="Times New Roman" w:hAnsi="Times New Roman" w:cs="Times New Roman"/>
                <w:color w:val="000000" w:themeColor="text1"/>
                <w:sz w:val="20"/>
                <w:szCs w:val="20"/>
              </w:rPr>
              <w:t>O objetivo do artigo é “analisar as despesas com a função saúde no município de São José, no período de 2004 a 2008, considerando a expressividade, a evolução e o cumprimento da aplicação mínima constitucional”.</w:t>
            </w:r>
          </w:p>
          <w:p w:rsidR="009F2E9D" w:rsidRPr="00DE07BB" w:rsidRDefault="009F2E9D" w:rsidP="009F2E9D">
            <w:pPr>
              <w:jc w:val="both"/>
              <w:rPr>
                <w:rFonts w:ascii="Times New Roman" w:hAnsi="Times New Roman" w:cs="Times New Roman"/>
                <w:color w:val="000000" w:themeColor="text1"/>
                <w:sz w:val="20"/>
                <w:szCs w:val="20"/>
              </w:rPr>
            </w:pPr>
            <w:r w:rsidRPr="00DE07BB">
              <w:rPr>
                <w:rFonts w:ascii="Times New Roman" w:hAnsi="Times New Roman" w:cs="Times New Roman"/>
                <w:color w:val="000000" w:themeColor="text1"/>
                <w:sz w:val="20"/>
                <w:szCs w:val="20"/>
              </w:rPr>
              <w:t>Os autores concluem que</w:t>
            </w:r>
            <w:r w:rsidR="006367B1">
              <w:rPr>
                <w:rFonts w:ascii="Times New Roman" w:hAnsi="Times New Roman" w:cs="Times New Roman"/>
                <w:color w:val="000000" w:themeColor="text1"/>
                <w:sz w:val="20"/>
                <w:szCs w:val="20"/>
              </w:rPr>
              <w:t>,</w:t>
            </w:r>
            <w:r w:rsidRPr="00DE07BB">
              <w:rPr>
                <w:rFonts w:ascii="Times New Roman" w:hAnsi="Times New Roman" w:cs="Times New Roman"/>
                <w:color w:val="000000" w:themeColor="text1"/>
                <w:sz w:val="20"/>
                <w:szCs w:val="20"/>
              </w:rPr>
              <w:t xml:space="preserve"> em todos os anos da série analisada</w:t>
            </w:r>
            <w:r w:rsidR="006367B1">
              <w:rPr>
                <w:rFonts w:ascii="Times New Roman" w:hAnsi="Times New Roman" w:cs="Times New Roman"/>
                <w:color w:val="000000" w:themeColor="text1"/>
                <w:sz w:val="20"/>
                <w:szCs w:val="20"/>
              </w:rPr>
              <w:t>,</w:t>
            </w:r>
            <w:r w:rsidRPr="00DE07BB">
              <w:rPr>
                <w:rFonts w:ascii="Times New Roman" w:hAnsi="Times New Roman" w:cs="Times New Roman"/>
                <w:color w:val="000000" w:themeColor="text1"/>
                <w:sz w:val="20"/>
                <w:szCs w:val="20"/>
              </w:rPr>
              <w:t xml:space="preserve"> o percentual de aplicação mínimo foi cumprido pelo ente em estudo.</w:t>
            </w:r>
          </w:p>
        </w:tc>
      </w:tr>
      <w:tr w:rsidR="002B6E57" w:rsidRPr="0056477E" w:rsidTr="0041751F">
        <w:tc>
          <w:tcPr>
            <w:tcW w:w="1701" w:type="dxa"/>
          </w:tcPr>
          <w:p w:rsidR="002B6E57" w:rsidRPr="0056477E" w:rsidRDefault="002B6E57" w:rsidP="002B6E57">
            <w:pPr>
              <w:rPr>
                <w:rFonts w:ascii="Times New Roman" w:hAnsi="Times New Roman" w:cs="Times New Roman"/>
                <w:color w:val="000000" w:themeColor="text1"/>
                <w:sz w:val="20"/>
                <w:szCs w:val="20"/>
              </w:rPr>
            </w:pPr>
            <w:proofErr w:type="spellStart"/>
            <w:r>
              <w:rPr>
                <w:rFonts w:ascii="Times New Roman" w:hAnsi="Times New Roman" w:cs="Times New Roman"/>
                <w:color w:val="000000" w:themeColor="text1"/>
                <w:sz w:val="20"/>
                <w:szCs w:val="20"/>
              </w:rPr>
              <w:t>Schwanck</w:t>
            </w:r>
            <w:proofErr w:type="spellEnd"/>
            <w:r>
              <w:rPr>
                <w:rFonts w:ascii="Times New Roman" w:hAnsi="Times New Roman" w:cs="Times New Roman"/>
                <w:color w:val="000000" w:themeColor="text1"/>
                <w:sz w:val="20"/>
                <w:szCs w:val="20"/>
              </w:rPr>
              <w:t xml:space="preserve"> (2012)</w:t>
            </w:r>
          </w:p>
        </w:tc>
        <w:tc>
          <w:tcPr>
            <w:tcW w:w="2268" w:type="dxa"/>
          </w:tcPr>
          <w:p w:rsidR="002B6E57" w:rsidRPr="0056477E" w:rsidRDefault="002B6E57" w:rsidP="002B6E57">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“Direito a Saúde Pública no Estado do Rio Grande do Sul: o (Des</w:t>
            </w:r>
            <w:proofErr w:type="gramStart"/>
            <w:r>
              <w:rPr>
                <w:rFonts w:ascii="Times New Roman" w:hAnsi="Times New Roman" w:cs="Times New Roman"/>
                <w:color w:val="000000" w:themeColor="text1"/>
                <w:sz w:val="20"/>
                <w:szCs w:val="20"/>
              </w:rPr>
              <w:t>)Cumprimento</w:t>
            </w:r>
            <w:proofErr w:type="gramEnd"/>
            <w:r>
              <w:rPr>
                <w:rFonts w:ascii="Times New Roman" w:hAnsi="Times New Roman" w:cs="Times New Roman"/>
                <w:color w:val="000000" w:themeColor="text1"/>
                <w:sz w:val="20"/>
                <w:szCs w:val="20"/>
              </w:rPr>
              <w:t xml:space="preserve"> da emenda Constitucional n.º 29/2000 no Período de 2006 a 2011” / TCC</w:t>
            </w:r>
          </w:p>
        </w:tc>
        <w:tc>
          <w:tcPr>
            <w:tcW w:w="5134" w:type="dxa"/>
          </w:tcPr>
          <w:p w:rsidR="002B6E57" w:rsidRPr="00DE07BB" w:rsidRDefault="002B6E57" w:rsidP="002B6E57">
            <w:pPr>
              <w:jc w:val="both"/>
              <w:rPr>
                <w:rFonts w:ascii="Times New Roman" w:hAnsi="Times New Roman" w:cs="Times New Roman"/>
                <w:color w:val="000000" w:themeColor="text1"/>
                <w:sz w:val="20"/>
                <w:szCs w:val="20"/>
              </w:rPr>
            </w:pPr>
            <w:r w:rsidRPr="00DE07BB">
              <w:rPr>
                <w:rFonts w:ascii="Times New Roman" w:hAnsi="Times New Roman" w:cs="Times New Roman"/>
                <w:color w:val="000000" w:themeColor="text1"/>
                <w:sz w:val="20"/>
                <w:szCs w:val="20"/>
              </w:rPr>
              <w:t>O objetivo da pesquisa é o “estudo do financiamento da saúde pública no estado do Rio Grande do Sul (RS), no período entre 2006 e 2011”.</w:t>
            </w:r>
          </w:p>
          <w:p w:rsidR="002B6E57" w:rsidRPr="00DE07BB" w:rsidRDefault="002B6E57" w:rsidP="002B6E57">
            <w:pPr>
              <w:jc w:val="both"/>
              <w:rPr>
                <w:rFonts w:ascii="Times New Roman" w:hAnsi="Times New Roman" w:cs="Times New Roman"/>
                <w:color w:val="000000" w:themeColor="text1"/>
                <w:sz w:val="20"/>
                <w:szCs w:val="20"/>
              </w:rPr>
            </w:pPr>
            <w:r w:rsidRPr="00DE07BB">
              <w:rPr>
                <w:rFonts w:ascii="Times New Roman" w:hAnsi="Times New Roman" w:cs="Times New Roman"/>
                <w:color w:val="000000" w:themeColor="text1"/>
                <w:sz w:val="20"/>
                <w:szCs w:val="20"/>
              </w:rPr>
              <w:t>O autor conclui que o período em análise “foi marcado pela falta de regulamentação do art. 198, §3º, da Constituição Federal (CF), conduzindo a um conflito entre as definições de receitas e despesas em ações e serviços públicos de saúde, levando ao descumprimento de EC n.º 29/2000 no estado do RS”.</w:t>
            </w:r>
          </w:p>
        </w:tc>
      </w:tr>
      <w:tr w:rsidR="007E3C5C" w:rsidRPr="0056477E" w:rsidTr="0041751F">
        <w:trPr>
          <w:trHeight w:val="2198"/>
        </w:trPr>
        <w:tc>
          <w:tcPr>
            <w:tcW w:w="1701" w:type="dxa"/>
          </w:tcPr>
          <w:p w:rsidR="007E3C5C" w:rsidRDefault="007E3C5C" w:rsidP="0098300A">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Batista (2012)</w:t>
            </w:r>
          </w:p>
        </w:tc>
        <w:tc>
          <w:tcPr>
            <w:tcW w:w="2268" w:type="dxa"/>
          </w:tcPr>
          <w:p w:rsidR="007E3C5C" w:rsidRDefault="007E3C5C" w:rsidP="0098300A">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“Uma Análise dos Gastos com Saúde Pública no Município de Boa Vista (PB), no Período de 2007 a 2011, em Conformidade com a Emenda Constitucional 29/2000” / </w:t>
            </w:r>
            <w:proofErr w:type="gramStart"/>
            <w:r>
              <w:rPr>
                <w:rFonts w:ascii="Times New Roman" w:hAnsi="Times New Roman" w:cs="Times New Roman"/>
                <w:color w:val="000000" w:themeColor="text1"/>
                <w:sz w:val="20"/>
                <w:szCs w:val="20"/>
              </w:rPr>
              <w:t>TCC</w:t>
            </w:r>
            <w:proofErr w:type="gramEnd"/>
          </w:p>
        </w:tc>
        <w:tc>
          <w:tcPr>
            <w:tcW w:w="5134" w:type="dxa"/>
          </w:tcPr>
          <w:p w:rsidR="007E3C5C" w:rsidRPr="00DE07BB" w:rsidRDefault="007E3C5C" w:rsidP="0098300A">
            <w:pPr>
              <w:jc w:val="both"/>
              <w:rPr>
                <w:rFonts w:ascii="Times New Roman" w:hAnsi="Times New Roman" w:cs="Times New Roman"/>
                <w:color w:val="000000" w:themeColor="text1"/>
                <w:sz w:val="20"/>
                <w:szCs w:val="20"/>
              </w:rPr>
            </w:pPr>
            <w:r w:rsidRPr="00DE07BB">
              <w:rPr>
                <w:rFonts w:ascii="Times New Roman" w:hAnsi="Times New Roman" w:cs="Times New Roman"/>
                <w:color w:val="000000" w:themeColor="text1"/>
                <w:sz w:val="20"/>
                <w:szCs w:val="20"/>
              </w:rPr>
              <w:t>“O presente estudo tem por objetivo principal fazer a apresentação e avaliação dos gastos com saúde pública no município de Boa Vista (PB), entre os anos de 2007 a 2011”.</w:t>
            </w:r>
          </w:p>
          <w:p w:rsidR="007E3C5C" w:rsidRPr="00DE07BB" w:rsidRDefault="007E3C5C" w:rsidP="0098300A">
            <w:pPr>
              <w:jc w:val="both"/>
              <w:rPr>
                <w:rFonts w:ascii="Times New Roman" w:hAnsi="Times New Roman" w:cs="Times New Roman"/>
                <w:color w:val="000000" w:themeColor="text1"/>
                <w:sz w:val="20"/>
                <w:szCs w:val="20"/>
              </w:rPr>
            </w:pPr>
            <w:r w:rsidRPr="00DE07BB">
              <w:rPr>
                <w:rFonts w:ascii="Times New Roman" w:hAnsi="Times New Roman" w:cs="Times New Roman"/>
                <w:color w:val="000000" w:themeColor="text1"/>
                <w:sz w:val="20"/>
                <w:szCs w:val="20"/>
              </w:rPr>
              <w:t>Os resultados apresentados mostram que</w:t>
            </w:r>
            <w:r>
              <w:rPr>
                <w:rFonts w:ascii="Times New Roman" w:hAnsi="Times New Roman" w:cs="Times New Roman"/>
                <w:color w:val="000000" w:themeColor="text1"/>
                <w:sz w:val="20"/>
                <w:szCs w:val="20"/>
              </w:rPr>
              <w:t>,</w:t>
            </w:r>
            <w:r w:rsidRPr="00DE07BB">
              <w:rPr>
                <w:rFonts w:ascii="Times New Roman" w:hAnsi="Times New Roman" w:cs="Times New Roman"/>
                <w:color w:val="000000" w:themeColor="text1"/>
                <w:sz w:val="20"/>
                <w:szCs w:val="20"/>
              </w:rPr>
              <w:t xml:space="preserve"> em todos os anos da série analisada</w:t>
            </w:r>
            <w:r>
              <w:rPr>
                <w:rFonts w:ascii="Times New Roman" w:hAnsi="Times New Roman" w:cs="Times New Roman"/>
                <w:color w:val="000000" w:themeColor="text1"/>
                <w:sz w:val="20"/>
                <w:szCs w:val="20"/>
              </w:rPr>
              <w:t>,</w:t>
            </w:r>
            <w:r w:rsidRPr="00DE07BB">
              <w:rPr>
                <w:rFonts w:ascii="Times New Roman" w:hAnsi="Times New Roman" w:cs="Times New Roman"/>
                <w:color w:val="000000" w:themeColor="text1"/>
                <w:sz w:val="20"/>
                <w:szCs w:val="20"/>
              </w:rPr>
              <w:t xml:space="preserve"> o Município cumpriu o limite mínimo estabelecido pela Emenda Constitucional 29/2000. Os maiores gastos foram com pessoal e encargos sociais seguidos de gastos com medicamentos e serviços de terceiros.</w:t>
            </w:r>
          </w:p>
        </w:tc>
      </w:tr>
    </w:tbl>
    <w:p w:rsidR="00340BF5" w:rsidRDefault="00340BF5" w:rsidP="00340BF5">
      <w:pPr>
        <w:spacing w:after="0"/>
        <w:rPr>
          <w:rFonts w:ascii="Times New Roman" w:hAnsi="Times New Roman" w:cs="Times New Roman"/>
          <w:i/>
          <w:sz w:val="20"/>
          <w:szCs w:val="20"/>
        </w:rPr>
      </w:pPr>
      <w:r w:rsidRPr="0084647B">
        <w:rPr>
          <w:rFonts w:ascii="Times New Roman" w:hAnsi="Times New Roman" w:cs="Times New Roman"/>
          <w:i/>
          <w:sz w:val="20"/>
          <w:szCs w:val="20"/>
        </w:rPr>
        <w:t>Continua</w:t>
      </w:r>
    </w:p>
    <w:p w:rsidR="00340BF5" w:rsidRDefault="00340BF5" w:rsidP="00340BF5">
      <w:pPr>
        <w:spacing w:after="0"/>
        <w:rPr>
          <w:rFonts w:ascii="Times New Roman" w:hAnsi="Times New Roman" w:cs="Times New Roman"/>
          <w:i/>
          <w:sz w:val="20"/>
          <w:szCs w:val="20"/>
        </w:rPr>
      </w:pPr>
    </w:p>
    <w:p w:rsidR="00340BF5" w:rsidRDefault="00340BF5" w:rsidP="00340BF5">
      <w:pPr>
        <w:spacing w:after="0"/>
        <w:rPr>
          <w:rFonts w:ascii="Times New Roman" w:hAnsi="Times New Roman" w:cs="Times New Roman"/>
          <w:i/>
          <w:sz w:val="20"/>
          <w:szCs w:val="20"/>
        </w:rPr>
      </w:pPr>
    </w:p>
    <w:p w:rsidR="00340BF5" w:rsidRDefault="00340BF5" w:rsidP="00340BF5">
      <w:pPr>
        <w:spacing w:after="0"/>
        <w:rPr>
          <w:rFonts w:ascii="Times New Roman" w:hAnsi="Times New Roman" w:cs="Times New Roman"/>
          <w:i/>
          <w:sz w:val="20"/>
          <w:szCs w:val="20"/>
        </w:rPr>
      </w:pPr>
    </w:p>
    <w:p w:rsidR="00340BF5" w:rsidRDefault="00340BF5" w:rsidP="00340BF5">
      <w:pPr>
        <w:spacing w:after="0"/>
        <w:rPr>
          <w:rFonts w:ascii="Times New Roman" w:hAnsi="Times New Roman" w:cs="Times New Roman"/>
          <w:i/>
          <w:sz w:val="20"/>
          <w:szCs w:val="20"/>
        </w:rPr>
      </w:pPr>
    </w:p>
    <w:p w:rsidR="00340BF5" w:rsidRDefault="00340BF5" w:rsidP="00340BF5">
      <w:pPr>
        <w:spacing w:after="0"/>
        <w:rPr>
          <w:rFonts w:ascii="Times New Roman" w:hAnsi="Times New Roman" w:cs="Times New Roman"/>
          <w:i/>
          <w:sz w:val="20"/>
          <w:szCs w:val="20"/>
        </w:rPr>
      </w:pPr>
    </w:p>
    <w:p w:rsidR="00340BF5" w:rsidRDefault="00340BF5" w:rsidP="00340BF5">
      <w:pPr>
        <w:spacing w:after="0"/>
        <w:rPr>
          <w:rFonts w:ascii="Times New Roman" w:hAnsi="Times New Roman" w:cs="Times New Roman"/>
          <w:i/>
          <w:sz w:val="20"/>
          <w:szCs w:val="20"/>
        </w:rPr>
      </w:pPr>
    </w:p>
    <w:p w:rsidR="00340BF5" w:rsidRDefault="00340BF5" w:rsidP="00340BF5">
      <w:pPr>
        <w:spacing w:after="0"/>
        <w:rPr>
          <w:rFonts w:ascii="Times New Roman" w:hAnsi="Times New Roman" w:cs="Times New Roman"/>
          <w:i/>
          <w:sz w:val="20"/>
          <w:szCs w:val="20"/>
        </w:rPr>
      </w:pPr>
    </w:p>
    <w:p w:rsidR="00340BF5" w:rsidRDefault="00340BF5" w:rsidP="00340BF5">
      <w:pPr>
        <w:spacing w:after="0"/>
        <w:rPr>
          <w:rFonts w:ascii="Times New Roman" w:hAnsi="Times New Roman" w:cs="Times New Roman"/>
          <w:i/>
          <w:sz w:val="20"/>
          <w:szCs w:val="20"/>
        </w:rPr>
      </w:pPr>
    </w:p>
    <w:p w:rsidR="00340BF5" w:rsidRDefault="00340BF5" w:rsidP="00340BF5">
      <w:pPr>
        <w:spacing w:after="0"/>
        <w:rPr>
          <w:rFonts w:ascii="Times New Roman" w:hAnsi="Times New Roman" w:cs="Times New Roman"/>
          <w:i/>
          <w:sz w:val="20"/>
          <w:szCs w:val="20"/>
        </w:rPr>
      </w:pPr>
    </w:p>
    <w:p w:rsidR="00340BF5" w:rsidRPr="0084647B" w:rsidRDefault="00340BF5" w:rsidP="00340BF5">
      <w:pPr>
        <w:spacing w:after="0"/>
        <w:rPr>
          <w:rFonts w:ascii="Times New Roman" w:hAnsi="Times New Roman" w:cs="Times New Roman"/>
          <w:i/>
          <w:sz w:val="20"/>
          <w:szCs w:val="20"/>
        </w:rPr>
      </w:pPr>
      <w:r w:rsidRPr="0084647B">
        <w:rPr>
          <w:rFonts w:ascii="Times New Roman" w:hAnsi="Times New Roman" w:cs="Times New Roman"/>
          <w:i/>
          <w:sz w:val="20"/>
          <w:szCs w:val="20"/>
        </w:rPr>
        <w:lastRenderedPageBreak/>
        <w:t>Continuação</w:t>
      </w:r>
    </w:p>
    <w:tbl>
      <w:tblPr>
        <w:tblStyle w:val="Tabelacomgrade"/>
        <w:tblW w:w="0" w:type="auto"/>
        <w:tblInd w:w="108" w:type="dxa"/>
        <w:tblLook w:val="04A0"/>
      </w:tblPr>
      <w:tblGrid>
        <w:gridCol w:w="1701"/>
        <w:gridCol w:w="2268"/>
        <w:gridCol w:w="5134"/>
      </w:tblGrid>
      <w:tr w:rsidR="00340BF5" w:rsidRPr="0056477E" w:rsidTr="00A4136F">
        <w:tc>
          <w:tcPr>
            <w:tcW w:w="1701" w:type="dxa"/>
            <w:shd w:val="clear" w:color="auto" w:fill="D9D9D9" w:themeFill="background1" w:themeFillShade="D9"/>
            <w:vAlign w:val="center"/>
          </w:tcPr>
          <w:p w:rsidR="00340BF5" w:rsidRPr="0056477E" w:rsidRDefault="00340BF5" w:rsidP="00A4136F">
            <w:pPr>
              <w:jc w:val="center"/>
              <w:rPr>
                <w:rFonts w:ascii="Times New Roman" w:hAnsi="Times New Roman" w:cs="Times New Roman"/>
                <w:b/>
                <w:color w:val="000000" w:themeColor="text1"/>
                <w:sz w:val="20"/>
                <w:szCs w:val="20"/>
              </w:rPr>
            </w:pPr>
            <w:r>
              <w:rPr>
                <w:rFonts w:ascii="Times New Roman" w:hAnsi="Times New Roman" w:cs="Times New Roman"/>
                <w:b/>
                <w:color w:val="000000" w:themeColor="text1"/>
                <w:sz w:val="20"/>
                <w:szCs w:val="20"/>
              </w:rPr>
              <w:t xml:space="preserve">Autores </w:t>
            </w:r>
            <w:r>
              <w:rPr>
                <w:rFonts w:ascii="Times New Roman" w:hAnsi="Times New Roman" w:cs="Times New Roman"/>
                <w:b/>
                <w:color w:val="000000" w:themeColor="text1"/>
                <w:sz w:val="20"/>
                <w:szCs w:val="20"/>
                <w:vertAlign w:val="superscript"/>
              </w:rPr>
              <w:t>[1]</w:t>
            </w:r>
          </w:p>
        </w:tc>
        <w:tc>
          <w:tcPr>
            <w:tcW w:w="2268" w:type="dxa"/>
            <w:shd w:val="clear" w:color="auto" w:fill="D9D9D9" w:themeFill="background1" w:themeFillShade="D9"/>
            <w:vAlign w:val="center"/>
          </w:tcPr>
          <w:p w:rsidR="00340BF5" w:rsidRPr="0056477E" w:rsidRDefault="00340BF5" w:rsidP="00A4136F">
            <w:pPr>
              <w:jc w:val="center"/>
              <w:rPr>
                <w:rFonts w:ascii="Times New Roman" w:hAnsi="Times New Roman" w:cs="Times New Roman"/>
                <w:b/>
                <w:color w:val="000000" w:themeColor="text1"/>
                <w:sz w:val="20"/>
                <w:szCs w:val="20"/>
              </w:rPr>
            </w:pPr>
            <w:r>
              <w:rPr>
                <w:rFonts w:ascii="Times New Roman" w:hAnsi="Times New Roman" w:cs="Times New Roman"/>
                <w:b/>
                <w:color w:val="000000" w:themeColor="text1"/>
                <w:sz w:val="20"/>
                <w:szCs w:val="20"/>
              </w:rPr>
              <w:t xml:space="preserve">Títulos / Tipos de publicações </w:t>
            </w:r>
            <w:r>
              <w:rPr>
                <w:rFonts w:ascii="Times New Roman" w:hAnsi="Times New Roman" w:cs="Times New Roman"/>
                <w:b/>
                <w:color w:val="000000" w:themeColor="text1"/>
                <w:sz w:val="20"/>
                <w:szCs w:val="20"/>
                <w:vertAlign w:val="superscript"/>
              </w:rPr>
              <w:t>[2]</w:t>
            </w:r>
          </w:p>
        </w:tc>
        <w:tc>
          <w:tcPr>
            <w:tcW w:w="5134" w:type="dxa"/>
            <w:shd w:val="clear" w:color="auto" w:fill="D9D9D9" w:themeFill="background1" w:themeFillShade="D9"/>
            <w:vAlign w:val="center"/>
          </w:tcPr>
          <w:p w:rsidR="00340BF5" w:rsidRPr="0056477E" w:rsidRDefault="00340BF5" w:rsidP="00A4136F">
            <w:pPr>
              <w:jc w:val="center"/>
              <w:rPr>
                <w:rFonts w:ascii="Times New Roman" w:hAnsi="Times New Roman" w:cs="Times New Roman"/>
                <w:b/>
                <w:color w:val="000000" w:themeColor="text1"/>
                <w:sz w:val="20"/>
                <w:szCs w:val="20"/>
              </w:rPr>
            </w:pPr>
            <w:r w:rsidRPr="0056477E">
              <w:rPr>
                <w:rFonts w:ascii="Times New Roman" w:hAnsi="Times New Roman" w:cs="Times New Roman"/>
                <w:b/>
                <w:color w:val="000000" w:themeColor="text1"/>
                <w:sz w:val="20"/>
                <w:szCs w:val="20"/>
              </w:rPr>
              <w:t>Temáticas abordadas e resultados encontrados</w:t>
            </w:r>
          </w:p>
        </w:tc>
      </w:tr>
      <w:tr w:rsidR="00787EAC" w:rsidRPr="0056477E" w:rsidTr="0041751F">
        <w:tc>
          <w:tcPr>
            <w:tcW w:w="1701" w:type="dxa"/>
          </w:tcPr>
          <w:p w:rsidR="00787EAC" w:rsidRDefault="00787EAC" w:rsidP="000B19D2">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Silva, Maciel, </w:t>
            </w:r>
            <w:proofErr w:type="spellStart"/>
            <w:r>
              <w:rPr>
                <w:rFonts w:ascii="Times New Roman" w:hAnsi="Times New Roman" w:cs="Times New Roman"/>
                <w:color w:val="000000" w:themeColor="text1"/>
                <w:sz w:val="20"/>
                <w:szCs w:val="20"/>
              </w:rPr>
              <w:t>Chacon</w:t>
            </w:r>
            <w:proofErr w:type="spellEnd"/>
            <w:r>
              <w:rPr>
                <w:rFonts w:ascii="Times New Roman" w:hAnsi="Times New Roman" w:cs="Times New Roman"/>
                <w:color w:val="000000" w:themeColor="text1"/>
                <w:sz w:val="20"/>
                <w:szCs w:val="20"/>
              </w:rPr>
              <w:t xml:space="preserve"> e Araújo (2012</w:t>
            </w:r>
            <w:proofErr w:type="gramStart"/>
            <w:r>
              <w:rPr>
                <w:rFonts w:ascii="Times New Roman" w:hAnsi="Times New Roman" w:cs="Times New Roman"/>
                <w:color w:val="000000" w:themeColor="text1"/>
                <w:sz w:val="20"/>
                <w:szCs w:val="20"/>
              </w:rPr>
              <w:t>)</w:t>
            </w:r>
            <w:proofErr w:type="gramEnd"/>
          </w:p>
        </w:tc>
        <w:tc>
          <w:tcPr>
            <w:tcW w:w="2268" w:type="dxa"/>
          </w:tcPr>
          <w:p w:rsidR="00787EAC" w:rsidRDefault="00787EAC" w:rsidP="000B19D2">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“Gastos com Saúde: Uma Análise do Cumprimento da Ementa Constitucional </w:t>
            </w:r>
            <w:r w:rsidR="00093F79">
              <w:rPr>
                <w:rFonts w:ascii="Times New Roman" w:hAnsi="Times New Roman" w:cs="Times New Roman"/>
                <w:color w:val="000000" w:themeColor="text1"/>
                <w:sz w:val="20"/>
                <w:szCs w:val="20"/>
              </w:rPr>
              <w:t xml:space="preserve">n.º 29/2000 pelos 100 Municípios Brasileiros mais Populosos, no Período de 2000 a 2008” / </w:t>
            </w:r>
            <w:proofErr w:type="gramStart"/>
            <w:r w:rsidR="00093F79">
              <w:rPr>
                <w:rFonts w:ascii="Times New Roman" w:hAnsi="Times New Roman" w:cs="Times New Roman"/>
                <w:color w:val="000000" w:themeColor="text1"/>
                <w:sz w:val="20"/>
                <w:szCs w:val="20"/>
              </w:rPr>
              <w:t>Periódico</w:t>
            </w:r>
            <w:proofErr w:type="gramEnd"/>
          </w:p>
        </w:tc>
        <w:tc>
          <w:tcPr>
            <w:tcW w:w="5134" w:type="dxa"/>
          </w:tcPr>
          <w:p w:rsidR="00787EAC" w:rsidRPr="00DE07BB" w:rsidRDefault="00093F79" w:rsidP="00DB4159">
            <w:pPr>
              <w:jc w:val="both"/>
              <w:rPr>
                <w:rFonts w:ascii="Times New Roman" w:hAnsi="Times New Roman" w:cs="Times New Roman"/>
                <w:color w:val="000000" w:themeColor="text1"/>
                <w:sz w:val="20"/>
                <w:szCs w:val="20"/>
              </w:rPr>
            </w:pPr>
            <w:r w:rsidRPr="00DE07BB">
              <w:rPr>
                <w:rFonts w:ascii="Times New Roman" w:hAnsi="Times New Roman" w:cs="Times New Roman"/>
                <w:color w:val="000000" w:themeColor="text1"/>
                <w:sz w:val="20"/>
                <w:szCs w:val="20"/>
              </w:rPr>
              <w:t>A pesquisa objetiva “analisar se os 100 municípios brasileiros mais populosos cumpriram os percentuais vinculatórios de gastos com saúde determinados pela Emenda Constitucional n.º 29/2000 durante o período de 2000 a 2008”.</w:t>
            </w:r>
          </w:p>
          <w:p w:rsidR="00093F79" w:rsidRPr="00DE07BB" w:rsidRDefault="00093F79" w:rsidP="00DB4159">
            <w:pPr>
              <w:jc w:val="both"/>
              <w:rPr>
                <w:rFonts w:ascii="Times New Roman" w:hAnsi="Times New Roman" w:cs="Times New Roman"/>
                <w:color w:val="000000" w:themeColor="text1"/>
                <w:sz w:val="20"/>
                <w:szCs w:val="20"/>
              </w:rPr>
            </w:pPr>
            <w:r w:rsidRPr="00DE07BB">
              <w:rPr>
                <w:rFonts w:ascii="Times New Roman" w:hAnsi="Times New Roman" w:cs="Times New Roman"/>
                <w:color w:val="000000" w:themeColor="text1"/>
                <w:sz w:val="20"/>
                <w:szCs w:val="20"/>
              </w:rPr>
              <w:t>Como resultados os autores apresentam que</w:t>
            </w:r>
            <w:r w:rsidR="006367B1">
              <w:rPr>
                <w:rFonts w:ascii="Times New Roman" w:hAnsi="Times New Roman" w:cs="Times New Roman"/>
                <w:color w:val="000000" w:themeColor="text1"/>
                <w:sz w:val="20"/>
                <w:szCs w:val="20"/>
              </w:rPr>
              <w:t>,</w:t>
            </w:r>
            <w:r w:rsidRPr="00DE07BB">
              <w:rPr>
                <w:rFonts w:ascii="Times New Roman" w:hAnsi="Times New Roman" w:cs="Times New Roman"/>
                <w:color w:val="000000" w:themeColor="text1"/>
                <w:sz w:val="20"/>
                <w:szCs w:val="20"/>
              </w:rPr>
              <w:t xml:space="preserve"> “dos 100 municípios brasileiros mais populosos analisados, 49 não cumpriram em determinado ano os percentuais vinculatórios de gastos com saúde, determinados na Emenda Constitucional n.º 29/2000, durante o período de 2000 a 2008”.</w:t>
            </w:r>
          </w:p>
        </w:tc>
      </w:tr>
      <w:tr w:rsidR="00C701BB" w:rsidRPr="0056477E" w:rsidTr="0041751F">
        <w:tc>
          <w:tcPr>
            <w:tcW w:w="1701" w:type="dxa"/>
          </w:tcPr>
          <w:p w:rsidR="00C701BB" w:rsidRDefault="00C701BB" w:rsidP="000B19D2">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Ferreira e </w:t>
            </w:r>
            <w:proofErr w:type="spellStart"/>
            <w:r>
              <w:rPr>
                <w:rFonts w:ascii="Times New Roman" w:hAnsi="Times New Roman" w:cs="Times New Roman"/>
                <w:color w:val="000000" w:themeColor="text1"/>
                <w:sz w:val="20"/>
                <w:szCs w:val="20"/>
              </w:rPr>
              <w:t>Platt</w:t>
            </w:r>
            <w:proofErr w:type="spellEnd"/>
            <w:r>
              <w:rPr>
                <w:rFonts w:ascii="Times New Roman" w:hAnsi="Times New Roman" w:cs="Times New Roman"/>
                <w:color w:val="000000" w:themeColor="text1"/>
                <w:sz w:val="20"/>
                <w:szCs w:val="20"/>
              </w:rPr>
              <w:t xml:space="preserve"> Neto (2014)</w:t>
            </w:r>
          </w:p>
        </w:tc>
        <w:tc>
          <w:tcPr>
            <w:tcW w:w="2268" w:type="dxa"/>
          </w:tcPr>
          <w:p w:rsidR="00C701BB" w:rsidRDefault="00C701BB" w:rsidP="000B19D2">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“O desempenho do Município de Moreira Sales – PR em Relação ao Cumprimento dos Limites Constitucionais de Aplicações Mínimas em Educação e Saúde no Período de 2004 a 2012” / Evento</w:t>
            </w:r>
          </w:p>
        </w:tc>
        <w:tc>
          <w:tcPr>
            <w:tcW w:w="5134" w:type="dxa"/>
          </w:tcPr>
          <w:p w:rsidR="00C701BB" w:rsidRPr="00DE07BB" w:rsidRDefault="00C701BB" w:rsidP="00DB4159">
            <w:pPr>
              <w:jc w:val="both"/>
              <w:rPr>
                <w:rFonts w:ascii="Times New Roman" w:hAnsi="Times New Roman" w:cs="Times New Roman"/>
                <w:color w:val="000000" w:themeColor="text1"/>
                <w:sz w:val="20"/>
                <w:szCs w:val="20"/>
              </w:rPr>
            </w:pPr>
            <w:r w:rsidRPr="00DE07BB">
              <w:rPr>
                <w:rFonts w:ascii="Times New Roman" w:hAnsi="Times New Roman" w:cs="Times New Roman"/>
                <w:color w:val="000000" w:themeColor="text1"/>
                <w:sz w:val="20"/>
                <w:szCs w:val="20"/>
              </w:rPr>
              <w:t>A pesquisa objetiva “evidenciar o desempenho do município de Moreira Sales – PR em relação ao cumprimento dos limites constitucionais de aplicações mínimas em educação e saúde no período de 2004 a 2012”.</w:t>
            </w:r>
          </w:p>
          <w:p w:rsidR="00C701BB" w:rsidRPr="00DE07BB" w:rsidRDefault="00C701BB" w:rsidP="00DB4159">
            <w:pPr>
              <w:jc w:val="both"/>
              <w:rPr>
                <w:rFonts w:ascii="Times New Roman" w:hAnsi="Times New Roman" w:cs="Times New Roman"/>
                <w:color w:val="000000" w:themeColor="text1"/>
                <w:sz w:val="20"/>
                <w:szCs w:val="20"/>
              </w:rPr>
            </w:pPr>
            <w:r w:rsidRPr="00DE07BB">
              <w:rPr>
                <w:rFonts w:ascii="Times New Roman" w:hAnsi="Times New Roman" w:cs="Times New Roman"/>
                <w:color w:val="000000" w:themeColor="text1"/>
                <w:sz w:val="20"/>
                <w:szCs w:val="20"/>
              </w:rPr>
              <w:t>Os autores concluem que</w:t>
            </w:r>
            <w:r w:rsidR="006367B1">
              <w:rPr>
                <w:rFonts w:ascii="Times New Roman" w:hAnsi="Times New Roman" w:cs="Times New Roman"/>
                <w:color w:val="000000" w:themeColor="text1"/>
                <w:sz w:val="20"/>
                <w:szCs w:val="20"/>
              </w:rPr>
              <w:t>,</w:t>
            </w:r>
            <w:r w:rsidRPr="00DE07BB">
              <w:rPr>
                <w:rFonts w:ascii="Times New Roman" w:hAnsi="Times New Roman" w:cs="Times New Roman"/>
                <w:color w:val="000000" w:themeColor="text1"/>
                <w:sz w:val="20"/>
                <w:szCs w:val="20"/>
              </w:rPr>
              <w:t xml:space="preserve"> “em todos os nove anos da série histórica</w:t>
            </w:r>
            <w:r w:rsidR="006367B1">
              <w:rPr>
                <w:rFonts w:ascii="Times New Roman" w:hAnsi="Times New Roman" w:cs="Times New Roman"/>
                <w:color w:val="000000" w:themeColor="text1"/>
                <w:sz w:val="20"/>
                <w:szCs w:val="20"/>
              </w:rPr>
              <w:t>,</w:t>
            </w:r>
            <w:r w:rsidRPr="00DE07BB">
              <w:rPr>
                <w:rFonts w:ascii="Times New Roman" w:hAnsi="Times New Roman" w:cs="Times New Roman"/>
                <w:color w:val="000000" w:themeColor="text1"/>
                <w:sz w:val="20"/>
                <w:szCs w:val="20"/>
              </w:rPr>
              <w:t xml:space="preserve"> o Município estudado demonstrou o cumprimento dos dois limites constitucionais, relativos às aplicações mínimas em educação e saúde”. Na educação o percentual ficou bem próximo do limite de 25% e na área da saúde houve um crescimento, atingindo um máximo de 26,87%.</w:t>
            </w:r>
          </w:p>
        </w:tc>
      </w:tr>
      <w:tr w:rsidR="009F2E9D" w:rsidRPr="0056477E" w:rsidTr="0041751F">
        <w:tc>
          <w:tcPr>
            <w:tcW w:w="1701" w:type="dxa"/>
          </w:tcPr>
          <w:p w:rsidR="009F2E9D" w:rsidRPr="0056477E" w:rsidRDefault="00D41508" w:rsidP="000B19D2">
            <w:pPr>
              <w:rPr>
                <w:rFonts w:ascii="Times New Roman" w:hAnsi="Times New Roman" w:cs="Times New Roman"/>
                <w:color w:val="000000" w:themeColor="text1"/>
                <w:sz w:val="20"/>
                <w:szCs w:val="20"/>
              </w:rPr>
            </w:pPr>
            <w:proofErr w:type="spellStart"/>
            <w:r>
              <w:rPr>
                <w:rFonts w:ascii="Times New Roman" w:hAnsi="Times New Roman" w:cs="Times New Roman"/>
                <w:color w:val="000000" w:themeColor="text1"/>
                <w:sz w:val="20"/>
                <w:szCs w:val="20"/>
              </w:rPr>
              <w:t>Macarini</w:t>
            </w:r>
            <w:proofErr w:type="spellEnd"/>
            <w:r>
              <w:rPr>
                <w:rFonts w:ascii="Times New Roman" w:hAnsi="Times New Roman" w:cs="Times New Roman"/>
                <w:color w:val="000000" w:themeColor="text1"/>
                <w:sz w:val="20"/>
                <w:szCs w:val="20"/>
              </w:rPr>
              <w:t xml:space="preserve"> (2014)</w:t>
            </w:r>
          </w:p>
        </w:tc>
        <w:tc>
          <w:tcPr>
            <w:tcW w:w="2268" w:type="dxa"/>
          </w:tcPr>
          <w:p w:rsidR="009F2E9D" w:rsidRPr="0056477E" w:rsidRDefault="00D41508" w:rsidP="000B19D2">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“Gastos com Saúde: um Estudo de Caso Sobre o Percentual da Aplicação dos Gastos na Área da Saúde do Município de Meleiro – SC” / TCC</w:t>
            </w:r>
          </w:p>
        </w:tc>
        <w:tc>
          <w:tcPr>
            <w:tcW w:w="5134" w:type="dxa"/>
          </w:tcPr>
          <w:p w:rsidR="009F2E9D" w:rsidRPr="00DE07BB" w:rsidRDefault="008B5455" w:rsidP="00DB4159">
            <w:pPr>
              <w:jc w:val="both"/>
              <w:rPr>
                <w:rFonts w:ascii="Times New Roman" w:hAnsi="Times New Roman" w:cs="Times New Roman"/>
                <w:color w:val="000000" w:themeColor="text1"/>
                <w:sz w:val="20"/>
                <w:szCs w:val="20"/>
              </w:rPr>
            </w:pPr>
            <w:r w:rsidRPr="00DE07BB">
              <w:rPr>
                <w:rFonts w:ascii="Times New Roman" w:hAnsi="Times New Roman" w:cs="Times New Roman"/>
                <w:color w:val="000000" w:themeColor="text1"/>
                <w:sz w:val="20"/>
                <w:szCs w:val="20"/>
              </w:rPr>
              <w:t>O objetivo da pesquisa é “identificar as Receitas de Impostos e Transferências Constitucionais Legais e voluntárias na destinação dos recursos públicos na área da Saúde do Município de Meleiro – SC”.</w:t>
            </w:r>
          </w:p>
          <w:p w:rsidR="008B5455" w:rsidRPr="00DE07BB" w:rsidRDefault="008B5455" w:rsidP="00DB4159">
            <w:pPr>
              <w:jc w:val="both"/>
              <w:rPr>
                <w:rFonts w:ascii="Times New Roman" w:hAnsi="Times New Roman" w:cs="Times New Roman"/>
                <w:color w:val="000000" w:themeColor="text1"/>
                <w:sz w:val="20"/>
                <w:szCs w:val="20"/>
              </w:rPr>
            </w:pPr>
            <w:r w:rsidRPr="00DE07BB">
              <w:rPr>
                <w:rFonts w:ascii="Times New Roman" w:hAnsi="Times New Roman" w:cs="Times New Roman"/>
                <w:color w:val="000000" w:themeColor="text1"/>
                <w:sz w:val="20"/>
                <w:szCs w:val="20"/>
              </w:rPr>
              <w:t>O autor conclui que o município depende de transferências de outros entes, pois apresenta pouca arrecadação. O município gastou além do mínimo exigido constitucionalmente e as despesas superaram as receitas arrecadadas durante o exercício devido a um superávit financeiro do exercício anterior.</w:t>
            </w:r>
          </w:p>
        </w:tc>
      </w:tr>
      <w:tr w:rsidR="009F2E9D" w:rsidRPr="0056477E" w:rsidTr="00476A79">
        <w:tc>
          <w:tcPr>
            <w:tcW w:w="9103" w:type="dxa"/>
            <w:gridSpan w:val="3"/>
          </w:tcPr>
          <w:p w:rsidR="009F2E9D" w:rsidRPr="0056477E" w:rsidRDefault="009F2E9D" w:rsidP="006367B1">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Notas:</w:t>
            </w:r>
            <w:r w:rsidR="00EB280C">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[1] Autores dispostos em ordem cronológica das publicações citadas.</w:t>
            </w:r>
            <w:r w:rsidR="00EB280C">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[2] Os tipos de publicações, sinteticamente, são: TCC; Dissertação; Tese; Periódico; e Evento.</w:t>
            </w:r>
            <w:r w:rsidR="00EB280C">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Detalhadamente, são: TCC – Monografias e artigos apresentados como Trabalhos de Conclusão de Curso de graduação ou de especialização (</w:t>
            </w:r>
            <w:r w:rsidRPr="00476A79">
              <w:rPr>
                <w:rFonts w:ascii="Times New Roman" w:hAnsi="Times New Roman" w:cs="Times New Roman"/>
                <w:i/>
                <w:color w:val="000000" w:themeColor="text1"/>
                <w:sz w:val="20"/>
                <w:szCs w:val="20"/>
              </w:rPr>
              <w:t>latu sensu</w:t>
            </w:r>
            <w:r>
              <w:rPr>
                <w:rFonts w:ascii="Times New Roman" w:hAnsi="Times New Roman" w:cs="Times New Roman"/>
                <w:color w:val="000000" w:themeColor="text1"/>
                <w:sz w:val="20"/>
                <w:szCs w:val="20"/>
              </w:rPr>
              <w:t>). Dissertação – Dissertações de mestrado (</w:t>
            </w:r>
            <w:proofErr w:type="spellStart"/>
            <w:r w:rsidRPr="00476A79">
              <w:rPr>
                <w:rFonts w:ascii="Times New Roman" w:hAnsi="Times New Roman" w:cs="Times New Roman"/>
                <w:i/>
                <w:color w:val="000000" w:themeColor="text1"/>
                <w:sz w:val="20"/>
                <w:szCs w:val="20"/>
              </w:rPr>
              <w:t>strictu</w:t>
            </w:r>
            <w:proofErr w:type="spellEnd"/>
            <w:r w:rsidRPr="00476A79">
              <w:rPr>
                <w:rFonts w:ascii="Times New Roman" w:hAnsi="Times New Roman" w:cs="Times New Roman"/>
                <w:i/>
                <w:color w:val="000000" w:themeColor="text1"/>
                <w:sz w:val="20"/>
                <w:szCs w:val="20"/>
              </w:rPr>
              <w:t xml:space="preserve"> </w:t>
            </w:r>
            <w:proofErr w:type="spellStart"/>
            <w:r w:rsidRPr="00476A79">
              <w:rPr>
                <w:rFonts w:ascii="Times New Roman" w:hAnsi="Times New Roman" w:cs="Times New Roman"/>
                <w:i/>
                <w:color w:val="000000" w:themeColor="text1"/>
                <w:sz w:val="20"/>
                <w:szCs w:val="20"/>
              </w:rPr>
              <w:t>sensu</w:t>
            </w:r>
            <w:proofErr w:type="spellEnd"/>
            <w:r>
              <w:rPr>
                <w:rFonts w:ascii="Times New Roman" w:hAnsi="Times New Roman" w:cs="Times New Roman"/>
                <w:color w:val="000000" w:themeColor="text1"/>
                <w:sz w:val="20"/>
                <w:szCs w:val="20"/>
              </w:rPr>
              <w:t>). Tese – Teses de doutorado (</w:t>
            </w:r>
            <w:proofErr w:type="spellStart"/>
            <w:r w:rsidRPr="00476A79">
              <w:rPr>
                <w:rFonts w:ascii="Times New Roman" w:hAnsi="Times New Roman" w:cs="Times New Roman"/>
                <w:i/>
                <w:color w:val="000000" w:themeColor="text1"/>
                <w:sz w:val="20"/>
                <w:szCs w:val="20"/>
              </w:rPr>
              <w:t>strictu</w:t>
            </w:r>
            <w:proofErr w:type="spellEnd"/>
            <w:r w:rsidRPr="00476A79">
              <w:rPr>
                <w:rFonts w:ascii="Times New Roman" w:hAnsi="Times New Roman" w:cs="Times New Roman"/>
                <w:i/>
                <w:color w:val="000000" w:themeColor="text1"/>
                <w:sz w:val="20"/>
                <w:szCs w:val="20"/>
              </w:rPr>
              <w:t xml:space="preserve"> </w:t>
            </w:r>
            <w:proofErr w:type="spellStart"/>
            <w:r w:rsidRPr="00476A79">
              <w:rPr>
                <w:rFonts w:ascii="Times New Roman" w:hAnsi="Times New Roman" w:cs="Times New Roman"/>
                <w:i/>
                <w:color w:val="000000" w:themeColor="text1"/>
                <w:sz w:val="20"/>
                <w:szCs w:val="20"/>
              </w:rPr>
              <w:t>sensu</w:t>
            </w:r>
            <w:proofErr w:type="spellEnd"/>
            <w:r>
              <w:rPr>
                <w:rFonts w:ascii="Times New Roman" w:hAnsi="Times New Roman" w:cs="Times New Roman"/>
                <w:color w:val="000000" w:themeColor="text1"/>
                <w:sz w:val="20"/>
                <w:szCs w:val="20"/>
              </w:rPr>
              <w:t xml:space="preserve">). </w:t>
            </w:r>
            <w:proofErr w:type="gramStart"/>
            <w:r>
              <w:rPr>
                <w:rFonts w:ascii="Times New Roman" w:hAnsi="Times New Roman" w:cs="Times New Roman"/>
                <w:color w:val="000000" w:themeColor="text1"/>
                <w:sz w:val="20"/>
                <w:szCs w:val="20"/>
              </w:rPr>
              <w:t>Periódico – Artigos</w:t>
            </w:r>
            <w:proofErr w:type="gramEnd"/>
            <w:r>
              <w:rPr>
                <w:rFonts w:ascii="Times New Roman" w:hAnsi="Times New Roman" w:cs="Times New Roman"/>
                <w:color w:val="000000" w:themeColor="text1"/>
                <w:sz w:val="20"/>
                <w:szCs w:val="20"/>
              </w:rPr>
              <w:t xml:space="preserve"> técnicos-científicos publicados em periódicos (revistas, boletins, etc.). Evento – Artigos técnico-científicos publicados em anais de eventos (congresso, encontros, etc.).</w:t>
            </w:r>
          </w:p>
        </w:tc>
      </w:tr>
    </w:tbl>
    <w:p w:rsidR="00375DAC" w:rsidRDefault="00476A79" w:rsidP="00340DB4">
      <w:pPr>
        <w:spacing w:after="120" w:line="240" w:lineRule="auto"/>
        <w:jc w:val="center"/>
        <w:rPr>
          <w:rFonts w:ascii="Times New Roman" w:hAnsi="Times New Roman" w:cs="Times New Roman"/>
          <w:color w:val="000000" w:themeColor="text1"/>
          <w:sz w:val="20"/>
          <w:szCs w:val="20"/>
        </w:rPr>
      </w:pPr>
      <w:r w:rsidRPr="00476A79">
        <w:rPr>
          <w:rFonts w:ascii="Times New Roman" w:hAnsi="Times New Roman" w:cs="Times New Roman"/>
          <w:color w:val="000000" w:themeColor="text1"/>
          <w:sz w:val="20"/>
          <w:szCs w:val="20"/>
        </w:rPr>
        <w:t>Fonte: Elaborado pelos autores com base nas fontes citadas.</w:t>
      </w:r>
    </w:p>
    <w:p w:rsidR="003B63F0" w:rsidRPr="00A148F1" w:rsidRDefault="000C384E" w:rsidP="00831265">
      <w:pPr>
        <w:spacing w:after="0" w:line="240" w:lineRule="auto"/>
        <w:ind w:firstLine="709"/>
        <w:jc w:val="both"/>
        <w:rPr>
          <w:rFonts w:ascii="Times New Roman" w:hAnsi="Times New Roman" w:cs="Times New Roman"/>
          <w:bCs/>
          <w:sz w:val="24"/>
        </w:rPr>
      </w:pPr>
      <w:r w:rsidRPr="00A148F1">
        <w:rPr>
          <w:rFonts w:ascii="Times New Roman" w:hAnsi="Times New Roman" w:cs="Times New Roman"/>
          <w:bCs/>
          <w:sz w:val="24"/>
        </w:rPr>
        <w:t>N</w:t>
      </w:r>
      <w:r w:rsidR="00676657" w:rsidRPr="00A148F1">
        <w:rPr>
          <w:rFonts w:ascii="Times New Roman" w:hAnsi="Times New Roman" w:cs="Times New Roman"/>
          <w:bCs/>
          <w:sz w:val="24"/>
        </w:rPr>
        <w:t>o Q</w:t>
      </w:r>
      <w:r w:rsidR="00C236D2" w:rsidRPr="00A148F1">
        <w:rPr>
          <w:rFonts w:ascii="Times New Roman" w:hAnsi="Times New Roman" w:cs="Times New Roman"/>
          <w:bCs/>
          <w:sz w:val="24"/>
        </w:rPr>
        <w:t>uadro</w:t>
      </w:r>
      <w:r w:rsidR="00676657" w:rsidRPr="00A148F1">
        <w:rPr>
          <w:rFonts w:ascii="Times New Roman" w:hAnsi="Times New Roman" w:cs="Times New Roman"/>
          <w:bCs/>
          <w:sz w:val="24"/>
        </w:rPr>
        <w:t xml:space="preserve"> </w:t>
      </w:r>
      <w:proofErr w:type="gramStart"/>
      <w:r w:rsidR="00676657" w:rsidRPr="00A148F1">
        <w:rPr>
          <w:rFonts w:ascii="Times New Roman" w:hAnsi="Times New Roman" w:cs="Times New Roman"/>
          <w:bCs/>
          <w:sz w:val="24"/>
        </w:rPr>
        <w:t>2</w:t>
      </w:r>
      <w:proofErr w:type="gramEnd"/>
      <w:r w:rsidRPr="00A148F1">
        <w:rPr>
          <w:rFonts w:ascii="Times New Roman" w:hAnsi="Times New Roman" w:cs="Times New Roman"/>
          <w:bCs/>
          <w:sz w:val="24"/>
        </w:rPr>
        <w:t xml:space="preserve"> observa-se</w:t>
      </w:r>
      <w:r w:rsidR="00C236D2" w:rsidRPr="00A148F1">
        <w:rPr>
          <w:rFonts w:ascii="Times New Roman" w:hAnsi="Times New Roman" w:cs="Times New Roman"/>
          <w:bCs/>
          <w:sz w:val="24"/>
        </w:rPr>
        <w:t xml:space="preserve"> que os trabalhos apresentam objeto</w:t>
      </w:r>
      <w:r w:rsidR="003B63F0" w:rsidRPr="00A148F1">
        <w:rPr>
          <w:rFonts w:ascii="Times New Roman" w:hAnsi="Times New Roman" w:cs="Times New Roman"/>
          <w:bCs/>
          <w:sz w:val="24"/>
        </w:rPr>
        <w:t>s</w:t>
      </w:r>
      <w:r w:rsidR="00C236D2" w:rsidRPr="00A148F1">
        <w:rPr>
          <w:rFonts w:ascii="Times New Roman" w:hAnsi="Times New Roman" w:cs="Times New Roman"/>
          <w:bCs/>
          <w:sz w:val="24"/>
        </w:rPr>
        <w:t xml:space="preserve"> de estudo </w:t>
      </w:r>
      <w:r w:rsidR="003B63F0" w:rsidRPr="00A148F1">
        <w:rPr>
          <w:rFonts w:ascii="Times New Roman" w:hAnsi="Times New Roman" w:cs="Times New Roman"/>
          <w:bCs/>
          <w:sz w:val="24"/>
        </w:rPr>
        <w:t xml:space="preserve">similares ao </w:t>
      </w:r>
      <w:r w:rsidR="00C236D2" w:rsidRPr="00A148F1">
        <w:rPr>
          <w:rFonts w:ascii="Times New Roman" w:hAnsi="Times New Roman" w:cs="Times New Roman"/>
          <w:bCs/>
          <w:sz w:val="24"/>
        </w:rPr>
        <w:t xml:space="preserve">do presente artigo, </w:t>
      </w:r>
      <w:r w:rsidRPr="00A148F1">
        <w:rPr>
          <w:rFonts w:ascii="Times New Roman" w:hAnsi="Times New Roman" w:cs="Times New Roman"/>
          <w:bCs/>
          <w:sz w:val="24"/>
        </w:rPr>
        <w:t>ou seja</w:t>
      </w:r>
      <w:r w:rsidR="006367B1" w:rsidRPr="00A148F1">
        <w:rPr>
          <w:rFonts w:ascii="Times New Roman" w:hAnsi="Times New Roman" w:cs="Times New Roman"/>
          <w:bCs/>
          <w:sz w:val="24"/>
        </w:rPr>
        <w:t>,</w:t>
      </w:r>
      <w:r w:rsidRPr="00A148F1">
        <w:rPr>
          <w:rFonts w:ascii="Times New Roman" w:hAnsi="Times New Roman" w:cs="Times New Roman"/>
          <w:bCs/>
          <w:sz w:val="24"/>
        </w:rPr>
        <w:t xml:space="preserve"> as despesas públicas com</w:t>
      </w:r>
      <w:r w:rsidR="00C236D2" w:rsidRPr="00A148F1">
        <w:rPr>
          <w:rFonts w:ascii="Times New Roman" w:hAnsi="Times New Roman" w:cs="Times New Roman"/>
          <w:bCs/>
          <w:sz w:val="24"/>
        </w:rPr>
        <w:t xml:space="preserve"> saúde. De maneira geral, os trabalhos</w:t>
      </w:r>
      <w:r w:rsidR="003E2BE2" w:rsidRPr="00A148F1">
        <w:rPr>
          <w:rFonts w:ascii="Times New Roman" w:hAnsi="Times New Roman" w:cs="Times New Roman"/>
          <w:bCs/>
          <w:sz w:val="24"/>
        </w:rPr>
        <w:t xml:space="preserve"> visam</w:t>
      </w:r>
      <w:r w:rsidR="00C236D2" w:rsidRPr="00A148F1">
        <w:rPr>
          <w:rFonts w:ascii="Times New Roman" w:hAnsi="Times New Roman" w:cs="Times New Roman"/>
          <w:bCs/>
          <w:sz w:val="24"/>
        </w:rPr>
        <w:t xml:space="preserve"> verificar o cumprimento da aplicação mínima constitucional </w:t>
      </w:r>
      <w:r w:rsidR="002923ED" w:rsidRPr="00A148F1">
        <w:rPr>
          <w:rFonts w:ascii="Times New Roman" w:hAnsi="Times New Roman" w:cs="Times New Roman"/>
          <w:bCs/>
          <w:sz w:val="24"/>
        </w:rPr>
        <w:t xml:space="preserve">em Ações e Serviços Públicos </w:t>
      </w:r>
      <w:r w:rsidR="00C236D2" w:rsidRPr="00A148F1">
        <w:rPr>
          <w:rFonts w:ascii="Times New Roman" w:hAnsi="Times New Roman" w:cs="Times New Roman"/>
          <w:bCs/>
          <w:sz w:val="24"/>
        </w:rPr>
        <w:t xml:space="preserve">em </w:t>
      </w:r>
      <w:r w:rsidR="002923ED" w:rsidRPr="00A148F1">
        <w:rPr>
          <w:rFonts w:ascii="Times New Roman" w:hAnsi="Times New Roman" w:cs="Times New Roman"/>
          <w:bCs/>
          <w:sz w:val="24"/>
        </w:rPr>
        <w:t>S</w:t>
      </w:r>
      <w:r w:rsidR="00C236D2" w:rsidRPr="00A148F1">
        <w:rPr>
          <w:rFonts w:ascii="Times New Roman" w:hAnsi="Times New Roman" w:cs="Times New Roman"/>
          <w:bCs/>
          <w:sz w:val="24"/>
        </w:rPr>
        <w:t>aúde</w:t>
      </w:r>
      <w:r w:rsidR="002923ED" w:rsidRPr="00A148F1">
        <w:rPr>
          <w:rFonts w:ascii="Times New Roman" w:hAnsi="Times New Roman" w:cs="Times New Roman"/>
          <w:bCs/>
          <w:sz w:val="24"/>
        </w:rPr>
        <w:t xml:space="preserve"> (ASPS), sendo que na maioria destes o ente em estudo é um município. </w:t>
      </w:r>
    </w:p>
    <w:p w:rsidR="0000085F" w:rsidRPr="00A148F1" w:rsidRDefault="002923ED" w:rsidP="00831265">
      <w:pPr>
        <w:spacing w:after="0" w:line="240" w:lineRule="auto"/>
        <w:ind w:firstLine="708"/>
        <w:jc w:val="both"/>
        <w:rPr>
          <w:rFonts w:ascii="Times New Roman" w:hAnsi="Times New Roman" w:cs="Times New Roman"/>
          <w:bCs/>
          <w:sz w:val="24"/>
        </w:rPr>
      </w:pPr>
      <w:r w:rsidRPr="00A148F1">
        <w:rPr>
          <w:rFonts w:ascii="Times New Roman" w:hAnsi="Times New Roman" w:cs="Times New Roman"/>
          <w:bCs/>
          <w:sz w:val="24"/>
        </w:rPr>
        <w:t>Os objetivos dos trabalhos, de forma geral, assemelhara</w:t>
      </w:r>
      <w:r w:rsidR="003E2BE2" w:rsidRPr="00A148F1">
        <w:rPr>
          <w:rFonts w:ascii="Times New Roman" w:hAnsi="Times New Roman" w:cs="Times New Roman"/>
          <w:bCs/>
          <w:sz w:val="24"/>
        </w:rPr>
        <w:t>m-se ao objetivo desta pesquisa. E</w:t>
      </w:r>
      <w:r w:rsidRPr="00A148F1">
        <w:rPr>
          <w:rFonts w:ascii="Times New Roman" w:hAnsi="Times New Roman" w:cs="Times New Roman"/>
          <w:bCs/>
          <w:sz w:val="24"/>
        </w:rPr>
        <w:t>ntretanto</w:t>
      </w:r>
      <w:r w:rsidR="003E2BE2" w:rsidRPr="00A148F1">
        <w:rPr>
          <w:rFonts w:ascii="Times New Roman" w:hAnsi="Times New Roman" w:cs="Times New Roman"/>
          <w:bCs/>
          <w:sz w:val="24"/>
        </w:rPr>
        <w:t>,</w:t>
      </w:r>
      <w:r w:rsidR="003B63F0" w:rsidRPr="00A148F1">
        <w:rPr>
          <w:rFonts w:ascii="Times New Roman" w:hAnsi="Times New Roman" w:cs="Times New Roman"/>
          <w:bCs/>
          <w:sz w:val="24"/>
        </w:rPr>
        <w:t xml:space="preserve"> em alguns deles</w:t>
      </w:r>
      <w:r w:rsidRPr="00A148F1">
        <w:rPr>
          <w:rFonts w:ascii="Times New Roman" w:hAnsi="Times New Roman" w:cs="Times New Roman"/>
          <w:bCs/>
          <w:sz w:val="24"/>
        </w:rPr>
        <w:t xml:space="preserve"> a evidenciação do cumprimento normativo </w:t>
      </w:r>
      <w:r w:rsidR="00B65C8F" w:rsidRPr="00A148F1">
        <w:rPr>
          <w:rFonts w:ascii="Times New Roman" w:hAnsi="Times New Roman" w:cs="Times New Roman"/>
          <w:bCs/>
          <w:sz w:val="24"/>
        </w:rPr>
        <w:t>das despesas em ASPS estava</w:t>
      </w:r>
      <w:r w:rsidR="00676657" w:rsidRPr="00A148F1">
        <w:rPr>
          <w:rFonts w:ascii="Times New Roman" w:hAnsi="Times New Roman" w:cs="Times New Roman"/>
          <w:bCs/>
          <w:sz w:val="24"/>
        </w:rPr>
        <w:t xml:space="preserve"> agregada à</w:t>
      </w:r>
      <w:r w:rsidR="00B65C8F" w:rsidRPr="00A148F1">
        <w:rPr>
          <w:rFonts w:ascii="Times New Roman" w:hAnsi="Times New Roman" w:cs="Times New Roman"/>
          <w:bCs/>
          <w:sz w:val="24"/>
        </w:rPr>
        <w:t xml:space="preserve"> verificação do cumprimento constitucional mínimo em educação e </w:t>
      </w:r>
      <w:r w:rsidR="00375DAC" w:rsidRPr="00A148F1">
        <w:rPr>
          <w:rFonts w:ascii="Times New Roman" w:hAnsi="Times New Roman" w:cs="Times New Roman"/>
          <w:bCs/>
          <w:sz w:val="24"/>
        </w:rPr>
        <w:t xml:space="preserve">aos </w:t>
      </w:r>
      <w:r w:rsidR="00B65C8F" w:rsidRPr="00A148F1">
        <w:rPr>
          <w:rFonts w:ascii="Times New Roman" w:hAnsi="Times New Roman" w:cs="Times New Roman"/>
          <w:bCs/>
          <w:sz w:val="24"/>
        </w:rPr>
        <w:t xml:space="preserve">limites para </w:t>
      </w:r>
      <w:r w:rsidR="00676657" w:rsidRPr="00A148F1">
        <w:rPr>
          <w:rFonts w:ascii="Times New Roman" w:hAnsi="Times New Roman" w:cs="Times New Roman"/>
          <w:bCs/>
          <w:sz w:val="24"/>
        </w:rPr>
        <w:t>despesas</w:t>
      </w:r>
      <w:r w:rsidR="00B65C8F" w:rsidRPr="00A148F1">
        <w:rPr>
          <w:rFonts w:ascii="Times New Roman" w:hAnsi="Times New Roman" w:cs="Times New Roman"/>
          <w:bCs/>
          <w:sz w:val="24"/>
        </w:rPr>
        <w:t xml:space="preserve"> com pessoal.</w:t>
      </w:r>
    </w:p>
    <w:p w:rsidR="00C95CF8" w:rsidRDefault="0045793A" w:rsidP="00831265">
      <w:pPr>
        <w:spacing w:after="0" w:line="240" w:lineRule="auto"/>
        <w:ind w:firstLine="709"/>
        <w:jc w:val="both"/>
        <w:rPr>
          <w:rFonts w:ascii="Times New Roman" w:hAnsi="Times New Roman" w:cs="Times New Roman"/>
          <w:bCs/>
          <w:sz w:val="24"/>
        </w:rPr>
      </w:pPr>
      <w:r w:rsidRPr="00A148F1">
        <w:rPr>
          <w:rFonts w:ascii="Times New Roman" w:hAnsi="Times New Roman" w:cs="Times New Roman"/>
          <w:bCs/>
          <w:sz w:val="24"/>
        </w:rPr>
        <w:lastRenderedPageBreak/>
        <w:t>Outros trabalhos relevantes foram encontrados c</w:t>
      </w:r>
      <w:r w:rsidR="003E2BE2" w:rsidRPr="00A148F1">
        <w:rPr>
          <w:rFonts w:ascii="Times New Roman" w:hAnsi="Times New Roman" w:cs="Times New Roman"/>
          <w:bCs/>
          <w:sz w:val="24"/>
        </w:rPr>
        <w:t>om similaridade de tema central.</w:t>
      </w:r>
      <w:r w:rsidRPr="00A148F1">
        <w:rPr>
          <w:rFonts w:ascii="Times New Roman" w:hAnsi="Times New Roman" w:cs="Times New Roman"/>
          <w:bCs/>
          <w:sz w:val="24"/>
        </w:rPr>
        <w:t xml:space="preserve"> </w:t>
      </w:r>
      <w:r w:rsidR="003E2BE2" w:rsidRPr="00A148F1">
        <w:rPr>
          <w:rFonts w:ascii="Times New Roman" w:hAnsi="Times New Roman" w:cs="Times New Roman"/>
          <w:bCs/>
          <w:sz w:val="24"/>
        </w:rPr>
        <w:t>E</w:t>
      </w:r>
      <w:r w:rsidRPr="00A148F1">
        <w:rPr>
          <w:rFonts w:ascii="Times New Roman" w:hAnsi="Times New Roman" w:cs="Times New Roman"/>
          <w:bCs/>
          <w:sz w:val="24"/>
        </w:rPr>
        <w:t>ntretanto</w:t>
      </w:r>
      <w:r w:rsidR="003E2BE2" w:rsidRPr="00A148F1">
        <w:rPr>
          <w:rFonts w:ascii="Times New Roman" w:hAnsi="Times New Roman" w:cs="Times New Roman"/>
          <w:bCs/>
          <w:sz w:val="24"/>
        </w:rPr>
        <w:t>,</w:t>
      </w:r>
      <w:r w:rsidRPr="00A148F1">
        <w:rPr>
          <w:rFonts w:ascii="Times New Roman" w:hAnsi="Times New Roman" w:cs="Times New Roman"/>
          <w:bCs/>
          <w:sz w:val="24"/>
        </w:rPr>
        <w:t xml:space="preserve"> apresentaram metodologia, objetos e objetivos diferentes do apresentado na presente pesquisa, motivo pelo qual não foram apresentados</w:t>
      </w:r>
      <w:r w:rsidR="003E2BE2" w:rsidRPr="00A148F1">
        <w:rPr>
          <w:rFonts w:ascii="Times New Roman" w:hAnsi="Times New Roman" w:cs="Times New Roman"/>
          <w:bCs/>
          <w:sz w:val="24"/>
        </w:rPr>
        <w:t>.</w:t>
      </w:r>
      <w:r w:rsidRPr="00A148F1">
        <w:rPr>
          <w:rFonts w:ascii="Times New Roman" w:hAnsi="Times New Roman" w:cs="Times New Roman"/>
          <w:bCs/>
          <w:sz w:val="24"/>
        </w:rPr>
        <w:t xml:space="preserve"> </w:t>
      </w:r>
    </w:p>
    <w:p w:rsidR="001C43C5" w:rsidRDefault="001C43C5" w:rsidP="00831265">
      <w:pPr>
        <w:spacing w:after="0" w:line="240" w:lineRule="auto"/>
        <w:ind w:firstLine="709"/>
        <w:jc w:val="both"/>
        <w:rPr>
          <w:rFonts w:ascii="Times New Roman" w:hAnsi="Times New Roman" w:cs="Times New Roman"/>
          <w:bCs/>
          <w:sz w:val="24"/>
        </w:rPr>
      </w:pPr>
    </w:p>
    <w:p w:rsidR="001C43C5" w:rsidRPr="00A148F1" w:rsidRDefault="001C43C5" w:rsidP="001C43C5">
      <w:pPr>
        <w:pStyle w:val="Ttulo1"/>
        <w:rPr>
          <w:rFonts w:ascii="Times New Roman" w:hAnsi="Times New Roman" w:cs="Times New Roman"/>
          <w:sz w:val="24"/>
          <w:szCs w:val="24"/>
        </w:rPr>
      </w:pPr>
      <w:r w:rsidRPr="00A148F1">
        <w:rPr>
          <w:rFonts w:ascii="Times New Roman" w:hAnsi="Times New Roman" w:cs="Times New Roman"/>
          <w:sz w:val="24"/>
          <w:szCs w:val="24"/>
        </w:rPr>
        <w:t>METODOLOGIA DA PESQUISA</w:t>
      </w:r>
    </w:p>
    <w:p w:rsidR="001C43C5" w:rsidRPr="00A148F1" w:rsidRDefault="001C43C5" w:rsidP="001C43C5">
      <w:pPr>
        <w:spacing w:after="0" w:line="240" w:lineRule="auto"/>
        <w:ind w:firstLine="709"/>
        <w:jc w:val="both"/>
        <w:rPr>
          <w:rFonts w:ascii="Times New Roman" w:hAnsi="Times New Roman" w:cs="Times New Roman"/>
          <w:bCs/>
          <w:sz w:val="24"/>
          <w:szCs w:val="24"/>
        </w:rPr>
      </w:pPr>
      <w:r w:rsidRPr="00A148F1">
        <w:rPr>
          <w:rFonts w:ascii="Times New Roman" w:hAnsi="Times New Roman" w:cs="Times New Roman"/>
          <w:bCs/>
          <w:sz w:val="24"/>
          <w:szCs w:val="24"/>
        </w:rPr>
        <w:t>Com o propósito de alcançar o objetivo proposto, e diante do problema formulado para esta pesquisa, este artigo utiliza uma abordagem metodológica. Com vistas a evidenciar a metodologia utilizada na pesquisa, este capítulo apresenta: a classificação da pesquisa; as técnicas e instrumentos de coleta e análise de dados; os procedimentos metodológicos; e as características e dados da entidade.</w:t>
      </w:r>
    </w:p>
    <w:p w:rsidR="001C43C5" w:rsidRPr="00A148F1" w:rsidRDefault="001C43C5" w:rsidP="001C43C5">
      <w:pPr>
        <w:spacing w:after="0" w:line="240" w:lineRule="auto"/>
        <w:ind w:firstLine="709"/>
        <w:jc w:val="both"/>
        <w:rPr>
          <w:rFonts w:ascii="Times New Roman" w:hAnsi="Times New Roman" w:cs="Times New Roman"/>
          <w:bCs/>
          <w:sz w:val="24"/>
          <w:szCs w:val="24"/>
        </w:rPr>
      </w:pPr>
    </w:p>
    <w:p w:rsidR="001C43C5" w:rsidRPr="00A148F1" w:rsidRDefault="004F10F1" w:rsidP="001C43C5">
      <w:pPr>
        <w:pStyle w:val="Ttulo2"/>
        <w:rPr>
          <w:rFonts w:ascii="Times New Roman" w:hAnsi="Times New Roman"/>
          <w:sz w:val="24"/>
        </w:rPr>
      </w:pPr>
      <w:r>
        <w:rPr>
          <w:rFonts w:ascii="Times New Roman" w:hAnsi="Times New Roman"/>
          <w:sz w:val="24"/>
        </w:rPr>
        <w:t>CLASSIFICAÇÃO DA PESQUISA</w:t>
      </w:r>
    </w:p>
    <w:p w:rsidR="001C43C5" w:rsidRPr="00A148F1" w:rsidRDefault="001C43C5" w:rsidP="001C43C5">
      <w:pPr>
        <w:spacing w:after="0" w:line="240" w:lineRule="auto"/>
        <w:ind w:firstLine="709"/>
        <w:jc w:val="both"/>
        <w:rPr>
          <w:rFonts w:ascii="Times New Roman" w:hAnsi="Times New Roman" w:cs="Times New Roman"/>
          <w:bCs/>
          <w:sz w:val="24"/>
          <w:szCs w:val="24"/>
        </w:rPr>
      </w:pPr>
      <w:r w:rsidRPr="00A148F1">
        <w:rPr>
          <w:rFonts w:ascii="Times New Roman" w:hAnsi="Times New Roman" w:cs="Times New Roman"/>
          <w:bCs/>
          <w:sz w:val="24"/>
          <w:szCs w:val="24"/>
        </w:rPr>
        <w:t xml:space="preserve">Diversos autores preconizam diferentes tipologias para delineamento de pesquisas. Conforme </w:t>
      </w:r>
      <w:proofErr w:type="spellStart"/>
      <w:r w:rsidRPr="00A148F1">
        <w:rPr>
          <w:rFonts w:ascii="Times New Roman" w:hAnsi="Times New Roman" w:cs="Times New Roman"/>
          <w:bCs/>
          <w:sz w:val="24"/>
          <w:szCs w:val="24"/>
        </w:rPr>
        <w:t>Raupp</w:t>
      </w:r>
      <w:proofErr w:type="spellEnd"/>
      <w:r w:rsidRPr="00A148F1">
        <w:rPr>
          <w:rFonts w:ascii="Times New Roman" w:hAnsi="Times New Roman" w:cs="Times New Roman"/>
          <w:bCs/>
          <w:sz w:val="24"/>
          <w:szCs w:val="24"/>
        </w:rPr>
        <w:t xml:space="preserve"> e </w:t>
      </w:r>
      <w:proofErr w:type="spellStart"/>
      <w:r w:rsidRPr="00A148F1">
        <w:rPr>
          <w:rFonts w:ascii="Times New Roman" w:hAnsi="Times New Roman" w:cs="Times New Roman"/>
          <w:bCs/>
          <w:sz w:val="24"/>
          <w:szCs w:val="24"/>
        </w:rPr>
        <w:t>Beuren</w:t>
      </w:r>
      <w:proofErr w:type="spellEnd"/>
      <w:r w:rsidRPr="00A148F1">
        <w:rPr>
          <w:rFonts w:ascii="Times New Roman" w:hAnsi="Times New Roman" w:cs="Times New Roman"/>
          <w:bCs/>
          <w:sz w:val="24"/>
          <w:szCs w:val="24"/>
        </w:rPr>
        <w:t xml:space="preserve"> (2004), na área de conhecimento de Contabilidade, as tipologias mais aplicáveis estão agrupadas em três categorias: quanto aos objetivos, quanto aos procedimentos e quanto à abordagem do problema. A seguir, é apresentada a tipificação quanto aos aspectos mencionados.</w:t>
      </w:r>
    </w:p>
    <w:p w:rsidR="001C43C5" w:rsidRPr="00A148F1" w:rsidRDefault="001C43C5" w:rsidP="001C43C5">
      <w:pPr>
        <w:spacing w:after="0" w:line="240" w:lineRule="auto"/>
        <w:ind w:firstLine="709"/>
        <w:jc w:val="both"/>
        <w:rPr>
          <w:rFonts w:ascii="Times New Roman" w:hAnsi="Times New Roman" w:cs="Times New Roman"/>
          <w:bCs/>
          <w:sz w:val="24"/>
          <w:szCs w:val="24"/>
        </w:rPr>
      </w:pPr>
      <w:r w:rsidRPr="00A148F1">
        <w:rPr>
          <w:rFonts w:ascii="Times New Roman" w:hAnsi="Times New Roman" w:cs="Times New Roman"/>
          <w:bCs/>
          <w:sz w:val="24"/>
          <w:szCs w:val="24"/>
        </w:rPr>
        <w:t>As pesquisas podem ser classificadas quanto aos seus objetivos como exploratórias, descritivas e explicativas (GIL, 2010, p. 27). Diante das opções de classificação, esta pesquisa é apenas descritiva.</w:t>
      </w:r>
    </w:p>
    <w:p w:rsidR="001C43C5" w:rsidRPr="00A148F1" w:rsidRDefault="001C43C5" w:rsidP="001C43C5">
      <w:pPr>
        <w:spacing w:after="0" w:line="240" w:lineRule="auto"/>
        <w:ind w:firstLine="709"/>
        <w:jc w:val="both"/>
        <w:rPr>
          <w:rFonts w:ascii="Times New Roman" w:hAnsi="Times New Roman" w:cs="Times New Roman"/>
          <w:bCs/>
          <w:sz w:val="24"/>
          <w:szCs w:val="24"/>
        </w:rPr>
      </w:pPr>
      <w:r w:rsidRPr="00A148F1">
        <w:rPr>
          <w:rFonts w:ascii="Times New Roman" w:hAnsi="Times New Roman" w:cs="Times New Roman"/>
          <w:bCs/>
          <w:sz w:val="24"/>
          <w:szCs w:val="24"/>
        </w:rPr>
        <w:t>A classificação desta pesquisa, como descritiva, foi utilizada, pois essa tem como propósito verificar se o limite constitucional foi cumprido pelo ente ao longo da série histórica analisada, além de verificar possíveis divergências em relação aos dados divulgados pelo Tribunal de Contas do Estado de Santa Catarina TCE/SC e os apresentados pelo município.</w:t>
      </w:r>
    </w:p>
    <w:p w:rsidR="001C43C5" w:rsidRPr="00A148F1" w:rsidRDefault="001C43C5" w:rsidP="001C43C5">
      <w:pPr>
        <w:spacing w:after="0" w:line="240" w:lineRule="auto"/>
        <w:ind w:firstLine="709"/>
        <w:jc w:val="both"/>
        <w:rPr>
          <w:rFonts w:ascii="Times New Roman" w:hAnsi="Times New Roman" w:cs="Times New Roman"/>
          <w:bCs/>
          <w:sz w:val="24"/>
          <w:szCs w:val="24"/>
        </w:rPr>
      </w:pPr>
      <w:r w:rsidRPr="00A148F1">
        <w:rPr>
          <w:rFonts w:ascii="Times New Roman" w:hAnsi="Times New Roman" w:cs="Times New Roman"/>
          <w:bCs/>
          <w:sz w:val="24"/>
          <w:szCs w:val="24"/>
        </w:rPr>
        <w:t xml:space="preserve">Segundo </w:t>
      </w:r>
      <w:proofErr w:type="spellStart"/>
      <w:r w:rsidRPr="00A148F1">
        <w:rPr>
          <w:rFonts w:ascii="Times New Roman" w:hAnsi="Times New Roman" w:cs="Times New Roman"/>
          <w:bCs/>
          <w:sz w:val="24"/>
          <w:szCs w:val="24"/>
        </w:rPr>
        <w:t>Raupp</w:t>
      </w:r>
      <w:proofErr w:type="spellEnd"/>
      <w:r w:rsidRPr="00A148F1">
        <w:rPr>
          <w:rFonts w:ascii="Times New Roman" w:hAnsi="Times New Roman" w:cs="Times New Roman"/>
          <w:bCs/>
          <w:sz w:val="24"/>
          <w:szCs w:val="24"/>
        </w:rPr>
        <w:t xml:space="preserve"> e </w:t>
      </w:r>
      <w:proofErr w:type="spellStart"/>
      <w:r w:rsidRPr="00A148F1">
        <w:rPr>
          <w:rFonts w:ascii="Times New Roman" w:hAnsi="Times New Roman" w:cs="Times New Roman"/>
          <w:bCs/>
          <w:sz w:val="24"/>
          <w:szCs w:val="24"/>
        </w:rPr>
        <w:t>Beuren</w:t>
      </w:r>
      <w:proofErr w:type="spellEnd"/>
      <w:r w:rsidRPr="00A148F1">
        <w:rPr>
          <w:rFonts w:ascii="Times New Roman" w:hAnsi="Times New Roman" w:cs="Times New Roman"/>
          <w:bCs/>
          <w:sz w:val="24"/>
          <w:szCs w:val="24"/>
        </w:rPr>
        <w:t xml:space="preserve"> (2004), “os procedimentos na pesquisa científica referem-se à maneira pela qual se conduz o estudo e, portanto, se obtêm os dados” e podem ser agrupados em: pesquisa de levantamento, bibliográfica, documental, participante e experimental (RAUP; BEUREN, 2004, p. 83). Diante das opções de tipologia, a pesquisa é classificada como bibliográfica e documental.</w:t>
      </w:r>
    </w:p>
    <w:p w:rsidR="001C43C5" w:rsidRPr="00A148F1" w:rsidRDefault="001C43C5" w:rsidP="001C43C5">
      <w:pPr>
        <w:spacing w:after="0" w:line="240" w:lineRule="auto"/>
        <w:ind w:firstLine="709"/>
        <w:jc w:val="both"/>
        <w:rPr>
          <w:rFonts w:ascii="Times New Roman" w:hAnsi="Times New Roman" w:cs="Times New Roman"/>
          <w:bCs/>
          <w:sz w:val="24"/>
          <w:szCs w:val="24"/>
        </w:rPr>
      </w:pPr>
      <w:r w:rsidRPr="00A148F1">
        <w:rPr>
          <w:rFonts w:ascii="Times New Roman" w:hAnsi="Times New Roman" w:cs="Times New Roman"/>
          <w:bCs/>
          <w:sz w:val="24"/>
          <w:szCs w:val="24"/>
        </w:rPr>
        <w:t xml:space="preserve">A pesquisa documental é feita baseada nos Demonstrativos das Receitas de Impostos e das Despesas Próprias com Saúde, elaborados pela Prefeitura Municipal de Florianópolis, e nos pareceres do Tribunal de Contas do Estado de Santa Catarina. </w:t>
      </w:r>
    </w:p>
    <w:p w:rsidR="001C43C5" w:rsidRPr="00A148F1" w:rsidRDefault="001C43C5" w:rsidP="001C43C5">
      <w:pPr>
        <w:spacing w:after="0" w:line="240" w:lineRule="auto"/>
        <w:ind w:firstLine="708"/>
        <w:jc w:val="both"/>
        <w:rPr>
          <w:rFonts w:ascii="Times New Roman" w:hAnsi="Times New Roman" w:cs="Times New Roman"/>
          <w:bCs/>
          <w:sz w:val="24"/>
          <w:szCs w:val="24"/>
        </w:rPr>
      </w:pPr>
      <w:r w:rsidRPr="00A148F1">
        <w:rPr>
          <w:rFonts w:ascii="Times New Roman" w:hAnsi="Times New Roman" w:cs="Times New Roman"/>
          <w:bCs/>
          <w:sz w:val="24"/>
          <w:szCs w:val="24"/>
        </w:rPr>
        <w:t>Para a pesquisa bibliográfica, foram utilizados livros, artigos, monografias, teses, e dissertações, ensejando maior entendimento aos temas abordados no presente artigo. Os principais temas da pesquisa são: aplicação em despesa com saúde e Contabilidade Pública.</w:t>
      </w:r>
    </w:p>
    <w:p w:rsidR="001C43C5" w:rsidRPr="00A148F1" w:rsidRDefault="001C43C5" w:rsidP="001C43C5">
      <w:pPr>
        <w:spacing w:after="0" w:line="240" w:lineRule="auto"/>
        <w:ind w:firstLine="708"/>
        <w:jc w:val="both"/>
        <w:rPr>
          <w:rFonts w:ascii="Times New Roman" w:hAnsi="Times New Roman" w:cs="Times New Roman"/>
          <w:bCs/>
          <w:sz w:val="24"/>
          <w:szCs w:val="24"/>
        </w:rPr>
      </w:pPr>
      <w:r w:rsidRPr="00A148F1">
        <w:rPr>
          <w:rFonts w:ascii="Times New Roman" w:hAnsi="Times New Roman" w:cs="Times New Roman"/>
          <w:bCs/>
          <w:sz w:val="24"/>
          <w:szCs w:val="24"/>
        </w:rPr>
        <w:t>As pesquisas, quanto à abordagem do problema, podem ser classificadas como: qualitativa; quantitativa; ou, se ambas as classificações, como mista (</w:t>
      </w:r>
      <w:proofErr w:type="spellStart"/>
      <w:r w:rsidRPr="00A148F1">
        <w:rPr>
          <w:rFonts w:ascii="Times New Roman" w:hAnsi="Times New Roman" w:cs="Times New Roman"/>
          <w:bCs/>
          <w:sz w:val="24"/>
          <w:szCs w:val="24"/>
        </w:rPr>
        <w:t>quali-quantitativa</w:t>
      </w:r>
      <w:proofErr w:type="spellEnd"/>
      <w:r w:rsidRPr="00A148F1">
        <w:rPr>
          <w:rFonts w:ascii="Times New Roman" w:hAnsi="Times New Roman" w:cs="Times New Roman"/>
          <w:bCs/>
          <w:sz w:val="24"/>
          <w:szCs w:val="24"/>
        </w:rPr>
        <w:t>). A presente pesquisa é classificada como mista.</w:t>
      </w:r>
    </w:p>
    <w:p w:rsidR="001C43C5" w:rsidRPr="00A148F1" w:rsidRDefault="001C43C5" w:rsidP="001C43C5">
      <w:pPr>
        <w:spacing w:after="0" w:line="240" w:lineRule="auto"/>
        <w:ind w:firstLine="708"/>
        <w:jc w:val="both"/>
        <w:rPr>
          <w:rFonts w:ascii="Times New Roman" w:hAnsi="Times New Roman" w:cs="Times New Roman"/>
          <w:bCs/>
          <w:sz w:val="24"/>
          <w:szCs w:val="24"/>
        </w:rPr>
      </w:pPr>
      <w:r w:rsidRPr="00A148F1">
        <w:rPr>
          <w:rFonts w:ascii="Times New Roman" w:hAnsi="Times New Roman" w:cs="Times New Roman"/>
          <w:bCs/>
          <w:sz w:val="24"/>
          <w:szCs w:val="24"/>
        </w:rPr>
        <w:t xml:space="preserve">A etapa de coleta e tabulação dos dados referentes aos demonstrativos do Município, e pareceres do Tribunal de Contas do Estado, justifica a classificação da pesquisa como quantitativa. Após a etapa quantitativa de coleta e tabulação dos dados, há uma etapa </w:t>
      </w:r>
      <w:r w:rsidRPr="00A148F1">
        <w:rPr>
          <w:rFonts w:ascii="Times New Roman" w:hAnsi="Times New Roman" w:cs="Times New Roman"/>
          <w:bCs/>
          <w:sz w:val="24"/>
          <w:szCs w:val="24"/>
        </w:rPr>
        <w:lastRenderedPageBreak/>
        <w:t>qualitativa em relação à abordagem, quando se busca interpretar, comparar e analisar a evolução das despesas ao longo da série histórica.</w:t>
      </w:r>
    </w:p>
    <w:p w:rsidR="001C43C5" w:rsidRPr="00A148F1" w:rsidRDefault="001C43C5" w:rsidP="001C43C5">
      <w:pPr>
        <w:spacing w:after="0" w:line="240" w:lineRule="auto"/>
        <w:ind w:firstLine="708"/>
        <w:jc w:val="both"/>
        <w:rPr>
          <w:rFonts w:ascii="Times New Roman" w:hAnsi="Times New Roman" w:cs="Times New Roman"/>
          <w:bCs/>
          <w:sz w:val="24"/>
          <w:szCs w:val="24"/>
        </w:rPr>
      </w:pPr>
    </w:p>
    <w:p w:rsidR="001C43C5" w:rsidRPr="00A148F1" w:rsidRDefault="001C43C5" w:rsidP="001C43C5">
      <w:pPr>
        <w:pStyle w:val="Ttulo2"/>
        <w:rPr>
          <w:rFonts w:ascii="Times New Roman" w:hAnsi="Times New Roman"/>
          <w:sz w:val="24"/>
        </w:rPr>
      </w:pPr>
      <w:r w:rsidRPr="00A148F1">
        <w:rPr>
          <w:rFonts w:ascii="Times New Roman" w:hAnsi="Times New Roman"/>
          <w:sz w:val="24"/>
        </w:rPr>
        <w:t>Técnicas e instrumentos de pesquisa</w:t>
      </w:r>
    </w:p>
    <w:p w:rsidR="001C43C5" w:rsidRPr="00A148F1" w:rsidRDefault="001C43C5" w:rsidP="001C43C5">
      <w:pPr>
        <w:spacing w:after="0" w:line="240" w:lineRule="auto"/>
        <w:ind w:firstLine="709"/>
        <w:jc w:val="both"/>
        <w:rPr>
          <w:rFonts w:ascii="Times New Roman" w:hAnsi="Times New Roman" w:cs="Times New Roman"/>
          <w:bCs/>
          <w:sz w:val="24"/>
          <w:szCs w:val="24"/>
        </w:rPr>
      </w:pPr>
      <w:r w:rsidRPr="00A148F1">
        <w:rPr>
          <w:rFonts w:ascii="Times New Roman" w:hAnsi="Times New Roman" w:cs="Times New Roman"/>
          <w:bCs/>
          <w:sz w:val="24"/>
          <w:szCs w:val="24"/>
        </w:rPr>
        <w:t>O conjunto de processos ou preceitos de que se serve uma ciência podem ser entendidos como técnicas de pesquisa (LAKATOS; MARCONI, 2010, p. 205). Deste modo o conjunto dos processos, descritos pelos autores, são executados com a finalidade de cumprir os objetivos da pesquisa.</w:t>
      </w:r>
    </w:p>
    <w:p w:rsidR="001C43C5" w:rsidRPr="00A148F1" w:rsidRDefault="001C43C5" w:rsidP="001C43C5">
      <w:pPr>
        <w:spacing w:after="0" w:line="240" w:lineRule="auto"/>
        <w:ind w:firstLine="709"/>
        <w:jc w:val="both"/>
        <w:rPr>
          <w:rFonts w:ascii="Times New Roman" w:hAnsi="Times New Roman" w:cs="Times New Roman"/>
          <w:bCs/>
          <w:sz w:val="24"/>
          <w:szCs w:val="24"/>
        </w:rPr>
      </w:pPr>
      <w:r w:rsidRPr="00A148F1">
        <w:rPr>
          <w:rFonts w:ascii="Times New Roman" w:hAnsi="Times New Roman" w:cs="Times New Roman"/>
          <w:bCs/>
          <w:sz w:val="24"/>
          <w:szCs w:val="24"/>
        </w:rPr>
        <w:t>As fontes de dados utilizadas para embasamento da fundamentação teórica, assim como na seção de resultados, foram de documentos escritos. São dados de fontes primárias e de fontes secundárias. As fontes primárias são aquelas que não receberam qualquer tratamento analítico, e as secundárias são aquelas em que os dados já são elaborados.</w:t>
      </w:r>
    </w:p>
    <w:p w:rsidR="001C43C5" w:rsidRPr="00A148F1" w:rsidRDefault="001C43C5" w:rsidP="001C43C5">
      <w:pPr>
        <w:spacing w:after="0" w:line="240" w:lineRule="auto"/>
        <w:ind w:firstLine="709"/>
        <w:jc w:val="both"/>
        <w:rPr>
          <w:rFonts w:ascii="Times New Roman" w:hAnsi="Times New Roman" w:cs="Times New Roman"/>
          <w:bCs/>
          <w:sz w:val="24"/>
          <w:szCs w:val="24"/>
        </w:rPr>
      </w:pPr>
      <w:r w:rsidRPr="00A148F1">
        <w:rPr>
          <w:rFonts w:ascii="Times New Roman" w:hAnsi="Times New Roman" w:cs="Times New Roman"/>
          <w:bCs/>
          <w:sz w:val="24"/>
          <w:szCs w:val="24"/>
        </w:rPr>
        <w:t>São fontes primárias utilizadas nesta pesquisa: os Demonstrativos da Receita de Impostos e das Despesas Próprias com Saúde de todos os anos analisados do Município além das normas aplicadas ao tema proposto pela pesquisa.</w:t>
      </w:r>
    </w:p>
    <w:p w:rsidR="001C43C5" w:rsidRPr="00A148F1" w:rsidRDefault="001C43C5" w:rsidP="001C43C5">
      <w:pPr>
        <w:spacing w:after="0" w:line="240" w:lineRule="auto"/>
        <w:ind w:firstLine="709"/>
        <w:jc w:val="both"/>
        <w:rPr>
          <w:rFonts w:ascii="Times New Roman" w:hAnsi="Times New Roman" w:cs="Times New Roman"/>
          <w:bCs/>
          <w:sz w:val="24"/>
          <w:szCs w:val="24"/>
        </w:rPr>
      </w:pPr>
      <w:r w:rsidRPr="00A148F1">
        <w:rPr>
          <w:rFonts w:ascii="Times New Roman" w:hAnsi="Times New Roman" w:cs="Times New Roman"/>
          <w:bCs/>
          <w:sz w:val="24"/>
          <w:szCs w:val="24"/>
        </w:rPr>
        <w:t>A pesquisa bibliográfica baseou-se nas fontes secundárias de dados, e utilizaram-se livros, artigos científicos, monografias, entre outros. Tais fontes serviram de base, principalmente, para a fundamentação teórica da pesquisa. Consideram-se, ainda, como fontes secundárias, os dados referentes aos pareceres do Tribunal de Contas do Estado de Santa Catarina.</w:t>
      </w:r>
    </w:p>
    <w:p w:rsidR="001C43C5" w:rsidRPr="00A148F1" w:rsidRDefault="001C43C5" w:rsidP="001C43C5">
      <w:pPr>
        <w:spacing w:after="0" w:line="240" w:lineRule="auto"/>
        <w:ind w:firstLine="709"/>
        <w:jc w:val="both"/>
        <w:rPr>
          <w:rFonts w:ascii="Times New Roman" w:hAnsi="Times New Roman" w:cs="Times New Roman"/>
          <w:bCs/>
          <w:sz w:val="24"/>
          <w:szCs w:val="24"/>
        </w:rPr>
      </w:pPr>
    </w:p>
    <w:p w:rsidR="001C43C5" w:rsidRPr="00A148F1" w:rsidRDefault="001C43C5" w:rsidP="001C43C5">
      <w:pPr>
        <w:pStyle w:val="Ttulo2"/>
        <w:rPr>
          <w:rFonts w:ascii="Times New Roman" w:hAnsi="Times New Roman"/>
          <w:sz w:val="24"/>
        </w:rPr>
      </w:pPr>
      <w:r w:rsidRPr="00A148F1">
        <w:rPr>
          <w:rFonts w:ascii="Times New Roman" w:hAnsi="Times New Roman"/>
          <w:sz w:val="24"/>
        </w:rPr>
        <w:t xml:space="preserve">Procedimentos </w:t>
      </w:r>
      <w:r w:rsidR="004F10F1">
        <w:rPr>
          <w:rFonts w:ascii="Times New Roman" w:hAnsi="Times New Roman"/>
          <w:sz w:val="24"/>
        </w:rPr>
        <w:t>DE PESQUISA</w:t>
      </w:r>
    </w:p>
    <w:p w:rsidR="001C43C5" w:rsidRPr="00A148F1" w:rsidRDefault="001C43C5" w:rsidP="001C43C5">
      <w:pPr>
        <w:spacing w:after="0" w:line="240" w:lineRule="auto"/>
        <w:ind w:firstLine="709"/>
        <w:jc w:val="both"/>
        <w:rPr>
          <w:rFonts w:ascii="Times New Roman" w:hAnsi="Times New Roman" w:cs="Times New Roman"/>
          <w:bCs/>
          <w:sz w:val="24"/>
          <w:szCs w:val="24"/>
        </w:rPr>
      </w:pPr>
      <w:r w:rsidRPr="00A148F1">
        <w:rPr>
          <w:rFonts w:ascii="Times New Roman" w:hAnsi="Times New Roman" w:cs="Times New Roman"/>
          <w:bCs/>
          <w:sz w:val="24"/>
          <w:szCs w:val="24"/>
        </w:rPr>
        <w:t>Com a finalidade de cumprir os objetivos propostos desta pesquisa, procedimentos foram utilizados pelos pesquisadores. Estes procedimentos foram ordenados em cinco passos, nos quais foram aplicados os instrumentos da pesquisa.</w:t>
      </w:r>
    </w:p>
    <w:p w:rsidR="001C43C5" w:rsidRPr="00A148F1" w:rsidRDefault="001C43C5" w:rsidP="001C43C5">
      <w:pPr>
        <w:spacing w:after="0" w:line="240" w:lineRule="auto"/>
        <w:ind w:firstLine="709"/>
        <w:jc w:val="both"/>
        <w:rPr>
          <w:rFonts w:ascii="Times New Roman" w:hAnsi="Times New Roman" w:cs="Times New Roman"/>
          <w:bCs/>
          <w:sz w:val="24"/>
          <w:szCs w:val="24"/>
        </w:rPr>
      </w:pPr>
      <w:r w:rsidRPr="00A148F1">
        <w:rPr>
          <w:rFonts w:ascii="Times New Roman" w:hAnsi="Times New Roman" w:cs="Times New Roman"/>
          <w:bCs/>
          <w:sz w:val="24"/>
          <w:szCs w:val="24"/>
        </w:rPr>
        <w:t>1º Passo: Revisão de literatura, buscando identificar os fundamentos legais que regem os limites de aplicação mínima de despesas com saúde.</w:t>
      </w:r>
    </w:p>
    <w:p w:rsidR="001C43C5" w:rsidRPr="00A148F1" w:rsidRDefault="001C43C5" w:rsidP="001C43C5">
      <w:pPr>
        <w:spacing w:after="0" w:line="240" w:lineRule="auto"/>
        <w:ind w:firstLine="709"/>
        <w:jc w:val="both"/>
        <w:rPr>
          <w:rFonts w:ascii="Times New Roman" w:hAnsi="Times New Roman" w:cs="Times New Roman"/>
          <w:bCs/>
          <w:sz w:val="24"/>
          <w:szCs w:val="24"/>
        </w:rPr>
      </w:pPr>
      <w:r w:rsidRPr="00A148F1">
        <w:rPr>
          <w:rFonts w:ascii="Times New Roman" w:hAnsi="Times New Roman" w:cs="Times New Roman"/>
          <w:bCs/>
          <w:sz w:val="24"/>
          <w:szCs w:val="24"/>
        </w:rPr>
        <w:t>2º Passo: Levantamento dos demonstrativos e dos relatórios contábeis e pareceres do TCE/SC que apresentam as despesas com saúde do Município estudado no período de 2000 a 2015 e que permitem realizar a coleta de dados.</w:t>
      </w:r>
    </w:p>
    <w:p w:rsidR="001C43C5" w:rsidRPr="00A148F1" w:rsidRDefault="001C43C5" w:rsidP="001C43C5">
      <w:pPr>
        <w:spacing w:after="0" w:line="240" w:lineRule="auto"/>
        <w:ind w:firstLine="709"/>
        <w:jc w:val="both"/>
        <w:rPr>
          <w:rFonts w:ascii="Times New Roman" w:hAnsi="Times New Roman" w:cs="Times New Roman"/>
          <w:bCs/>
          <w:sz w:val="24"/>
          <w:szCs w:val="24"/>
        </w:rPr>
      </w:pPr>
      <w:r w:rsidRPr="00A148F1">
        <w:rPr>
          <w:rFonts w:ascii="Times New Roman" w:hAnsi="Times New Roman" w:cs="Times New Roman"/>
          <w:bCs/>
          <w:sz w:val="24"/>
          <w:szCs w:val="24"/>
        </w:rPr>
        <w:t>3º Passo: Coleta e organização dos dados referentes às receitas líquidas de impostos e às despesas com saúde. Foi utilizado um programa de planilha eletrônica para tabulação. Os procedimentos específicos de coleta e tabulação de dados estão detalhados na Seção 3.4 do Capítulo Procedimentos Metodológicos.</w:t>
      </w:r>
    </w:p>
    <w:p w:rsidR="001C43C5" w:rsidRPr="00A148F1" w:rsidRDefault="001C43C5" w:rsidP="001C43C5">
      <w:pPr>
        <w:spacing w:after="0" w:line="240" w:lineRule="auto"/>
        <w:ind w:firstLine="709"/>
        <w:jc w:val="both"/>
        <w:rPr>
          <w:rFonts w:ascii="Times New Roman" w:hAnsi="Times New Roman" w:cs="Times New Roman"/>
          <w:bCs/>
          <w:sz w:val="24"/>
          <w:szCs w:val="24"/>
        </w:rPr>
      </w:pPr>
      <w:r w:rsidRPr="00A148F1">
        <w:rPr>
          <w:rFonts w:ascii="Times New Roman" w:hAnsi="Times New Roman" w:cs="Times New Roman"/>
          <w:bCs/>
          <w:sz w:val="24"/>
          <w:szCs w:val="24"/>
        </w:rPr>
        <w:t>4º Passo: Apresentação dos cálculos que foram efetuados para demonstrar os percentuais das despesas com saúde em relação às receitas consideradas para o cálculo, com vistas a evidenciar se os limites legalmente estabelecidos foram cumpridos.</w:t>
      </w:r>
    </w:p>
    <w:p w:rsidR="001C43C5" w:rsidRPr="00A148F1" w:rsidRDefault="001C43C5" w:rsidP="001C43C5">
      <w:pPr>
        <w:spacing w:after="0" w:line="240" w:lineRule="auto"/>
        <w:ind w:firstLine="709"/>
        <w:jc w:val="both"/>
        <w:rPr>
          <w:rFonts w:ascii="Times New Roman" w:hAnsi="Times New Roman" w:cs="Times New Roman"/>
          <w:bCs/>
          <w:sz w:val="24"/>
          <w:szCs w:val="24"/>
        </w:rPr>
      </w:pPr>
      <w:r w:rsidRPr="00A148F1">
        <w:rPr>
          <w:rFonts w:ascii="Times New Roman" w:hAnsi="Times New Roman" w:cs="Times New Roman"/>
          <w:bCs/>
          <w:sz w:val="24"/>
          <w:szCs w:val="24"/>
        </w:rPr>
        <w:t>5º Passo: Exposição e comparação dos valores obtidos por meio da análise efetuada com gráficos, tabelas e textos expositivos.</w:t>
      </w:r>
    </w:p>
    <w:p w:rsidR="001C43C5" w:rsidRPr="00A148F1" w:rsidRDefault="001C43C5" w:rsidP="001C43C5">
      <w:pPr>
        <w:spacing w:after="0" w:line="240" w:lineRule="auto"/>
        <w:ind w:firstLine="709"/>
        <w:jc w:val="both"/>
        <w:rPr>
          <w:rFonts w:ascii="Times New Roman" w:hAnsi="Times New Roman" w:cs="Times New Roman"/>
          <w:bCs/>
          <w:sz w:val="24"/>
          <w:szCs w:val="24"/>
        </w:rPr>
      </w:pPr>
      <w:r w:rsidRPr="00A148F1">
        <w:rPr>
          <w:rFonts w:ascii="Times New Roman" w:hAnsi="Times New Roman" w:cs="Times New Roman"/>
          <w:bCs/>
          <w:sz w:val="24"/>
          <w:szCs w:val="24"/>
        </w:rPr>
        <w:t>Este artigo adota uma abordagem similar às de Rezende (2009), que analisou as despesas com saúde do Município de Florianópolis entre os anos de 2004 e 2008, verificando a composição, a expressividade, a evolução e a aplicação mínima constitucional.</w:t>
      </w:r>
    </w:p>
    <w:p w:rsidR="001C43C5" w:rsidRPr="00A148F1" w:rsidRDefault="001C43C5" w:rsidP="001C43C5">
      <w:pPr>
        <w:spacing w:after="0" w:line="240" w:lineRule="auto"/>
        <w:ind w:firstLine="709"/>
        <w:jc w:val="both"/>
        <w:rPr>
          <w:rFonts w:ascii="Times New Roman" w:hAnsi="Times New Roman" w:cs="Times New Roman"/>
          <w:bCs/>
          <w:sz w:val="24"/>
          <w:szCs w:val="24"/>
        </w:rPr>
      </w:pPr>
      <w:r w:rsidRPr="00A148F1">
        <w:rPr>
          <w:rFonts w:ascii="Times New Roman" w:hAnsi="Times New Roman" w:cs="Times New Roman"/>
          <w:bCs/>
          <w:sz w:val="24"/>
          <w:szCs w:val="24"/>
        </w:rPr>
        <w:lastRenderedPageBreak/>
        <w:t>Esta pesquisa, além de ampliar a série histórica analisada, de 2000 a 2015, compara os dados coletados dos demonstrativos municipais com os dados apurados pelo TCE/SC, verificando se houve divergências entre ambos.</w:t>
      </w:r>
    </w:p>
    <w:p w:rsidR="001C43C5" w:rsidRDefault="001C43C5" w:rsidP="001C43C5">
      <w:pPr>
        <w:spacing w:after="0" w:line="240" w:lineRule="auto"/>
        <w:ind w:firstLine="708"/>
        <w:jc w:val="both"/>
        <w:rPr>
          <w:rFonts w:ascii="Times New Roman" w:hAnsi="Times New Roman" w:cs="Times New Roman"/>
          <w:bCs/>
          <w:sz w:val="24"/>
          <w:szCs w:val="24"/>
        </w:rPr>
      </w:pPr>
      <w:r w:rsidRPr="00A148F1">
        <w:rPr>
          <w:rFonts w:ascii="Times New Roman" w:hAnsi="Times New Roman" w:cs="Times New Roman"/>
          <w:bCs/>
          <w:sz w:val="24"/>
          <w:szCs w:val="24"/>
        </w:rPr>
        <w:t>A análise dos dados coletados foi feita com a criação de tabelas e gráficos, buscando evidenciar, além do cumprimento da aplicação mínima constitucional, a evolução das receitas e despesas ao longo dos anos.</w:t>
      </w:r>
    </w:p>
    <w:p w:rsidR="001C43C5" w:rsidRPr="00A148F1" w:rsidRDefault="001C43C5" w:rsidP="001C43C5">
      <w:pPr>
        <w:spacing w:after="0" w:line="240" w:lineRule="auto"/>
        <w:ind w:firstLine="708"/>
        <w:jc w:val="both"/>
        <w:rPr>
          <w:rFonts w:ascii="Times New Roman" w:hAnsi="Times New Roman" w:cs="Times New Roman"/>
          <w:bCs/>
          <w:sz w:val="24"/>
          <w:szCs w:val="24"/>
        </w:rPr>
      </w:pPr>
    </w:p>
    <w:p w:rsidR="001C43C5" w:rsidRPr="00A148F1" w:rsidRDefault="001C43C5" w:rsidP="001C43C5">
      <w:pPr>
        <w:pStyle w:val="Ttulo2"/>
        <w:rPr>
          <w:rFonts w:ascii="Times New Roman" w:hAnsi="Times New Roman"/>
          <w:sz w:val="24"/>
        </w:rPr>
      </w:pPr>
      <w:r w:rsidRPr="00A148F1">
        <w:rPr>
          <w:rFonts w:ascii="Times New Roman" w:hAnsi="Times New Roman"/>
          <w:sz w:val="24"/>
        </w:rPr>
        <w:t>Características e dados da entidade</w:t>
      </w:r>
    </w:p>
    <w:p w:rsidR="001C43C5" w:rsidRPr="00A148F1" w:rsidRDefault="001C43C5" w:rsidP="001C43C5">
      <w:pPr>
        <w:spacing w:after="0" w:line="240" w:lineRule="auto"/>
        <w:ind w:firstLine="709"/>
        <w:jc w:val="both"/>
        <w:rPr>
          <w:rFonts w:ascii="Times New Roman" w:hAnsi="Times New Roman" w:cs="Times New Roman"/>
          <w:bCs/>
          <w:sz w:val="24"/>
          <w:szCs w:val="24"/>
        </w:rPr>
      </w:pPr>
      <w:r w:rsidRPr="00A148F1">
        <w:rPr>
          <w:rFonts w:ascii="Times New Roman" w:hAnsi="Times New Roman" w:cs="Times New Roman"/>
          <w:bCs/>
          <w:sz w:val="24"/>
          <w:szCs w:val="24"/>
        </w:rPr>
        <w:t>Esta pesquisa é focada em observar apenas um município brasileiro. Não foi utilizado nenhum procedimento amostral para escolha do ente, sendo que não é possível apenas um município representar toda a população, ou mesmo generalizar os resultados encontrados para todos os municípios a partir de um caso.</w:t>
      </w:r>
    </w:p>
    <w:p w:rsidR="001C43C5" w:rsidRPr="00A148F1" w:rsidRDefault="001C43C5" w:rsidP="001C43C5">
      <w:pPr>
        <w:spacing w:after="0" w:line="240" w:lineRule="auto"/>
        <w:ind w:firstLine="709"/>
        <w:jc w:val="both"/>
        <w:rPr>
          <w:rFonts w:ascii="Times New Roman" w:hAnsi="Times New Roman" w:cs="Times New Roman"/>
          <w:bCs/>
          <w:sz w:val="24"/>
          <w:szCs w:val="24"/>
        </w:rPr>
      </w:pPr>
      <w:r w:rsidRPr="00A148F1">
        <w:rPr>
          <w:rFonts w:ascii="Times New Roman" w:hAnsi="Times New Roman" w:cs="Times New Roman"/>
          <w:bCs/>
          <w:sz w:val="24"/>
          <w:szCs w:val="24"/>
        </w:rPr>
        <w:t>Foi selecionado o Município de Florianópolis - SC, sobre o qual foi realizado o estudo de receitas e despesas com saúde. O critério de escolha do município foi pela facilidade de acesso aos dados necessários para a pesquisa.</w:t>
      </w:r>
    </w:p>
    <w:p w:rsidR="001C43C5" w:rsidRPr="00A148F1" w:rsidRDefault="001C43C5" w:rsidP="001C43C5">
      <w:pPr>
        <w:spacing w:after="0" w:line="240" w:lineRule="auto"/>
        <w:ind w:firstLine="709"/>
        <w:jc w:val="both"/>
        <w:rPr>
          <w:rFonts w:ascii="Times New Roman" w:hAnsi="Times New Roman" w:cs="Times New Roman"/>
          <w:bCs/>
          <w:sz w:val="24"/>
          <w:szCs w:val="24"/>
        </w:rPr>
      </w:pPr>
      <w:r w:rsidRPr="00A148F1">
        <w:rPr>
          <w:rFonts w:ascii="Times New Roman" w:hAnsi="Times New Roman" w:cs="Times New Roman"/>
          <w:bCs/>
          <w:sz w:val="24"/>
          <w:szCs w:val="24"/>
        </w:rPr>
        <w:t>A pesquisa buscou obter os dados referentes aos seguintes documentos:</w:t>
      </w:r>
    </w:p>
    <w:p w:rsidR="001C43C5" w:rsidRPr="00A148F1" w:rsidRDefault="001C43C5" w:rsidP="001C43C5">
      <w:pPr>
        <w:pStyle w:val="PargrafodaLista"/>
        <w:numPr>
          <w:ilvl w:val="0"/>
          <w:numId w:val="11"/>
        </w:numPr>
        <w:tabs>
          <w:tab w:val="left" w:pos="993"/>
        </w:tabs>
        <w:spacing w:after="0" w:line="240" w:lineRule="auto"/>
        <w:ind w:left="0" w:firstLine="709"/>
        <w:jc w:val="both"/>
        <w:rPr>
          <w:rFonts w:ascii="Times New Roman" w:hAnsi="Times New Roman" w:cs="Times New Roman"/>
          <w:bCs/>
          <w:sz w:val="24"/>
          <w:szCs w:val="24"/>
        </w:rPr>
      </w:pPr>
      <w:r w:rsidRPr="00A148F1">
        <w:rPr>
          <w:rFonts w:ascii="Times New Roman" w:hAnsi="Times New Roman" w:cs="Times New Roman"/>
          <w:bCs/>
          <w:sz w:val="24"/>
          <w:szCs w:val="24"/>
        </w:rPr>
        <w:t>Demonstrativos das Receitas e Despesas com Ações e Serviços Públicos de Saúde do Município de Florianópolis, elaborados pelo Poder Executivo, referentes aos sextos bimestres dos anos de 2000 a 2015;</w:t>
      </w:r>
    </w:p>
    <w:p w:rsidR="001C43C5" w:rsidRPr="00A148F1" w:rsidRDefault="001C43C5" w:rsidP="001C43C5">
      <w:pPr>
        <w:pStyle w:val="PargrafodaLista"/>
        <w:numPr>
          <w:ilvl w:val="0"/>
          <w:numId w:val="11"/>
        </w:numPr>
        <w:tabs>
          <w:tab w:val="left" w:pos="993"/>
        </w:tabs>
        <w:spacing w:after="0" w:line="240" w:lineRule="auto"/>
        <w:ind w:left="0" w:firstLine="709"/>
        <w:jc w:val="both"/>
        <w:rPr>
          <w:rFonts w:ascii="Times New Roman" w:hAnsi="Times New Roman" w:cs="Times New Roman"/>
          <w:bCs/>
          <w:sz w:val="24"/>
          <w:szCs w:val="24"/>
        </w:rPr>
      </w:pPr>
      <w:r w:rsidRPr="00A148F1">
        <w:rPr>
          <w:rFonts w:ascii="Times New Roman" w:hAnsi="Times New Roman" w:cs="Times New Roman"/>
          <w:bCs/>
          <w:sz w:val="24"/>
          <w:szCs w:val="24"/>
        </w:rPr>
        <w:t>Publicações referentes a dados dos Pareceres Prévios do Tribunal de Contas do Estado de Santa Catarina (TCE/SC), concernentes às contas anuais do Município de Florianópolis, referentes aos anos de 2000 a 2015.</w:t>
      </w:r>
    </w:p>
    <w:p w:rsidR="001C43C5" w:rsidRPr="00A148F1" w:rsidRDefault="001C43C5" w:rsidP="001C43C5">
      <w:pPr>
        <w:spacing w:after="0" w:line="240" w:lineRule="auto"/>
        <w:ind w:firstLine="708"/>
        <w:jc w:val="both"/>
        <w:rPr>
          <w:rFonts w:ascii="Times New Roman" w:hAnsi="Times New Roman" w:cs="Times New Roman"/>
          <w:bCs/>
          <w:sz w:val="24"/>
          <w:szCs w:val="24"/>
        </w:rPr>
      </w:pPr>
      <w:r w:rsidRPr="00A148F1">
        <w:rPr>
          <w:rFonts w:ascii="Times New Roman" w:hAnsi="Times New Roman" w:cs="Times New Roman"/>
          <w:bCs/>
          <w:sz w:val="24"/>
          <w:szCs w:val="24"/>
        </w:rPr>
        <w:t>Os documentos foram obtidos das seguintes fontes:</w:t>
      </w:r>
    </w:p>
    <w:p w:rsidR="001C43C5" w:rsidRPr="00A148F1" w:rsidRDefault="001C43C5" w:rsidP="001C43C5">
      <w:pPr>
        <w:pStyle w:val="PargrafodaLista"/>
        <w:numPr>
          <w:ilvl w:val="0"/>
          <w:numId w:val="10"/>
        </w:numPr>
        <w:tabs>
          <w:tab w:val="left" w:pos="993"/>
        </w:tabs>
        <w:spacing w:after="0" w:line="240" w:lineRule="auto"/>
        <w:ind w:left="0" w:firstLine="709"/>
        <w:jc w:val="both"/>
        <w:rPr>
          <w:rFonts w:ascii="Times New Roman" w:hAnsi="Times New Roman" w:cs="Times New Roman"/>
          <w:bCs/>
          <w:sz w:val="24"/>
          <w:szCs w:val="24"/>
        </w:rPr>
      </w:pPr>
      <w:r w:rsidRPr="00A148F1">
        <w:rPr>
          <w:rFonts w:ascii="Times New Roman" w:hAnsi="Times New Roman" w:cs="Times New Roman"/>
          <w:bCs/>
          <w:sz w:val="24"/>
          <w:szCs w:val="24"/>
        </w:rPr>
        <w:t xml:space="preserve">Os Demonstrativos das Receitas e Despesas com Ações e Serviços Públicos de Saúde, referentes aos anos de 2002 a 2008 e do ano de 2010, foram obtidos por meio de busca </w:t>
      </w:r>
      <w:r w:rsidRPr="00A148F1">
        <w:rPr>
          <w:rFonts w:ascii="Times New Roman" w:hAnsi="Times New Roman" w:cs="Times New Roman"/>
          <w:bCs/>
          <w:i/>
          <w:sz w:val="24"/>
          <w:szCs w:val="24"/>
        </w:rPr>
        <w:t>in loco</w:t>
      </w:r>
      <w:r w:rsidRPr="00A148F1">
        <w:rPr>
          <w:rFonts w:ascii="Times New Roman" w:hAnsi="Times New Roman" w:cs="Times New Roman"/>
          <w:bCs/>
          <w:sz w:val="24"/>
          <w:szCs w:val="24"/>
        </w:rPr>
        <w:t xml:space="preserve"> no arquivo da Secretaria de Fazenda, Planejamento e Orçamento, cujo acesso foi permitido após contato por telefone com a Contadora do Município. Os Demonstrativos referentes aos anos de 2009 e 2011 a 2015 estavam disponíveis no Portal da Transparência da Prefeitura: &lt;http://www.pmf.sc.gov.br/ </w:t>
      </w:r>
      <w:proofErr w:type="spellStart"/>
      <w:r w:rsidRPr="00A148F1">
        <w:rPr>
          <w:rFonts w:ascii="Times New Roman" w:hAnsi="Times New Roman" w:cs="Times New Roman"/>
          <w:bCs/>
          <w:sz w:val="24"/>
          <w:szCs w:val="24"/>
        </w:rPr>
        <w:t>transparencia</w:t>
      </w:r>
      <w:proofErr w:type="spellEnd"/>
      <w:r w:rsidRPr="00A148F1">
        <w:rPr>
          <w:rFonts w:ascii="Times New Roman" w:hAnsi="Times New Roman" w:cs="Times New Roman"/>
          <w:bCs/>
          <w:sz w:val="24"/>
          <w:szCs w:val="24"/>
        </w:rPr>
        <w:t>/</w:t>
      </w:r>
      <w:proofErr w:type="spellStart"/>
      <w:proofErr w:type="gramStart"/>
      <w:r w:rsidRPr="00A148F1">
        <w:rPr>
          <w:rFonts w:ascii="Times New Roman" w:hAnsi="Times New Roman" w:cs="Times New Roman"/>
          <w:bCs/>
          <w:sz w:val="24"/>
          <w:szCs w:val="24"/>
        </w:rPr>
        <w:t>index</w:t>
      </w:r>
      <w:proofErr w:type="spellEnd"/>
      <w:r w:rsidRPr="00A148F1">
        <w:rPr>
          <w:rFonts w:ascii="Times New Roman" w:hAnsi="Times New Roman" w:cs="Times New Roman"/>
          <w:bCs/>
          <w:sz w:val="24"/>
          <w:szCs w:val="24"/>
        </w:rPr>
        <w:t>.</w:t>
      </w:r>
      <w:proofErr w:type="spellStart"/>
      <w:proofErr w:type="gramEnd"/>
      <w:r w:rsidRPr="00A148F1">
        <w:rPr>
          <w:rFonts w:ascii="Times New Roman" w:hAnsi="Times New Roman" w:cs="Times New Roman"/>
          <w:bCs/>
          <w:sz w:val="24"/>
          <w:szCs w:val="24"/>
        </w:rPr>
        <w:t>php</w:t>
      </w:r>
      <w:proofErr w:type="spellEnd"/>
      <w:r w:rsidRPr="00A148F1">
        <w:rPr>
          <w:rFonts w:ascii="Times New Roman" w:hAnsi="Times New Roman" w:cs="Times New Roman"/>
          <w:bCs/>
          <w:sz w:val="24"/>
          <w:szCs w:val="24"/>
        </w:rPr>
        <w:t>&gt; para acesso público.</w:t>
      </w:r>
    </w:p>
    <w:p w:rsidR="001C43C5" w:rsidRPr="00A148F1" w:rsidRDefault="001C43C5" w:rsidP="001C43C5">
      <w:pPr>
        <w:pStyle w:val="PargrafodaLista"/>
        <w:numPr>
          <w:ilvl w:val="0"/>
          <w:numId w:val="10"/>
        </w:numPr>
        <w:tabs>
          <w:tab w:val="left" w:pos="993"/>
        </w:tabs>
        <w:spacing w:after="0" w:line="240" w:lineRule="auto"/>
        <w:ind w:left="0" w:firstLine="709"/>
        <w:jc w:val="both"/>
        <w:rPr>
          <w:rFonts w:ascii="Times New Roman" w:hAnsi="Times New Roman" w:cs="Times New Roman"/>
          <w:bCs/>
          <w:sz w:val="24"/>
          <w:szCs w:val="24"/>
        </w:rPr>
      </w:pPr>
      <w:r w:rsidRPr="00A148F1">
        <w:rPr>
          <w:rFonts w:ascii="Times New Roman" w:hAnsi="Times New Roman" w:cs="Times New Roman"/>
          <w:bCs/>
          <w:sz w:val="24"/>
          <w:szCs w:val="24"/>
        </w:rPr>
        <w:t xml:space="preserve">As publicações referentes a dados dos Pareceres Prévios referentes aos anos de 2000 a 2015 estavam disponíveis no Portal do Cidadão do TCE/SC: &lt;http://portaldocidadao. </w:t>
      </w:r>
      <w:proofErr w:type="spellStart"/>
      <w:proofErr w:type="gramStart"/>
      <w:r w:rsidRPr="00A148F1">
        <w:rPr>
          <w:rFonts w:ascii="Times New Roman" w:hAnsi="Times New Roman" w:cs="Times New Roman"/>
          <w:bCs/>
          <w:sz w:val="24"/>
          <w:szCs w:val="24"/>
        </w:rPr>
        <w:t>tce</w:t>
      </w:r>
      <w:proofErr w:type="spellEnd"/>
      <w:proofErr w:type="gramEnd"/>
      <w:r w:rsidRPr="00A148F1">
        <w:rPr>
          <w:rFonts w:ascii="Times New Roman" w:hAnsi="Times New Roman" w:cs="Times New Roman"/>
          <w:bCs/>
          <w:sz w:val="24"/>
          <w:szCs w:val="24"/>
        </w:rPr>
        <w:t>.sc.gov.br/homesic.php&gt; para acesso público, contemplando toda a série de dados.</w:t>
      </w:r>
    </w:p>
    <w:p w:rsidR="001C43C5" w:rsidRPr="00A148F1" w:rsidRDefault="001C43C5" w:rsidP="001C43C5">
      <w:pPr>
        <w:spacing w:after="0" w:line="240" w:lineRule="auto"/>
        <w:ind w:firstLine="708"/>
        <w:jc w:val="both"/>
        <w:rPr>
          <w:rFonts w:ascii="Times New Roman" w:hAnsi="Times New Roman" w:cs="Times New Roman"/>
          <w:bCs/>
          <w:sz w:val="24"/>
          <w:szCs w:val="24"/>
        </w:rPr>
      </w:pPr>
      <w:r w:rsidRPr="00A148F1">
        <w:rPr>
          <w:rFonts w:ascii="Times New Roman" w:hAnsi="Times New Roman" w:cs="Times New Roman"/>
          <w:bCs/>
          <w:sz w:val="24"/>
          <w:szCs w:val="24"/>
        </w:rPr>
        <w:t>A presente pesquisa foi realizada entre os meses de agosto de 2015 e julho de 2016. A obtenção dos Demonstrativos mencionados referentes aos anos de 2002 a 2008 e 2010 foi realizada em 14/12/2015, após visita aos arquivos da Diretoria de Contabilidade, da Secretaria Municipal da Fazenda, Planejamento e Orçamento, da Prefeitura Municipal de Florianópolis.</w:t>
      </w:r>
    </w:p>
    <w:p w:rsidR="00AD15C5" w:rsidRPr="00A148F1" w:rsidRDefault="00AD15C5" w:rsidP="00340BF5">
      <w:pPr>
        <w:spacing w:after="0" w:line="360" w:lineRule="auto"/>
        <w:jc w:val="both"/>
        <w:rPr>
          <w:rFonts w:ascii="Times New Roman" w:hAnsi="Times New Roman" w:cs="Times New Roman"/>
          <w:sz w:val="24"/>
        </w:rPr>
      </w:pPr>
    </w:p>
    <w:p w:rsidR="00F1474A" w:rsidRPr="00A148F1" w:rsidRDefault="004F10F1" w:rsidP="00EC40EA">
      <w:pPr>
        <w:pStyle w:val="Ttulo1"/>
        <w:rPr>
          <w:rFonts w:ascii="Times New Roman" w:hAnsi="Times New Roman" w:cs="Times New Roman"/>
          <w:sz w:val="24"/>
        </w:rPr>
      </w:pPr>
      <w:r>
        <w:rPr>
          <w:rFonts w:ascii="Times New Roman" w:hAnsi="Times New Roman" w:cs="Times New Roman"/>
          <w:sz w:val="24"/>
        </w:rPr>
        <w:t>RESULTADOS DA PESQUISA</w:t>
      </w:r>
    </w:p>
    <w:p w:rsidR="00EC40EA" w:rsidRPr="00A148F1" w:rsidRDefault="00EC40EA" w:rsidP="00983013">
      <w:pPr>
        <w:spacing w:after="0" w:line="240" w:lineRule="auto"/>
        <w:jc w:val="both"/>
        <w:rPr>
          <w:rFonts w:ascii="Times New Roman" w:hAnsi="Times New Roman" w:cs="Times New Roman"/>
          <w:sz w:val="24"/>
        </w:rPr>
      </w:pPr>
    </w:p>
    <w:p w:rsidR="00B60F51" w:rsidRPr="00A148F1" w:rsidRDefault="00D85037" w:rsidP="00203B12">
      <w:pPr>
        <w:pStyle w:val="Ttulo2"/>
        <w:rPr>
          <w:rFonts w:ascii="Times New Roman" w:hAnsi="Times New Roman"/>
          <w:sz w:val="24"/>
        </w:rPr>
      </w:pPr>
      <w:r w:rsidRPr="00A148F1">
        <w:rPr>
          <w:rFonts w:ascii="Times New Roman" w:hAnsi="Times New Roman"/>
          <w:sz w:val="24"/>
        </w:rPr>
        <w:t xml:space="preserve">Apresentação </w:t>
      </w:r>
      <w:r w:rsidR="00CF27E4" w:rsidRPr="00A148F1">
        <w:rPr>
          <w:rFonts w:ascii="Times New Roman" w:hAnsi="Times New Roman"/>
          <w:sz w:val="24"/>
        </w:rPr>
        <w:t>do Município de Florianópolis</w:t>
      </w:r>
    </w:p>
    <w:p w:rsidR="00B60F51" w:rsidRPr="00A148F1" w:rsidRDefault="00B60F51" w:rsidP="00831265">
      <w:pPr>
        <w:spacing w:after="0" w:line="240" w:lineRule="auto"/>
        <w:ind w:firstLine="709"/>
        <w:jc w:val="both"/>
        <w:rPr>
          <w:rFonts w:ascii="Times New Roman" w:hAnsi="Times New Roman" w:cs="Times New Roman"/>
          <w:bCs/>
          <w:sz w:val="24"/>
        </w:rPr>
      </w:pPr>
      <w:r w:rsidRPr="00A148F1">
        <w:rPr>
          <w:rFonts w:ascii="Times New Roman" w:hAnsi="Times New Roman" w:cs="Times New Roman"/>
          <w:bCs/>
          <w:sz w:val="24"/>
        </w:rPr>
        <w:t xml:space="preserve">No inicio do século XVI, embarcações </w:t>
      </w:r>
      <w:r w:rsidR="006A6C20" w:rsidRPr="00A148F1">
        <w:rPr>
          <w:rFonts w:ascii="Times New Roman" w:hAnsi="Times New Roman" w:cs="Times New Roman"/>
          <w:bCs/>
          <w:sz w:val="24"/>
        </w:rPr>
        <w:t xml:space="preserve">que almejavam chegar </w:t>
      </w:r>
      <w:r w:rsidR="006367B1" w:rsidRPr="00A148F1">
        <w:rPr>
          <w:rFonts w:ascii="Times New Roman" w:hAnsi="Times New Roman" w:cs="Times New Roman"/>
          <w:bCs/>
          <w:sz w:val="24"/>
        </w:rPr>
        <w:t>à</w:t>
      </w:r>
      <w:r w:rsidR="006A6C20" w:rsidRPr="00A148F1">
        <w:rPr>
          <w:rFonts w:ascii="Times New Roman" w:hAnsi="Times New Roman" w:cs="Times New Roman"/>
          <w:bCs/>
          <w:sz w:val="24"/>
        </w:rPr>
        <w:t xml:space="preserve"> Bacia </w:t>
      </w:r>
      <w:proofErr w:type="gramStart"/>
      <w:r w:rsidR="006A6C20" w:rsidRPr="00A148F1">
        <w:rPr>
          <w:rFonts w:ascii="Times New Roman" w:hAnsi="Times New Roman" w:cs="Times New Roman"/>
          <w:bCs/>
          <w:sz w:val="24"/>
        </w:rPr>
        <w:t>do Prata</w:t>
      </w:r>
      <w:proofErr w:type="gramEnd"/>
      <w:r w:rsidR="006A6C20" w:rsidRPr="00A148F1">
        <w:rPr>
          <w:rFonts w:ascii="Times New Roman" w:hAnsi="Times New Roman" w:cs="Times New Roman"/>
          <w:bCs/>
          <w:sz w:val="24"/>
        </w:rPr>
        <w:t>, aportavam na Ilha de Canta Catarina para abastece</w:t>
      </w:r>
      <w:r w:rsidR="006367B1" w:rsidRPr="00A148F1">
        <w:rPr>
          <w:rFonts w:ascii="Times New Roman" w:hAnsi="Times New Roman" w:cs="Times New Roman"/>
          <w:bCs/>
          <w:sz w:val="24"/>
        </w:rPr>
        <w:t>r-se de alimentos e ví</w:t>
      </w:r>
      <w:r w:rsidR="006A6C20" w:rsidRPr="00A148F1">
        <w:rPr>
          <w:rFonts w:ascii="Times New Roman" w:hAnsi="Times New Roman" w:cs="Times New Roman"/>
          <w:bCs/>
          <w:sz w:val="24"/>
        </w:rPr>
        <w:t>veres (PMF, 2015</w:t>
      </w:r>
      <w:r w:rsidR="004A0E64" w:rsidRPr="00A148F1">
        <w:rPr>
          <w:rFonts w:ascii="Times New Roman" w:hAnsi="Times New Roman" w:cs="Times New Roman"/>
          <w:bCs/>
          <w:sz w:val="24"/>
        </w:rPr>
        <w:t>b</w:t>
      </w:r>
      <w:r w:rsidR="006A6C20" w:rsidRPr="00A148F1">
        <w:rPr>
          <w:rFonts w:ascii="Times New Roman" w:hAnsi="Times New Roman" w:cs="Times New Roman"/>
          <w:bCs/>
          <w:sz w:val="24"/>
        </w:rPr>
        <w:t xml:space="preserve">). </w:t>
      </w:r>
      <w:r w:rsidR="006A6C20" w:rsidRPr="00A148F1">
        <w:rPr>
          <w:rFonts w:ascii="Times New Roman" w:hAnsi="Times New Roman" w:cs="Times New Roman"/>
          <w:bCs/>
          <w:sz w:val="24"/>
        </w:rPr>
        <w:lastRenderedPageBreak/>
        <w:t xml:space="preserve">Devido ao fluxo de embarcações, por volta de 1965, Dias Velho fundou a Nossa Senhora do Desterro, iniciando </w:t>
      </w:r>
      <w:proofErr w:type="gramStart"/>
      <w:r w:rsidR="00865DC5" w:rsidRPr="00A148F1">
        <w:rPr>
          <w:rFonts w:ascii="Times New Roman" w:hAnsi="Times New Roman" w:cs="Times New Roman"/>
          <w:bCs/>
          <w:sz w:val="24"/>
        </w:rPr>
        <w:t>su</w:t>
      </w:r>
      <w:r w:rsidR="006A6C20" w:rsidRPr="00A148F1">
        <w:rPr>
          <w:rFonts w:ascii="Times New Roman" w:hAnsi="Times New Roman" w:cs="Times New Roman"/>
          <w:bCs/>
          <w:sz w:val="24"/>
        </w:rPr>
        <w:t>a colonização com a vinda de sua família e demais agregados</w:t>
      </w:r>
      <w:proofErr w:type="gramEnd"/>
      <w:r w:rsidR="006A6C20" w:rsidRPr="00A148F1">
        <w:rPr>
          <w:rFonts w:ascii="Times New Roman" w:hAnsi="Times New Roman" w:cs="Times New Roman"/>
          <w:bCs/>
          <w:sz w:val="24"/>
        </w:rPr>
        <w:t xml:space="preserve"> (PMF, 2015</w:t>
      </w:r>
      <w:r w:rsidR="004A0E64" w:rsidRPr="00A148F1">
        <w:rPr>
          <w:rFonts w:ascii="Times New Roman" w:hAnsi="Times New Roman" w:cs="Times New Roman"/>
          <w:bCs/>
          <w:sz w:val="24"/>
        </w:rPr>
        <w:t>b</w:t>
      </w:r>
      <w:r w:rsidR="006A6C20" w:rsidRPr="00A148F1">
        <w:rPr>
          <w:rFonts w:ascii="Times New Roman" w:hAnsi="Times New Roman" w:cs="Times New Roman"/>
          <w:bCs/>
          <w:sz w:val="24"/>
        </w:rPr>
        <w:t>). Entretanto</w:t>
      </w:r>
      <w:r w:rsidR="00EA398F" w:rsidRPr="00A148F1">
        <w:rPr>
          <w:rFonts w:ascii="Times New Roman" w:hAnsi="Times New Roman" w:cs="Times New Roman"/>
          <w:bCs/>
          <w:sz w:val="24"/>
        </w:rPr>
        <w:t>,</w:t>
      </w:r>
      <w:r w:rsidR="006A6C20" w:rsidRPr="00A148F1">
        <w:rPr>
          <w:rFonts w:ascii="Times New Roman" w:hAnsi="Times New Roman" w:cs="Times New Roman"/>
          <w:bCs/>
          <w:sz w:val="24"/>
        </w:rPr>
        <w:t xml:space="preserve"> nessa</w:t>
      </w:r>
      <w:r w:rsidR="006367B1" w:rsidRPr="00A148F1">
        <w:rPr>
          <w:rFonts w:ascii="Times New Roman" w:hAnsi="Times New Roman" w:cs="Times New Roman"/>
          <w:bCs/>
          <w:sz w:val="24"/>
        </w:rPr>
        <w:t xml:space="preserve"> ocasião, ainda fazia parte da V</w:t>
      </w:r>
      <w:r w:rsidR="006A6C20" w:rsidRPr="00A148F1">
        <w:rPr>
          <w:rFonts w:ascii="Times New Roman" w:hAnsi="Times New Roman" w:cs="Times New Roman"/>
          <w:bCs/>
          <w:sz w:val="24"/>
        </w:rPr>
        <w:t>ila de Laguna</w:t>
      </w:r>
      <w:r w:rsidR="00A256CA" w:rsidRPr="00A148F1">
        <w:rPr>
          <w:rFonts w:ascii="Times New Roman" w:hAnsi="Times New Roman" w:cs="Times New Roman"/>
          <w:bCs/>
          <w:sz w:val="24"/>
        </w:rPr>
        <w:t xml:space="preserve"> (PMF, 2015</w:t>
      </w:r>
      <w:r w:rsidR="004A0E64" w:rsidRPr="00A148F1">
        <w:rPr>
          <w:rFonts w:ascii="Times New Roman" w:hAnsi="Times New Roman" w:cs="Times New Roman"/>
          <w:bCs/>
          <w:sz w:val="24"/>
        </w:rPr>
        <w:t>b</w:t>
      </w:r>
      <w:r w:rsidR="00A256CA" w:rsidRPr="00A148F1">
        <w:rPr>
          <w:rFonts w:ascii="Times New Roman" w:hAnsi="Times New Roman" w:cs="Times New Roman"/>
          <w:bCs/>
          <w:sz w:val="24"/>
        </w:rPr>
        <w:t xml:space="preserve">). </w:t>
      </w:r>
    </w:p>
    <w:p w:rsidR="00A256CA" w:rsidRPr="00A148F1" w:rsidRDefault="00A256CA" w:rsidP="00831265">
      <w:pPr>
        <w:spacing w:after="0" w:line="240" w:lineRule="auto"/>
        <w:ind w:firstLine="709"/>
        <w:jc w:val="both"/>
        <w:rPr>
          <w:rFonts w:ascii="Times New Roman" w:hAnsi="Times New Roman" w:cs="Times New Roman"/>
          <w:bCs/>
          <w:sz w:val="24"/>
        </w:rPr>
      </w:pPr>
      <w:r w:rsidRPr="00A148F1">
        <w:rPr>
          <w:rFonts w:ascii="Times New Roman" w:hAnsi="Times New Roman" w:cs="Times New Roman"/>
          <w:bCs/>
          <w:sz w:val="24"/>
        </w:rPr>
        <w:t>Somente em 17</w:t>
      </w:r>
      <w:r w:rsidR="00BF188A" w:rsidRPr="00A148F1">
        <w:rPr>
          <w:rFonts w:ascii="Times New Roman" w:hAnsi="Times New Roman" w:cs="Times New Roman"/>
          <w:bCs/>
          <w:sz w:val="24"/>
        </w:rPr>
        <w:t>26 a Nossa Senhora do Desterro foi</w:t>
      </w:r>
      <w:r w:rsidRPr="00A148F1">
        <w:rPr>
          <w:rFonts w:ascii="Times New Roman" w:hAnsi="Times New Roman" w:cs="Times New Roman"/>
          <w:bCs/>
          <w:sz w:val="24"/>
        </w:rPr>
        <w:t xml:space="preserve"> elevada </w:t>
      </w:r>
      <w:r w:rsidR="006367B1" w:rsidRPr="00A148F1">
        <w:rPr>
          <w:rFonts w:ascii="Times New Roman" w:hAnsi="Times New Roman" w:cs="Times New Roman"/>
          <w:bCs/>
          <w:sz w:val="24"/>
        </w:rPr>
        <w:t>à</w:t>
      </w:r>
      <w:r w:rsidRPr="00A148F1">
        <w:rPr>
          <w:rFonts w:ascii="Times New Roman" w:hAnsi="Times New Roman" w:cs="Times New Roman"/>
          <w:bCs/>
          <w:sz w:val="24"/>
        </w:rPr>
        <w:t xml:space="preserve"> categoria de vila, com o seu desmembramento da </w:t>
      </w:r>
      <w:r w:rsidR="006367B1" w:rsidRPr="00A148F1">
        <w:rPr>
          <w:rFonts w:ascii="Times New Roman" w:hAnsi="Times New Roman" w:cs="Times New Roman"/>
          <w:bCs/>
          <w:sz w:val="24"/>
        </w:rPr>
        <w:t>V</w:t>
      </w:r>
      <w:r w:rsidRPr="00A148F1">
        <w:rPr>
          <w:rFonts w:ascii="Times New Roman" w:hAnsi="Times New Roman" w:cs="Times New Roman"/>
          <w:bCs/>
          <w:sz w:val="24"/>
        </w:rPr>
        <w:t>ila de Laguna, e após quase um século, em 1823</w:t>
      </w:r>
      <w:r w:rsidR="00EA398F" w:rsidRPr="00A148F1">
        <w:rPr>
          <w:rFonts w:ascii="Times New Roman" w:hAnsi="Times New Roman" w:cs="Times New Roman"/>
          <w:bCs/>
          <w:sz w:val="24"/>
        </w:rPr>
        <w:t>,</w:t>
      </w:r>
      <w:r w:rsidRPr="00A148F1">
        <w:rPr>
          <w:rFonts w:ascii="Times New Roman" w:hAnsi="Times New Roman" w:cs="Times New Roman"/>
          <w:bCs/>
          <w:sz w:val="24"/>
        </w:rPr>
        <w:t xml:space="preserve"> tornou-se a capital da província de Santa Catarina, deixou de ser uma vila e passou a ser uma cidade (PMF, 2015). Em</w:t>
      </w:r>
      <w:r w:rsidR="00BF2460" w:rsidRPr="00A148F1">
        <w:rPr>
          <w:rFonts w:ascii="Times New Roman" w:hAnsi="Times New Roman" w:cs="Times New Roman"/>
          <w:bCs/>
          <w:sz w:val="24"/>
        </w:rPr>
        <w:t xml:space="preserve"> 1894</w:t>
      </w:r>
      <w:r w:rsidRPr="00A148F1">
        <w:rPr>
          <w:rFonts w:ascii="Times New Roman" w:hAnsi="Times New Roman" w:cs="Times New Roman"/>
          <w:bCs/>
          <w:sz w:val="24"/>
        </w:rPr>
        <w:t>, a cida</w:t>
      </w:r>
      <w:r w:rsidR="00EA398F" w:rsidRPr="00A148F1">
        <w:rPr>
          <w:rFonts w:ascii="Times New Roman" w:hAnsi="Times New Roman" w:cs="Times New Roman"/>
          <w:bCs/>
          <w:sz w:val="24"/>
        </w:rPr>
        <w:t>de de Nossa Senhora do Desterro</w:t>
      </w:r>
      <w:r w:rsidRPr="00A148F1">
        <w:rPr>
          <w:rFonts w:ascii="Times New Roman" w:hAnsi="Times New Roman" w:cs="Times New Roman"/>
          <w:bCs/>
          <w:sz w:val="24"/>
        </w:rPr>
        <w:t xml:space="preserve"> m</w:t>
      </w:r>
      <w:r w:rsidR="00BF2460" w:rsidRPr="00A148F1">
        <w:rPr>
          <w:rFonts w:ascii="Times New Roman" w:hAnsi="Times New Roman" w:cs="Times New Roman"/>
          <w:bCs/>
          <w:sz w:val="24"/>
        </w:rPr>
        <w:t>udou o nome para Florianópolis, em homenagem ao Marechal Floriano Peixoto</w:t>
      </w:r>
      <w:r w:rsidR="00EA398F" w:rsidRPr="00A148F1">
        <w:rPr>
          <w:rFonts w:ascii="Times New Roman" w:hAnsi="Times New Roman" w:cs="Times New Roman"/>
          <w:bCs/>
          <w:sz w:val="24"/>
        </w:rPr>
        <w:t>,</w:t>
      </w:r>
      <w:r w:rsidR="00BF2460" w:rsidRPr="00A148F1">
        <w:rPr>
          <w:rFonts w:ascii="Times New Roman" w:hAnsi="Times New Roman" w:cs="Times New Roman"/>
          <w:bCs/>
          <w:sz w:val="24"/>
        </w:rPr>
        <w:t xml:space="preserve"> devido </w:t>
      </w:r>
      <w:r w:rsidR="00865DC5" w:rsidRPr="00A148F1">
        <w:rPr>
          <w:rFonts w:ascii="Times New Roman" w:hAnsi="Times New Roman" w:cs="Times New Roman"/>
          <w:bCs/>
          <w:sz w:val="24"/>
        </w:rPr>
        <w:t>à</w:t>
      </w:r>
      <w:r w:rsidR="0082413C" w:rsidRPr="00A148F1">
        <w:rPr>
          <w:rFonts w:ascii="Times New Roman" w:hAnsi="Times New Roman" w:cs="Times New Roman"/>
          <w:bCs/>
          <w:sz w:val="24"/>
        </w:rPr>
        <w:t>s</w:t>
      </w:r>
      <w:r w:rsidR="00BF2460" w:rsidRPr="00A148F1">
        <w:rPr>
          <w:rFonts w:ascii="Times New Roman" w:hAnsi="Times New Roman" w:cs="Times New Roman"/>
          <w:bCs/>
          <w:sz w:val="24"/>
        </w:rPr>
        <w:t xml:space="preserve"> vitória</w:t>
      </w:r>
      <w:r w:rsidR="0082413C" w:rsidRPr="00A148F1">
        <w:rPr>
          <w:rFonts w:ascii="Times New Roman" w:hAnsi="Times New Roman" w:cs="Times New Roman"/>
          <w:bCs/>
          <w:sz w:val="24"/>
        </w:rPr>
        <w:t>s</w:t>
      </w:r>
      <w:r w:rsidR="00BF2460" w:rsidRPr="00A148F1">
        <w:rPr>
          <w:rFonts w:ascii="Times New Roman" w:hAnsi="Times New Roman" w:cs="Times New Roman"/>
          <w:bCs/>
          <w:sz w:val="24"/>
        </w:rPr>
        <w:t xml:space="preserve"> de suas tropas em guerra</w:t>
      </w:r>
      <w:r w:rsidR="0082413C" w:rsidRPr="00A148F1">
        <w:rPr>
          <w:rFonts w:ascii="Times New Roman" w:hAnsi="Times New Roman" w:cs="Times New Roman"/>
          <w:bCs/>
          <w:sz w:val="24"/>
        </w:rPr>
        <w:t>s</w:t>
      </w:r>
      <w:r w:rsidR="00BF2460" w:rsidRPr="00A148F1">
        <w:rPr>
          <w:rFonts w:ascii="Times New Roman" w:hAnsi="Times New Roman" w:cs="Times New Roman"/>
          <w:bCs/>
          <w:sz w:val="24"/>
        </w:rPr>
        <w:t xml:space="preserve"> (PMF, 2015</w:t>
      </w:r>
      <w:r w:rsidR="004A0E64" w:rsidRPr="00A148F1">
        <w:rPr>
          <w:rFonts w:ascii="Times New Roman" w:hAnsi="Times New Roman" w:cs="Times New Roman"/>
          <w:bCs/>
          <w:sz w:val="24"/>
        </w:rPr>
        <w:t>b</w:t>
      </w:r>
      <w:r w:rsidR="00BF2460" w:rsidRPr="00A148F1">
        <w:rPr>
          <w:rFonts w:ascii="Times New Roman" w:hAnsi="Times New Roman" w:cs="Times New Roman"/>
          <w:bCs/>
          <w:sz w:val="24"/>
        </w:rPr>
        <w:t>).</w:t>
      </w:r>
    </w:p>
    <w:p w:rsidR="008A1AC4" w:rsidRPr="00A148F1" w:rsidRDefault="00BF188A" w:rsidP="00831265">
      <w:pPr>
        <w:spacing w:after="0" w:line="240" w:lineRule="auto"/>
        <w:ind w:firstLine="709"/>
        <w:jc w:val="both"/>
        <w:rPr>
          <w:rFonts w:ascii="Times New Roman" w:hAnsi="Times New Roman" w:cs="Times New Roman"/>
          <w:bCs/>
          <w:sz w:val="24"/>
        </w:rPr>
      </w:pPr>
      <w:r w:rsidRPr="00A148F1">
        <w:rPr>
          <w:rFonts w:ascii="Times New Roman" w:hAnsi="Times New Roman" w:cs="Times New Roman"/>
          <w:bCs/>
          <w:sz w:val="24"/>
        </w:rPr>
        <w:t>O Município</w:t>
      </w:r>
      <w:r w:rsidR="00865DC5" w:rsidRPr="00A148F1">
        <w:rPr>
          <w:rFonts w:ascii="Times New Roman" w:hAnsi="Times New Roman" w:cs="Times New Roman"/>
          <w:bCs/>
          <w:sz w:val="24"/>
        </w:rPr>
        <w:t xml:space="preserve"> está sit</w:t>
      </w:r>
      <w:r w:rsidRPr="00A148F1">
        <w:rPr>
          <w:rFonts w:ascii="Times New Roman" w:hAnsi="Times New Roman" w:cs="Times New Roman"/>
          <w:bCs/>
          <w:sz w:val="24"/>
        </w:rPr>
        <w:t>uado</w:t>
      </w:r>
      <w:r w:rsidR="00865DC5" w:rsidRPr="00A148F1">
        <w:rPr>
          <w:rFonts w:ascii="Times New Roman" w:hAnsi="Times New Roman" w:cs="Times New Roman"/>
          <w:bCs/>
          <w:sz w:val="24"/>
        </w:rPr>
        <w:t xml:space="preserve"> no </w:t>
      </w:r>
      <w:r w:rsidR="00252CD5" w:rsidRPr="00A148F1">
        <w:rPr>
          <w:rFonts w:ascii="Times New Roman" w:hAnsi="Times New Roman" w:cs="Times New Roman"/>
          <w:bCs/>
          <w:sz w:val="24"/>
        </w:rPr>
        <w:t xml:space="preserve">litoral </w:t>
      </w:r>
      <w:r w:rsidR="00865DC5" w:rsidRPr="00A148F1">
        <w:rPr>
          <w:rFonts w:ascii="Times New Roman" w:hAnsi="Times New Roman" w:cs="Times New Roman"/>
          <w:bCs/>
          <w:sz w:val="24"/>
        </w:rPr>
        <w:t>centro-leste do Estado de Santa Catarina e</w:t>
      </w:r>
      <w:r w:rsidRPr="00A148F1">
        <w:rPr>
          <w:rFonts w:ascii="Times New Roman" w:hAnsi="Times New Roman" w:cs="Times New Roman"/>
          <w:bCs/>
          <w:sz w:val="24"/>
        </w:rPr>
        <w:t>,</w:t>
      </w:r>
      <w:r w:rsidR="00865DC5" w:rsidRPr="00A148F1">
        <w:rPr>
          <w:rFonts w:ascii="Times New Roman" w:hAnsi="Times New Roman" w:cs="Times New Roman"/>
          <w:bCs/>
          <w:sz w:val="24"/>
        </w:rPr>
        <w:t xml:space="preserve"> s</w:t>
      </w:r>
      <w:r w:rsidR="00CD1D0A" w:rsidRPr="00A148F1">
        <w:rPr>
          <w:rFonts w:ascii="Times New Roman" w:hAnsi="Times New Roman" w:cs="Times New Roman"/>
          <w:bCs/>
          <w:sz w:val="24"/>
        </w:rPr>
        <w:t xml:space="preserve">egundo </w:t>
      </w:r>
      <w:r w:rsidR="00252CD5" w:rsidRPr="00A148F1">
        <w:rPr>
          <w:rFonts w:ascii="Times New Roman" w:hAnsi="Times New Roman" w:cs="Times New Roman"/>
          <w:bCs/>
          <w:sz w:val="24"/>
        </w:rPr>
        <w:t xml:space="preserve">o </w:t>
      </w:r>
      <w:r w:rsidR="00CD1D0A" w:rsidRPr="00A148F1">
        <w:rPr>
          <w:rFonts w:ascii="Times New Roman" w:hAnsi="Times New Roman" w:cs="Times New Roman"/>
          <w:bCs/>
          <w:sz w:val="24"/>
        </w:rPr>
        <w:t>IBGE (2016</w:t>
      </w:r>
      <w:r w:rsidR="006B0414" w:rsidRPr="00A148F1">
        <w:rPr>
          <w:rFonts w:ascii="Times New Roman" w:hAnsi="Times New Roman" w:cs="Times New Roman"/>
          <w:bCs/>
          <w:sz w:val="24"/>
        </w:rPr>
        <w:t>a</w:t>
      </w:r>
      <w:r w:rsidR="008A1AC4" w:rsidRPr="00A148F1">
        <w:rPr>
          <w:rFonts w:ascii="Times New Roman" w:hAnsi="Times New Roman" w:cs="Times New Roman"/>
          <w:bCs/>
          <w:sz w:val="24"/>
        </w:rPr>
        <w:t>)</w:t>
      </w:r>
      <w:r w:rsidRPr="00A148F1">
        <w:rPr>
          <w:rFonts w:ascii="Times New Roman" w:hAnsi="Times New Roman" w:cs="Times New Roman"/>
          <w:bCs/>
          <w:sz w:val="24"/>
        </w:rPr>
        <w:t>,</w:t>
      </w:r>
      <w:r w:rsidR="00252CD5" w:rsidRPr="00A148F1">
        <w:rPr>
          <w:rFonts w:ascii="Times New Roman" w:hAnsi="Times New Roman" w:cs="Times New Roman"/>
          <w:bCs/>
          <w:sz w:val="24"/>
        </w:rPr>
        <w:t xml:space="preserve"> tinha</w:t>
      </w:r>
      <w:r w:rsidR="00B358A2" w:rsidRPr="00A148F1">
        <w:rPr>
          <w:rFonts w:ascii="Times New Roman" w:hAnsi="Times New Roman" w:cs="Times New Roman"/>
          <w:bCs/>
          <w:sz w:val="24"/>
        </w:rPr>
        <w:t xml:space="preserve"> uma população estima</w:t>
      </w:r>
      <w:r w:rsidR="008A1AC4" w:rsidRPr="00A148F1">
        <w:rPr>
          <w:rFonts w:ascii="Times New Roman" w:hAnsi="Times New Roman" w:cs="Times New Roman"/>
          <w:bCs/>
          <w:sz w:val="24"/>
        </w:rPr>
        <w:t>da</w:t>
      </w:r>
      <w:r w:rsidR="00B358A2" w:rsidRPr="00A148F1">
        <w:rPr>
          <w:rFonts w:ascii="Times New Roman" w:hAnsi="Times New Roman" w:cs="Times New Roman"/>
          <w:bCs/>
          <w:sz w:val="24"/>
        </w:rPr>
        <w:t xml:space="preserve"> de 469.690 habitantes</w:t>
      </w:r>
      <w:r w:rsidR="00252CD5" w:rsidRPr="00A148F1">
        <w:rPr>
          <w:rFonts w:ascii="Times New Roman" w:hAnsi="Times New Roman" w:cs="Times New Roman"/>
          <w:bCs/>
          <w:sz w:val="24"/>
        </w:rPr>
        <w:t xml:space="preserve"> em 2015. </w:t>
      </w:r>
      <w:r w:rsidR="00865DC5" w:rsidRPr="00A148F1">
        <w:rPr>
          <w:rFonts w:ascii="Times New Roman" w:hAnsi="Times New Roman" w:cs="Times New Roman"/>
          <w:bCs/>
          <w:sz w:val="24"/>
        </w:rPr>
        <w:t>Florianópolis</w:t>
      </w:r>
      <w:r w:rsidR="008A1AC4" w:rsidRPr="00A148F1">
        <w:rPr>
          <w:rFonts w:ascii="Times New Roman" w:hAnsi="Times New Roman" w:cs="Times New Roman"/>
          <w:bCs/>
          <w:sz w:val="24"/>
        </w:rPr>
        <w:t xml:space="preserve"> possui uma parte insular (Ilha de Santa Catarina) e uma parte continental (PMF, 2015</w:t>
      </w:r>
      <w:r w:rsidR="004A0E64" w:rsidRPr="00A148F1">
        <w:rPr>
          <w:rFonts w:ascii="Times New Roman" w:hAnsi="Times New Roman" w:cs="Times New Roman"/>
          <w:bCs/>
          <w:sz w:val="24"/>
        </w:rPr>
        <w:t>a</w:t>
      </w:r>
      <w:r w:rsidR="008A1AC4" w:rsidRPr="00A148F1">
        <w:rPr>
          <w:rFonts w:ascii="Times New Roman" w:hAnsi="Times New Roman" w:cs="Times New Roman"/>
          <w:bCs/>
          <w:sz w:val="24"/>
        </w:rPr>
        <w:t>)</w:t>
      </w:r>
      <w:r w:rsidR="00865DC5" w:rsidRPr="00A148F1">
        <w:rPr>
          <w:rFonts w:ascii="Times New Roman" w:hAnsi="Times New Roman" w:cs="Times New Roman"/>
          <w:bCs/>
          <w:sz w:val="24"/>
        </w:rPr>
        <w:t xml:space="preserve">, sendo </w:t>
      </w:r>
      <w:proofErr w:type="gramStart"/>
      <w:r w:rsidR="00865DC5" w:rsidRPr="00A148F1">
        <w:rPr>
          <w:rFonts w:ascii="Times New Roman" w:hAnsi="Times New Roman" w:cs="Times New Roman"/>
          <w:bCs/>
          <w:sz w:val="24"/>
        </w:rPr>
        <w:t>banhada</w:t>
      </w:r>
      <w:proofErr w:type="gramEnd"/>
      <w:r w:rsidR="00865DC5" w:rsidRPr="00A148F1">
        <w:rPr>
          <w:rFonts w:ascii="Times New Roman" w:hAnsi="Times New Roman" w:cs="Times New Roman"/>
          <w:bCs/>
          <w:sz w:val="24"/>
        </w:rPr>
        <w:t xml:space="preserve"> pelo Oceano Atlântico</w:t>
      </w:r>
      <w:r w:rsidR="008A1AC4" w:rsidRPr="00A148F1">
        <w:rPr>
          <w:rFonts w:ascii="Times New Roman" w:hAnsi="Times New Roman" w:cs="Times New Roman"/>
          <w:bCs/>
          <w:sz w:val="24"/>
        </w:rPr>
        <w:t>.</w:t>
      </w:r>
    </w:p>
    <w:p w:rsidR="0045762F" w:rsidRPr="00A148F1" w:rsidRDefault="004B6D08" w:rsidP="00831265">
      <w:pPr>
        <w:spacing w:after="0" w:line="240" w:lineRule="auto"/>
        <w:ind w:firstLine="709"/>
        <w:jc w:val="both"/>
        <w:rPr>
          <w:rFonts w:ascii="Times New Roman" w:hAnsi="Times New Roman" w:cs="Times New Roman"/>
          <w:bCs/>
          <w:sz w:val="24"/>
        </w:rPr>
      </w:pPr>
      <w:r w:rsidRPr="00A148F1">
        <w:rPr>
          <w:rFonts w:ascii="Times New Roman" w:hAnsi="Times New Roman" w:cs="Times New Roman"/>
          <w:bCs/>
          <w:sz w:val="24"/>
        </w:rPr>
        <w:t>As principais atividades econômicas de Florianópolis são</w:t>
      </w:r>
      <w:r w:rsidR="0082413C" w:rsidRPr="00A148F1">
        <w:rPr>
          <w:rFonts w:ascii="Times New Roman" w:hAnsi="Times New Roman" w:cs="Times New Roman"/>
          <w:bCs/>
          <w:sz w:val="24"/>
        </w:rPr>
        <w:t>:</w:t>
      </w:r>
      <w:r w:rsidRPr="00A148F1">
        <w:rPr>
          <w:rFonts w:ascii="Times New Roman" w:hAnsi="Times New Roman" w:cs="Times New Roman"/>
          <w:bCs/>
          <w:sz w:val="24"/>
        </w:rPr>
        <w:t xml:space="preserve"> as prestações de serviços públicos, comércio, indústria de transformação e turismo (PMF, 2015</w:t>
      </w:r>
      <w:r w:rsidR="0082413C" w:rsidRPr="00A148F1">
        <w:rPr>
          <w:rFonts w:ascii="Times New Roman" w:hAnsi="Times New Roman" w:cs="Times New Roman"/>
          <w:bCs/>
          <w:sz w:val="24"/>
        </w:rPr>
        <w:t>b</w:t>
      </w:r>
      <w:r w:rsidRPr="00A148F1">
        <w:rPr>
          <w:rFonts w:ascii="Times New Roman" w:hAnsi="Times New Roman" w:cs="Times New Roman"/>
          <w:bCs/>
          <w:sz w:val="24"/>
        </w:rPr>
        <w:t xml:space="preserve">). A partir do século XX, um dos grandes suportes para o crescimento econômico foi </w:t>
      </w:r>
      <w:proofErr w:type="gramStart"/>
      <w:r w:rsidRPr="00A148F1">
        <w:rPr>
          <w:rFonts w:ascii="Times New Roman" w:hAnsi="Times New Roman" w:cs="Times New Roman"/>
          <w:bCs/>
          <w:sz w:val="24"/>
        </w:rPr>
        <w:t>a</w:t>
      </w:r>
      <w:proofErr w:type="gramEnd"/>
      <w:r w:rsidRPr="00A148F1">
        <w:rPr>
          <w:rFonts w:ascii="Times New Roman" w:hAnsi="Times New Roman" w:cs="Times New Roman"/>
          <w:bCs/>
          <w:sz w:val="24"/>
        </w:rPr>
        <w:t xml:space="preserve"> construção civil, </w:t>
      </w:r>
      <w:r w:rsidR="00BF188A" w:rsidRPr="00A148F1">
        <w:rPr>
          <w:rFonts w:ascii="Times New Roman" w:hAnsi="Times New Roman" w:cs="Times New Roman"/>
          <w:bCs/>
          <w:sz w:val="24"/>
        </w:rPr>
        <w:t>que transformou</w:t>
      </w:r>
      <w:r w:rsidRPr="00A148F1">
        <w:rPr>
          <w:rFonts w:ascii="Times New Roman" w:hAnsi="Times New Roman" w:cs="Times New Roman"/>
          <w:bCs/>
          <w:sz w:val="24"/>
        </w:rPr>
        <w:t xml:space="preserve"> </w:t>
      </w:r>
      <w:r w:rsidR="0045762F" w:rsidRPr="00A148F1">
        <w:rPr>
          <w:rFonts w:ascii="Times New Roman" w:hAnsi="Times New Roman" w:cs="Times New Roman"/>
          <w:bCs/>
          <w:sz w:val="24"/>
        </w:rPr>
        <w:t>substancialmente a cidade</w:t>
      </w:r>
      <w:r w:rsidR="00252CD5" w:rsidRPr="00A148F1">
        <w:rPr>
          <w:rFonts w:ascii="Times New Roman" w:hAnsi="Times New Roman" w:cs="Times New Roman"/>
          <w:bCs/>
          <w:sz w:val="24"/>
        </w:rPr>
        <w:t xml:space="preserve"> (PMF, 2015b)</w:t>
      </w:r>
      <w:r w:rsidR="0045762F" w:rsidRPr="00A148F1">
        <w:rPr>
          <w:rFonts w:ascii="Times New Roman" w:hAnsi="Times New Roman" w:cs="Times New Roman"/>
          <w:bCs/>
          <w:sz w:val="24"/>
        </w:rPr>
        <w:t>.</w:t>
      </w:r>
      <w:r w:rsidR="00BF188A" w:rsidRPr="00A148F1">
        <w:rPr>
          <w:rFonts w:ascii="Times New Roman" w:hAnsi="Times New Roman" w:cs="Times New Roman"/>
          <w:bCs/>
          <w:sz w:val="24"/>
        </w:rPr>
        <w:t xml:space="preserve"> O Município</w:t>
      </w:r>
      <w:r w:rsidR="0082413C" w:rsidRPr="00A148F1">
        <w:rPr>
          <w:rFonts w:ascii="Times New Roman" w:hAnsi="Times New Roman" w:cs="Times New Roman"/>
          <w:bCs/>
          <w:sz w:val="24"/>
        </w:rPr>
        <w:t xml:space="preserve"> ocupa a 3ª posição do Índice de Desenvolvimento Humano dos municípios brasileiros, sendo a cidade catarinense </w:t>
      </w:r>
      <w:r w:rsidR="00252CD5" w:rsidRPr="00A148F1">
        <w:rPr>
          <w:rFonts w:ascii="Times New Roman" w:hAnsi="Times New Roman" w:cs="Times New Roman"/>
          <w:bCs/>
          <w:sz w:val="24"/>
        </w:rPr>
        <w:t>mais bem classificada</w:t>
      </w:r>
      <w:r w:rsidR="0082413C" w:rsidRPr="00A148F1">
        <w:rPr>
          <w:rFonts w:ascii="Times New Roman" w:hAnsi="Times New Roman" w:cs="Times New Roman"/>
          <w:bCs/>
          <w:sz w:val="24"/>
        </w:rPr>
        <w:t xml:space="preserve"> (PNUD, 2015).</w:t>
      </w:r>
      <w:r w:rsidR="00E976D2" w:rsidRPr="00A148F1">
        <w:rPr>
          <w:rFonts w:ascii="Times New Roman" w:hAnsi="Times New Roman" w:cs="Times New Roman"/>
          <w:bCs/>
          <w:sz w:val="24"/>
        </w:rPr>
        <w:t xml:space="preserve"> </w:t>
      </w:r>
    </w:p>
    <w:p w:rsidR="00CA0086" w:rsidRPr="00A148F1" w:rsidRDefault="00096BFD" w:rsidP="00831265">
      <w:pPr>
        <w:spacing w:after="0" w:line="240" w:lineRule="auto"/>
        <w:ind w:firstLine="709"/>
        <w:jc w:val="both"/>
        <w:rPr>
          <w:rFonts w:ascii="Times New Roman" w:hAnsi="Times New Roman" w:cs="Times New Roman"/>
          <w:bCs/>
          <w:sz w:val="24"/>
        </w:rPr>
      </w:pPr>
      <w:r w:rsidRPr="00A148F1">
        <w:rPr>
          <w:rFonts w:ascii="Times New Roman" w:hAnsi="Times New Roman" w:cs="Times New Roman"/>
          <w:bCs/>
          <w:sz w:val="24"/>
        </w:rPr>
        <w:t>Florianópolis apresentou no ano de 2015</w:t>
      </w:r>
      <w:r w:rsidR="00AD02A7" w:rsidRPr="00A148F1">
        <w:rPr>
          <w:rFonts w:ascii="Times New Roman" w:hAnsi="Times New Roman" w:cs="Times New Roman"/>
          <w:bCs/>
          <w:sz w:val="24"/>
        </w:rPr>
        <w:t>, segundo dados do PNAD (</w:t>
      </w:r>
      <w:r w:rsidR="00521F2C" w:rsidRPr="00A148F1">
        <w:rPr>
          <w:rFonts w:ascii="Times New Roman" w:hAnsi="Times New Roman" w:cs="Times New Roman"/>
          <w:bCs/>
          <w:sz w:val="24"/>
        </w:rPr>
        <w:t xml:space="preserve">IBGE, </w:t>
      </w:r>
      <w:r w:rsidR="001B0203" w:rsidRPr="00A148F1">
        <w:rPr>
          <w:rFonts w:ascii="Times New Roman" w:hAnsi="Times New Roman" w:cs="Times New Roman"/>
          <w:bCs/>
          <w:sz w:val="24"/>
        </w:rPr>
        <w:t>2016b</w:t>
      </w:r>
      <w:r w:rsidR="00521F2C" w:rsidRPr="00A148F1">
        <w:rPr>
          <w:rFonts w:ascii="Times New Roman" w:hAnsi="Times New Roman" w:cs="Times New Roman"/>
          <w:bCs/>
          <w:sz w:val="24"/>
        </w:rPr>
        <w:t>)</w:t>
      </w:r>
      <w:r w:rsidR="00BF188A" w:rsidRPr="00A148F1">
        <w:rPr>
          <w:rFonts w:ascii="Times New Roman" w:hAnsi="Times New Roman" w:cs="Times New Roman"/>
          <w:bCs/>
          <w:sz w:val="24"/>
        </w:rPr>
        <w:t>,</w:t>
      </w:r>
      <w:r w:rsidRPr="00A148F1">
        <w:rPr>
          <w:rFonts w:ascii="Times New Roman" w:hAnsi="Times New Roman" w:cs="Times New Roman"/>
          <w:bCs/>
          <w:sz w:val="24"/>
        </w:rPr>
        <w:t xml:space="preserve"> uma renda média </w:t>
      </w:r>
      <w:r w:rsidR="00252CD5" w:rsidRPr="00A148F1">
        <w:rPr>
          <w:rFonts w:ascii="Times New Roman" w:hAnsi="Times New Roman" w:cs="Times New Roman"/>
          <w:bCs/>
          <w:sz w:val="24"/>
        </w:rPr>
        <w:t xml:space="preserve">mensal </w:t>
      </w:r>
      <w:r w:rsidRPr="00A148F1">
        <w:rPr>
          <w:rFonts w:ascii="Times New Roman" w:hAnsi="Times New Roman" w:cs="Times New Roman"/>
          <w:bCs/>
          <w:sz w:val="24"/>
        </w:rPr>
        <w:t xml:space="preserve">dos trabalhadores de R$ 2.905,00. </w:t>
      </w:r>
      <w:r w:rsidR="001B6B8D" w:rsidRPr="00A148F1">
        <w:rPr>
          <w:rFonts w:ascii="Times New Roman" w:hAnsi="Times New Roman" w:cs="Times New Roman"/>
          <w:bCs/>
          <w:sz w:val="24"/>
        </w:rPr>
        <w:t>Em 2013, o PIB do</w:t>
      </w:r>
      <w:r w:rsidR="0025335C" w:rsidRPr="00A148F1">
        <w:rPr>
          <w:rFonts w:ascii="Times New Roman" w:hAnsi="Times New Roman" w:cs="Times New Roman"/>
          <w:bCs/>
          <w:sz w:val="24"/>
        </w:rPr>
        <w:t xml:space="preserve"> M</w:t>
      </w:r>
      <w:r w:rsidR="001B6B8D" w:rsidRPr="00A148F1">
        <w:rPr>
          <w:rFonts w:ascii="Times New Roman" w:hAnsi="Times New Roman" w:cs="Times New Roman"/>
          <w:bCs/>
          <w:sz w:val="24"/>
        </w:rPr>
        <w:t>unicípio foi</w:t>
      </w:r>
      <w:r w:rsidR="00EE7365" w:rsidRPr="00A148F1">
        <w:rPr>
          <w:rFonts w:ascii="Times New Roman" w:hAnsi="Times New Roman" w:cs="Times New Roman"/>
          <w:bCs/>
          <w:sz w:val="24"/>
        </w:rPr>
        <w:t xml:space="preserve"> de </w:t>
      </w:r>
      <w:r w:rsidR="0082413C" w:rsidRPr="00A148F1">
        <w:rPr>
          <w:rFonts w:ascii="Times New Roman" w:hAnsi="Times New Roman" w:cs="Times New Roman"/>
          <w:bCs/>
          <w:sz w:val="24"/>
        </w:rPr>
        <w:t xml:space="preserve">R$ </w:t>
      </w:r>
      <w:r w:rsidR="001B6B8D" w:rsidRPr="00A148F1">
        <w:rPr>
          <w:rFonts w:ascii="Times New Roman" w:hAnsi="Times New Roman" w:cs="Times New Roman"/>
          <w:bCs/>
          <w:sz w:val="24"/>
        </w:rPr>
        <w:t>14,7</w:t>
      </w:r>
      <w:r w:rsidR="00EE7365" w:rsidRPr="00A148F1">
        <w:rPr>
          <w:rFonts w:ascii="Times New Roman" w:hAnsi="Times New Roman" w:cs="Times New Roman"/>
          <w:bCs/>
          <w:sz w:val="24"/>
        </w:rPr>
        <w:t xml:space="preserve"> bilhões, </w:t>
      </w:r>
      <w:r w:rsidR="001B6B8D" w:rsidRPr="00A148F1">
        <w:rPr>
          <w:rFonts w:ascii="Times New Roman" w:hAnsi="Times New Roman" w:cs="Times New Roman"/>
          <w:bCs/>
          <w:sz w:val="24"/>
        </w:rPr>
        <w:t xml:space="preserve">sendo que 58,30% </w:t>
      </w:r>
      <w:proofErr w:type="gramStart"/>
      <w:r w:rsidR="001B6B8D" w:rsidRPr="00A148F1">
        <w:rPr>
          <w:rFonts w:ascii="Times New Roman" w:hAnsi="Times New Roman" w:cs="Times New Roman"/>
          <w:bCs/>
          <w:sz w:val="24"/>
        </w:rPr>
        <w:t>foi</w:t>
      </w:r>
      <w:proofErr w:type="gramEnd"/>
      <w:r w:rsidR="0025335C" w:rsidRPr="00A148F1">
        <w:rPr>
          <w:rFonts w:ascii="Times New Roman" w:hAnsi="Times New Roman" w:cs="Times New Roman"/>
          <w:bCs/>
          <w:sz w:val="24"/>
        </w:rPr>
        <w:t xml:space="preserve"> adicionado por meio do</w:t>
      </w:r>
      <w:r w:rsidR="00EE7365" w:rsidRPr="00A148F1">
        <w:rPr>
          <w:rFonts w:ascii="Times New Roman" w:hAnsi="Times New Roman" w:cs="Times New Roman"/>
          <w:bCs/>
          <w:sz w:val="24"/>
        </w:rPr>
        <w:t xml:space="preserve"> setor de serviços</w:t>
      </w:r>
      <w:r w:rsidR="0025335C" w:rsidRPr="00A148F1">
        <w:rPr>
          <w:rFonts w:ascii="Times New Roman" w:hAnsi="Times New Roman" w:cs="Times New Roman"/>
          <w:bCs/>
          <w:sz w:val="24"/>
        </w:rPr>
        <w:t>,</w:t>
      </w:r>
      <w:r w:rsidR="00EE7365" w:rsidRPr="00A148F1">
        <w:rPr>
          <w:rFonts w:ascii="Times New Roman" w:hAnsi="Times New Roman" w:cs="Times New Roman"/>
          <w:bCs/>
          <w:sz w:val="24"/>
        </w:rPr>
        <w:t xml:space="preserve"> </w:t>
      </w:r>
      <w:r w:rsidR="001B6B8D" w:rsidRPr="00A148F1">
        <w:rPr>
          <w:rFonts w:ascii="Times New Roman" w:hAnsi="Times New Roman" w:cs="Times New Roman"/>
          <w:bCs/>
          <w:sz w:val="24"/>
        </w:rPr>
        <w:t>seguido pelos impostos sobre produtos</w:t>
      </w:r>
      <w:r w:rsidR="00252CD5" w:rsidRPr="00A148F1">
        <w:rPr>
          <w:rFonts w:ascii="Times New Roman" w:hAnsi="Times New Roman" w:cs="Times New Roman"/>
          <w:bCs/>
          <w:sz w:val="24"/>
        </w:rPr>
        <w:t>,</w:t>
      </w:r>
      <w:r w:rsidR="001B6B8D" w:rsidRPr="00A148F1">
        <w:rPr>
          <w:rFonts w:ascii="Times New Roman" w:hAnsi="Times New Roman" w:cs="Times New Roman"/>
          <w:bCs/>
          <w:sz w:val="24"/>
        </w:rPr>
        <w:t xml:space="preserve"> com 19,31% </w:t>
      </w:r>
      <w:r w:rsidR="006B0414" w:rsidRPr="00A148F1">
        <w:rPr>
          <w:rFonts w:ascii="Times New Roman" w:hAnsi="Times New Roman" w:cs="Times New Roman"/>
          <w:bCs/>
          <w:sz w:val="24"/>
        </w:rPr>
        <w:t>(IBGE, 2016a</w:t>
      </w:r>
      <w:r w:rsidR="00EE7365" w:rsidRPr="00A148F1">
        <w:rPr>
          <w:rFonts w:ascii="Times New Roman" w:hAnsi="Times New Roman" w:cs="Times New Roman"/>
          <w:bCs/>
          <w:sz w:val="24"/>
        </w:rPr>
        <w:t>).</w:t>
      </w:r>
    </w:p>
    <w:p w:rsidR="0041751F" w:rsidRPr="00A148F1" w:rsidRDefault="0041751F" w:rsidP="00983013">
      <w:pPr>
        <w:spacing w:after="0" w:line="240" w:lineRule="auto"/>
        <w:ind w:firstLine="709"/>
        <w:jc w:val="both"/>
        <w:rPr>
          <w:rFonts w:ascii="Times New Roman" w:hAnsi="Times New Roman" w:cs="Times New Roman"/>
          <w:bCs/>
          <w:sz w:val="24"/>
        </w:rPr>
      </w:pPr>
    </w:p>
    <w:p w:rsidR="00F56334" w:rsidRPr="00A148F1" w:rsidRDefault="00EF35D4" w:rsidP="00203B12">
      <w:pPr>
        <w:pStyle w:val="Ttulo2"/>
        <w:rPr>
          <w:rFonts w:ascii="Times New Roman" w:hAnsi="Times New Roman"/>
          <w:sz w:val="24"/>
        </w:rPr>
      </w:pPr>
      <w:r w:rsidRPr="00A148F1">
        <w:rPr>
          <w:rFonts w:ascii="Times New Roman" w:hAnsi="Times New Roman"/>
          <w:sz w:val="24"/>
        </w:rPr>
        <w:t>Aplicações em Ações e Serviços Públicos de S</w:t>
      </w:r>
      <w:r w:rsidR="00CF27E4" w:rsidRPr="00A148F1">
        <w:rPr>
          <w:rFonts w:ascii="Times New Roman" w:hAnsi="Times New Roman"/>
          <w:sz w:val="24"/>
        </w:rPr>
        <w:t>aúde</w:t>
      </w:r>
      <w:r w:rsidRPr="00A148F1">
        <w:rPr>
          <w:rFonts w:ascii="Times New Roman" w:hAnsi="Times New Roman"/>
          <w:sz w:val="24"/>
        </w:rPr>
        <w:t xml:space="preserve"> (ASPS)</w:t>
      </w:r>
    </w:p>
    <w:p w:rsidR="00D43F41" w:rsidRPr="00A148F1" w:rsidRDefault="0078063D" w:rsidP="00831265">
      <w:pPr>
        <w:spacing w:after="0" w:line="240" w:lineRule="auto"/>
        <w:ind w:firstLine="708"/>
        <w:jc w:val="both"/>
        <w:rPr>
          <w:rFonts w:ascii="Times New Roman" w:hAnsi="Times New Roman" w:cs="Times New Roman"/>
          <w:bCs/>
          <w:sz w:val="24"/>
        </w:rPr>
      </w:pPr>
      <w:r w:rsidRPr="00A148F1">
        <w:rPr>
          <w:rFonts w:ascii="Times New Roman" w:hAnsi="Times New Roman" w:cs="Times New Roman"/>
          <w:bCs/>
          <w:sz w:val="24"/>
        </w:rPr>
        <w:t xml:space="preserve">Para o cálculo do percentual de </w:t>
      </w:r>
      <w:r w:rsidR="003D756E" w:rsidRPr="00A148F1">
        <w:rPr>
          <w:rFonts w:ascii="Times New Roman" w:hAnsi="Times New Roman" w:cs="Times New Roman"/>
          <w:bCs/>
          <w:sz w:val="24"/>
        </w:rPr>
        <w:t>aplicação em ASPS, são utilizadas</w:t>
      </w:r>
      <w:r w:rsidR="00BA5FE7" w:rsidRPr="00A148F1">
        <w:rPr>
          <w:rFonts w:ascii="Times New Roman" w:hAnsi="Times New Roman" w:cs="Times New Roman"/>
          <w:bCs/>
          <w:sz w:val="24"/>
        </w:rPr>
        <w:t xml:space="preserve"> determinadas</w:t>
      </w:r>
      <w:r w:rsidR="00777A80" w:rsidRPr="00A148F1">
        <w:rPr>
          <w:rFonts w:ascii="Times New Roman" w:hAnsi="Times New Roman" w:cs="Times New Roman"/>
          <w:bCs/>
          <w:sz w:val="24"/>
        </w:rPr>
        <w:t xml:space="preserve"> </w:t>
      </w:r>
      <w:r w:rsidR="00BA5FE7" w:rsidRPr="00A148F1">
        <w:rPr>
          <w:rFonts w:ascii="Times New Roman" w:hAnsi="Times New Roman" w:cs="Times New Roman"/>
          <w:bCs/>
          <w:sz w:val="24"/>
        </w:rPr>
        <w:t xml:space="preserve">receitas </w:t>
      </w:r>
      <w:r w:rsidR="003D756E" w:rsidRPr="00A148F1">
        <w:rPr>
          <w:rFonts w:ascii="Times New Roman" w:hAnsi="Times New Roman" w:cs="Times New Roman"/>
          <w:bCs/>
          <w:sz w:val="24"/>
        </w:rPr>
        <w:t>e</w:t>
      </w:r>
      <w:r w:rsidR="00777A80" w:rsidRPr="00A148F1">
        <w:rPr>
          <w:rFonts w:ascii="Times New Roman" w:hAnsi="Times New Roman" w:cs="Times New Roman"/>
          <w:bCs/>
          <w:sz w:val="24"/>
        </w:rPr>
        <w:t xml:space="preserve"> </w:t>
      </w:r>
      <w:r w:rsidR="003D756E" w:rsidRPr="00A148F1">
        <w:rPr>
          <w:rFonts w:ascii="Times New Roman" w:hAnsi="Times New Roman" w:cs="Times New Roman"/>
          <w:bCs/>
          <w:sz w:val="24"/>
        </w:rPr>
        <w:t>d</w:t>
      </w:r>
      <w:r w:rsidR="008621CC" w:rsidRPr="00A148F1">
        <w:rPr>
          <w:rFonts w:ascii="Times New Roman" w:hAnsi="Times New Roman" w:cs="Times New Roman"/>
          <w:bCs/>
          <w:sz w:val="24"/>
        </w:rPr>
        <w:t>espesas</w:t>
      </w:r>
      <w:r w:rsidR="00D43F41" w:rsidRPr="00A148F1">
        <w:rPr>
          <w:rFonts w:ascii="Times New Roman" w:hAnsi="Times New Roman" w:cs="Times New Roman"/>
          <w:bCs/>
          <w:sz w:val="24"/>
        </w:rPr>
        <w:t>. O</w:t>
      </w:r>
      <w:r w:rsidR="003D756E" w:rsidRPr="00A148F1">
        <w:rPr>
          <w:rFonts w:ascii="Times New Roman" w:hAnsi="Times New Roman" w:cs="Times New Roman"/>
          <w:bCs/>
          <w:sz w:val="24"/>
        </w:rPr>
        <w:t>s</w:t>
      </w:r>
      <w:r w:rsidR="00D43F41" w:rsidRPr="00A148F1">
        <w:rPr>
          <w:rFonts w:ascii="Times New Roman" w:hAnsi="Times New Roman" w:cs="Times New Roman"/>
          <w:bCs/>
          <w:sz w:val="24"/>
        </w:rPr>
        <w:t xml:space="preserve"> </w:t>
      </w:r>
      <w:r w:rsidR="006B623C" w:rsidRPr="00A148F1">
        <w:rPr>
          <w:rFonts w:ascii="Times New Roman" w:hAnsi="Times New Roman" w:cs="Times New Roman"/>
          <w:bCs/>
          <w:sz w:val="24"/>
        </w:rPr>
        <w:t xml:space="preserve">fundamentos normativos para </w:t>
      </w:r>
      <w:r w:rsidR="00BA5FE7" w:rsidRPr="00A148F1">
        <w:rPr>
          <w:rFonts w:ascii="Times New Roman" w:hAnsi="Times New Roman" w:cs="Times New Roman"/>
          <w:bCs/>
          <w:sz w:val="24"/>
        </w:rPr>
        <w:t>a</w:t>
      </w:r>
      <w:r w:rsidR="006B623C" w:rsidRPr="00A148F1">
        <w:rPr>
          <w:rFonts w:ascii="Times New Roman" w:hAnsi="Times New Roman" w:cs="Times New Roman"/>
          <w:bCs/>
          <w:sz w:val="24"/>
        </w:rPr>
        <w:t xml:space="preserve"> obtenção </w:t>
      </w:r>
      <w:r w:rsidR="00BA5FE7" w:rsidRPr="00A148F1">
        <w:rPr>
          <w:rFonts w:ascii="Times New Roman" w:hAnsi="Times New Roman" w:cs="Times New Roman"/>
          <w:bCs/>
          <w:sz w:val="24"/>
        </w:rPr>
        <w:t xml:space="preserve">e apuração </w:t>
      </w:r>
      <w:r w:rsidR="006B623C" w:rsidRPr="00A148F1">
        <w:rPr>
          <w:rFonts w:ascii="Times New Roman" w:hAnsi="Times New Roman" w:cs="Times New Roman"/>
          <w:bCs/>
          <w:sz w:val="24"/>
        </w:rPr>
        <w:t>dest</w:t>
      </w:r>
      <w:r w:rsidR="00D43F41" w:rsidRPr="00A148F1">
        <w:rPr>
          <w:rFonts w:ascii="Times New Roman" w:hAnsi="Times New Roman" w:cs="Times New Roman"/>
          <w:bCs/>
          <w:sz w:val="24"/>
        </w:rPr>
        <w:t>es valores são evidenciados no Cap</w:t>
      </w:r>
      <w:r w:rsidR="001C0F94" w:rsidRPr="00A148F1">
        <w:rPr>
          <w:rFonts w:ascii="Times New Roman" w:hAnsi="Times New Roman" w:cs="Times New Roman"/>
          <w:bCs/>
          <w:sz w:val="24"/>
        </w:rPr>
        <w:t>í</w:t>
      </w:r>
      <w:r w:rsidR="00BA5FE7" w:rsidRPr="00A148F1">
        <w:rPr>
          <w:rFonts w:ascii="Times New Roman" w:hAnsi="Times New Roman" w:cs="Times New Roman"/>
          <w:bCs/>
          <w:sz w:val="24"/>
        </w:rPr>
        <w:t>tulo 2</w:t>
      </w:r>
      <w:r w:rsidR="00D43F41" w:rsidRPr="00A148F1">
        <w:rPr>
          <w:rFonts w:ascii="Times New Roman" w:hAnsi="Times New Roman" w:cs="Times New Roman"/>
          <w:bCs/>
          <w:sz w:val="24"/>
        </w:rPr>
        <w:t xml:space="preserve">. </w:t>
      </w:r>
      <w:r w:rsidR="00BA5FE7" w:rsidRPr="00A148F1">
        <w:rPr>
          <w:rFonts w:ascii="Times New Roman" w:hAnsi="Times New Roman" w:cs="Times New Roman"/>
          <w:bCs/>
          <w:sz w:val="24"/>
        </w:rPr>
        <w:t>N</w:t>
      </w:r>
      <w:r w:rsidR="00D43F41" w:rsidRPr="00A148F1">
        <w:rPr>
          <w:rFonts w:ascii="Times New Roman" w:hAnsi="Times New Roman" w:cs="Times New Roman"/>
          <w:bCs/>
          <w:sz w:val="24"/>
        </w:rPr>
        <w:t>esta seção</w:t>
      </w:r>
      <w:r w:rsidR="00BA5FE7" w:rsidRPr="00A148F1">
        <w:rPr>
          <w:rFonts w:ascii="Times New Roman" w:hAnsi="Times New Roman" w:cs="Times New Roman"/>
          <w:bCs/>
          <w:sz w:val="24"/>
        </w:rPr>
        <w:t>,</w:t>
      </w:r>
      <w:r w:rsidR="00D43F41" w:rsidRPr="00A148F1">
        <w:rPr>
          <w:rFonts w:ascii="Times New Roman" w:hAnsi="Times New Roman" w:cs="Times New Roman"/>
          <w:bCs/>
          <w:sz w:val="24"/>
        </w:rPr>
        <w:t xml:space="preserve"> foram utilizados os seguintes termos: Receita para Efeito do Cálculo (REC)</w:t>
      </w:r>
      <w:r w:rsidR="000E2E20" w:rsidRPr="00A148F1">
        <w:rPr>
          <w:rFonts w:ascii="Times New Roman" w:hAnsi="Times New Roman" w:cs="Times New Roman"/>
          <w:bCs/>
          <w:sz w:val="24"/>
        </w:rPr>
        <w:t>,</w:t>
      </w:r>
      <w:r w:rsidR="00BA5FE7" w:rsidRPr="00A148F1">
        <w:rPr>
          <w:rFonts w:ascii="Times New Roman" w:hAnsi="Times New Roman" w:cs="Times New Roman"/>
          <w:bCs/>
          <w:sz w:val="24"/>
        </w:rPr>
        <w:t xml:space="preserve"> representando</w:t>
      </w:r>
      <w:r w:rsidR="00D43F41" w:rsidRPr="00A148F1">
        <w:rPr>
          <w:rFonts w:ascii="Times New Roman" w:hAnsi="Times New Roman" w:cs="Times New Roman"/>
          <w:bCs/>
          <w:sz w:val="24"/>
        </w:rPr>
        <w:t xml:space="preserve"> as receitas</w:t>
      </w:r>
      <w:r w:rsidR="003D756E" w:rsidRPr="00A148F1">
        <w:rPr>
          <w:rFonts w:ascii="Times New Roman" w:hAnsi="Times New Roman" w:cs="Times New Roman"/>
          <w:bCs/>
          <w:sz w:val="24"/>
        </w:rPr>
        <w:t xml:space="preserve"> provenientes da arrecadação de impostos</w:t>
      </w:r>
      <w:r w:rsidR="001C0F94" w:rsidRPr="00A148F1">
        <w:rPr>
          <w:rFonts w:ascii="Times New Roman" w:hAnsi="Times New Roman" w:cs="Times New Roman"/>
          <w:bCs/>
          <w:sz w:val="24"/>
        </w:rPr>
        <w:t xml:space="preserve"> (incluindo </w:t>
      </w:r>
      <w:r w:rsidR="00FC2559" w:rsidRPr="00A148F1">
        <w:rPr>
          <w:rFonts w:ascii="Times New Roman" w:hAnsi="Times New Roman" w:cs="Times New Roman"/>
          <w:bCs/>
          <w:sz w:val="24"/>
        </w:rPr>
        <w:t>as de transferências intergovernamentais)</w:t>
      </w:r>
      <w:r w:rsidR="003D756E" w:rsidRPr="00A148F1">
        <w:rPr>
          <w:rFonts w:ascii="Times New Roman" w:hAnsi="Times New Roman" w:cs="Times New Roman"/>
          <w:bCs/>
          <w:sz w:val="24"/>
        </w:rPr>
        <w:t>;</w:t>
      </w:r>
      <w:r w:rsidR="00D43F41" w:rsidRPr="00A148F1">
        <w:rPr>
          <w:rFonts w:ascii="Times New Roman" w:hAnsi="Times New Roman" w:cs="Times New Roman"/>
          <w:bCs/>
          <w:sz w:val="24"/>
        </w:rPr>
        <w:t xml:space="preserve"> e Despesas para Efeito do Cálculo (DEC)</w:t>
      </w:r>
      <w:r w:rsidR="000E2E20" w:rsidRPr="00A148F1">
        <w:rPr>
          <w:rFonts w:ascii="Times New Roman" w:hAnsi="Times New Roman" w:cs="Times New Roman"/>
          <w:bCs/>
          <w:sz w:val="24"/>
        </w:rPr>
        <w:t>,</w:t>
      </w:r>
      <w:r w:rsidR="006B623C" w:rsidRPr="00A148F1">
        <w:rPr>
          <w:rFonts w:ascii="Times New Roman" w:hAnsi="Times New Roman" w:cs="Times New Roman"/>
          <w:bCs/>
          <w:sz w:val="24"/>
        </w:rPr>
        <w:t xml:space="preserve"> </w:t>
      </w:r>
      <w:r w:rsidR="00BA5FE7" w:rsidRPr="00A148F1">
        <w:rPr>
          <w:rFonts w:ascii="Times New Roman" w:hAnsi="Times New Roman" w:cs="Times New Roman"/>
          <w:bCs/>
          <w:sz w:val="24"/>
        </w:rPr>
        <w:t>representando</w:t>
      </w:r>
      <w:r w:rsidR="00FC2559" w:rsidRPr="00A148F1">
        <w:rPr>
          <w:rFonts w:ascii="Times New Roman" w:hAnsi="Times New Roman" w:cs="Times New Roman"/>
          <w:bCs/>
          <w:sz w:val="24"/>
        </w:rPr>
        <w:t xml:space="preserve"> as despe</w:t>
      </w:r>
      <w:r w:rsidR="00BA5FE7" w:rsidRPr="00A148F1">
        <w:rPr>
          <w:rFonts w:ascii="Times New Roman" w:hAnsi="Times New Roman" w:cs="Times New Roman"/>
          <w:bCs/>
          <w:sz w:val="24"/>
        </w:rPr>
        <w:t xml:space="preserve">sas de aplicações </w:t>
      </w:r>
      <w:r w:rsidR="00FB0BA8" w:rsidRPr="00A148F1">
        <w:rPr>
          <w:rFonts w:ascii="Times New Roman" w:hAnsi="Times New Roman" w:cs="Times New Roman"/>
          <w:bCs/>
          <w:sz w:val="24"/>
        </w:rPr>
        <w:t>e</w:t>
      </w:r>
      <w:r w:rsidR="00FC2559" w:rsidRPr="00A148F1">
        <w:rPr>
          <w:rFonts w:ascii="Times New Roman" w:hAnsi="Times New Roman" w:cs="Times New Roman"/>
          <w:bCs/>
          <w:sz w:val="24"/>
        </w:rPr>
        <w:t>m</w:t>
      </w:r>
      <w:r w:rsidR="006B623C" w:rsidRPr="00A148F1">
        <w:rPr>
          <w:rFonts w:ascii="Times New Roman" w:hAnsi="Times New Roman" w:cs="Times New Roman"/>
          <w:bCs/>
          <w:sz w:val="24"/>
        </w:rPr>
        <w:t xml:space="preserve"> ASPS</w:t>
      </w:r>
      <w:r w:rsidR="00D43F41" w:rsidRPr="00A148F1">
        <w:rPr>
          <w:rFonts w:ascii="Times New Roman" w:hAnsi="Times New Roman" w:cs="Times New Roman"/>
          <w:bCs/>
          <w:sz w:val="24"/>
        </w:rPr>
        <w:t>.</w:t>
      </w:r>
    </w:p>
    <w:p w:rsidR="007078E7" w:rsidRDefault="0078063D" w:rsidP="00831265">
      <w:pPr>
        <w:spacing w:after="0" w:line="240" w:lineRule="auto"/>
        <w:ind w:firstLine="709"/>
        <w:jc w:val="both"/>
        <w:rPr>
          <w:rFonts w:ascii="Arial" w:hAnsi="Arial" w:cs="Arial"/>
          <w:bCs/>
        </w:rPr>
      </w:pPr>
      <w:r w:rsidRPr="00A148F1">
        <w:rPr>
          <w:rFonts w:ascii="Times New Roman" w:hAnsi="Times New Roman" w:cs="Times New Roman"/>
          <w:bCs/>
          <w:sz w:val="24"/>
        </w:rPr>
        <w:t xml:space="preserve"> </w:t>
      </w:r>
      <w:r w:rsidR="00D43F41" w:rsidRPr="00A148F1">
        <w:rPr>
          <w:rFonts w:ascii="Times New Roman" w:hAnsi="Times New Roman" w:cs="Times New Roman"/>
          <w:bCs/>
          <w:sz w:val="24"/>
        </w:rPr>
        <w:t>Neste sentido, o</w:t>
      </w:r>
      <w:r w:rsidR="00A50F35" w:rsidRPr="00A148F1">
        <w:rPr>
          <w:rFonts w:ascii="Times New Roman" w:hAnsi="Times New Roman" w:cs="Times New Roman"/>
          <w:bCs/>
          <w:sz w:val="24"/>
        </w:rPr>
        <w:t>s dados origina</w:t>
      </w:r>
      <w:r w:rsidR="00F10F36" w:rsidRPr="00A148F1">
        <w:rPr>
          <w:rFonts w:ascii="Times New Roman" w:hAnsi="Times New Roman" w:cs="Times New Roman"/>
          <w:bCs/>
          <w:sz w:val="24"/>
        </w:rPr>
        <w:t xml:space="preserve">is das </w:t>
      </w:r>
      <w:r w:rsidR="00A50F35" w:rsidRPr="00A148F1">
        <w:rPr>
          <w:rFonts w:ascii="Times New Roman" w:hAnsi="Times New Roman" w:cs="Times New Roman"/>
          <w:bCs/>
          <w:sz w:val="24"/>
        </w:rPr>
        <w:t xml:space="preserve">REC e </w:t>
      </w:r>
      <w:r w:rsidR="00F10F36" w:rsidRPr="00A148F1">
        <w:rPr>
          <w:rFonts w:ascii="Times New Roman" w:hAnsi="Times New Roman" w:cs="Times New Roman"/>
          <w:bCs/>
          <w:sz w:val="24"/>
        </w:rPr>
        <w:t xml:space="preserve">das </w:t>
      </w:r>
      <w:r w:rsidR="00A50F35" w:rsidRPr="00A148F1">
        <w:rPr>
          <w:rFonts w:ascii="Times New Roman" w:hAnsi="Times New Roman" w:cs="Times New Roman"/>
          <w:bCs/>
          <w:sz w:val="24"/>
        </w:rPr>
        <w:t>DEC</w:t>
      </w:r>
      <w:r w:rsidR="00EF35D4" w:rsidRPr="00A148F1">
        <w:rPr>
          <w:rFonts w:ascii="Times New Roman" w:hAnsi="Times New Roman" w:cs="Times New Roman"/>
          <w:bCs/>
          <w:sz w:val="24"/>
        </w:rPr>
        <w:t>,</w:t>
      </w:r>
      <w:r w:rsidR="00A50F35" w:rsidRPr="00A148F1">
        <w:rPr>
          <w:rFonts w:ascii="Times New Roman" w:hAnsi="Times New Roman" w:cs="Times New Roman"/>
          <w:bCs/>
          <w:sz w:val="24"/>
        </w:rPr>
        <w:t xml:space="preserve"> divulgados pela Prefeitura M</w:t>
      </w:r>
      <w:r w:rsidR="00EF35D4" w:rsidRPr="00A148F1">
        <w:rPr>
          <w:rFonts w:ascii="Times New Roman" w:hAnsi="Times New Roman" w:cs="Times New Roman"/>
          <w:bCs/>
          <w:sz w:val="24"/>
        </w:rPr>
        <w:t>unicipal de Florianópolis (PMF)</w:t>
      </w:r>
      <w:r w:rsidR="00A50F35" w:rsidRPr="00A148F1">
        <w:rPr>
          <w:rFonts w:ascii="Times New Roman" w:hAnsi="Times New Roman" w:cs="Times New Roman"/>
          <w:bCs/>
          <w:sz w:val="24"/>
        </w:rPr>
        <w:t xml:space="preserve"> e pelo Tribunal de Contas do Estado de Santa Catarina (TCE/</w:t>
      </w:r>
      <w:r w:rsidR="00711680" w:rsidRPr="00A148F1">
        <w:rPr>
          <w:rFonts w:ascii="Times New Roman" w:hAnsi="Times New Roman" w:cs="Times New Roman"/>
          <w:bCs/>
          <w:sz w:val="24"/>
        </w:rPr>
        <w:t>SC), estão evidenciados na T</w:t>
      </w:r>
      <w:r w:rsidR="00A50F35" w:rsidRPr="00A148F1">
        <w:rPr>
          <w:rFonts w:ascii="Times New Roman" w:hAnsi="Times New Roman" w:cs="Times New Roman"/>
          <w:bCs/>
          <w:sz w:val="24"/>
        </w:rPr>
        <w:t>abela 1, assim como o</w:t>
      </w:r>
      <w:r w:rsidR="00FB0BA8" w:rsidRPr="00A148F1">
        <w:rPr>
          <w:rFonts w:ascii="Times New Roman" w:hAnsi="Times New Roman" w:cs="Times New Roman"/>
          <w:bCs/>
          <w:sz w:val="24"/>
        </w:rPr>
        <w:t>s</w:t>
      </w:r>
      <w:r w:rsidR="00A50F35" w:rsidRPr="00A148F1">
        <w:rPr>
          <w:rFonts w:ascii="Times New Roman" w:hAnsi="Times New Roman" w:cs="Times New Roman"/>
          <w:bCs/>
          <w:sz w:val="24"/>
        </w:rPr>
        <w:t xml:space="preserve"> percentua</w:t>
      </w:r>
      <w:r w:rsidR="00FB0BA8" w:rsidRPr="00A148F1">
        <w:rPr>
          <w:rFonts w:ascii="Times New Roman" w:hAnsi="Times New Roman" w:cs="Times New Roman"/>
          <w:bCs/>
          <w:sz w:val="24"/>
        </w:rPr>
        <w:t>is</w:t>
      </w:r>
      <w:r w:rsidR="00A50F35" w:rsidRPr="00A148F1">
        <w:rPr>
          <w:rFonts w:ascii="Times New Roman" w:hAnsi="Times New Roman" w:cs="Times New Roman"/>
          <w:bCs/>
          <w:sz w:val="24"/>
        </w:rPr>
        <w:t xml:space="preserve"> de </w:t>
      </w:r>
      <w:r w:rsidR="006B623C" w:rsidRPr="00A148F1">
        <w:rPr>
          <w:rFonts w:ascii="Times New Roman" w:hAnsi="Times New Roman" w:cs="Times New Roman"/>
          <w:bCs/>
          <w:sz w:val="24"/>
        </w:rPr>
        <w:t xml:space="preserve">aplicação em </w:t>
      </w:r>
      <w:r w:rsidR="00A50F35" w:rsidRPr="00A148F1">
        <w:rPr>
          <w:rFonts w:ascii="Times New Roman" w:hAnsi="Times New Roman" w:cs="Times New Roman"/>
          <w:bCs/>
          <w:sz w:val="24"/>
        </w:rPr>
        <w:t>A</w:t>
      </w:r>
      <w:r w:rsidR="00EF35D4" w:rsidRPr="00A148F1">
        <w:rPr>
          <w:rFonts w:ascii="Times New Roman" w:hAnsi="Times New Roman" w:cs="Times New Roman"/>
          <w:bCs/>
          <w:sz w:val="24"/>
        </w:rPr>
        <w:t>SPS de cada ano da série analisada.</w:t>
      </w:r>
    </w:p>
    <w:p w:rsidR="00A148F1" w:rsidRDefault="00A148F1" w:rsidP="00831265">
      <w:pPr>
        <w:spacing w:after="0" w:line="240" w:lineRule="auto"/>
        <w:ind w:firstLine="709"/>
        <w:jc w:val="both"/>
        <w:rPr>
          <w:rFonts w:ascii="Times New Roman" w:hAnsi="Times New Roman" w:cs="Times New Roman"/>
          <w:bCs/>
          <w:sz w:val="24"/>
          <w:szCs w:val="24"/>
        </w:rPr>
      </w:pPr>
    </w:p>
    <w:p w:rsidR="00340BF5" w:rsidRDefault="00340BF5" w:rsidP="00831265">
      <w:pPr>
        <w:spacing w:after="0" w:line="240" w:lineRule="auto"/>
        <w:ind w:firstLine="709"/>
        <w:jc w:val="both"/>
        <w:rPr>
          <w:rFonts w:ascii="Times New Roman" w:hAnsi="Times New Roman" w:cs="Times New Roman"/>
          <w:bCs/>
          <w:sz w:val="24"/>
          <w:szCs w:val="24"/>
        </w:rPr>
      </w:pPr>
    </w:p>
    <w:p w:rsidR="00340BF5" w:rsidRDefault="00340BF5" w:rsidP="00831265">
      <w:pPr>
        <w:spacing w:after="0" w:line="240" w:lineRule="auto"/>
        <w:ind w:firstLine="709"/>
        <w:jc w:val="both"/>
        <w:rPr>
          <w:rFonts w:ascii="Times New Roman" w:hAnsi="Times New Roman" w:cs="Times New Roman"/>
          <w:bCs/>
          <w:sz w:val="24"/>
          <w:szCs w:val="24"/>
        </w:rPr>
      </w:pPr>
    </w:p>
    <w:p w:rsidR="00340BF5" w:rsidRDefault="00340BF5" w:rsidP="00831265">
      <w:pPr>
        <w:spacing w:after="0" w:line="240" w:lineRule="auto"/>
        <w:ind w:firstLine="709"/>
        <w:jc w:val="both"/>
        <w:rPr>
          <w:rFonts w:ascii="Times New Roman" w:hAnsi="Times New Roman" w:cs="Times New Roman"/>
          <w:bCs/>
          <w:sz w:val="24"/>
          <w:szCs w:val="24"/>
        </w:rPr>
      </w:pPr>
    </w:p>
    <w:p w:rsidR="00340BF5" w:rsidRDefault="00340BF5" w:rsidP="00831265">
      <w:pPr>
        <w:spacing w:after="0" w:line="240" w:lineRule="auto"/>
        <w:ind w:firstLine="709"/>
        <w:jc w:val="both"/>
        <w:rPr>
          <w:rFonts w:ascii="Times New Roman" w:hAnsi="Times New Roman" w:cs="Times New Roman"/>
          <w:bCs/>
          <w:sz w:val="24"/>
          <w:szCs w:val="24"/>
        </w:rPr>
      </w:pPr>
    </w:p>
    <w:p w:rsidR="00340BF5" w:rsidRDefault="00340BF5" w:rsidP="00831265">
      <w:pPr>
        <w:spacing w:after="0" w:line="240" w:lineRule="auto"/>
        <w:ind w:firstLine="709"/>
        <w:jc w:val="both"/>
        <w:rPr>
          <w:rFonts w:ascii="Times New Roman" w:hAnsi="Times New Roman" w:cs="Times New Roman"/>
          <w:bCs/>
          <w:sz w:val="24"/>
          <w:szCs w:val="24"/>
        </w:rPr>
      </w:pPr>
    </w:p>
    <w:p w:rsidR="00340BF5" w:rsidRDefault="00340BF5" w:rsidP="00831265">
      <w:pPr>
        <w:spacing w:after="0" w:line="240" w:lineRule="auto"/>
        <w:ind w:firstLine="709"/>
        <w:jc w:val="both"/>
        <w:rPr>
          <w:rFonts w:ascii="Times New Roman" w:hAnsi="Times New Roman" w:cs="Times New Roman"/>
          <w:bCs/>
          <w:sz w:val="24"/>
          <w:szCs w:val="24"/>
        </w:rPr>
      </w:pPr>
    </w:p>
    <w:p w:rsidR="00340BF5" w:rsidRPr="00A31187" w:rsidRDefault="00340BF5" w:rsidP="00831265">
      <w:pPr>
        <w:spacing w:after="0" w:line="240" w:lineRule="auto"/>
        <w:ind w:firstLine="709"/>
        <w:jc w:val="both"/>
        <w:rPr>
          <w:rFonts w:ascii="Times New Roman" w:hAnsi="Times New Roman" w:cs="Times New Roman"/>
          <w:bCs/>
          <w:sz w:val="24"/>
          <w:szCs w:val="24"/>
        </w:rPr>
      </w:pPr>
    </w:p>
    <w:tbl>
      <w:tblPr>
        <w:tblW w:w="5000" w:type="pct"/>
        <w:tblCellMar>
          <w:left w:w="70" w:type="dxa"/>
          <w:right w:w="70" w:type="dxa"/>
        </w:tblCellMar>
        <w:tblLook w:val="04A0"/>
      </w:tblPr>
      <w:tblGrid>
        <w:gridCol w:w="1471"/>
        <w:gridCol w:w="1938"/>
        <w:gridCol w:w="1450"/>
        <w:gridCol w:w="1450"/>
        <w:gridCol w:w="1450"/>
        <w:gridCol w:w="1452"/>
      </w:tblGrid>
      <w:tr w:rsidR="0078063D" w:rsidRPr="00475DA5" w:rsidTr="0078063D">
        <w:trPr>
          <w:trHeight w:val="300"/>
        </w:trPr>
        <w:tc>
          <w:tcPr>
            <w:tcW w:w="5000" w:type="pct"/>
            <w:gridSpan w:val="6"/>
            <w:tcBorders>
              <w:top w:val="nil"/>
              <w:left w:val="nil"/>
              <w:bottom w:val="nil"/>
              <w:right w:val="nil"/>
            </w:tcBorders>
            <w:shd w:val="clear" w:color="auto" w:fill="auto"/>
            <w:hideMark/>
          </w:tcPr>
          <w:p w:rsidR="0078063D" w:rsidRPr="00A148F1" w:rsidRDefault="0078063D" w:rsidP="0078063D">
            <w:pPr>
              <w:spacing w:after="0" w:line="240" w:lineRule="auto"/>
              <w:jc w:val="center"/>
              <w:rPr>
                <w:rFonts w:ascii="Times New Roman" w:eastAsia="Times New Roman" w:hAnsi="Times New Roman" w:cs="Times New Roman"/>
                <w:b/>
                <w:bCs/>
                <w:color w:val="000000"/>
              </w:rPr>
            </w:pPr>
            <w:r w:rsidRPr="00A148F1">
              <w:rPr>
                <w:rFonts w:ascii="Times New Roman" w:eastAsia="Times New Roman" w:hAnsi="Times New Roman" w:cs="Times New Roman"/>
                <w:b/>
                <w:bCs/>
                <w:color w:val="000000"/>
                <w:sz w:val="24"/>
              </w:rPr>
              <w:lastRenderedPageBreak/>
              <w:t xml:space="preserve">Tabela 1 - Comparação da REC, </w:t>
            </w:r>
            <w:r w:rsidR="004D25AE" w:rsidRPr="00A148F1">
              <w:rPr>
                <w:rFonts w:ascii="Times New Roman" w:eastAsia="Times New Roman" w:hAnsi="Times New Roman" w:cs="Times New Roman"/>
                <w:b/>
                <w:bCs/>
                <w:color w:val="000000"/>
                <w:sz w:val="24"/>
              </w:rPr>
              <w:t xml:space="preserve">da </w:t>
            </w:r>
            <w:r w:rsidRPr="00A148F1">
              <w:rPr>
                <w:rFonts w:ascii="Times New Roman" w:eastAsia="Times New Roman" w:hAnsi="Times New Roman" w:cs="Times New Roman"/>
                <w:b/>
                <w:bCs/>
                <w:color w:val="000000"/>
                <w:sz w:val="24"/>
              </w:rPr>
              <w:t xml:space="preserve">DEC e </w:t>
            </w:r>
            <w:r w:rsidR="004D25AE" w:rsidRPr="00A148F1">
              <w:rPr>
                <w:rFonts w:ascii="Times New Roman" w:eastAsia="Times New Roman" w:hAnsi="Times New Roman" w:cs="Times New Roman"/>
                <w:b/>
                <w:bCs/>
                <w:color w:val="000000"/>
                <w:sz w:val="24"/>
              </w:rPr>
              <w:t xml:space="preserve">do </w:t>
            </w:r>
            <w:r w:rsidRPr="00A148F1">
              <w:rPr>
                <w:rFonts w:ascii="Times New Roman" w:eastAsia="Times New Roman" w:hAnsi="Times New Roman" w:cs="Times New Roman"/>
                <w:b/>
                <w:bCs/>
                <w:color w:val="000000"/>
                <w:sz w:val="24"/>
              </w:rPr>
              <w:t xml:space="preserve">percentual (%) de aplicação em ASPS                       entre dados da PMF e do TCE/SC – 2000 a </w:t>
            </w:r>
            <w:proofErr w:type="gramStart"/>
            <w:r w:rsidRPr="00A148F1">
              <w:rPr>
                <w:rFonts w:ascii="Times New Roman" w:eastAsia="Times New Roman" w:hAnsi="Times New Roman" w:cs="Times New Roman"/>
                <w:b/>
                <w:bCs/>
                <w:color w:val="000000"/>
                <w:sz w:val="24"/>
              </w:rPr>
              <w:t>2015</w:t>
            </w:r>
            <w:proofErr w:type="gramEnd"/>
          </w:p>
        </w:tc>
      </w:tr>
      <w:tr w:rsidR="0078063D" w:rsidRPr="00475DA5" w:rsidTr="000802FF">
        <w:trPr>
          <w:trHeight w:val="123"/>
        </w:trPr>
        <w:tc>
          <w:tcPr>
            <w:tcW w:w="5000" w:type="pct"/>
            <w:gridSpan w:val="6"/>
            <w:tcBorders>
              <w:top w:val="nil"/>
              <w:left w:val="nil"/>
              <w:bottom w:val="single" w:sz="4" w:space="0" w:color="auto"/>
              <w:right w:val="nil"/>
            </w:tcBorders>
            <w:shd w:val="clear" w:color="auto" w:fill="auto"/>
            <w:hideMark/>
          </w:tcPr>
          <w:p w:rsidR="0078063D" w:rsidRPr="00475DA5" w:rsidRDefault="0078063D" w:rsidP="0078063D">
            <w:pPr>
              <w:spacing w:after="0" w:line="240" w:lineRule="auto"/>
              <w:jc w:val="right"/>
              <w:rPr>
                <w:rFonts w:ascii="Times New Roman" w:eastAsia="Times New Roman" w:hAnsi="Times New Roman" w:cs="Times New Roman"/>
                <w:color w:val="000000"/>
                <w:sz w:val="20"/>
                <w:szCs w:val="20"/>
              </w:rPr>
            </w:pPr>
            <w:r w:rsidRPr="00475DA5">
              <w:rPr>
                <w:rFonts w:ascii="Times New Roman" w:eastAsia="Times New Roman" w:hAnsi="Times New Roman" w:cs="Times New Roman"/>
                <w:color w:val="000000"/>
                <w:sz w:val="20"/>
                <w:szCs w:val="20"/>
              </w:rPr>
              <w:t xml:space="preserve">Valores </w:t>
            </w:r>
            <w:r w:rsidR="00252CD5">
              <w:rPr>
                <w:rFonts w:ascii="Times New Roman" w:eastAsia="Times New Roman" w:hAnsi="Times New Roman" w:cs="Times New Roman"/>
                <w:color w:val="000000"/>
                <w:sz w:val="20"/>
                <w:szCs w:val="20"/>
              </w:rPr>
              <w:t xml:space="preserve">originais </w:t>
            </w:r>
            <w:r w:rsidRPr="00475DA5">
              <w:rPr>
                <w:rFonts w:ascii="Times New Roman" w:eastAsia="Times New Roman" w:hAnsi="Times New Roman" w:cs="Times New Roman"/>
                <w:color w:val="000000"/>
                <w:sz w:val="20"/>
                <w:szCs w:val="20"/>
              </w:rPr>
              <w:t xml:space="preserve">em </w:t>
            </w:r>
            <w:r>
              <w:rPr>
                <w:rFonts w:ascii="Times New Roman" w:eastAsia="Times New Roman" w:hAnsi="Times New Roman" w:cs="Times New Roman"/>
                <w:color w:val="000000"/>
                <w:sz w:val="20"/>
                <w:szCs w:val="20"/>
              </w:rPr>
              <w:t>R$</w:t>
            </w:r>
            <w:r w:rsidRPr="00475DA5">
              <w:rPr>
                <w:rFonts w:ascii="Times New Roman" w:eastAsia="Times New Roman" w:hAnsi="Times New Roman" w:cs="Times New Roman"/>
                <w:color w:val="000000"/>
                <w:sz w:val="20"/>
                <w:szCs w:val="20"/>
              </w:rPr>
              <w:t>.</w:t>
            </w:r>
          </w:p>
        </w:tc>
      </w:tr>
      <w:tr w:rsidR="0078063D" w:rsidRPr="00475DA5" w:rsidTr="002B6E57">
        <w:trPr>
          <w:trHeight w:val="162"/>
        </w:trPr>
        <w:tc>
          <w:tcPr>
            <w:tcW w:w="799" w:type="pct"/>
            <w:tcBorders>
              <w:top w:val="single" w:sz="4" w:space="0" w:color="auto"/>
              <w:left w:val="nil"/>
              <w:bottom w:val="single" w:sz="4" w:space="0" w:color="auto"/>
              <w:right w:val="single" w:sz="4" w:space="0" w:color="auto"/>
            </w:tcBorders>
            <w:shd w:val="clear" w:color="auto" w:fill="D9D9D9" w:themeFill="background1" w:themeFillShade="D9"/>
            <w:vAlign w:val="center"/>
            <w:hideMark/>
          </w:tcPr>
          <w:p w:rsidR="0078063D" w:rsidRPr="00596292" w:rsidRDefault="0078063D" w:rsidP="002B6E57">
            <w:pPr>
              <w:spacing w:after="0" w:line="240" w:lineRule="auto"/>
              <w:jc w:val="center"/>
              <w:rPr>
                <w:rFonts w:ascii="Times New Roman" w:eastAsia="Times New Roman" w:hAnsi="Times New Roman" w:cs="Times New Roman"/>
                <w:b/>
                <w:color w:val="000000"/>
                <w:sz w:val="20"/>
                <w:szCs w:val="20"/>
              </w:rPr>
            </w:pPr>
            <w:r w:rsidRPr="00596292">
              <w:rPr>
                <w:rFonts w:ascii="Times New Roman" w:eastAsia="Times New Roman" w:hAnsi="Times New Roman" w:cs="Times New Roman"/>
                <w:b/>
                <w:color w:val="000000"/>
                <w:sz w:val="20"/>
                <w:szCs w:val="20"/>
              </w:rPr>
              <w:t>Variáveis</w:t>
            </w:r>
          </w:p>
        </w:tc>
        <w:tc>
          <w:tcPr>
            <w:tcW w:w="1052" w:type="pct"/>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rsidR="0078063D" w:rsidRPr="00596292" w:rsidRDefault="0078063D" w:rsidP="002B6E57">
            <w:pPr>
              <w:spacing w:after="0" w:line="240" w:lineRule="auto"/>
              <w:jc w:val="center"/>
              <w:rPr>
                <w:rFonts w:ascii="Times New Roman" w:eastAsia="Times New Roman" w:hAnsi="Times New Roman" w:cs="Times New Roman"/>
                <w:b/>
                <w:color w:val="000000"/>
                <w:sz w:val="20"/>
                <w:szCs w:val="20"/>
              </w:rPr>
            </w:pPr>
            <w:r w:rsidRPr="00596292">
              <w:rPr>
                <w:rFonts w:ascii="Times New Roman" w:eastAsia="Times New Roman" w:hAnsi="Times New Roman" w:cs="Times New Roman"/>
                <w:b/>
                <w:color w:val="000000"/>
                <w:sz w:val="20"/>
                <w:szCs w:val="20"/>
              </w:rPr>
              <w:t>Orige</w:t>
            </w:r>
            <w:r>
              <w:rPr>
                <w:rFonts w:ascii="Times New Roman" w:eastAsia="Times New Roman" w:hAnsi="Times New Roman" w:cs="Times New Roman"/>
                <w:b/>
                <w:color w:val="000000"/>
                <w:sz w:val="20"/>
                <w:szCs w:val="20"/>
              </w:rPr>
              <w:t>ns</w:t>
            </w:r>
            <w:r w:rsidRPr="00596292">
              <w:rPr>
                <w:rFonts w:ascii="Times New Roman" w:eastAsia="Times New Roman" w:hAnsi="Times New Roman" w:cs="Times New Roman"/>
                <w:b/>
                <w:color w:val="000000"/>
                <w:sz w:val="20"/>
                <w:szCs w:val="20"/>
              </w:rPr>
              <w:t xml:space="preserve"> dos </w:t>
            </w:r>
            <w:r>
              <w:rPr>
                <w:rFonts w:ascii="Times New Roman" w:eastAsia="Times New Roman" w:hAnsi="Times New Roman" w:cs="Times New Roman"/>
                <w:b/>
                <w:color w:val="000000"/>
                <w:sz w:val="20"/>
                <w:szCs w:val="20"/>
              </w:rPr>
              <w:t>d</w:t>
            </w:r>
            <w:r w:rsidRPr="00596292">
              <w:rPr>
                <w:rFonts w:ascii="Times New Roman" w:eastAsia="Times New Roman" w:hAnsi="Times New Roman" w:cs="Times New Roman"/>
                <w:b/>
                <w:color w:val="000000"/>
                <w:sz w:val="20"/>
                <w:szCs w:val="20"/>
              </w:rPr>
              <w:t>ados</w:t>
            </w:r>
          </w:p>
        </w:tc>
        <w:tc>
          <w:tcPr>
            <w:tcW w:w="787" w:type="pct"/>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rsidR="0078063D" w:rsidRPr="00475DA5" w:rsidRDefault="0078063D" w:rsidP="002B6E57">
            <w:pPr>
              <w:spacing w:after="0" w:line="240" w:lineRule="auto"/>
              <w:jc w:val="center"/>
              <w:rPr>
                <w:rFonts w:ascii="Times New Roman" w:eastAsia="Times New Roman" w:hAnsi="Times New Roman" w:cs="Times New Roman"/>
                <w:b/>
                <w:bCs/>
                <w:color w:val="000000"/>
                <w:sz w:val="20"/>
                <w:szCs w:val="20"/>
              </w:rPr>
            </w:pPr>
            <w:r w:rsidRPr="00475DA5">
              <w:rPr>
                <w:rFonts w:ascii="Times New Roman" w:eastAsia="Times New Roman" w:hAnsi="Times New Roman" w:cs="Times New Roman"/>
                <w:b/>
                <w:bCs/>
                <w:color w:val="000000"/>
                <w:sz w:val="20"/>
                <w:szCs w:val="20"/>
              </w:rPr>
              <w:t>2000</w:t>
            </w:r>
          </w:p>
        </w:tc>
        <w:tc>
          <w:tcPr>
            <w:tcW w:w="787" w:type="pct"/>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rsidR="0078063D" w:rsidRPr="00475DA5" w:rsidRDefault="0078063D" w:rsidP="002B6E57">
            <w:pPr>
              <w:spacing w:after="0" w:line="240" w:lineRule="auto"/>
              <w:jc w:val="center"/>
              <w:rPr>
                <w:rFonts w:ascii="Times New Roman" w:eastAsia="Times New Roman" w:hAnsi="Times New Roman" w:cs="Times New Roman"/>
                <w:b/>
                <w:bCs/>
                <w:color w:val="000000"/>
                <w:sz w:val="20"/>
                <w:szCs w:val="20"/>
              </w:rPr>
            </w:pPr>
            <w:r w:rsidRPr="00475DA5">
              <w:rPr>
                <w:rFonts w:ascii="Times New Roman" w:eastAsia="Times New Roman" w:hAnsi="Times New Roman" w:cs="Times New Roman"/>
                <w:b/>
                <w:bCs/>
                <w:color w:val="000000"/>
                <w:sz w:val="20"/>
                <w:szCs w:val="20"/>
              </w:rPr>
              <w:t>2001</w:t>
            </w:r>
          </w:p>
        </w:tc>
        <w:tc>
          <w:tcPr>
            <w:tcW w:w="787" w:type="pct"/>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rsidR="0078063D" w:rsidRPr="00475DA5" w:rsidRDefault="0078063D" w:rsidP="002B6E57">
            <w:pPr>
              <w:spacing w:after="0" w:line="240" w:lineRule="auto"/>
              <w:jc w:val="center"/>
              <w:rPr>
                <w:rFonts w:ascii="Times New Roman" w:eastAsia="Times New Roman" w:hAnsi="Times New Roman" w:cs="Times New Roman"/>
                <w:b/>
                <w:bCs/>
                <w:color w:val="000000"/>
                <w:sz w:val="20"/>
                <w:szCs w:val="20"/>
              </w:rPr>
            </w:pPr>
            <w:r w:rsidRPr="00475DA5">
              <w:rPr>
                <w:rFonts w:ascii="Times New Roman" w:eastAsia="Times New Roman" w:hAnsi="Times New Roman" w:cs="Times New Roman"/>
                <w:b/>
                <w:bCs/>
                <w:color w:val="000000"/>
                <w:sz w:val="20"/>
                <w:szCs w:val="20"/>
              </w:rPr>
              <w:t>2002</w:t>
            </w:r>
          </w:p>
        </w:tc>
        <w:tc>
          <w:tcPr>
            <w:tcW w:w="788" w:type="pct"/>
            <w:tcBorders>
              <w:top w:val="single" w:sz="4" w:space="0" w:color="auto"/>
              <w:left w:val="single" w:sz="4" w:space="0" w:color="auto"/>
              <w:bottom w:val="single" w:sz="4" w:space="0" w:color="auto"/>
              <w:right w:val="nil"/>
            </w:tcBorders>
            <w:shd w:val="clear" w:color="auto" w:fill="D9D9D9" w:themeFill="background1" w:themeFillShade="D9"/>
            <w:noWrap/>
            <w:vAlign w:val="bottom"/>
            <w:hideMark/>
          </w:tcPr>
          <w:p w:rsidR="0078063D" w:rsidRPr="00475DA5" w:rsidRDefault="0078063D" w:rsidP="002B6E57">
            <w:pPr>
              <w:spacing w:after="0" w:line="240" w:lineRule="auto"/>
              <w:jc w:val="center"/>
              <w:rPr>
                <w:rFonts w:ascii="Times New Roman" w:eastAsia="Times New Roman" w:hAnsi="Times New Roman" w:cs="Times New Roman"/>
                <w:b/>
                <w:bCs/>
                <w:color w:val="000000"/>
                <w:sz w:val="20"/>
                <w:szCs w:val="20"/>
              </w:rPr>
            </w:pPr>
            <w:r w:rsidRPr="00475DA5">
              <w:rPr>
                <w:rFonts w:ascii="Times New Roman" w:eastAsia="Times New Roman" w:hAnsi="Times New Roman" w:cs="Times New Roman"/>
                <w:b/>
                <w:bCs/>
                <w:color w:val="000000"/>
                <w:sz w:val="20"/>
                <w:szCs w:val="20"/>
              </w:rPr>
              <w:t>2003</w:t>
            </w:r>
          </w:p>
        </w:tc>
      </w:tr>
      <w:tr w:rsidR="0078063D" w:rsidRPr="00475DA5" w:rsidTr="00FC2559">
        <w:trPr>
          <w:trHeight w:val="195"/>
        </w:trPr>
        <w:tc>
          <w:tcPr>
            <w:tcW w:w="799" w:type="pct"/>
            <w:vMerge w:val="restart"/>
            <w:tcBorders>
              <w:top w:val="single" w:sz="4" w:space="0" w:color="auto"/>
              <w:left w:val="nil"/>
              <w:bottom w:val="single" w:sz="8" w:space="0" w:color="000000"/>
              <w:right w:val="single" w:sz="4" w:space="0" w:color="auto"/>
            </w:tcBorders>
            <w:shd w:val="clear" w:color="auto" w:fill="auto"/>
            <w:vAlign w:val="center"/>
            <w:hideMark/>
          </w:tcPr>
          <w:p w:rsidR="0078063D" w:rsidRPr="00475DA5" w:rsidRDefault="0078063D" w:rsidP="0078063D">
            <w:pPr>
              <w:spacing w:after="0" w:line="240" w:lineRule="auto"/>
              <w:rPr>
                <w:rFonts w:ascii="Times New Roman" w:eastAsia="Times New Roman" w:hAnsi="Times New Roman" w:cs="Times New Roman"/>
                <w:color w:val="000000"/>
                <w:sz w:val="20"/>
                <w:szCs w:val="20"/>
              </w:rPr>
            </w:pPr>
            <w:r w:rsidRPr="00475DA5">
              <w:rPr>
                <w:rFonts w:ascii="Times New Roman" w:eastAsia="Times New Roman" w:hAnsi="Times New Roman" w:cs="Times New Roman"/>
                <w:color w:val="000000"/>
                <w:sz w:val="20"/>
                <w:szCs w:val="20"/>
              </w:rPr>
              <w:t>REC</w:t>
            </w:r>
          </w:p>
        </w:tc>
        <w:tc>
          <w:tcPr>
            <w:tcW w:w="1052" w:type="pct"/>
            <w:tcBorders>
              <w:top w:val="single" w:sz="4" w:space="0" w:color="auto"/>
              <w:left w:val="single" w:sz="4" w:space="0" w:color="auto"/>
              <w:right w:val="single" w:sz="4" w:space="0" w:color="auto"/>
            </w:tcBorders>
            <w:shd w:val="clear" w:color="auto" w:fill="auto"/>
            <w:noWrap/>
            <w:vAlign w:val="center"/>
            <w:hideMark/>
          </w:tcPr>
          <w:p w:rsidR="0078063D" w:rsidRPr="00475DA5" w:rsidRDefault="0078063D" w:rsidP="0078063D">
            <w:pPr>
              <w:spacing w:after="0" w:line="240" w:lineRule="auto"/>
              <w:rPr>
                <w:rFonts w:ascii="Times New Roman" w:eastAsia="Times New Roman" w:hAnsi="Times New Roman" w:cs="Times New Roman"/>
                <w:color w:val="000000"/>
                <w:sz w:val="20"/>
                <w:szCs w:val="20"/>
              </w:rPr>
            </w:pPr>
            <w:r w:rsidRPr="00475DA5">
              <w:rPr>
                <w:rFonts w:ascii="Times New Roman" w:eastAsia="Times New Roman" w:hAnsi="Times New Roman" w:cs="Times New Roman"/>
                <w:color w:val="000000"/>
                <w:sz w:val="20"/>
                <w:szCs w:val="20"/>
              </w:rPr>
              <w:t>TCE/SC</w:t>
            </w:r>
          </w:p>
        </w:tc>
        <w:tc>
          <w:tcPr>
            <w:tcW w:w="787" w:type="pct"/>
            <w:tcBorders>
              <w:top w:val="single" w:sz="4" w:space="0" w:color="auto"/>
              <w:left w:val="single" w:sz="4" w:space="0" w:color="auto"/>
              <w:right w:val="single" w:sz="4" w:space="0" w:color="auto"/>
            </w:tcBorders>
            <w:shd w:val="clear" w:color="auto" w:fill="auto"/>
            <w:noWrap/>
            <w:vAlign w:val="bottom"/>
            <w:hideMark/>
          </w:tcPr>
          <w:p w:rsidR="0078063D" w:rsidRPr="00475DA5" w:rsidRDefault="0078063D" w:rsidP="0078063D">
            <w:pPr>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61.145.491,67</w:t>
            </w:r>
          </w:p>
        </w:tc>
        <w:tc>
          <w:tcPr>
            <w:tcW w:w="787" w:type="pct"/>
            <w:tcBorders>
              <w:top w:val="single" w:sz="4" w:space="0" w:color="auto"/>
              <w:left w:val="single" w:sz="4" w:space="0" w:color="auto"/>
              <w:right w:val="single" w:sz="4" w:space="0" w:color="auto"/>
            </w:tcBorders>
            <w:shd w:val="clear" w:color="auto" w:fill="auto"/>
            <w:noWrap/>
            <w:vAlign w:val="bottom"/>
            <w:hideMark/>
          </w:tcPr>
          <w:p w:rsidR="0078063D" w:rsidRPr="00475DA5" w:rsidRDefault="0078063D" w:rsidP="0078063D">
            <w:pPr>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107.062.516,87</w:t>
            </w:r>
          </w:p>
        </w:tc>
        <w:tc>
          <w:tcPr>
            <w:tcW w:w="787" w:type="pct"/>
            <w:tcBorders>
              <w:top w:val="single" w:sz="4" w:space="0" w:color="auto"/>
              <w:left w:val="single" w:sz="4" w:space="0" w:color="auto"/>
              <w:right w:val="single" w:sz="4" w:space="0" w:color="auto"/>
            </w:tcBorders>
            <w:shd w:val="clear" w:color="auto" w:fill="auto"/>
            <w:noWrap/>
            <w:vAlign w:val="bottom"/>
            <w:hideMark/>
          </w:tcPr>
          <w:p w:rsidR="0078063D" w:rsidRPr="00475DA5" w:rsidRDefault="0078063D" w:rsidP="0078063D">
            <w:pPr>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145.260.620,80</w:t>
            </w:r>
          </w:p>
        </w:tc>
        <w:tc>
          <w:tcPr>
            <w:tcW w:w="788" w:type="pct"/>
            <w:tcBorders>
              <w:top w:val="single" w:sz="4" w:space="0" w:color="auto"/>
              <w:left w:val="single" w:sz="4" w:space="0" w:color="auto"/>
              <w:right w:val="nil"/>
            </w:tcBorders>
            <w:shd w:val="clear" w:color="auto" w:fill="auto"/>
            <w:noWrap/>
            <w:vAlign w:val="bottom"/>
            <w:hideMark/>
          </w:tcPr>
          <w:p w:rsidR="0078063D" w:rsidRPr="00475DA5" w:rsidRDefault="0078063D" w:rsidP="0078063D">
            <w:pPr>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189.615.864,53</w:t>
            </w:r>
          </w:p>
        </w:tc>
      </w:tr>
      <w:tr w:rsidR="0078063D" w:rsidRPr="00475DA5" w:rsidTr="00AD377C">
        <w:trPr>
          <w:trHeight w:val="145"/>
        </w:trPr>
        <w:tc>
          <w:tcPr>
            <w:tcW w:w="799" w:type="pct"/>
            <w:vMerge/>
            <w:tcBorders>
              <w:top w:val="nil"/>
              <w:left w:val="nil"/>
              <w:bottom w:val="single" w:sz="4" w:space="0" w:color="auto"/>
              <w:right w:val="single" w:sz="4" w:space="0" w:color="auto"/>
            </w:tcBorders>
            <w:vAlign w:val="center"/>
            <w:hideMark/>
          </w:tcPr>
          <w:p w:rsidR="0078063D" w:rsidRPr="00475DA5" w:rsidRDefault="0078063D" w:rsidP="0078063D">
            <w:pPr>
              <w:spacing w:after="0" w:line="240" w:lineRule="auto"/>
              <w:rPr>
                <w:rFonts w:ascii="Times New Roman" w:eastAsia="Times New Roman" w:hAnsi="Times New Roman" w:cs="Times New Roman"/>
                <w:color w:val="000000"/>
                <w:sz w:val="20"/>
                <w:szCs w:val="20"/>
              </w:rPr>
            </w:pPr>
          </w:p>
        </w:tc>
        <w:tc>
          <w:tcPr>
            <w:tcW w:w="1052" w:type="pct"/>
            <w:tcBorders>
              <w:top w:val="nil"/>
              <w:left w:val="single" w:sz="4" w:space="0" w:color="auto"/>
              <w:bottom w:val="single" w:sz="4" w:space="0" w:color="auto"/>
              <w:right w:val="single" w:sz="4" w:space="0" w:color="auto"/>
            </w:tcBorders>
            <w:shd w:val="clear" w:color="auto" w:fill="auto"/>
            <w:noWrap/>
            <w:vAlign w:val="center"/>
            <w:hideMark/>
          </w:tcPr>
          <w:p w:rsidR="0078063D" w:rsidRPr="00475DA5" w:rsidRDefault="0078063D" w:rsidP="0078063D">
            <w:pPr>
              <w:spacing w:after="0" w:line="240" w:lineRule="auto"/>
              <w:rPr>
                <w:rFonts w:ascii="Times New Roman" w:eastAsia="Times New Roman" w:hAnsi="Times New Roman" w:cs="Times New Roman"/>
                <w:color w:val="000000"/>
                <w:sz w:val="20"/>
                <w:szCs w:val="20"/>
              </w:rPr>
            </w:pPr>
            <w:r w:rsidRPr="00475DA5">
              <w:rPr>
                <w:rFonts w:ascii="Times New Roman" w:eastAsia="Times New Roman" w:hAnsi="Times New Roman" w:cs="Times New Roman"/>
                <w:color w:val="000000"/>
                <w:sz w:val="20"/>
                <w:szCs w:val="20"/>
              </w:rPr>
              <w:t>PMF</w:t>
            </w:r>
          </w:p>
        </w:tc>
        <w:tc>
          <w:tcPr>
            <w:tcW w:w="787" w:type="pct"/>
            <w:tcBorders>
              <w:top w:val="nil"/>
              <w:left w:val="single" w:sz="4" w:space="0" w:color="auto"/>
              <w:bottom w:val="single" w:sz="4" w:space="0" w:color="auto"/>
              <w:right w:val="single" w:sz="4" w:space="0" w:color="auto"/>
            </w:tcBorders>
            <w:shd w:val="clear" w:color="auto" w:fill="auto"/>
            <w:noWrap/>
            <w:vAlign w:val="bottom"/>
            <w:hideMark/>
          </w:tcPr>
          <w:p w:rsidR="0078063D" w:rsidRPr="00475DA5" w:rsidRDefault="0078063D" w:rsidP="00F03C6D">
            <w:pPr>
              <w:spacing w:after="0" w:line="240" w:lineRule="auto"/>
              <w:jc w:val="center"/>
              <w:rPr>
                <w:rFonts w:ascii="Times New Roman" w:eastAsia="Times New Roman" w:hAnsi="Times New Roman" w:cs="Times New Roman"/>
                <w:color w:val="000000"/>
                <w:sz w:val="20"/>
                <w:szCs w:val="20"/>
              </w:rPr>
            </w:pPr>
            <w:r w:rsidRPr="00475DA5">
              <w:rPr>
                <w:rFonts w:ascii="Times New Roman" w:eastAsia="Times New Roman" w:hAnsi="Times New Roman" w:cs="Times New Roman"/>
                <w:color w:val="000000"/>
                <w:sz w:val="20"/>
                <w:szCs w:val="20"/>
              </w:rPr>
              <w:t>ND</w:t>
            </w:r>
          </w:p>
        </w:tc>
        <w:tc>
          <w:tcPr>
            <w:tcW w:w="787" w:type="pct"/>
            <w:tcBorders>
              <w:top w:val="nil"/>
              <w:left w:val="single" w:sz="4" w:space="0" w:color="auto"/>
              <w:bottom w:val="single" w:sz="4" w:space="0" w:color="auto"/>
              <w:right w:val="single" w:sz="4" w:space="0" w:color="auto"/>
            </w:tcBorders>
            <w:shd w:val="clear" w:color="auto" w:fill="auto"/>
            <w:noWrap/>
            <w:vAlign w:val="bottom"/>
            <w:hideMark/>
          </w:tcPr>
          <w:p w:rsidR="0078063D" w:rsidRPr="00475DA5" w:rsidRDefault="0078063D" w:rsidP="00F03C6D">
            <w:pPr>
              <w:spacing w:after="0" w:line="240" w:lineRule="auto"/>
              <w:jc w:val="center"/>
              <w:rPr>
                <w:rFonts w:ascii="Times New Roman" w:eastAsia="Times New Roman" w:hAnsi="Times New Roman" w:cs="Times New Roman"/>
                <w:color w:val="000000"/>
                <w:sz w:val="20"/>
                <w:szCs w:val="20"/>
              </w:rPr>
            </w:pPr>
            <w:r w:rsidRPr="00475DA5">
              <w:rPr>
                <w:rFonts w:ascii="Times New Roman" w:eastAsia="Times New Roman" w:hAnsi="Times New Roman" w:cs="Times New Roman"/>
                <w:color w:val="000000"/>
                <w:sz w:val="20"/>
                <w:szCs w:val="20"/>
              </w:rPr>
              <w:t>ND</w:t>
            </w:r>
          </w:p>
        </w:tc>
        <w:tc>
          <w:tcPr>
            <w:tcW w:w="787" w:type="pct"/>
            <w:tcBorders>
              <w:top w:val="nil"/>
              <w:left w:val="single" w:sz="4" w:space="0" w:color="auto"/>
              <w:bottom w:val="single" w:sz="4" w:space="0" w:color="auto"/>
              <w:right w:val="single" w:sz="4" w:space="0" w:color="auto"/>
            </w:tcBorders>
            <w:shd w:val="clear" w:color="auto" w:fill="auto"/>
            <w:noWrap/>
            <w:vAlign w:val="bottom"/>
            <w:hideMark/>
          </w:tcPr>
          <w:p w:rsidR="0078063D" w:rsidRPr="00475DA5" w:rsidRDefault="0078063D" w:rsidP="0078063D">
            <w:pPr>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191.547.026,88</w:t>
            </w:r>
          </w:p>
        </w:tc>
        <w:tc>
          <w:tcPr>
            <w:tcW w:w="788" w:type="pct"/>
            <w:tcBorders>
              <w:top w:val="nil"/>
              <w:left w:val="single" w:sz="4" w:space="0" w:color="auto"/>
              <w:bottom w:val="single" w:sz="4" w:space="0" w:color="auto"/>
              <w:right w:val="nil"/>
            </w:tcBorders>
            <w:shd w:val="clear" w:color="auto" w:fill="auto"/>
            <w:noWrap/>
            <w:vAlign w:val="bottom"/>
            <w:hideMark/>
          </w:tcPr>
          <w:p w:rsidR="0078063D" w:rsidRPr="00475DA5" w:rsidRDefault="0078063D" w:rsidP="0078063D">
            <w:pPr>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226.585.034,05</w:t>
            </w:r>
          </w:p>
        </w:tc>
      </w:tr>
      <w:tr w:rsidR="0078063D" w:rsidRPr="00475DA5" w:rsidTr="00AD377C">
        <w:trPr>
          <w:trHeight w:val="117"/>
        </w:trPr>
        <w:tc>
          <w:tcPr>
            <w:tcW w:w="799" w:type="pct"/>
            <w:vMerge w:val="restart"/>
            <w:tcBorders>
              <w:top w:val="single" w:sz="4" w:space="0" w:color="auto"/>
              <w:left w:val="nil"/>
              <w:right w:val="single" w:sz="4" w:space="0" w:color="auto"/>
            </w:tcBorders>
            <w:shd w:val="clear" w:color="auto" w:fill="auto"/>
            <w:vAlign w:val="center"/>
            <w:hideMark/>
          </w:tcPr>
          <w:p w:rsidR="0078063D" w:rsidRPr="00475DA5" w:rsidRDefault="0078063D" w:rsidP="0078063D">
            <w:pPr>
              <w:spacing w:after="0" w:line="240" w:lineRule="auto"/>
              <w:rPr>
                <w:rFonts w:ascii="Times New Roman" w:eastAsia="Times New Roman" w:hAnsi="Times New Roman" w:cs="Times New Roman"/>
                <w:color w:val="000000"/>
                <w:sz w:val="20"/>
                <w:szCs w:val="20"/>
              </w:rPr>
            </w:pPr>
            <w:r w:rsidRPr="00475DA5">
              <w:rPr>
                <w:rFonts w:ascii="Times New Roman" w:eastAsia="Times New Roman" w:hAnsi="Times New Roman" w:cs="Times New Roman"/>
                <w:color w:val="000000"/>
                <w:sz w:val="20"/>
                <w:szCs w:val="20"/>
              </w:rPr>
              <w:t>DEC</w:t>
            </w:r>
          </w:p>
        </w:tc>
        <w:tc>
          <w:tcPr>
            <w:tcW w:w="1052" w:type="pct"/>
            <w:tcBorders>
              <w:top w:val="single" w:sz="4" w:space="0" w:color="auto"/>
              <w:left w:val="single" w:sz="4" w:space="0" w:color="auto"/>
              <w:right w:val="single" w:sz="4" w:space="0" w:color="auto"/>
            </w:tcBorders>
            <w:shd w:val="clear" w:color="auto" w:fill="auto"/>
            <w:noWrap/>
            <w:vAlign w:val="center"/>
            <w:hideMark/>
          </w:tcPr>
          <w:p w:rsidR="0078063D" w:rsidRPr="00475DA5" w:rsidRDefault="0078063D" w:rsidP="0078063D">
            <w:pPr>
              <w:spacing w:after="0" w:line="240" w:lineRule="auto"/>
              <w:rPr>
                <w:rFonts w:ascii="Times New Roman" w:eastAsia="Times New Roman" w:hAnsi="Times New Roman" w:cs="Times New Roman"/>
                <w:color w:val="000000"/>
                <w:sz w:val="20"/>
                <w:szCs w:val="20"/>
              </w:rPr>
            </w:pPr>
            <w:r w:rsidRPr="00475DA5">
              <w:rPr>
                <w:rFonts w:ascii="Times New Roman" w:eastAsia="Times New Roman" w:hAnsi="Times New Roman" w:cs="Times New Roman"/>
                <w:color w:val="000000"/>
                <w:sz w:val="20"/>
                <w:szCs w:val="20"/>
              </w:rPr>
              <w:t>TCE/SC</w:t>
            </w:r>
          </w:p>
        </w:tc>
        <w:tc>
          <w:tcPr>
            <w:tcW w:w="787" w:type="pct"/>
            <w:tcBorders>
              <w:top w:val="single" w:sz="4" w:space="0" w:color="auto"/>
              <w:left w:val="single" w:sz="4" w:space="0" w:color="auto"/>
              <w:right w:val="single" w:sz="4" w:space="0" w:color="auto"/>
            </w:tcBorders>
            <w:shd w:val="clear" w:color="auto" w:fill="auto"/>
            <w:noWrap/>
            <w:vAlign w:val="bottom"/>
            <w:hideMark/>
          </w:tcPr>
          <w:p w:rsidR="0078063D" w:rsidRPr="00475DA5" w:rsidRDefault="0078063D" w:rsidP="0078063D">
            <w:pPr>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11.737.696,60</w:t>
            </w:r>
          </w:p>
        </w:tc>
        <w:tc>
          <w:tcPr>
            <w:tcW w:w="787" w:type="pct"/>
            <w:tcBorders>
              <w:top w:val="single" w:sz="4" w:space="0" w:color="auto"/>
              <w:left w:val="single" w:sz="4" w:space="0" w:color="auto"/>
              <w:right w:val="single" w:sz="4" w:space="0" w:color="auto"/>
            </w:tcBorders>
            <w:shd w:val="clear" w:color="auto" w:fill="auto"/>
            <w:noWrap/>
            <w:vAlign w:val="bottom"/>
            <w:hideMark/>
          </w:tcPr>
          <w:p w:rsidR="0078063D" w:rsidRPr="00475DA5" w:rsidRDefault="0078063D" w:rsidP="0078063D">
            <w:pPr>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15.821.871,98</w:t>
            </w:r>
          </w:p>
        </w:tc>
        <w:tc>
          <w:tcPr>
            <w:tcW w:w="787" w:type="pct"/>
            <w:tcBorders>
              <w:top w:val="single" w:sz="4" w:space="0" w:color="auto"/>
              <w:left w:val="single" w:sz="4" w:space="0" w:color="auto"/>
              <w:right w:val="single" w:sz="4" w:space="0" w:color="auto"/>
            </w:tcBorders>
            <w:shd w:val="clear" w:color="auto" w:fill="auto"/>
            <w:noWrap/>
            <w:vAlign w:val="bottom"/>
            <w:hideMark/>
          </w:tcPr>
          <w:p w:rsidR="0078063D" w:rsidRPr="00475DA5" w:rsidRDefault="0078063D" w:rsidP="0078063D">
            <w:pPr>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22.924.467,18</w:t>
            </w:r>
          </w:p>
        </w:tc>
        <w:tc>
          <w:tcPr>
            <w:tcW w:w="788" w:type="pct"/>
            <w:tcBorders>
              <w:top w:val="single" w:sz="4" w:space="0" w:color="auto"/>
              <w:left w:val="single" w:sz="4" w:space="0" w:color="auto"/>
              <w:right w:val="nil"/>
            </w:tcBorders>
            <w:shd w:val="clear" w:color="auto" w:fill="auto"/>
            <w:noWrap/>
            <w:vAlign w:val="bottom"/>
            <w:hideMark/>
          </w:tcPr>
          <w:p w:rsidR="0078063D" w:rsidRPr="00475DA5" w:rsidRDefault="0078063D" w:rsidP="0078063D">
            <w:pPr>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27.377.023,81</w:t>
            </w:r>
          </w:p>
        </w:tc>
      </w:tr>
      <w:tr w:rsidR="0078063D" w:rsidRPr="00475DA5" w:rsidTr="00AD377C">
        <w:trPr>
          <w:trHeight w:val="228"/>
        </w:trPr>
        <w:tc>
          <w:tcPr>
            <w:tcW w:w="799" w:type="pct"/>
            <w:vMerge/>
            <w:tcBorders>
              <w:left w:val="nil"/>
              <w:bottom w:val="single" w:sz="4" w:space="0" w:color="auto"/>
              <w:right w:val="single" w:sz="4" w:space="0" w:color="auto"/>
            </w:tcBorders>
            <w:shd w:val="clear" w:color="auto" w:fill="auto"/>
            <w:vAlign w:val="center"/>
            <w:hideMark/>
          </w:tcPr>
          <w:p w:rsidR="0078063D" w:rsidRPr="00475DA5" w:rsidRDefault="0078063D" w:rsidP="0078063D">
            <w:pPr>
              <w:spacing w:after="0" w:line="240" w:lineRule="auto"/>
              <w:rPr>
                <w:rFonts w:ascii="Times New Roman" w:eastAsia="Times New Roman" w:hAnsi="Times New Roman" w:cs="Times New Roman"/>
                <w:color w:val="000000"/>
                <w:sz w:val="20"/>
                <w:szCs w:val="20"/>
              </w:rPr>
            </w:pPr>
          </w:p>
        </w:tc>
        <w:tc>
          <w:tcPr>
            <w:tcW w:w="1052" w:type="pct"/>
            <w:tcBorders>
              <w:top w:val="nil"/>
              <w:left w:val="single" w:sz="4" w:space="0" w:color="auto"/>
              <w:bottom w:val="single" w:sz="4" w:space="0" w:color="auto"/>
              <w:right w:val="single" w:sz="4" w:space="0" w:color="auto"/>
            </w:tcBorders>
            <w:shd w:val="clear" w:color="auto" w:fill="auto"/>
            <w:noWrap/>
            <w:vAlign w:val="center"/>
            <w:hideMark/>
          </w:tcPr>
          <w:p w:rsidR="0078063D" w:rsidRPr="00475DA5" w:rsidRDefault="0078063D" w:rsidP="0078063D">
            <w:pPr>
              <w:spacing w:after="0" w:line="240" w:lineRule="auto"/>
              <w:rPr>
                <w:rFonts w:ascii="Times New Roman" w:eastAsia="Times New Roman" w:hAnsi="Times New Roman" w:cs="Times New Roman"/>
                <w:color w:val="000000"/>
                <w:sz w:val="20"/>
                <w:szCs w:val="20"/>
              </w:rPr>
            </w:pPr>
            <w:r w:rsidRPr="00475DA5">
              <w:rPr>
                <w:rFonts w:ascii="Times New Roman" w:eastAsia="Times New Roman" w:hAnsi="Times New Roman" w:cs="Times New Roman"/>
                <w:color w:val="000000"/>
                <w:sz w:val="20"/>
                <w:szCs w:val="20"/>
              </w:rPr>
              <w:t>PMF</w:t>
            </w:r>
          </w:p>
        </w:tc>
        <w:tc>
          <w:tcPr>
            <w:tcW w:w="787" w:type="pct"/>
            <w:tcBorders>
              <w:top w:val="nil"/>
              <w:left w:val="single" w:sz="4" w:space="0" w:color="auto"/>
              <w:bottom w:val="single" w:sz="4" w:space="0" w:color="auto"/>
              <w:right w:val="single" w:sz="4" w:space="0" w:color="auto"/>
            </w:tcBorders>
            <w:shd w:val="clear" w:color="auto" w:fill="auto"/>
            <w:noWrap/>
            <w:vAlign w:val="bottom"/>
            <w:hideMark/>
          </w:tcPr>
          <w:p w:rsidR="0078063D" w:rsidRPr="00475DA5" w:rsidRDefault="0078063D" w:rsidP="00F03C6D">
            <w:pPr>
              <w:spacing w:after="0" w:line="240" w:lineRule="auto"/>
              <w:jc w:val="center"/>
              <w:rPr>
                <w:rFonts w:ascii="Times New Roman" w:eastAsia="Times New Roman" w:hAnsi="Times New Roman" w:cs="Times New Roman"/>
                <w:color w:val="000000"/>
                <w:sz w:val="20"/>
                <w:szCs w:val="20"/>
              </w:rPr>
            </w:pPr>
            <w:r w:rsidRPr="00475DA5">
              <w:rPr>
                <w:rFonts w:ascii="Times New Roman" w:eastAsia="Times New Roman" w:hAnsi="Times New Roman" w:cs="Times New Roman"/>
                <w:color w:val="000000"/>
                <w:sz w:val="20"/>
                <w:szCs w:val="20"/>
              </w:rPr>
              <w:t>ND</w:t>
            </w:r>
          </w:p>
        </w:tc>
        <w:tc>
          <w:tcPr>
            <w:tcW w:w="787" w:type="pct"/>
            <w:tcBorders>
              <w:top w:val="nil"/>
              <w:left w:val="single" w:sz="4" w:space="0" w:color="auto"/>
              <w:bottom w:val="single" w:sz="4" w:space="0" w:color="auto"/>
              <w:right w:val="single" w:sz="4" w:space="0" w:color="auto"/>
            </w:tcBorders>
            <w:shd w:val="clear" w:color="auto" w:fill="auto"/>
            <w:noWrap/>
            <w:vAlign w:val="bottom"/>
            <w:hideMark/>
          </w:tcPr>
          <w:p w:rsidR="0078063D" w:rsidRPr="00475DA5" w:rsidRDefault="0078063D" w:rsidP="00F03C6D">
            <w:pPr>
              <w:spacing w:after="0" w:line="240" w:lineRule="auto"/>
              <w:jc w:val="center"/>
              <w:rPr>
                <w:rFonts w:ascii="Times New Roman" w:eastAsia="Times New Roman" w:hAnsi="Times New Roman" w:cs="Times New Roman"/>
                <w:color w:val="000000"/>
                <w:sz w:val="20"/>
                <w:szCs w:val="20"/>
              </w:rPr>
            </w:pPr>
            <w:r w:rsidRPr="00475DA5">
              <w:rPr>
                <w:rFonts w:ascii="Times New Roman" w:eastAsia="Times New Roman" w:hAnsi="Times New Roman" w:cs="Times New Roman"/>
                <w:color w:val="000000"/>
                <w:sz w:val="20"/>
                <w:szCs w:val="20"/>
              </w:rPr>
              <w:t>ND</w:t>
            </w:r>
          </w:p>
        </w:tc>
        <w:tc>
          <w:tcPr>
            <w:tcW w:w="787" w:type="pct"/>
            <w:tcBorders>
              <w:top w:val="nil"/>
              <w:left w:val="single" w:sz="4" w:space="0" w:color="auto"/>
              <w:bottom w:val="single" w:sz="4" w:space="0" w:color="auto"/>
              <w:right w:val="single" w:sz="4" w:space="0" w:color="auto"/>
            </w:tcBorders>
            <w:shd w:val="clear" w:color="auto" w:fill="auto"/>
            <w:noWrap/>
            <w:vAlign w:val="bottom"/>
            <w:hideMark/>
          </w:tcPr>
          <w:p w:rsidR="0078063D" w:rsidRPr="00475DA5" w:rsidRDefault="0078063D" w:rsidP="0078063D">
            <w:pPr>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21.673.336,42</w:t>
            </w:r>
          </w:p>
        </w:tc>
        <w:tc>
          <w:tcPr>
            <w:tcW w:w="788" w:type="pct"/>
            <w:tcBorders>
              <w:top w:val="nil"/>
              <w:left w:val="single" w:sz="4" w:space="0" w:color="auto"/>
              <w:bottom w:val="single" w:sz="4" w:space="0" w:color="auto"/>
              <w:right w:val="nil"/>
            </w:tcBorders>
            <w:shd w:val="clear" w:color="auto" w:fill="auto"/>
            <w:noWrap/>
            <w:vAlign w:val="bottom"/>
            <w:hideMark/>
          </w:tcPr>
          <w:p w:rsidR="0078063D" w:rsidRPr="00475DA5" w:rsidRDefault="0078063D" w:rsidP="0078063D">
            <w:pPr>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27.922.344,80</w:t>
            </w:r>
          </w:p>
        </w:tc>
      </w:tr>
      <w:tr w:rsidR="0078063D" w:rsidRPr="00475DA5" w:rsidTr="00AD377C">
        <w:trPr>
          <w:trHeight w:val="252"/>
        </w:trPr>
        <w:tc>
          <w:tcPr>
            <w:tcW w:w="799" w:type="pct"/>
            <w:vMerge w:val="restart"/>
            <w:tcBorders>
              <w:top w:val="single" w:sz="4" w:space="0" w:color="auto"/>
              <w:left w:val="nil"/>
              <w:right w:val="single" w:sz="4" w:space="0" w:color="auto"/>
            </w:tcBorders>
            <w:shd w:val="clear" w:color="auto" w:fill="auto"/>
            <w:vAlign w:val="center"/>
            <w:hideMark/>
          </w:tcPr>
          <w:p w:rsidR="0078063D" w:rsidRPr="00475DA5" w:rsidRDefault="0078063D" w:rsidP="0078063D">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de Aplicação em ASPS</w:t>
            </w:r>
          </w:p>
        </w:tc>
        <w:tc>
          <w:tcPr>
            <w:tcW w:w="1052" w:type="pct"/>
            <w:tcBorders>
              <w:top w:val="single" w:sz="4" w:space="0" w:color="auto"/>
              <w:left w:val="single" w:sz="4" w:space="0" w:color="auto"/>
              <w:right w:val="single" w:sz="4" w:space="0" w:color="auto"/>
            </w:tcBorders>
            <w:shd w:val="clear" w:color="auto" w:fill="auto"/>
            <w:noWrap/>
            <w:vAlign w:val="center"/>
            <w:hideMark/>
          </w:tcPr>
          <w:p w:rsidR="0078063D" w:rsidRPr="00475DA5" w:rsidRDefault="0078063D" w:rsidP="0078063D">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TCE/SC</w:t>
            </w:r>
          </w:p>
        </w:tc>
        <w:tc>
          <w:tcPr>
            <w:tcW w:w="787" w:type="pct"/>
            <w:tcBorders>
              <w:top w:val="single" w:sz="4" w:space="0" w:color="auto"/>
              <w:left w:val="single" w:sz="4" w:space="0" w:color="auto"/>
              <w:right w:val="single" w:sz="4" w:space="0" w:color="auto"/>
            </w:tcBorders>
            <w:shd w:val="clear" w:color="auto" w:fill="auto"/>
            <w:noWrap/>
            <w:vAlign w:val="bottom"/>
            <w:hideMark/>
          </w:tcPr>
          <w:p w:rsidR="0078063D" w:rsidRPr="00475DA5" w:rsidRDefault="0078063D" w:rsidP="0078063D">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19,20%</w:t>
            </w:r>
          </w:p>
        </w:tc>
        <w:tc>
          <w:tcPr>
            <w:tcW w:w="787" w:type="pct"/>
            <w:tcBorders>
              <w:top w:val="single" w:sz="4" w:space="0" w:color="auto"/>
              <w:left w:val="single" w:sz="4" w:space="0" w:color="auto"/>
              <w:right w:val="single" w:sz="4" w:space="0" w:color="auto"/>
            </w:tcBorders>
            <w:shd w:val="clear" w:color="auto" w:fill="auto"/>
            <w:noWrap/>
            <w:vAlign w:val="bottom"/>
            <w:hideMark/>
          </w:tcPr>
          <w:p w:rsidR="0078063D" w:rsidRPr="00475DA5" w:rsidRDefault="0078063D" w:rsidP="0078063D">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14,78%</w:t>
            </w:r>
          </w:p>
        </w:tc>
        <w:tc>
          <w:tcPr>
            <w:tcW w:w="787" w:type="pct"/>
            <w:tcBorders>
              <w:top w:val="single" w:sz="4" w:space="0" w:color="auto"/>
              <w:left w:val="single" w:sz="4" w:space="0" w:color="auto"/>
              <w:right w:val="single" w:sz="4" w:space="0" w:color="auto"/>
            </w:tcBorders>
            <w:shd w:val="clear" w:color="auto" w:fill="auto"/>
            <w:noWrap/>
            <w:vAlign w:val="bottom"/>
            <w:hideMark/>
          </w:tcPr>
          <w:p w:rsidR="0078063D" w:rsidRDefault="0078063D" w:rsidP="0078063D">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15,78%</w:t>
            </w:r>
          </w:p>
        </w:tc>
        <w:tc>
          <w:tcPr>
            <w:tcW w:w="788" w:type="pct"/>
            <w:tcBorders>
              <w:top w:val="single" w:sz="4" w:space="0" w:color="auto"/>
              <w:left w:val="single" w:sz="4" w:space="0" w:color="auto"/>
              <w:right w:val="nil"/>
            </w:tcBorders>
            <w:shd w:val="clear" w:color="auto" w:fill="auto"/>
            <w:noWrap/>
            <w:vAlign w:val="bottom"/>
            <w:hideMark/>
          </w:tcPr>
          <w:p w:rsidR="0078063D" w:rsidRDefault="0078063D" w:rsidP="0078063D">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14,44%</w:t>
            </w:r>
          </w:p>
        </w:tc>
      </w:tr>
      <w:tr w:rsidR="0078063D" w:rsidRPr="00475DA5" w:rsidTr="000802FF">
        <w:trPr>
          <w:trHeight w:val="149"/>
        </w:trPr>
        <w:tc>
          <w:tcPr>
            <w:tcW w:w="799" w:type="pct"/>
            <w:vMerge/>
            <w:tcBorders>
              <w:left w:val="nil"/>
              <w:bottom w:val="single" w:sz="4" w:space="0" w:color="auto"/>
              <w:right w:val="single" w:sz="4" w:space="0" w:color="auto"/>
            </w:tcBorders>
            <w:shd w:val="clear" w:color="auto" w:fill="auto"/>
            <w:vAlign w:val="center"/>
            <w:hideMark/>
          </w:tcPr>
          <w:p w:rsidR="0078063D" w:rsidRPr="00475DA5" w:rsidRDefault="0078063D" w:rsidP="0078063D">
            <w:pPr>
              <w:spacing w:after="0" w:line="240" w:lineRule="auto"/>
              <w:rPr>
                <w:rFonts w:ascii="Times New Roman" w:eastAsia="Times New Roman" w:hAnsi="Times New Roman" w:cs="Times New Roman"/>
                <w:color w:val="000000"/>
                <w:sz w:val="20"/>
                <w:szCs w:val="20"/>
              </w:rPr>
            </w:pPr>
          </w:p>
        </w:tc>
        <w:tc>
          <w:tcPr>
            <w:tcW w:w="1052" w:type="pct"/>
            <w:tcBorders>
              <w:top w:val="nil"/>
              <w:left w:val="single" w:sz="4" w:space="0" w:color="auto"/>
              <w:bottom w:val="single" w:sz="4" w:space="0" w:color="auto"/>
              <w:right w:val="single" w:sz="4" w:space="0" w:color="auto"/>
            </w:tcBorders>
            <w:shd w:val="clear" w:color="auto" w:fill="auto"/>
            <w:noWrap/>
            <w:vAlign w:val="center"/>
            <w:hideMark/>
          </w:tcPr>
          <w:p w:rsidR="0078063D" w:rsidRPr="00475DA5" w:rsidRDefault="0078063D" w:rsidP="0078063D">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PMF</w:t>
            </w:r>
          </w:p>
        </w:tc>
        <w:tc>
          <w:tcPr>
            <w:tcW w:w="787" w:type="pct"/>
            <w:tcBorders>
              <w:top w:val="nil"/>
              <w:left w:val="single" w:sz="4" w:space="0" w:color="auto"/>
              <w:bottom w:val="single" w:sz="4" w:space="0" w:color="auto"/>
              <w:right w:val="single" w:sz="4" w:space="0" w:color="auto"/>
            </w:tcBorders>
            <w:shd w:val="clear" w:color="auto" w:fill="auto"/>
            <w:noWrap/>
            <w:vAlign w:val="bottom"/>
            <w:hideMark/>
          </w:tcPr>
          <w:p w:rsidR="0078063D" w:rsidRPr="00475DA5" w:rsidRDefault="0078063D" w:rsidP="0078063D">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ND</w:t>
            </w:r>
          </w:p>
        </w:tc>
        <w:tc>
          <w:tcPr>
            <w:tcW w:w="787" w:type="pct"/>
            <w:tcBorders>
              <w:top w:val="nil"/>
              <w:left w:val="single" w:sz="4" w:space="0" w:color="auto"/>
              <w:bottom w:val="single" w:sz="4" w:space="0" w:color="auto"/>
              <w:right w:val="single" w:sz="4" w:space="0" w:color="auto"/>
            </w:tcBorders>
            <w:shd w:val="clear" w:color="auto" w:fill="auto"/>
            <w:noWrap/>
            <w:vAlign w:val="bottom"/>
            <w:hideMark/>
          </w:tcPr>
          <w:p w:rsidR="0078063D" w:rsidRPr="00475DA5" w:rsidRDefault="0078063D" w:rsidP="0078063D">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ND</w:t>
            </w:r>
          </w:p>
        </w:tc>
        <w:tc>
          <w:tcPr>
            <w:tcW w:w="787" w:type="pct"/>
            <w:tcBorders>
              <w:top w:val="nil"/>
              <w:left w:val="single" w:sz="4" w:space="0" w:color="auto"/>
              <w:bottom w:val="single" w:sz="4" w:space="0" w:color="auto"/>
              <w:right w:val="single" w:sz="4" w:space="0" w:color="auto"/>
            </w:tcBorders>
            <w:shd w:val="clear" w:color="auto" w:fill="auto"/>
            <w:noWrap/>
            <w:vAlign w:val="bottom"/>
            <w:hideMark/>
          </w:tcPr>
          <w:p w:rsidR="0078063D" w:rsidRDefault="0078063D" w:rsidP="0078063D">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11,31%</w:t>
            </w:r>
          </w:p>
        </w:tc>
        <w:tc>
          <w:tcPr>
            <w:tcW w:w="788" w:type="pct"/>
            <w:tcBorders>
              <w:top w:val="nil"/>
              <w:left w:val="single" w:sz="4" w:space="0" w:color="auto"/>
              <w:bottom w:val="single" w:sz="4" w:space="0" w:color="auto"/>
              <w:right w:val="nil"/>
            </w:tcBorders>
            <w:shd w:val="clear" w:color="auto" w:fill="auto"/>
            <w:noWrap/>
            <w:vAlign w:val="bottom"/>
            <w:hideMark/>
          </w:tcPr>
          <w:p w:rsidR="0078063D" w:rsidRDefault="0078063D" w:rsidP="0078063D">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12,32%</w:t>
            </w:r>
          </w:p>
        </w:tc>
      </w:tr>
      <w:tr w:rsidR="0078063D" w:rsidRPr="00475DA5" w:rsidTr="000802FF">
        <w:trPr>
          <w:trHeight w:val="213"/>
        </w:trPr>
        <w:tc>
          <w:tcPr>
            <w:tcW w:w="799" w:type="pct"/>
            <w:tcBorders>
              <w:top w:val="single" w:sz="4" w:space="0" w:color="auto"/>
              <w:left w:val="nil"/>
              <w:bottom w:val="single" w:sz="4" w:space="0" w:color="auto"/>
              <w:right w:val="single" w:sz="4" w:space="0" w:color="auto"/>
            </w:tcBorders>
            <w:shd w:val="clear" w:color="auto" w:fill="D9D9D9" w:themeFill="background1" w:themeFillShade="D9"/>
            <w:vAlign w:val="center"/>
            <w:hideMark/>
          </w:tcPr>
          <w:p w:rsidR="0078063D" w:rsidRPr="00596292" w:rsidRDefault="0078063D" w:rsidP="0078063D">
            <w:pPr>
              <w:spacing w:after="0" w:line="240" w:lineRule="auto"/>
              <w:rPr>
                <w:rFonts w:ascii="Times New Roman" w:eastAsia="Times New Roman" w:hAnsi="Times New Roman" w:cs="Times New Roman"/>
                <w:b/>
                <w:color w:val="000000"/>
                <w:sz w:val="20"/>
                <w:szCs w:val="20"/>
              </w:rPr>
            </w:pPr>
            <w:r w:rsidRPr="00596292">
              <w:rPr>
                <w:rFonts w:ascii="Times New Roman" w:eastAsia="Times New Roman" w:hAnsi="Times New Roman" w:cs="Times New Roman"/>
                <w:b/>
                <w:color w:val="000000"/>
                <w:sz w:val="20"/>
                <w:szCs w:val="20"/>
              </w:rPr>
              <w:t>Variáveis</w:t>
            </w:r>
          </w:p>
        </w:tc>
        <w:tc>
          <w:tcPr>
            <w:tcW w:w="1052" w:type="pct"/>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rsidR="0078063D" w:rsidRPr="00596292" w:rsidRDefault="0078063D" w:rsidP="0078063D">
            <w:pPr>
              <w:spacing w:after="0" w:line="240" w:lineRule="auto"/>
              <w:rPr>
                <w:rFonts w:ascii="Times New Roman" w:eastAsia="Times New Roman" w:hAnsi="Times New Roman" w:cs="Times New Roman"/>
                <w:b/>
                <w:color w:val="000000"/>
                <w:sz w:val="20"/>
                <w:szCs w:val="20"/>
              </w:rPr>
            </w:pPr>
            <w:r w:rsidRPr="00596292">
              <w:rPr>
                <w:rFonts w:ascii="Times New Roman" w:eastAsia="Times New Roman" w:hAnsi="Times New Roman" w:cs="Times New Roman"/>
                <w:b/>
                <w:color w:val="000000"/>
                <w:sz w:val="20"/>
                <w:szCs w:val="20"/>
              </w:rPr>
              <w:t> Orige</w:t>
            </w:r>
            <w:r>
              <w:rPr>
                <w:rFonts w:ascii="Times New Roman" w:eastAsia="Times New Roman" w:hAnsi="Times New Roman" w:cs="Times New Roman"/>
                <w:b/>
                <w:color w:val="000000"/>
                <w:sz w:val="20"/>
                <w:szCs w:val="20"/>
              </w:rPr>
              <w:t>ns</w:t>
            </w:r>
            <w:r w:rsidRPr="00596292">
              <w:rPr>
                <w:rFonts w:ascii="Times New Roman" w:eastAsia="Times New Roman" w:hAnsi="Times New Roman" w:cs="Times New Roman"/>
                <w:b/>
                <w:color w:val="000000"/>
                <w:sz w:val="20"/>
                <w:szCs w:val="20"/>
              </w:rPr>
              <w:t xml:space="preserve"> dos dados</w:t>
            </w:r>
          </w:p>
        </w:tc>
        <w:tc>
          <w:tcPr>
            <w:tcW w:w="787" w:type="pct"/>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rsidR="0078063D" w:rsidRPr="00475DA5" w:rsidRDefault="0078063D" w:rsidP="0078063D">
            <w:pPr>
              <w:spacing w:after="0" w:line="240" w:lineRule="auto"/>
              <w:jc w:val="center"/>
              <w:rPr>
                <w:rFonts w:ascii="Times New Roman" w:eastAsia="Times New Roman" w:hAnsi="Times New Roman" w:cs="Times New Roman"/>
                <w:b/>
                <w:bCs/>
                <w:color w:val="000000"/>
                <w:sz w:val="20"/>
                <w:szCs w:val="20"/>
              </w:rPr>
            </w:pPr>
            <w:r w:rsidRPr="00475DA5">
              <w:rPr>
                <w:rFonts w:ascii="Times New Roman" w:eastAsia="Times New Roman" w:hAnsi="Times New Roman" w:cs="Times New Roman"/>
                <w:b/>
                <w:bCs/>
                <w:color w:val="000000"/>
                <w:sz w:val="20"/>
                <w:szCs w:val="20"/>
              </w:rPr>
              <w:t>2004</w:t>
            </w:r>
          </w:p>
        </w:tc>
        <w:tc>
          <w:tcPr>
            <w:tcW w:w="787" w:type="pct"/>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rsidR="0078063D" w:rsidRPr="00475DA5" w:rsidRDefault="0078063D" w:rsidP="0078063D">
            <w:pPr>
              <w:spacing w:after="0" w:line="240" w:lineRule="auto"/>
              <w:jc w:val="center"/>
              <w:rPr>
                <w:rFonts w:ascii="Times New Roman" w:eastAsia="Times New Roman" w:hAnsi="Times New Roman" w:cs="Times New Roman"/>
                <w:b/>
                <w:bCs/>
                <w:color w:val="000000"/>
                <w:sz w:val="20"/>
                <w:szCs w:val="20"/>
              </w:rPr>
            </w:pPr>
            <w:r w:rsidRPr="00475DA5">
              <w:rPr>
                <w:rFonts w:ascii="Times New Roman" w:eastAsia="Times New Roman" w:hAnsi="Times New Roman" w:cs="Times New Roman"/>
                <w:b/>
                <w:bCs/>
                <w:color w:val="000000"/>
                <w:sz w:val="20"/>
                <w:szCs w:val="20"/>
              </w:rPr>
              <w:t>2005</w:t>
            </w:r>
          </w:p>
        </w:tc>
        <w:tc>
          <w:tcPr>
            <w:tcW w:w="787" w:type="pct"/>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rsidR="0078063D" w:rsidRPr="00475DA5" w:rsidRDefault="0078063D" w:rsidP="0078063D">
            <w:pPr>
              <w:spacing w:after="0" w:line="240" w:lineRule="auto"/>
              <w:jc w:val="center"/>
              <w:rPr>
                <w:rFonts w:ascii="Times New Roman" w:eastAsia="Times New Roman" w:hAnsi="Times New Roman" w:cs="Times New Roman"/>
                <w:b/>
                <w:bCs/>
                <w:color w:val="000000"/>
                <w:sz w:val="20"/>
                <w:szCs w:val="20"/>
              </w:rPr>
            </w:pPr>
            <w:r w:rsidRPr="00475DA5">
              <w:rPr>
                <w:rFonts w:ascii="Times New Roman" w:eastAsia="Times New Roman" w:hAnsi="Times New Roman" w:cs="Times New Roman"/>
                <w:b/>
                <w:bCs/>
                <w:color w:val="000000"/>
                <w:sz w:val="20"/>
                <w:szCs w:val="20"/>
              </w:rPr>
              <w:t>2006</w:t>
            </w:r>
          </w:p>
        </w:tc>
        <w:tc>
          <w:tcPr>
            <w:tcW w:w="788" w:type="pct"/>
            <w:tcBorders>
              <w:top w:val="single" w:sz="4" w:space="0" w:color="auto"/>
              <w:left w:val="single" w:sz="4" w:space="0" w:color="auto"/>
              <w:bottom w:val="single" w:sz="4" w:space="0" w:color="auto"/>
              <w:right w:val="nil"/>
            </w:tcBorders>
            <w:shd w:val="clear" w:color="auto" w:fill="D9D9D9" w:themeFill="background1" w:themeFillShade="D9"/>
            <w:noWrap/>
            <w:vAlign w:val="bottom"/>
            <w:hideMark/>
          </w:tcPr>
          <w:p w:rsidR="0078063D" w:rsidRPr="00475DA5" w:rsidRDefault="0078063D" w:rsidP="0078063D">
            <w:pPr>
              <w:spacing w:after="0" w:line="240" w:lineRule="auto"/>
              <w:jc w:val="center"/>
              <w:rPr>
                <w:rFonts w:ascii="Times New Roman" w:eastAsia="Times New Roman" w:hAnsi="Times New Roman" w:cs="Times New Roman"/>
                <w:b/>
                <w:bCs/>
                <w:color w:val="000000"/>
                <w:sz w:val="20"/>
                <w:szCs w:val="20"/>
              </w:rPr>
            </w:pPr>
            <w:r w:rsidRPr="00475DA5">
              <w:rPr>
                <w:rFonts w:ascii="Times New Roman" w:eastAsia="Times New Roman" w:hAnsi="Times New Roman" w:cs="Times New Roman"/>
                <w:b/>
                <w:bCs/>
                <w:color w:val="000000"/>
                <w:sz w:val="20"/>
                <w:szCs w:val="20"/>
              </w:rPr>
              <w:t>2007</w:t>
            </w:r>
          </w:p>
        </w:tc>
      </w:tr>
      <w:tr w:rsidR="0078063D" w:rsidRPr="00475DA5" w:rsidTr="001A06C1">
        <w:trPr>
          <w:trHeight w:val="142"/>
        </w:trPr>
        <w:tc>
          <w:tcPr>
            <w:tcW w:w="799" w:type="pct"/>
            <w:vMerge w:val="restart"/>
            <w:tcBorders>
              <w:top w:val="single" w:sz="4" w:space="0" w:color="auto"/>
              <w:left w:val="nil"/>
              <w:bottom w:val="single" w:sz="8" w:space="0" w:color="000000"/>
              <w:right w:val="single" w:sz="4" w:space="0" w:color="auto"/>
            </w:tcBorders>
            <w:shd w:val="clear" w:color="auto" w:fill="auto"/>
            <w:vAlign w:val="center"/>
            <w:hideMark/>
          </w:tcPr>
          <w:p w:rsidR="0078063D" w:rsidRPr="00475DA5" w:rsidRDefault="0078063D" w:rsidP="0078063D">
            <w:pPr>
              <w:spacing w:after="0" w:line="240" w:lineRule="auto"/>
              <w:rPr>
                <w:rFonts w:ascii="Times New Roman" w:eastAsia="Times New Roman" w:hAnsi="Times New Roman" w:cs="Times New Roman"/>
                <w:color w:val="000000"/>
                <w:sz w:val="20"/>
                <w:szCs w:val="20"/>
              </w:rPr>
            </w:pPr>
            <w:r w:rsidRPr="00475DA5">
              <w:rPr>
                <w:rFonts w:ascii="Times New Roman" w:eastAsia="Times New Roman" w:hAnsi="Times New Roman" w:cs="Times New Roman"/>
                <w:color w:val="000000"/>
                <w:sz w:val="20"/>
                <w:szCs w:val="20"/>
              </w:rPr>
              <w:t>REC</w:t>
            </w:r>
          </w:p>
        </w:tc>
        <w:tc>
          <w:tcPr>
            <w:tcW w:w="1052" w:type="pct"/>
            <w:tcBorders>
              <w:top w:val="single" w:sz="4" w:space="0" w:color="auto"/>
              <w:left w:val="single" w:sz="4" w:space="0" w:color="auto"/>
              <w:right w:val="single" w:sz="4" w:space="0" w:color="auto"/>
            </w:tcBorders>
            <w:shd w:val="clear" w:color="auto" w:fill="auto"/>
            <w:noWrap/>
            <w:vAlign w:val="center"/>
            <w:hideMark/>
          </w:tcPr>
          <w:p w:rsidR="0078063D" w:rsidRPr="00475DA5" w:rsidRDefault="0078063D" w:rsidP="0078063D">
            <w:pPr>
              <w:spacing w:after="0" w:line="240" w:lineRule="auto"/>
              <w:rPr>
                <w:rFonts w:ascii="Times New Roman" w:eastAsia="Times New Roman" w:hAnsi="Times New Roman" w:cs="Times New Roman"/>
                <w:color w:val="000000"/>
                <w:sz w:val="20"/>
                <w:szCs w:val="20"/>
              </w:rPr>
            </w:pPr>
            <w:r w:rsidRPr="00475DA5">
              <w:rPr>
                <w:rFonts w:ascii="Times New Roman" w:eastAsia="Times New Roman" w:hAnsi="Times New Roman" w:cs="Times New Roman"/>
                <w:color w:val="000000"/>
                <w:sz w:val="20"/>
                <w:szCs w:val="20"/>
              </w:rPr>
              <w:t>TCE/SC</w:t>
            </w:r>
          </w:p>
        </w:tc>
        <w:tc>
          <w:tcPr>
            <w:tcW w:w="787" w:type="pct"/>
            <w:tcBorders>
              <w:top w:val="single" w:sz="4" w:space="0" w:color="auto"/>
              <w:left w:val="single" w:sz="4" w:space="0" w:color="auto"/>
              <w:right w:val="single" w:sz="4" w:space="0" w:color="auto"/>
            </w:tcBorders>
            <w:shd w:val="clear" w:color="auto" w:fill="auto"/>
            <w:noWrap/>
            <w:vAlign w:val="bottom"/>
            <w:hideMark/>
          </w:tcPr>
          <w:p w:rsidR="0078063D" w:rsidRPr="00475DA5" w:rsidRDefault="0078063D" w:rsidP="0078063D">
            <w:pPr>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257.844.490,53</w:t>
            </w:r>
          </w:p>
        </w:tc>
        <w:tc>
          <w:tcPr>
            <w:tcW w:w="787" w:type="pct"/>
            <w:tcBorders>
              <w:top w:val="single" w:sz="4" w:space="0" w:color="auto"/>
              <w:left w:val="single" w:sz="4" w:space="0" w:color="auto"/>
              <w:right w:val="single" w:sz="4" w:space="0" w:color="auto"/>
            </w:tcBorders>
            <w:shd w:val="clear" w:color="auto" w:fill="auto"/>
            <w:noWrap/>
            <w:vAlign w:val="bottom"/>
            <w:hideMark/>
          </w:tcPr>
          <w:p w:rsidR="0078063D" w:rsidRPr="00475DA5" w:rsidRDefault="0078063D" w:rsidP="0078063D">
            <w:pPr>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300.885.949,60</w:t>
            </w:r>
          </w:p>
        </w:tc>
        <w:tc>
          <w:tcPr>
            <w:tcW w:w="787" w:type="pct"/>
            <w:tcBorders>
              <w:top w:val="single" w:sz="4" w:space="0" w:color="auto"/>
              <w:left w:val="single" w:sz="4" w:space="0" w:color="auto"/>
              <w:right w:val="single" w:sz="4" w:space="0" w:color="auto"/>
            </w:tcBorders>
            <w:shd w:val="clear" w:color="auto" w:fill="auto"/>
            <w:noWrap/>
            <w:vAlign w:val="bottom"/>
            <w:hideMark/>
          </w:tcPr>
          <w:p w:rsidR="0078063D" w:rsidRPr="00475DA5" w:rsidRDefault="0078063D" w:rsidP="0078063D">
            <w:pPr>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338.214.510,80</w:t>
            </w:r>
          </w:p>
        </w:tc>
        <w:tc>
          <w:tcPr>
            <w:tcW w:w="788" w:type="pct"/>
            <w:tcBorders>
              <w:top w:val="single" w:sz="4" w:space="0" w:color="auto"/>
              <w:left w:val="single" w:sz="4" w:space="0" w:color="auto"/>
              <w:right w:val="nil"/>
            </w:tcBorders>
            <w:shd w:val="clear" w:color="auto" w:fill="auto"/>
            <w:noWrap/>
            <w:vAlign w:val="bottom"/>
            <w:hideMark/>
          </w:tcPr>
          <w:p w:rsidR="0078063D" w:rsidRPr="00475DA5" w:rsidRDefault="0078063D" w:rsidP="0078063D">
            <w:pPr>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388.083.708,20</w:t>
            </w:r>
          </w:p>
        </w:tc>
      </w:tr>
      <w:tr w:rsidR="0078063D" w:rsidRPr="00475DA5" w:rsidTr="001A06C1">
        <w:trPr>
          <w:trHeight w:val="101"/>
        </w:trPr>
        <w:tc>
          <w:tcPr>
            <w:tcW w:w="799" w:type="pct"/>
            <w:vMerge/>
            <w:tcBorders>
              <w:top w:val="nil"/>
              <w:left w:val="nil"/>
              <w:bottom w:val="single" w:sz="4" w:space="0" w:color="auto"/>
              <w:right w:val="single" w:sz="4" w:space="0" w:color="auto"/>
            </w:tcBorders>
            <w:vAlign w:val="center"/>
            <w:hideMark/>
          </w:tcPr>
          <w:p w:rsidR="0078063D" w:rsidRPr="00475DA5" w:rsidRDefault="0078063D" w:rsidP="0078063D">
            <w:pPr>
              <w:spacing w:after="0" w:line="240" w:lineRule="auto"/>
              <w:rPr>
                <w:rFonts w:ascii="Times New Roman" w:eastAsia="Times New Roman" w:hAnsi="Times New Roman" w:cs="Times New Roman"/>
                <w:color w:val="000000"/>
                <w:sz w:val="20"/>
                <w:szCs w:val="20"/>
              </w:rPr>
            </w:pPr>
          </w:p>
        </w:tc>
        <w:tc>
          <w:tcPr>
            <w:tcW w:w="1052" w:type="pct"/>
            <w:tcBorders>
              <w:top w:val="nil"/>
              <w:left w:val="single" w:sz="4" w:space="0" w:color="auto"/>
              <w:bottom w:val="single" w:sz="4" w:space="0" w:color="auto"/>
              <w:right w:val="single" w:sz="4" w:space="0" w:color="auto"/>
            </w:tcBorders>
            <w:shd w:val="clear" w:color="auto" w:fill="auto"/>
            <w:noWrap/>
            <w:vAlign w:val="center"/>
            <w:hideMark/>
          </w:tcPr>
          <w:p w:rsidR="0078063D" w:rsidRPr="00475DA5" w:rsidRDefault="0078063D" w:rsidP="0078063D">
            <w:pPr>
              <w:spacing w:after="0" w:line="240" w:lineRule="auto"/>
              <w:rPr>
                <w:rFonts w:ascii="Times New Roman" w:eastAsia="Times New Roman" w:hAnsi="Times New Roman" w:cs="Times New Roman"/>
                <w:color w:val="000000"/>
                <w:sz w:val="20"/>
                <w:szCs w:val="20"/>
              </w:rPr>
            </w:pPr>
            <w:r w:rsidRPr="00475DA5">
              <w:rPr>
                <w:rFonts w:ascii="Times New Roman" w:eastAsia="Times New Roman" w:hAnsi="Times New Roman" w:cs="Times New Roman"/>
                <w:color w:val="000000"/>
                <w:sz w:val="20"/>
                <w:szCs w:val="20"/>
              </w:rPr>
              <w:t>PMF</w:t>
            </w:r>
          </w:p>
        </w:tc>
        <w:tc>
          <w:tcPr>
            <w:tcW w:w="787" w:type="pct"/>
            <w:tcBorders>
              <w:top w:val="nil"/>
              <w:left w:val="single" w:sz="4" w:space="0" w:color="auto"/>
              <w:bottom w:val="single" w:sz="4" w:space="0" w:color="auto"/>
              <w:right w:val="single" w:sz="4" w:space="0" w:color="auto"/>
            </w:tcBorders>
            <w:shd w:val="clear" w:color="auto" w:fill="auto"/>
            <w:noWrap/>
            <w:vAlign w:val="bottom"/>
            <w:hideMark/>
          </w:tcPr>
          <w:p w:rsidR="0078063D" w:rsidRPr="00475DA5" w:rsidRDefault="0078063D" w:rsidP="0078063D">
            <w:pPr>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254.776.361,05</w:t>
            </w:r>
          </w:p>
        </w:tc>
        <w:tc>
          <w:tcPr>
            <w:tcW w:w="787" w:type="pct"/>
            <w:tcBorders>
              <w:top w:val="nil"/>
              <w:left w:val="single" w:sz="4" w:space="0" w:color="auto"/>
              <w:bottom w:val="single" w:sz="4" w:space="0" w:color="auto"/>
              <w:right w:val="single" w:sz="4" w:space="0" w:color="auto"/>
            </w:tcBorders>
            <w:shd w:val="clear" w:color="auto" w:fill="auto"/>
            <w:noWrap/>
            <w:vAlign w:val="bottom"/>
            <w:hideMark/>
          </w:tcPr>
          <w:p w:rsidR="0078063D" w:rsidRPr="00475DA5" w:rsidRDefault="0078063D" w:rsidP="0078063D">
            <w:pPr>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300.908.572,98</w:t>
            </w:r>
          </w:p>
        </w:tc>
        <w:tc>
          <w:tcPr>
            <w:tcW w:w="787" w:type="pct"/>
            <w:tcBorders>
              <w:top w:val="nil"/>
              <w:left w:val="single" w:sz="4" w:space="0" w:color="auto"/>
              <w:bottom w:val="single" w:sz="4" w:space="0" w:color="auto"/>
              <w:right w:val="single" w:sz="4" w:space="0" w:color="auto"/>
            </w:tcBorders>
            <w:shd w:val="clear" w:color="auto" w:fill="auto"/>
            <w:noWrap/>
            <w:vAlign w:val="bottom"/>
            <w:hideMark/>
          </w:tcPr>
          <w:p w:rsidR="0078063D" w:rsidRPr="00475DA5" w:rsidRDefault="0078063D" w:rsidP="0078063D">
            <w:pPr>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338.214.510,83</w:t>
            </w:r>
          </w:p>
        </w:tc>
        <w:tc>
          <w:tcPr>
            <w:tcW w:w="788" w:type="pct"/>
            <w:tcBorders>
              <w:top w:val="nil"/>
              <w:left w:val="single" w:sz="4" w:space="0" w:color="auto"/>
              <w:bottom w:val="single" w:sz="4" w:space="0" w:color="auto"/>
              <w:right w:val="nil"/>
            </w:tcBorders>
            <w:shd w:val="clear" w:color="auto" w:fill="auto"/>
            <w:noWrap/>
            <w:vAlign w:val="bottom"/>
            <w:hideMark/>
          </w:tcPr>
          <w:p w:rsidR="0078063D" w:rsidRPr="00475DA5" w:rsidRDefault="0078063D" w:rsidP="0078063D">
            <w:pPr>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388.091.730,01</w:t>
            </w:r>
          </w:p>
        </w:tc>
      </w:tr>
      <w:tr w:rsidR="0078063D" w:rsidRPr="00475DA5" w:rsidTr="001A06C1">
        <w:trPr>
          <w:trHeight w:val="220"/>
        </w:trPr>
        <w:tc>
          <w:tcPr>
            <w:tcW w:w="799" w:type="pct"/>
            <w:vMerge w:val="restart"/>
            <w:tcBorders>
              <w:top w:val="single" w:sz="4" w:space="0" w:color="auto"/>
              <w:left w:val="nil"/>
              <w:bottom w:val="single" w:sz="8" w:space="0" w:color="000000"/>
              <w:right w:val="single" w:sz="4" w:space="0" w:color="auto"/>
            </w:tcBorders>
            <w:shd w:val="clear" w:color="auto" w:fill="auto"/>
            <w:vAlign w:val="center"/>
            <w:hideMark/>
          </w:tcPr>
          <w:p w:rsidR="0078063D" w:rsidRPr="00475DA5" w:rsidRDefault="0078063D" w:rsidP="0078063D">
            <w:pPr>
              <w:spacing w:after="0" w:line="240" w:lineRule="auto"/>
              <w:rPr>
                <w:rFonts w:ascii="Times New Roman" w:eastAsia="Times New Roman" w:hAnsi="Times New Roman" w:cs="Times New Roman"/>
                <w:color w:val="000000"/>
                <w:sz w:val="20"/>
                <w:szCs w:val="20"/>
              </w:rPr>
            </w:pPr>
            <w:r w:rsidRPr="00475DA5">
              <w:rPr>
                <w:rFonts w:ascii="Times New Roman" w:eastAsia="Times New Roman" w:hAnsi="Times New Roman" w:cs="Times New Roman"/>
                <w:color w:val="000000"/>
                <w:sz w:val="20"/>
                <w:szCs w:val="20"/>
              </w:rPr>
              <w:t>DEC</w:t>
            </w:r>
          </w:p>
        </w:tc>
        <w:tc>
          <w:tcPr>
            <w:tcW w:w="1052" w:type="pct"/>
            <w:tcBorders>
              <w:top w:val="single" w:sz="4" w:space="0" w:color="auto"/>
              <w:left w:val="single" w:sz="4" w:space="0" w:color="auto"/>
              <w:right w:val="single" w:sz="4" w:space="0" w:color="auto"/>
            </w:tcBorders>
            <w:shd w:val="clear" w:color="auto" w:fill="auto"/>
            <w:noWrap/>
            <w:vAlign w:val="center"/>
            <w:hideMark/>
          </w:tcPr>
          <w:p w:rsidR="0078063D" w:rsidRPr="00475DA5" w:rsidRDefault="0078063D" w:rsidP="0078063D">
            <w:pPr>
              <w:spacing w:after="0" w:line="240" w:lineRule="auto"/>
              <w:rPr>
                <w:rFonts w:ascii="Times New Roman" w:eastAsia="Times New Roman" w:hAnsi="Times New Roman" w:cs="Times New Roman"/>
                <w:color w:val="000000"/>
                <w:sz w:val="20"/>
                <w:szCs w:val="20"/>
              </w:rPr>
            </w:pPr>
            <w:r w:rsidRPr="00475DA5">
              <w:rPr>
                <w:rFonts w:ascii="Times New Roman" w:eastAsia="Times New Roman" w:hAnsi="Times New Roman" w:cs="Times New Roman"/>
                <w:color w:val="000000"/>
                <w:sz w:val="20"/>
                <w:szCs w:val="20"/>
              </w:rPr>
              <w:t>TCE/SC</w:t>
            </w:r>
          </w:p>
        </w:tc>
        <w:tc>
          <w:tcPr>
            <w:tcW w:w="787" w:type="pct"/>
            <w:tcBorders>
              <w:top w:val="single" w:sz="4" w:space="0" w:color="auto"/>
              <w:left w:val="single" w:sz="4" w:space="0" w:color="auto"/>
              <w:right w:val="single" w:sz="4" w:space="0" w:color="auto"/>
            </w:tcBorders>
            <w:shd w:val="clear" w:color="auto" w:fill="auto"/>
            <w:noWrap/>
            <w:vAlign w:val="bottom"/>
            <w:hideMark/>
          </w:tcPr>
          <w:p w:rsidR="0078063D" w:rsidRPr="00475DA5" w:rsidRDefault="0078063D" w:rsidP="0078063D">
            <w:pPr>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39.746.350,45</w:t>
            </w:r>
          </w:p>
        </w:tc>
        <w:tc>
          <w:tcPr>
            <w:tcW w:w="787" w:type="pct"/>
            <w:tcBorders>
              <w:top w:val="single" w:sz="4" w:space="0" w:color="auto"/>
              <w:left w:val="single" w:sz="4" w:space="0" w:color="auto"/>
              <w:right w:val="single" w:sz="4" w:space="0" w:color="auto"/>
            </w:tcBorders>
            <w:shd w:val="clear" w:color="auto" w:fill="auto"/>
            <w:noWrap/>
            <w:vAlign w:val="bottom"/>
            <w:hideMark/>
          </w:tcPr>
          <w:p w:rsidR="0078063D" w:rsidRPr="00475DA5" w:rsidRDefault="0078063D" w:rsidP="0078063D">
            <w:pPr>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45.419.218,55</w:t>
            </w:r>
          </w:p>
        </w:tc>
        <w:tc>
          <w:tcPr>
            <w:tcW w:w="787" w:type="pct"/>
            <w:tcBorders>
              <w:top w:val="single" w:sz="4" w:space="0" w:color="auto"/>
              <w:left w:val="single" w:sz="4" w:space="0" w:color="auto"/>
              <w:right w:val="single" w:sz="4" w:space="0" w:color="auto"/>
            </w:tcBorders>
            <w:shd w:val="clear" w:color="auto" w:fill="auto"/>
            <w:noWrap/>
            <w:vAlign w:val="bottom"/>
            <w:hideMark/>
          </w:tcPr>
          <w:p w:rsidR="0078063D" w:rsidRPr="00475DA5" w:rsidRDefault="0078063D" w:rsidP="0078063D">
            <w:pPr>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59.612.165,33</w:t>
            </w:r>
          </w:p>
        </w:tc>
        <w:tc>
          <w:tcPr>
            <w:tcW w:w="788" w:type="pct"/>
            <w:tcBorders>
              <w:top w:val="single" w:sz="4" w:space="0" w:color="auto"/>
              <w:left w:val="single" w:sz="4" w:space="0" w:color="auto"/>
              <w:right w:val="nil"/>
            </w:tcBorders>
            <w:shd w:val="clear" w:color="auto" w:fill="auto"/>
            <w:noWrap/>
            <w:vAlign w:val="bottom"/>
            <w:hideMark/>
          </w:tcPr>
          <w:p w:rsidR="0078063D" w:rsidRPr="00475DA5" w:rsidRDefault="0078063D" w:rsidP="0078063D">
            <w:pPr>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68.746.425,56</w:t>
            </w:r>
          </w:p>
        </w:tc>
      </w:tr>
      <w:tr w:rsidR="0078063D" w:rsidRPr="00475DA5" w:rsidTr="001A06C1">
        <w:trPr>
          <w:trHeight w:val="110"/>
        </w:trPr>
        <w:tc>
          <w:tcPr>
            <w:tcW w:w="799" w:type="pct"/>
            <w:vMerge/>
            <w:tcBorders>
              <w:top w:val="nil"/>
              <w:left w:val="nil"/>
              <w:bottom w:val="single" w:sz="4" w:space="0" w:color="auto"/>
              <w:right w:val="single" w:sz="4" w:space="0" w:color="auto"/>
            </w:tcBorders>
            <w:vAlign w:val="center"/>
            <w:hideMark/>
          </w:tcPr>
          <w:p w:rsidR="0078063D" w:rsidRPr="00475DA5" w:rsidRDefault="0078063D" w:rsidP="0078063D">
            <w:pPr>
              <w:spacing w:after="0" w:line="240" w:lineRule="auto"/>
              <w:rPr>
                <w:rFonts w:ascii="Times New Roman" w:eastAsia="Times New Roman" w:hAnsi="Times New Roman" w:cs="Times New Roman"/>
                <w:color w:val="000000"/>
                <w:sz w:val="20"/>
                <w:szCs w:val="20"/>
              </w:rPr>
            </w:pPr>
          </w:p>
        </w:tc>
        <w:tc>
          <w:tcPr>
            <w:tcW w:w="1052" w:type="pct"/>
            <w:tcBorders>
              <w:top w:val="nil"/>
              <w:left w:val="single" w:sz="4" w:space="0" w:color="auto"/>
              <w:bottom w:val="single" w:sz="4" w:space="0" w:color="auto"/>
              <w:right w:val="single" w:sz="4" w:space="0" w:color="auto"/>
            </w:tcBorders>
            <w:shd w:val="clear" w:color="auto" w:fill="auto"/>
            <w:noWrap/>
            <w:vAlign w:val="center"/>
            <w:hideMark/>
          </w:tcPr>
          <w:p w:rsidR="0078063D" w:rsidRPr="00475DA5" w:rsidRDefault="0078063D" w:rsidP="0078063D">
            <w:pPr>
              <w:spacing w:after="0" w:line="240" w:lineRule="auto"/>
              <w:rPr>
                <w:rFonts w:ascii="Times New Roman" w:eastAsia="Times New Roman" w:hAnsi="Times New Roman" w:cs="Times New Roman"/>
                <w:color w:val="000000"/>
                <w:sz w:val="20"/>
                <w:szCs w:val="20"/>
              </w:rPr>
            </w:pPr>
            <w:r w:rsidRPr="00475DA5">
              <w:rPr>
                <w:rFonts w:ascii="Times New Roman" w:eastAsia="Times New Roman" w:hAnsi="Times New Roman" w:cs="Times New Roman"/>
                <w:color w:val="000000"/>
                <w:sz w:val="20"/>
                <w:szCs w:val="20"/>
              </w:rPr>
              <w:t>PMF</w:t>
            </w:r>
          </w:p>
        </w:tc>
        <w:tc>
          <w:tcPr>
            <w:tcW w:w="787" w:type="pct"/>
            <w:tcBorders>
              <w:top w:val="nil"/>
              <w:left w:val="single" w:sz="4" w:space="0" w:color="auto"/>
              <w:bottom w:val="single" w:sz="4" w:space="0" w:color="auto"/>
              <w:right w:val="single" w:sz="4" w:space="0" w:color="auto"/>
            </w:tcBorders>
            <w:shd w:val="clear" w:color="auto" w:fill="auto"/>
            <w:noWrap/>
            <w:vAlign w:val="bottom"/>
            <w:hideMark/>
          </w:tcPr>
          <w:p w:rsidR="0078063D" w:rsidRPr="00475DA5" w:rsidRDefault="0078063D" w:rsidP="0078063D">
            <w:pPr>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38.459.677,21</w:t>
            </w:r>
          </w:p>
        </w:tc>
        <w:tc>
          <w:tcPr>
            <w:tcW w:w="787" w:type="pct"/>
            <w:tcBorders>
              <w:top w:val="nil"/>
              <w:left w:val="single" w:sz="4" w:space="0" w:color="auto"/>
              <w:bottom w:val="single" w:sz="4" w:space="0" w:color="auto"/>
              <w:right w:val="single" w:sz="4" w:space="0" w:color="auto"/>
            </w:tcBorders>
            <w:shd w:val="clear" w:color="auto" w:fill="auto"/>
            <w:noWrap/>
            <w:vAlign w:val="bottom"/>
            <w:hideMark/>
          </w:tcPr>
          <w:p w:rsidR="0078063D" w:rsidRPr="00475DA5" w:rsidRDefault="0078063D" w:rsidP="0078063D">
            <w:pPr>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46.701.217,27</w:t>
            </w:r>
          </w:p>
        </w:tc>
        <w:tc>
          <w:tcPr>
            <w:tcW w:w="787" w:type="pct"/>
            <w:tcBorders>
              <w:top w:val="nil"/>
              <w:left w:val="single" w:sz="4" w:space="0" w:color="auto"/>
              <w:bottom w:val="single" w:sz="4" w:space="0" w:color="auto"/>
              <w:right w:val="single" w:sz="4" w:space="0" w:color="auto"/>
            </w:tcBorders>
            <w:shd w:val="clear" w:color="auto" w:fill="auto"/>
            <w:noWrap/>
            <w:vAlign w:val="bottom"/>
            <w:hideMark/>
          </w:tcPr>
          <w:p w:rsidR="0078063D" w:rsidRPr="00475DA5" w:rsidRDefault="0078063D" w:rsidP="0078063D">
            <w:pPr>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54.754.781,79</w:t>
            </w:r>
          </w:p>
        </w:tc>
        <w:tc>
          <w:tcPr>
            <w:tcW w:w="788" w:type="pct"/>
            <w:tcBorders>
              <w:top w:val="nil"/>
              <w:left w:val="single" w:sz="4" w:space="0" w:color="auto"/>
              <w:bottom w:val="single" w:sz="4" w:space="0" w:color="auto"/>
              <w:right w:val="nil"/>
            </w:tcBorders>
            <w:shd w:val="clear" w:color="auto" w:fill="auto"/>
            <w:noWrap/>
            <w:vAlign w:val="bottom"/>
            <w:hideMark/>
          </w:tcPr>
          <w:p w:rsidR="0078063D" w:rsidRPr="00475DA5" w:rsidRDefault="0078063D" w:rsidP="0078063D">
            <w:pPr>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67.817.795,98</w:t>
            </w:r>
          </w:p>
        </w:tc>
      </w:tr>
      <w:tr w:rsidR="0078063D" w:rsidRPr="00475DA5" w:rsidTr="001A06C1">
        <w:trPr>
          <w:trHeight w:val="252"/>
        </w:trPr>
        <w:tc>
          <w:tcPr>
            <w:tcW w:w="799" w:type="pct"/>
            <w:vMerge w:val="restart"/>
            <w:tcBorders>
              <w:top w:val="single" w:sz="4" w:space="0" w:color="auto"/>
              <w:left w:val="nil"/>
              <w:right w:val="single" w:sz="4" w:space="0" w:color="auto"/>
            </w:tcBorders>
            <w:shd w:val="clear" w:color="auto" w:fill="auto"/>
            <w:vAlign w:val="center"/>
            <w:hideMark/>
          </w:tcPr>
          <w:p w:rsidR="0078063D" w:rsidRPr="00475DA5" w:rsidRDefault="0078063D" w:rsidP="0078063D">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de Aplicação em ASPS</w:t>
            </w:r>
          </w:p>
        </w:tc>
        <w:tc>
          <w:tcPr>
            <w:tcW w:w="1052" w:type="pct"/>
            <w:tcBorders>
              <w:top w:val="single" w:sz="4" w:space="0" w:color="auto"/>
              <w:left w:val="single" w:sz="4" w:space="0" w:color="auto"/>
              <w:right w:val="single" w:sz="4" w:space="0" w:color="auto"/>
            </w:tcBorders>
            <w:shd w:val="clear" w:color="auto" w:fill="auto"/>
            <w:noWrap/>
            <w:vAlign w:val="center"/>
            <w:hideMark/>
          </w:tcPr>
          <w:p w:rsidR="0078063D" w:rsidRPr="00475DA5" w:rsidRDefault="0078063D" w:rsidP="0078063D">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TCE/SC</w:t>
            </w:r>
          </w:p>
        </w:tc>
        <w:tc>
          <w:tcPr>
            <w:tcW w:w="787" w:type="pct"/>
            <w:tcBorders>
              <w:top w:val="single" w:sz="4" w:space="0" w:color="auto"/>
              <w:left w:val="single" w:sz="4" w:space="0" w:color="auto"/>
              <w:right w:val="single" w:sz="4" w:space="0" w:color="auto"/>
            </w:tcBorders>
            <w:shd w:val="clear" w:color="auto" w:fill="auto"/>
            <w:noWrap/>
            <w:vAlign w:val="bottom"/>
            <w:hideMark/>
          </w:tcPr>
          <w:p w:rsidR="0078063D" w:rsidRPr="00475DA5" w:rsidRDefault="0078063D" w:rsidP="0078063D">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15,41%</w:t>
            </w:r>
          </w:p>
        </w:tc>
        <w:tc>
          <w:tcPr>
            <w:tcW w:w="787" w:type="pct"/>
            <w:tcBorders>
              <w:top w:val="single" w:sz="4" w:space="0" w:color="auto"/>
              <w:left w:val="single" w:sz="4" w:space="0" w:color="auto"/>
              <w:right w:val="single" w:sz="4" w:space="0" w:color="auto"/>
            </w:tcBorders>
            <w:shd w:val="clear" w:color="auto" w:fill="auto"/>
            <w:noWrap/>
            <w:vAlign w:val="bottom"/>
            <w:hideMark/>
          </w:tcPr>
          <w:p w:rsidR="0078063D" w:rsidRPr="00475DA5" w:rsidRDefault="0078063D" w:rsidP="0078063D">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15,10%</w:t>
            </w:r>
          </w:p>
        </w:tc>
        <w:tc>
          <w:tcPr>
            <w:tcW w:w="787" w:type="pct"/>
            <w:tcBorders>
              <w:top w:val="single" w:sz="4" w:space="0" w:color="auto"/>
              <w:left w:val="single" w:sz="4" w:space="0" w:color="auto"/>
              <w:right w:val="single" w:sz="4" w:space="0" w:color="auto"/>
            </w:tcBorders>
            <w:shd w:val="clear" w:color="auto" w:fill="auto"/>
            <w:noWrap/>
            <w:vAlign w:val="bottom"/>
            <w:hideMark/>
          </w:tcPr>
          <w:p w:rsidR="0078063D" w:rsidRDefault="0078063D" w:rsidP="0078063D">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17,63%</w:t>
            </w:r>
          </w:p>
        </w:tc>
        <w:tc>
          <w:tcPr>
            <w:tcW w:w="788" w:type="pct"/>
            <w:tcBorders>
              <w:top w:val="single" w:sz="4" w:space="0" w:color="auto"/>
              <w:left w:val="single" w:sz="4" w:space="0" w:color="auto"/>
              <w:right w:val="nil"/>
            </w:tcBorders>
            <w:shd w:val="clear" w:color="auto" w:fill="auto"/>
            <w:noWrap/>
            <w:vAlign w:val="bottom"/>
            <w:hideMark/>
          </w:tcPr>
          <w:p w:rsidR="0078063D" w:rsidRDefault="0078063D" w:rsidP="0078063D">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17,71%</w:t>
            </w:r>
          </w:p>
        </w:tc>
      </w:tr>
      <w:tr w:rsidR="0078063D" w:rsidRPr="00475DA5" w:rsidTr="000802FF">
        <w:trPr>
          <w:trHeight w:val="80"/>
        </w:trPr>
        <w:tc>
          <w:tcPr>
            <w:tcW w:w="799" w:type="pct"/>
            <w:vMerge/>
            <w:tcBorders>
              <w:left w:val="nil"/>
              <w:bottom w:val="single" w:sz="4" w:space="0" w:color="auto"/>
              <w:right w:val="single" w:sz="4" w:space="0" w:color="auto"/>
            </w:tcBorders>
            <w:shd w:val="clear" w:color="auto" w:fill="auto"/>
            <w:vAlign w:val="center"/>
            <w:hideMark/>
          </w:tcPr>
          <w:p w:rsidR="0078063D" w:rsidRPr="00475DA5" w:rsidRDefault="0078063D" w:rsidP="0078063D">
            <w:pPr>
              <w:spacing w:after="0" w:line="240" w:lineRule="auto"/>
              <w:rPr>
                <w:rFonts w:ascii="Times New Roman" w:eastAsia="Times New Roman" w:hAnsi="Times New Roman" w:cs="Times New Roman"/>
                <w:color w:val="000000"/>
                <w:sz w:val="20"/>
                <w:szCs w:val="20"/>
              </w:rPr>
            </w:pPr>
          </w:p>
        </w:tc>
        <w:tc>
          <w:tcPr>
            <w:tcW w:w="1052" w:type="pct"/>
            <w:tcBorders>
              <w:top w:val="nil"/>
              <w:left w:val="single" w:sz="4" w:space="0" w:color="auto"/>
              <w:bottom w:val="single" w:sz="4" w:space="0" w:color="auto"/>
              <w:right w:val="single" w:sz="4" w:space="0" w:color="auto"/>
            </w:tcBorders>
            <w:shd w:val="clear" w:color="auto" w:fill="auto"/>
            <w:noWrap/>
            <w:vAlign w:val="center"/>
            <w:hideMark/>
          </w:tcPr>
          <w:p w:rsidR="0078063D" w:rsidRPr="00475DA5" w:rsidRDefault="0078063D" w:rsidP="0078063D">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PMF</w:t>
            </w:r>
          </w:p>
        </w:tc>
        <w:tc>
          <w:tcPr>
            <w:tcW w:w="787" w:type="pct"/>
            <w:tcBorders>
              <w:top w:val="nil"/>
              <w:left w:val="single" w:sz="4" w:space="0" w:color="auto"/>
              <w:bottom w:val="single" w:sz="4" w:space="0" w:color="auto"/>
              <w:right w:val="single" w:sz="4" w:space="0" w:color="auto"/>
            </w:tcBorders>
            <w:shd w:val="clear" w:color="auto" w:fill="auto"/>
            <w:noWrap/>
            <w:vAlign w:val="bottom"/>
            <w:hideMark/>
          </w:tcPr>
          <w:p w:rsidR="0078063D" w:rsidRPr="00475DA5" w:rsidRDefault="0078063D" w:rsidP="0078063D">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15,10%</w:t>
            </w:r>
          </w:p>
        </w:tc>
        <w:tc>
          <w:tcPr>
            <w:tcW w:w="787" w:type="pct"/>
            <w:tcBorders>
              <w:top w:val="nil"/>
              <w:left w:val="single" w:sz="4" w:space="0" w:color="auto"/>
              <w:bottom w:val="single" w:sz="4" w:space="0" w:color="auto"/>
              <w:right w:val="single" w:sz="4" w:space="0" w:color="auto"/>
            </w:tcBorders>
            <w:shd w:val="clear" w:color="auto" w:fill="auto"/>
            <w:noWrap/>
            <w:vAlign w:val="bottom"/>
            <w:hideMark/>
          </w:tcPr>
          <w:p w:rsidR="0078063D" w:rsidRPr="00475DA5" w:rsidRDefault="0078063D" w:rsidP="0078063D">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15,19%</w:t>
            </w:r>
          </w:p>
        </w:tc>
        <w:tc>
          <w:tcPr>
            <w:tcW w:w="787" w:type="pct"/>
            <w:tcBorders>
              <w:top w:val="nil"/>
              <w:left w:val="single" w:sz="4" w:space="0" w:color="auto"/>
              <w:bottom w:val="single" w:sz="4" w:space="0" w:color="auto"/>
              <w:right w:val="single" w:sz="4" w:space="0" w:color="auto"/>
            </w:tcBorders>
            <w:shd w:val="clear" w:color="auto" w:fill="auto"/>
            <w:noWrap/>
            <w:vAlign w:val="bottom"/>
            <w:hideMark/>
          </w:tcPr>
          <w:p w:rsidR="0078063D" w:rsidRDefault="0078063D" w:rsidP="0078063D">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16,07%</w:t>
            </w:r>
          </w:p>
        </w:tc>
        <w:tc>
          <w:tcPr>
            <w:tcW w:w="788" w:type="pct"/>
            <w:tcBorders>
              <w:top w:val="nil"/>
              <w:left w:val="single" w:sz="4" w:space="0" w:color="auto"/>
              <w:bottom w:val="single" w:sz="4" w:space="0" w:color="auto"/>
              <w:right w:val="nil"/>
            </w:tcBorders>
            <w:shd w:val="clear" w:color="auto" w:fill="auto"/>
            <w:noWrap/>
            <w:vAlign w:val="bottom"/>
            <w:hideMark/>
          </w:tcPr>
          <w:p w:rsidR="0078063D" w:rsidRDefault="0078063D" w:rsidP="0078063D">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17,47%</w:t>
            </w:r>
          </w:p>
        </w:tc>
      </w:tr>
      <w:tr w:rsidR="002B6E57" w:rsidRPr="002B6E57" w:rsidTr="000802FF">
        <w:trPr>
          <w:trHeight w:val="46"/>
        </w:trPr>
        <w:tc>
          <w:tcPr>
            <w:tcW w:w="799" w:type="pct"/>
            <w:tcBorders>
              <w:top w:val="single" w:sz="4" w:space="0" w:color="auto"/>
              <w:left w:val="nil"/>
              <w:bottom w:val="single" w:sz="4" w:space="0" w:color="auto"/>
              <w:right w:val="single" w:sz="4" w:space="0" w:color="auto"/>
            </w:tcBorders>
            <w:shd w:val="clear" w:color="auto" w:fill="D9D9D9" w:themeFill="background1" w:themeFillShade="D9"/>
            <w:vAlign w:val="bottom"/>
            <w:hideMark/>
          </w:tcPr>
          <w:p w:rsidR="002B6E57" w:rsidRPr="002B6E57" w:rsidRDefault="002B6E57" w:rsidP="002B6E57">
            <w:pPr>
              <w:spacing w:after="0" w:line="240" w:lineRule="auto"/>
              <w:jc w:val="center"/>
              <w:rPr>
                <w:rFonts w:ascii="Times New Roman" w:eastAsia="Times New Roman" w:hAnsi="Times New Roman" w:cs="Times New Roman"/>
                <w:b/>
                <w:color w:val="000000"/>
                <w:sz w:val="20"/>
                <w:szCs w:val="20"/>
              </w:rPr>
            </w:pPr>
            <w:r w:rsidRPr="002B6E57">
              <w:rPr>
                <w:rFonts w:ascii="Times New Roman" w:eastAsia="Times New Roman" w:hAnsi="Times New Roman" w:cs="Times New Roman"/>
                <w:b/>
                <w:color w:val="000000"/>
                <w:sz w:val="20"/>
                <w:szCs w:val="20"/>
              </w:rPr>
              <w:t>Variáveis</w:t>
            </w:r>
          </w:p>
        </w:tc>
        <w:tc>
          <w:tcPr>
            <w:tcW w:w="1052" w:type="pct"/>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rsidR="002B6E57" w:rsidRPr="002B6E57" w:rsidRDefault="002B6E57" w:rsidP="002B6E57">
            <w:pPr>
              <w:spacing w:after="0" w:line="240" w:lineRule="auto"/>
              <w:jc w:val="center"/>
              <w:rPr>
                <w:rFonts w:ascii="Times New Roman" w:eastAsia="Times New Roman" w:hAnsi="Times New Roman" w:cs="Times New Roman"/>
                <w:b/>
                <w:color w:val="000000"/>
                <w:sz w:val="20"/>
                <w:szCs w:val="20"/>
              </w:rPr>
            </w:pPr>
            <w:r w:rsidRPr="002B6E57">
              <w:rPr>
                <w:rFonts w:ascii="Times New Roman" w:eastAsia="Times New Roman" w:hAnsi="Times New Roman" w:cs="Times New Roman"/>
                <w:b/>
                <w:color w:val="000000"/>
                <w:sz w:val="20"/>
                <w:szCs w:val="20"/>
              </w:rPr>
              <w:t>Origens dos dados</w:t>
            </w:r>
          </w:p>
        </w:tc>
        <w:tc>
          <w:tcPr>
            <w:tcW w:w="787" w:type="pct"/>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rsidR="002B6E57" w:rsidRPr="002B6E57" w:rsidRDefault="002B6E57" w:rsidP="002B6E57">
            <w:pPr>
              <w:spacing w:after="0" w:line="240" w:lineRule="auto"/>
              <w:jc w:val="center"/>
              <w:rPr>
                <w:rFonts w:ascii="Times New Roman" w:eastAsia="Times New Roman" w:hAnsi="Times New Roman" w:cs="Times New Roman"/>
                <w:b/>
                <w:color w:val="000000"/>
                <w:sz w:val="20"/>
                <w:szCs w:val="20"/>
              </w:rPr>
            </w:pPr>
            <w:r w:rsidRPr="002B6E57">
              <w:rPr>
                <w:rFonts w:ascii="Times New Roman" w:eastAsia="Times New Roman" w:hAnsi="Times New Roman" w:cs="Times New Roman"/>
                <w:b/>
                <w:color w:val="000000"/>
                <w:sz w:val="20"/>
                <w:szCs w:val="20"/>
              </w:rPr>
              <w:t>2008</w:t>
            </w:r>
          </w:p>
        </w:tc>
        <w:tc>
          <w:tcPr>
            <w:tcW w:w="787" w:type="pct"/>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rsidR="002B6E57" w:rsidRPr="002B6E57" w:rsidRDefault="002B6E57" w:rsidP="002B6E57">
            <w:pPr>
              <w:spacing w:after="0" w:line="240" w:lineRule="auto"/>
              <w:jc w:val="center"/>
              <w:rPr>
                <w:rFonts w:ascii="Times New Roman" w:eastAsia="Times New Roman" w:hAnsi="Times New Roman" w:cs="Times New Roman"/>
                <w:b/>
                <w:color w:val="000000"/>
                <w:sz w:val="20"/>
                <w:szCs w:val="20"/>
              </w:rPr>
            </w:pPr>
            <w:r w:rsidRPr="002B6E57">
              <w:rPr>
                <w:rFonts w:ascii="Times New Roman" w:eastAsia="Times New Roman" w:hAnsi="Times New Roman" w:cs="Times New Roman"/>
                <w:b/>
                <w:color w:val="000000"/>
                <w:sz w:val="20"/>
                <w:szCs w:val="20"/>
              </w:rPr>
              <w:t>2009</w:t>
            </w:r>
          </w:p>
        </w:tc>
        <w:tc>
          <w:tcPr>
            <w:tcW w:w="787" w:type="pct"/>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rsidR="002B6E57" w:rsidRPr="002B6E57" w:rsidRDefault="002B6E57" w:rsidP="002B6E57">
            <w:pPr>
              <w:spacing w:after="0" w:line="240" w:lineRule="auto"/>
              <w:jc w:val="center"/>
              <w:rPr>
                <w:rFonts w:ascii="Times New Roman" w:eastAsia="Times New Roman" w:hAnsi="Times New Roman" w:cs="Times New Roman"/>
                <w:b/>
                <w:color w:val="000000"/>
                <w:sz w:val="20"/>
                <w:szCs w:val="20"/>
              </w:rPr>
            </w:pPr>
            <w:r w:rsidRPr="002B6E57">
              <w:rPr>
                <w:rFonts w:ascii="Times New Roman" w:eastAsia="Times New Roman" w:hAnsi="Times New Roman" w:cs="Times New Roman"/>
                <w:b/>
                <w:color w:val="000000"/>
                <w:sz w:val="20"/>
                <w:szCs w:val="20"/>
              </w:rPr>
              <w:t>2010</w:t>
            </w:r>
          </w:p>
        </w:tc>
        <w:tc>
          <w:tcPr>
            <w:tcW w:w="788" w:type="pct"/>
            <w:tcBorders>
              <w:top w:val="single" w:sz="4" w:space="0" w:color="auto"/>
              <w:left w:val="single" w:sz="4" w:space="0" w:color="auto"/>
              <w:bottom w:val="single" w:sz="4" w:space="0" w:color="auto"/>
              <w:right w:val="nil"/>
            </w:tcBorders>
            <w:shd w:val="clear" w:color="auto" w:fill="D9D9D9" w:themeFill="background1" w:themeFillShade="D9"/>
            <w:noWrap/>
            <w:vAlign w:val="bottom"/>
            <w:hideMark/>
          </w:tcPr>
          <w:p w:rsidR="002B6E57" w:rsidRPr="002B6E57" w:rsidRDefault="002B6E57" w:rsidP="002B6E57">
            <w:pPr>
              <w:spacing w:after="0" w:line="240" w:lineRule="auto"/>
              <w:jc w:val="center"/>
              <w:rPr>
                <w:rFonts w:ascii="Times New Roman" w:eastAsia="Times New Roman" w:hAnsi="Times New Roman" w:cs="Times New Roman"/>
                <w:b/>
                <w:color w:val="000000"/>
                <w:sz w:val="20"/>
                <w:szCs w:val="20"/>
              </w:rPr>
            </w:pPr>
            <w:r w:rsidRPr="002B6E57">
              <w:rPr>
                <w:rFonts w:ascii="Times New Roman" w:eastAsia="Times New Roman" w:hAnsi="Times New Roman" w:cs="Times New Roman"/>
                <w:b/>
                <w:color w:val="000000"/>
                <w:sz w:val="20"/>
                <w:szCs w:val="20"/>
              </w:rPr>
              <w:t>2011</w:t>
            </w:r>
          </w:p>
        </w:tc>
      </w:tr>
      <w:tr w:rsidR="000802FF" w:rsidRPr="00475DA5" w:rsidTr="000802FF">
        <w:trPr>
          <w:trHeight w:val="46"/>
        </w:trPr>
        <w:tc>
          <w:tcPr>
            <w:tcW w:w="799" w:type="pct"/>
            <w:vMerge w:val="restart"/>
            <w:tcBorders>
              <w:top w:val="single" w:sz="4" w:space="0" w:color="auto"/>
              <w:left w:val="nil"/>
              <w:right w:val="single" w:sz="4" w:space="0" w:color="auto"/>
            </w:tcBorders>
            <w:shd w:val="clear" w:color="auto" w:fill="auto"/>
            <w:vAlign w:val="center"/>
            <w:hideMark/>
          </w:tcPr>
          <w:p w:rsidR="000802FF" w:rsidRPr="00475DA5" w:rsidRDefault="000802FF" w:rsidP="000802FF">
            <w:pPr>
              <w:spacing w:after="0" w:line="240" w:lineRule="auto"/>
              <w:rPr>
                <w:rFonts w:ascii="Times New Roman" w:eastAsia="Times New Roman" w:hAnsi="Times New Roman" w:cs="Times New Roman"/>
                <w:color w:val="000000"/>
                <w:sz w:val="20"/>
                <w:szCs w:val="20"/>
              </w:rPr>
            </w:pPr>
            <w:r w:rsidRPr="00475DA5">
              <w:rPr>
                <w:rFonts w:ascii="Times New Roman" w:eastAsia="Times New Roman" w:hAnsi="Times New Roman" w:cs="Times New Roman"/>
                <w:color w:val="000000"/>
                <w:sz w:val="20"/>
                <w:szCs w:val="20"/>
              </w:rPr>
              <w:t>REC</w:t>
            </w:r>
          </w:p>
        </w:tc>
        <w:tc>
          <w:tcPr>
            <w:tcW w:w="1052" w:type="pct"/>
            <w:tcBorders>
              <w:top w:val="single" w:sz="4" w:space="0" w:color="auto"/>
              <w:left w:val="single" w:sz="4" w:space="0" w:color="auto"/>
              <w:right w:val="single" w:sz="4" w:space="0" w:color="auto"/>
            </w:tcBorders>
            <w:shd w:val="clear" w:color="auto" w:fill="auto"/>
            <w:noWrap/>
            <w:vAlign w:val="bottom"/>
            <w:hideMark/>
          </w:tcPr>
          <w:p w:rsidR="000802FF" w:rsidRPr="00475DA5" w:rsidRDefault="000802FF" w:rsidP="002B6E57">
            <w:pPr>
              <w:spacing w:after="0" w:line="240" w:lineRule="auto"/>
              <w:rPr>
                <w:rFonts w:ascii="Times New Roman" w:eastAsia="Times New Roman" w:hAnsi="Times New Roman" w:cs="Times New Roman"/>
                <w:color w:val="000000"/>
                <w:sz w:val="20"/>
                <w:szCs w:val="20"/>
              </w:rPr>
            </w:pPr>
            <w:r w:rsidRPr="00475DA5">
              <w:rPr>
                <w:rFonts w:ascii="Times New Roman" w:eastAsia="Times New Roman" w:hAnsi="Times New Roman" w:cs="Times New Roman"/>
                <w:color w:val="000000"/>
                <w:sz w:val="20"/>
                <w:szCs w:val="20"/>
              </w:rPr>
              <w:t>TCE/SC</w:t>
            </w:r>
          </w:p>
        </w:tc>
        <w:tc>
          <w:tcPr>
            <w:tcW w:w="787" w:type="pct"/>
            <w:tcBorders>
              <w:top w:val="single" w:sz="4" w:space="0" w:color="auto"/>
              <w:left w:val="single" w:sz="4" w:space="0" w:color="auto"/>
              <w:right w:val="single" w:sz="4" w:space="0" w:color="auto"/>
            </w:tcBorders>
            <w:shd w:val="clear" w:color="auto" w:fill="auto"/>
            <w:noWrap/>
            <w:vAlign w:val="bottom"/>
            <w:hideMark/>
          </w:tcPr>
          <w:p w:rsidR="000802FF" w:rsidRPr="00475DA5" w:rsidRDefault="000802FF" w:rsidP="000802FF">
            <w:pPr>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456.377.707,13</w:t>
            </w:r>
          </w:p>
        </w:tc>
        <w:tc>
          <w:tcPr>
            <w:tcW w:w="787" w:type="pct"/>
            <w:tcBorders>
              <w:top w:val="single" w:sz="4" w:space="0" w:color="auto"/>
              <w:left w:val="single" w:sz="4" w:space="0" w:color="auto"/>
              <w:right w:val="single" w:sz="4" w:space="0" w:color="auto"/>
            </w:tcBorders>
            <w:shd w:val="clear" w:color="auto" w:fill="auto"/>
            <w:noWrap/>
            <w:vAlign w:val="bottom"/>
            <w:hideMark/>
          </w:tcPr>
          <w:p w:rsidR="000802FF" w:rsidRPr="00475DA5" w:rsidRDefault="000802FF" w:rsidP="000802FF">
            <w:pPr>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500.499.461,13</w:t>
            </w:r>
          </w:p>
        </w:tc>
        <w:tc>
          <w:tcPr>
            <w:tcW w:w="787" w:type="pct"/>
            <w:tcBorders>
              <w:top w:val="single" w:sz="4" w:space="0" w:color="auto"/>
              <w:left w:val="single" w:sz="4" w:space="0" w:color="auto"/>
              <w:right w:val="single" w:sz="4" w:space="0" w:color="auto"/>
            </w:tcBorders>
            <w:shd w:val="clear" w:color="auto" w:fill="auto"/>
            <w:noWrap/>
            <w:vAlign w:val="bottom"/>
            <w:hideMark/>
          </w:tcPr>
          <w:p w:rsidR="000802FF" w:rsidRPr="00475DA5" w:rsidRDefault="000802FF" w:rsidP="000802FF">
            <w:pPr>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578.528.538,93</w:t>
            </w:r>
          </w:p>
        </w:tc>
        <w:tc>
          <w:tcPr>
            <w:tcW w:w="788" w:type="pct"/>
            <w:tcBorders>
              <w:top w:val="single" w:sz="4" w:space="0" w:color="auto"/>
              <w:left w:val="single" w:sz="4" w:space="0" w:color="auto"/>
              <w:right w:val="nil"/>
            </w:tcBorders>
            <w:shd w:val="clear" w:color="auto" w:fill="auto"/>
            <w:noWrap/>
            <w:vAlign w:val="bottom"/>
            <w:hideMark/>
          </w:tcPr>
          <w:p w:rsidR="000802FF" w:rsidRPr="00475DA5" w:rsidRDefault="000802FF" w:rsidP="000802FF">
            <w:pPr>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514.156.266,87</w:t>
            </w:r>
          </w:p>
        </w:tc>
      </w:tr>
      <w:tr w:rsidR="000802FF" w:rsidRPr="00475DA5" w:rsidTr="000802FF">
        <w:trPr>
          <w:trHeight w:val="46"/>
        </w:trPr>
        <w:tc>
          <w:tcPr>
            <w:tcW w:w="799" w:type="pct"/>
            <w:vMerge/>
            <w:tcBorders>
              <w:left w:val="nil"/>
              <w:bottom w:val="single" w:sz="4" w:space="0" w:color="auto"/>
              <w:right w:val="single" w:sz="4" w:space="0" w:color="auto"/>
            </w:tcBorders>
            <w:shd w:val="clear" w:color="auto" w:fill="auto"/>
            <w:vAlign w:val="bottom"/>
            <w:hideMark/>
          </w:tcPr>
          <w:p w:rsidR="000802FF" w:rsidRPr="00475DA5" w:rsidRDefault="000802FF" w:rsidP="002B6E57">
            <w:pPr>
              <w:spacing w:after="0" w:line="240" w:lineRule="auto"/>
              <w:rPr>
                <w:rFonts w:ascii="Times New Roman" w:eastAsia="Times New Roman" w:hAnsi="Times New Roman" w:cs="Times New Roman"/>
                <w:color w:val="000000"/>
                <w:sz w:val="20"/>
                <w:szCs w:val="20"/>
              </w:rPr>
            </w:pPr>
          </w:p>
        </w:tc>
        <w:tc>
          <w:tcPr>
            <w:tcW w:w="1052" w:type="pct"/>
            <w:tcBorders>
              <w:left w:val="single" w:sz="4" w:space="0" w:color="auto"/>
              <w:bottom w:val="single" w:sz="4" w:space="0" w:color="auto"/>
              <w:right w:val="single" w:sz="4" w:space="0" w:color="auto"/>
            </w:tcBorders>
            <w:shd w:val="clear" w:color="auto" w:fill="auto"/>
            <w:noWrap/>
            <w:vAlign w:val="bottom"/>
            <w:hideMark/>
          </w:tcPr>
          <w:p w:rsidR="000802FF" w:rsidRPr="00475DA5" w:rsidRDefault="000802FF" w:rsidP="002B6E57">
            <w:pPr>
              <w:spacing w:after="0" w:line="240" w:lineRule="auto"/>
              <w:rPr>
                <w:rFonts w:ascii="Times New Roman" w:eastAsia="Times New Roman" w:hAnsi="Times New Roman" w:cs="Times New Roman"/>
                <w:color w:val="000000"/>
                <w:sz w:val="20"/>
                <w:szCs w:val="20"/>
              </w:rPr>
            </w:pPr>
            <w:r w:rsidRPr="00475DA5">
              <w:rPr>
                <w:rFonts w:ascii="Times New Roman" w:eastAsia="Times New Roman" w:hAnsi="Times New Roman" w:cs="Times New Roman"/>
                <w:color w:val="000000"/>
                <w:sz w:val="20"/>
                <w:szCs w:val="20"/>
              </w:rPr>
              <w:t>PMF</w:t>
            </w:r>
          </w:p>
        </w:tc>
        <w:tc>
          <w:tcPr>
            <w:tcW w:w="787" w:type="pct"/>
            <w:tcBorders>
              <w:left w:val="single" w:sz="4" w:space="0" w:color="auto"/>
              <w:bottom w:val="single" w:sz="4" w:space="0" w:color="auto"/>
              <w:right w:val="single" w:sz="4" w:space="0" w:color="auto"/>
            </w:tcBorders>
            <w:shd w:val="clear" w:color="auto" w:fill="auto"/>
            <w:noWrap/>
            <w:vAlign w:val="bottom"/>
            <w:hideMark/>
          </w:tcPr>
          <w:p w:rsidR="000802FF" w:rsidRPr="00475DA5" w:rsidRDefault="000802FF" w:rsidP="000802FF">
            <w:pPr>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456.381.403,58</w:t>
            </w:r>
          </w:p>
        </w:tc>
        <w:tc>
          <w:tcPr>
            <w:tcW w:w="787" w:type="pct"/>
            <w:tcBorders>
              <w:left w:val="single" w:sz="4" w:space="0" w:color="auto"/>
              <w:bottom w:val="single" w:sz="4" w:space="0" w:color="auto"/>
              <w:right w:val="single" w:sz="4" w:space="0" w:color="auto"/>
            </w:tcBorders>
            <w:shd w:val="clear" w:color="auto" w:fill="auto"/>
            <w:noWrap/>
            <w:vAlign w:val="bottom"/>
            <w:hideMark/>
          </w:tcPr>
          <w:p w:rsidR="000802FF" w:rsidRPr="00475DA5" w:rsidRDefault="000802FF" w:rsidP="000802FF">
            <w:pPr>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504.313.005,14</w:t>
            </w:r>
          </w:p>
        </w:tc>
        <w:tc>
          <w:tcPr>
            <w:tcW w:w="787" w:type="pct"/>
            <w:tcBorders>
              <w:left w:val="single" w:sz="4" w:space="0" w:color="auto"/>
              <w:bottom w:val="single" w:sz="4" w:space="0" w:color="auto"/>
              <w:right w:val="single" w:sz="4" w:space="0" w:color="auto"/>
            </w:tcBorders>
            <w:shd w:val="clear" w:color="auto" w:fill="auto"/>
            <w:noWrap/>
            <w:vAlign w:val="bottom"/>
            <w:hideMark/>
          </w:tcPr>
          <w:p w:rsidR="000802FF" w:rsidRPr="00475DA5" w:rsidRDefault="000802FF" w:rsidP="000802FF">
            <w:pPr>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578.528.538,96</w:t>
            </w:r>
          </w:p>
        </w:tc>
        <w:tc>
          <w:tcPr>
            <w:tcW w:w="788" w:type="pct"/>
            <w:tcBorders>
              <w:left w:val="single" w:sz="4" w:space="0" w:color="auto"/>
              <w:bottom w:val="single" w:sz="4" w:space="0" w:color="auto"/>
              <w:right w:val="nil"/>
            </w:tcBorders>
            <w:shd w:val="clear" w:color="auto" w:fill="auto"/>
            <w:noWrap/>
            <w:vAlign w:val="bottom"/>
            <w:hideMark/>
          </w:tcPr>
          <w:p w:rsidR="000802FF" w:rsidRPr="00475DA5" w:rsidRDefault="000802FF" w:rsidP="000802FF">
            <w:pPr>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629.939.781,38</w:t>
            </w:r>
          </w:p>
        </w:tc>
      </w:tr>
      <w:tr w:rsidR="000802FF" w:rsidRPr="00475DA5" w:rsidTr="000802FF">
        <w:trPr>
          <w:trHeight w:val="46"/>
        </w:trPr>
        <w:tc>
          <w:tcPr>
            <w:tcW w:w="799" w:type="pct"/>
            <w:vMerge w:val="restart"/>
            <w:tcBorders>
              <w:top w:val="single" w:sz="4" w:space="0" w:color="auto"/>
              <w:left w:val="nil"/>
              <w:right w:val="single" w:sz="4" w:space="0" w:color="auto"/>
            </w:tcBorders>
            <w:shd w:val="clear" w:color="auto" w:fill="auto"/>
            <w:vAlign w:val="center"/>
            <w:hideMark/>
          </w:tcPr>
          <w:p w:rsidR="000802FF" w:rsidRPr="00475DA5" w:rsidRDefault="000802FF" w:rsidP="000802FF">
            <w:pPr>
              <w:spacing w:after="0" w:line="240" w:lineRule="auto"/>
              <w:rPr>
                <w:rFonts w:ascii="Times New Roman" w:eastAsia="Times New Roman" w:hAnsi="Times New Roman" w:cs="Times New Roman"/>
                <w:color w:val="000000"/>
                <w:sz w:val="20"/>
                <w:szCs w:val="20"/>
              </w:rPr>
            </w:pPr>
            <w:r w:rsidRPr="00475DA5">
              <w:rPr>
                <w:rFonts w:ascii="Times New Roman" w:eastAsia="Times New Roman" w:hAnsi="Times New Roman" w:cs="Times New Roman"/>
                <w:color w:val="000000"/>
                <w:sz w:val="20"/>
                <w:szCs w:val="20"/>
              </w:rPr>
              <w:t>DEC</w:t>
            </w:r>
          </w:p>
        </w:tc>
        <w:tc>
          <w:tcPr>
            <w:tcW w:w="1052" w:type="pct"/>
            <w:tcBorders>
              <w:top w:val="single" w:sz="4" w:space="0" w:color="auto"/>
              <w:left w:val="single" w:sz="4" w:space="0" w:color="auto"/>
              <w:right w:val="single" w:sz="4" w:space="0" w:color="auto"/>
            </w:tcBorders>
            <w:shd w:val="clear" w:color="auto" w:fill="auto"/>
            <w:noWrap/>
            <w:vAlign w:val="bottom"/>
            <w:hideMark/>
          </w:tcPr>
          <w:p w:rsidR="000802FF" w:rsidRPr="00475DA5" w:rsidRDefault="000802FF" w:rsidP="002B6E57">
            <w:pPr>
              <w:spacing w:after="0" w:line="240" w:lineRule="auto"/>
              <w:rPr>
                <w:rFonts w:ascii="Times New Roman" w:eastAsia="Times New Roman" w:hAnsi="Times New Roman" w:cs="Times New Roman"/>
                <w:color w:val="000000"/>
                <w:sz w:val="20"/>
                <w:szCs w:val="20"/>
              </w:rPr>
            </w:pPr>
            <w:r w:rsidRPr="00475DA5">
              <w:rPr>
                <w:rFonts w:ascii="Times New Roman" w:eastAsia="Times New Roman" w:hAnsi="Times New Roman" w:cs="Times New Roman"/>
                <w:color w:val="000000"/>
                <w:sz w:val="20"/>
                <w:szCs w:val="20"/>
              </w:rPr>
              <w:t>TCE/SC</w:t>
            </w:r>
          </w:p>
        </w:tc>
        <w:tc>
          <w:tcPr>
            <w:tcW w:w="787" w:type="pct"/>
            <w:tcBorders>
              <w:top w:val="single" w:sz="4" w:space="0" w:color="auto"/>
              <w:left w:val="single" w:sz="4" w:space="0" w:color="auto"/>
              <w:right w:val="single" w:sz="4" w:space="0" w:color="auto"/>
            </w:tcBorders>
            <w:shd w:val="clear" w:color="auto" w:fill="auto"/>
            <w:noWrap/>
            <w:vAlign w:val="bottom"/>
            <w:hideMark/>
          </w:tcPr>
          <w:p w:rsidR="000802FF" w:rsidRPr="00475DA5" w:rsidRDefault="000802FF" w:rsidP="000802FF">
            <w:pPr>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84.034.755,12</w:t>
            </w:r>
          </w:p>
        </w:tc>
        <w:tc>
          <w:tcPr>
            <w:tcW w:w="787" w:type="pct"/>
            <w:tcBorders>
              <w:top w:val="single" w:sz="4" w:space="0" w:color="auto"/>
              <w:left w:val="single" w:sz="4" w:space="0" w:color="auto"/>
              <w:right w:val="single" w:sz="4" w:space="0" w:color="auto"/>
            </w:tcBorders>
            <w:shd w:val="clear" w:color="auto" w:fill="auto"/>
            <w:noWrap/>
            <w:vAlign w:val="bottom"/>
            <w:hideMark/>
          </w:tcPr>
          <w:p w:rsidR="000802FF" w:rsidRPr="00475DA5" w:rsidRDefault="000802FF" w:rsidP="000802FF">
            <w:pPr>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101.954.374,35</w:t>
            </w:r>
          </w:p>
        </w:tc>
        <w:tc>
          <w:tcPr>
            <w:tcW w:w="787" w:type="pct"/>
            <w:tcBorders>
              <w:top w:val="single" w:sz="4" w:space="0" w:color="auto"/>
              <w:left w:val="single" w:sz="4" w:space="0" w:color="auto"/>
              <w:right w:val="single" w:sz="4" w:space="0" w:color="auto"/>
            </w:tcBorders>
            <w:shd w:val="clear" w:color="auto" w:fill="auto"/>
            <w:noWrap/>
            <w:vAlign w:val="bottom"/>
            <w:hideMark/>
          </w:tcPr>
          <w:p w:rsidR="000802FF" w:rsidRPr="00475DA5" w:rsidRDefault="000802FF" w:rsidP="000802FF">
            <w:pPr>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114.572.238,21</w:t>
            </w:r>
          </w:p>
        </w:tc>
        <w:tc>
          <w:tcPr>
            <w:tcW w:w="788" w:type="pct"/>
            <w:tcBorders>
              <w:top w:val="single" w:sz="4" w:space="0" w:color="auto"/>
              <w:left w:val="single" w:sz="4" w:space="0" w:color="auto"/>
              <w:right w:val="nil"/>
            </w:tcBorders>
            <w:shd w:val="clear" w:color="auto" w:fill="auto"/>
            <w:noWrap/>
            <w:vAlign w:val="bottom"/>
            <w:hideMark/>
          </w:tcPr>
          <w:p w:rsidR="000802FF" w:rsidRPr="00475DA5" w:rsidRDefault="000802FF" w:rsidP="000802FF">
            <w:pPr>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129.233.590,34</w:t>
            </w:r>
          </w:p>
        </w:tc>
      </w:tr>
      <w:tr w:rsidR="000802FF" w:rsidRPr="00475DA5" w:rsidTr="000802FF">
        <w:trPr>
          <w:trHeight w:val="46"/>
        </w:trPr>
        <w:tc>
          <w:tcPr>
            <w:tcW w:w="799" w:type="pct"/>
            <w:vMerge/>
            <w:tcBorders>
              <w:left w:val="nil"/>
              <w:bottom w:val="single" w:sz="4" w:space="0" w:color="auto"/>
              <w:right w:val="single" w:sz="4" w:space="0" w:color="auto"/>
            </w:tcBorders>
            <w:shd w:val="clear" w:color="auto" w:fill="auto"/>
            <w:vAlign w:val="bottom"/>
            <w:hideMark/>
          </w:tcPr>
          <w:p w:rsidR="000802FF" w:rsidRPr="00475DA5" w:rsidRDefault="000802FF" w:rsidP="002B6E57">
            <w:pPr>
              <w:spacing w:after="0" w:line="240" w:lineRule="auto"/>
              <w:rPr>
                <w:rFonts w:ascii="Times New Roman" w:eastAsia="Times New Roman" w:hAnsi="Times New Roman" w:cs="Times New Roman"/>
                <w:color w:val="000000"/>
                <w:sz w:val="20"/>
                <w:szCs w:val="20"/>
              </w:rPr>
            </w:pPr>
          </w:p>
        </w:tc>
        <w:tc>
          <w:tcPr>
            <w:tcW w:w="1052" w:type="pct"/>
            <w:tcBorders>
              <w:left w:val="single" w:sz="4" w:space="0" w:color="auto"/>
              <w:bottom w:val="single" w:sz="4" w:space="0" w:color="auto"/>
              <w:right w:val="single" w:sz="4" w:space="0" w:color="auto"/>
            </w:tcBorders>
            <w:shd w:val="clear" w:color="auto" w:fill="auto"/>
            <w:noWrap/>
            <w:vAlign w:val="bottom"/>
            <w:hideMark/>
          </w:tcPr>
          <w:p w:rsidR="000802FF" w:rsidRPr="00475DA5" w:rsidRDefault="000802FF" w:rsidP="002B6E57">
            <w:pPr>
              <w:spacing w:after="0" w:line="240" w:lineRule="auto"/>
              <w:rPr>
                <w:rFonts w:ascii="Times New Roman" w:eastAsia="Times New Roman" w:hAnsi="Times New Roman" w:cs="Times New Roman"/>
                <w:color w:val="000000"/>
                <w:sz w:val="20"/>
                <w:szCs w:val="20"/>
              </w:rPr>
            </w:pPr>
            <w:r w:rsidRPr="00475DA5">
              <w:rPr>
                <w:rFonts w:ascii="Times New Roman" w:eastAsia="Times New Roman" w:hAnsi="Times New Roman" w:cs="Times New Roman"/>
                <w:color w:val="000000"/>
                <w:sz w:val="20"/>
                <w:szCs w:val="20"/>
              </w:rPr>
              <w:t>PMF</w:t>
            </w:r>
          </w:p>
        </w:tc>
        <w:tc>
          <w:tcPr>
            <w:tcW w:w="787" w:type="pct"/>
            <w:tcBorders>
              <w:left w:val="single" w:sz="4" w:space="0" w:color="auto"/>
              <w:bottom w:val="single" w:sz="4" w:space="0" w:color="auto"/>
              <w:right w:val="single" w:sz="4" w:space="0" w:color="auto"/>
            </w:tcBorders>
            <w:shd w:val="clear" w:color="auto" w:fill="auto"/>
            <w:noWrap/>
            <w:vAlign w:val="bottom"/>
            <w:hideMark/>
          </w:tcPr>
          <w:p w:rsidR="000802FF" w:rsidRPr="00475DA5" w:rsidRDefault="000802FF" w:rsidP="000802FF">
            <w:pPr>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118.328.127,00</w:t>
            </w:r>
          </w:p>
        </w:tc>
        <w:tc>
          <w:tcPr>
            <w:tcW w:w="787" w:type="pct"/>
            <w:tcBorders>
              <w:left w:val="single" w:sz="4" w:space="0" w:color="auto"/>
              <w:bottom w:val="single" w:sz="4" w:space="0" w:color="auto"/>
              <w:right w:val="single" w:sz="4" w:space="0" w:color="auto"/>
            </w:tcBorders>
            <w:shd w:val="clear" w:color="auto" w:fill="auto"/>
            <w:noWrap/>
            <w:vAlign w:val="bottom"/>
            <w:hideMark/>
          </w:tcPr>
          <w:p w:rsidR="000802FF" w:rsidRPr="00475DA5" w:rsidRDefault="000802FF" w:rsidP="000802FF">
            <w:pPr>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103.334.305,60</w:t>
            </w:r>
          </w:p>
        </w:tc>
        <w:tc>
          <w:tcPr>
            <w:tcW w:w="787" w:type="pct"/>
            <w:tcBorders>
              <w:left w:val="single" w:sz="4" w:space="0" w:color="auto"/>
              <w:bottom w:val="single" w:sz="4" w:space="0" w:color="auto"/>
              <w:right w:val="single" w:sz="4" w:space="0" w:color="auto"/>
            </w:tcBorders>
            <w:shd w:val="clear" w:color="auto" w:fill="auto"/>
            <w:noWrap/>
            <w:vAlign w:val="bottom"/>
            <w:hideMark/>
          </w:tcPr>
          <w:p w:rsidR="000802FF" w:rsidRPr="00475DA5" w:rsidRDefault="000802FF" w:rsidP="000802FF">
            <w:pPr>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176.787.186,20</w:t>
            </w:r>
          </w:p>
        </w:tc>
        <w:tc>
          <w:tcPr>
            <w:tcW w:w="788" w:type="pct"/>
            <w:tcBorders>
              <w:left w:val="single" w:sz="4" w:space="0" w:color="auto"/>
              <w:bottom w:val="single" w:sz="4" w:space="0" w:color="auto"/>
              <w:right w:val="nil"/>
            </w:tcBorders>
            <w:shd w:val="clear" w:color="auto" w:fill="auto"/>
            <w:noWrap/>
            <w:vAlign w:val="bottom"/>
            <w:hideMark/>
          </w:tcPr>
          <w:p w:rsidR="000802FF" w:rsidRPr="00475DA5" w:rsidRDefault="000802FF" w:rsidP="000802FF">
            <w:pPr>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130.530.375,50</w:t>
            </w:r>
          </w:p>
        </w:tc>
      </w:tr>
      <w:tr w:rsidR="000802FF" w:rsidRPr="00475DA5" w:rsidTr="000802FF">
        <w:trPr>
          <w:trHeight w:val="46"/>
        </w:trPr>
        <w:tc>
          <w:tcPr>
            <w:tcW w:w="799" w:type="pct"/>
            <w:vMerge w:val="restart"/>
            <w:tcBorders>
              <w:top w:val="single" w:sz="4" w:space="0" w:color="auto"/>
              <w:left w:val="nil"/>
              <w:right w:val="single" w:sz="4" w:space="0" w:color="auto"/>
            </w:tcBorders>
            <w:shd w:val="clear" w:color="auto" w:fill="auto"/>
            <w:vAlign w:val="center"/>
            <w:hideMark/>
          </w:tcPr>
          <w:p w:rsidR="000802FF" w:rsidRPr="00475DA5" w:rsidRDefault="000802FF" w:rsidP="000802FF">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de Aplicação em ASPS</w:t>
            </w:r>
          </w:p>
        </w:tc>
        <w:tc>
          <w:tcPr>
            <w:tcW w:w="1052" w:type="pct"/>
            <w:tcBorders>
              <w:top w:val="single" w:sz="4" w:space="0" w:color="auto"/>
              <w:left w:val="single" w:sz="4" w:space="0" w:color="auto"/>
              <w:right w:val="single" w:sz="4" w:space="0" w:color="auto"/>
            </w:tcBorders>
            <w:shd w:val="clear" w:color="auto" w:fill="auto"/>
            <w:noWrap/>
            <w:vAlign w:val="bottom"/>
            <w:hideMark/>
          </w:tcPr>
          <w:p w:rsidR="000802FF" w:rsidRPr="00475DA5" w:rsidRDefault="000802FF" w:rsidP="002B6E57">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TCE/SC</w:t>
            </w:r>
          </w:p>
        </w:tc>
        <w:tc>
          <w:tcPr>
            <w:tcW w:w="787" w:type="pct"/>
            <w:tcBorders>
              <w:top w:val="single" w:sz="4" w:space="0" w:color="auto"/>
              <w:left w:val="single" w:sz="4" w:space="0" w:color="auto"/>
              <w:right w:val="single" w:sz="4" w:space="0" w:color="auto"/>
            </w:tcBorders>
            <w:shd w:val="clear" w:color="auto" w:fill="auto"/>
            <w:noWrap/>
            <w:vAlign w:val="bottom"/>
            <w:hideMark/>
          </w:tcPr>
          <w:p w:rsidR="000802FF" w:rsidRPr="00475DA5" w:rsidRDefault="000802FF" w:rsidP="000802FF">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18,41%</w:t>
            </w:r>
          </w:p>
        </w:tc>
        <w:tc>
          <w:tcPr>
            <w:tcW w:w="787" w:type="pct"/>
            <w:tcBorders>
              <w:top w:val="single" w:sz="4" w:space="0" w:color="auto"/>
              <w:left w:val="single" w:sz="4" w:space="0" w:color="auto"/>
              <w:right w:val="single" w:sz="4" w:space="0" w:color="auto"/>
            </w:tcBorders>
            <w:shd w:val="clear" w:color="auto" w:fill="auto"/>
            <w:noWrap/>
            <w:vAlign w:val="bottom"/>
            <w:hideMark/>
          </w:tcPr>
          <w:p w:rsidR="000802FF" w:rsidRPr="00475DA5" w:rsidRDefault="000802FF" w:rsidP="000802FF">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20,37%</w:t>
            </w:r>
          </w:p>
        </w:tc>
        <w:tc>
          <w:tcPr>
            <w:tcW w:w="787" w:type="pct"/>
            <w:tcBorders>
              <w:top w:val="single" w:sz="4" w:space="0" w:color="auto"/>
              <w:left w:val="single" w:sz="4" w:space="0" w:color="auto"/>
              <w:right w:val="single" w:sz="4" w:space="0" w:color="auto"/>
            </w:tcBorders>
            <w:shd w:val="clear" w:color="auto" w:fill="auto"/>
            <w:noWrap/>
            <w:vAlign w:val="bottom"/>
            <w:hideMark/>
          </w:tcPr>
          <w:p w:rsidR="000802FF" w:rsidRDefault="000802FF" w:rsidP="000802FF">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19,80%</w:t>
            </w:r>
          </w:p>
        </w:tc>
        <w:tc>
          <w:tcPr>
            <w:tcW w:w="788" w:type="pct"/>
            <w:tcBorders>
              <w:top w:val="single" w:sz="4" w:space="0" w:color="auto"/>
              <w:left w:val="single" w:sz="4" w:space="0" w:color="auto"/>
              <w:right w:val="nil"/>
            </w:tcBorders>
            <w:shd w:val="clear" w:color="auto" w:fill="auto"/>
            <w:noWrap/>
            <w:vAlign w:val="bottom"/>
            <w:hideMark/>
          </w:tcPr>
          <w:p w:rsidR="000802FF" w:rsidRDefault="000802FF" w:rsidP="000802FF">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25,14%</w:t>
            </w:r>
          </w:p>
        </w:tc>
      </w:tr>
      <w:tr w:rsidR="000802FF" w:rsidRPr="00475DA5" w:rsidTr="000802FF">
        <w:trPr>
          <w:trHeight w:val="46"/>
        </w:trPr>
        <w:tc>
          <w:tcPr>
            <w:tcW w:w="799" w:type="pct"/>
            <w:vMerge/>
            <w:tcBorders>
              <w:left w:val="nil"/>
              <w:bottom w:val="single" w:sz="4" w:space="0" w:color="auto"/>
              <w:right w:val="single" w:sz="4" w:space="0" w:color="auto"/>
            </w:tcBorders>
            <w:shd w:val="clear" w:color="auto" w:fill="auto"/>
            <w:vAlign w:val="bottom"/>
            <w:hideMark/>
          </w:tcPr>
          <w:p w:rsidR="000802FF" w:rsidRPr="00475DA5" w:rsidRDefault="000802FF" w:rsidP="002B6E57">
            <w:pPr>
              <w:spacing w:after="0" w:line="240" w:lineRule="auto"/>
              <w:rPr>
                <w:rFonts w:ascii="Times New Roman" w:eastAsia="Times New Roman" w:hAnsi="Times New Roman" w:cs="Times New Roman"/>
                <w:color w:val="000000"/>
                <w:sz w:val="20"/>
                <w:szCs w:val="20"/>
              </w:rPr>
            </w:pPr>
          </w:p>
        </w:tc>
        <w:tc>
          <w:tcPr>
            <w:tcW w:w="1052" w:type="pct"/>
            <w:tcBorders>
              <w:left w:val="single" w:sz="4" w:space="0" w:color="auto"/>
              <w:bottom w:val="single" w:sz="4" w:space="0" w:color="auto"/>
              <w:right w:val="single" w:sz="4" w:space="0" w:color="auto"/>
            </w:tcBorders>
            <w:shd w:val="clear" w:color="auto" w:fill="auto"/>
            <w:noWrap/>
            <w:vAlign w:val="bottom"/>
            <w:hideMark/>
          </w:tcPr>
          <w:p w:rsidR="000802FF" w:rsidRPr="00475DA5" w:rsidRDefault="000802FF" w:rsidP="002B6E57">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PMF</w:t>
            </w:r>
          </w:p>
        </w:tc>
        <w:tc>
          <w:tcPr>
            <w:tcW w:w="787" w:type="pct"/>
            <w:tcBorders>
              <w:left w:val="single" w:sz="4" w:space="0" w:color="auto"/>
              <w:bottom w:val="single" w:sz="4" w:space="0" w:color="auto"/>
              <w:right w:val="single" w:sz="4" w:space="0" w:color="auto"/>
            </w:tcBorders>
            <w:shd w:val="clear" w:color="auto" w:fill="auto"/>
            <w:noWrap/>
            <w:vAlign w:val="bottom"/>
            <w:hideMark/>
          </w:tcPr>
          <w:p w:rsidR="000802FF" w:rsidRPr="00475DA5" w:rsidRDefault="000802FF" w:rsidP="000802FF">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25,91%</w:t>
            </w:r>
          </w:p>
        </w:tc>
        <w:tc>
          <w:tcPr>
            <w:tcW w:w="787" w:type="pct"/>
            <w:tcBorders>
              <w:left w:val="single" w:sz="4" w:space="0" w:color="auto"/>
              <w:bottom w:val="single" w:sz="4" w:space="0" w:color="auto"/>
              <w:right w:val="single" w:sz="4" w:space="0" w:color="auto"/>
            </w:tcBorders>
            <w:shd w:val="clear" w:color="auto" w:fill="auto"/>
            <w:noWrap/>
            <w:vAlign w:val="bottom"/>
            <w:hideMark/>
          </w:tcPr>
          <w:p w:rsidR="000802FF" w:rsidRPr="00475DA5" w:rsidRDefault="000802FF" w:rsidP="000802FF">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20,49%</w:t>
            </w:r>
          </w:p>
        </w:tc>
        <w:tc>
          <w:tcPr>
            <w:tcW w:w="787" w:type="pct"/>
            <w:tcBorders>
              <w:left w:val="single" w:sz="4" w:space="0" w:color="auto"/>
              <w:bottom w:val="single" w:sz="4" w:space="0" w:color="auto"/>
              <w:right w:val="single" w:sz="4" w:space="0" w:color="auto"/>
            </w:tcBorders>
            <w:shd w:val="clear" w:color="auto" w:fill="auto"/>
            <w:noWrap/>
            <w:vAlign w:val="bottom"/>
            <w:hideMark/>
          </w:tcPr>
          <w:p w:rsidR="000802FF" w:rsidRDefault="000802FF" w:rsidP="000802FF">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30,56%</w:t>
            </w:r>
          </w:p>
        </w:tc>
        <w:tc>
          <w:tcPr>
            <w:tcW w:w="788" w:type="pct"/>
            <w:tcBorders>
              <w:left w:val="single" w:sz="4" w:space="0" w:color="auto"/>
              <w:bottom w:val="single" w:sz="4" w:space="0" w:color="auto"/>
              <w:right w:val="nil"/>
            </w:tcBorders>
            <w:shd w:val="clear" w:color="auto" w:fill="auto"/>
            <w:noWrap/>
            <w:vAlign w:val="bottom"/>
            <w:hideMark/>
          </w:tcPr>
          <w:p w:rsidR="000802FF" w:rsidRDefault="000802FF" w:rsidP="000802FF">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20,72%</w:t>
            </w:r>
          </w:p>
        </w:tc>
      </w:tr>
      <w:tr w:rsidR="0078063D" w:rsidRPr="00475DA5" w:rsidTr="002B6E57">
        <w:trPr>
          <w:trHeight w:val="188"/>
        </w:trPr>
        <w:tc>
          <w:tcPr>
            <w:tcW w:w="799" w:type="pct"/>
            <w:tcBorders>
              <w:top w:val="single" w:sz="4" w:space="0" w:color="auto"/>
              <w:left w:val="nil"/>
              <w:bottom w:val="single" w:sz="4" w:space="0" w:color="auto"/>
              <w:right w:val="single" w:sz="4" w:space="0" w:color="auto"/>
            </w:tcBorders>
            <w:shd w:val="clear" w:color="auto" w:fill="D9D9D9" w:themeFill="background1" w:themeFillShade="D9"/>
            <w:vAlign w:val="center"/>
            <w:hideMark/>
          </w:tcPr>
          <w:p w:rsidR="0078063D" w:rsidRPr="00596292" w:rsidRDefault="0078063D" w:rsidP="0078063D">
            <w:pPr>
              <w:spacing w:after="0" w:line="240" w:lineRule="auto"/>
              <w:rPr>
                <w:rFonts w:ascii="Times New Roman" w:eastAsia="Times New Roman" w:hAnsi="Times New Roman" w:cs="Times New Roman"/>
                <w:b/>
                <w:color w:val="000000"/>
                <w:sz w:val="20"/>
                <w:szCs w:val="20"/>
              </w:rPr>
            </w:pPr>
            <w:r w:rsidRPr="00596292">
              <w:rPr>
                <w:rFonts w:ascii="Times New Roman" w:eastAsia="Times New Roman" w:hAnsi="Times New Roman" w:cs="Times New Roman"/>
                <w:b/>
                <w:color w:val="000000"/>
                <w:sz w:val="20"/>
                <w:szCs w:val="20"/>
              </w:rPr>
              <w:t>Variáveis</w:t>
            </w:r>
          </w:p>
        </w:tc>
        <w:tc>
          <w:tcPr>
            <w:tcW w:w="1052" w:type="pct"/>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rsidR="0078063D" w:rsidRPr="00596292" w:rsidRDefault="0078063D" w:rsidP="0078063D">
            <w:pPr>
              <w:spacing w:after="0" w:line="240" w:lineRule="auto"/>
              <w:rPr>
                <w:rFonts w:ascii="Times New Roman" w:eastAsia="Times New Roman" w:hAnsi="Times New Roman" w:cs="Times New Roman"/>
                <w:b/>
                <w:color w:val="000000"/>
                <w:sz w:val="20"/>
                <w:szCs w:val="20"/>
              </w:rPr>
            </w:pPr>
            <w:r w:rsidRPr="00596292">
              <w:rPr>
                <w:rFonts w:ascii="Times New Roman" w:eastAsia="Times New Roman" w:hAnsi="Times New Roman" w:cs="Times New Roman"/>
                <w:b/>
                <w:color w:val="000000"/>
                <w:sz w:val="20"/>
                <w:szCs w:val="20"/>
              </w:rPr>
              <w:t> Orige</w:t>
            </w:r>
            <w:r>
              <w:rPr>
                <w:rFonts w:ascii="Times New Roman" w:eastAsia="Times New Roman" w:hAnsi="Times New Roman" w:cs="Times New Roman"/>
                <w:b/>
                <w:color w:val="000000"/>
                <w:sz w:val="20"/>
                <w:szCs w:val="20"/>
              </w:rPr>
              <w:t>ns</w:t>
            </w:r>
            <w:r w:rsidRPr="00596292">
              <w:rPr>
                <w:rFonts w:ascii="Times New Roman" w:eastAsia="Times New Roman" w:hAnsi="Times New Roman" w:cs="Times New Roman"/>
                <w:b/>
                <w:color w:val="000000"/>
                <w:sz w:val="20"/>
                <w:szCs w:val="20"/>
              </w:rPr>
              <w:t xml:space="preserve"> dos dados</w:t>
            </w:r>
          </w:p>
        </w:tc>
        <w:tc>
          <w:tcPr>
            <w:tcW w:w="787" w:type="pct"/>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rsidR="0078063D" w:rsidRPr="00475DA5" w:rsidRDefault="0078063D" w:rsidP="0078063D">
            <w:pPr>
              <w:spacing w:after="0" w:line="240" w:lineRule="auto"/>
              <w:jc w:val="center"/>
              <w:rPr>
                <w:rFonts w:ascii="Times New Roman" w:eastAsia="Times New Roman" w:hAnsi="Times New Roman" w:cs="Times New Roman"/>
                <w:b/>
                <w:bCs/>
                <w:color w:val="000000"/>
                <w:sz w:val="20"/>
                <w:szCs w:val="20"/>
              </w:rPr>
            </w:pPr>
            <w:r w:rsidRPr="00475DA5">
              <w:rPr>
                <w:rFonts w:ascii="Times New Roman" w:eastAsia="Times New Roman" w:hAnsi="Times New Roman" w:cs="Times New Roman"/>
                <w:b/>
                <w:bCs/>
                <w:color w:val="000000"/>
                <w:sz w:val="20"/>
                <w:szCs w:val="20"/>
              </w:rPr>
              <w:t>2012</w:t>
            </w:r>
          </w:p>
        </w:tc>
        <w:tc>
          <w:tcPr>
            <w:tcW w:w="787" w:type="pct"/>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rsidR="0078063D" w:rsidRPr="00475DA5" w:rsidRDefault="0078063D" w:rsidP="0078063D">
            <w:pPr>
              <w:spacing w:after="0" w:line="240" w:lineRule="auto"/>
              <w:jc w:val="center"/>
              <w:rPr>
                <w:rFonts w:ascii="Times New Roman" w:eastAsia="Times New Roman" w:hAnsi="Times New Roman" w:cs="Times New Roman"/>
                <w:b/>
                <w:bCs/>
                <w:color w:val="000000"/>
                <w:sz w:val="20"/>
                <w:szCs w:val="20"/>
              </w:rPr>
            </w:pPr>
            <w:r w:rsidRPr="00475DA5">
              <w:rPr>
                <w:rFonts w:ascii="Times New Roman" w:eastAsia="Times New Roman" w:hAnsi="Times New Roman" w:cs="Times New Roman"/>
                <w:b/>
                <w:bCs/>
                <w:color w:val="000000"/>
                <w:sz w:val="20"/>
                <w:szCs w:val="20"/>
              </w:rPr>
              <w:t>2013</w:t>
            </w:r>
          </w:p>
        </w:tc>
        <w:tc>
          <w:tcPr>
            <w:tcW w:w="787" w:type="pct"/>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rsidR="0078063D" w:rsidRPr="00475DA5" w:rsidRDefault="0078063D" w:rsidP="0078063D">
            <w:pPr>
              <w:spacing w:after="0" w:line="240" w:lineRule="auto"/>
              <w:jc w:val="center"/>
              <w:rPr>
                <w:rFonts w:ascii="Times New Roman" w:eastAsia="Times New Roman" w:hAnsi="Times New Roman" w:cs="Times New Roman"/>
                <w:b/>
                <w:bCs/>
                <w:color w:val="000000"/>
                <w:sz w:val="20"/>
                <w:szCs w:val="20"/>
              </w:rPr>
            </w:pPr>
            <w:r w:rsidRPr="00475DA5">
              <w:rPr>
                <w:rFonts w:ascii="Times New Roman" w:eastAsia="Times New Roman" w:hAnsi="Times New Roman" w:cs="Times New Roman"/>
                <w:b/>
                <w:bCs/>
                <w:color w:val="000000"/>
                <w:sz w:val="20"/>
                <w:szCs w:val="20"/>
              </w:rPr>
              <w:t>2014</w:t>
            </w:r>
          </w:p>
        </w:tc>
        <w:tc>
          <w:tcPr>
            <w:tcW w:w="788" w:type="pct"/>
            <w:tcBorders>
              <w:top w:val="single" w:sz="4" w:space="0" w:color="auto"/>
              <w:left w:val="single" w:sz="4" w:space="0" w:color="auto"/>
              <w:bottom w:val="single" w:sz="4" w:space="0" w:color="auto"/>
              <w:right w:val="nil"/>
            </w:tcBorders>
            <w:shd w:val="clear" w:color="auto" w:fill="D9D9D9" w:themeFill="background1" w:themeFillShade="D9"/>
            <w:noWrap/>
            <w:vAlign w:val="bottom"/>
            <w:hideMark/>
          </w:tcPr>
          <w:p w:rsidR="0078063D" w:rsidRPr="00475DA5" w:rsidRDefault="0078063D" w:rsidP="0078063D">
            <w:pPr>
              <w:spacing w:after="0" w:line="240" w:lineRule="auto"/>
              <w:jc w:val="center"/>
              <w:rPr>
                <w:rFonts w:ascii="Times New Roman" w:eastAsia="Times New Roman" w:hAnsi="Times New Roman" w:cs="Times New Roman"/>
                <w:b/>
                <w:bCs/>
                <w:color w:val="000000"/>
                <w:sz w:val="20"/>
                <w:szCs w:val="20"/>
              </w:rPr>
            </w:pPr>
            <w:r w:rsidRPr="00475DA5">
              <w:rPr>
                <w:rFonts w:ascii="Times New Roman" w:eastAsia="Times New Roman" w:hAnsi="Times New Roman" w:cs="Times New Roman"/>
                <w:b/>
                <w:bCs/>
                <w:color w:val="000000"/>
                <w:sz w:val="20"/>
                <w:szCs w:val="20"/>
              </w:rPr>
              <w:t>2015</w:t>
            </w:r>
          </w:p>
        </w:tc>
      </w:tr>
      <w:tr w:rsidR="0078063D" w:rsidRPr="00475DA5" w:rsidTr="001A06C1">
        <w:trPr>
          <w:trHeight w:val="208"/>
        </w:trPr>
        <w:tc>
          <w:tcPr>
            <w:tcW w:w="799" w:type="pct"/>
            <w:vMerge w:val="restart"/>
            <w:tcBorders>
              <w:top w:val="single" w:sz="4" w:space="0" w:color="auto"/>
              <w:left w:val="nil"/>
              <w:bottom w:val="single" w:sz="8" w:space="0" w:color="000000"/>
              <w:right w:val="single" w:sz="4" w:space="0" w:color="auto"/>
            </w:tcBorders>
            <w:shd w:val="clear" w:color="auto" w:fill="auto"/>
            <w:vAlign w:val="center"/>
            <w:hideMark/>
          </w:tcPr>
          <w:p w:rsidR="0078063D" w:rsidRPr="00475DA5" w:rsidRDefault="0078063D" w:rsidP="0078063D">
            <w:pPr>
              <w:spacing w:after="0" w:line="240" w:lineRule="auto"/>
              <w:rPr>
                <w:rFonts w:ascii="Times New Roman" w:eastAsia="Times New Roman" w:hAnsi="Times New Roman" w:cs="Times New Roman"/>
                <w:color w:val="000000"/>
                <w:sz w:val="20"/>
                <w:szCs w:val="20"/>
              </w:rPr>
            </w:pPr>
            <w:r w:rsidRPr="00475DA5">
              <w:rPr>
                <w:rFonts w:ascii="Times New Roman" w:eastAsia="Times New Roman" w:hAnsi="Times New Roman" w:cs="Times New Roman"/>
                <w:color w:val="000000"/>
                <w:sz w:val="20"/>
                <w:szCs w:val="20"/>
              </w:rPr>
              <w:t>REC</w:t>
            </w:r>
          </w:p>
        </w:tc>
        <w:tc>
          <w:tcPr>
            <w:tcW w:w="1052" w:type="pct"/>
            <w:tcBorders>
              <w:top w:val="single" w:sz="4" w:space="0" w:color="auto"/>
              <w:left w:val="single" w:sz="4" w:space="0" w:color="auto"/>
              <w:right w:val="single" w:sz="4" w:space="0" w:color="auto"/>
            </w:tcBorders>
            <w:shd w:val="clear" w:color="auto" w:fill="auto"/>
            <w:noWrap/>
            <w:vAlign w:val="center"/>
            <w:hideMark/>
          </w:tcPr>
          <w:p w:rsidR="0078063D" w:rsidRPr="00475DA5" w:rsidRDefault="0078063D" w:rsidP="0078063D">
            <w:pPr>
              <w:spacing w:after="0" w:line="240" w:lineRule="auto"/>
              <w:rPr>
                <w:rFonts w:ascii="Times New Roman" w:eastAsia="Times New Roman" w:hAnsi="Times New Roman" w:cs="Times New Roman"/>
                <w:color w:val="000000"/>
                <w:sz w:val="20"/>
                <w:szCs w:val="20"/>
              </w:rPr>
            </w:pPr>
            <w:r w:rsidRPr="00475DA5">
              <w:rPr>
                <w:rFonts w:ascii="Times New Roman" w:eastAsia="Times New Roman" w:hAnsi="Times New Roman" w:cs="Times New Roman"/>
                <w:color w:val="000000"/>
                <w:sz w:val="20"/>
                <w:szCs w:val="20"/>
              </w:rPr>
              <w:t>TCE/SC</w:t>
            </w:r>
          </w:p>
        </w:tc>
        <w:tc>
          <w:tcPr>
            <w:tcW w:w="787" w:type="pct"/>
            <w:tcBorders>
              <w:top w:val="single" w:sz="4" w:space="0" w:color="auto"/>
              <w:left w:val="single" w:sz="4" w:space="0" w:color="auto"/>
              <w:right w:val="single" w:sz="4" w:space="0" w:color="auto"/>
            </w:tcBorders>
            <w:shd w:val="clear" w:color="auto" w:fill="auto"/>
            <w:noWrap/>
            <w:vAlign w:val="bottom"/>
            <w:hideMark/>
          </w:tcPr>
          <w:p w:rsidR="0078063D" w:rsidRPr="00475DA5" w:rsidRDefault="0078063D" w:rsidP="0078063D">
            <w:pPr>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538.368.237,87</w:t>
            </w:r>
          </w:p>
        </w:tc>
        <w:tc>
          <w:tcPr>
            <w:tcW w:w="787" w:type="pct"/>
            <w:tcBorders>
              <w:top w:val="single" w:sz="4" w:space="0" w:color="auto"/>
              <w:left w:val="single" w:sz="4" w:space="0" w:color="auto"/>
              <w:right w:val="single" w:sz="4" w:space="0" w:color="auto"/>
            </w:tcBorders>
            <w:shd w:val="clear" w:color="auto" w:fill="auto"/>
            <w:noWrap/>
            <w:vAlign w:val="bottom"/>
            <w:hideMark/>
          </w:tcPr>
          <w:p w:rsidR="0078063D" w:rsidRPr="00475DA5" w:rsidRDefault="0078063D" w:rsidP="0078063D">
            <w:pPr>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756.345.984,80</w:t>
            </w:r>
          </w:p>
        </w:tc>
        <w:tc>
          <w:tcPr>
            <w:tcW w:w="787" w:type="pct"/>
            <w:tcBorders>
              <w:top w:val="single" w:sz="4" w:space="0" w:color="auto"/>
              <w:left w:val="single" w:sz="4" w:space="0" w:color="auto"/>
              <w:right w:val="single" w:sz="4" w:space="0" w:color="auto"/>
            </w:tcBorders>
            <w:shd w:val="clear" w:color="auto" w:fill="auto"/>
            <w:noWrap/>
            <w:vAlign w:val="bottom"/>
            <w:hideMark/>
          </w:tcPr>
          <w:p w:rsidR="0078063D" w:rsidRPr="00475DA5" w:rsidRDefault="0078063D" w:rsidP="0078063D">
            <w:pPr>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838.563.510,67</w:t>
            </w:r>
          </w:p>
        </w:tc>
        <w:tc>
          <w:tcPr>
            <w:tcW w:w="788" w:type="pct"/>
            <w:tcBorders>
              <w:top w:val="single" w:sz="4" w:space="0" w:color="auto"/>
              <w:left w:val="single" w:sz="4" w:space="0" w:color="auto"/>
              <w:right w:val="nil"/>
            </w:tcBorders>
            <w:shd w:val="clear" w:color="auto" w:fill="auto"/>
            <w:noWrap/>
            <w:vAlign w:val="bottom"/>
            <w:hideMark/>
          </w:tcPr>
          <w:p w:rsidR="0078063D" w:rsidRPr="00475DA5" w:rsidRDefault="0078063D" w:rsidP="0078063D">
            <w:pPr>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966.434.129,07</w:t>
            </w:r>
          </w:p>
        </w:tc>
      </w:tr>
      <w:tr w:rsidR="0078063D" w:rsidRPr="00475DA5" w:rsidTr="001A06C1">
        <w:trPr>
          <w:trHeight w:val="239"/>
        </w:trPr>
        <w:tc>
          <w:tcPr>
            <w:tcW w:w="799" w:type="pct"/>
            <w:vMerge/>
            <w:tcBorders>
              <w:top w:val="nil"/>
              <w:left w:val="nil"/>
              <w:bottom w:val="single" w:sz="4" w:space="0" w:color="auto"/>
              <w:right w:val="single" w:sz="4" w:space="0" w:color="auto"/>
            </w:tcBorders>
            <w:vAlign w:val="center"/>
            <w:hideMark/>
          </w:tcPr>
          <w:p w:rsidR="0078063D" w:rsidRPr="00475DA5" w:rsidRDefault="0078063D" w:rsidP="0078063D">
            <w:pPr>
              <w:spacing w:after="0" w:line="240" w:lineRule="auto"/>
              <w:rPr>
                <w:rFonts w:ascii="Times New Roman" w:eastAsia="Times New Roman" w:hAnsi="Times New Roman" w:cs="Times New Roman"/>
                <w:color w:val="000000"/>
                <w:sz w:val="20"/>
                <w:szCs w:val="20"/>
              </w:rPr>
            </w:pPr>
          </w:p>
        </w:tc>
        <w:tc>
          <w:tcPr>
            <w:tcW w:w="1052" w:type="pct"/>
            <w:tcBorders>
              <w:top w:val="nil"/>
              <w:left w:val="single" w:sz="4" w:space="0" w:color="auto"/>
              <w:bottom w:val="single" w:sz="4" w:space="0" w:color="auto"/>
              <w:right w:val="single" w:sz="4" w:space="0" w:color="auto"/>
            </w:tcBorders>
            <w:shd w:val="clear" w:color="auto" w:fill="auto"/>
            <w:noWrap/>
            <w:vAlign w:val="center"/>
            <w:hideMark/>
          </w:tcPr>
          <w:p w:rsidR="0078063D" w:rsidRPr="00475DA5" w:rsidRDefault="0078063D" w:rsidP="0078063D">
            <w:pPr>
              <w:spacing w:after="0" w:line="240" w:lineRule="auto"/>
              <w:rPr>
                <w:rFonts w:ascii="Times New Roman" w:eastAsia="Times New Roman" w:hAnsi="Times New Roman" w:cs="Times New Roman"/>
                <w:color w:val="000000"/>
                <w:sz w:val="20"/>
                <w:szCs w:val="20"/>
              </w:rPr>
            </w:pPr>
            <w:r w:rsidRPr="00475DA5">
              <w:rPr>
                <w:rFonts w:ascii="Times New Roman" w:eastAsia="Times New Roman" w:hAnsi="Times New Roman" w:cs="Times New Roman"/>
                <w:color w:val="000000"/>
                <w:sz w:val="20"/>
                <w:szCs w:val="20"/>
              </w:rPr>
              <w:t>PMF</w:t>
            </w:r>
          </w:p>
        </w:tc>
        <w:tc>
          <w:tcPr>
            <w:tcW w:w="787" w:type="pct"/>
            <w:tcBorders>
              <w:top w:val="nil"/>
              <w:left w:val="single" w:sz="4" w:space="0" w:color="auto"/>
              <w:bottom w:val="single" w:sz="4" w:space="0" w:color="auto"/>
              <w:right w:val="single" w:sz="4" w:space="0" w:color="auto"/>
            </w:tcBorders>
            <w:shd w:val="clear" w:color="auto" w:fill="auto"/>
            <w:noWrap/>
            <w:vAlign w:val="bottom"/>
            <w:hideMark/>
          </w:tcPr>
          <w:p w:rsidR="0078063D" w:rsidRPr="00475DA5" w:rsidRDefault="0078063D" w:rsidP="0078063D">
            <w:pPr>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654.226.696,49</w:t>
            </w:r>
          </w:p>
        </w:tc>
        <w:tc>
          <w:tcPr>
            <w:tcW w:w="787" w:type="pct"/>
            <w:tcBorders>
              <w:top w:val="nil"/>
              <w:left w:val="single" w:sz="4" w:space="0" w:color="auto"/>
              <w:bottom w:val="single" w:sz="4" w:space="0" w:color="auto"/>
              <w:right w:val="single" w:sz="4" w:space="0" w:color="auto"/>
            </w:tcBorders>
            <w:shd w:val="clear" w:color="auto" w:fill="auto"/>
            <w:noWrap/>
            <w:vAlign w:val="bottom"/>
            <w:hideMark/>
          </w:tcPr>
          <w:p w:rsidR="0078063D" w:rsidRPr="00475DA5" w:rsidRDefault="0078063D" w:rsidP="0078063D">
            <w:pPr>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755.616.162,03</w:t>
            </w:r>
          </w:p>
        </w:tc>
        <w:tc>
          <w:tcPr>
            <w:tcW w:w="787" w:type="pct"/>
            <w:tcBorders>
              <w:top w:val="nil"/>
              <w:left w:val="single" w:sz="4" w:space="0" w:color="auto"/>
              <w:bottom w:val="single" w:sz="4" w:space="0" w:color="auto"/>
              <w:right w:val="single" w:sz="4" w:space="0" w:color="auto"/>
            </w:tcBorders>
            <w:shd w:val="clear" w:color="auto" w:fill="auto"/>
            <w:noWrap/>
            <w:vAlign w:val="bottom"/>
            <w:hideMark/>
          </w:tcPr>
          <w:p w:rsidR="0078063D" w:rsidRPr="00475DA5" w:rsidRDefault="0078063D" w:rsidP="0078063D">
            <w:pPr>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838.495.155,87</w:t>
            </w:r>
          </w:p>
        </w:tc>
        <w:tc>
          <w:tcPr>
            <w:tcW w:w="788" w:type="pct"/>
            <w:tcBorders>
              <w:top w:val="nil"/>
              <w:left w:val="single" w:sz="4" w:space="0" w:color="auto"/>
              <w:bottom w:val="single" w:sz="4" w:space="0" w:color="auto"/>
              <w:right w:val="nil"/>
            </w:tcBorders>
            <w:shd w:val="clear" w:color="auto" w:fill="auto"/>
            <w:noWrap/>
            <w:vAlign w:val="bottom"/>
            <w:hideMark/>
          </w:tcPr>
          <w:p w:rsidR="0078063D" w:rsidRPr="00475DA5" w:rsidRDefault="0078063D" w:rsidP="0078063D">
            <w:pPr>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960.360.606,59</w:t>
            </w:r>
          </w:p>
        </w:tc>
      </w:tr>
      <w:tr w:rsidR="0078063D" w:rsidRPr="00475DA5" w:rsidTr="001A06C1">
        <w:trPr>
          <w:trHeight w:val="130"/>
        </w:trPr>
        <w:tc>
          <w:tcPr>
            <w:tcW w:w="799" w:type="pct"/>
            <w:vMerge w:val="restart"/>
            <w:tcBorders>
              <w:top w:val="single" w:sz="4" w:space="0" w:color="auto"/>
              <w:left w:val="nil"/>
              <w:bottom w:val="single" w:sz="8" w:space="0" w:color="000000"/>
              <w:right w:val="single" w:sz="4" w:space="0" w:color="auto"/>
            </w:tcBorders>
            <w:shd w:val="clear" w:color="auto" w:fill="auto"/>
            <w:vAlign w:val="center"/>
            <w:hideMark/>
          </w:tcPr>
          <w:p w:rsidR="0078063D" w:rsidRPr="00475DA5" w:rsidRDefault="0078063D" w:rsidP="0078063D">
            <w:pPr>
              <w:spacing w:after="0" w:line="240" w:lineRule="auto"/>
              <w:rPr>
                <w:rFonts w:ascii="Times New Roman" w:eastAsia="Times New Roman" w:hAnsi="Times New Roman" w:cs="Times New Roman"/>
                <w:color w:val="000000"/>
                <w:sz w:val="20"/>
                <w:szCs w:val="20"/>
              </w:rPr>
            </w:pPr>
            <w:r w:rsidRPr="00475DA5">
              <w:rPr>
                <w:rFonts w:ascii="Times New Roman" w:eastAsia="Times New Roman" w:hAnsi="Times New Roman" w:cs="Times New Roman"/>
                <w:color w:val="000000"/>
                <w:sz w:val="20"/>
                <w:szCs w:val="20"/>
              </w:rPr>
              <w:t>DEC</w:t>
            </w:r>
          </w:p>
        </w:tc>
        <w:tc>
          <w:tcPr>
            <w:tcW w:w="1052" w:type="pct"/>
            <w:tcBorders>
              <w:top w:val="single" w:sz="4" w:space="0" w:color="auto"/>
              <w:left w:val="single" w:sz="4" w:space="0" w:color="auto"/>
              <w:right w:val="single" w:sz="4" w:space="0" w:color="auto"/>
            </w:tcBorders>
            <w:shd w:val="clear" w:color="auto" w:fill="auto"/>
            <w:noWrap/>
            <w:vAlign w:val="center"/>
            <w:hideMark/>
          </w:tcPr>
          <w:p w:rsidR="0078063D" w:rsidRPr="00475DA5" w:rsidRDefault="0078063D" w:rsidP="0078063D">
            <w:pPr>
              <w:spacing w:after="0" w:line="240" w:lineRule="auto"/>
              <w:rPr>
                <w:rFonts w:ascii="Times New Roman" w:eastAsia="Times New Roman" w:hAnsi="Times New Roman" w:cs="Times New Roman"/>
                <w:color w:val="000000"/>
                <w:sz w:val="20"/>
                <w:szCs w:val="20"/>
              </w:rPr>
            </w:pPr>
            <w:r w:rsidRPr="00475DA5">
              <w:rPr>
                <w:rFonts w:ascii="Times New Roman" w:eastAsia="Times New Roman" w:hAnsi="Times New Roman" w:cs="Times New Roman"/>
                <w:color w:val="000000"/>
                <w:sz w:val="20"/>
                <w:szCs w:val="20"/>
              </w:rPr>
              <w:t>TCE/SC</w:t>
            </w:r>
          </w:p>
        </w:tc>
        <w:tc>
          <w:tcPr>
            <w:tcW w:w="787" w:type="pct"/>
            <w:tcBorders>
              <w:top w:val="single" w:sz="4" w:space="0" w:color="auto"/>
              <w:left w:val="single" w:sz="4" w:space="0" w:color="auto"/>
              <w:right w:val="single" w:sz="4" w:space="0" w:color="auto"/>
            </w:tcBorders>
            <w:shd w:val="clear" w:color="auto" w:fill="auto"/>
            <w:noWrap/>
            <w:vAlign w:val="bottom"/>
            <w:hideMark/>
          </w:tcPr>
          <w:p w:rsidR="0078063D" w:rsidRPr="00475DA5" w:rsidRDefault="0078063D" w:rsidP="0078063D">
            <w:pPr>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136.863.970,76</w:t>
            </w:r>
          </w:p>
        </w:tc>
        <w:tc>
          <w:tcPr>
            <w:tcW w:w="787" w:type="pct"/>
            <w:tcBorders>
              <w:top w:val="single" w:sz="4" w:space="0" w:color="auto"/>
              <w:left w:val="single" w:sz="4" w:space="0" w:color="auto"/>
              <w:right w:val="single" w:sz="4" w:space="0" w:color="auto"/>
            </w:tcBorders>
            <w:shd w:val="clear" w:color="auto" w:fill="auto"/>
            <w:noWrap/>
            <w:vAlign w:val="bottom"/>
            <w:hideMark/>
          </w:tcPr>
          <w:p w:rsidR="0078063D" w:rsidRPr="00475DA5" w:rsidRDefault="0078063D" w:rsidP="0078063D">
            <w:pPr>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143.131.797,77</w:t>
            </w:r>
          </w:p>
        </w:tc>
        <w:tc>
          <w:tcPr>
            <w:tcW w:w="787" w:type="pct"/>
            <w:tcBorders>
              <w:top w:val="single" w:sz="4" w:space="0" w:color="auto"/>
              <w:left w:val="single" w:sz="4" w:space="0" w:color="auto"/>
              <w:right w:val="single" w:sz="4" w:space="0" w:color="auto"/>
            </w:tcBorders>
            <w:shd w:val="clear" w:color="auto" w:fill="auto"/>
            <w:noWrap/>
            <w:vAlign w:val="bottom"/>
            <w:hideMark/>
          </w:tcPr>
          <w:p w:rsidR="0078063D" w:rsidRPr="00475DA5" w:rsidRDefault="0078063D" w:rsidP="0078063D">
            <w:pPr>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155.870.716,18</w:t>
            </w:r>
          </w:p>
        </w:tc>
        <w:tc>
          <w:tcPr>
            <w:tcW w:w="788" w:type="pct"/>
            <w:tcBorders>
              <w:top w:val="single" w:sz="4" w:space="0" w:color="auto"/>
              <w:left w:val="single" w:sz="4" w:space="0" w:color="auto"/>
              <w:right w:val="nil"/>
            </w:tcBorders>
            <w:shd w:val="clear" w:color="auto" w:fill="auto"/>
            <w:noWrap/>
            <w:vAlign w:val="bottom"/>
            <w:hideMark/>
          </w:tcPr>
          <w:p w:rsidR="0078063D" w:rsidRPr="00475DA5" w:rsidRDefault="0078063D" w:rsidP="0078063D">
            <w:pPr>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180.836.073,93</w:t>
            </w:r>
          </w:p>
        </w:tc>
      </w:tr>
      <w:tr w:rsidR="0078063D" w:rsidRPr="00475DA5" w:rsidTr="001A06C1">
        <w:trPr>
          <w:trHeight w:val="161"/>
        </w:trPr>
        <w:tc>
          <w:tcPr>
            <w:tcW w:w="799" w:type="pct"/>
            <w:vMerge/>
            <w:tcBorders>
              <w:top w:val="nil"/>
              <w:left w:val="nil"/>
              <w:bottom w:val="single" w:sz="4" w:space="0" w:color="auto"/>
              <w:right w:val="single" w:sz="4" w:space="0" w:color="auto"/>
            </w:tcBorders>
            <w:vAlign w:val="center"/>
            <w:hideMark/>
          </w:tcPr>
          <w:p w:rsidR="0078063D" w:rsidRPr="00475DA5" w:rsidRDefault="0078063D" w:rsidP="0078063D">
            <w:pPr>
              <w:spacing w:after="0" w:line="240" w:lineRule="auto"/>
              <w:rPr>
                <w:rFonts w:ascii="Times New Roman" w:eastAsia="Times New Roman" w:hAnsi="Times New Roman" w:cs="Times New Roman"/>
                <w:color w:val="000000"/>
                <w:sz w:val="20"/>
                <w:szCs w:val="20"/>
              </w:rPr>
            </w:pPr>
          </w:p>
        </w:tc>
        <w:tc>
          <w:tcPr>
            <w:tcW w:w="1052" w:type="pct"/>
            <w:tcBorders>
              <w:top w:val="nil"/>
              <w:left w:val="single" w:sz="4" w:space="0" w:color="auto"/>
              <w:bottom w:val="single" w:sz="4" w:space="0" w:color="auto"/>
              <w:right w:val="single" w:sz="4" w:space="0" w:color="auto"/>
            </w:tcBorders>
            <w:shd w:val="clear" w:color="auto" w:fill="auto"/>
            <w:noWrap/>
            <w:vAlign w:val="center"/>
            <w:hideMark/>
          </w:tcPr>
          <w:p w:rsidR="0078063D" w:rsidRPr="00475DA5" w:rsidRDefault="0078063D" w:rsidP="0078063D">
            <w:pPr>
              <w:spacing w:after="0" w:line="240" w:lineRule="auto"/>
              <w:rPr>
                <w:rFonts w:ascii="Times New Roman" w:eastAsia="Times New Roman" w:hAnsi="Times New Roman" w:cs="Times New Roman"/>
                <w:color w:val="000000"/>
                <w:sz w:val="20"/>
                <w:szCs w:val="20"/>
              </w:rPr>
            </w:pPr>
            <w:r w:rsidRPr="00475DA5">
              <w:rPr>
                <w:rFonts w:ascii="Times New Roman" w:eastAsia="Times New Roman" w:hAnsi="Times New Roman" w:cs="Times New Roman"/>
                <w:color w:val="000000"/>
                <w:sz w:val="20"/>
                <w:szCs w:val="20"/>
              </w:rPr>
              <w:t>PMF</w:t>
            </w:r>
          </w:p>
        </w:tc>
        <w:tc>
          <w:tcPr>
            <w:tcW w:w="787" w:type="pct"/>
            <w:tcBorders>
              <w:top w:val="nil"/>
              <w:left w:val="single" w:sz="4" w:space="0" w:color="auto"/>
              <w:bottom w:val="single" w:sz="4" w:space="0" w:color="auto"/>
              <w:right w:val="single" w:sz="4" w:space="0" w:color="auto"/>
            </w:tcBorders>
            <w:shd w:val="clear" w:color="auto" w:fill="auto"/>
            <w:noWrap/>
            <w:vAlign w:val="bottom"/>
            <w:hideMark/>
          </w:tcPr>
          <w:p w:rsidR="0078063D" w:rsidRPr="00475DA5" w:rsidRDefault="0078063D" w:rsidP="0078063D">
            <w:pPr>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140.787.734,40</w:t>
            </w:r>
          </w:p>
        </w:tc>
        <w:tc>
          <w:tcPr>
            <w:tcW w:w="787" w:type="pct"/>
            <w:tcBorders>
              <w:top w:val="nil"/>
              <w:left w:val="single" w:sz="4" w:space="0" w:color="auto"/>
              <w:bottom w:val="single" w:sz="4" w:space="0" w:color="auto"/>
              <w:right w:val="single" w:sz="4" w:space="0" w:color="auto"/>
            </w:tcBorders>
            <w:shd w:val="clear" w:color="auto" w:fill="auto"/>
            <w:noWrap/>
            <w:vAlign w:val="bottom"/>
            <w:hideMark/>
          </w:tcPr>
          <w:p w:rsidR="0078063D" w:rsidRPr="00475DA5" w:rsidRDefault="0078063D" w:rsidP="0078063D">
            <w:pPr>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147.629.250,99</w:t>
            </w:r>
          </w:p>
        </w:tc>
        <w:tc>
          <w:tcPr>
            <w:tcW w:w="787" w:type="pct"/>
            <w:tcBorders>
              <w:top w:val="nil"/>
              <w:left w:val="single" w:sz="4" w:space="0" w:color="auto"/>
              <w:bottom w:val="single" w:sz="4" w:space="0" w:color="auto"/>
              <w:right w:val="single" w:sz="4" w:space="0" w:color="auto"/>
            </w:tcBorders>
            <w:shd w:val="clear" w:color="auto" w:fill="auto"/>
            <w:noWrap/>
            <w:vAlign w:val="bottom"/>
            <w:hideMark/>
          </w:tcPr>
          <w:p w:rsidR="0078063D" w:rsidRPr="00475DA5" w:rsidRDefault="0078063D" w:rsidP="0078063D">
            <w:pPr>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165.351.618,46</w:t>
            </w:r>
          </w:p>
        </w:tc>
        <w:tc>
          <w:tcPr>
            <w:tcW w:w="788" w:type="pct"/>
            <w:tcBorders>
              <w:top w:val="nil"/>
              <w:left w:val="single" w:sz="4" w:space="0" w:color="auto"/>
              <w:bottom w:val="single" w:sz="4" w:space="0" w:color="auto"/>
              <w:right w:val="nil"/>
            </w:tcBorders>
            <w:shd w:val="clear" w:color="auto" w:fill="auto"/>
            <w:noWrap/>
            <w:vAlign w:val="bottom"/>
            <w:hideMark/>
          </w:tcPr>
          <w:p w:rsidR="0078063D" w:rsidRPr="00475DA5" w:rsidRDefault="0078063D" w:rsidP="0078063D">
            <w:pPr>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194.023.815,57</w:t>
            </w:r>
          </w:p>
        </w:tc>
      </w:tr>
      <w:tr w:rsidR="0078063D" w:rsidRPr="00475DA5" w:rsidTr="001A06C1">
        <w:trPr>
          <w:trHeight w:val="252"/>
        </w:trPr>
        <w:tc>
          <w:tcPr>
            <w:tcW w:w="799" w:type="pct"/>
            <w:vMerge w:val="restart"/>
            <w:tcBorders>
              <w:top w:val="single" w:sz="4" w:space="0" w:color="auto"/>
              <w:left w:val="nil"/>
              <w:right w:val="single" w:sz="4" w:space="0" w:color="auto"/>
            </w:tcBorders>
            <w:shd w:val="clear" w:color="auto" w:fill="auto"/>
            <w:vAlign w:val="center"/>
            <w:hideMark/>
          </w:tcPr>
          <w:p w:rsidR="0078063D" w:rsidRPr="00475DA5" w:rsidRDefault="0078063D" w:rsidP="0078063D">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de Aplicação em ASPS</w:t>
            </w:r>
          </w:p>
        </w:tc>
        <w:tc>
          <w:tcPr>
            <w:tcW w:w="1052" w:type="pct"/>
            <w:tcBorders>
              <w:top w:val="single" w:sz="4" w:space="0" w:color="auto"/>
              <w:left w:val="single" w:sz="4" w:space="0" w:color="auto"/>
              <w:right w:val="single" w:sz="4" w:space="0" w:color="auto"/>
            </w:tcBorders>
            <w:shd w:val="clear" w:color="auto" w:fill="auto"/>
            <w:noWrap/>
            <w:vAlign w:val="center"/>
            <w:hideMark/>
          </w:tcPr>
          <w:p w:rsidR="0078063D" w:rsidRPr="00475DA5" w:rsidRDefault="0078063D" w:rsidP="0078063D">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TCE/SC</w:t>
            </w:r>
          </w:p>
        </w:tc>
        <w:tc>
          <w:tcPr>
            <w:tcW w:w="787" w:type="pct"/>
            <w:tcBorders>
              <w:top w:val="single" w:sz="4" w:space="0" w:color="auto"/>
              <w:left w:val="single" w:sz="4" w:space="0" w:color="auto"/>
              <w:right w:val="single" w:sz="4" w:space="0" w:color="auto"/>
            </w:tcBorders>
            <w:shd w:val="clear" w:color="auto" w:fill="auto"/>
            <w:noWrap/>
            <w:vAlign w:val="bottom"/>
            <w:hideMark/>
          </w:tcPr>
          <w:p w:rsidR="0078063D" w:rsidRPr="00475DA5" w:rsidRDefault="0078063D" w:rsidP="0078063D">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25,42%</w:t>
            </w:r>
          </w:p>
        </w:tc>
        <w:tc>
          <w:tcPr>
            <w:tcW w:w="787" w:type="pct"/>
            <w:tcBorders>
              <w:top w:val="single" w:sz="4" w:space="0" w:color="auto"/>
              <w:left w:val="single" w:sz="4" w:space="0" w:color="auto"/>
              <w:right w:val="single" w:sz="4" w:space="0" w:color="auto"/>
            </w:tcBorders>
            <w:shd w:val="clear" w:color="auto" w:fill="auto"/>
            <w:noWrap/>
            <w:vAlign w:val="bottom"/>
            <w:hideMark/>
          </w:tcPr>
          <w:p w:rsidR="0078063D" w:rsidRPr="00475DA5" w:rsidRDefault="0078063D" w:rsidP="0078063D">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18,92%</w:t>
            </w:r>
          </w:p>
        </w:tc>
        <w:tc>
          <w:tcPr>
            <w:tcW w:w="787" w:type="pct"/>
            <w:tcBorders>
              <w:top w:val="single" w:sz="4" w:space="0" w:color="auto"/>
              <w:left w:val="single" w:sz="4" w:space="0" w:color="auto"/>
              <w:right w:val="single" w:sz="4" w:space="0" w:color="auto"/>
            </w:tcBorders>
            <w:shd w:val="clear" w:color="auto" w:fill="auto"/>
            <w:noWrap/>
            <w:vAlign w:val="bottom"/>
            <w:hideMark/>
          </w:tcPr>
          <w:p w:rsidR="0078063D" w:rsidRDefault="0078063D" w:rsidP="0078063D">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18,59%</w:t>
            </w:r>
          </w:p>
        </w:tc>
        <w:tc>
          <w:tcPr>
            <w:tcW w:w="788" w:type="pct"/>
            <w:tcBorders>
              <w:top w:val="single" w:sz="4" w:space="0" w:color="auto"/>
              <w:left w:val="single" w:sz="4" w:space="0" w:color="auto"/>
              <w:right w:val="nil"/>
            </w:tcBorders>
            <w:shd w:val="clear" w:color="auto" w:fill="auto"/>
            <w:noWrap/>
            <w:vAlign w:val="bottom"/>
            <w:hideMark/>
          </w:tcPr>
          <w:p w:rsidR="0078063D" w:rsidRDefault="0078063D" w:rsidP="0078063D">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18,71%</w:t>
            </w:r>
          </w:p>
        </w:tc>
      </w:tr>
      <w:tr w:rsidR="0078063D" w:rsidRPr="00475DA5" w:rsidTr="001A06C1">
        <w:trPr>
          <w:trHeight w:val="237"/>
        </w:trPr>
        <w:tc>
          <w:tcPr>
            <w:tcW w:w="799" w:type="pct"/>
            <w:vMerge/>
            <w:tcBorders>
              <w:left w:val="nil"/>
              <w:bottom w:val="single" w:sz="4" w:space="0" w:color="auto"/>
              <w:right w:val="single" w:sz="4" w:space="0" w:color="auto"/>
            </w:tcBorders>
            <w:shd w:val="clear" w:color="auto" w:fill="auto"/>
            <w:vAlign w:val="center"/>
            <w:hideMark/>
          </w:tcPr>
          <w:p w:rsidR="0078063D" w:rsidRPr="00475DA5" w:rsidRDefault="0078063D" w:rsidP="0078063D">
            <w:pPr>
              <w:spacing w:after="0" w:line="240" w:lineRule="auto"/>
              <w:rPr>
                <w:rFonts w:ascii="Times New Roman" w:eastAsia="Times New Roman" w:hAnsi="Times New Roman" w:cs="Times New Roman"/>
                <w:color w:val="000000"/>
                <w:sz w:val="20"/>
                <w:szCs w:val="20"/>
              </w:rPr>
            </w:pPr>
          </w:p>
        </w:tc>
        <w:tc>
          <w:tcPr>
            <w:tcW w:w="1052" w:type="pct"/>
            <w:tcBorders>
              <w:top w:val="nil"/>
              <w:left w:val="single" w:sz="4" w:space="0" w:color="auto"/>
              <w:bottom w:val="single" w:sz="4" w:space="0" w:color="auto"/>
              <w:right w:val="single" w:sz="4" w:space="0" w:color="auto"/>
            </w:tcBorders>
            <w:shd w:val="clear" w:color="auto" w:fill="auto"/>
            <w:noWrap/>
            <w:vAlign w:val="center"/>
            <w:hideMark/>
          </w:tcPr>
          <w:p w:rsidR="0078063D" w:rsidRPr="00475DA5" w:rsidRDefault="0078063D" w:rsidP="0078063D">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PMF</w:t>
            </w:r>
          </w:p>
        </w:tc>
        <w:tc>
          <w:tcPr>
            <w:tcW w:w="787" w:type="pct"/>
            <w:tcBorders>
              <w:top w:val="nil"/>
              <w:left w:val="single" w:sz="4" w:space="0" w:color="auto"/>
              <w:bottom w:val="single" w:sz="4" w:space="0" w:color="auto"/>
              <w:right w:val="single" w:sz="4" w:space="0" w:color="auto"/>
            </w:tcBorders>
            <w:shd w:val="clear" w:color="auto" w:fill="auto"/>
            <w:noWrap/>
            <w:vAlign w:val="bottom"/>
            <w:hideMark/>
          </w:tcPr>
          <w:p w:rsidR="0078063D" w:rsidRPr="00475DA5" w:rsidRDefault="0078063D" w:rsidP="0078063D">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21,52%</w:t>
            </w:r>
          </w:p>
        </w:tc>
        <w:tc>
          <w:tcPr>
            <w:tcW w:w="787" w:type="pct"/>
            <w:tcBorders>
              <w:top w:val="nil"/>
              <w:left w:val="single" w:sz="4" w:space="0" w:color="auto"/>
              <w:bottom w:val="single" w:sz="4" w:space="0" w:color="auto"/>
              <w:right w:val="single" w:sz="4" w:space="0" w:color="auto"/>
            </w:tcBorders>
            <w:shd w:val="clear" w:color="auto" w:fill="auto"/>
            <w:noWrap/>
            <w:vAlign w:val="bottom"/>
            <w:hideMark/>
          </w:tcPr>
          <w:p w:rsidR="0078063D" w:rsidRPr="00475DA5" w:rsidRDefault="0078063D" w:rsidP="0078063D">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19,54%</w:t>
            </w:r>
          </w:p>
        </w:tc>
        <w:tc>
          <w:tcPr>
            <w:tcW w:w="787" w:type="pct"/>
            <w:tcBorders>
              <w:top w:val="nil"/>
              <w:left w:val="single" w:sz="4" w:space="0" w:color="auto"/>
              <w:bottom w:val="single" w:sz="4" w:space="0" w:color="auto"/>
              <w:right w:val="single" w:sz="4" w:space="0" w:color="auto"/>
            </w:tcBorders>
            <w:shd w:val="clear" w:color="auto" w:fill="auto"/>
            <w:noWrap/>
            <w:vAlign w:val="bottom"/>
            <w:hideMark/>
          </w:tcPr>
          <w:p w:rsidR="0078063D" w:rsidRDefault="0078063D" w:rsidP="0078063D">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19,72%</w:t>
            </w:r>
          </w:p>
        </w:tc>
        <w:tc>
          <w:tcPr>
            <w:tcW w:w="788" w:type="pct"/>
            <w:tcBorders>
              <w:top w:val="nil"/>
              <w:left w:val="single" w:sz="4" w:space="0" w:color="auto"/>
              <w:bottom w:val="single" w:sz="4" w:space="0" w:color="auto"/>
              <w:right w:val="nil"/>
            </w:tcBorders>
            <w:shd w:val="clear" w:color="auto" w:fill="auto"/>
            <w:noWrap/>
            <w:vAlign w:val="bottom"/>
            <w:hideMark/>
          </w:tcPr>
          <w:p w:rsidR="0078063D" w:rsidRDefault="0078063D" w:rsidP="0078063D">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20,20%</w:t>
            </w:r>
          </w:p>
        </w:tc>
      </w:tr>
      <w:tr w:rsidR="0078063D" w:rsidRPr="00475DA5" w:rsidTr="001A06C1">
        <w:trPr>
          <w:trHeight w:val="120"/>
        </w:trPr>
        <w:tc>
          <w:tcPr>
            <w:tcW w:w="5000" w:type="pct"/>
            <w:gridSpan w:val="6"/>
            <w:tcBorders>
              <w:top w:val="single" w:sz="4" w:space="0" w:color="auto"/>
              <w:left w:val="nil"/>
              <w:bottom w:val="single" w:sz="4" w:space="0" w:color="auto"/>
              <w:right w:val="nil"/>
            </w:tcBorders>
            <w:shd w:val="clear" w:color="auto" w:fill="auto"/>
            <w:hideMark/>
          </w:tcPr>
          <w:p w:rsidR="0078063D" w:rsidRPr="00475DA5" w:rsidRDefault="0078063D" w:rsidP="0078063D">
            <w:pPr>
              <w:spacing w:after="0" w:line="240" w:lineRule="auto"/>
              <w:jc w:val="both"/>
              <w:rPr>
                <w:rFonts w:ascii="Times New Roman" w:eastAsia="Times New Roman" w:hAnsi="Times New Roman" w:cs="Times New Roman"/>
                <w:color w:val="000000"/>
                <w:sz w:val="20"/>
                <w:szCs w:val="20"/>
              </w:rPr>
            </w:pPr>
            <w:r w:rsidRPr="00475DA5">
              <w:rPr>
                <w:rFonts w:ascii="Times New Roman" w:eastAsia="Times New Roman" w:hAnsi="Times New Roman" w:cs="Times New Roman"/>
                <w:color w:val="000000"/>
                <w:sz w:val="20"/>
                <w:szCs w:val="20"/>
              </w:rPr>
              <w:t xml:space="preserve">Siglas: </w:t>
            </w:r>
            <w:r>
              <w:rPr>
                <w:rFonts w:ascii="Times New Roman" w:eastAsia="Times New Roman" w:hAnsi="Times New Roman" w:cs="Times New Roman"/>
                <w:color w:val="000000"/>
                <w:sz w:val="20"/>
                <w:szCs w:val="20"/>
              </w:rPr>
              <w:t xml:space="preserve">ASPS = Ações e Serviços Públicos de Saúde; DEC = </w:t>
            </w:r>
            <w:r w:rsidRPr="00475DA5">
              <w:rPr>
                <w:rFonts w:ascii="Times New Roman" w:eastAsia="Times New Roman" w:hAnsi="Times New Roman" w:cs="Times New Roman"/>
                <w:color w:val="000000"/>
                <w:sz w:val="20"/>
                <w:szCs w:val="20"/>
              </w:rPr>
              <w:t>Despesas para Efeito do Cálculo</w:t>
            </w:r>
            <w:r>
              <w:rPr>
                <w:rFonts w:ascii="Times New Roman" w:eastAsia="Times New Roman" w:hAnsi="Times New Roman" w:cs="Times New Roman"/>
                <w:color w:val="000000"/>
                <w:sz w:val="20"/>
                <w:szCs w:val="20"/>
              </w:rPr>
              <w:t xml:space="preserve">; ND = Não Disponível; PMF = Prefeitura Municipal de Florianópolis; </w:t>
            </w:r>
            <w:r w:rsidRPr="00475DA5">
              <w:rPr>
                <w:rFonts w:ascii="Times New Roman" w:eastAsia="Times New Roman" w:hAnsi="Times New Roman" w:cs="Times New Roman"/>
                <w:color w:val="000000"/>
                <w:sz w:val="20"/>
                <w:szCs w:val="20"/>
              </w:rPr>
              <w:t>REC = R</w:t>
            </w:r>
            <w:r>
              <w:rPr>
                <w:rFonts w:ascii="Times New Roman" w:eastAsia="Times New Roman" w:hAnsi="Times New Roman" w:cs="Times New Roman"/>
                <w:color w:val="000000"/>
                <w:sz w:val="20"/>
                <w:szCs w:val="20"/>
              </w:rPr>
              <w:t>eceita para Efeito de Cálculo; TCE/SC = Tribunal de Contas do Estado de Santa Catarina.</w:t>
            </w:r>
          </w:p>
        </w:tc>
      </w:tr>
      <w:tr w:rsidR="0078063D" w:rsidRPr="00475DA5" w:rsidTr="001A06C1">
        <w:trPr>
          <w:trHeight w:val="667"/>
        </w:trPr>
        <w:tc>
          <w:tcPr>
            <w:tcW w:w="5000" w:type="pct"/>
            <w:gridSpan w:val="6"/>
            <w:tcBorders>
              <w:top w:val="single" w:sz="4" w:space="0" w:color="auto"/>
              <w:left w:val="nil"/>
              <w:bottom w:val="single" w:sz="4" w:space="0" w:color="auto"/>
              <w:right w:val="nil"/>
            </w:tcBorders>
            <w:shd w:val="clear" w:color="auto" w:fill="auto"/>
            <w:hideMark/>
          </w:tcPr>
          <w:p w:rsidR="0078063D" w:rsidRPr="00475DA5" w:rsidRDefault="0078063D" w:rsidP="0078063D">
            <w:pPr>
              <w:spacing w:after="0" w:line="240" w:lineRule="auto"/>
              <w:jc w:val="both"/>
              <w:rPr>
                <w:rFonts w:ascii="Times New Roman" w:eastAsia="Times New Roman" w:hAnsi="Times New Roman" w:cs="Times New Roman"/>
                <w:color w:val="000000"/>
                <w:sz w:val="20"/>
                <w:szCs w:val="20"/>
              </w:rPr>
            </w:pPr>
            <w:r w:rsidRPr="00475DA5">
              <w:rPr>
                <w:rFonts w:ascii="Times New Roman" w:eastAsia="Times New Roman" w:hAnsi="Times New Roman" w:cs="Times New Roman"/>
                <w:color w:val="000000"/>
                <w:sz w:val="20"/>
                <w:szCs w:val="20"/>
              </w:rPr>
              <w:t xml:space="preserve">Notas: Os dados referentes aos anos de 2000 a 2010 </w:t>
            </w:r>
            <w:r>
              <w:rPr>
                <w:rFonts w:ascii="Times New Roman" w:eastAsia="Times New Roman" w:hAnsi="Times New Roman" w:cs="Times New Roman"/>
                <w:color w:val="000000"/>
                <w:sz w:val="20"/>
                <w:szCs w:val="20"/>
              </w:rPr>
              <w:t xml:space="preserve">do TCE/SC </w:t>
            </w:r>
            <w:r w:rsidRPr="00475DA5">
              <w:rPr>
                <w:rFonts w:ascii="Times New Roman" w:eastAsia="Times New Roman" w:hAnsi="Times New Roman" w:cs="Times New Roman"/>
                <w:color w:val="000000"/>
                <w:sz w:val="20"/>
                <w:szCs w:val="20"/>
              </w:rPr>
              <w:t xml:space="preserve">são informações de acordo com o processo de julgamento das contas do Município. Os dados referentes aos anos de 2011 a 2015 </w:t>
            </w:r>
            <w:r>
              <w:rPr>
                <w:rFonts w:ascii="Times New Roman" w:eastAsia="Times New Roman" w:hAnsi="Times New Roman" w:cs="Times New Roman"/>
                <w:color w:val="000000"/>
                <w:sz w:val="20"/>
                <w:szCs w:val="20"/>
              </w:rPr>
              <w:t xml:space="preserve">do TCE/SC </w:t>
            </w:r>
            <w:r w:rsidRPr="00475DA5">
              <w:rPr>
                <w:rFonts w:ascii="Times New Roman" w:eastAsia="Times New Roman" w:hAnsi="Times New Roman" w:cs="Times New Roman"/>
                <w:color w:val="000000"/>
                <w:sz w:val="20"/>
                <w:szCs w:val="20"/>
              </w:rPr>
              <w:t>são informações preliminares ao processo de julgamento das contas do Município.</w:t>
            </w:r>
          </w:p>
        </w:tc>
      </w:tr>
      <w:tr w:rsidR="0078063D" w:rsidRPr="00475DA5" w:rsidTr="00983013">
        <w:trPr>
          <w:trHeight w:val="382"/>
        </w:trPr>
        <w:tc>
          <w:tcPr>
            <w:tcW w:w="5000" w:type="pct"/>
            <w:gridSpan w:val="6"/>
            <w:tcBorders>
              <w:top w:val="single" w:sz="4" w:space="0" w:color="auto"/>
              <w:left w:val="nil"/>
              <w:bottom w:val="nil"/>
              <w:right w:val="nil"/>
            </w:tcBorders>
            <w:shd w:val="clear" w:color="auto" w:fill="auto"/>
            <w:hideMark/>
          </w:tcPr>
          <w:p w:rsidR="0078063D" w:rsidRPr="00475DA5" w:rsidRDefault="0078063D" w:rsidP="00340DB4">
            <w:pPr>
              <w:spacing w:after="12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F</w:t>
            </w:r>
            <w:r w:rsidRPr="00475DA5">
              <w:rPr>
                <w:rFonts w:ascii="Times New Roman" w:eastAsia="Times New Roman" w:hAnsi="Times New Roman" w:cs="Times New Roman"/>
                <w:color w:val="000000"/>
                <w:sz w:val="20"/>
                <w:szCs w:val="20"/>
              </w:rPr>
              <w:t xml:space="preserve">onte: Elaborado pelos autores a partir de dados </w:t>
            </w:r>
            <w:r>
              <w:rPr>
                <w:rFonts w:ascii="Times New Roman" w:eastAsia="Times New Roman" w:hAnsi="Times New Roman" w:cs="Times New Roman"/>
                <w:color w:val="000000"/>
                <w:sz w:val="20"/>
                <w:szCs w:val="20"/>
              </w:rPr>
              <w:t xml:space="preserve">do </w:t>
            </w:r>
            <w:r w:rsidR="000D7EF7">
              <w:rPr>
                <w:rFonts w:ascii="Times New Roman" w:eastAsia="Times New Roman" w:hAnsi="Times New Roman" w:cs="Times New Roman"/>
                <w:color w:val="000000"/>
                <w:sz w:val="20"/>
                <w:szCs w:val="20"/>
              </w:rPr>
              <w:t xml:space="preserve">Demonstrativo das Receitas e Despesas com Ações e Serviços Públicos de Saúde </w:t>
            </w:r>
            <w:r>
              <w:rPr>
                <w:rFonts w:ascii="Times New Roman" w:eastAsia="Times New Roman" w:hAnsi="Times New Roman" w:cs="Times New Roman"/>
                <w:color w:val="000000"/>
                <w:sz w:val="20"/>
                <w:szCs w:val="20"/>
              </w:rPr>
              <w:t>do Município de Florianópolis (PMF, 2000 a 2015) e de da</w:t>
            </w:r>
            <w:r w:rsidRPr="00475DA5">
              <w:rPr>
                <w:rFonts w:ascii="Times New Roman" w:eastAsia="Times New Roman" w:hAnsi="Times New Roman" w:cs="Times New Roman"/>
                <w:color w:val="000000"/>
                <w:sz w:val="20"/>
                <w:szCs w:val="20"/>
              </w:rPr>
              <w:t>do</w:t>
            </w:r>
            <w:r>
              <w:rPr>
                <w:rFonts w:ascii="Times New Roman" w:eastAsia="Times New Roman" w:hAnsi="Times New Roman" w:cs="Times New Roman"/>
                <w:color w:val="000000"/>
                <w:sz w:val="20"/>
                <w:szCs w:val="20"/>
              </w:rPr>
              <w:t>s do TCE/SC (2016</w:t>
            </w:r>
            <w:r w:rsidRPr="00475DA5">
              <w:rPr>
                <w:rFonts w:ascii="Times New Roman" w:eastAsia="Times New Roman" w:hAnsi="Times New Roman" w:cs="Times New Roman"/>
                <w:color w:val="000000"/>
                <w:sz w:val="20"/>
                <w:szCs w:val="20"/>
              </w:rPr>
              <w:t>).</w:t>
            </w:r>
          </w:p>
        </w:tc>
      </w:tr>
    </w:tbl>
    <w:p w:rsidR="00F56334" w:rsidRPr="00A148F1" w:rsidRDefault="00EF35D4" w:rsidP="00831265">
      <w:pPr>
        <w:spacing w:after="0" w:line="240" w:lineRule="auto"/>
        <w:ind w:firstLine="709"/>
        <w:jc w:val="both"/>
        <w:rPr>
          <w:rFonts w:ascii="Times New Roman" w:hAnsi="Times New Roman" w:cs="Times New Roman"/>
          <w:bCs/>
          <w:sz w:val="24"/>
          <w:szCs w:val="24"/>
        </w:rPr>
      </w:pPr>
      <w:r w:rsidRPr="00A148F1">
        <w:rPr>
          <w:rFonts w:ascii="Times New Roman" w:hAnsi="Times New Roman" w:cs="Times New Roman"/>
          <w:bCs/>
          <w:sz w:val="24"/>
          <w:szCs w:val="24"/>
        </w:rPr>
        <w:t>Observa</w:t>
      </w:r>
      <w:r w:rsidR="00711680" w:rsidRPr="00A148F1">
        <w:rPr>
          <w:rFonts w:ascii="Times New Roman" w:hAnsi="Times New Roman" w:cs="Times New Roman"/>
          <w:bCs/>
          <w:sz w:val="24"/>
          <w:szCs w:val="24"/>
        </w:rPr>
        <w:t>-se na T</w:t>
      </w:r>
      <w:r w:rsidR="00D43F41" w:rsidRPr="00A148F1">
        <w:rPr>
          <w:rFonts w:ascii="Times New Roman" w:hAnsi="Times New Roman" w:cs="Times New Roman"/>
          <w:bCs/>
          <w:sz w:val="24"/>
          <w:szCs w:val="24"/>
        </w:rPr>
        <w:t xml:space="preserve">abela 1 que </w:t>
      </w:r>
      <w:r w:rsidR="007B111E" w:rsidRPr="00A148F1">
        <w:rPr>
          <w:rFonts w:ascii="Times New Roman" w:hAnsi="Times New Roman" w:cs="Times New Roman"/>
          <w:bCs/>
          <w:sz w:val="24"/>
          <w:szCs w:val="24"/>
        </w:rPr>
        <w:t xml:space="preserve">todos os dados da série histórica analisada foram </w:t>
      </w:r>
      <w:r w:rsidR="00FB0BA8" w:rsidRPr="00A148F1">
        <w:rPr>
          <w:rFonts w:ascii="Times New Roman" w:hAnsi="Times New Roman" w:cs="Times New Roman"/>
          <w:bCs/>
          <w:sz w:val="24"/>
          <w:szCs w:val="24"/>
        </w:rPr>
        <w:t>obtidos</w:t>
      </w:r>
      <w:r w:rsidR="007B111E" w:rsidRPr="00A148F1">
        <w:rPr>
          <w:rFonts w:ascii="Times New Roman" w:hAnsi="Times New Roman" w:cs="Times New Roman"/>
          <w:bCs/>
          <w:sz w:val="24"/>
          <w:szCs w:val="24"/>
        </w:rPr>
        <w:t xml:space="preserve">, </w:t>
      </w:r>
      <w:r w:rsidR="008621CC" w:rsidRPr="00A148F1">
        <w:rPr>
          <w:rFonts w:ascii="Times New Roman" w:hAnsi="Times New Roman" w:cs="Times New Roman"/>
          <w:bCs/>
          <w:sz w:val="24"/>
          <w:szCs w:val="24"/>
        </w:rPr>
        <w:t xml:space="preserve">com exceção dos provenientes da PMF referentes </w:t>
      </w:r>
      <w:r w:rsidR="007B111E" w:rsidRPr="00A148F1">
        <w:rPr>
          <w:rFonts w:ascii="Times New Roman" w:hAnsi="Times New Roman" w:cs="Times New Roman"/>
          <w:bCs/>
          <w:sz w:val="24"/>
          <w:szCs w:val="24"/>
        </w:rPr>
        <w:t>aos</w:t>
      </w:r>
      <w:r w:rsidR="00D43F41" w:rsidRPr="00A148F1">
        <w:rPr>
          <w:rFonts w:ascii="Times New Roman" w:hAnsi="Times New Roman" w:cs="Times New Roman"/>
          <w:bCs/>
          <w:sz w:val="24"/>
          <w:szCs w:val="24"/>
        </w:rPr>
        <w:t xml:space="preserve"> anos de 2000 e 2001</w:t>
      </w:r>
      <w:r w:rsidR="0007790F" w:rsidRPr="00A148F1">
        <w:rPr>
          <w:rFonts w:ascii="Times New Roman" w:hAnsi="Times New Roman" w:cs="Times New Roman"/>
          <w:bCs/>
          <w:sz w:val="24"/>
          <w:szCs w:val="24"/>
        </w:rPr>
        <w:t>.</w:t>
      </w:r>
      <w:r w:rsidR="00F86DEE" w:rsidRPr="00A148F1">
        <w:rPr>
          <w:rFonts w:ascii="Times New Roman" w:hAnsi="Times New Roman" w:cs="Times New Roman"/>
          <w:bCs/>
          <w:sz w:val="24"/>
          <w:szCs w:val="24"/>
        </w:rPr>
        <w:t xml:space="preserve"> </w:t>
      </w:r>
      <w:r w:rsidR="006B623C" w:rsidRPr="00A148F1">
        <w:rPr>
          <w:rFonts w:ascii="Times New Roman" w:hAnsi="Times New Roman" w:cs="Times New Roman"/>
          <w:bCs/>
          <w:sz w:val="24"/>
          <w:szCs w:val="24"/>
        </w:rPr>
        <w:t>O</w:t>
      </w:r>
      <w:r w:rsidR="00F86DEE" w:rsidRPr="00A148F1">
        <w:rPr>
          <w:rFonts w:ascii="Times New Roman" w:hAnsi="Times New Roman" w:cs="Times New Roman"/>
          <w:bCs/>
          <w:sz w:val="24"/>
          <w:szCs w:val="24"/>
        </w:rPr>
        <w:t>s dados dos TCE/</w:t>
      </w:r>
      <w:r w:rsidR="00D43F41" w:rsidRPr="00A148F1">
        <w:rPr>
          <w:rFonts w:ascii="Times New Roman" w:hAnsi="Times New Roman" w:cs="Times New Roman"/>
          <w:bCs/>
          <w:sz w:val="24"/>
          <w:szCs w:val="24"/>
        </w:rPr>
        <w:t>SC</w:t>
      </w:r>
      <w:r w:rsidR="00F86DEE" w:rsidRPr="00A148F1">
        <w:rPr>
          <w:rFonts w:ascii="Times New Roman" w:hAnsi="Times New Roman" w:cs="Times New Roman"/>
          <w:bCs/>
          <w:sz w:val="24"/>
          <w:szCs w:val="24"/>
        </w:rPr>
        <w:t xml:space="preserve"> evidenciam</w:t>
      </w:r>
      <w:r w:rsidR="00D43F41" w:rsidRPr="00A148F1">
        <w:rPr>
          <w:rFonts w:ascii="Times New Roman" w:hAnsi="Times New Roman" w:cs="Times New Roman"/>
          <w:bCs/>
          <w:sz w:val="24"/>
          <w:szCs w:val="24"/>
        </w:rPr>
        <w:t xml:space="preserve"> que em 2000</w:t>
      </w:r>
      <w:r w:rsidR="00F86DEE" w:rsidRPr="00A148F1">
        <w:rPr>
          <w:rFonts w:ascii="Times New Roman" w:hAnsi="Times New Roman" w:cs="Times New Roman"/>
          <w:bCs/>
          <w:sz w:val="24"/>
          <w:szCs w:val="24"/>
        </w:rPr>
        <w:t xml:space="preserve"> </w:t>
      </w:r>
      <w:r w:rsidR="0037438F" w:rsidRPr="00A148F1">
        <w:rPr>
          <w:rFonts w:ascii="Times New Roman" w:hAnsi="Times New Roman" w:cs="Times New Roman"/>
          <w:bCs/>
          <w:sz w:val="24"/>
          <w:szCs w:val="24"/>
        </w:rPr>
        <w:t>e 2001</w:t>
      </w:r>
      <w:r w:rsidR="005748D8" w:rsidRPr="00A148F1">
        <w:rPr>
          <w:rFonts w:ascii="Times New Roman" w:hAnsi="Times New Roman" w:cs="Times New Roman"/>
          <w:bCs/>
          <w:sz w:val="24"/>
          <w:szCs w:val="24"/>
        </w:rPr>
        <w:t>,</w:t>
      </w:r>
      <w:r w:rsidR="0037438F" w:rsidRPr="00A148F1">
        <w:rPr>
          <w:rFonts w:ascii="Times New Roman" w:hAnsi="Times New Roman" w:cs="Times New Roman"/>
          <w:bCs/>
          <w:sz w:val="24"/>
          <w:szCs w:val="24"/>
        </w:rPr>
        <w:t xml:space="preserve"> </w:t>
      </w:r>
      <w:r w:rsidR="00F86DEE" w:rsidRPr="00A148F1">
        <w:rPr>
          <w:rFonts w:ascii="Times New Roman" w:hAnsi="Times New Roman" w:cs="Times New Roman"/>
          <w:bCs/>
          <w:sz w:val="24"/>
          <w:szCs w:val="24"/>
        </w:rPr>
        <w:t xml:space="preserve">o </w:t>
      </w:r>
      <w:r w:rsidR="006B623C" w:rsidRPr="00A148F1">
        <w:rPr>
          <w:rFonts w:ascii="Times New Roman" w:hAnsi="Times New Roman" w:cs="Times New Roman"/>
          <w:bCs/>
          <w:sz w:val="24"/>
          <w:szCs w:val="24"/>
        </w:rPr>
        <w:t>M</w:t>
      </w:r>
      <w:r w:rsidR="0037438F" w:rsidRPr="00A148F1">
        <w:rPr>
          <w:rFonts w:ascii="Times New Roman" w:hAnsi="Times New Roman" w:cs="Times New Roman"/>
          <w:bCs/>
          <w:sz w:val="24"/>
          <w:szCs w:val="24"/>
        </w:rPr>
        <w:t xml:space="preserve">unicípio </w:t>
      </w:r>
      <w:r w:rsidR="00873DDA" w:rsidRPr="00A148F1">
        <w:rPr>
          <w:rFonts w:ascii="Times New Roman" w:hAnsi="Times New Roman" w:cs="Times New Roman"/>
          <w:bCs/>
          <w:sz w:val="24"/>
          <w:szCs w:val="24"/>
        </w:rPr>
        <w:t>atingiu 19,20% e 14,78%</w:t>
      </w:r>
      <w:r w:rsidR="008621CC" w:rsidRPr="00A148F1">
        <w:rPr>
          <w:rFonts w:ascii="Times New Roman" w:hAnsi="Times New Roman" w:cs="Times New Roman"/>
          <w:bCs/>
          <w:sz w:val="24"/>
          <w:szCs w:val="24"/>
        </w:rPr>
        <w:t xml:space="preserve"> </w:t>
      </w:r>
      <w:r w:rsidR="00B41031" w:rsidRPr="00A148F1">
        <w:rPr>
          <w:rFonts w:ascii="Times New Roman" w:hAnsi="Times New Roman" w:cs="Times New Roman"/>
          <w:bCs/>
          <w:sz w:val="24"/>
          <w:szCs w:val="24"/>
        </w:rPr>
        <w:t>de despesas com ASPS</w:t>
      </w:r>
      <w:r w:rsidR="00873DDA" w:rsidRPr="00A148F1">
        <w:rPr>
          <w:rFonts w:ascii="Times New Roman" w:hAnsi="Times New Roman" w:cs="Times New Roman"/>
          <w:bCs/>
          <w:sz w:val="24"/>
          <w:szCs w:val="24"/>
        </w:rPr>
        <w:t>, respectivamente</w:t>
      </w:r>
      <w:r w:rsidR="00B41031" w:rsidRPr="00A148F1">
        <w:rPr>
          <w:rFonts w:ascii="Times New Roman" w:hAnsi="Times New Roman" w:cs="Times New Roman"/>
          <w:bCs/>
          <w:sz w:val="24"/>
          <w:szCs w:val="24"/>
        </w:rPr>
        <w:t>.</w:t>
      </w:r>
    </w:p>
    <w:p w:rsidR="00F86DEE" w:rsidRPr="00A148F1" w:rsidRDefault="00FB0BA8" w:rsidP="00831265">
      <w:pPr>
        <w:spacing w:after="0" w:line="240" w:lineRule="auto"/>
        <w:ind w:firstLine="709"/>
        <w:jc w:val="both"/>
        <w:rPr>
          <w:rFonts w:ascii="Times New Roman" w:hAnsi="Times New Roman" w:cs="Times New Roman"/>
          <w:bCs/>
          <w:sz w:val="24"/>
          <w:szCs w:val="24"/>
        </w:rPr>
      </w:pPr>
      <w:r w:rsidRPr="00A148F1">
        <w:rPr>
          <w:rFonts w:ascii="Times New Roman" w:hAnsi="Times New Roman" w:cs="Times New Roman"/>
          <w:bCs/>
          <w:sz w:val="24"/>
          <w:szCs w:val="24"/>
        </w:rPr>
        <w:t xml:space="preserve">Conforme </w:t>
      </w:r>
      <w:r w:rsidR="00B41031" w:rsidRPr="00A148F1">
        <w:rPr>
          <w:rFonts w:ascii="Times New Roman" w:hAnsi="Times New Roman" w:cs="Times New Roman"/>
          <w:bCs/>
          <w:sz w:val="24"/>
          <w:szCs w:val="24"/>
        </w:rPr>
        <w:t>os dados da PMF</w:t>
      </w:r>
      <w:r w:rsidR="0037438F" w:rsidRPr="00A148F1">
        <w:rPr>
          <w:rFonts w:ascii="Times New Roman" w:hAnsi="Times New Roman" w:cs="Times New Roman"/>
          <w:bCs/>
          <w:sz w:val="24"/>
          <w:szCs w:val="24"/>
        </w:rPr>
        <w:t>, o</w:t>
      </w:r>
      <w:r w:rsidR="00F86DEE" w:rsidRPr="00A148F1">
        <w:rPr>
          <w:rFonts w:ascii="Times New Roman" w:hAnsi="Times New Roman" w:cs="Times New Roman"/>
          <w:bCs/>
          <w:sz w:val="24"/>
          <w:szCs w:val="24"/>
        </w:rPr>
        <w:t xml:space="preserve"> limit</w:t>
      </w:r>
      <w:r w:rsidR="0037438F" w:rsidRPr="00A148F1">
        <w:rPr>
          <w:rFonts w:ascii="Times New Roman" w:hAnsi="Times New Roman" w:cs="Times New Roman"/>
          <w:bCs/>
          <w:sz w:val="24"/>
          <w:szCs w:val="24"/>
        </w:rPr>
        <w:t xml:space="preserve">e mínimo de aplicação </w:t>
      </w:r>
      <w:r w:rsidR="00873DDA" w:rsidRPr="00A148F1">
        <w:rPr>
          <w:rFonts w:ascii="Times New Roman" w:hAnsi="Times New Roman" w:cs="Times New Roman"/>
          <w:bCs/>
          <w:sz w:val="24"/>
          <w:szCs w:val="24"/>
        </w:rPr>
        <w:t xml:space="preserve">em ASPS </w:t>
      </w:r>
      <w:r w:rsidR="0037438F" w:rsidRPr="00A148F1">
        <w:rPr>
          <w:rFonts w:ascii="Times New Roman" w:hAnsi="Times New Roman" w:cs="Times New Roman"/>
          <w:bCs/>
          <w:sz w:val="24"/>
          <w:szCs w:val="24"/>
        </w:rPr>
        <w:t>não foi</w:t>
      </w:r>
      <w:r w:rsidR="00F86DEE" w:rsidRPr="00A148F1">
        <w:rPr>
          <w:rFonts w:ascii="Times New Roman" w:hAnsi="Times New Roman" w:cs="Times New Roman"/>
          <w:bCs/>
          <w:sz w:val="24"/>
          <w:szCs w:val="24"/>
        </w:rPr>
        <w:t xml:space="preserve"> cumprido</w:t>
      </w:r>
      <w:r w:rsidR="00AE6740" w:rsidRPr="00A148F1">
        <w:rPr>
          <w:rFonts w:ascii="Times New Roman" w:hAnsi="Times New Roman" w:cs="Times New Roman"/>
          <w:bCs/>
          <w:sz w:val="24"/>
          <w:szCs w:val="24"/>
        </w:rPr>
        <w:t xml:space="preserve"> apenas</w:t>
      </w:r>
      <w:r w:rsidR="00F86DEE" w:rsidRPr="00A148F1">
        <w:rPr>
          <w:rFonts w:ascii="Times New Roman" w:hAnsi="Times New Roman" w:cs="Times New Roman"/>
          <w:bCs/>
          <w:sz w:val="24"/>
          <w:szCs w:val="24"/>
        </w:rPr>
        <w:t xml:space="preserve"> no</w:t>
      </w:r>
      <w:r w:rsidR="00873DDA" w:rsidRPr="00A148F1">
        <w:rPr>
          <w:rFonts w:ascii="Times New Roman" w:hAnsi="Times New Roman" w:cs="Times New Roman"/>
          <w:bCs/>
          <w:sz w:val="24"/>
          <w:szCs w:val="24"/>
        </w:rPr>
        <w:t>s</w:t>
      </w:r>
      <w:r w:rsidR="00F86DEE" w:rsidRPr="00A148F1">
        <w:rPr>
          <w:rFonts w:ascii="Times New Roman" w:hAnsi="Times New Roman" w:cs="Times New Roman"/>
          <w:bCs/>
          <w:sz w:val="24"/>
          <w:szCs w:val="24"/>
        </w:rPr>
        <w:t xml:space="preserve"> ano</w:t>
      </w:r>
      <w:r w:rsidR="00873DDA" w:rsidRPr="00A148F1">
        <w:rPr>
          <w:rFonts w:ascii="Times New Roman" w:hAnsi="Times New Roman" w:cs="Times New Roman"/>
          <w:bCs/>
          <w:sz w:val="24"/>
          <w:szCs w:val="24"/>
        </w:rPr>
        <w:t>s</w:t>
      </w:r>
      <w:r w:rsidR="00F86DEE" w:rsidRPr="00A148F1">
        <w:rPr>
          <w:rFonts w:ascii="Times New Roman" w:hAnsi="Times New Roman" w:cs="Times New Roman"/>
          <w:bCs/>
          <w:sz w:val="24"/>
          <w:szCs w:val="24"/>
        </w:rPr>
        <w:t xml:space="preserve"> de </w:t>
      </w:r>
      <w:r w:rsidR="0037438F" w:rsidRPr="00A148F1">
        <w:rPr>
          <w:rFonts w:ascii="Times New Roman" w:hAnsi="Times New Roman" w:cs="Times New Roman"/>
          <w:bCs/>
          <w:sz w:val="24"/>
          <w:szCs w:val="24"/>
        </w:rPr>
        <w:t>2002</w:t>
      </w:r>
      <w:r w:rsidR="006F42E4" w:rsidRPr="00A148F1">
        <w:rPr>
          <w:rFonts w:ascii="Times New Roman" w:hAnsi="Times New Roman" w:cs="Times New Roman"/>
          <w:bCs/>
          <w:sz w:val="24"/>
          <w:szCs w:val="24"/>
        </w:rPr>
        <w:t xml:space="preserve"> </w:t>
      </w:r>
      <w:r w:rsidR="00873DDA" w:rsidRPr="00A148F1">
        <w:rPr>
          <w:rFonts w:ascii="Times New Roman" w:hAnsi="Times New Roman" w:cs="Times New Roman"/>
          <w:bCs/>
          <w:sz w:val="24"/>
          <w:szCs w:val="24"/>
        </w:rPr>
        <w:t>e 2003</w:t>
      </w:r>
      <w:r w:rsidRPr="00A148F1">
        <w:rPr>
          <w:rFonts w:ascii="Times New Roman" w:hAnsi="Times New Roman" w:cs="Times New Roman"/>
          <w:bCs/>
          <w:sz w:val="24"/>
          <w:szCs w:val="24"/>
        </w:rPr>
        <w:t>,</w:t>
      </w:r>
      <w:r w:rsidR="00873DDA" w:rsidRPr="00A148F1">
        <w:rPr>
          <w:rFonts w:ascii="Times New Roman" w:hAnsi="Times New Roman" w:cs="Times New Roman"/>
          <w:bCs/>
          <w:sz w:val="24"/>
          <w:szCs w:val="24"/>
        </w:rPr>
        <w:t xml:space="preserve"> </w:t>
      </w:r>
      <w:r w:rsidR="00B41031" w:rsidRPr="00A148F1">
        <w:rPr>
          <w:rFonts w:ascii="Times New Roman" w:hAnsi="Times New Roman" w:cs="Times New Roman"/>
          <w:bCs/>
          <w:sz w:val="24"/>
          <w:szCs w:val="24"/>
        </w:rPr>
        <w:t>quando atingiu</w:t>
      </w:r>
      <w:r w:rsidR="00873DDA" w:rsidRPr="00A148F1">
        <w:rPr>
          <w:rFonts w:ascii="Times New Roman" w:hAnsi="Times New Roman" w:cs="Times New Roman"/>
          <w:bCs/>
          <w:sz w:val="24"/>
          <w:szCs w:val="24"/>
        </w:rPr>
        <w:t xml:space="preserve"> </w:t>
      </w:r>
      <w:r w:rsidR="00A91F1B" w:rsidRPr="00A148F1">
        <w:rPr>
          <w:rFonts w:ascii="Times New Roman" w:hAnsi="Times New Roman" w:cs="Times New Roman"/>
          <w:bCs/>
          <w:sz w:val="24"/>
          <w:szCs w:val="24"/>
        </w:rPr>
        <w:t>11,31%</w:t>
      </w:r>
      <w:r w:rsidR="00873DDA" w:rsidRPr="00A148F1">
        <w:rPr>
          <w:rFonts w:ascii="Times New Roman" w:hAnsi="Times New Roman" w:cs="Times New Roman"/>
          <w:bCs/>
          <w:sz w:val="24"/>
          <w:szCs w:val="24"/>
        </w:rPr>
        <w:t xml:space="preserve"> e </w:t>
      </w:r>
      <w:r w:rsidR="00A91F1B" w:rsidRPr="00A148F1">
        <w:rPr>
          <w:rFonts w:ascii="Times New Roman" w:hAnsi="Times New Roman" w:cs="Times New Roman"/>
          <w:bCs/>
          <w:sz w:val="24"/>
          <w:szCs w:val="24"/>
        </w:rPr>
        <w:t>12,32%</w:t>
      </w:r>
      <w:r w:rsidR="00873DDA" w:rsidRPr="00A148F1">
        <w:rPr>
          <w:rFonts w:ascii="Times New Roman" w:hAnsi="Times New Roman" w:cs="Times New Roman"/>
          <w:bCs/>
          <w:sz w:val="24"/>
          <w:szCs w:val="24"/>
        </w:rPr>
        <w:t>, respectivamente</w:t>
      </w:r>
      <w:r w:rsidR="00A91F1B" w:rsidRPr="00A148F1">
        <w:rPr>
          <w:rFonts w:ascii="Times New Roman" w:hAnsi="Times New Roman" w:cs="Times New Roman"/>
          <w:bCs/>
          <w:sz w:val="24"/>
          <w:szCs w:val="24"/>
        </w:rPr>
        <w:t>.</w:t>
      </w:r>
      <w:r w:rsidR="00516A76" w:rsidRPr="00A148F1">
        <w:rPr>
          <w:rFonts w:ascii="Times New Roman" w:hAnsi="Times New Roman" w:cs="Times New Roman"/>
          <w:bCs/>
          <w:sz w:val="24"/>
          <w:szCs w:val="24"/>
        </w:rPr>
        <w:t xml:space="preserve"> </w:t>
      </w:r>
      <w:r w:rsidR="00EA398F" w:rsidRPr="00A148F1">
        <w:rPr>
          <w:rFonts w:ascii="Times New Roman" w:hAnsi="Times New Roman" w:cs="Times New Roman"/>
          <w:bCs/>
          <w:sz w:val="24"/>
          <w:szCs w:val="24"/>
        </w:rPr>
        <w:t>Destaca-se que</w:t>
      </w:r>
      <w:r w:rsidR="005748D8" w:rsidRPr="00A148F1">
        <w:rPr>
          <w:rFonts w:ascii="Times New Roman" w:hAnsi="Times New Roman" w:cs="Times New Roman"/>
          <w:bCs/>
          <w:sz w:val="24"/>
          <w:szCs w:val="24"/>
        </w:rPr>
        <w:t>,</w:t>
      </w:r>
      <w:r w:rsidR="00EA398F" w:rsidRPr="00A148F1">
        <w:rPr>
          <w:rFonts w:ascii="Times New Roman" w:hAnsi="Times New Roman" w:cs="Times New Roman"/>
          <w:bCs/>
          <w:sz w:val="24"/>
          <w:szCs w:val="24"/>
        </w:rPr>
        <w:t xml:space="preserve"> e</w:t>
      </w:r>
      <w:r w:rsidR="00AE6740" w:rsidRPr="00A148F1">
        <w:rPr>
          <w:rFonts w:ascii="Times New Roman" w:hAnsi="Times New Roman" w:cs="Times New Roman"/>
          <w:bCs/>
          <w:sz w:val="24"/>
          <w:szCs w:val="24"/>
        </w:rPr>
        <w:t>m</w:t>
      </w:r>
      <w:r w:rsidR="00A91F1B" w:rsidRPr="00A148F1">
        <w:rPr>
          <w:rFonts w:ascii="Times New Roman" w:hAnsi="Times New Roman" w:cs="Times New Roman"/>
          <w:bCs/>
          <w:sz w:val="24"/>
          <w:szCs w:val="24"/>
        </w:rPr>
        <w:t xml:space="preserve"> 2008 e 2010, o percentual de aplicação foi maior que 25%</w:t>
      </w:r>
      <w:r w:rsidRPr="00A148F1">
        <w:rPr>
          <w:rFonts w:ascii="Times New Roman" w:hAnsi="Times New Roman" w:cs="Times New Roman"/>
          <w:bCs/>
          <w:sz w:val="24"/>
          <w:szCs w:val="24"/>
        </w:rPr>
        <w:t xml:space="preserve"> (</w:t>
      </w:r>
      <w:r w:rsidR="00A91F1B" w:rsidRPr="00A148F1">
        <w:rPr>
          <w:rFonts w:ascii="Times New Roman" w:hAnsi="Times New Roman" w:cs="Times New Roman"/>
          <w:bCs/>
          <w:sz w:val="24"/>
          <w:szCs w:val="24"/>
        </w:rPr>
        <w:t>25,91% e 30,56%, respectivamente</w:t>
      </w:r>
      <w:r w:rsidRPr="00A148F1">
        <w:rPr>
          <w:rFonts w:ascii="Times New Roman" w:hAnsi="Times New Roman" w:cs="Times New Roman"/>
          <w:bCs/>
          <w:sz w:val="24"/>
          <w:szCs w:val="24"/>
        </w:rPr>
        <w:t>)</w:t>
      </w:r>
      <w:r w:rsidR="00A91F1B" w:rsidRPr="00A148F1">
        <w:rPr>
          <w:rFonts w:ascii="Times New Roman" w:hAnsi="Times New Roman" w:cs="Times New Roman"/>
          <w:bCs/>
          <w:sz w:val="24"/>
          <w:szCs w:val="24"/>
        </w:rPr>
        <w:t xml:space="preserve">. </w:t>
      </w:r>
      <w:r w:rsidR="00EA398F" w:rsidRPr="00A148F1">
        <w:rPr>
          <w:rFonts w:ascii="Times New Roman" w:hAnsi="Times New Roman" w:cs="Times New Roman"/>
          <w:bCs/>
          <w:sz w:val="24"/>
          <w:szCs w:val="24"/>
        </w:rPr>
        <w:t>Observa-se</w:t>
      </w:r>
      <w:r w:rsidR="00AE6740" w:rsidRPr="00A148F1">
        <w:rPr>
          <w:rFonts w:ascii="Times New Roman" w:hAnsi="Times New Roman" w:cs="Times New Roman"/>
          <w:bCs/>
          <w:sz w:val="24"/>
          <w:szCs w:val="24"/>
        </w:rPr>
        <w:t>,</w:t>
      </w:r>
      <w:r w:rsidR="00EA398F" w:rsidRPr="00A148F1">
        <w:rPr>
          <w:rFonts w:ascii="Times New Roman" w:hAnsi="Times New Roman" w:cs="Times New Roman"/>
          <w:bCs/>
          <w:sz w:val="24"/>
          <w:szCs w:val="24"/>
        </w:rPr>
        <w:t xml:space="preserve"> ainda</w:t>
      </w:r>
      <w:r w:rsidR="00AE6740" w:rsidRPr="00A148F1">
        <w:rPr>
          <w:rFonts w:ascii="Times New Roman" w:hAnsi="Times New Roman" w:cs="Times New Roman"/>
          <w:bCs/>
          <w:sz w:val="24"/>
          <w:szCs w:val="24"/>
        </w:rPr>
        <w:t>,</w:t>
      </w:r>
      <w:r w:rsidR="00A91F1B" w:rsidRPr="00A148F1">
        <w:rPr>
          <w:rFonts w:ascii="Times New Roman" w:hAnsi="Times New Roman" w:cs="Times New Roman"/>
          <w:bCs/>
          <w:sz w:val="24"/>
          <w:szCs w:val="24"/>
        </w:rPr>
        <w:t xml:space="preserve"> que em 2009, 2011, 2012</w:t>
      </w:r>
      <w:r w:rsidR="00EA398F" w:rsidRPr="00A148F1">
        <w:rPr>
          <w:rFonts w:ascii="Times New Roman" w:hAnsi="Times New Roman" w:cs="Times New Roman"/>
          <w:bCs/>
          <w:sz w:val="24"/>
          <w:szCs w:val="24"/>
        </w:rPr>
        <w:t xml:space="preserve"> e 2015 o percentual foi </w:t>
      </w:r>
      <w:r w:rsidR="00EA398F" w:rsidRPr="00A148F1">
        <w:rPr>
          <w:rFonts w:ascii="Times New Roman" w:hAnsi="Times New Roman" w:cs="Times New Roman"/>
          <w:bCs/>
          <w:sz w:val="24"/>
          <w:szCs w:val="24"/>
        </w:rPr>
        <w:lastRenderedPageBreak/>
        <w:t xml:space="preserve">superior ao mínimo estabelecido em </w:t>
      </w:r>
      <w:r w:rsidR="00873DDA" w:rsidRPr="00A148F1">
        <w:rPr>
          <w:rFonts w:ascii="Times New Roman" w:hAnsi="Times New Roman" w:cs="Times New Roman"/>
          <w:bCs/>
          <w:sz w:val="24"/>
          <w:szCs w:val="24"/>
        </w:rPr>
        <w:t xml:space="preserve">mais </w:t>
      </w:r>
      <w:proofErr w:type="gramStart"/>
      <w:r w:rsidR="00EA398F" w:rsidRPr="00A148F1">
        <w:rPr>
          <w:rFonts w:ascii="Times New Roman" w:hAnsi="Times New Roman" w:cs="Times New Roman"/>
          <w:bCs/>
          <w:sz w:val="24"/>
          <w:szCs w:val="24"/>
        </w:rPr>
        <w:t>5</w:t>
      </w:r>
      <w:proofErr w:type="gramEnd"/>
      <w:r w:rsidR="00EA398F" w:rsidRPr="00A148F1">
        <w:rPr>
          <w:rFonts w:ascii="Times New Roman" w:hAnsi="Times New Roman" w:cs="Times New Roman"/>
          <w:bCs/>
          <w:sz w:val="24"/>
          <w:szCs w:val="24"/>
        </w:rPr>
        <w:t xml:space="preserve"> </w:t>
      </w:r>
      <w:proofErr w:type="spellStart"/>
      <w:r w:rsidR="00EA398F" w:rsidRPr="00A148F1">
        <w:rPr>
          <w:rFonts w:ascii="Times New Roman" w:hAnsi="Times New Roman" w:cs="Times New Roman"/>
          <w:bCs/>
          <w:sz w:val="24"/>
          <w:szCs w:val="24"/>
        </w:rPr>
        <w:t>p.p.</w:t>
      </w:r>
      <w:proofErr w:type="spellEnd"/>
      <w:r w:rsidR="00EA398F" w:rsidRPr="00A148F1">
        <w:rPr>
          <w:rFonts w:ascii="Times New Roman" w:hAnsi="Times New Roman" w:cs="Times New Roman"/>
          <w:bCs/>
          <w:sz w:val="24"/>
          <w:szCs w:val="24"/>
        </w:rPr>
        <w:t xml:space="preserve"> (20,49%, 20,72%, 21,52%, 20,20%, respectivamente).</w:t>
      </w:r>
    </w:p>
    <w:p w:rsidR="000D7860" w:rsidRPr="00A148F1" w:rsidRDefault="00B41031" w:rsidP="00831265">
      <w:pPr>
        <w:spacing w:after="0" w:line="240" w:lineRule="auto"/>
        <w:ind w:firstLine="709"/>
        <w:jc w:val="both"/>
        <w:rPr>
          <w:rFonts w:ascii="Times New Roman" w:hAnsi="Times New Roman" w:cs="Times New Roman"/>
          <w:bCs/>
          <w:sz w:val="24"/>
          <w:szCs w:val="24"/>
        </w:rPr>
      </w:pPr>
      <w:r w:rsidRPr="00A148F1">
        <w:rPr>
          <w:rFonts w:ascii="Times New Roman" w:hAnsi="Times New Roman" w:cs="Times New Roman"/>
          <w:bCs/>
          <w:sz w:val="24"/>
          <w:szCs w:val="24"/>
        </w:rPr>
        <w:t>Por sua vez, o</w:t>
      </w:r>
      <w:r w:rsidR="000D7860" w:rsidRPr="00A148F1">
        <w:rPr>
          <w:rFonts w:ascii="Times New Roman" w:hAnsi="Times New Roman" w:cs="Times New Roman"/>
          <w:bCs/>
          <w:sz w:val="24"/>
          <w:szCs w:val="24"/>
        </w:rPr>
        <w:t xml:space="preserve">s dados divulgados pelo TCE/SC </w:t>
      </w:r>
      <w:r w:rsidR="0037438F" w:rsidRPr="00A148F1">
        <w:rPr>
          <w:rFonts w:ascii="Times New Roman" w:hAnsi="Times New Roman" w:cs="Times New Roman"/>
          <w:bCs/>
          <w:sz w:val="24"/>
          <w:szCs w:val="24"/>
        </w:rPr>
        <w:t>evidenciam</w:t>
      </w:r>
      <w:r w:rsidR="000D7860" w:rsidRPr="00A148F1">
        <w:rPr>
          <w:rFonts w:ascii="Times New Roman" w:hAnsi="Times New Roman" w:cs="Times New Roman"/>
          <w:bCs/>
          <w:sz w:val="24"/>
          <w:szCs w:val="24"/>
        </w:rPr>
        <w:t xml:space="preserve"> que</w:t>
      </w:r>
      <w:r w:rsidR="0037438F" w:rsidRPr="00A148F1">
        <w:rPr>
          <w:rFonts w:ascii="Times New Roman" w:hAnsi="Times New Roman" w:cs="Times New Roman"/>
          <w:bCs/>
          <w:sz w:val="24"/>
          <w:szCs w:val="24"/>
        </w:rPr>
        <w:t>,</w:t>
      </w:r>
      <w:r w:rsidR="000D7860" w:rsidRPr="00A148F1">
        <w:rPr>
          <w:rFonts w:ascii="Times New Roman" w:hAnsi="Times New Roman" w:cs="Times New Roman"/>
          <w:bCs/>
          <w:sz w:val="24"/>
          <w:szCs w:val="24"/>
        </w:rPr>
        <w:t xml:space="preserve"> ao longo da série estudada, os únicos anos em que não houve cumprimento</w:t>
      </w:r>
      <w:r w:rsidR="0037438F" w:rsidRPr="00A148F1">
        <w:rPr>
          <w:rFonts w:ascii="Times New Roman" w:hAnsi="Times New Roman" w:cs="Times New Roman"/>
          <w:bCs/>
          <w:sz w:val="24"/>
          <w:szCs w:val="24"/>
        </w:rPr>
        <w:t xml:space="preserve"> mínimo dos percentuais de </w:t>
      </w:r>
      <w:r w:rsidR="00AE6740" w:rsidRPr="00A148F1">
        <w:rPr>
          <w:rFonts w:ascii="Times New Roman" w:hAnsi="Times New Roman" w:cs="Times New Roman"/>
          <w:bCs/>
          <w:sz w:val="24"/>
          <w:szCs w:val="24"/>
        </w:rPr>
        <w:t xml:space="preserve">aplicação em </w:t>
      </w:r>
      <w:r w:rsidR="0037438F" w:rsidRPr="00A148F1">
        <w:rPr>
          <w:rFonts w:ascii="Times New Roman" w:hAnsi="Times New Roman" w:cs="Times New Roman"/>
          <w:bCs/>
          <w:sz w:val="24"/>
          <w:szCs w:val="24"/>
        </w:rPr>
        <w:t>ASPS</w:t>
      </w:r>
      <w:r w:rsidR="000D7860" w:rsidRPr="00A148F1">
        <w:rPr>
          <w:rFonts w:ascii="Times New Roman" w:hAnsi="Times New Roman" w:cs="Times New Roman"/>
          <w:bCs/>
          <w:sz w:val="24"/>
          <w:szCs w:val="24"/>
        </w:rPr>
        <w:t xml:space="preserve"> foram 2001 e 2003, </w:t>
      </w:r>
      <w:r w:rsidR="0037438F" w:rsidRPr="00A148F1">
        <w:rPr>
          <w:rFonts w:ascii="Times New Roman" w:hAnsi="Times New Roman" w:cs="Times New Roman"/>
          <w:bCs/>
          <w:sz w:val="24"/>
          <w:szCs w:val="24"/>
        </w:rPr>
        <w:t>quando</w:t>
      </w:r>
      <w:r w:rsidR="000D7860" w:rsidRPr="00A148F1">
        <w:rPr>
          <w:rFonts w:ascii="Times New Roman" w:hAnsi="Times New Roman" w:cs="Times New Roman"/>
          <w:bCs/>
          <w:sz w:val="24"/>
          <w:szCs w:val="24"/>
        </w:rPr>
        <w:t xml:space="preserve"> atingiram 14,78% e 14,44%</w:t>
      </w:r>
      <w:r w:rsidR="007601F1" w:rsidRPr="00A148F1">
        <w:rPr>
          <w:rFonts w:ascii="Times New Roman" w:hAnsi="Times New Roman" w:cs="Times New Roman"/>
          <w:bCs/>
          <w:sz w:val="24"/>
          <w:szCs w:val="24"/>
        </w:rPr>
        <w:t>,</w:t>
      </w:r>
      <w:r w:rsidR="000D7860" w:rsidRPr="00A148F1">
        <w:rPr>
          <w:rFonts w:ascii="Times New Roman" w:hAnsi="Times New Roman" w:cs="Times New Roman"/>
          <w:bCs/>
          <w:sz w:val="24"/>
          <w:szCs w:val="24"/>
        </w:rPr>
        <w:t xml:space="preserve"> res</w:t>
      </w:r>
      <w:r w:rsidRPr="00A148F1">
        <w:rPr>
          <w:rFonts w:ascii="Times New Roman" w:hAnsi="Times New Roman" w:cs="Times New Roman"/>
          <w:bCs/>
          <w:sz w:val="24"/>
          <w:szCs w:val="24"/>
        </w:rPr>
        <w:t xml:space="preserve">pectivamente. </w:t>
      </w:r>
      <w:r w:rsidR="005748D8" w:rsidRPr="00A148F1">
        <w:rPr>
          <w:rFonts w:ascii="Times New Roman" w:hAnsi="Times New Roman" w:cs="Times New Roman"/>
          <w:bCs/>
          <w:sz w:val="24"/>
          <w:szCs w:val="24"/>
        </w:rPr>
        <w:t>Observa-se</w:t>
      </w:r>
      <w:r w:rsidR="009E7D39" w:rsidRPr="00A148F1">
        <w:rPr>
          <w:rFonts w:ascii="Times New Roman" w:hAnsi="Times New Roman" w:cs="Times New Roman"/>
          <w:bCs/>
          <w:sz w:val="24"/>
          <w:szCs w:val="24"/>
        </w:rPr>
        <w:t xml:space="preserve"> que</w:t>
      </w:r>
      <w:r w:rsidR="005748D8" w:rsidRPr="00A148F1">
        <w:rPr>
          <w:rFonts w:ascii="Times New Roman" w:hAnsi="Times New Roman" w:cs="Times New Roman"/>
          <w:bCs/>
          <w:sz w:val="24"/>
          <w:szCs w:val="24"/>
        </w:rPr>
        <w:t>,</w:t>
      </w:r>
      <w:r w:rsidR="009E7D39" w:rsidRPr="00A148F1">
        <w:rPr>
          <w:rFonts w:ascii="Times New Roman" w:hAnsi="Times New Roman" w:cs="Times New Roman"/>
          <w:bCs/>
          <w:sz w:val="24"/>
          <w:szCs w:val="24"/>
        </w:rPr>
        <w:t xml:space="preserve"> e</w:t>
      </w:r>
      <w:r w:rsidRPr="00A148F1">
        <w:rPr>
          <w:rFonts w:ascii="Times New Roman" w:hAnsi="Times New Roman" w:cs="Times New Roman"/>
          <w:bCs/>
          <w:sz w:val="24"/>
          <w:szCs w:val="24"/>
        </w:rPr>
        <w:t>m 2009, 2011 e 2012</w:t>
      </w:r>
      <w:r w:rsidR="005748D8" w:rsidRPr="00A148F1">
        <w:rPr>
          <w:rFonts w:ascii="Times New Roman" w:hAnsi="Times New Roman" w:cs="Times New Roman"/>
          <w:bCs/>
          <w:sz w:val="24"/>
          <w:szCs w:val="24"/>
        </w:rPr>
        <w:t>,</w:t>
      </w:r>
      <w:r w:rsidR="00B36067" w:rsidRPr="00A148F1">
        <w:rPr>
          <w:rFonts w:ascii="Times New Roman" w:hAnsi="Times New Roman" w:cs="Times New Roman"/>
          <w:bCs/>
          <w:sz w:val="24"/>
          <w:szCs w:val="24"/>
        </w:rPr>
        <w:t xml:space="preserve"> os </w:t>
      </w:r>
      <w:r w:rsidR="009E7D39" w:rsidRPr="00A148F1">
        <w:rPr>
          <w:rFonts w:ascii="Times New Roman" w:hAnsi="Times New Roman" w:cs="Times New Roman"/>
          <w:bCs/>
          <w:sz w:val="24"/>
          <w:szCs w:val="24"/>
        </w:rPr>
        <w:t xml:space="preserve">percentuais de aplicação em ASPS </w:t>
      </w:r>
      <w:r w:rsidR="00B36067" w:rsidRPr="00A148F1">
        <w:rPr>
          <w:rFonts w:ascii="Times New Roman" w:hAnsi="Times New Roman" w:cs="Times New Roman"/>
          <w:bCs/>
          <w:sz w:val="24"/>
          <w:szCs w:val="24"/>
        </w:rPr>
        <w:t>ficaram acima dos 20%, e</w:t>
      </w:r>
      <w:r w:rsidR="009E7D39" w:rsidRPr="00A148F1">
        <w:rPr>
          <w:rFonts w:ascii="Times New Roman" w:hAnsi="Times New Roman" w:cs="Times New Roman"/>
          <w:bCs/>
          <w:sz w:val="24"/>
          <w:szCs w:val="24"/>
        </w:rPr>
        <w:t>nquanto que</w:t>
      </w:r>
      <w:r w:rsidR="00B36067" w:rsidRPr="00A148F1">
        <w:rPr>
          <w:rFonts w:ascii="Times New Roman" w:hAnsi="Times New Roman" w:cs="Times New Roman"/>
          <w:bCs/>
          <w:sz w:val="24"/>
          <w:szCs w:val="24"/>
        </w:rPr>
        <w:t xml:space="preserve"> em 2011 e 2012 </w:t>
      </w:r>
      <w:r w:rsidRPr="00A148F1">
        <w:rPr>
          <w:rFonts w:ascii="Times New Roman" w:hAnsi="Times New Roman" w:cs="Times New Roman"/>
          <w:bCs/>
          <w:sz w:val="24"/>
          <w:szCs w:val="24"/>
        </w:rPr>
        <w:t>ficaram acima de</w:t>
      </w:r>
      <w:r w:rsidR="007601F1" w:rsidRPr="00A148F1">
        <w:rPr>
          <w:rFonts w:ascii="Times New Roman" w:hAnsi="Times New Roman" w:cs="Times New Roman"/>
          <w:bCs/>
          <w:sz w:val="24"/>
          <w:szCs w:val="24"/>
        </w:rPr>
        <w:t xml:space="preserve"> </w:t>
      </w:r>
      <w:r w:rsidRPr="00A148F1">
        <w:rPr>
          <w:rFonts w:ascii="Times New Roman" w:hAnsi="Times New Roman" w:cs="Times New Roman"/>
          <w:bCs/>
          <w:sz w:val="24"/>
          <w:szCs w:val="24"/>
        </w:rPr>
        <w:t xml:space="preserve">25% </w:t>
      </w:r>
      <w:r w:rsidR="00FB0BA8" w:rsidRPr="00A148F1">
        <w:rPr>
          <w:rFonts w:ascii="Times New Roman" w:hAnsi="Times New Roman" w:cs="Times New Roman"/>
          <w:bCs/>
          <w:sz w:val="24"/>
          <w:szCs w:val="24"/>
        </w:rPr>
        <w:t>(</w:t>
      </w:r>
      <w:r w:rsidR="00B36067" w:rsidRPr="00A148F1">
        <w:rPr>
          <w:rFonts w:ascii="Times New Roman" w:hAnsi="Times New Roman" w:cs="Times New Roman"/>
          <w:bCs/>
          <w:sz w:val="24"/>
          <w:szCs w:val="24"/>
        </w:rPr>
        <w:t>25,14% e 25,42%</w:t>
      </w:r>
      <w:r w:rsidR="007601F1" w:rsidRPr="00A148F1">
        <w:rPr>
          <w:rFonts w:ascii="Times New Roman" w:hAnsi="Times New Roman" w:cs="Times New Roman"/>
          <w:bCs/>
          <w:sz w:val="24"/>
          <w:szCs w:val="24"/>
        </w:rPr>
        <w:t>,</w:t>
      </w:r>
      <w:r w:rsidR="00B36067" w:rsidRPr="00A148F1">
        <w:rPr>
          <w:rFonts w:ascii="Times New Roman" w:hAnsi="Times New Roman" w:cs="Times New Roman"/>
          <w:bCs/>
          <w:sz w:val="24"/>
          <w:szCs w:val="24"/>
        </w:rPr>
        <w:t xml:space="preserve"> respectivamente</w:t>
      </w:r>
      <w:r w:rsidR="00FB0BA8" w:rsidRPr="00A148F1">
        <w:rPr>
          <w:rFonts w:ascii="Times New Roman" w:hAnsi="Times New Roman" w:cs="Times New Roman"/>
          <w:bCs/>
          <w:sz w:val="24"/>
          <w:szCs w:val="24"/>
        </w:rPr>
        <w:t>)</w:t>
      </w:r>
      <w:r w:rsidR="00B36067" w:rsidRPr="00A148F1">
        <w:rPr>
          <w:rFonts w:ascii="Times New Roman" w:hAnsi="Times New Roman" w:cs="Times New Roman"/>
          <w:bCs/>
          <w:sz w:val="24"/>
          <w:szCs w:val="24"/>
        </w:rPr>
        <w:t>.</w:t>
      </w:r>
    </w:p>
    <w:p w:rsidR="00E20814" w:rsidRPr="00A148F1" w:rsidRDefault="00E20814" w:rsidP="00831265">
      <w:pPr>
        <w:spacing w:after="0" w:line="240" w:lineRule="auto"/>
        <w:ind w:firstLine="708"/>
        <w:jc w:val="both"/>
        <w:rPr>
          <w:rFonts w:ascii="Times New Roman" w:hAnsi="Times New Roman" w:cs="Times New Roman"/>
          <w:bCs/>
          <w:sz w:val="24"/>
          <w:szCs w:val="24"/>
        </w:rPr>
      </w:pPr>
      <w:r w:rsidRPr="00A148F1">
        <w:rPr>
          <w:rFonts w:ascii="Times New Roman" w:hAnsi="Times New Roman" w:cs="Times New Roman"/>
          <w:bCs/>
          <w:sz w:val="24"/>
          <w:szCs w:val="24"/>
        </w:rPr>
        <w:t xml:space="preserve">Em relação ao não cumprimento </w:t>
      </w:r>
      <w:r w:rsidR="00340DB4" w:rsidRPr="00A148F1">
        <w:rPr>
          <w:rFonts w:ascii="Times New Roman" w:hAnsi="Times New Roman" w:cs="Times New Roman"/>
          <w:bCs/>
          <w:sz w:val="24"/>
          <w:szCs w:val="24"/>
        </w:rPr>
        <w:t xml:space="preserve">do limite </w:t>
      </w:r>
      <w:r w:rsidRPr="00A148F1">
        <w:rPr>
          <w:rFonts w:ascii="Times New Roman" w:hAnsi="Times New Roman" w:cs="Times New Roman"/>
          <w:bCs/>
          <w:sz w:val="24"/>
          <w:szCs w:val="24"/>
        </w:rPr>
        <w:t>nos anos</w:t>
      </w:r>
      <w:r w:rsidR="00340DB4" w:rsidRPr="00A148F1">
        <w:rPr>
          <w:rFonts w:ascii="Times New Roman" w:hAnsi="Times New Roman" w:cs="Times New Roman"/>
          <w:bCs/>
          <w:sz w:val="24"/>
          <w:szCs w:val="24"/>
        </w:rPr>
        <w:t xml:space="preserve"> de </w:t>
      </w:r>
      <w:r w:rsidRPr="00A148F1">
        <w:rPr>
          <w:rFonts w:ascii="Times New Roman" w:hAnsi="Times New Roman" w:cs="Times New Roman"/>
          <w:bCs/>
          <w:sz w:val="24"/>
          <w:szCs w:val="24"/>
        </w:rPr>
        <w:t xml:space="preserve">2001 a 2003, cabe uma observação, pois, conforme §1º do art. 77 do Ato das Disposições Constitucionais Transitórias (ADCT), incluído pela da Emenda Constitucional n.º 29/2000, os “Municípios que apliquem percentuais inferiores aos fixados nos incisos II e III deverão elevá-los gradualmente, até o exercício </w:t>
      </w:r>
      <w:proofErr w:type="gramStart"/>
      <w:r w:rsidRPr="00A148F1">
        <w:rPr>
          <w:rFonts w:ascii="Times New Roman" w:hAnsi="Times New Roman" w:cs="Times New Roman"/>
          <w:bCs/>
          <w:sz w:val="24"/>
          <w:szCs w:val="24"/>
        </w:rPr>
        <w:t>financeiro de 2004, reduzida</w:t>
      </w:r>
      <w:proofErr w:type="gramEnd"/>
      <w:r w:rsidRPr="00A148F1">
        <w:rPr>
          <w:rFonts w:ascii="Times New Roman" w:hAnsi="Times New Roman" w:cs="Times New Roman"/>
          <w:bCs/>
          <w:sz w:val="24"/>
          <w:szCs w:val="24"/>
        </w:rPr>
        <w:t xml:space="preserve"> a diferença à razão de, pelo menos, um quinto por ano [...]” (BRASIL, 1988, ADCT, art. 77, § 1º).</w:t>
      </w:r>
    </w:p>
    <w:p w:rsidR="005F72AF" w:rsidRDefault="007601F1" w:rsidP="00831265">
      <w:pPr>
        <w:spacing w:after="0" w:line="240" w:lineRule="auto"/>
        <w:ind w:firstLine="709"/>
        <w:jc w:val="both"/>
        <w:rPr>
          <w:rFonts w:ascii="Times New Roman" w:hAnsi="Times New Roman" w:cs="Times New Roman"/>
          <w:bCs/>
          <w:sz w:val="24"/>
          <w:szCs w:val="24"/>
        </w:rPr>
      </w:pPr>
      <w:r w:rsidRPr="00A148F1">
        <w:rPr>
          <w:rFonts w:ascii="Times New Roman" w:hAnsi="Times New Roman" w:cs="Times New Roman"/>
          <w:bCs/>
          <w:sz w:val="24"/>
          <w:szCs w:val="24"/>
        </w:rPr>
        <w:t>No G</w:t>
      </w:r>
      <w:r w:rsidR="00711680" w:rsidRPr="00A148F1">
        <w:rPr>
          <w:rFonts w:ascii="Times New Roman" w:hAnsi="Times New Roman" w:cs="Times New Roman"/>
          <w:bCs/>
          <w:sz w:val="24"/>
          <w:szCs w:val="24"/>
        </w:rPr>
        <w:t xml:space="preserve">ráfico </w:t>
      </w:r>
      <w:proofErr w:type="gramStart"/>
      <w:r w:rsidR="00711680" w:rsidRPr="00A148F1">
        <w:rPr>
          <w:rFonts w:ascii="Times New Roman" w:hAnsi="Times New Roman" w:cs="Times New Roman"/>
          <w:bCs/>
          <w:sz w:val="24"/>
          <w:szCs w:val="24"/>
        </w:rPr>
        <w:t>1</w:t>
      </w:r>
      <w:proofErr w:type="gramEnd"/>
      <w:r w:rsidR="00711680" w:rsidRPr="00A148F1">
        <w:rPr>
          <w:rFonts w:ascii="Times New Roman" w:hAnsi="Times New Roman" w:cs="Times New Roman"/>
          <w:bCs/>
          <w:sz w:val="24"/>
          <w:szCs w:val="24"/>
        </w:rPr>
        <w:t xml:space="preserve"> </w:t>
      </w:r>
      <w:r w:rsidR="001C5976" w:rsidRPr="00A148F1">
        <w:rPr>
          <w:rFonts w:ascii="Times New Roman" w:hAnsi="Times New Roman" w:cs="Times New Roman"/>
          <w:bCs/>
          <w:sz w:val="24"/>
          <w:szCs w:val="24"/>
        </w:rPr>
        <w:t xml:space="preserve">pode-se visualizar a comparação dos percentuais de ASPS da </w:t>
      </w:r>
      <w:r w:rsidRPr="00A148F1">
        <w:rPr>
          <w:rFonts w:ascii="Times New Roman" w:hAnsi="Times New Roman" w:cs="Times New Roman"/>
          <w:bCs/>
          <w:sz w:val="24"/>
          <w:szCs w:val="24"/>
        </w:rPr>
        <w:t>T</w:t>
      </w:r>
      <w:r w:rsidR="001C5976" w:rsidRPr="00A148F1">
        <w:rPr>
          <w:rFonts w:ascii="Times New Roman" w:hAnsi="Times New Roman" w:cs="Times New Roman"/>
          <w:bCs/>
          <w:sz w:val="24"/>
          <w:szCs w:val="24"/>
        </w:rPr>
        <w:t>abela 1 entre os dados da PMF e do TCE/SC, comparando também com o mín</w:t>
      </w:r>
      <w:r w:rsidR="00804FD2" w:rsidRPr="00A148F1">
        <w:rPr>
          <w:rFonts w:ascii="Times New Roman" w:hAnsi="Times New Roman" w:cs="Times New Roman"/>
          <w:bCs/>
          <w:sz w:val="24"/>
          <w:szCs w:val="24"/>
        </w:rPr>
        <w:t>imo de aplicação em saúde estabelecido na Constituição Federal.</w:t>
      </w:r>
    </w:p>
    <w:p w:rsidR="00A31187" w:rsidRPr="00A148F1" w:rsidRDefault="00A31187" w:rsidP="00831265">
      <w:pPr>
        <w:spacing w:after="0" w:line="240" w:lineRule="auto"/>
        <w:ind w:firstLine="709"/>
        <w:jc w:val="both"/>
        <w:rPr>
          <w:rFonts w:ascii="Times New Roman" w:hAnsi="Times New Roman" w:cs="Times New Roman"/>
          <w:bCs/>
          <w:sz w:val="24"/>
          <w:szCs w:val="24"/>
        </w:rPr>
      </w:pPr>
    </w:p>
    <w:p w:rsidR="00D41A70" w:rsidRPr="00A148F1" w:rsidRDefault="00711680" w:rsidP="007E3C5C">
      <w:pPr>
        <w:spacing w:after="0"/>
        <w:jc w:val="center"/>
        <w:rPr>
          <w:rFonts w:ascii="Times New Roman" w:hAnsi="Times New Roman" w:cs="Times New Roman"/>
          <w:b/>
          <w:sz w:val="24"/>
          <w:szCs w:val="24"/>
        </w:rPr>
      </w:pPr>
      <w:r w:rsidRPr="00A148F1">
        <w:rPr>
          <w:rFonts w:ascii="Times New Roman" w:hAnsi="Times New Roman" w:cs="Times New Roman"/>
          <w:b/>
          <w:sz w:val="24"/>
          <w:szCs w:val="24"/>
        </w:rPr>
        <w:t>Gráfico 1</w:t>
      </w:r>
      <w:r w:rsidR="00D41A70" w:rsidRPr="00A148F1">
        <w:rPr>
          <w:rFonts w:ascii="Times New Roman" w:hAnsi="Times New Roman" w:cs="Times New Roman"/>
          <w:b/>
          <w:sz w:val="24"/>
          <w:szCs w:val="24"/>
        </w:rPr>
        <w:t xml:space="preserve"> – Comparação do</w:t>
      </w:r>
      <w:r w:rsidR="007601F1" w:rsidRPr="00A148F1">
        <w:rPr>
          <w:rFonts w:ascii="Times New Roman" w:hAnsi="Times New Roman" w:cs="Times New Roman"/>
          <w:b/>
          <w:sz w:val="24"/>
          <w:szCs w:val="24"/>
        </w:rPr>
        <w:t>s</w:t>
      </w:r>
      <w:r w:rsidR="00D41A70" w:rsidRPr="00A148F1">
        <w:rPr>
          <w:rFonts w:ascii="Times New Roman" w:hAnsi="Times New Roman" w:cs="Times New Roman"/>
          <w:b/>
          <w:sz w:val="24"/>
          <w:szCs w:val="24"/>
        </w:rPr>
        <w:t xml:space="preserve"> índice</w:t>
      </w:r>
      <w:r w:rsidR="007601F1" w:rsidRPr="00A148F1">
        <w:rPr>
          <w:rFonts w:ascii="Times New Roman" w:hAnsi="Times New Roman" w:cs="Times New Roman"/>
          <w:b/>
          <w:sz w:val="24"/>
          <w:szCs w:val="24"/>
        </w:rPr>
        <w:t>s</w:t>
      </w:r>
      <w:r w:rsidR="00D41A70" w:rsidRPr="00A148F1">
        <w:rPr>
          <w:rFonts w:ascii="Times New Roman" w:hAnsi="Times New Roman" w:cs="Times New Roman"/>
          <w:b/>
          <w:sz w:val="24"/>
          <w:szCs w:val="24"/>
        </w:rPr>
        <w:t xml:space="preserve"> </w:t>
      </w:r>
      <w:r w:rsidR="009E7D39" w:rsidRPr="00A148F1">
        <w:rPr>
          <w:rFonts w:ascii="Times New Roman" w:hAnsi="Times New Roman" w:cs="Times New Roman"/>
          <w:b/>
          <w:sz w:val="24"/>
          <w:szCs w:val="24"/>
        </w:rPr>
        <w:t>de aplicação</w:t>
      </w:r>
      <w:r w:rsidR="00D41A70" w:rsidRPr="00A148F1">
        <w:rPr>
          <w:rFonts w:ascii="Times New Roman" w:hAnsi="Times New Roman" w:cs="Times New Roman"/>
          <w:b/>
          <w:sz w:val="24"/>
          <w:szCs w:val="24"/>
        </w:rPr>
        <w:t xml:space="preserve"> em ASPS </w:t>
      </w:r>
      <w:r w:rsidR="007078E7" w:rsidRPr="00A148F1">
        <w:rPr>
          <w:rFonts w:ascii="Times New Roman" w:hAnsi="Times New Roman" w:cs="Times New Roman"/>
          <w:b/>
          <w:sz w:val="24"/>
          <w:szCs w:val="24"/>
        </w:rPr>
        <w:t xml:space="preserve">           </w:t>
      </w:r>
      <w:r w:rsidR="00A148F1">
        <w:rPr>
          <w:rFonts w:ascii="Times New Roman" w:hAnsi="Times New Roman" w:cs="Times New Roman"/>
          <w:b/>
          <w:sz w:val="24"/>
          <w:szCs w:val="24"/>
        </w:rPr>
        <w:t xml:space="preserve">    </w:t>
      </w:r>
      <w:r w:rsidR="007078E7" w:rsidRPr="00A148F1">
        <w:rPr>
          <w:rFonts w:ascii="Times New Roman" w:hAnsi="Times New Roman" w:cs="Times New Roman"/>
          <w:b/>
          <w:sz w:val="24"/>
          <w:szCs w:val="24"/>
        </w:rPr>
        <w:t xml:space="preserve">                              </w:t>
      </w:r>
      <w:r w:rsidR="007601F1" w:rsidRPr="00A148F1">
        <w:rPr>
          <w:rFonts w:ascii="Times New Roman" w:hAnsi="Times New Roman" w:cs="Times New Roman"/>
          <w:b/>
          <w:sz w:val="24"/>
          <w:szCs w:val="24"/>
        </w:rPr>
        <w:t>em relação a</w:t>
      </w:r>
      <w:r w:rsidR="00D41A70" w:rsidRPr="00A148F1">
        <w:rPr>
          <w:rFonts w:ascii="Times New Roman" w:hAnsi="Times New Roman" w:cs="Times New Roman"/>
          <w:b/>
          <w:sz w:val="24"/>
          <w:szCs w:val="24"/>
        </w:rPr>
        <w:t xml:space="preserve">o mínimo </w:t>
      </w:r>
      <w:r w:rsidR="00D41A70" w:rsidRPr="00A148F1">
        <w:rPr>
          <w:rFonts w:ascii="Times New Roman" w:eastAsia="Times New Roman" w:hAnsi="Times New Roman" w:cs="Times New Roman"/>
          <w:b/>
          <w:bCs/>
          <w:color w:val="000000"/>
          <w:sz w:val="24"/>
          <w:szCs w:val="24"/>
        </w:rPr>
        <w:t>– 2000 a 2015</w:t>
      </w:r>
    </w:p>
    <w:p w:rsidR="00D41A70" w:rsidRDefault="007E01E9" w:rsidP="00D41A70">
      <w:pPr>
        <w:spacing w:after="0" w:line="240" w:lineRule="auto"/>
        <w:rPr>
          <w:rFonts w:ascii="Times New Roman" w:hAnsi="Times New Roman" w:cs="Times New Roman"/>
          <w:b/>
          <w:sz w:val="24"/>
          <w:szCs w:val="24"/>
        </w:rPr>
      </w:pPr>
      <w:r w:rsidRPr="007E01E9">
        <w:rPr>
          <w:rFonts w:ascii="Times New Roman" w:hAnsi="Times New Roman" w:cs="Times New Roman"/>
          <w:b/>
          <w:noProof/>
          <w:sz w:val="24"/>
          <w:szCs w:val="24"/>
        </w:rPr>
        <w:drawing>
          <wp:inline distT="0" distB="0" distL="0" distR="0">
            <wp:extent cx="5743465" cy="2591491"/>
            <wp:effectExtent l="19050" t="0" r="9635" b="0"/>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bl>
      <w:tblPr>
        <w:tblStyle w:val="Tabelacomgrade"/>
        <w:tblW w:w="4884" w:type="pct"/>
        <w:tblInd w:w="108" w:type="dxa"/>
        <w:tblBorders>
          <w:top w:val="none" w:sz="0" w:space="0" w:color="auto"/>
          <w:left w:val="none" w:sz="0" w:space="0" w:color="auto"/>
          <w:bottom w:val="none" w:sz="0" w:space="0" w:color="auto"/>
          <w:right w:val="none" w:sz="0" w:space="0" w:color="auto"/>
        </w:tblBorders>
        <w:tblLook w:val="04A0"/>
      </w:tblPr>
      <w:tblGrid>
        <w:gridCol w:w="9072"/>
      </w:tblGrid>
      <w:tr w:rsidR="00D41A70" w:rsidTr="00465B04">
        <w:tc>
          <w:tcPr>
            <w:tcW w:w="5000" w:type="pct"/>
          </w:tcPr>
          <w:p w:rsidR="00D41A70" w:rsidRDefault="00D41A70" w:rsidP="007917AA">
            <w:pPr>
              <w:jc w:val="both"/>
              <w:rPr>
                <w:rFonts w:ascii="Times New Roman" w:eastAsia="Times New Roman" w:hAnsi="Times New Roman" w:cs="Times New Roman"/>
                <w:color w:val="000000"/>
                <w:sz w:val="20"/>
                <w:szCs w:val="20"/>
              </w:rPr>
            </w:pPr>
            <w:r w:rsidRPr="00475DA5">
              <w:rPr>
                <w:rFonts w:ascii="Times New Roman" w:eastAsia="Times New Roman" w:hAnsi="Times New Roman" w:cs="Times New Roman"/>
                <w:color w:val="000000"/>
                <w:sz w:val="20"/>
                <w:szCs w:val="20"/>
              </w:rPr>
              <w:t xml:space="preserve">Siglas: </w:t>
            </w:r>
            <w:r>
              <w:rPr>
                <w:rFonts w:ascii="Times New Roman" w:eastAsia="Times New Roman" w:hAnsi="Times New Roman" w:cs="Times New Roman"/>
                <w:color w:val="000000"/>
                <w:sz w:val="20"/>
                <w:szCs w:val="20"/>
              </w:rPr>
              <w:t>ASPS = Ações e Serviços Públicos de Saúde; PMF = Prefeitura Municipal de Florianópolis; TCE/SC = Tribunal de Contas do Estado de Santa Catarina.</w:t>
            </w:r>
          </w:p>
        </w:tc>
      </w:tr>
      <w:tr w:rsidR="00D41A70" w:rsidTr="00465B04">
        <w:tc>
          <w:tcPr>
            <w:tcW w:w="5000" w:type="pct"/>
          </w:tcPr>
          <w:p w:rsidR="00D41A70" w:rsidRDefault="00D41A70" w:rsidP="0084647B">
            <w:pPr>
              <w:spacing w:after="12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F</w:t>
            </w:r>
            <w:r w:rsidRPr="00475DA5">
              <w:rPr>
                <w:rFonts w:ascii="Times New Roman" w:eastAsia="Times New Roman" w:hAnsi="Times New Roman" w:cs="Times New Roman"/>
                <w:color w:val="000000"/>
                <w:sz w:val="20"/>
                <w:szCs w:val="20"/>
              </w:rPr>
              <w:t xml:space="preserve">onte: Elaborado pelos autores a partir de </w:t>
            </w:r>
            <w:r>
              <w:rPr>
                <w:rFonts w:ascii="Times New Roman" w:eastAsia="Times New Roman" w:hAnsi="Times New Roman" w:cs="Times New Roman"/>
                <w:color w:val="000000"/>
                <w:sz w:val="20"/>
                <w:szCs w:val="20"/>
              </w:rPr>
              <w:t xml:space="preserve">dados do </w:t>
            </w:r>
            <w:r w:rsidR="000D7EF7">
              <w:rPr>
                <w:rFonts w:ascii="Times New Roman" w:eastAsia="Times New Roman" w:hAnsi="Times New Roman" w:cs="Times New Roman"/>
                <w:color w:val="000000"/>
                <w:sz w:val="20"/>
                <w:szCs w:val="20"/>
              </w:rPr>
              <w:t>Demonstrativo das Receitas e Despesas com Ações e Serviços Públicos de Saúde</w:t>
            </w:r>
            <w:r>
              <w:rPr>
                <w:rFonts w:ascii="Times New Roman" w:eastAsia="Times New Roman" w:hAnsi="Times New Roman" w:cs="Times New Roman"/>
                <w:color w:val="000000"/>
                <w:sz w:val="20"/>
                <w:szCs w:val="20"/>
              </w:rPr>
              <w:t xml:space="preserve"> d</w:t>
            </w:r>
            <w:r w:rsidR="0084647B">
              <w:rPr>
                <w:rFonts w:ascii="Times New Roman" w:eastAsia="Times New Roman" w:hAnsi="Times New Roman" w:cs="Times New Roman"/>
                <w:color w:val="000000"/>
                <w:sz w:val="20"/>
                <w:szCs w:val="20"/>
              </w:rPr>
              <w:t>e</w:t>
            </w:r>
            <w:r>
              <w:rPr>
                <w:rFonts w:ascii="Times New Roman" w:eastAsia="Times New Roman" w:hAnsi="Times New Roman" w:cs="Times New Roman"/>
                <w:color w:val="000000"/>
                <w:sz w:val="20"/>
                <w:szCs w:val="20"/>
              </w:rPr>
              <w:t xml:space="preserve"> Florianópolis (PMF, 2000 a 2015) e da</w:t>
            </w:r>
            <w:r w:rsidRPr="00475DA5">
              <w:rPr>
                <w:rFonts w:ascii="Times New Roman" w:eastAsia="Times New Roman" w:hAnsi="Times New Roman" w:cs="Times New Roman"/>
                <w:color w:val="000000"/>
                <w:sz w:val="20"/>
                <w:szCs w:val="20"/>
              </w:rPr>
              <w:t>do</w:t>
            </w:r>
            <w:r>
              <w:rPr>
                <w:rFonts w:ascii="Times New Roman" w:eastAsia="Times New Roman" w:hAnsi="Times New Roman" w:cs="Times New Roman"/>
                <w:color w:val="000000"/>
                <w:sz w:val="20"/>
                <w:szCs w:val="20"/>
              </w:rPr>
              <w:t>s do TCE/SC (2016</w:t>
            </w:r>
            <w:r w:rsidRPr="00475DA5">
              <w:rPr>
                <w:rFonts w:ascii="Times New Roman" w:eastAsia="Times New Roman" w:hAnsi="Times New Roman" w:cs="Times New Roman"/>
                <w:color w:val="000000"/>
                <w:sz w:val="20"/>
                <w:szCs w:val="20"/>
              </w:rPr>
              <w:t>).</w:t>
            </w:r>
            <w:r w:rsidR="00711680">
              <w:rPr>
                <w:rFonts w:ascii="Times New Roman" w:eastAsia="Times New Roman" w:hAnsi="Times New Roman" w:cs="Times New Roman"/>
                <w:color w:val="000000"/>
                <w:sz w:val="20"/>
                <w:szCs w:val="20"/>
              </w:rPr>
              <w:t xml:space="preserve"> Tabela 1</w:t>
            </w:r>
            <w:r>
              <w:rPr>
                <w:rFonts w:ascii="Times New Roman" w:eastAsia="Times New Roman" w:hAnsi="Times New Roman" w:cs="Times New Roman"/>
                <w:color w:val="000000"/>
                <w:sz w:val="20"/>
                <w:szCs w:val="20"/>
              </w:rPr>
              <w:t>.</w:t>
            </w:r>
          </w:p>
        </w:tc>
      </w:tr>
    </w:tbl>
    <w:p w:rsidR="002B7EFC" w:rsidRPr="00A148F1" w:rsidRDefault="002B7EFC" w:rsidP="00831265">
      <w:pPr>
        <w:spacing w:after="0" w:line="240" w:lineRule="auto"/>
        <w:ind w:firstLine="709"/>
        <w:jc w:val="both"/>
        <w:rPr>
          <w:rFonts w:ascii="Times New Roman" w:hAnsi="Times New Roman" w:cs="Times New Roman"/>
          <w:bCs/>
          <w:sz w:val="24"/>
          <w:szCs w:val="24"/>
        </w:rPr>
      </w:pPr>
      <w:r w:rsidRPr="00A148F1">
        <w:rPr>
          <w:rFonts w:ascii="Times New Roman" w:hAnsi="Times New Roman" w:cs="Times New Roman"/>
          <w:bCs/>
          <w:sz w:val="24"/>
          <w:szCs w:val="24"/>
        </w:rPr>
        <w:t xml:space="preserve">Percebe-se no Gráfico </w:t>
      </w:r>
      <w:proofErr w:type="gramStart"/>
      <w:r w:rsidRPr="00A148F1">
        <w:rPr>
          <w:rFonts w:ascii="Times New Roman" w:hAnsi="Times New Roman" w:cs="Times New Roman"/>
          <w:bCs/>
          <w:sz w:val="24"/>
          <w:szCs w:val="24"/>
        </w:rPr>
        <w:t>1</w:t>
      </w:r>
      <w:proofErr w:type="gramEnd"/>
      <w:r w:rsidR="009E7D39" w:rsidRPr="00A148F1">
        <w:rPr>
          <w:rFonts w:ascii="Times New Roman" w:hAnsi="Times New Roman" w:cs="Times New Roman"/>
          <w:bCs/>
          <w:sz w:val="24"/>
          <w:szCs w:val="24"/>
        </w:rPr>
        <w:t xml:space="preserve"> que nos anos de 2008 e 2010</w:t>
      </w:r>
      <w:r w:rsidRPr="00A148F1">
        <w:rPr>
          <w:rFonts w:ascii="Times New Roman" w:hAnsi="Times New Roman" w:cs="Times New Roman"/>
          <w:bCs/>
          <w:sz w:val="24"/>
          <w:szCs w:val="24"/>
        </w:rPr>
        <w:t xml:space="preserve"> o percentual de aplicação conforme PMF foi bem superior em </w:t>
      </w:r>
      <w:r w:rsidR="000215EC" w:rsidRPr="00A148F1">
        <w:rPr>
          <w:rFonts w:ascii="Times New Roman" w:hAnsi="Times New Roman" w:cs="Times New Roman"/>
          <w:bCs/>
          <w:sz w:val="24"/>
          <w:szCs w:val="24"/>
        </w:rPr>
        <w:t xml:space="preserve">relação ao outros anos da série – </w:t>
      </w:r>
      <w:r w:rsidRPr="00A148F1">
        <w:rPr>
          <w:rFonts w:ascii="Times New Roman" w:hAnsi="Times New Roman" w:cs="Times New Roman"/>
          <w:bCs/>
          <w:sz w:val="24"/>
          <w:szCs w:val="24"/>
        </w:rPr>
        <w:t xml:space="preserve">mesmo se comparado aos dados </w:t>
      </w:r>
      <w:r w:rsidR="000215EC" w:rsidRPr="00A148F1">
        <w:rPr>
          <w:rFonts w:ascii="Times New Roman" w:hAnsi="Times New Roman" w:cs="Times New Roman"/>
          <w:bCs/>
          <w:sz w:val="24"/>
          <w:szCs w:val="24"/>
        </w:rPr>
        <w:t>do</w:t>
      </w:r>
      <w:r w:rsidRPr="00A148F1">
        <w:rPr>
          <w:rFonts w:ascii="Times New Roman" w:hAnsi="Times New Roman" w:cs="Times New Roman"/>
          <w:bCs/>
          <w:sz w:val="24"/>
          <w:szCs w:val="24"/>
        </w:rPr>
        <w:t xml:space="preserve"> TCE/SC. Percebe-se também que em 2011 e 2012 o percentual de aplicação</w:t>
      </w:r>
      <w:r w:rsidR="005748D8" w:rsidRPr="00A148F1">
        <w:rPr>
          <w:rFonts w:ascii="Times New Roman" w:hAnsi="Times New Roman" w:cs="Times New Roman"/>
          <w:bCs/>
          <w:sz w:val="24"/>
          <w:szCs w:val="24"/>
        </w:rPr>
        <w:t>,</w:t>
      </w:r>
      <w:r w:rsidRPr="00A148F1">
        <w:rPr>
          <w:rFonts w:ascii="Times New Roman" w:hAnsi="Times New Roman" w:cs="Times New Roman"/>
          <w:bCs/>
          <w:sz w:val="24"/>
          <w:szCs w:val="24"/>
        </w:rPr>
        <w:t xml:space="preserve"> </w:t>
      </w:r>
      <w:r w:rsidRPr="00A148F1">
        <w:rPr>
          <w:rFonts w:ascii="Times New Roman" w:hAnsi="Times New Roman" w:cs="Times New Roman"/>
          <w:bCs/>
          <w:sz w:val="24"/>
          <w:szCs w:val="24"/>
        </w:rPr>
        <w:lastRenderedPageBreak/>
        <w:t>conforme o TCE/SC</w:t>
      </w:r>
      <w:r w:rsidR="005748D8" w:rsidRPr="00A148F1">
        <w:rPr>
          <w:rFonts w:ascii="Times New Roman" w:hAnsi="Times New Roman" w:cs="Times New Roman"/>
          <w:bCs/>
          <w:sz w:val="24"/>
          <w:szCs w:val="24"/>
        </w:rPr>
        <w:t>,</w:t>
      </w:r>
      <w:r w:rsidRPr="00A148F1">
        <w:rPr>
          <w:rFonts w:ascii="Times New Roman" w:hAnsi="Times New Roman" w:cs="Times New Roman"/>
          <w:bCs/>
          <w:sz w:val="24"/>
          <w:szCs w:val="24"/>
        </w:rPr>
        <w:t xml:space="preserve"> foi superior aos outros anos, atingindo os maiores </w:t>
      </w:r>
      <w:r w:rsidR="00FB0BA8" w:rsidRPr="00A148F1">
        <w:rPr>
          <w:rFonts w:ascii="Times New Roman" w:hAnsi="Times New Roman" w:cs="Times New Roman"/>
          <w:bCs/>
          <w:sz w:val="24"/>
          <w:szCs w:val="24"/>
        </w:rPr>
        <w:t>patamares</w:t>
      </w:r>
      <w:r w:rsidRPr="00A148F1">
        <w:rPr>
          <w:rFonts w:ascii="Times New Roman" w:hAnsi="Times New Roman" w:cs="Times New Roman"/>
          <w:bCs/>
          <w:sz w:val="24"/>
          <w:szCs w:val="24"/>
        </w:rPr>
        <w:t xml:space="preserve"> ao longo da série histórica.</w:t>
      </w:r>
    </w:p>
    <w:p w:rsidR="002B7EFC" w:rsidRPr="00A148F1" w:rsidRDefault="002B7EFC" w:rsidP="00831265">
      <w:pPr>
        <w:spacing w:after="0" w:line="240" w:lineRule="auto"/>
        <w:ind w:firstLine="709"/>
        <w:jc w:val="both"/>
        <w:rPr>
          <w:rFonts w:ascii="Times New Roman" w:hAnsi="Times New Roman" w:cs="Times New Roman"/>
          <w:bCs/>
          <w:sz w:val="24"/>
          <w:szCs w:val="24"/>
        </w:rPr>
      </w:pPr>
      <w:r w:rsidRPr="00A148F1">
        <w:rPr>
          <w:rFonts w:ascii="Times New Roman" w:hAnsi="Times New Roman" w:cs="Times New Roman"/>
          <w:bCs/>
          <w:sz w:val="24"/>
          <w:szCs w:val="24"/>
        </w:rPr>
        <w:t>Destaca-se</w:t>
      </w:r>
      <w:r w:rsidR="00FB0BA8" w:rsidRPr="00A148F1">
        <w:rPr>
          <w:rFonts w:ascii="Times New Roman" w:hAnsi="Times New Roman" w:cs="Times New Roman"/>
          <w:bCs/>
          <w:sz w:val="24"/>
          <w:szCs w:val="24"/>
        </w:rPr>
        <w:t>,</w:t>
      </w:r>
      <w:r w:rsidRPr="00A148F1">
        <w:rPr>
          <w:rFonts w:ascii="Times New Roman" w:hAnsi="Times New Roman" w:cs="Times New Roman"/>
          <w:bCs/>
          <w:sz w:val="24"/>
          <w:szCs w:val="24"/>
        </w:rPr>
        <w:t xml:space="preserve"> ainda no Gráfico </w:t>
      </w:r>
      <w:proofErr w:type="gramStart"/>
      <w:r w:rsidRPr="00A148F1">
        <w:rPr>
          <w:rFonts w:ascii="Times New Roman" w:hAnsi="Times New Roman" w:cs="Times New Roman"/>
          <w:bCs/>
          <w:sz w:val="24"/>
          <w:szCs w:val="24"/>
        </w:rPr>
        <w:t>1</w:t>
      </w:r>
      <w:proofErr w:type="gramEnd"/>
      <w:r w:rsidRPr="00A148F1">
        <w:rPr>
          <w:rFonts w:ascii="Times New Roman" w:hAnsi="Times New Roman" w:cs="Times New Roman"/>
          <w:bCs/>
          <w:sz w:val="24"/>
          <w:szCs w:val="24"/>
        </w:rPr>
        <w:t xml:space="preserve">, </w:t>
      </w:r>
      <w:r w:rsidR="003F4D2B" w:rsidRPr="00A148F1">
        <w:rPr>
          <w:rFonts w:ascii="Times New Roman" w:hAnsi="Times New Roman" w:cs="Times New Roman"/>
          <w:bCs/>
          <w:sz w:val="24"/>
          <w:szCs w:val="24"/>
        </w:rPr>
        <w:t xml:space="preserve">o não </w:t>
      </w:r>
      <w:r w:rsidRPr="00A148F1">
        <w:rPr>
          <w:rFonts w:ascii="Times New Roman" w:hAnsi="Times New Roman" w:cs="Times New Roman"/>
          <w:bCs/>
          <w:sz w:val="24"/>
          <w:szCs w:val="24"/>
        </w:rPr>
        <w:t>cumprimento do mínimo estabelecido constitucionalmente</w:t>
      </w:r>
      <w:r w:rsidR="00E11625" w:rsidRPr="00A148F1">
        <w:rPr>
          <w:rFonts w:ascii="Times New Roman" w:hAnsi="Times New Roman" w:cs="Times New Roman"/>
          <w:bCs/>
          <w:sz w:val="24"/>
          <w:szCs w:val="24"/>
        </w:rPr>
        <w:t xml:space="preserve"> </w:t>
      </w:r>
      <w:r w:rsidR="009D69A2" w:rsidRPr="00A148F1">
        <w:rPr>
          <w:rFonts w:ascii="Times New Roman" w:hAnsi="Times New Roman" w:cs="Times New Roman"/>
          <w:bCs/>
          <w:sz w:val="24"/>
          <w:szCs w:val="24"/>
        </w:rPr>
        <w:t>nos anos de</w:t>
      </w:r>
      <w:r w:rsidR="003F4D2B" w:rsidRPr="00A148F1">
        <w:rPr>
          <w:rFonts w:ascii="Times New Roman" w:hAnsi="Times New Roman" w:cs="Times New Roman"/>
          <w:bCs/>
          <w:sz w:val="24"/>
          <w:szCs w:val="24"/>
        </w:rPr>
        <w:t xml:space="preserve"> 2001 e 2003</w:t>
      </w:r>
      <w:r w:rsidR="009E7D39" w:rsidRPr="00A148F1">
        <w:rPr>
          <w:rFonts w:ascii="Times New Roman" w:hAnsi="Times New Roman" w:cs="Times New Roman"/>
          <w:bCs/>
          <w:sz w:val="24"/>
          <w:szCs w:val="24"/>
        </w:rPr>
        <w:t>,</w:t>
      </w:r>
      <w:r w:rsidR="003F4D2B" w:rsidRPr="00A148F1">
        <w:rPr>
          <w:rFonts w:ascii="Times New Roman" w:hAnsi="Times New Roman" w:cs="Times New Roman"/>
          <w:bCs/>
          <w:sz w:val="24"/>
          <w:szCs w:val="24"/>
        </w:rPr>
        <w:t xml:space="preserve"> de acordo com </w:t>
      </w:r>
      <w:r w:rsidR="009D69A2" w:rsidRPr="00A148F1">
        <w:rPr>
          <w:rFonts w:ascii="Times New Roman" w:hAnsi="Times New Roman" w:cs="Times New Roman"/>
          <w:bCs/>
          <w:sz w:val="24"/>
          <w:szCs w:val="24"/>
        </w:rPr>
        <w:t xml:space="preserve">o </w:t>
      </w:r>
      <w:r w:rsidR="003F4D2B" w:rsidRPr="00A148F1">
        <w:rPr>
          <w:rFonts w:ascii="Times New Roman" w:hAnsi="Times New Roman" w:cs="Times New Roman"/>
          <w:bCs/>
          <w:sz w:val="24"/>
          <w:szCs w:val="24"/>
        </w:rPr>
        <w:t>TCE/SC (14,78% e 14,44%, respectivamente), e 2002 e 2003</w:t>
      </w:r>
      <w:r w:rsidR="009E7D39" w:rsidRPr="00A148F1">
        <w:rPr>
          <w:rFonts w:ascii="Times New Roman" w:hAnsi="Times New Roman" w:cs="Times New Roman"/>
          <w:bCs/>
          <w:sz w:val="24"/>
          <w:szCs w:val="24"/>
        </w:rPr>
        <w:t>,</w:t>
      </w:r>
      <w:r w:rsidR="003F4D2B" w:rsidRPr="00A148F1">
        <w:rPr>
          <w:rFonts w:ascii="Times New Roman" w:hAnsi="Times New Roman" w:cs="Times New Roman"/>
          <w:bCs/>
          <w:sz w:val="24"/>
          <w:szCs w:val="24"/>
        </w:rPr>
        <w:t xml:space="preserve"> conforme a PMF (11,31% e 12,32%, respectivamente)</w:t>
      </w:r>
      <w:r w:rsidR="00E11625" w:rsidRPr="00A148F1">
        <w:rPr>
          <w:rFonts w:ascii="Times New Roman" w:hAnsi="Times New Roman" w:cs="Times New Roman"/>
          <w:bCs/>
          <w:sz w:val="24"/>
          <w:szCs w:val="24"/>
        </w:rPr>
        <w:t>.</w:t>
      </w:r>
    </w:p>
    <w:p w:rsidR="00203B12" w:rsidRPr="00A148F1" w:rsidRDefault="00203B12" w:rsidP="00983013">
      <w:pPr>
        <w:spacing w:after="0" w:line="240" w:lineRule="auto"/>
        <w:ind w:firstLine="709"/>
        <w:jc w:val="both"/>
        <w:rPr>
          <w:rFonts w:ascii="Times New Roman" w:hAnsi="Times New Roman" w:cs="Times New Roman"/>
          <w:bCs/>
          <w:sz w:val="24"/>
          <w:szCs w:val="24"/>
        </w:rPr>
      </w:pPr>
    </w:p>
    <w:p w:rsidR="00B64C3A" w:rsidRPr="00A148F1" w:rsidRDefault="00B64C3A" w:rsidP="00203B12">
      <w:pPr>
        <w:pStyle w:val="Ttulo2"/>
        <w:rPr>
          <w:rFonts w:ascii="Times New Roman" w:hAnsi="Times New Roman"/>
          <w:sz w:val="24"/>
        </w:rPr>
      </w:pPr>
      <w:r w:rsidRPr="00A148F1">
        <w:rPr>
          <w:rFonts w:ascii="Times New Roman" w:eastAsiaTheme="minorEastAsia" w:hAnsi="Times New Roman"/>
          <w:sz w:val="24"/>
        </w:rPr>
        <w:t>Análise dos resultados</w:t>
      </w:r>
    </w:p>
    <w:p w:rsidR="00B339D7" w:rsidRPr="00A148F1" w:rsidRDefault="00B339D7" w:rsidP="00831265">
      <w:pPr>
        <w:spacing w:after="0" w:line="240" w:lineRule="auto"/>
        <w:ind w:firstLine="709"/>
        <w:jc w:val="both"/>
        <w:rPr>
          <w:rFonts w:ascii="Times New Roman" w:hAnsi="Times New Roman" w:cs="Times New Roman"/>
          <w:bCs/>
          <w:sz w:val="24"/>
          <w:szCs w:val="24"/>
        </w:rPr>
      </w:pPr>
      <w:r w:rsidRPr="00A148F1">
        <w:rPr>
          <w:rFonts w:ascii="Times New Roman" w:hAnsi="Times New Roman" w:cs="Times New Roman"/>
          <w:bCs/>
          <w:sz w:val="24"/>
          <w:szCs w:val="24"/>
        </w:rPr>
        <w:t>Esta seção final do capítulo visa comparar as pesquisas anteriores descritas na seção 2.3</w:t>
      </w:r>
      <w:r w:rsidR="001D6642" w:rsidRPr="00A148F1">
        <w:rPr>
          <w:rFonts w:ascii="Times New Roman" w:hAnsi="Times New Roman" w:cs="Times New Roman"/>
          <w:bCs/>
          <w:sz w:val="24"/>
          <w:szCs w:val="24"/>
        </w:rPr>
        <w:t>,</w:t>
      </w:r>
      <w:r w:rsidRPr="00A148F1">
        <w:rPr>
          <w:rFonts w:ascii="Times New Roman" w:hAnsi="Times New Roman" w:cs="Times New Roman"/>
          <w:bCs/>
          <w:sz w:val="24"/>
          <w:szCs w:val="24"/>
        </w:rPr>
        <w:t xml:space="preserve"> do capítulo de fundamentação teórica, com os resultados de análise de dados deste artigo.</w:t>
      </w:r>
      <w:r w:rsidR="00685010" w:rsidRPr="00A148F1">
        <w:rPr>
          <w:rFonts w:ascii="Times New Roman" w:hAnsi="Times New Roman" w:cs="Times New Roman"/>
          <w:bCs/>
          <w:sz w:val="24"/>
          <w:szCs w:val="24"/>
        </w:rPr>
        <w:t xml:space="preserve"> As pesquisas apresentadas naquela seção foram consideradas similares em abordagem, disponíveis em forma de artigos </w:t>
      </w:r>
      <w:r w:rsidR="001D6642" w:rsidRPr="00A148F1">
        <w:rPr>
          <w:rFonts w:ascii="Times New Roman" w:hAnsi="Times New Roman" w:cs="Times New Roman"/>
          <w:bCs/>
          <w:sz w:val="24"/>
          <w:szCs w:val="24"/>
        </w:rPr>
        <w:t>e trabalhos acadêmicos</w:t>
      </w:r>
      <w:r w:rsidR="00685010" w:rsidRPr="00A148F1">
        <w:rPr>
          <w:rFonts w:ascii="Times New Roman" w:hAnsi="Times New Roman" w:cs="Times New Roman"/>
          <w:bCs/>
          <w:sz w:val="24"/>
          <w:szCs w:val="24"/>
        </w:rPr>
        <w:t>.</w:t>
      </w:r>
    </w:p>
    <w:p w:rsidR="00B339D7" w:rsidRPr="00A148F1" w:rsidRDefault="00B339D7" w:rsidP="00831265">
      <w:pPr>
        <w:spacing w:after="0" w:line="240" w:lineRule="auto"/>
        <w:ind w:firstLine="709"/>
        <w:jc w:val="both"/>
        <w:rPr>
          <w:rFonts w:ascii="Times New Roman" w:hAnsi="Times New Roman" w:cs="Times New Roman"/>
          <w:bCs/>
          <w:sz w:val="24"/>
          <w:szCs w:val="24"/>
        </w:rPr>
      </w:pPr>
      <w:r w:rsidRPr="00A148F1">
        <w:rPr>
          <w:rFonts w:ascii="Times New Roman" w:hAnsi="Times New Roman" w:cs="Times New Roman"/>
          <w:bCs/>
          <w:sz w:val="24"/>
          <w:szCs w:val="24"/>
        </w:rPr>
        <w:t xml:space="preserve">Dentre as pesquisas anteriores, destaca-se a de Rezende (2009), que analisou a mesma entidade </w:t>
      </w:r>
      <w:r w:rsidR="00685010" w:rsidRPr="00A148F1">
        <w:rPr>
          <w:rFonts w:ascii="Times New Roman" w:hAnsi="Times New Roman" w:cs="Times New Roman"/>
          <w:bCs/>
          <w:sz w:val="24"/>
          <w:szCs w:val="24"/>
        </w:rPr>
        <w:t xml:space="preserve">do presente artigo, em série </w:t>
      </w:r>
      <w:r w:rsidR="001D6642" w:rsidRPr="00A148F1">
        <w:rPr>
          <w:rFonts w:ascii="Times New Roman" w:hAnsi="Times New Roman" w:cs="Times New Roman"/>
          <w:bCs/>
          <w:sz w:val="24"/>
          <w:szCs w:val="24"/>
        </w:rPr>
        <w:t xml:space="preserve">histórica de 2004 a 2008 (cinco </w:t>
      </w:r>
      <w:r w:rsidR="00685010" w:rsidRPr="00A148F1">
        <w:rPr>
          <w:rFonts w:ascii="Times New Roman" w:hAnsi="Times New Roman" w:cs="Times New Roman"/>
          <w:bCs/>
          <w:sz w:val="24"/>
          <w:szCs w:val="24"/>
        </w:rPr>
        <w:t xml:space="preserve">anos), abordando as despesas com a função saúde. A presente pesquisa, por sua vez, ampliou a série analisada para </w:t>
      </w:r>
      <w:r w:rsidR="00E90BB2" w:rsidRPr="00A148F1">
        <w:rPr>
          <w:rFonts w:ascii="Times New Roman" w:hAnsi="Times New Roman" w:cs="Times New Roman"/>
          <w:bCs/>
          <w:sz w:val="24"/>
          <w:szCs w:val="24"/>
        </w:rPr>
        <w:t>dezesseis</w:t>
      </w:r>
      <w:r w:rsidR="00685010" w:rsidRPr="00A148F1">
        <w:rPr>
          <w:rFonts w:ascii="Times New Roman" w:hAnsi="Times New Roman" w:cs="Times New Roman"/>
          <w:bCs/>
          <w:sz w:val="24"/>
          <w:szCs w:val="24"/>
        </w:rPr>
        <w:t xml:space="preserve"> anos (2000 a 2015)</w:t>
      </w:r>
      <w:r w:rsidR="001D6642" w:rsidRPr="00A148F1">
        <w:rPr>
          <w:rFonts w:ascii="Times New Roman" w:hAnsi="Times New Roman" w:cs="Times New Roman"/>
          <w:bCs/>
          <w:sz w:val="24"/>
          <w:szCs w:val="24"/>
        </w:rPr>
        <w:t xml:space="preserve"> deste mesmo ente, além de comparar os dados divulgados pela PMF com os do TCE/SC.</w:t>
      </w:r>
    </w:p>
    <w:p w:rsidR="001C2A95" w:rsidRPr="00A148F1" w:rsidRDefault="001C2A95" w:rsidP="00831265">
      <w:pPr>
        <w:spacing w:after="0" w:line="240" w:lineRule="auto"/>
        <w:ind w:firstLine="709"/>
        <w:jc w:val="both"/>
        <w:rPr>
          <w:rFonts w:ascii="Times New Roman" w:hAnsi="Times New Roman" w:cs="Times New Roman"/>
          <w:bCs/>
          <w:sz w:val="24"/>
          <w:szCs w:val="24"/>
        </w:rPr>
      </w:pPr>
      <w:r w:rsidRPr="00A148F1">
        <w:rPr>
          <w:rFonts w:ascii="Times New Roman" w:hAnsi="Times New Roman" w:cs="Times New Roman"/>
          <w:bCs/>
          <w:sz w:val="24"/>
          <w:szCs w:val="24"/>
        </w:rPr>
        <w:t>Verificou-se que a abordagem adotada na presente pesquisa é compatível com o</w:t>
      </w:r>
      <w:r w:rsidR="00636CAA" w:rsidRPr="00A148F1">
        <w:rPr>
          <w:rFonts w:ascii="Times New Roman" w:hAnsi="Times New Roman" w:cs="Times New Roman"/>
          <w:bCs/>
          <w:sz w:val="24"/>
          <w:szCs w:val="24"/>
        </w:rPr>
        <w:t>s</w:t>
      </w:r>
      <w:r w:rsidRPr="00A148F1">
        <w:rPr>
          <w:rFonts w:ascii="Times New Roman" w:hAnsi="Times New Roman" w:cs="Times New Roman"/>
          <w:bCs/>
          <w:sz w:val="24"/>
          <w:szCs w:val="24"/>
        </w:rPr>
        <w:t xml:space="preserve"> estudo</w:t>
      </w:r>
      <w:r w:rsidR="00636CAA" w:rsidRPr="00A148F1">
        <w:rPr>
          <w:rFonts w:ascii="Times New Roman" w:hAnsi="Times New Roman" w:cs="Times New Roman"/>
          <w:bCs/>
          <w:sz w:val="24"/>
          <w:szCs w:val="24"/>
        </w:rPr>
        <w:t>s</w:t>
      </w:r>
      <w:r w:rsidRPr="00A148F1">
        <w:rPr>
          <w:rFonts w:ascii="Times New Roman" w:hAnsi="Times New Roman" w:cs="Times New Roman"/>
          <w:bCs/>
          <w:sz w:val="24"/>
          <w:szCs w:val="24"/>
        </w:rPr>
        <w:t xml:space="preserve"> </w:t>
      </w:r>
      <w:r w:rsidR="00636CAA" w:rsidRPr="00A148F1">
        <w:rPr>
          <w:rFonts w:ascii="Times New Roman" w:hAnsi="Times New Roman" w:cs="Times New Roman"/>
          <w:bCs/>
          <w:sz w:val="24"/>
          <w:szCs w:val="24"/>
        </w:rPr>
        <w:t>realizados em</w:t>
      </w:r>
      <w:r w:rsidRPr="00A148F1">
        <w:rPr>
          <w:rFonts w:ascii="Times New Roman" w:hAnsi="Times New Roman" w:cs="Times New Roman"/>
          <w:bCs/>
          <w:sz w:val="24"/>
          <w:szCs w:val="24"/>
        </w:rPr>
        <w:t xml:space="preserve"> outros municípios, </w:t>
      </w:r>
      <w:r w:rsidR="00330CD8" w:rsidRPr="00A148F1">
        <w:rPr>
          <w:rFonts w:ascii="Times New Roman" w:hAnsi="Times New Roman" w:cs="Times New Roman"/>
          <w:bCs/>
          <w:sz w:val="24"/>
          <w:szCs w:val="24"/>
        </w:rPr>
        <w:t xml:space="preserve">visto que as pesquisa de Santana (2011), Santos e Cruz (2011), Batista (2012), Silva, Maciel, </w:t>
      </w:r>
      <w:proofErr w:type="spellStart"/>
      <w:r w:rsidR="00330CD8" w:rsidRPr="00A148F1">
        <w:rPr>
          <w:rFonts w:ascii="Times New Roman" w:hAnsi="Times New Roman" w:cs="Times New Roman"/>
          <w:bCs/>
          <w:sz w:val="24"/>
          <w:szCs w:val="24"/>
        </w:rPr>
        <w:t>Chacon</w:t>
      </w:r>
      <w:proofErr w:type="spellEnd"/>
      <w:r w:rsidR="00330CD8" w:rsidRPr="00A148F1">
        <w:rPr>
          <w:rFonts w:ascii="Times New Roman" w:hAnsi="Times New Roman" w:cs="Times New Roman"/>
          <w:bCs/>
          <w:sz w:val="24"/>
          <w:szCs w:val="24"/>
        </w:rPr>
        <w:t xml:space="preserve"> e Araújo (2012</w:t>
      </w:r>
      <w:r w:rsidR="003E2BE2" w:rsidRPr="00A148F1">
        <w:rPr>
          <w:rFonts w:ascii="Times New Roman" w:hAnsi="Times New Roman" w:cs="Times New Roman"/>
          <w:bCs/>
          <w:sz w:val="24"/>
          <w:szCs w:val="24"/>
        </w:rPr>
        <w:t>), Ferreira e Platt Neto (2014) e</w:t>
      </w:r>
      <w:r w:rsidR="00330CD8" w:rsidRPr="00A148F1">
        <w:rPr>
          <w:rFonts w:ascii="Times New Roman" w:hAnsi="Times New Roman" w:cs="Times New Roman"/>
          <w:bCs/>
          <w:sz w:val="24"/>
          <w:szCs w:val="24"/>
        </w:rPr>
        <w:t xml:space="preserve"> </w:t>
      </w:r>
      <w:proofErr w:type="spellStart"/>
      <w:r w:rsidR="00330CD8" w:rsidRPr="00A148F1">
        <w:rPr>
          <w:rFonts w:ascii="Times New Roman" w:hAnsi="Times New Roman" w:cs="Times New Roman"/>
          <w:bCs/>
          <w:sz w:val="24"/>
          <w:szCs w:val="24"/>
        </w:rPr>
        <w:t>Macarini</w:t>
      </w:r>
      <w:proofErr w:type="spellEnd"/>
      <w:r w:rsidR="00330CD8" w:rsidRPr="00A148F1">
        <w:rPr>
          <w:rFonts w:ascii="Times New Roman" w:hAnsi="Times New Roman" w:cs="Times New Roman"/>
          <w:bCs/>
          <w:sz w:val="24"/>
          <w:szCs w:val="24"/>
        </w:rPr>
        <w:t xml:space="preserve"> (</w:t>
      </w:r>
      <w:r w:rsidR="003E2BE2" w:rsidRPr="00A148F1">
        <w:rPr>
          <w:rFonts w:ascii="Times New Roman" w:hAnsi="Times New Roman" w:cs="Times New Roman"/>
          <w:bCs/>
          <w:sz w:val="24"/>
          <w:szCs w:val="24"/>
        </w:rPr>
        <w:t>2014)</w:t>
      </w:r>
      <w:r w:rsidR="00330CD8" w:rsidRPr="00A148F1">
        <w:rPr>
          <w:rFonts w:ascii="Times New Roman" w:hAnsi="Times New Roman" w:cs="Times New Roman"/>
          <w:bCs/>
          <w:sz w:val="24"/>
          <w:szCs w:val="24"/>
        </w:rPr>
        <w:t xml:space="preserve">, referem-se </w:t>
      </w:r>
      <w:r w:rsidR="001D6642" w:rsidRPr="00A148F1">
        <w:rPr>
          <w:rFonts w:ascii="Times New Roman" w:hAnsi="Times New Roman" w:cs="Times New Roman"/>
          <w:bCs/>
          <w:sz w:val="24"/>
          <w:szCs w:val="24"/>
        </w:rPr>
        <w:t>à verificação do cumprimento constitucional de</w:t>
      </w:r>
      <w:r w:rsidR="00330CD8" w:rsidRPr="00A148F1">
        <w:rPr>
          <w:rFonts w:ascii="Times New Roman" w:hAnsi="Times New Roman" w:cs="Times New Roman"/>
          <w:bCs/>
          <w:sz w:val="24"/>
          <w:szCs w:val="24"/>
        </w:rPr>
        <w:t xml:space="preserve"> aplicação </w:t>
      </w:r>
      <w:r w:rsidR="001D6642" w:rsidRPr="00A148F1">
        <w:rPr>
          <w:rFonts w:ascii="Times New Roman" w:hAnsi="Times New Roman" w:cs="Times New Roman"/>
          <w:bCs/>
          <w:sz w:val="24"/>
          <w:szCs w:val="24"/>
        </w:rPr>
        <w:t xml:space="preserve">em ASPS </w:t>
      </w:r>
      <w:r w:rsidR="00347A6B" w:rsidRPr="00A148F1">
        <w:rPr>
          <w:rFonts w:ascii="Times New Roman" w:hAnsi="Times New Roman" w:cs="Times New Roman"/>
          <w:bCs/>
          <w:sz w:val="24"/>
          <w:szCs w:val="24"/>
        </w:rPr>
        <w:t>também na esfera municipal</w:t>
      </w:r>
      <w:r w:rsidR="00330CD8" w:rsidRPr="00A148F1">
        <w:rPr>
          <w:rFonts w:ascii="Times New Roman" w:hAnsi="Times New Roman" w:cs="Times New Roman"/>
          <w:bCs/>
          <w:sz w:val="24"/>
          <w:szCs w:val="24"/>
        </w:rPr>
        <w:t>.</w:t>
      </w:r>
    </w:p>
    <w:p w:rsidR="002B24C7" w:rsidRPr="00A148F1" w:rsidRDefault="00E90BB2" w:rsidP="00831265">
      <w:pPr>
        <w:spacing w:after="0" w:line="240" w:lineRule="auto"/>
        <w:ind w:firstLine="709"/>
        <w:jc w:val="both"/>
        <w:rPr>
          <w:rFonts w:ascii="Times New Roman" w:hAnsi="Times New Roman" w:cs="Times New Roman"/>
          <w:bCs/>
          <w:sz w:val="24"/>
          <w:szCs w:val="24"/>
        </w:rPr>
      </w:pPr>
      <w:r w:rsidRPr="00A148F1">
        <w:rPr>
          <w:rFonts w:ascii="Times New Roman" w:hAnsi="Times New Roman" w:cs="Times New Roman"/>
          <w:bCs/>
          <w:sz w:val="24"/>
          <w:szCs w:val="24"/>
        </w:rPr>
        <w:t>Todas as pesquisas apresentadas evidenciaram se o</w:t>
      </w:r>
      <w:r w:rsidR="004E65B5" w:rsidRPr="00A148F1">
        <w:rPr>
          <w:rFonts w:ascii="Times New Roman" w:hAnsi="Times New Roman" w:cs="Times New Roman"/>
          <w:bCs/>
          <w:sz w:val="24"/>
          <w:szCs w:val="24"/>
        </w:rPr>
        <w:t>s</w:t>
      </w:r>
      <w:r w:rsidRPr="00A148F1">
        <w:rPr>
          <w:rFonts w:ascii="Times New Roman" w:hAnsi="Times New Roman" w:cs="Times New Roman"/>
          <w:bCs/>
          <w:sz w:val="24"/>
          <w:szCs w:val="24"/>
        </w:rPr>
        <w:t xml:space="preserve"> ente</w:t>
      </w:r>
      <w:r w:rsidR="004E65B5" w:rsidRPr="00A148F1">
        <w:rPr>
          <w:rFonts w:ascii="Times New Roman" w:hAnsi="Times New Roman" w:cs="Times New Roman"/>
          <w:bCs/>
          <w:sz w:val="24"/>
          <w:szCs w:val="24"/>
        </w:rPr>
        <w:t>s</w:t>
      </w:r>
      <w:r w:rsidRPr="00A148F1">
        <w:rPr>
          <w:rFonts w:ascii="Times New Roman" w:hAnsi="Times New Roman" w:cs="Times New Roman"/>
          <w:bCs/>
          <w:sz w:val="24"/>
          <w:szCs w:val="24"/>
        </w:rPr>
        <w:t xml:space="preserve"> em estudo cumpri</w:t>
      </w:r>
      <w:r w:rsidR="004E65B5" w:rsidRPr="00A148F1">
        <w:rPr>
          <w:rFonts w:ascii="Times New Roman" w:hAnsi="Times New Roman" w:cs="Times New Roman"/>
          <w:bCs/>
          <w:sz w:val="24"/>
          <w:szCs w:val="24"/>
        </w:rPr>
        <w:t>ram</w:t>
      </w:r>
      <w:r w:rsidRPr="00A148F1">
        <w:rPr>
          <w:rFonts w:ascii="Times New Roman" w:hAnsi="Times New Roman" w:cs="Times New Roman"/>
          <w:bCs/>
          <w:sz w:val="24"/>
          <w:szCs w:val="24"/>
        </w:rPr>
        <w:t xml:space="preserve"> ou não o percentual mínimo de aplicação em ASPS, sendo que </w:t>
      </w:r>
      <w:proofErr w:type="spellStart"/>
      <w:r w:rsidRPr="00A148F1">
        <w:rPr>
          <w:rFonts w:ascii="Times New Roman" w:hAnsi="Times New Roman" w:cs="Times New Roman"/>
          <w:bCs/>
          <w:sz w:val="24"/>
          <w:szCs w:val="24"/>
        </w:rPr>
        <w:t>Campelli</w:t>
      </w:r>
      <w:proofErr w:type="spellEnd"/>
      <w:r w:rsidRPr="00A148F1">
        <w:rPr>
          <w:rFonts w:ascii="Times New Roman" w:hAnsi="Times New Roman" w:cs="Times New Roman"/>
          <w:bCs/>
          <w:sz w:val="24"/>
          <w:szCs w:val="24"/>
        </w:rPr>
        <w:t xml:space="preserve"> e Calvo (200</w:t>
      </w:r>
      <w:r w:rsidR="004E65B5" w:rsidRPr="00A148F1">
        <w:rPr>
          <w:rFonts w:ascii="Times New Roman" w:hAnsi="Times New Roman" w:cs="Times New Roman"/>
          <w:bCs/>
          <w:sz w:val="24"/>
          <w:szCs w:val="24"/>
        </w:rPr>
        <w:t xml:space="preserve">7) e </w:t>
      </w:r>
      <w:proofErr w:type="spellStart"/>
      <w:r w:rsidR="004E65B5" w:rsidRPr="00A148F1">
        <w:rPr>
          <w:rFonts w:ascii="Times New Roman" w:hAnsi="Times New Roman" w:cs="Times New Roman"/>
          <w:bCs/>
          <w:sz w:val="24"/>
          <w:szCs w:val="24"/>
        </w:rPr>
        <w:t>Schwanck</w:t>
      </w:r>
      <w:proofErr w:type="spellEnd"/>
      <w:r w:rsidR="004E65B5" w:rsidRPr="00A148F1">
        <w:rPr>
          <w:rFonts w:ascii="Times New Roman" w:hAnsi="Times New Roman" w:cs="Times New Roman"/>
          <w:bCs/>
          <w:sz w:val="24"/>
          <w:szCs w:val="24"/>
        </w:rPr>
        <w:t xml:space="preserve"> (2012) analisaram</w:t>
      </w:r>
      <w:r w:rsidR="001C2A95" w:rsidRPr="00A148F1">
        <w:rPr>
          <w:rFonts w:ascii="Times New Roman" w:hAnsi="Times New Roman" w:cs="Times New Roman"/>
          <w:bCs/>
          <w:sz w:val="24"/>
          <w:szCs w:val="24"/>
        </w:rPr>
        <w:t xml:space="preserve"> estado</w:t>
      </w:r>
      <w:r w:rsidR="004E65B5" w:rsidRPr="00A148F1">
        <w:rPr>
          <w:rFonts w:ascii="Times New Roman" w:hAnsi="Times New Roman" w:cs="Times New Roman"/>
          <w:bCs/>
          <w:sz w:val="24"/>
          <w:szCs w:val="24"/>
        </w:rPr>
        <w:t>s</w:t>
      </w:r>
      <w:r w:rsidR="001C2A95" w:rsidRPr="00A148F1">
        <w:rPr>
          <w:rFonts w:ascii="Times New Roman" w:hAnsi="Times New Roman" w:cs="Times New Roman"/>
          <w:bCs/>
          <w:sz w:val="24"/>
          <w:szCs w:val="24"/>
        </w:rPr>
        <w:t>-membro</w:t>
      </w:r>
      <w:r w:rsidR="004E65B5" w:rsidRPr="00A148F1">
        <w:rPr>
          <w:rFonts w:ascii="Times New Roman" w:hAnsi="Times New Roman" w:cs="Times New Roman"/>
          <w:bCs/>
          <w:sz w:val="24"/>
          <w:szCs w:val="24"/>
        </w:rPr>
        <w:t>s</w:t>
      </w:r>
      <w:r w:rsidR="001C2A95" w:rsidRPr="00A148F1">
        <w:rPr>
          <w:rFonts w:ascii="Times New Roman" w:hAnsi="Times New Roman" w:cs="Times New Roman"/>
          <w:bCs/>
          <w:sz w:val="24"/>
          <w:szCs w:val="24"/>
        </w:rPr>
        <w:t>, com o mesmo objetivo de investigação</w:t>
      </w:r>
      <w:r w:rsidR="00347A6B" w:rsidRPr="00A148F1">
        <w:rPr>
          <w:rFonts w:ascii="Times New Roman" w:hAnsi="Times New Roman" w:cs="Times New Roman"/>
          <w:bCs/>
          <w:sz w:val="24"/>
          <w:szCs w:val="24"/>
        </w:rPr>
        <w:t>.</w:t>
      </w:r>
    </w:p>
    <w:p w:rsidR="00B64C3A" w:rsidRPr="00A148F1" w:rsidRDefault="00375DAC" w:rsidP="00831265">
      <w:pPr>
        <w:spacing w:after="0" w:line="240" w:lineRule="auto"/>
        <w:ind w:firstLine="708"/>
        <w:jc w:val="both"/>
        <w:rPr>
          <w:rFonts w:ascii="Times New Roman" w:hAnsi="Times New Roman" w:cs="Times New Roman"/>
          <w:bCs/>
          <w:sz w:val="24"/>
          <w:szCs w:val="24"/>
        </w:rPr>
      </w:pPr>
      <w:r w:rsidRPr="00A148F1">
        <w:rPr>
          <w:rFonts w:ascii="Times New Roman" w:hAnsi="Times New Roman" w:cs="Times New Roman"/>
          <w:bCs/>
          <w:sz w:val="24"/>
          <w:szCs w:val="24"/>
        </w:rPr>
        <w:t xml:space="preserve">Entretanto, nenhum dos trabalhos </w:t>
      </w:r>
      <w:r w:rsidR="00347A6B" w:rsidRPr="00A148F1">
        <w:rPr>
          <w:rFonts w:ascii="Times New Roman" w:hAnsi="Times New Roman" w:cs="Times New Roman"/>
          <w:bCs/>
          <w:sz w:val="24"/>
          <w:szCs w:val="24"/>
        </w:rPr>
        <w:t xml:space="preserve">identificados </w:t>
      </w:r>
      <w:r w:rsidRPr="00A148F1">
        <w:rPr>
          <w:rFonts w:ascii="Times New Roman" w:hAnsi="Times New Roman" w:cs="Times New Roman"/>
          <w:bCs/>
          <w:sz w:val="24"/>
          <w:szCs w:val="24"/>
        </w:rPr>
        <w:t xml:space="preserve">buscou comparar fontes de dados diferentes a fim de verificar a autenticidade das informações fornecidas pelos entes. </w:t>
      </w:r>
      <w:r w:rsidR="00347A6B" w:rsidRPr="00A148F1">
        <w:rPr>
          <w:rFonts w:ascii="Times New Roman" w:hAnsi="Times New Roman" w:cs="Times New Roman"/>
          <w:bCs/>
          <w:sz w:val="24"/>
          <w:szCs w:val="24"/>
        </w:rPr>
        <w:t>Todavia, alguns trabalhos buscaram</w:t>
      </w:r>
      <w:r w:rsidRPr="00A148F1">
        <w:rPr>
          <w:rFonts w:ascii="Times New Roman" w:hAnsi="Times New Roman" w:cs="Times New Roman"/>
          <w:bCs/>
          <w:sz w:val="24"/>
          <w:szCs w:val="24"/>
        </w:rPr>
        <w:t xml:space="preserve"> </w:t>
      </w:r>
      <w:r w:rsidR="00347A6B" w:rsidRPr="00A148F1">
        <w:rPr>
          <w:rFonts w:ascii="Times New Roman" w:hAnsi="Times New Roman" w:cs="Times New Roman"/>
          <w:bCs/>
          <w:sz w:val="24"/>
          <w:szCs w:val="24"/>
        </w:rPr>
        <w:t xml:space="preserve">também </w:t>
      </w:r>
      <w:r w:rsidRPr="00A148F1">
        <w:rPr>
          <w:rFonts w:ascii="Times New Roman" w:hAnsi="Times New Roman" w:cs="Times New Roman"/>
          <w:bCs/>
          <w:sz w:val="24"/>
          <w:szCs w:val="24"/>
        </w:rPr>
        <w:t xml:space="preserve">verificar a composição dos gastos públicos em </w:t>
      </w:r>
      <w:r w:rsidR="002B24C7" w:rsidRPr="00A148F1">
        <w:rPr>
          <w:rFonts w:ascii="Times New Roman" w:hAnsi="Times New Roman" w:cs="Times New Roman"/>
          <w:bCs/>
          <w:sz w:val="24"/>
          <w:szCs w:val="24"/>
        </w:rPr>
        <w:t xml:space="preserve">saúde, </w:t>
      </w:r>
      <w:r w:rsidRPr="00A148F1">
        <w:rPr>
          <w:rFonts w:ascii="Times New Roman" w:hAnsi="Times New Roman" w:cs="Times New Roman"/>
          <w:bCs/>
          <w:sz w:val="24"/>
          <w:szCs w:val="24"/>
        </w:rPr>
        <w:t xml:space="preserve">e </w:t>
      </w:r>
      <w:r w:rsidR="002B24C7" w:rsidRPr="00A148F1">
        <w:rPr>
          <w:rFonts w:ascii="Times New Roman" w:hAnsi="Times New Roman" w:cs="Times New Roman"/>
          <w:bCs/>
          <w:sz w:val="24"/>
          <w:szCs w:val="24"/>
        </w:rPr>
        <w:t>a expressividade</w:t>
      </w:r>
      <w:r w:rsidR="00347A6B" w:rsidRPr="00A148F1">
        <w:rPr>
          <w:rFonts w:ascii="Times New Roman" w:hAnsi="Times New Roman" w:cs="Times New Roman"/>
          <w:bCs/>
          <w:sz w:val="24"/>
          <w:szCs w:val="24"/>
        </w:rPr>
        <w:t xml:space="preserve"> destes diante das demais</w:t>
      </w:r>
      <w:r w:rsidRPr="00A148F1">
        <w:rPr>
          <w:rFonts w:ascii="Times New Roman" w:hAnsi="Times New Roman" w:cs="Times New Roman"/>
          <w:bCs/>
          <w:sz w:val="24"/>
          <w:szCs w:val="24"/>
        </w:rPr>
        <w:t xml:space="preserve"> </w:t>
      </w:r>
      <w:r w:rsidR="002B24C7" w:rsidRPr="00A148F1">
        <w:rPr>
          <w:rFonts w:ascii="Times New Roman" w:hAnsi="Times New Roman" w:cs="Times New Roman"/>
          <w:bCs/>
          <w:sz w:val="24"/>
          <w:szCs w:val="24"/>
        </w:rPr>
        <w:t xml:space="preserve">despesas </w:t>
      </w:r>
      <w:r w:rsidRPr="00A148F1">
        <w:rPr>
          <w:rFonts w:ascii="Times New Roman" w:hAnsi="Times New Roman" w:cs="Times New Roman"/>
          <w:bCs/>
          <w:sz w:val="24"/>
          <w:szCs w:val="24"/>
        </w:rPr>
        <w:t>dos entes.</w:t>
      </w:r>
    </w:p>
    <w:p w:rsidR="008621CC" w:rsidRPr="00A148F1" w:rsidRDefault="008621CC" w:rsidP="00983013">
      <w:pPr>
        <w:spacing w:after="0" w:line="240" w:lineRule="auto"/>
        <w:jc w:val="both"/>
        <w:rPr>
          <w:rFonts w:ascii="Times New Roman" w:hAnsi="Times New Roman" w:cs="Times New Roman"/>
          <w:bCs/>
          <w:sz w:val="24"/>
          <w:szCs w:val="24"/>
        </w:rPr>
      </w:pPr>
    </w:p>
    <w:p w:rsidR="00024008" w:rsidRPr="00A148F1" w:rsidRDefault="004F10F1" w:rsidP="00EC40EA">
      <w:pPr>
        <w:pStyle w:val="Ttulo1"/>
        <w:rPr>
          <w:rFonts w:ascii="Times New Roman" w:hAnsi="Times New Roman" w:cs="Times New Roman"/>
          <w:sz w:val="24"/>
          <w:szCs w:val="24"/>
        </w:rPr>
      </w:pPr>
      <w:r>
        <w:rPr>
          <w:rFonts w:ascii="Times New Roman" w:hAnsi="Times New Roman" w:cs="Times New Roman"/>
          <w:sz w:val="24"/>
          <w:szCs w:val="24"/>
        </w:rPr>
        <w:t>CONCLUSÕES</w:t>
      </w:r>
    </w:p>
    <w:p w:rsidR="00CC0C40" w:rsidRPr="00A148F1" w:rsidRDefault="00F80C26" w:rsidP="00831265">
      <w:pPr>
        <w:spacing w:after="0" w:line="240" w:lineRule="auto"/>
        <w:ind w:firstLine="709"/>
        <w:jc w:val="both"/>
        <w:rPr>
          <w:rFonts w:ascii="Times New Roman" w:hAnsi="Times New Roman" w:cs="Times New Roman"/>
          <w:bCs/>
          <w:sz w:val="24"/>
          <w:szCs w:val="24"/>
        </w:rPr>
      </w:pPr>
      <w:r w:rsidRPr="00A148F1">
        <w:rPr>
          <w:rFonts w:ascii="Times New Roman" w:hAnsi="Times New Roman" w:cs="Times New Roman"/>
          <w:bCs/>
          <w:sz w:val="24"/>
          <w:szCs w:val="24"/>
        </w:rPr>
        <w:t xml:space="preserve">Tendo em vista os resultados expostos, considera-se </w:t>
      </w:r>
      <w:r w:rsidR="002B24C7" w:rsidRPr="00A148F1">
        <w:rPr>
          <w:rFonts w:ascii="Times New Roman" w:hAnsi="Times New Roman" w:cs="Times New Roman"/>
          <w:bCs/>
          <w:sz w:val="24"/>
          <w:szCs w:val="24"/>
        </w:rPr>
        <w:t>atingido o objetivo do</w:t>
      </w:r>
      <w:r w:rsidRPr="00A148F1">
        <w:rPr>
          <w:rFonts w:ascii="Times New Roman" w:hAnsi="Times New Roman" w:cs="Times New Roman"/>
          <w:bCs/>
          <w:sz w:val="24"/>
          <w:szCs w:val="24"/>
        </w:rPr>
        <w:t xml:space="preserve"> artigo, de “evidenciar o desempenho</w:t>
      </w:r>
      <w:r w:rsidR="00D012BF" w:rsidRPr="00A148F1">
        <w:rPr>
          <w:rFonts w:ascii="Times New Roman" w:hAnsi="Times New Roman" w:cs="Times New Roman"/>
          <w:bCs/>
          <w:sz w:val="24"/>
          <w:szCs w:val="24"/>
        </w:rPr>
        <w:t xml:space="preserve"> do Município de Florianópolis -</w:t>
      </w:r>
      <w:r w:rsidRPr="00A148F1">
        <w:rPr>
          <w:rFonts w:ascii="Times New Roman" w:hAnsi="Times New Roman" w:cs="Times New Roman"/>
          <w:bCs/>
          <w:sz w:val="24"/>
          <w:szCs w:val="24"/>
        </w:rPr>
        <w:t xml:space="preserve"> SC em relação ao cumprimento dos limites constitucionais de aplicação mínima em saúde no período </w:t>
      </w:r>
      <w:r w:rsidR="00EA0930" w:rsidRPr="00A148F1">
        <w:rPr>
          <w:rFonts w:ascii="Times New Roman" w:hAnsi="Times New Roman" w:cs="Times New Roman"/>
          <w:bCs/>
          <w:sz w:val="24"/>
          <w:szCs w:val="24"/>
        </w:rPr>
        <w:t>de 2000 a 2015”.</w:t>
      </w:r>
    </w:p>
    <w:p w:rsidR="00CF61F3" w:rsidRPr="00A148F1" w:rsidRDefault="009F1BE8" w:rsidP="00831265">
      <w:pPr>
        <w:spacing w:after="0" w:line="240" w:lineRule="auto"/>
        <w:ind w:firstLine="709"/>
        <w:jc w:val="both"/>
        <w:rPr>
          <w:rFonts w:ascii="Times New Roman" w:hAnsi="Times New Roman" w:cs="Times New Roman"/>
          <w:bCs/>
          <w:sz w:val="24"/>
          <w:szCs w:val="24"/>
        </w:rPr>
      </w:pPr>
      <w:r w:rsidRPr="00A148F1">
        <w:rPr>
          <w:rFonts w:ascii="Times New Roman" w:hAnsi="Times New Roman" w:cs="Times New Roman"/>
          <w:bCs/>
          <w:sz w:val="24"/>
          <w:szCs w:val="24"/>
        </w:rPr>
        <w:t>Os resultados da pesqu</w:t>
      </w:r>
      <w:r w:rsidR="00A701D6" w:rsidRPr="00A148F1">
        <w:rPr>
          <w:rFonts w:ascii="Times New Roman" w:hAnsi="Times New Roman" w:cs="Times New Roman"/>
          <w:bCs/>
          <w:sz w:val="24"/>
          <w:szCs w:val="24"/>
        </w:rPr>
        <w:t>isa</w:t>
      </w:r>
      <w:r w:rsidR="00F03C6D" w:rsidRPr="00A148F1">
        <w:rPr>
          <w:rFonts w:ascii="Times New Roman" w:hAnsi="Times New Roman" w:cs="Times New Roman"/>
          <w:bCs/>
          <w:sz w:val="24"/>
          <w:szCs w:val="24"/>
        </w:rPr>
        <w:t>,</w:t>
      </w:r>
      <w:r w:rsidRPr="00A148F1">
        <w:rPr>
          <w:rFonts w:ascii="Times New Roman" w:hAnsi="Times New Roman" w:cs="Times New Roman"/>
          <w:bCs/>
          <w:sz w:val="24"/>
          <w:szCs w:val="24"/>
        </w:rPr>
        <w:t xml:space="preserve"> obtidos por meio da análise dos demonstrativos contábeis </w:t>
      </w:r>
      <w:r w:rsidR="002B24C7" w:rsidRPr="00A148F1">
        <w:rPr>
          <w:rFonts w:ascii="Times New Roman" w:hAnsi="Times New Roman" w:cs="Times New Roman"/>
          <w:bCs/>
          <w:sz w:val="24"/>
          <w:szCs w:val="24"/>
        </w:rPr>
        <w:t xml:space="preserve">do Município de Florianópolis </w:t>
      </w:r>
      <w:r w:rsidR="002A32A3" w:rsidRPr="00A148F1">
        <w:rPr>
          <w:rFonts w:ascii="Times New Roman" w:hAnsi="Times New Roman" w:cs="Times New Roman"/>
          <w:bCs/>
          <w:sz w:val="24"/>
          <w:szCs w:val="24"/>
        </w:rPr>
        <w:t>e de</w:t>
      </w:r>
      <w:r w:rsidR="002B24C7" w:rsidRPr="00A148F1">
        <w:rPr>
          <w:rFonts w:ascii="Times New Roman" w:hAnsi="Times New Roman" w:cs="Times New Roman"/>
          <w:bCs/>
          <w:sz w:val="24"/>
          <w:szCs w:val="24"/>
        </w:rPr>
        <w:t xml:space="preserve"> </w:t>
      </w:r>
      <w:r w:rsidR="00255687" w:rsidRPr="00A148F1">
        <w:rPr>
          <w:rFonts w:ascii="Times New Roman" w:hAnsi="Times New Roman" w:cs="Times New Roman"/>
          <w:bCs/>
          <w:sz w:val="24"/>
          <w:szCs w:val="24"/>
        </w:rPr>
        <w:t>dados de</w:t>
      </w:r>
      <w:r w:rsidRPr="00A148F1">
        <w:rPr>
          <w:rFonts w:ascii="Times New Roman" w:hAnsi="Times New Roman" w:cs="Times New Roman"/>
          <w:bCs/>
          <w:sz w:val="24"/>
          <w:szCs w:val="24"/>
        </w:rPr>
        <w:t xml:space="preserve"> pareceres</w:t>
      </w:r>
      <w:r w:rsidR="002B24C7" w:rsidRPr="00A148F1">
        <w:rPr>
          <w:rFonts w:ascii="Times New Roman" w:hAnsi="Times New Roman" w:cs="Times New Roman"/>
          <w:bCs/>
          <w:sz w:val="24"/>
          <w:szCs w:val="24"/>
        </w:rPr>
        <w:t xml:space="preserve"> do Tribunal de Contas do Estado de Santa Catarina (TCE/SC)</w:t>
      </w:r>
      <w:r w:rsidRPr="00A148F1">
        <w:rPr>
          <w:rFonts w:ascii="Times New Roman" w:hAnsi="Times New Roman" w:cs="Times New Roman"/>
          <w:bCs/>
          <w:sz w:val="24"/>
          <w:szCs w:val="24"/>
        </w:rPr>
        <w:t>, permitiram identificar</w:t>
      </w:r>
      <w:r w:rsidR="0043605B" w:rsidRPr="00A148F1">
        <w:rPr>
          <w:rFonts w:ascii="Times New Roman" w:hAnsi="Times New Roman" w:cs="Times New Roman"/>
          <w:bCs/>
          <w:sz w:val="24"/>
          <w:szCs w:val="24"/>
        </w:rPr>
        <w:t xml:space="preserve"> e observar a evolução das variáveis e</w:t>
      </w:r>
      <w:r w:rsidR="00D26574" w:rsidRPr="00A148F1">
        <w:rPr>
          <w:rFonts w:ascii="Times New Roman" w:hAnsi="Times New Roman" w:cs="Times New Roman"/>
          <w:bCs/>
          <w:sz w:val="24"/>
          <w:szCs w:val="24"/>
        </w:rPr>
        <w:t xml:space="preserve">nvolvidas na apuração do limite. </w:t>
      </w:r>
      <w:r w:rsidR="006509DD" w:rsidRPr="00A148F1">
        <w:rPr>
          <w:rFonts w:ascii="Times New Roman" w:hAnsi="Times New Roman" w:cs="Times New Roman"/>
          <w:bCs/>
          <w:sz w:val="24"/>
          <w:szCs w:val="24"/>
        </w:rPr>
        <w:t xml:space="preserve">Em relação aos demonstrativos da Prefeitura Municipal de Florianópolis </w:t>
      </w:r>
      <w:r w:rsidR="00CF61F3" w:rsidRPr="00A148F1">
        <w:rPr>
          <w:rFonts w:ascii="Times New Roman" w:hAnsi="Times New Roman" w:cs="Times New Roman"/>
          <w:bCs/>
          <w:sz w:val="24"/>
          <w:szCs w:val="24"/>
        </w:rPr>
        <w:t>(</w:t>
      </w:r>
      <w:r w:rsidR="006509DD" w:rsidRPr="00A148F1">
        <w:rPr>
          <w:rFonts w:ascii="Times New Roman" w:hAnsi="Times New Roman" w:cs="Times New Roman"/>
          <w:bCs/>
          <w:sz w:val="24"/>
          <w:szCs w:val="24"/>
        </w:rPr>
        <w:t>PMF</w:t>
      </w:r>
      <w:r w:rsidR="00CF61F3" w:rsidRPr="00A148F1">
        <w:rPr>
          <w:rFonts w:ascii="Times New Roman" w:hAnsi="Times New Roman" w:cs="Times New Roman"/>
          <w:bCs/>
          <w:sz w:val="24"/>
          <w:szCs w:val="24"/>
        </w:rPr>
        <w:t>)</w:t>
      </w:r>
      <w:r w:rsidR="00255687" w:rsidRPr="00A148F1">
        <w:rPr>
          <w:rFonts w:ascii="Times New Roman" w:hAnsi="Times New Roman" w:cs="Times New Roman"/>
          <w:bCs/>
          <w:sz w:val="24"/>
          <w:szCs w:val="24"/>
        </w:rPr>
        <w:t>,</w:t>
      </w:r>
      <w:r w:rsidR="006509DD" w:rsidRPr="00A148F1">
        <w:rPr>
          <w:rFonts w:ascii="Times New Roman" w:hAnsi="Times New Roman" w:cs="Times New Roman"/>
          <w:bCs/>
          <w:sz w:val="24"/>
          <w:szCs w:val="24"/>
        </w:rPr>
        <w:t xml:space="preserve"> a abrangência da análise</w:t>
      </w:r>
      <w:r w:rsidR="0043605B" w:rsidRPr="00A148F1">
        <w:rPr>
          <w:rFonts w:ascii="Times New Roman" w:hAnsi="Times New Roman" w:cs="Times New Roman"/>
          <w:bCs/>
          <w:sz w:val="24"/>
          <w:szCs w:val="24"/>
        </w:rPr>
        <w:t xml:space="preserve"> foi de 2002 a 2</w:t>
      </w:r>
      <w:r w:rsidR="00D26574" w:rsidRPr="00A148F1">
        <w:rPr>
          <w:rFonts w:ascii="Times New Roman" w:hAnsi="Times New Roman" w:cs="Times New Roman"/>
          <w:bCs/>
          <w:sz w:val="24"/>
          <w:szCs w:val="24"/>
        </w:rPr>
        <w:t>015</w:t>
      </w:r>
      <w:r w:rsidR="00A701D6" w:rsidRPr="00A148F1">
        <w:rPr>
          <w:rFonts w:ascii="Times New Roman" w:hAnsi="Times New Roman" w:cs="Times New Roman"/>
          <w:bCs/>
          <w:sz w:val="24"/>
          <w:szCs w:val="24"/>
        </w:rPr>
        <w:t>,</w:t>
      </w:r>
      <w:r w:rsidR="00D26574" w:rsidRPr="00A148F1">
        <w:rPr>
          <w:rFonts w:ascii="Times New Roman" w:hAnsi="Times New Roman" w:cs="Times New Roman"/>
          <w:bCs/>
          <w:sz w:val="24"/>
          <w:szCs w:val="24"/>
        </w:rPr>
        <w:t xml:space="preserve"> e</w:t>
      </w:r>
      <w:r w:rsidR="00255687" w:rsidRPr="00A148F1">
        <w:rPr>
          <w:rFonts w:ascii="Times New Roman" w:hAnsi="Times New Roman" w:cs="Times New Roman"/>
          <w:bCs/>
          <w:sz w:val="24"/>
          <w:szCs w:val="24"/>
        </w:rPr>
        <w:t>nquanto que</w:t>
      </w:r>
      <w:r w:rsidR="00D26574" w:rsidRPr="00A148F1">
        <w:rPr>
          <w:rFonts w:ascii="Times New Roman" w:hAnsi="Times New Roman" w:cs="Times New Roman"/>
          <w:bCs/>
          <w:sz w:val="24"/>
          <w:szCs w:val="24"/>
        </w:rPr>
        <w:t xml:space="preserve"> </w:t>
      </w:r>
      <w:r w:rsidR="00895AAB" w:rsidRPr="00A148F1">
        <w:rPr>
          <w:rFonts w:ascii="Times New Roman" w:hAnsi="Times New Roman" w:cs="Times New Roman"/>
          <w:bCs/>
          <w:sz w:val="24"/>
          <w:szCs w:val="24"/>
        </w:rPr>
        <w:t xml:space="preserve">em relação aos dados dos pareceres </w:t>
      </w:r>
      <w:r w:rsidR="00CF61F3" w:rsidRPr="00A148F1">
        <w:rPr>
          <w:rFonts w:ascii="Times New Roman" w:hAnsi="Times New Roman" w:cs="Times New Roman"/>
          <w:bCs/>
          <w:sz w:val="24"/>
          <w:szCs w:val="24"/>
        </w:rPr>
        <w:t>prévios do TCE/SC</w:t>
      </w:r>
      <w:r w:rsidR="00F0553D" w:rsidRPr="00A148F1">
        <w:rPr>
          <w:rFonts w:ascii="Times New Roman" w:hAnsi="Times New Roman" w:cs="Times New Roman"/>
          <w:bCs/>
          <w:sz w:val="24"/>
          <w:szCs w:val="24"/>
        </w:rPr>
        <w:t>,</w:t>
      </w:r>
      <w:r w:rsidR="00CF61F3" w:rsidRPr="00A148F1">
        <w:rPr>
          <w:rFonts w:ascii="Times New Roman" w:hAnsi="Times New Roman" w:cs="Times New Roman"/>
          <w:bCs/>
          <w:sz w:val="24"/>
          <w:szCs w:val="24"/>
        </w:rPr>
        <w:t xml:space="preserve"> </w:t>
      </w:r>
      <w:r w:rsidR="00D26574" w:rsidRPr="00A148F1">
        <w:rPr>
          <w:rFonts w:ascii="Times New Roman" w:hAnsi="Times New Roman" w:cs="Times New Roman"/>
          <w:bCs/>
          <w:sz w:val="24"/>
          <w:szCs w:val="24"/>
        </w:rPr>
        <w:t xml:space="preserve">todos os anos </w:t>
      </w:r>
      <w:r w:rsidR="00CF61F3" w:rsidRPr="00A148F1">
        <w:rPr>
          <w:rFonts w:ascii="Times New Roman" w:hAnsi="Times New Roman" w:cs="Times New Roman"/>
          <w:bCs/>
          <w:sz w:val="24"/>
          <w:szCs w:val="24"/>
        </w:rPr>
        <w:t xml:space="preserve">(2000 a 2015) </w:t>
      </w:r>
      <w:r w:rsidR="00D26574" w:rsidRPr="00A148F1">
        <w:rPr>
          <w:rFonts w:ascii="Times New Roman" w:hAnsi="Times New Roman" w:cs="Times New Roman"/>
          <w:bCs/>
          <w:sz w:val="24"/>
          <w:szCs w:val="24"/>
        </w:rPr>
        <w:t>foram abrangidos</w:t>
      </w:r>
      <w:r w:rsidR="0043605B" w:rsidRPr="00A148F1">
        <w:rPr>
          <w:rFonts w:ascii="Times New Roman" w:hAnsi="Times New Roman" w:cs="Times New Roman"/>
          <w:bCs/>
          <w:sz w:val="24"/>
          <w:szCs w:val="24"/>
        </w:rPr>
        <w:t>.</w:t>
      </w:r>
    </w:p>
    <w:p w:rsidR="0089490B" w:rsidRPr="00A148F1" w:rsidRDefault="00E80589" w:rsidP="00831265">
      <w:pPr>
        <w:spacing w:after="0" w:line="240" w:lineRule="auto"/>
        <w:ind w:firstLine="708"/>
        <w:jc w:val="both"/>
        <w:rPr>
          <w:rFonts w:ascii="Times New Roman" w:hAnsi="Times New Roman" w:cs="Times New Roman"/>
          <w:bCs/>
          <w:sz w:val="24"/>
          <w:szCs w:val="24"/>
        </w:rPr>
      </w:pPr>
      <w:r w:rsidRPr="00A148F1">
        <w:rPr>
          <w:rFonts w:ascii="Times New Roman" w:hAnsi="Times New Roman" w:cs="Times New Roman"/>
          <w:bCs/>
          <w:sz w:val="24"/>
          <w:szCs w:val="24"/>
        </w:rPr>
        <w:t xml:space="preserve">Conforme </w:t>
      </w:r>
      <w:r w:rsidR="00F0553D" w:rsidRPr="00A148F1">
        <w:rPr>
          <w:rFonts w:ascii="Times New Roman" w:hAnsi="Times New Roman" w:cs="Times New Roman"/>
          <w:bCs/>
          <w:sz w:val="24"/>
          <w:szCs w:val="24"/>
        </w:rPr>
        <w:t>o embasamento</w:t>
      </w:r>
      <w:r w:rsidRPr="00A148F1">
        <w:rPr>
          <w:rFonts w:ascii="Times New Roman" w:hAnsi="Times New Roman" w:cs="Times New Roman"/>
          <w:bCs/>
          <w:sz w:val="24"/>
          <w:szCs w:val="24"/>
        </w:rPr>
        <w:t xml:space="preserve"> normativo exposto na fundamentação teórica</w:t>
      </w:r>
      <w:r w:rsidR="00255687" w:rsidRPr="00A148F1">
        <w:rPr>
          <w:rFonts w:ascii="Times New Roman" w:hAnsi="Times New Roman" w:cs="Times New Roman"/>
          <w:bCs/>
          <w:sz w:val="24"/>
          <w:szCs w:val="24"/>
        </w:rPr>
        <w:t>,</w:t>
      </w:r>
      <w:r w:rsidRPr="00A148F1">
        <w:rPr>
          <w:rFonts w:ascii="Times New Roman" w:hAnsi="Times New Roman" w:cs="Times New Roman"/>
          <w:bCs/>
          <w:sz w:val="24"/>
          <w:szCs w:val="24"/>
        </w:rPr>
        <w:t xml:space="preserve"> para</w:t>
      </w:r>
      <w:r w:rsidR="00255687" w:rsidRPr="00A148F1">
        <w:rPr>
          <w:rFonts w:ascii="Times New Roman" w:hAnsi="Times New Roman" w:cs="Times New Roman"/>
          <w:bCs/>
          <w:sz w:val="24"/>
          <w:szCs w:val="24"/>
        </w:rPr>
        <w:t xml:space="preserve"> apurar o limite constitucional,</w:t>
      </w:r>
      <w:r w:rsidRPr="00A148F1">
        <w:rPr>
          <w:rFonts w:ascii="Times New Roman" w:hAnsi="Times New Roman" w:cs="Times New Roman"/>
          <w:bCs/>
          <w:sz w:val="24"/>
          <w:szCs w:val="24"/>
        </w:rPr>
        <w:t xml:space="preserve"> </w:t>
      </w:r>
      <w:proofErr w:type="gramStart"/>
      <w:r w:rsidRPr="00A148F1">
        <w:rPr>
          <w:rFonts w:ascii="Times New Roman" w:hAnsi="Times New Roman" w:cs="Times New Roman"/>
          <w:bCs/>
          <w:sz w:val="24"/>
          <w:szCs w:val="24"/>
        </w:rPr>
        <w:t>são consideradas</w:t>
      </w:r>
      <w:proofErr w:type="gramEnd"/>
      <w:r w:rsidRPr="00A148F1">
        <w:rPr>
          <w:rFonts w:ascii="Times New Roman" w:hAnsi="Times New Roman" w:cs="Times New Roman"/>
          <w:bCs/>
          <w:sz w:val="24"/>
          <w:szCs w:val="24"/>
        </w:rPr>
        <w:t xml:space="preserve"> as despesas com Ações e Se</w:t>
      </w:r>
      <w:r w:rsidR="006509DD" w:rsidRPr="00A148F1">
        <w:rPr>
          <w:rFonts w:ascii="Times New Roman" w:hAnsi="Times New Roman" w:cs="Times New Roman"/>
          <w:bCs/>
          <w:sz w:val="24"/>
          <w:szCs w:val="24"/>
        </w:rPr>
        <w:t>rviços Públicos de Saúde (ASPS) e as receitas provenientes de impostos e outras de transferências constitucionais.</w:t>
      </w:r>
    </w:p>
    <w:p w:rsidR="00956824" w:rsidRPr="00A148F1" w:rsidRDefault="00A62AE9" w:rsidP="00831265">
      <w:pPr>
        <w:spacing w:after="0" w:line="240" w:lineRule="auto"/>
        <w:ind w:firstLine="709"/>
        <w:jc w:val="both"/>
        <w:rPr>
          <w:rFonts w:ascii="Times New Roman" w:hAnsi="Times New Roman" w:cs="Times New Roman"/>
          <w:bCs/>
          <w:sz w:val="24"/>
          <w:szCs w:val="24"/>
        </w:rPr>
      </w:pPr>
      <w:r w:rsidRPr="00A148F1">
        <w:rPr>
          <w:rFonts w:ascii="Times New Roman" w:hAnsi="Times New Roman" w:cs="Times New Roman"/>
          <w:bCs/>
          <w:sz w:val="24"/>
          <w:szCs w:val="24"/>
        </w:rPr>
        <w:lastRenderedPageBreak/>
        <w:t>Quanto ao limite constituci</w:t>
      </w:r>
      <w:r w:rsidR="00F0553D" w:rsidRPr="00A148F1">
        <w:rPr>
          <w:rFonts w:ascii="Times New Roman" w:hAnsi="Times New Roman" w:cs="Times New Roman"/>
          <w:bCs/>
          <w:sz w:val="24"/>
          <w:szCs w:val="24"/>
        </w:rPr>
        <w:t>onal de aplicação das despesas com</w:t>
      </w:r>
      <w:r w:rsidRPr="00A148F1">
        <w:rPr>
          <w:rFonts w:ascii="Times New Roman" w:hAnsi="Times New Roman" w:cs="Times New Roman"/>
          <w:bCs/>
          <w:sz w:val="24"/>
          <w:szCs w:val="24"/>
        </w:rPr>
        <w:t xml:space="preserve"> ASPS </w:t>
      </w:r>
      <w:r w:rsidR="00F0553D" w:rsidRPr="00A148F1">
        <w:rPr>
          <w:rFonts w:ascii="Times New Roman" w:hAnsi="Times New Roman" w:cs="Times New Roman"/>
          <w:bCs/>
          <w:sz w:val="24"/>
          <w:szCs w:val="24"/>
        </w:rPr>
        <w:t>–</w:t>
      </w:r>
      <w:r w:rsidR="00255687" w:rsidRPr="00A148F1">
        <w:rPr>
          <w:rFonts w:ascii="Times New Roman" w:hAnsi="Times New Roman" w:cs="Times New Roman"/>
          <w:bCs/>
          <w:sz w:val="24"/>
          <w:szCs w:val="24"/>
        </w:rPr>
        <w:t xml:space="preserve"> </w:t>
      </w:r>
      <w:r w:rsidRPr="00A148F1">
        <w:rPr>
          <w:rFonts w:ascii="Times New Roman" w:hAnsi="Times New Roman" w:cs="Times New Roman"/>
          <w:bCs/>
          <w:sz w:val="24"/>
          <w:szCs w:val="24"/>
        </w:rPr>
        <w:t>que não deve ser inferior a 15% das receitas provenient</w:t>
      </w:r>
      <w:r w:rsidR="00255687" w:rsidRPr="00A148F1">
        <w:rPr>
          <w:rFonts w:ascii="Times New Roman" w:hAnsi="Times New Roman" w:cs="Times New Roman"/>
          <w:bCs/>
          <w:sz w:val="24"/>
          <w:szCs w:val="24"/>
        </w:rPr>
        <w:t>es de impostos</w:t>
      </w:r>
      <w:r w:rsidR="006A1B55" w:rsidRPr="00A148F1">
        <w:rPr>
          <w:rFonts w:ascii="Times New Roman" w:hAnsi="Times New Roman" w:cs="Times New Roman"/>
          <w:bCs/>
          <w:sz w:val="24"/>
          <w:szCs w:val="24"/>
        </w:rPr>
        <w:t xml:space="preserve"> </w:t>
      </w:r>
      <w:r w:rsidR="00F0553D" w:rsidRPr="00A148F1">
        <w:rPr>
          <w:rFonts w:ascii="Times New Roman" w:hAnsi="Times New Roman" w:cs="Times New Roman"/>
          <w:bCs/>
          <w:sz w:val="24"/>
          <w:szCs w:val="24"/>
        </w:rPr>
        <w:t>–</w:t>
      </w:r>
      <w:r w:rsidR="00255687" w:rsidRPr="00A148F1">
        <w:rPr>
          <w:rFonts w:ascii="Times New Roman" w:hAnsi="Times New Roman" w:cs="Times New Roman"/>
          <w:bCs/>
          <w:sz w:val="24"/>
          <w:szCs w:val="24"/>
        </w:rPr>
        <w:t xml:space="preserve"> </w:t>
      </w:r>
      <w:r w:rsidR="006A1B55" w:rsidRPr="00A148F1">
        <w:rPr>
          <w:rFonts w:ascii="Times New Roman" w:hAnsi="Times New Roman" w:cs="Times New Roman"/>
          <w:bCs/>
          <w:sz w:val="24"/>
          <w:szCs w:val="24"/>
        </w:rPr>
        <w:t>observou-se que,</w:t>
      </w:r>
      <w:r w:rsidRPr="00A148F1">
        <w:rPr>
          <w:rFonts w:ascii="Times New Roman" w:hAnsi="Times New Roman" w:cs="Times New Roman"/>
          <w:bCs/>
          <w:sz w:val="24"/>
          <w:szCs w:val="24"/>
        </w:rPr>
        <w:t xml:space="preserve"> de acordo com os dados da PMF, </w:t>
      </w:r>
      <w:r w:rsidR="006A1B55" w:rsidRPr="00A148F1">
        <w:rPr>
          <w:rFonts w:ascii="Times New Roman" w:hAnsi="Times New Roman" w:cs="Times New Roman"/>
          <w:bCs/>
          <w:sz w:val="24"/>
          <w:szCs w:val="24"/>
        </w:rPr>
        <w:t xml:space="preserve">apenas </w:t>
      </w:r>
      <w:r w:rsidRPr="00A148F1">
        <w:rPr>
          <w:rFonts w:ascii="Times New Roman" w:hAnsi="Times New Roman" w:cs="Times New Roman"/>
          <w:bCs/>
          <w:sz w:val="24"/>
          <w:szCs w:val="24"/>
        </w:rPr>
        <w:t>nos anos de 2002 e 2003 o Município não cumpriu o mínimo estabelecido, com 11,31% e 12,32%, respectivament</w:t>
      </w:r>
      <w:r w:rsidR="006A1B55" w:rsidRPr="00A148F1">
        <w:rPr>
          <w:rFonts w:ascii="Times New Roman" w:hAnsi="Times New Roman" w:cs="Times New Roman"/>
          <w:bCs/>
          <w:sz w:val="24"/>
          <w:szCs w:val="24"/>
        </w:rPr>
        <w:t xml:space="preserve">e. Por sua vez, </w:t>
      </w:r>
      <w:r w:rsidR="006750B9" w:rsidRPr="00A148F1">
        <w:rPr>
          <w:rFonts w:ascii="Times New Roman" w:hAnsi="Times New Roman" w:cs="Times New Roman"/>
          <w:bCs/>
          <w:sz w:val="24"/>
          <w:szCs w:val="24"/>
        </w:rPr>
        <w:t>de acordo com os dados do TCE/SC</w:t>
      </w:r>
      <w:r w:rsidR="006A1B55" w:rsidRPr="00A148F1">
        <w:rPr>
          <w:rFonts w:ascii="Times New Roman" w:hAnsi="Times New Roman" w:cs="Times New Roman"/>
          <w:bCs/>
          <w:sz w:val="24"/>
          <w:szCs w:val="24"/>
        </w:rPr>
        <w:t>, o limite mínimo</w:t>
      </w:r>
      <w:r w:rsidR="006750B9" w:rsidRPr="00A148F1">
        <w:rPr>
          <w:rFonts w:ascii="Times New Roman" w:hAnsi="Times New Roman" w:cs="Times New Roman"/>
          <w:bCs/>
          <w:sz w:val="24"/>
          <w:szCs w:val="24"/>
        </w:rPr>
        <w:t xml:space="preserve"> não foi cumprido </w:t>
      </w:r>
      <w:r w:rsidR="006A1B55" w:rsidRPr="00A148F1">
        <w:rPr>
          <w:rFonts w:ascii="Times New Roman" w:hAnsi="Times New Roman" w:cs="Times New Roman"/>
          <w:bCs/>
          <w:sz w:val="24"/>
          <w:szCs w:val="24"/>
        </w:rPr>
        <w:t xml:space="preserve">apenas </w:t>
      </w:r>
      <w:r w:rsidR="006750B9" w:rsidRPr="00A148F1">
        <w:rPr>
          <w:rFonts w:ascii="Times New Roman" w:hAnsi="Times New Roman" w:cs="Times New Roman"/>
          <w:bCs/>
          <w:sz w:val="24"/>
          <w:szCs w:val="24"/>
        </w:rPr>
        <w:t xml:space="preserve">nos anos de 2001 </w:t>
      </w:r>
      <w:r w:rsidR="006A1B55" w:rsidRPr="00A148F1">
        <w:rPr>
          <w:rFonts w:ascii="Times New Roman" w:hAnsi="Times New Roman" w:cs="Times New Roman"/>
          <w:bCs/>
          <w:sz w:val="24"/>
          <w:szCs w:val="24"/>
        </w:rPr>
        <w:t>e 2003</w:t>
      </w:r>
      <w:r w:rsidR="00255687" w:rsidRPr="00A148F1">
        <w:rPr>
          <w:rFonts w:ascii="Times New Roman" w:hAnsi="Times New Roman" w:cs="Times New Roman"/>
          <w:bCs/>
          <w:sz w:val="24"/>
          <w:szCs w:val="24"/>
        </w:rPr>
        <w:t>,</w:t>
      </w:r>
      <w:r w:rsidR="006A1B55" w:rsidRPr="00A148F1">
        <w:rPr>
          <w:rFonts w:ascii="Times New Roman" w:hAnsi="Times New Roman" w:cs="Times New Roman"/>
          <w:bCs/>
          <w:sz w:val="24"/>
          <w:szCs w:val="24"/>
        </w:rPr>
        <w:t xml:space="preserve"> </w:t>
      </w:r>
      <w:r w:rsidR="006750B9" w:rsidRPr="00A148F1">
        <w:rPr>
          <w:rFonts w:ascii="Times New Roman" w:hAnsi="Times New Roman" w:cs="Times New Roman"/>
          <w:bCs/>
          <w:sz w:val="24"/>
          <w:szCs w:val="24"/>
        </w:rPr>
        <w:t xml:space="preserve">com 14,78% </w:t>
      </w:r>
      <w:r w:rsidR="006A1B55" w:rsidRPr="00A148F1">
        <w:rPr>
          <w:rFonts w:ascii="Times New Roman" w:hAnsi="Times New Roman" w:cs="Times New Roman"/>
          <w:bCs/>
          <w:sz w:val="24"/>
          <w:szCs w:val="24"/>
        </w:rPr>
        <w:t>e</w:t>
      </w:r>
      <w:r w:rsidR="006750B9" w:rsidRPr="00A148F1">
        <w:rPr>
          <w:rFonts w:ascii="Times New Roman" w:hAnsi="Times New Roman" w:cs="Times New Roman"/>
          <w:bCs/>
          <w:sz w:val="24"/>
          <w:szCs w:val="24"/>
        </w:rPr>
        <w:t xml:space="preserve"> 14,44%, </w:t>
      </w:r>
      <w:r w:rsidR="006A1B55" w:rsidRPr="00A148F1">
        <w:rPr>
          <w:rFonts w:ascii="Times New Roman" w:hAnsi="Times New Roman" w:cs="Times New Roman"/>
          <w:bCs/>
          <w:sz w:val="24"/>
          <w:szCs w:val="24"/>
        </w:rPr>
        <w:t>respectivamente.</w:t>
      </w:r>
      <w:r w:rsidR="005F72AF" w:rsidRPr="00A148F1">
        <w:rPr>
          <w:rFonts w:ascii="Times New Roman" w:hAnsi="Times New Roman" w:cs="Times New Roman"/>
          <w:bCs/>
          <w:sz w:val="24"/>
          <w:szCs w:val="24"/>
        </w:rPr>
        <w:t xml:space="preserve"> </w:t>
      </w:r>
    </w:p>
    <w:p w:rsidR="003C3FD3" w:rsidRPr="00A148F1" w:rsidRDefault="0084647B" w:rsidP="00831265">
      <w:pPr>
        <w:spacing w:after="0" w:line="240" w:lineRule="auto"/>
        <w:ind w:firstLine="708"/>
        <w:jc w:val="both"/>
        <w:rPr>
          <w:rFonts w:ascii="Times New Roman" w:hAnsi="Times New Roman" w:cs="Times New Roman"/>
          <w:bCs/>
          <w:sz w:val="24"/>
          <w:szCs w:val="24"/>
        </w:rPr>
      </w:pPr>
      <w:r w:rsidRPr="00A148F1">
        <w:rPr>
          <w:rFonts w:ascii="Times New Roman" w:hAnsi="Times New Roman" w:cs="Times New Roman"/>
          <w:bCs/>
          <w:sz w:val="24"/>
          <w:szCs w:val="24"/>
        </w:rPr>
        <w:t>Observa-se</w:t>
      </w:r>
      <w:r w:rsidR="00CB3EE6" w:rsidRPr="00A148F1">
        <w:rPr>
          <w:rFonts w:ascii="Times New Roman" w:hAnsi="Times New Roman" w:cs="Times New Roman"/>
          <w:bCs/>
          <w:sz w:val="24"/>
          <w:szCs w:val="24"/>
        </w:rPr>
        <w:t>, assim,</w:t>
      </w:r>
      <w:r w:rsidRPr="00A148F1">
        <w:rPr>
          <w:rFonts w:ascii="Times New Roman" w:hAnsi="Times New Roman" w:cs="Times New Roman"/>
          <w:bCs/>
          <w:sz w:val="24"/>
          <w:szCs w:val="24"/>
        </w:rPr>
        <w:t xml:space="preserve"> que n</w:t>
      </w:r>
      <w:r w:rsidR="00340DB4" w:rsidRPr="00A148F1">
        <w:rPr>
          <w:rFonts w:ascii="Times New Roman" w:hAnsi="Times New Roman" w:cs="Times New Roman"/>
          <w:bCs/>
          <w:sz w:val="24"/>
          <w:szCs w:val="24"/>
        </w:rPr>
        <w:t xml:space="preserve">os anos de 2001 a 2003 </w:t>
      </w:r>
      <w:r w:rsidRPr="00A148F1">
        <w:rPr>
          <w:rFonts w:ascii="Times New Roman" w:hAnsi="Times New Roman" w:cs="Times New Roman"/>
          <w:bCs/>
          <w:sz w:val="24"/>
          <w:szCs w:val="24"/>
        </w:rPr>
        <w:t>a</w:t>
      </w:r>
      <w:r w:rsidR="00F62F68" w:rsidRPr="00A148F1">
        <w:rPr>
          <w:rFonts w:ascii="Times New Roman" w:hAnsi="Times New Roman" w:cs="Times New Roman"/>
          <w:bCs/>
          <w:sz w:val="24"/>
          <w:szCs w:val="24"/>
        </w:rPr>
        <w:t xml:space="preserve"> aplicação </w:t>
      </w:r>
      <w:r w:rsidRPr="00A148F1">
        <w:rPr>
          <w:rFonts w:ascii="Times New Roman" w:hAnsi="Times New Roman" w:cs="Times New Roman"/>
          <w:bCs/>
          <w:sz w:val="24"/>
          <w:szCs w:val="24"/>
        </w:rPr>
        <w:t xml:space="preserve">realizada pelo Município </w:t>
      </w:r>
      <w:r w:rsidR="00F62F68" w:rsidRPr="00A148F1">
        <w:rPr>
          <w:rFonts w:ascii="Times New Roman" w:hAnsi="Times New Roman" w:cs="Times New Roman"/>
          <w:bCs/>
          <w:sz w:val="24"/>
          <w:szCs w:val="24"/>
        </w:rPr>
        <w:t>foi inferior a</w:t>
      </w:r>
      <w:r w:rsidR="00CB3EE6" w:rsidRPr="00A148F1">
        <w:rPr>
          <w:rFonts w:ascii="Times New Roman" w:hAnsi="Times New Roman" w:cs="Times New Roman"/>
          <w:bCs/>
          <w:sz w:val="24"/>
          <w:szCs w:val="24"/>
        </w:rPr>
        <w:t>o limite de</w:t>
      </w:r>
      <w:r w:rsidR="00F62F68" w:rsidRPr="00A148F1">
        <w:rPr>
          <w:rFonts w:ascii="Times New Roman" w:hAnsi="Times New Roman" w:cs="Times New Roman"/>
          <w:bCs/>
          <w:sz w:val="24"/>
          <w:szCs w:val="24"/>
        </w:rPr>
        <w:t xml:space="preserve"> 15%</w:t>
      </w:r>
      <w:r w:rsidR="002B6E57" w:rsidRPr="00A148F1">
        <w:rPr>
          <w:rFonts w:ascii="Times New Roman" w:hAnsi="Times New Roman" w:cs="Times New Roman"/>
          <w:bCs/>
          <w:sz w:val="24"/>
          <w:szCs w:val="24"/>
        </w:rPr>
        <w:t>. E</w:t>
      </w:r>
      <w:r w:rsidR="00F62F68" w:rsidRPr="00A148F1">
        <w:rPr>
          <w:rFonts w:ascii="Times New Roman" w:hAnsi="Times New Roman" w:cs="Times New Roman"/>
          <w:bCs/>
          <w:sz w:val="24"/>
          <w:szCs w:val="24"/>
        </w:rPr>
        <w:t>ntretanto</w:t>
      </w:r>
      <w:r w:rsidR="002B6E57" w:rsidRPr="00A148F1">
        <w:rPr>
          <w:rFonts w:ascii="Times New Roman" w:hAnsi="Times New Roman" w:cs="Times New Roman"/>
          <w:bCs/>
          <w:sz w:val="24"/>
          <w:szCs w:val="24"/>
        </w:rPr>
        <w:t>, conforme a regra,</w:t>
      </w:r>
      <w:r w:rsidR="00F62F68" w:rsidRPr="00A148F1">
        <w:rPr>
          <w:rFonts w:ascii="Times New Roman" w:hAnsi="Times New Roman" w:cs="Times New Roman"/>
          <w:bCs/>
          <w:sz w:val="24"/>
          <w:szCs w:val="24"/>
        </w:rPr>
        <w:t xml:space="preserve"> </w:t>
      </w:r>
      <w:r w:rsidR="004E65B5" w:rsidRPr="00A148F1">
        <w:rPr>
          <w:rFonts w:ascii="Times New Roman" w:hAnsi="Times New Roman" w:cs="Times New Roman"/>
          <w:bCs/>
          <w:sz w:val="24"/>
          <w:szCs w:val="24"/>
        </w:rPr>
        <w:t xml:space="preserve">os </w:t>
      </w:r>
      <w:r w:rsidR="002B6E57" w:rsidRPr="00A148F1">
        <w:rPr>
          <w:rFonts w:ascii="Times New Roman" w:hAnsi="Times New Roman" w:cs="Times New Roman"/>
          <w:bCs/>
          <w:sz w:val="24"/>
          <w:szCs w:val="24"/>
        </w:rPr>
        <w:t>m</w:t>
      </w:r>
      <w:r w:rsidR="004E65B5" w:rsidRPr="00A148F1">
        <w:rPr>
          <w:rFonts w:ascii="Times New Roman" w:hAnsi="Times New Roman" w:cs="Times New Roman"/>
          <w:bCs/>
          <w:sz w:val="24"/>
          <w:szCs w:val="24"/>
        </w:rPr>
        <w:t>unicípios que apli</w:t>
      </w:r>
      <w:r w:rsidR="002B6E57" w:rsidRPr="00A148F1">
        <w:rPr>
          <w:rFonts w:ascii="Times New Roman" w:hAnsi="Times New Roman" w:cs="Times New Roman"/>
          <w:bCs/>
          <w:sz w:val="24"/>
          <w:szCs w:val="24"/>
        </w:rPr>
        <w:t>cassem</w:t>
      </w:r>
      <w:r w:rsidR="004E65B5" w:rsidRPr="00A148F1">
        <w:rPr>
          <w:rFonts w:ascii="Times New Roman" w:hAnsi="Times New Roman" w:cs="Times New Roman"/>
          <w:bCs/>
          <w:sz w:val="24"/>
          <w:szCs w:val="24"/>
        </w:rPr>
        <w:t xml:space="preserve"> percentuais inferiores</w:t>
      </w:r>
      <w:r w:rsidR="00E20814" w:rsidRPr="00A148F1">
        <w:rPr>
          <w:rFonts w:ascii="Times New Roman" w:hAnsi="Times New Roman" w:cs="Times New Roman"/>
          <w:bCs/>
          <w:sz w:val="24"/>
          <w:szCs w:val="24"/>
        </w:rPr>
        <w:t xml:space="preserve"> aos fixados dever</w:t>
      </w:r>
      <w:r w:rsidR="002B6E57" w:rsidRPr="00A148F1">
        <w:rPr>
          <w:rFonts w:ascii="Times New Roman" w:hAnsi="Times New Roman" w:cs="Times New Roman"/>
          <w:bCs/>
          <w:sz w:val="24"/>
          <w:szCs w:val="24"/>
        </w:rPr>
        <w:t>iam</w:t>
      </w:r>
      <w:r w:rsidRPr="00A148F1">
        <w:rPr>
          <w:rFonts w:ascii="Times New Roman" w:hAnsi="Times New Roman" w:cs="Times New Roman"/>
          <w:bCs/>
          <w:sz w:val="24"/>
          <w:szCs w:val="24"/>
        </w:rPr>
        <w:t xml:space="preserve"> elevá-los gradualmente</w:t>
      </w:r>
      <w:r w:rsidR="00E20814" w:rsidRPr="00A148F1">
        <w:rPr>
          <w:rFonts w:ascii="Times New Roman" w:hAnsi="Times New Roman" w:cs="Times New Roman"/>
          <w:bCs/>
          <w:sz w:val="24"/>
          <w:szCs w:val="24"/>
        </w:rPr>
        <w:t xml:space="preserve"> até o </w:t>
      </w:r>
      <w:r w:rsidR="002B6E57" w:rsidRPr="00A148F1">
        <w:rPr>
          <w:rFonts w:ascii="Times New Roman" w:hAnsi="Times New Roman" w:cs="Times New Roman"/>
          <w:bCs/>
          <w:sz w:val="24"/>
          <w:szCs w:val="24"/>
        </w:rPr>
        <w:t>ano de</w:t>
      </w:r>
      <w:r w:rsidRPr="00A148F1">
        <w:rPr>
          <w:rFonts w:ascii="Times New Roman" w:hAnsi="Times New Roman" w:cs="Times New Roman"/>
          <w:bCs/>
          <w:sz w:val="24"/>
          <w:szCs w:val="24"/>
        </w:rPr>
        <w:t xml:space="preserve"> 2004 </w:t>
      </w:r>
      <w:r w:rsidR="00E20814" w:rsidRPr="00A148F1">
        <w:rPr>
          <w:rFonts w:ascii="Times New Roman" w:hAnsi="Times New Roman" w:cs="Times New Roman"/>
          <w:bCs/>
          <w:sz w:val="24"/>
          <w:szCs w:val="24"/>
        </w:rPr>
        <w:t>(BRASIL, 1988, ADCT, art. 77, § 1º).</w:t>
      </w:r>
    </w:p>
    <w:p w:rsidR="00BD63F2" w:rsidRPr="00A148F1" w:rsidRDefault="006750B9" w:rsidP="00831265">
      <w:pPr>
        <w:spacing w:after="0" w:line="240" w:lineRule="auto"/>
        <w:ind w:firstLine="709"/>
        <w:jc w:val="both"/>
        <w:rPr>
          <w:rFonts w:ascii="Times New Roman" w:hAnsi="Times New Roman" w:cs="Times New Roman"/>
          <w:bCs/>
          <w:sz w:val="24"/>
          <w:szCs w:val="24"/>
        </w:rPr>
      </w:pPr>
      <w:r w:rsidRPr="00A148F1">
        <w:rPr>
          <w:rFonts w:ascii="Times New Roman" w:hAnsi="Times New Roman" w:cs="Times New Roman"/>
          <w:bCs/>
          <w:sz w:val="24"/>
          <w:szCs w:val="24"/>
        </w:rPr>
        <w:t>Destaca-se</w:t>
      </w:r>
      <w:r w:rsidR="00255687" w:rsidRPr="00A148F1">
        <w:rPr>
          <w:rFonts w:ascii="Times New Roman" w:hAnsi="Times New Roman" w:cs="Times New Roman"/>
          <w:bCs/>
          <w:sz w:val="24"/>
          <w:szCs w:val="24"/>
        </w:rPr>
        <w:t>,</w:t>
      </w:r>
      <w:r w:rsidRPr="00A148F1">
        <w:rPr>
          <w:rFonts w:ascii="Times New Roman" w:hAnsi="Times New Roman" w:cs="Times New Roman"/>
          <w:bCs/>
          <w:sz w:val="24"/>
          <w:szCs w:val="24"/>
        </w:rPr>
        <w:t xml:space="preserve"> ainda, em relação a</w:t>
      </w:r>
      <w:r w:rsidR="00490040" w:rsidRPr="00A148F1">
        <w:rPr>
          <w:rFonts w:ascii="Times New Roman" w:hAnsi="Times New Roman" w:cs="Times New Roman"/>
          <w:bCs/>
          <w:sz w:val="24"/>
          <w:szCs w:val="24"/>
        </w:rPr>
        <w:t>os percentuais de aplicação,</w:t>
      </w:r>
      <w:r w:rsidRPr="00A148F1">
        <w:rPr>
          <w:rFonts w:ascii="Times New Roman" w:hAnsi="Times New Roman" w:cs="Times New Roman"/>
          <w:bCs/>
          <w:sz w:val="24"/>
          <w:szCs w:val="24"/>
        </w:rPr>
        <w:t xml:space="preserve"> </w:t>
      </w:r>
      <w:r w:rsidR="00F93E81" w:rsidRPr="00A148F1">
        <w:rPr>
          <w:rFonts w:ascii="Times New Roman" w:hAnsi="Times New Roman" w:cs="Times New Roman"/>
          <w:bCs/>
          <w:sz w:val="24"/>
          <w:szCs w:val="24"/>
        </w:rPr>
        <w:t xml:space="preserve">conforme dados </w:t>
      </w:r>
      <w:r w:rsidR="00757763" w:rsidRPr="00A148F1">
        <w:rPr>
          <w:rFonts w:ascii="Times New Roman" w:hAnsi="Times New Roman" w:cs="Times New Roman"/>
          <w:bCs/>
          <w:sz w:val="24"/>
          <w:szCs w:val="24"/>
        </w:rPr>
        <w:t xml:space="preserve">dos demonstrativos </w:t>
      </w:r>
      <w:r w:rsidR="00F93E81" w:rsidRPr="00A148F1">
        <w:rPr>
          <w:rFonts w:ascii="Times New Roman" w:hAnsi="Times New Roman" w:cs="Times New Roman"/>
          <w:bCs/>
          <w:sz w:val="24"/>
          <w:szCs w:val="24"/>
        </w:rPr>
        <w:t>da PMF</w:t>
      </w:r>
      <w:r w:rsidR="00757763" w:rsidRPr="00A148F1">
        <w:rPr>
          <w:rFonts w:ascii="Times New Roman" w:hAnsi="Times New Roman" w:cs="Times New Roman"/>
          <w:bCs/>
          <w:sz w:val="24"/>
          <w:szCs w:val="24"/>
        </w:rPr>
        <w:t xml:space="preserve">, </w:t>
      </w:r>
      <w:r w:rsidR="00490040" w:rsidRPr="00A148F1">
        <w:rPr>
          <w:rFonts w:ascii="Times New Roman" w:hAnsi="Times New Roman" w:cs="Times New Roman"/>
          <w:bCs/>
          <w:sz w:val="24"/>
          <w:szCs w:val="24"/>
        </w:rPr>
        <w:t>que o maior percentual foi de 30,56%</w:t>
      </w:r>
      <w:r w:rsidR="00255687" w:rsidRPr="00A148F1">
        <w:rPr>
          <w:rFonts w:ascii="Times New Roman" w:hAnsi="Times New Roman" w:cs="Times New Roman"/>
          <w:bCs/>
          <w:sz w:val="24"/>
          <w:szCs w:val="24"/>
        </w:rPr>
        <w:t>,</w:t>
      </w:r>
      <w:r w:rsidR="00490040" w:rsidRPr="00A148F1">
        <w:rPr>
          <w:rFonts w:ascii="Times New Roman" w:hAnsi="Times New Roman" w:cs="Times New Roman"/>
          <w:bCs/>
          <w:sz w:val="24"/>
          <w:szCs w:val="24"/>
        </w:rPr>
        <w:t xml:space="preserve"> no ano de 2010. </w:t>
      </w:r>
      <w:r w:rsidR="00255687" w:rsidRPr="00A148F1">
        <w:rPr>
          <w:rFonts w:ascii="Times New Roman" w:hAnsi="Times New Roman" w:cs="Times New Roman"/>
          <w:bCs/>
          <w:sz w:val="24"/>
          <w:szCs w:val="24"/>
        </w:rPr>
        <w:t>C</w:t>
      </w:r>
      <w:r w:rsidR="00FD5D82" w:rsidRPr="00A148F1">
        <w:rPr>
          <w:rFonts w:ascii="Times New Roman" w:hAnsi="Times New Roman" w:cs="Times New Roman"/>
          <w:bCs/>
          <w:sz w:val="24"/>
          <w:szCs w:val="24"/>
        </w:rPr>
        <w:t>om os dados referentes aos parecer</w:t>
      </w:r>
      <w:r w:rsidR="00255687" w:rsidRPr="00A148F1">
        <w:rPr>
          <w:rFonts w:ascii="Times New Roman" w:hAnsi="Times New Roman" w:cs="Times New Roman"/>
          <w:bCs/>
          <w:sz w:val="24"/>
          <w:szCs w:val="24"/>
        </w:rPr>
        <w:t>es do TCE/SC, evidenciou-se que</w:t>
      </w:r>
      <w:r w:rsidR="00FD5D82" w:rsidRPr="00A148F1">
        <w:rPr>
          <w:rFonts w:ascii="Times New Roman" w:hAnsi="Times New Roman" w:cs="Times New Roman"/>
          <w:bCs/>
          <w:sz w:val="24"/>
          <w:szCs w:val="24"/>
        </w:rPr>
        <w:t xml:space="preserve"> </w:t>
      </w:r>
      <w:r w:rsidR="00490040" w:rsidRPr="00A148F1">
        <w:rPr>
          <w:rFonts w:ascii="Times New Roman" w:hAnsi="Times New Roman" w:cs="Times New Roman"/>
          <w:bCs/>
          <w:sz w:val="24"/>
          <w:szCs w:val="24"/>
        </w:rPr>
        <w:t>o maior percentual de aplicação foi de 25,42%</w:t>
      </w:r>
      <w:r w:rsidR="00255687" w:rsidRPr="00A148F1">
        <w:rPr>
          <w:rFonts w:ascii="Times New Roman" w:hAnsi="Times New Roman" w:cs="Times New Roman"/>
          <w:bCs/>
          <w:sz w:val="24"/>
          <w:szCs w:val="24"/>
        </w:rPr>
        <w:t>,</w:t>
      </w:r>
      <w:r w:rsidR="00490040" w:rsidRPr="00A148F1">
        <w:rPr>
          <w:rFonts w:ascii="Times New Roman" w:hAnsi="Times New Roman" w:cs="Times New Roman"/>
          <w:bCs/>
          <w:sz w:val="24"/>
          <w:szCs w:val="24"/>
        </w:rPr>
        <w:t xml:space="preserve"> no ano de 2012</w:t>
      </w:r>
      <w:r w:rsidR="00FD5D82" w:rsidRPr="00A148F1">
        <w:rPr>
          <w:rFonts w:ascii="Times New Roman" w:hAnsi="Times New Roman" w:cs="Times New Roman"/>
          <w:bCs/>
          <w:sz w:val="24"/>
          <w:szCs w:val="24"/>
        </w:rPr>
        <w:t>.</w:t>
      </w:r>
    </w:p>
    <w:p w:rsidR="00490040" w:rsidRPr="00A148F1" w:rsidRDefault="00F0553D" w:rsidP="00831265">
      <w:pPr>
        <w:spacing w:after="0" w:line="240" w:lineRule="auto"/>
        <w:ind w:firstLine="709"/>
        <w:jc w:val="both"/>
        <w:rPr>
          <w:rFonts w:ascii="Times New Roman" w:hAnsi="Times New Roman" w:cs="Times New Roman"/>
          <w:bCs/>
          <w:sz w:val="24"/>
          <w:szCs w:val="24"/>
        </w:rPr>
      </w:pPr>
      <w:r w:rsidRPr="00A148F1">
        <w:rPr>
          <w:rFonts w:ascii="Times New Roman" w:hAnsi="Times New Roman" w:cs="Times New Roman"/>
          <w:bCs/>
          <w:sz w:val="24"/>
          <w:szCs w:val="24"/>
        </w:rPr>
        <w:t>Comparando-se os dados da PMF com os</w:t>
      </w:r>
      <w:r w:rsidR="00490040" w:rsidRPr="00A148F1">
        <w:rPr>
          <w:rFonts w:ascii="Times New Roman" w:hAnsi="Times New Roman" w:cs="Times New Roman"/>
          <w:bCs/>
          <w:sz w:val="24"/>
          <w:szCs w:val="24"/>
        </w:rPr>
        <w:t xml:space="preserve"> do TCE/SC, observou-se que em todos os an</w:t>
      </w:r>
      <w:r w:rsidR="00DF7142" w:rsidRPr="00A148F1">
        <w:rPr>
          <w:rFonts w:ascii="Times New Roman" w:hAnsi="Times New Roman" w:cs="Times New Roman"/>
          <w:bCs/>
          <w:sz w:val="24"/>
          <w:szCs w:val="24"/>
        </w:rPr>
        <w:t>os da série histórica analisada</w:t>
      </w:r>
      <w:r w:rsidR="00490040" w:rsidRPr="00A148F1">
        <w:rPr>
          <w:rFonts w:ascii="Times New Roman" w:hAnsi="Times New Roman" w:cs="Times New Roman"/>
          <w:bCs/>
          <w:sz w:val="24"/>
          <w:szCs w:val="24"/>
        </w:rPr>
        <w:t xml:space="preserve"> houve diferenças </w:t>
      </w:r>
      <w:r w:rsidRPr="00A148F1">
        <w:rPr>
          <w:rFonts w:ascii="Times New Roman" w:hAnsi="Times New Roman" w:cs="Times New Roman"/>
          <w:bCs/>
          <w:sz w:val="24"/>
          <w:szCs w:val="24"/>
        </w:rPr>
        <w:t>nos</w:t>
      </w:r>
      <w:r w:rsidR="00DF7142" w:rsidRPr="00A148F1">
        <w:rPr>
          <w:rFonts w:ascii="Times New Roman" w:hAnsi="Times New Roman" w:cs="Times New Roman"/>
          <w:bCs/>
          <w:sz w:val="24"/>
          <w:szCs w:val="24"/>
        </w:rPr>
        <w:t xml:space="preserve"> percentuais</w:t>
      </w:r>
      <w:r w:rsidR="00490040" w:rsidRPr="00A148F1">
        <w:rPr>
          <w:rFonts w:ascii="Times New Roman" w:hAnsi="Times New Roman" w:cs="Times New Roman"/>
          <w:bCs/>
          <w:sz w:val="24"/>
          <w:szCs w:val="24"/>
        </w:rPr>
        <w:t xml:space="preserve"> de aplicação com ASPS</w:t>
      </w:r>
      <w:r w:rsidR="00CD73B9" w:rsidRPr="00A148F1">
        <w:rPr>
          <w:rFonts w:ascii="Times New Roman" w:hAnsi="Times New Roman" w:cs="Times New Roman"/>
          <w:bCs/>
          <w:sz w:val="24"/>
          <w:szCs w:val="24"/>
        </w:rPr>
        <w:t xml:space="preserve">, sendo que a maior diferença foi de 10,76 </w:t>
      </w:r>
      <w:proofErr w:type="spellStart"/>
      <w:r w:rsidR="00CD73B9" w:rsidRPr="00A148F1">
        <w:rPr>
          <w:rFonts w:ascii="Times New Roman" w:hAnsi="Times New Roman" w:cs="Times New Roman"/>
          <w:bCs/>
          <w:sz w:val="24"/>
          <w:szCs w:val="24"/>
        </w:rPr>
        <w:t>p.p.</w:t>
      </w:r>
      <w:proofErr w:type="spellEnd"/>
      <w:r w:rsidR="00DF7142" w:rsidRPr="00A148F1">
        <w:rPr>
          <w:rFonts w:ascii="Times New Roman" w:hAnsi="Times New Roman" w:cs="Times New Roman"/>
          <w:bCs/>
          <w:sz w:val="24"/>
          <w:szCs w:val="24"/>
        </w:rPr>
        <w:t>,</w:t>
      </w:r>
      <w:r w:rsidR="00CD73B9" w:rsidRPr="00A148F1">
        <w:rPr>
          <w:rFonts w:ascii="Times New Roman" w:hAnsi="Times New Roman" w:cs="Times New Roman"/>
          <w:bCs/>
          <w:sz w:val="24"/>
          <w:szCs w:val="24"/>
        </w:rPr>
        <w:t xml:space="preserve"> no ano de 2010.</w:t>
      </w:r>
    </w:p>
    <w:p w:rsidR="00CF61F3" w:rsidRPr="00A148F1" w:rsidRDefault="00CF61F3" w:rsidP="00831265">
      <w:pPr>
        <w:spacing w:after="0" w:line="240" w:lineRule="auto"/>
        <w:ind w:firstLine="708"/>
        <w:jc w:val="both"/>
        <w:rPr>
          <w:rFonts w:ascii="Times New Roman" w:hAnsi="Times New Roman" w:cs="Times New Roman"/>
          <w:bCs/>
          <w:sz w:val="24"/>
          <w:szCs w:val="24"/>
        </w:rPr>
      </w:pPr>
      <w:r w:rsidRPr="00A148F1">
        <w:rPr>
          <w:rFonts w:ascii="Times New Roman" w:hAnsi="Times New Roman" w:cs="Times New Roman"/>
          <w:bCs/>
          <w:sz w:val="24"/>
          <w:szCs w:val="24"/>
        </w:rPr>
        <w:t>A evolução das despesas com ASPS em valores originais, conforme a PMF, entre os anos de 2002 e 2015, foi de 795,82%, passando de R$ 21,67 milhões para R$</w:t>
      </w:r>
      <w:r w:rsidR="00DF7142" w:rsidRPr="00A148F1">
        <w:rPr>
          <w:rFonts w:ascii="Times New Roman" w:hAnsi="Times New Roman" w:cs="Times New Roman"/>
          <w:bCs/>
          <w:sz w:val="24"/>
          <w:szCs w:val="24"/>
        </w:rPr>
        <w:t xml:space="preserve"> 194,02 milhões</w:t>
      </w:r>
      <w:r w:rsidRPr="00A148F1">
        <w:rPr>
          <w:rFonts w:ascii="Times New Roman" w:hAnsi="Times New Roman" w:cs="Times New Roman"/>
          <w:bCs/>
          <w:sz w:val="24"/>
          <w:szCs w:val="24"/>
        </w:rPr>
        <w:t xml:space="preserve">. Por sua vez, os dados </w:t>
      </w:r>
      <w:r w:rsidR="00DF7142" w:rsidRPr="00A148F1">
        <w:rPr>
          <w:rFonts w:ascii="Times New Roman" w:hAnsi="Times New Roman" w:cs="Times New Roman"/>
          <w:bCs/>
          <w:sz w:val="24"/>
          <w:szCs w:val="24"/>
        </w:rPr>
        <w:t xml:space="preserve">do </w:t>
      </w:r>
      <w:r w:rsidRPr="00A148F1">
        <w:rPr>
          <w:rFonts w:ascii="Times New Roman" w:hAnsi="Times New Roman" w:cs="Times New Roman"/>
          <w:bCs/>
          <w:sz w:val="24"/>
          <w:szCs w:val="24"/>
        </w:rPr>
        <w:t>TCE/SC</w:t>
      </w:r>
      <w:r w:rsidR="005D7101" w:rsidRPr="00A148F1">
        <w:rPr>
          <w:rFonts w:ascii="Times New Roman" w:hAnsi="Times New Roman" w:cs="Times New Roman"/>
          <w:bCs/>
          <w:sz w:val="24"/>
          <w:szCs w:val="24"/>
        </w:rPr>
        <w:t>,</w:t>
      </w:r>
      <w:r w:rsidRPr="00A148F1">
        <w:rPr>
          <w:rFonts w:ascii="Times New Roman" w:hAnsi="Times New Roman" w:cs="Times New Roman"/>
          <w:bCs/>
          <w:sz w:val="24"/>
          <w:szCs w:val="24"/>
        </w:rPr>
        <w:t xml:space="preserve"> em valores originais</w:t>
      </w:r>
      <w:r w:rsidR="005D7101" w:rsidRPr="00A148F1">
        <w:rPr>
          <w:rFonts w:ascii="Times New Roman" w:hAnsi="Times New Roman" w:cs="Times New Roman"/>
          <w:bCs/>
          <w:sz w:val="24"/>
          <w:szCs w:val="24"/>
        </w:rPr>
        <w:t>, entre os anos de 2000 e 2015</w:t>
      </w:r>
      <w:r w:rsidR="005748D8" w:rsidRPr="00A148F1">
        <w:rPr>
          <w:rFonts w:ascii="Times New Roman" w:hAnsi="Times New Roman" w:cs="Times New Roman"/>
          <w:bCs/>
          <w:sz w:val="24"/>
          <w:szCs w:val="24"/>
        </w:rPr>
        <w:t>,</w:t>
      </w:r>
      <w:r w:rsidR="005D7101" w:rsidRPr="00A148F1">
        <w:rPr>
          <w:rFonts w:ascii="Times New Roman" w:hAnsi="Times New Roman" w:cs="Times New Roman"/>
          <w:bCs/>
          <w:sz w:val="24"/>
          <w:szCs w:val="24"/>
        </w:rPr>
        <w:t xml:space="preserve"> </w:t>
      </w:r>
      <w:r w:rsidR="00B42AD3" w:rsidRPr="00A148F1">
        <w:rPr>
          <w:rFonts w:ascii="Times New Roman" w:hAnsi="Times New Roman" w:cs="Times New Roman"/>
          <w:bCs/>
          <w:sz w:val="24"/>
          <w:szCs w:val="24"/>
        </w:rPr>
        <w:t>evidenciam um crescimento de</w:t>
      </w:r>
      <w:r w:rsidRPr="00A148F1">
        <w:rPr>
          <w:rFonts w:ascii="Times New Roman" w:hAnsi="Times New Roman" w:cs="Times New Roman"/>
          <w:bCs/>
          <w:sz w:val="24"/>
          <w:szCs w:val="24"/>
        </w:rPr>
        <w:t xml:space="preserve"> 1.440,64%, passando de R$ 11,74 milhões para R$ 180,84 milhões. </w:t>
      </w:r>
    </w:p>
    <w:p w:rsidR="00826782" w:rsidRPr="00A148F1" w:rsidRDefault="00705C65" w:rsidP="00831265">
      <w:pPr>
        <w:spacing w:after="0" w:line="240" w:lineRule="auto"/>
        <w:ind w:firstLine="709"/>
        <w:jc w:val="both"/>
        <w:rPr>
          <w:rFonts w:ascii="Times New Roman" w:hAnsi="Times New Roman" w:cs="Times New Roman"/>
          <w:bCs/>
          <w:sz w:val="24"/>
          <w:szCs w:val="24"/>
        </w:rPr>
      </w:pPr>
      <w:r w:rsidRPr="00A148F1">
        <w:rPr>
          <w:rFonts w:ascii="Times New Roman" w:hAnsi="Times New Roman" w:cs="Times New Roman"/>
          <w:bCs/>
          <w:sz w:val="24"/>
          <w:szCs w:val="24"/>
        </w:rPr>
        <w:t xml:space="preserve">Destaca-se, por fim, que não houve pretensão de analisar </w:t>
      </w:r>
      <w:r w:rsidR="00D739EA" w:rsidRPr="00A148F1">
        <w:rPr>
          <w:rFonts w:ascii="Times New Roman" w:hAnsi="Times New Roman" w:cs="Times New Roman"/>
          <w:bCs/>
          <w:sz w:val="24"/>
          <w:szCs w:val="24"/>
        </w:rPr>
        <w:t>a qualidade</w:t>
      </w:r>
      <w:r w:rsidRPr="00A148F1">
        <w:rPr>
          <w:rFonts w:ascii="Times New Roman" w:hAnsi="Times New Roman" w:cs="Times New Roman"/>
          <w:bCs/>
          <w:sz w:val="24"/>
          <w:szCs w:val="24"/>
        </w:rPr>
        <w:t xml:space="preserve"> </w:t>
      </w:r>
      <w:r w:rsidR="00D739EA" w:rsidRPr="00A148F1">
        <w:rPr>
          <w:rFonts w:ascii="Times New Roman" w:hAnsi="Times New Roman" w:cs="Times New Roman"/>
          <w:bCs/>
          <w:sz w:val="24"/>
          <w:szCs w:val="24"/>
        </w:rPr>
        <w:t>d</w:t>
      </w:r>
      <w:r w:rsidRPr="00A148F1">
        <w:rPr>
          <w:rFonts w:ascii="Times New Roman" w:hAnsi="Times New Roman" w:cs="Times New Roman"/>
          <w:bCs/>
          <w:sz w:val="24"/>
          <w:szCs w:val="24"/>
        </w:rPr>
        <w:t xml:space="preserve">os gastos públicos em saúde, </w:t>
      </w:r>
      <w:r w:rsidR="00D739EA" w:rsidRPr="00A148F1">
        <w:rPr>
          <w:rFonts w:ascii="Times New Roman" w:hAnsi="Times New Roman" w:cs="Times New Roman"/>
          <w:bCs/>
          <w:sz w:val="24"/>
          <w:szCs w:val="24"/>
        </w:rPr>
        <w:t>de tal modo</w:t>
      </w:r>
      <w:r w:rsidRPr="00A148F1">
        <w:rPr>
          <w:rFonts w:ascii="Times New Roman" w:hAnsi="Times New Roman" w:cs="Times New Roman"/>
          <w:bCs/>
          <w:sz w:val="24"/>
          <w:szCs w:val="24"/>
        </w:rPr>
        <w:t xml:space="preserve"> q</w:t>
      </w:r>
      <w:r w:rsidR="00DF7142" w:rsidRPr="00A148F1">
        <w:rPr>
          <w:rFonts w:ascii="Times New Roman" w:hAnsi="Times New Roman" w:cs="Times New Roman"/>
          <w:bCs/>
          <w:sz w:val="24"/>
          <w:szCs w:val="24"/>
        </w:rPr>
        <w:t>ue a pesquisa se restringiu a</w:t>
      </w:r>
      <w:r w:rsidRPr="00A148F1">
        <w:rPr>
          <w:rFonts w:ascii="Times New Roman" w:hAnsi="Times New Roman" w:cs="Times New Roman"/>
          <w:bCs/>
          <w:sz w:val="24"/>
          <w:szCs w:val="24"/>
        </w:rPr>
        <w:t xml:space="preserve"> analisar o cumprimento da aplicação</w:t>
      </w:r>
      <w:r w:rsidR="00D739EA" w:rsidRPr="00A148F1">
        <w:rPr>
          <w:rFonts w:ascii="Times New Roman" w:hAnsi="Times New Roman" w:cs="Times New Roman"/>
          <w:bCs/>
          <w:sz w:val="24"/>
          <w:szCs w:val="24"/>
        </w:rPr>
        <w:t xml:space="preserve"> mínima</w:t>
      </w:r>
      <w:r w:rsidR="00826782" w:rsidRPr="00A148F1">
        <w:rPr>
          <w:rFonts w:ascii="Times New Roman" w:hAnsi="Times New Roman" w:cs="Times New Roman"/>
          <w:bCs/>
          <w:sz w:val="24"/>
          <w:szCs w:val="24"/>
        </w:rPr>
        <w:t xml:space="preserve"> </w:t>
      </w:r>
      <w:r w:rsidR="005D7101" w:rsidRPr="00A148F1">
        <w:rPr>
          <w:rFonts w:ascii="Times New Roman" w:hAnsi="Times New Roman" w:cs="Times New Roman"/>
          <w:bCs/>
          <w:sz w:val="24"/>
          <w:szCs w:val="24"/>
        </w:rPr>
        <w:t xml:space="preserve">constitucional </w:t>
      </w:r>
      <w:r w:rsidR="00826782" w:rsidRPr="00A148F1">
        <w:rPr>
          <w:rFonts w:ascii="Times New Roman" w:hAnsi="Times New Roman" w:cs="Times New Roman"/>
          <w:bCs/>
          <w:sz w:val="24"/>
          <w:szCs w:val="24"/>
        </w:rPr>
        <w:t xml:space="preserve">das despesas </w:t>
      </w:r>
      <w:r w:rsidR="005D7101" w:rsidRPr="00A148F1">
        <w:rPr>
          <w:rFonts w:ascii="Times New Roman" w:hAnsi="Times New Roman" w:cs="Times New Roman"/>
          <w:bCs/>
          <w:sz w:val="24"/>
          <w:szCs w:val="24"/>
        </w:rPr>
        <w:t>com</w:t>
      </w:r>
      <w:r w:rsidR="00826782" w:rsidRPr="00A148F1">
        <w:rPr>
          <w:rFonts w:ascii="Times New Roman" w:hAnsi="Times New Roman" w:cs="Times New Roman"/>
          <w:bCs/>
          <w:sz w:val="24"/>
          <w:szCs w:val="24"/>
        </w:rPr>
        <w:t xml:space="preserve"> ASPS</w:t>
      </w:r>
      <w:r w:rsidRPr="00A148F1">
        <w:rPr>
          <w:rFonts w:ascii="Times New Roman" w:hAnsi="Times New Roman" w:cs="Times New Roman"/>
          <w:bCs/>
          <w:sz w:val="24"/>
          <w:szCs w:val="24"/>
        </w:rPr>
        <w:t>.</w:t>
      </w:r>
    </w:p>
    <w:p w:rsidR="00376532" w:rsidRPr="00A148F1" w:rsidRDefault="00826782" w:rsidP="00831265">
      <w:pPr>
        <w:spacing w:after="0" w:line="240" w:lineRule="auto"/>
        <w:ind w:firstLine="709"/>
        <w:jc w:val="both"/>
        <w:rPr>
          <w:rFonts w:ascii="Times New Roman" w:hAnsi="Times New Roman" w:cs="Times New Roman"/>
          <w:bCs/>
        </w:rPr>
      </w:pPr>
      <w:r w:rsidRPr="00A148F1">
        <w:rPr>
          <w:rFonts w:ascii="Times New Roman" w:hAnsi="Times New Roman" w:cs="Times New Roman"/>
          <w:bCs/>
          <w:sz w:val="24"/>
          <w:szCs w:val="24"/>
        </w:rPr>
        <w:t xml:space="preserve">Para </w:t>
      </w:r>
      <w:r w:rsidR="00400E7D" w:rsidRPr="00A148F1">
        <w:rPr>
          <w:rFonts w:ascii="Times New Roman" w:hAnsi="Times New Roman" w:cs="Times New Roman"/>
          <w:bCs/>
          <w:sz w:val="24"/>
          <w:szCs w:val="24"/>
        </w:rPr>
        <w:t xml:space="preserve">pesquisas futuras, </w:t>
      </w:r>
      <w:r w:rsidRPr="00A148F1">
        <w:rPr>
          <w:rFonts w:ascii="Times New Roman" w:hAnsi="Times New Roman" w:cs="Times New Roman"/>
          <w:bCs/>
          <w:sz w:val="24"/>
          <w:szCs w:val="24"/>
        </w:rPr>
        <w:t>sugere-se</w:t>
      </w:r>
      <w:r w:rsidR="00400E7D" w:rsidRPr="00A148F1">
        <w:rPr>
          <w:rFonts w:ascii="Times New Roman" w:hAnsi="Times New Roman" w:cs="Times New Roman"/>
          <w:bCs/>
          <w:sz w:val="24"/>
          <w:szCs w:val="24"/>
        </w:rPr>
        <w:t xml:space="preserve">: </w:t>
      </w:r>
      <w:r w:rsidR="002669B6" w:rsidRPr="00A148F1">
        <w:rPr>
          <w:rFonts w:ascii="Times New Roman" w:hAnsi="Times New Roman" w:cs="Times New Roman"/>
          <w:bCs/>
          <w:sz w:val="24"/>
          <w:szCs w:val="24"/>
        </w:rPr>
        <w:t>analisar outros municípios, ou mesmo uma amostra dos mesmos, com vistas a poder compará-los</w:t>
      </w:r>
      <w:r w:rsidR="00C04A3C" w:rsidRPr="00A148F1">
        <w:rPr>
          <w:rFonts w:ascii="Times New Roman" w:hAnsi="Times New Roman" w:cs="Times New Roman"/>
          <w:bCs/>
          <w:sz w:val="24"/>
          <w:szCs w:val="24"/>
        </w:rPr>
        <w:t>; analisar a metodologia utilizada para obtenção dos dados referentes às despesas e</w:t>
      </w:r>
      <w:r w:rsidR="00DF7142" w:rsidRPr="00A148F1">
        <w:rPr>
          <w:rFonts w:ascii="Times New Roman" w:hAnsi="Times New Roman" w:cs="Times New Roman"/>
          <w:bCs/>
          <w:sz w:val="24"/>
          <w:szCs w:val="24"/>
        </w:rPr>
        <w:t xml:space="preserve"> receitas utilizadas no cálculo</w:t>
      </w:r>
      <w:r w:rsidR="00C04A3C" w:rsidRPr="00A148F1">
        <w:rPr>
          <w:rFonts w:ascii="Times New Roman" w:hAnsi="Times New Roman" w:cs="Times New Roman"/>
          <w:bCs/>
          <w:sz w:val="24"/>
          <w:szCs w:val="24"/>
        </w:rPr>
        <w:t>, assim como verificar</w:t>
      </w:r>
      <w:r w:rsidR="007A04A9" w:rsidRPr="00A148F1">
        <w:rPr>
          <w:rFonts w:ascii="Times New Roman" w:hAnsi="Times New Roman" w:cs="Times New Roman"/>
          <w:bCs/>
          <w:sz w:val="24"/>
          <w:szCs w:val="24"/>
        </w:rPr>
        <w:t xml:space="preserve"> se houve</w:t>
      </w:r>
      <w:r w:rsidRPr="00A148F1">
        <w:rPr>
          <w:rFonts w:ascii="Times New Roman" w:hAnsi="Times New Roman" w:cs="Times New Roman"/>
          <w:bCs/>
          <w:sz w:val="24"/>
          <w:szCs w:val="24"/>
        </w:rPr>
        <w:t xml:space="preserve"> alterações</w:t>
      </w:r>
      <w:r w:rsidR="00C04A3C" w:rsidRPr="00A148F1">
        <w:rPr>
          <w:rFonts w:ascii="Times New Roman" w:hAnsi="Times New Roman" w:cs="Times New Roman"/>
          <w:bCs/>
          <w:sz w:val="24"/>
          <w:szCs w:val="24"/>
        </w:rPr>
        <w:t xml:space="preserve">; e analisar a qualidade e </w:t>
      </w:r>
      <w:r w:rsidR="00DF7142" w:rsidRPr="00A148F1">
        <w:rPr>
          <w:rFonts w:ascii="Times New Roman" w:hAnsi="Times New Roman" w:cs="Times New Roman"/>
          <w:bCs/>
          <w:sz w:val="24"/>
          <w:szCs w:val="24"/>
        </w:rPr>
        <w:t xml:space="preserve">a </w:t>
      </w:r>
      <w:r w:rsidR="00C04A3C" w:rsidRPr="00A148F1">
        <w:rPr>
          <w:rFonts w:ascii="Times New Roman" w:hAnsi="Times New Roman" w:cs="Times New Roman"/>
          <w:bCs/>
          <w:sz w:val="24"/>
          <w:szCs w:val="24"/>
        </w:rPr>
        <w:t>eficiência dos gastos públicos em saúde.</w:t>
      </w:r>
    </w:p>
    <w:p w:rsidR="00F62F68" w:rsidRPr="00A31187" w:rsidRDefault="00F62F68" w:rsidP="006E082F">
      <w:pPr>
        <w:spacing w:after="0" w:line="240" w:lineRule="auto"/>
        <w:rPr>
          <w:rFonts w:ascii="Times New Roman" w:hAnsi="Times New Roman" w:cs="Times New Roman"/>
          <w:b/>
          <w:sz w:val="24"/>
          <w:szCs w:val="24"/>
        </w:rPr>
      </w:pPr>
    </w:p>
    <w:p w:rsidR="00D73C86" w:rsidRPr="00A148F1" w:rsidRDefault="0012422D" w:rsidP="0098300A">
      <w:pPr>
        <w:spacing w:after="0" w:line="360" w:lineRule="auto"/>
        <w:jc w:val="center"/>
        <w:rPr>
          <w:rFonts w:ascii="Times New Roman" w:hAnsi="Times New Roman" w:cs="Times New Roman"/>
          <w:b/>
          <w:sz w:val="24"/>
          <w:szCs w:val="24"/>
        </w:rPr>
      </w:pPr>
      <w:r w:rsidRPr="00A148F1">
        <w:rPr>
          <w:rFonts w:ascii="Times New Roman" w:hAnsi="Times New Roman" w:cs="Times New Roman"/>
          <w:b/>
          <w:sz w:val="24"/>
          <w:szCs w:val="24"/>
        </w:rPr>
        <w:t>REFERÊNCIAS</w:t>
      </w:r>
    </w:p>
    <w:p w:rsidR="00303D4A" w:rsidRPr="00A148F1" w:rsidRDefault="00303D4A" w:rsidP="00FA4C99">
      <w:pPr>
        <w:spacing w:before="120" w:after="120" w:line="240" w:lineRule="auto"/>
        <w:rPr>
          <w:rFonts w:ascii="Times New Roman" w:hAnsi="Times New Roman" w:cs="Times New Roman"/>
          <w:sz w:val="24"/>
          <w:szCs w:val="24"/>
        </w:rPr>
      </w:pPr>
      <w:r w:rsidRPr="00A148F1">
        <w:rPr>
          <w:rFonts w:ascii="Times New Roman" w:hAnsi="Times New Roman" w:cs="Times New Roman"/>
          <w:sz w:val="24"/>
          <w:szCs w:val="24"/>
        </w:rPr>
        <w:t xml:space="preserve">BATISTA, </w:t>
      </w:r>
      <w:r w:rsidR="00CD2ACD" w:rsidRPr="00A148F1">
        <w:rPr>
          <w:rFonts w:ascii="Times New Roman" w:hAnsi="Times New Roman" w:cs="Times New Roman"/>
          <w:sz w:val="24"/>
          <w:szCs w:val="24"/>
        </w:rPr>
        <w:t xml:space="preserve">Andressa Maria da Costa. </w:t>
      </w:r>
      <w:r w:rsidR="00CD2ACD" w:rsidRPr="00A148F1">
        <w:rPr>
          <w:rFonts w:ascii="Times New Roman" w:hAnsi="Times New Roman" w:cs="Times New Roman"/>
          <w:b/>
          <w:sz w:val="24"/>
          <w:szCs w:val="24"/>
        </w:rPr>
        <w:t>Uma análise dos gastos com a saúde pública no Município de Boa Vista (PB), no período de 2007 a 2011, em conformidade com a Emenda Constitucional 29/2000</w:t>
      </w:r>
      <w:r w:rsidR="00CD2ACD" w:rsidRPr="00A148F1">
        <w:rPr>
          <w:rFonts w:ascii="Times New Roman" w:hAnsi="Times New Roman" w:cs="Times New Roman"/>
          <w:sz w:val="24"/>
          <w:szCs w:val="24"/>
        </w:rPr>
        <w:t>. Artigo de Graduação em Ciências Contábeis da Universidade Estadual da Paraíba. Campina Grande, 2012.</w:t>
      </w:r>
    </w:p>
    <w:p w:rsidR="003B5982" w:rsidRPr="00A148F1" w:rsidRDefault="00526CE4" w:rsidP="00FA4C99">
      <w:pPr>
        <w:spacing w:before="120" w:after="120" w:line="240" w:lineRule="auto"/>
        <w:rPr>
          <w:rFonts w:ascii="Times New Roman" w:hAnsi="Times New Roman" w:cs="Times New Roman"/>
          <w:bCs/>
          <w:sz w:val="24"/>
          <w:szCs w:val="24"/>
        </w:rPr>
      </w:pPr>
      <w:r w:rsidRPr="00A148F1">
        <w:rPr>
          <w:rFonts w:ascii="Times New Roman" w:hAnsi="Times New Roman" w:cs="Times New Roman"/>
          <w:bCs/>
          <w:sz w:val="24"/>
          <w:szCs w:val="24"/>
        </w:rPr>
        <w:t xml:space="preserve">BRASIL. Constituição (1988). </w:t>
      </w:r>
      <w:r w:rsidRPr="00A148F1">
        <w:rPr>
          <w:rFonts w:ascii="Times New Roman" w:hAnsi="Times New Roman" w:cs="Times New Roman"/>
          <w:b/>
          <w:bCs/>
          <w:sz w:val="24"/>
          <w:szCs w:val="24"/>
        </w:rPr>
        <w:t>Constituição da República Federativa do Brasil:</w:t>
      </w:r>
      <w:r w:rsidRPr="00A148F1">
        <w:rPr>
          <w:rFonts w:ascii="Times New Roman" w:hAnsi="Times New Roman" w:cs="Times New Roman"/>
          <w:bCs/>
          <w:sz w:val="24"/>
          <w:szCs w:val="24"/>
        </w:rPr>
        <w:t xml:space="preserve"> promulgada em </w:t>
      </w:r>
      <w:proofErr w:type="gramStart"/>
      <w:r w:rsidRPr="00A148F1">
        <w:rPr>
          <w:rFonts w:ascii="Times New Roman" w:hAnsi="Times New Roman" w:cs="Times New Roman"/>
          <w:bCs/>
          <w:sz w:val="24"/>
          <w:szCs w:val="24"/>
        </w:rPr>
        <w:t>5</w:t>
      </w:r>
      <w:proofErr w:type="gramEnd"/>
      <w:r w:rsidRPr="00A148F1">
        <w:rPr>
          <w:rFonts w:ascii="Times New Roman" w:hAnsi="Times New Roman" w:cs="Times New Roman"/>
          <w:bCs/>
          <w:sz w:val="24"/>
          <w:szCs w:val="24"/>
        </w:rPr>
        <w:t xml:space="preserve"> de outubro de 1988. Atualizada a</w:t>
      </w:r>
      <w:r w:rsidR="00182F82" w:rsidRPr="00A148F1">
        <w:rPr>
          <w:rFonts w:ascii="Times New Roman" w:hAnsi="Times New Roman" w:cs="Times New Roman"/>
          <w:bCs/>
          <w:sz w:val="24"/>
          <w:szCs w:val="24"/>
        </w:rPr>
        <w:t>té a Emenda Constitucional n.</w:t>
      </w:r>
      <w:r w:rsidR="00A86208" w:rsidRPr="00A148F1">
        <w:rPr>
          <w:rFonts w:ascii="Times New Roman" w:hAnsi="Times New Roman" w:cs="Times New Roman"/>
          <w:bCs/>
          <w:sz w:val="24"/>
          <w:szCs w:val="24"/>
        </w:rPr>
        <w:t>º</w:t>
      </w:r>
      <w:r w:rsidR="00182F82" w:rsidRPr="00A148F1">
        <w:rPr>
          <w:rFonts w:ascii="Times New Roman" w:hAnsi="Times New Roman" w:cs="Times New Roman"/>
          <w:bCs/>
          <w:sz w:val="24"/>
          <w:szCs w:val="24"/>
        </w:rPr>
        <w:t xml:space="preserve"> 90, de 15 de setembro de 2015</w:t>
      </w:r>
      <w:r w:rsidRPr="00A148F1">
        <w:rPr>
          <w:rFonts w:ascii="Times New Roman" w:hAnsi="Times New Roman" w:cs="Times New Roman"/>
          <w:bCs/>
          <w:sz w:val="24"/>
          <w:szCs w:val="24"/>
        </w:rPr>
        <w:t>. Disponível em:</w:t>
      </w:r>
      <w:r w:rsidR="00895FE5" w:rsidRPr="00A148F1">
        <w:rPr>
          <w:rFonts w:ascii="Times New Roman" w:hAnsi="Times New Roman" w:cs="Times New Roman"/>
          <w:bCs/>
          <w:sz w:val="24"/>
          <w:szCs w:val="24"/>
        </w:rPr>
        <w:t xml:space="preserve"> </w:t>
      </w:r>
      <w:r w:rsidRPr="00A148F1">
        <w:rPr>
          <w:rFonts w:ascii="Times New Roman" w:hAnsi="Times New Roman" w:cs="Times New Roman"/>
          <w:bCs/>
          <w:sz w:val="24"/>
          <w:szCs w:val="24"/>
        </w:rPr>
        <w:t>&lt;</w:t>
      </w:r>
      <w:r w:rsidR="00182F82" w:rsidRPr="00A148F1">
        <w:rPr>
          <w:rFonts w:ascii="Times New Roman" w:hAnsi="Times New Roman" w:cs="Times New Roman"/>
          <w:bCs/>
          <w:sz w:val="24"/>
          <w:szCs w:val="24"/>
        </w:rPr>
        <w:t>http://www.planalto.gov.br/ccivil_03/constituicao/</w:t>
      </w:r>
      <w:r w:rsidR="00895FE5" w:rsidRPr="00A148F1">
        <w:rPr>
          <w:rFonts w:ascii="Times New Roman" w:hAnsi="Times New Roman" w:cs="Times New Roman"/>
          <w:bCs/>
          <w:sz w:val="24"/>
          <w:szCs w:val="24"/>
        </w:rPr>
        <w:t xml:space="preserve"> </w:t>
      </w:r>
      <w:r w:rsidR="00EC0647" w:rsidRPr="00A148F1">
        <w:rPr>
          <w:rFonts w:ascii="Times New Roman" w:hAnsi="Times New Roman" w:cs="Times New Roman"/>
          <w:bCs/>
          <w:sz w:val="24"/>
          <w:szCs w:val="24"/>
        </w:rPr>
        <w:t>ConstituicaoCompilado.htm</w:t>
      </w:r>
      <w:r w:rsidR="00182F82" w:rsidRPr="00A148F1">
        <w:rPr>
          <w:rFonts w:ascii="Times New Roman" w:hAnsi="Times New Roman" w:cs="Times New Roman"/>
          <w:bCs/>
          <w:sz w:val="24"/>
          <w:szCs w:val="24"/>
        </w:rPr>
        <w:t xml:space="preserve">&gt;. Acesso em: 08 </w:t>
      </w:r>
      <w:r w:rsidR="0078200A" w:rsidRPr="00A148F1">
        <w:rPr>
          <w:rFonts w:ascii="Times New Roman" w:hAnsi="Times New Roman" w:cs="Times New Roman"/>
          <w:bCs/>
          <w:sz w:val="24"/>
          <w:szCs w:val="24"/>
        </w:rPr>
        <w:t>abr</w:t>
      </w:r>
      <w:r w:rsidR="00182F82" w:rsidRPr="00A148F1">
        <w:rPr>
          <w:rFonts w:ascii="Times New Roman" w:hAnsi="Times New Roman" w:cs="Times New Roman"/>
          <w:bCs/>
          <w:sz w:val="24"/>
          <w:szCs w:val="24"/>
        </w:rPr>
        <w:t>. 201</w:t>
      </w:r>
      <w:r w:rsidR="0078200A" w:rsidRPr="00A148F1">
        <w:rPr>
          <w:rFonts w:ascii="Times New Roman" w:hAnsi="Times New Roman" w:cs="Times New Roman"/>
          <w:bCs/>
          <w:sz w:val="24"/>
          <w:szCs w:val="24"/>
        </w:rPr>
        <w:t>6.</w:t>
      </w:r>
    </w:p>
    <w:p w:rsidR="003959A0" w:rsidRPr="00A148F1" w:rsidRDefault="003959A0" w:rsidP="00FA4C99">
      <w:pPr>
        <w:spacing w:before="120" w:after="120" w:line="240" w:lineRule="auto"/>
        <w:rPr>
          <w:rFonts w:ascii="Times New Roman" w:hAnsi="Times New Roman" w:cs="Times New Roman"/>
          <w:bCs/>
          <w:sz w:val="24"/>
          <w:szCs w:val="24"/>
        </w:rPr>
      </w:pPr>
      <w:r w:rsidRPr="00A148F1">
        <w:rPr>
          <w:rFonts w:ascii="Times New Roman" w:hAnsi="Times New Roman" w:cs="Times New Roman"/>
          <w:bCs/>
          <w:sz w:val="24"/>
          <w:szCs w:val="24"/>
        </w:rPr>
        <w:t xml:space="preserve">_______. </w:t>
      </w:r>
      <w:r w:rsidRPr="00A148F1">
        <w:rPr>
          <w:rFonts w:ascii="Times New Roman" w:hAnsi="Times New Roman" w:cs="Times New Roman"/>
          <w:b/>
          <w:bCs/>
          <w:sz w:val="24"/>
          <w:szCs w:val="24"/>
        </w:rPr>
        <w:t>Emenda Constitucional n.º 29</w:t>
      </w:r>
      <w:r w:rsidRPr="00A148F1">
        <w:rPr>
          <w:rFonts w:ascii="Times New Roman" w:hAnsi="Times New Roman" w:cs="Times New Roman"/>
          <w:bCs/>
          <w:sz w:val="24"/>
          <w:szCs w:val="24"/>
        </w:rPr>
        <w:t xml:space="preserve">, de 13 de setembro de 2000. Altera os </w:t>
      </w:r>
      <w:proofErr w:type="spellStart"/>
      <w:r w:rsidRPr="00A148F1">
        <w:rPr>
          <w:rFonts w:ascii="Times New Roman" w:hAnsi="Times New Roman" w:cs="Times New Roman"/>
          <w:bCs/>
          <w:sz w:val="24"/>
          <w:szCs w:val="24"/>
        </w:rPr>
        <w:t>arts</w:t>
      </w:r>
      <w:proofErr w:type="spellEnd"/>
      <w:r w:rsidRPr="00A148F1">
        <w:rPr>
          <w:rFonts w:ascii="Times New Roman" w:hAnsi="Times New Roman" w:cs="Times New Roman"/>
          <w:bCs/>
          <w:sz w:val="24"/>
          <w:szCs w:val="24"/>
        </w:rPr>
        <w:t xml:space="preserve">. 34, 35, 156, 160, 167 e 198 da Constituição Federal e acrescenta artigo ao Ato das Disposições </w:t>
      </w:r>
      <w:r w:rsidRPr="00A148F1">
        <w:rPr>
          <w:rFonts w:ascii="Times New Roman" w:hAnsi="Times New Roman" w:cs="Times New Roman"/>
          <w:bCs/>
          <w:sz w:val="24"/>
          <w:szCs w:val="24"/>
        </w:rPr>
        <w:lastRenderedPageBreak/>
        <w:t xml:space="preserve">Constitucionais Transitórias, para assegurar os recursos mínimos para o financiamento das ações e serviços públicos de saúde. Disponível em: &lt;http://www.planalto.gov.br/ccivil_03/ </w:t>
      </w:r>
      <w:proofErr w:type="spellStart"/>
      <w:r w:rsidRPr="00A148F1">
        <w:rPr>
          <w:rFonts w:ascii="Times New Roman" w:hAnsi="Times New Roman" w:cs="Times New Roman"/>
          <w:bCs/>
          <w:sz w:val="24"/>
          <w:szCs w:val="24"/>
        </w:rPr>
        <w:t>constituicao</w:t>
      </w:r>
      <w:proofErr w:type="spellEnd"/>
      <w:r w:rsidRPr="00A148F1">
        <w:rPr>
          <w:rFonts w:ascii="Times New Roman" w:hAnsi="Times New Roman" w:cs="Times New Roman"/>
          <w:bCs/>
          <w:sz w:val="24"/>
          <w:szCs w:val="24"/>
        </w:rPr>
        <w:t>/emendas/</w:t>
      </w:r>
      <w:proofErr w:type="spellStart"/>
      <w:r w:rsidRPr="00A148F1">
        <w:rPr>
          <w:rFonts w:ascii="Times New Roman" w:hAnsi="Times New Roman" w:cs="Times New Roman"/>
          <w:bCs/>
          <w:sz w:val="24"/>
          <w:szCs w:val="24"/>
        </w:rPr>
        <w:t>emc</w:t>
      </w:r>
      <w:proofErr w:type="spellEnd"/>
      <w:r w:rsidRPr="00A148F1">
        <w:rPr>
          <w:rFonts w:ascii="Times New Roman" w:hAnsi="Times New Roman" w:cs="Times New Roman"/>
          <w:bCs/>
          <w:sz w:val="24"/>
          <w:szCs w:val="24"/>
        </w:rPr>
        <w:t>/emc29.htm&gt;. Acesso em: 10 abr. 2016.</w:t>
      </w:r>
      <w:r w:rsidR="006D0AE3" w:rsidRPr="00A148F1">
        <w:rPr>
          <w:rFonts w:ascii="Times New Roman" w:hAnsi="Times New Roman" w:cs="Times New Roman"/>
          <w:bCs/>
          <w:sz w:val="24"/>
          <w:szCs w:val="24"/>
        </w:rPr>
        <w:t xml:space="preserve"> </w:t>
      </w:r>
      <w:proofErr w:type="gramStart"/>
      <w:r w:rsidR="006D0AE3" w:rsidRPr="00A148F1">
        <w:rPr>
          <w:rFonts w:ascii="Times New Roman" w:hAnsi="Times New Roman" w:cs="Times New Roman"/>
          <w:bCs/>
          <w:sz w:val="24"/>
          <w:szCs w:val="24"/>
        </w:rPr>
        <w:t>2000a.</w:t>
      </w:r>
      <w:proofErr w:type="gramEnd"/>
    </w:p>
    <w:p w:rsidR="00526CE4" w:rsidRPr="00A148F1" w:rsidRDefault="00526CE4" w:rsidP="00FA4C99">
      <w:pPr>
        <w:spacing w:before="120" w:after="120" w:line="240" w:lineRule="auto"/>
        <w:rPr>
          <w:rFonts w:ascii="Times New Roman" w:hAnsi="Times New Roman" w:cs="Times New Roman"/>
          <w:bCs/>
          <w:sz w:val="24"/>
          <w:szCs w:val="24"/>
        </w:rPr>
      </w:pPr>
      <w:r w:rsidRPr="00A148F1">
        <w:rPr>
          <w:rFonts w:ascii="Times New Roman" w:hAnsi="Times New Roman" w:cs="Times New Roman"/>
          <w:bCs/>
          <w:sz w:val="24"/>
          <w:szCs w:val="24"/>
        </w:rPr>
        <w:t xml:space="preserve">_______. </w:t>
      </w:r>
      <w:r w:rsidRPr="00A148F1">
        <w:rPr>
          <w:rFonts w:ascii="Times New Roman" w:hAnsi="Times New Roman" w:cs="Times New Roman"/>
          <w:b/>
          <w:bCs/>
          <w:sz w:val="24"/>
          <w:szCs w:val="24"/>
        </w:rPr>
        <w:t>Lei Complementar n.º 101</w:t>
      </w:r>
      <w:r w:rsidRPr="00A148F1">
        <w:rPr>
          <w:rFonts w:ascii="Times New Roman" w:hAnsi="Times New Roman" w:cs="Times New Roman"/>
          <w:bCs/>
          <w:sz w:val="24"/>
          <w:szCs w:val="24"/>
        </w:rPr>
        <w:t xml:space="preserve">, de </w:t>
      </w:r>
      <w:proofErr w:type="gramStart"/>
      <w:r w:rsidRPr="00A148F1">
        <w:rPr>
          <w:rFonts w:ascii="Times New Roman" w:hAnsi="Times New Roman" w:cs="Times New Roman"/>
          <w:bCs/>
          <w:sz w:val="24"/>
          <w:szCs w:val="24"/>
        </w:rPr>
        <w:t>4</w:t>
      </w:r>
      <w:proofErr w:type="gramEnd"/>
      <w:r w:rsidRPr="00A148F1">
        <w:rPr>
          <w:rFonts w:ascii="Times New Roman" w:hAnsi="Times New Roman" w:cs="Times New Roman"/>
          <w:bCs/>
          <w:sz w:val="24"/>
          <w:szCs w:val="24"/>
        </w:rPr>
        <w:t xml:space="preserve"> de maio de 2000 (Lei de Responsabilidade Fiscal). Estabel</w:t>
      </w:r>
      <w:r w:rsidR="00895FE5" w:rsidRPr="00A148F1">
        <w:rPr>
          <w:rFonts w:ascii="Times New Roman" w:hAnsi="Times New Roman" w:cs="Times New Roman"/>
          <w:bCs/>
          <w:sz w:val="24"/>
          <w:szCs w:val="24"/>
        </w:rPr>
        <w:t xml:space="preserve">ece normas de finanças públicas </w:t>
      </w:r>
      <w:r w:rsidRPr="00A148F1">
        <w:rPr>
          <w:rFonts w:ascii="Times New Roman" w:hAnsi="Times New Roman" w:cs="Times New Roman"/>
          <w:bCs/>
          <w:sz w:val="24"/>
          <w:szCs w:val="24"/>
        </w:rPr>
        <w:t>voltadas para a responsabilidade na gestão fiscal e dá outras providências.</w:t>
      </w:r>
      <w:r w:rsidR="00895FE5" w:rsidRPr="00A148F1">
        <w:rPr>
          <w:rFonts w:ascii="Times New Roman" w:hAnsi="Times New Roman" w:cs="Times New Roman"/>
          <w:bCs/>
          <w:sz w:val="24"/>
          <w:szCs w:val="24"/>
        </w:rPr>
        <w:t xml:space="preserve"> </w:t>
      </w:r>
      <w:r w:rsidRPr="00A148F1">
        <w:rPr>
          <w:rFonts w:ascii="Times New Roman" w:hAnsi="Times New Roman" w:cs="Times New Roman"/>
          <w:bCs/>
          <w:sz w:val="24"/>
          <w:szCs w:val="24"/>
        </w:rPr>
        <w:t>Disponível em: &lt;http://www.planalto.gov.br/ccivil_</w:t>
      </w:r>
      <w:r w:rsidR="00895FE5" w:rsidRPr="00A148F1">
        <w:rPr>
          <w:rFonts w:ascii="Times New Roman" w:hAnsi="Times New Roman" w:cs="Times New Roman"/>
          <w:bCs/>
          <w:sz w:val="24"/>
          <w:szCs w:val="24"/>
        </w:rPr>
        <w:t xml:space="preserve"> </w:t>
      </w:r>
      <w:r w:rsidRPr="00A148F1">
        <w:rPr>
          <w:rFonts w:ascii="Times New Roman" w:hAnsi="Times New Roman" w:cs="Times New Roman"/>
          <w:bCs/>
          <w:sz w:val="24"/>
          <w:szCs w:val="24"/>
        </w:rPr>
        <w:t>03/leis/</w:t>
      </w:r>
      <w:proofErr w:type="spellStart"/>
      <w:r w:rsidRPr="00A148F1">
        <w:rPr>
          <w:rFonts w:ascii="Times New Roman" w:hAnsi="Times New Roman" w:cs="Times New Roman"/>
          <w:bCs/>
          <w:sz w:val="24"/>
          <w:szCs w:val="24"/>
        </w:rPr>
        <w:t>lcp</w:t>
      </w:r>
      <w:proofErr w:type="spellEnd"/>
      <w:r w:rsidRPr="00A148F1">
        <w:rPr>
          <w:rFonts w:ascii="Times New Roman" w:hAnsi="Times New Roman" w:cs="Times New Roman"/>
          <w:bCs/>
          <w:sz w:val="24"/>
          <w:szCs w:val="24"/>
        </w:rPr>
        <w:t>/lcp1</w:t>
      </w:r>
      <w:r w:rsidR="0078200A" w:rsidRPr="00A148F1">
        <w:rPr>
          <w:rFonts w:ascii="Times New Roman" w:hAnsi="Times New Roman" w:cs="Times New Roman"/>
          <w:bCs/>
          <w:sz w:val="24"/>
          <w:szCs w:val="24"/>
        </w:rPr>
        <w:t>01.htm&gt;. Acesso em: 06 out. 2016</w:t>
      </w:r>
      <w:r w:rsidRPr="00A148F1">
        <w:rPr>
          <w:rFonts w:ascii="Times New Roman" w:hAnsi="Times New Roman" w:cs="Times New Roman"/>
          <w:bCs/>
          <w:sz w:val="24"/>
          <w:szCs w:val="24"/>
        </w:rPr>
        <w:t>.</w:t>
      </w:r>
      <w:r w:rsidR="006D0AE3" w:rsidRPr="00A148F1">
        <w:rPr>
          <w:rFonts w:ascii="Times New Roman" w:hAnsi="Times New Roman" w:cs="Times New Roman"/>
          <w:bCs/>
          <w:sz w:val="24"/>
          <w:szCs w:val="24"/>
        </w:rPr>
        <w:t xml:space="preserve"> 2000b.</w:t>
      </w:r>
    </w:p>
    <w:p w:rsidR="0078200A" w:rsidRPr="00A148F1" w:rsidRDefault="0078200A" w:rsidP="00FA4C99">
      <w:pPr>
        <w:spacing w:before="120" w:after="120" w:line="240" w:lineRule="auto"/>
        <w:rPr>
          <w:rFonts w:ascii="Times New Roman" w:hAnsi="Times New Roman" w:cs="Times New Roman"/>
          <w:bCs/>
          <w:sz w:val="24"/>
          <w:szCs w:val="24"/>
        </w:rPr>
      </w:pPr>
      <w:r w:rsidRPr="00A148F1">
        <w:rPr>
          <w:rFonts w:ascii="Times New Roman" w:hAnsi="Times New Roman" w:cs="Times New Roman"/>
          <w:bCs/>
          <w:sz w:val="24"/>
          <w:szCs w:val="24"/>
        </w:rPr>
        <w:t xml:space="preserve">_______. </w:t>
      </w:r>
      <w:r w:rsidRPr="00A148F1">
        <w:rPr>
          <w:rFonts w:ascii="Times New Roman" w:hAnsi="Times New Roman" w:cs="Times New Roman"/>
          <w:b/>
          <w:bCs/>
          <w:sz w:val="24"/>
          <w:szCs w:val="24"/>
        </w:rPr>
        <w:t>Lei Complementar n.º 141</w:t>
      </w:r>
      <w:r w:rsidRPr="00A148F1">
        <w:rPr>
          <w:rFonts w:ascii="Times New Roman" w:hAnsi="Times New Roman" w:cs="Times New Roman"/>
          <w:bCs/>
          <w:sz w:val="24"/>
          <w:szCs w:val="24"/>
        </w:rPr>
        <w:t>, de 13 de janeiro de 2012. Regulamenta o § 3</w:t>
      </w:r>
      <w:r w:rsidR="00A86208" w:rsidRPr="00A148F1">
        <w:rPr>
          <w:rFonts w:ascii="Times New Roman" w:hAnsi="Times New Roman" w:cs="Times New Roman"/>
          <w:bCs/>
          <w:sz w:val="24"/>
          <w:szCs w:val="24"/>
        </w:rPr>
        <w:t>º</w:t>
      </w:r>
      <w:r w:rsidRPr="00A148F1">
        <w:rPr>
          <w:rFonts w:ascii="Times New Roman" w:hAnsi="Times New Roman" w:cs="Times New Roman"/>
          <w:bCs/>
          <w:sz w:val="24"/>
          <w:szCs w:val="24"/>
        </w:rPr>
        <w:t xml:space="preserve"> do art. 198 da Constituição Federal para dispor sobre os valores mínimos a serem aplicados anualmente pela União, Estados, Distrito Federal e Municípios em ações e serviços públicos de saúde; estabelece os critérios de rateio dos recursos de transferências para a saúde e as normas de fiscalização, avaliação e controle das despesas com saúde nas </w:t>
      </w:r>
      <w:proofErr w:type="gramStart"/>
      <w:r w:rsidRPr="00A148F1">
        <w:rPr>
          <w:rFonts w:ascii="Times New Roman" w:hAnsi="Times New Roman" w:cs="Times New Roman"/>
          <w:bCs/>
          <w:sz w:val="24"/>
          <w:szCs w:val="24"/>
        </w:rPr>
        <w:t>3</w:t>
      </w:r>
      <w:proofErr w:type="gramEnd"/>
      <w:r w:rsidRPr="00A148F1">
        <w:rPr>
          <w:rFonts w:ascii="Times New Roman" w:hAnsi="Times New Roman" w:cs="Times New Roman"/>
          <w:bCs/>
          <w:sz w:val="24"/>
          <w:szCs w:val="24"/>
        </w:rPr>
        <w:t xml:space="preserve"> (três) esferas de governo; revoga dispositivos das Leis </w:t>
      </w:r>
      <w:proofErr w:type="spellStart"/>
      <w:r w:rsidRPr="00A148F1">
        <w:rPr>
          <w:rFonts w:ascii="Times New Roman" w:hAnsi="Times New Roman" w:cs="Times New Roman"/>
          <w:bCs/>
          <w:sz w:val="24"/>
          <w:szCs w:val="24"/>
        </w:rPr>
        <w:t>n</w:t>
      </w:r>
      <w:r w:rsidR="00A86208" w:rsidRPr="00A148F1">
        <w:rPr>
          <w:rFonts w:ascii="Times New Roman" w:hAnsi="Times New Roman" w:cs="Times New Roman"/>
          <w:bCs/>
          <w:sz w:val="24"/>
          <w:szCs w:val="24"/>
        </w:rPr>
        <w:t>.</w:t>
      </w:r>
      <w:r w:rsidRPr="00A148F1">
        <w:rPr>
          <w:rFonts w:ascii="Times New Roman" w:hAnsi="Times New Roman" w:cs="Times New Roman"/>
          <w:bCs/>
          <w:sz w:val="24"/>
          <w:szCs w:val="24"/>
          <w:vertAlign w:val="superscript"/>
        </w:rPr>
        <w:t>o</w:t>
      </w:r>
      <w:r w:rsidR="0002686C" w:rsidRPr="00A148F1">
        <w:rPr>
          <w:rFonts w:ascii="Times New Roman" w:hAnsi="Times New Roman" w:cs="Times New Roman"/>
          <w:bCs/>
          <w:sz w:val="24"/>
          <w:szCs w:val="24"/>
          <w:vertAlign w:val="superscript"/>
        </w:rPr>
        <w:t>s</w:t>
      </w:r>
      <w:proofErr w:type="spellEnd"/>
      <w:r w:rsidRPr="00A148F1">
        <w:rPr>
          <w:rFonts w:ascii="Times New Roman" w:hAnsi="Times New Roman" w:cs="Times New Roman"/>
          <w:bCs/>
          <w:sz w:val="24"/>
          <w:szCs w:val="24"/>
        </w:rPr>
        <w:t xml:space="preserve"> 8.080, de 19 de setembro de 1990, e 8.689, de 27 de julho de 1993; e dá outras providências. Disponível em: &lt;http://www.planalto.gov.br/ ccivil_03/leis/LCP/Lcp141.htm&gt;. Acesso em: 06 abr. 2016.</w:t>
      </w:r>
    </w:p>
    <w:p w:rsidR="00F86F08" w:rsidRPr="00A148F1" w:rsidRDefault="00DF5464" w:rsidP="00FA4C99">
      <w:pPr>
        <w:spacing w:before="120" w:after="120" w:line="240" w:lineRule="auto"/>
        <w:rPr>
          <w:rFonts w:ascii="Times New Roman" w:hAnsi="Times New Roman" w:cs="Times New Roman"/>
          <w:bCs/>
          <w:sz w:val="24"/>
          <w:szCs w:val="24"/>
        </w:rPr>
      </w:pPr>
      <w:r w:rsidRPr="00A148F1">
        <w:rPr>
          <w:rFonts w:ascii="Times New Roman" w:hAnsi="Times New Roman" w:cs="Times New Roman"/>
          <w:bCs/>
          <w:sz w:val="24"/>
          <w:szCs w:val="24"/>
        </w:rPr>
        <w:t xml:space="preserve">_______. </w:t>
      </w:r>
      <w:r w:rsidRPr="00A148F1">
        <w:rPr>
          <w:rFonts w:ascii="Times New Roman" w:hAnsi="Times New Roman" w:cs="Times New Roman"/>
          <w:b/>
          <w:bCs/>
          <w:sz w:val="24"/>
          <w:szCs w:val="24"/>
        </w:rPr>
        <w:t>Lei n</w:t>
      </w:r>
      <w:r w:rsidR="00702E94" w:rsidRPr="00A148F1">
        <w:rPr>
          <w:rFonts w:ascii="Times New Roman" w:hAnsi="Times New Roman" w:cs="Times New Roman"/>
          <w:b/>
          <w:bCs/>
          <w:sz w:val="24"/>
          <w:szCs w:val="24"/>
        </w:rPr>
        <w:t>.</w:t>
      </w:r>
      <w:r w:rsidRPr="00A148F1">
        <w:rPr>
          <w:rFonts w:ascii="Times New Roman" w:hAnsi="Times New Roman" w:cs="Times New Roman"/>
          <w:b/>
          <w:bCs/>
          <w:sz w:val="24"/>
          <w:szCs w:val="24"/>
        </w:rPr>
        <w:t>º 4.320</w:t>
      </w:r>
      <w:r w:rsidRPr="00A148F1">
        <w:rPr>
          <w:rFonts w:ascii="Times New Roman" w:hAnsi="Times New Roman" w:cs="Times New Roman"/>
          <w:bCs/>
          <w:sz w:val="24"/>
          <w:szCs w:val="24"/>
        </w:rPr>
        <w:t>, de 17 de março de 1964. Estatui normas gerais de direito financeiro para elaboração e controle dos orçamentos e balan</w:t>
      </w:r>
      <w:r w:rsidR="00895FE5" w:rsidRPr="00A148F1">
        <w:rPr>
          <w:rFonts w:ascii="Times New Roman" w:hAnsi="Times New Roman" w:cs="Times New Roman"/>
          <w:bCs/>
          <w:sz w:val="24"/>
          <w:szCs w:val="24"/>
        </w:rPr>
        <w:t>ços da União, dos Estados, dos M</w:t>
      </w:r>
      <w:r w:rsidRPr="00A148F1">
        <w:rPr>
          <w:rFonts w:ascii="Times New Roman" w:hAnsi="Times New Roman" w:cs="Times New Roman"/>
          <w:bCs/>
          <w:sz w:val="24"/>
          <w:szCs w:val="24"/>
        </w:rPr>
        <w:t>unicípios e do Distrito Federal. Disponível em:</w:t>
      </w:r>
      <w:r w:rsidR="00EC0647" w:rsidRPr="00A148F1">
        <w:rPr>
          <w:rFonts w:ascii="Times New Roman" w:hAnsi="Times New Roman" w:cs="Times New Roman"/>
          <w:bCs/>
          <w:sz w:val="24"/>
          <w:szCs w:val="24"/>
        </w:rPr>
        <w:t xml:space="preserve"> </w:t>
      </w:r>
      <w:r w:rsidRPr="00A148F1">
        <w:rPr>
          <w:rFonts w:ascii="Times New Roman" w:hAnsi="Times New Roman" w:cs="Times New Roman"/>
          <w:bCs/>
          <w:sz w:val="24"/>
          <w:szCs w:val="24"/>
        </w:rPr>
        <w:t xml:space="preserve">&lt;http://www.planalto.gov.br/ccivil_03/Leis/ </w:t>
      </w:r>
      <w:r w:rsidR="00895FE5" w:rsidRPr="00A148F1">
        <w:rPr>
          <w:rFonts w:ascii="Times New Roman" w:hAnsi="Times New Roman" w:cs="Times New Roman"/>
          <w:bCs/>
          <w:sz w:val="24"/>
          <w:szCs w:val="24"/>
        </w:rPr>
        <w:t>L4320compilado.htm</w:t>
      </w:r>
      <w:r w:rsidRPr="00A148F1">
        <w:rPr>
          <w:rFonts w:ascii="Times New Roman" w:hAnsi="Times New Roman" w:cs="Times New Roman"/>
          <w:bCs/>
          <w:sz w:val="24"/>
          <w:szCs w:val="24"/>
        </w:rPr>
        <w:t xml:space="preserve">&gt;. Acesso </w:t>
      </w:r>
      <w:r w:rsidR="0078200A" w:rsidRPr="00A148F1">
        <w:rPr>
          <w:rFonts w:ascii="Times New Roman" w:hAnsi="Times New Roman" w:cs="Times New Roman"/>
          <w:bCs/>
          <w:sz w:val="24"/>
          <w:szCs w:val="24"/>
        </w:rPr>
        <w:t>em: 08 abr. 2016</w:t>
      </w:r>
      <w:r w:rsidRPr="00A148F1">
        <w:rPr>
          <w:rFonts w:ascii="Times New Roman" w:hAnsi="Times New Roman" w:cs="Times New Roman"/>
          <w:bCs/>
          <w:sz w:val="24"/>
          <w:szCs w:val="24"/>
        </w:rPr>
        <w:t>.</w:t>
      </w:r>
    </w:p>
    <w:p w:rsidR="00E236D1" w:rsidRPr="00A148F1" w:rsidRDefault="00E236D1" w:rsidP="00FA4C99">
      <w:pPr>
        <w:spacing w:before="120" w:after="120" w:line="240" w:lineRule="auto"/>
        <w:rPr>
          <w:rFonts w:ascii="Times New Roman" w:hAnsi="Times New Roman" w:cs="Times New Roman"/>
          <w:bCs/>
          <w:sz w:val="24"/>
          <w:szCs w:val="24"/>
        </w:rPr>
      </w:pPr>
      <w:r w:rsidRPr="00A148F1">
        <w:rPr>
          <w:rFonts w:ascii="Times New Roman" w:hAnsi="Times New Roman" w:cs="Times New Roman"/>
          <w:bCs/>
          <w:sz w:val="24"/>
          <w:szCs w:val="24"/>
        </w:rPr>
        <w:t xml:space="preserve">CAMPELLI, Magali </w:t>
      </w:r>
      <w:proofErr w:type="spellStart"/>
      <w:r w:rsidRPr="00A148F1">
        <w:rPr>
          <w:rFonts w:ascii="Times New Roman" w:hAnsi="Times New Roman" w:cs="Times New Roman"/>
          <w:bCs/>
          <w:sz w:val="24"/>
          <w:szCs w:val="24"/>
        </w:rPr>
        <w:t>Geovana</w:t>
      </w:r>
      <w:proofErr w:type="spellEnd"/>
      <w:r w:rsidRPr="00A148F1">
        <w:rPr>
          <w:rFonts w:ascii="Times New Roman" w:hAnsi="Times New Roman" w:cs="Times New Roman"/>
          <w:bCs/>
          <w:sz w:val="24"/>
          <w:szCs w:val="24"/>
        </w:rPr>
        <w:t xml:space="preserve"> </w:t>
      </w:r>
      <w:proofErr w:type="spellStart"/>
      <w:r w:rsidRPr="00A148F1">
        <w:rPr>
          <w:rFonts w:ascii="Times New Roman" w:hAnsi="Times New Roman" w:cs="Times New Roman"/>
          <w:bCs/>
          <w:sz w:val="24"/>
          <w:szCs w:val="24"/>
        </w:rPr>
        <w:t>Ramlow</w:t>
      </w:r>
      <w:proofErr w:type="spellEnd"/>
      <w:r w:rsidRPr="00A148F1">
        <w:rPr>
          <w:rFonts w:ascii="Times New Roman" w:hAnsi="Times New Roman" w:cs="Times New Roman"/>
          <w:bCs/>
          <w:sz w:val="24"/>
          <w:szCs w:val="24"/>
        </w:rPr>
        <w:t xml:space="preserve">; CALVO, Maria Cristina M.. </w:t>
      </w:r>
      <w:r w:rsidRPr="00A148F1">
        <w:rPr>
          <w:rFonts w:ascii="Times New Roman" w:hAnsi="Times New Roman" w:cs="Times New Roman"/>
          <w:b/>
          <w:bCs/>
          <w:sz w:val="24"/>
          <w:szCs w:val="24"/>
        </w:rPr>
        <w:t>O cumprimento da Emenda Constitucional n.º 29 no Brasil</w:t>
      </w:r>
      <w:r w:rsidRPr="00A148F1">
        <w:rPr>
          <w:rFonts w:ascii="Times New Roman" w:hAnsi="Times New Roman" w:cs="Times New Roman"/>
          <w:bCs/>
          <w:sz w:val="24"/>
          <w:szCs w:val="24"/>
        </w:rPr>
        <w:t>.</w:t>
      </w:r>
      <w:r w:rsidRPr="00A148F1">
        <w:rPr>
          <w:rFonts w:ascii="Times New Roman" w:hAnsi="Times New Roman" w:cs="Times New Roman"/>
          <w:b/>
          <w:bCs/>
          <w:sz w:val="24"/>
          <w:szCs w:val="24"/>
        </w:rPr>
        <w:t xml:space="preserve"> </w:t>
      </w:r>
      <w:r w:rsidRPr="00A148F1">
        <w:rPr>
          <w:rFonts w:ascii="Times New Roman" w:hAnsi="Times New Roman" w:cs="Times New Roman"/>
          <w:bCs/>
          <w:sz w:val="24"/>
          <w:szCs w:val="24"/>
        </w:rPr>
        <w:t>Caderno de Saúde Pública, v. 23, n.º 7, 2007. Disponível em &lt;http://www.scielo.br/pdf/csp/v23n7/12.pdf&gt;. Acesso em</w:t>
      </w:r>
      <w:r w:rsidR="00786C9E" w:rsidRPr="00A148F1">
        <w:rPr>
          <w:rFonts w:ascii="Times New Roman" w:hAnsi="Times New Roman" w:cs="Times New Roman"/>
          <w:bCs/>
          <w:sz w:val="24"/>
          <w:szCs w:val="24"/>
        </w:rPr>
        <w:t>:</w:t>
      </w:r>
      <w:r w:rsidRPr="00A148F1">
        <w:rPr>
          <w:rFonts w:ascii="Times New Roman" w:hAnsi="Times New Roman" w:cs="Times New Roman"/>
          <w:bCs/>
          <w:sz w:val="24"/>
          <w:szCs w:val="24"/>
        </w:rPr>
        <w:t xml:space="preserve"> </w:t>
      </w:r>
      <w:r w:rsidR="00786C9E" w:rsidRPr="00A148F1">
        <w:rPr>
          <w:rFonts w:ascii="Times New Roman" w:hAnsi="Times New Roman" w:cs="Times New Roman"/>
          <w:bCs/>
          <w:sz w:val="24"/>
          <w:szCs w:val="24"/>
        </w:rPr>
        <w:t>28 abr. 2016.</w:t>
      </w:r>
    </w:p>
    <w:p w:rsidR="005A1BA4" w:rsidRPr="00A148F1" w:rsidRDefault="005A1BA4" w:rsidP="00FA4C99">
      <w:pPr>
        <w:spacing w:before="120" w:after="120" w:line="240" w:lineRule="auto"/>
        <w:rPr>
          <w:rFonts w:ascii="Times New Roman" w:hAnsi="Times New Roman" w:cs="Times New Roman"/>
          <w:color w:val="000000" w:themeColor="text1"/>
          <w:sz w:val="24"/>
          <w:szCs w:val="24"/>
        </w:rPr>
      </w:pPr>
      <w:proofErr w:type="gramStart"/>
      <w:r w:rsidRPr="00A148F1">
        <w:rPr>
          <w:rFonts w:ascii="Times New Roman" w:hAnsi="Times New Roman" w:cs="Times New Roman"/>
          <w:color w:val="000000" w:themeColor="text1"/>
          <w:sz w:val="24"/>
          <w:szCs w:val="24"/>
          <w:lang w:val="en-US"/>
        </w:rPr>
        <w:t>COUTTOLENC, Bernard;</w:t>
      </w:r>
      <w:r w:rsidR="00A541EC" w:rsidRPr="00A148F1">
        <w:rPr>
          <w:rFonts w:ascii="Times New Roman" w:hAnsi="Times New Roman" w:cs="Times New Roman"/>
          <w:color w:val="000000" w:themeColor="text1"/>
          <w:sz w:val="24"/>
          <w:szCs w:val="24"/>
          <w:lang w:val="en-US"/>
        </w:rPr>
        <w:t xml:space="preserve"> </w:t>
      </w:r>
      <w:r w:rsidRPr="00A148F1">
        <w:rPr>
          <w:rFonts w:ascii="Times New Roman" w:hAnsi="Times New Roman" w:cs="Times New Roman"/>
          <w:color w:val="000000" w:themeColor="text1"/>
          <w:sz w:val="24"/>
          <w:szCs w:val="24"/>
          <w:lang w:val="en-US"/>
        </w:rPr>
        <w:t>GRAGNOLATI</w:t>
      </w:r>
      <w:r w:rsidRPr="00A148F1">
        <w:rPr>
          <w:rFonts w:ascii="Times New Roman" w:hAnsi="Times New Roman" w:cs="Times New Roman"/>
          <w:bCs/>
          <w:sz w:val="24"/>
          <w:szCs w:val="24"/>
          <w:lang w:val="en-US"/>
        </w:rPr>
        <w:t>, Michele</w:t>
      </w:r>
      <w:r w:rsidR="00A541EC" w:rsidRPr="00A148F1">
        <w:rPr>
          <w:rFonts w:ascii="Times New Roman" w:hAnsi="Times New Roman" w:cs="Times New Roman"/>
          <w:color w:val="000000" w:themeColor="text1"/>
          <w:sz w:val="24"/>
          <w:szCs w:val="24"/>
          <w:lang w:val="en-US"/>
        </w:rPr>
        <w:t>;</w:t>
      </w:r>
      <w:r w:rsidRPr="00A148F1">
        <w:rPr>
          <w:rFonts w:ascii="Times New Roman" w:hAnsi="Times New Roman" w:cs="Times New Roman"/>
          <w:color w:val="000000" w:themeColor="text1"/>
          <w:sz w:val="24"/>
          <w:szCs w:val="24"/>
          <w:lang w:val="en-US"/>
        </w:rPr>
        <w:t xml:space="preserve"> LINDELOW, Magnus.</w:t>
      </w:r>
      <w:proofErr w:type="gramEnd"/>
      <w:r w:rsidRPr="00A148F1">
        <w:rPr>
          <w:rFonts w:ascii="Times New Roman" w:hAnsi="Times New Roman" w:cs="Times New Roman"/>
          <w:color w:val="000000" w:themeColor="text1"/>
          <w:sz w:val="24"/>
          <w:szCs w:val="24"/>
          <w:lang w:val="en-US"/>
        </w:rPr>
        <w:t xml:space="preserve"> </w:t>
      </w:r>
      <w:r w:rsidRPr="00A148F1">
        <w:rPr>
          <w:rFonts w:ascii="Times New Roman" w:hAnsi="Times New Roman" w:cs="Times New Roman"/>
          <w:b/>
          <w:color w:val="000000" w:themeColor="text1"/>
          <w:sz w:val="24"/>
          <w:szCs w:val="24"/>
        </w:rPr>
        <w:t>20 anos de construção do sistema de saúde no Brasil</w:t>
      </w:r>
      <w:r w:rsidRPr="00A148F1">
        <w:rPr>
          <w:rFonts w:ascii="Times New Roman" w:hAnsi="Times New Roman" w:cs="Times New Roman"/>
          <w:color w:val="000000" w:themeColor="text1"/>
          <w:sz w:val="24"/>
          <w:szCs w:val="24"/>
        </w:rPr>
        <w:t>: uma avaliação do sistema único de saúde.</w:t>
      </w:r>
      <w:r w:rsidR="00A541EC" w:rsidRPr="00A148F1">
        <w:rPr>
          <w:rFonts w:ascii="Times New Roman" w:hAnsi="Times New Roman" w:cs="Times New Roman"/>
          <w:color w:val="000000" w:themeColor="text1"/>
          <w:sz w:val="24"/>
          <w:szCs w:val="24"/>
        </w:rPr>
        <w:t xml:space="preserve"> Washington D.C.: The Word Bank, 2013.</w:t>
      </w:r>
    </w:p>
    <w:p w:rsidR="00702E94" w:rsidRPr="00A148F1" w:rsidRDefault="00702E94" w:rsidP="00FA4C99">
      <w:pPr>
        <w:spacing w:before="120" w:after="120" w:line="240" w:lineRule="auto"/>
        <w:rPr>
          <w:rFonts w:ascii="Times New Roman" w:hAnsi="Times New Roman" w:cs="Times New Roman"/>
          <w:sz w:val="24"/>
          <w:szCs w:val="24"/>
        </w:rPr>
      </w:pPr>
      <w:r w:rsidRPr="00A148F1">
        <w:rPr>
          <w:rFonts w:ascii="Times New Roman" w:hAnsi="Times New Roman" w:cs="Times New Roman"/>
          <w:sz w:val="24"/>
          <w:szCs w:val="24"/>
        </w:rPr>
        <w:t xml:space="preserve">CRUZ, Flavio </w:t>
      </w:r>
      <w:proofErr w:type="gramStart"/>
      <w:r w:rsidRPr="00A148F1">
        <w:rPr>
          <w:rFonts w:ascii="Times New Roman" w:hAnsi="Times New Roman" w:cs="Times New Roman"/>
          <w:sz w:val="24"/>
          <w:szCs w:val="24"/>
        </w:rPr>
        <w:t>da.</w:t>
      </w:r>
      <w:proofErr w:type="gramEnd"/>
      <w:r w:rsidRPr="00A148F1">
        <w:rPr>
          <w:rStyle w:val="apple-converted-space"/>
          <w:rFonts w:ascii="Times New Roman" w:hAnsi="Times New Roman" w:cs="Times New Roman"/>
          <w:sz w:val="24"/>
          <w:szCs w:val="24"/>
        </w:rPr>
        <w:t> </w:t>
      </w:r>
      <w:r w:rsidRPr="00A148F1">
        <w:rPr>
          <w:rFonts w:ascii="Times New Roman" w:hAnsi="Times New Roman" w:cs="Times New Roman"/>
          <w:b/>
          <w:bCs/>
          <w:sz w:val="24"/>
          <w:szCs w:val="24"/>
        </w:rPr>
        <w:t>Contabilidade e movimentação patrimonial do setor publico.</w:t>
      </w:r>
      <w:r w:rsidRPr="00A148F1">
        <w:rPr>
          <w:rStyle w:val="apple-converted-space"/>
          <w:rFonts w:ascii="Times New Roman" w:hAnsi="Times New Roman" w:cs="Times New Roman"/>
          <w:b/>
          <w:bCs/>
          <w:sz w:val="24"/>
          <w:szCs w:val="24"/>
        </w:rPr>
        <w:t> </w:t>
      </w:r>
      <w:r w:rsidRPr="00A148F1">
        <w:rPr>
          <w:rFonts w:ascii="Times New Roman" w:hAnsi="Times New Roman" w:cs="Times New Roman"/>
          <w:sz w:val="24"/>
          <w:szCs w:val="24"/>
        </w:rPr>
        <w:t>Rio de Janeiro: Ed. do Autor, 1988.</w:t>
      </w:r>
    </w:p>
    <w:p w:rsidR="003959A0" w:rsidRPr="00A148F1" w:rsidRDefault="003959A0" w:rsidP="00FA4C99">
      <w:pPr>
        <w:spacing w:before="120" w:after="120" w:line="240" w:lineRule="auto"/>
        <w:rPr>
          <w:rFonts w:ascii="Times New Roman" w:hAnsi="Times New Roman" w:cs="Times New Roman"/>
          <w:bCs/>
          <w:sz w:val="24"/>
          <w:szCs w:val="24"/>
        </w:rPr>
      </w:pPr>
      <w:r w:rsidRPr="00A148F1">
        <w:rPr>
          <w:rFonts w:ascii="Times New Roman" w:hAnsi="Times New Roman" w:cs="Times New Roman"/>
          <w:bCs/>
          <w:sz w:val="24"/>
          <w:szCs w:val="24"/>
        </w:rPr>
        <w:t xml:space="preserve">FERREIRA, </w:t>
      </w:r>
      <w:proofErr w:type="spellStart"/>
      <w:r w:rsidRPr="00A148F1">
        <w:rPr>
          <w:rFonts w:ascii="Times New Roman" w:hAnsi="Times New Roman" w:cs="Times New Roman"/>
          <w:bCs/>
          <w:sz w:val="24"/>
          <w:szCs w:val="24"/>
        </w:rPr>
        <w:t>Aniéli</w:t>
      </w:r>
      <w:proofErr w:type="spellEnd"/>
      <w:r w:rsidRPr="00A148F1">
        <w:rPr>
          <w:rFonts w:ascii="Times New Roman" w:hAnsi="Times New Roman" w:cs="Times New Roman"/>
          <w:bCs/>
          <w:sz w:val="24"/>
          <w:szCs w:val="24"/>
        </w:rPr>
        <w:t xml:space="preserve"> </w:t>
      </w:r>
      <w:proofErr w:type="spellStart"/>
      <w:r w:rsidRPr="00A148F1">
        <w:rPr>
          <w:rFonts w:ascii="Times New Roman" w:hAnsi="Times New Roman" w:cs="Times New Roman"/>
          <w:bCs/>
          <w:sz w:val="24"/>
          <w:szCs w:val="24"/>
        </w:rPr>
        <w:t>Gloor</w:t>
      </w:r>
      <w:proofErr w:type="spellEnd"/>
      <w:r w:rsidRPr="00A148F1">
        <w:rPr>
          <w:rFonts w:ascii="Times New Roman" w:hAnsi="Times New Roman" w:cs="Times New Roman"/>
          <w:bCs/>
          <w:sz w:val="24"/>
          <w:szCs w:val="24"/>
        </w:rPr>
        <w:t xml:space="preserve">; PLATT NETO, Orion Augusto. </w:t>
      </w:r>
      <w:r w:rsidRPr="00A148F1">
        <w:rPr>
          <w:rFonts w:ascii="Times New Roman" w:hAnsi="Times New Roman" w:cs="Times New Roman"/>
          <w:b/>
          <w:bCs/>
          <w:sz w:val="24"/>
          <w:szCs w:val="24"/>
        </w:rPr>
        <w:t>O desempenho do Município de Moreira Sales – PR em relação ao cumprimento dos limites constitucionais de aplicações mínimas em educação e saúde no período de 2004 a 2012</w:t>
      </w:r>
      <w:r w:rsidRPr="00A148F1">
        <w:rPr>
          <w:rFonts w:ascii="Times New Roman" w:hAnsi="Times New Roman" w:cs="Times New Roman"/>
          <w:bCs/>
          <w:sz w:val="24"/>
          <w:szCs w:val="24"/>
        </w:rPr>
        <w:t>.</w:t>
      </w:r>
      <w:r w:rsidRPr="00A148F1">
        <w:rPr>
          <w:rFonts w:ascii="Times New Roman" w:hAnsi="Times New Roman" w:cs="Times New Roman"/>
          <w:b/>
          <w:bCs/>
          <w:sz w:val="24"/>
          <w:szCs w:val="24"/>
        </w:rPr>
        <w:t xml:space="preserve"> </w:t>
      </w:r>
      <w:r w:rsidRPr="00A148F1">
        <w:rPr>
          <w:rFonts w:ascii="Times New Roman" w:hAnsi="Times New Roman" w:cs="Times New Roman"/>
          <w:bCs/>
          <w:sz w:val="24"/>
          <w:szCs w:val="24"/>
        </w:rPr>
        <w:t>Artigo Apresentado no 5º Congresso UFSC de Controladoria e Finanças e do 5º Congresso UFSC de Iniciação Científica em Contabilidade. Florianópolis, 2014.</w:t>
      </w:r>
    </w:p>
    <w:p w:rsidR="003159A5" w:rsidRPr="00A148F1" w:rsidRDefault="00960514" w:rsidP="00FA4C99">
      <w:pPr>
        <w:spacing w:before="120" w:after="120" w:line="240" w:lineRule="auto"/>
        <w:rPr>
          <w:rFonts w:ascii="Times New Roman" w:hAnsi="Times New Roman" w:cs="Times New Roman"/>
          <w:bCs/>
          <w:sz w:val="24"/>
          <w:szCs w:val="24"/>
        </w:rPr>
      </w:pPr>
      <w:r w:rsidRPr="00A148F1">
        <w:rPr>
          <w:rFonts w:ascii="Times New Roman" w:hAnsi="Times New Roman" w:cs="Times New Roman"/>
          <w:bCs/>
          <w:sz w:val="24"/>
          <w:szCs w:val="24"/>
        </w:rPr>
        <w:t xml:space="preserve">GIL, Antônio Carlos. </w:t>
      </w:r>
      <w:r w:rsidRPr="00A148F1">
        <w:rPr>
          <w:rFonts w:ascii="Times New Roman" w:hAnsi="Times New Roman" w:cs="Times New Roman"/>
          <w:b/>
          <w:bCs/>
          <w:sz w:val="24"/>
          <w:szCs w:val="24"/>
        </w:rPr>
        <w:t>Como elaborar projetos de pesquisa</w:t>
      </w:r>
      <w:r w:rsidRPr="00A148F1">
        <w:rPr>
          <w:rFonts w:ascii="Times New Roman" w:hAnsi="Times New Roman" w:cs="Times New Roman"/>
          <w:bCs/>
          <w:sz w:val="24"/>
          <w:szCs w:val="24"/>
        </w:rPr>
        <w:t xml:space="preserve">. 5. </w:t>
      </w:r>
      <w:proofErr w:type="gramStart"/>
      <w:r w:rsidRPr="00A148F1">
        <w:rPr>
          <w:rFonts w:ascii="Times New Roman" w:hAnsi="Times New Roman" w:cs="Times New Roman"/>
          <w:bCs/>
          <w:sz w:val="24"/>
          <w:szCs w:val="24"/>
        </w:rPr>
        <w:t>ed.</w:t>
      </w:r>
      <w:proofErr w:type="gramEnd"/>
      <w:r w:rsidRPr="00A148F1">
        <w:rPr>
          <w:rFonts w:ascii="Times New Roman" w:hAnsi="Times New Roman" w:cs="Times New Roman"/>
          <w:bCs/>
          <w:sz w:val="24"/>
          <w:szCs w:val="24"/>
        </w:rPr>
        <w:t xml:space="preserve"> São Paulo: Atlas, 2010.</w:t>
      </w:r>
    </w:p>
    <w:p w:rsidR="00BE5296" w:rsidRPr="00A148F1" w:rsidRDefault="0094738C" w:rsidP="00FA4C99">
      <w:pPr>
        <w:spacing w:before="120" w:after="120" w:line="240" w:lineRule="auto"/>
        <w:rPr>
          <w:rFonts w:ascii="Times New Roman" w:hAnsi="Times New Roman" w:cs="Times New Roman"/>
          <w:bCs/>
          <w:sz w:val="24"/>
          <w:szCs w:val="24"/>
        </w:rPr>
      </w:pPr>
      <w:r w:rsidRPr="00A148F1">
        <w:rPr>
          <w:rFonts w:ascii="Times New Roman" w:hAnsi="Times New Roman" w:cs="Times New Roman"/>
          <w:bCs/>
          <w:sz w:val="24"/>
          <w:szCs w:val="24"/>
        </w:rPr>
        <w:softHyphen/>
      </w:r>
      <w:r w:rsidR="006B0414" w:rsidRPr="00A148F1">
        <w:rPr>
          <w:rFonts w:ascii="Times New Roman" w:hAnsi="Times New Roman" w:cs="Times New Roman"/>
          <w:bCs/>
          <w:sz w:val="24"/>
          <w:szCs w:val="24"/>
        </w:rPr>
        <w:t xml:space="preserve">IBGE – Instituto Brasileiro de Geografia e Estatística. </w:t>
      </w:r>
      <w:r w:rsidR="00BE5296" w:rsidRPr="00A148F1">
        <w:rPr>
          <w:rFonts w:ascii="Times New Roman" w:hAnsi="Times New Roman" w:cs="Times New Roman"/>
          <w:b/>
          <w:bCs/>
          <w:sz w:val="24"/>
          <w:szCs w:val="24"/>
        </w:rPr>
        <w:t>Cidades</w:t>
      </w:r>
      <w:r w:rsidR="00BE5296" w:rsidRPr="00A148F1">
        <w:rPr>
          <w:rFonts w:ascii="Times New Roman" w:hAnsi="Times New Roman" w:cs="Times New Roman"/>
          <w:bCs/>
          <w:sz w:val="24"/>
          <w:szCs w:val="24"/>
        </w:rPr>
        <w:t>.</w:t>
      </w:r>
      <w:r w:rsidR="00BE5296" w:rsidRPr="00A148F1">
        <w:rPr>
          <w:rFonts w:ascii="Times New Roman" w:hAnsi="Times New Roman" w:cs="Times New Roman"/>
          <w:b/>
          <w:bCs/>
          <w:sz w:val="24"/>
          <w:szCs w:val="24"/>
        </w:rPr>
        <w:t xml:space="preserve"> </w:t>
      </w:r>
      <w:r w:rsidR="00BE5296" w:rsidRPr="00A148F1">
        <w:rPr>
          <w:rFonts w:ascii="Times New Roman" w:hAnsi="Times New Roman" w:cs="Times New Roman"/>
          <w:bCs/>
          <w:sz w:val="24"/>
          <w:szCs w:val="24"/>
        </w:rPr>
        <w:t>Disponível em: &lt;http://</w:t>
      </w:r>
      <w:proofErr w:type="gramStart"/>
      <w:r w:rsidR="00BE5296" w:rsidRPr="00A148F1">
        <w:rPr>
          <w:rFonts w:ascii="Times New Roman" w:hAnsi="Times New Roman" w:cs="Times New Roman"/>
          <w:bCs/>
          <w:sz w:val="24"/>
          <w:szCs w:val="24"/>
        </w:rPr>
        <w:t>www</w:t>
      </w:r>
      <w:r w:rsidR="00521F2C" w:rsidRPr="00A148F1">
        <w:rPr>
          <w:rFonts w:ascii="Times New Roman" w:hAnsi="Times New Roman" w:cs="Times New Roman"/>
          <w:bCs/>
          <w:sz w:val="24"/>
          <w:szCs w:val="24"/>
        </w:rPr>
        <w:t xml:space="preserve"> </w:t>
      </w:r>
      <w:r w:rsidR="00BE5296" w:rsidRPr="00A148F1">
        <w:rPr>
          <w:rFonts w:ascii="Times New Roman" w:hAnsi="Times New Roman" w:cs="Times New Roman"/>
          <w:bCs/>
          <w:sz w:val="24"/>
          <w:szCs w:val="24"/>
        </w:rPr>
        <w:t>.</w:t>
      </w:r>
      <w:proofErr w:type="gramEnd"/>
      <w:r w:rsidR="00BE5296" w:rsidRPr="00A148F1">
        <w:rPr>
          <w:rFonts w:ascii="Times New Roman" w:hAnsi="Times New Roman" w:cs="Times New Roman"/>
          <w:bCs/>
          <w:sz w:val="24"/>
          <w:szCs w:val="24"/>
        </w:rPr>
        <w:t>cidades.</w:t>
      </w:r>
      <w:proofErr w:type="spellStart"/>
      <w:r w:rsidR="00BE5296" w:rsidRPr="00A148F1">
        <w:rPr>
          <w:rFonts w:ascii="Times New Roman" w:hAnsi="Times New Roman" w:cs="Times New Roman"/>
          <w:bCs/>
          <w:sz w:val="24"/>
          <w:szCs w:val="24"/>
        </w:rPr>
        <w:t>ibge</w:t>
      </w:r>
      <w:proofErr w:type="spellEnd"/>
      <w:r w:rsidR="00BE5296" w:rsidRPr="00A148F1">
        <w:rPr>
          <w:rFonts w:ascii="Times New Roman" w:hAnsi="Times New Roman" w:cs="Times New Roman"/>
          <w:bCs/>
          <w:sz w:val="24"/>
          <w:szCs w:val="24"/>
        </w:rPr>
        <w:t>.</w:t>
      </w:r>
      <w:proofErr w:type="spellStart"/>
      <w:r w:rsidR="00BE5296" w:rsidRPr="00A148F1">
        <w:rPr>
          <w:rFonts w:ascii="Times New Roman" w:hAnsi="Times New Roman" w:cs="Times New Roman"/>
          <w:bCs/>
          <w:sz w:val="24"/>
          <w:szCs w:val="24"/>
        </w:rPr>
        <w:t>gov.br/xtras/perfil.php?</w:t>
      </w:r>
      <w:proofErr w:type="gramStart"/>
      <w:r w:rsidR="00BE5296" w:rsidRPr="00A148F1">
        <w:rPr>
          <w:rFonts w:ascii="Times New Roman" w:hAnsi="Times New Roman" w:cs="Times New Roman"/>
          <w:bCs/>
          <w:sz w:val="24"/>
          <w:szCs w:val="24"/>
        </w:rPr>
        <w:t>lang</w:t>
      </w:r>
      <w:proofErr w:type="gramEnd"/>
      <w:r w:rsidR="00BE5296" w:rsidRPr="00A148F1">
        <w:rPr>
          <w:rFonts w:ascii="Times New Roman" w:hAnsi="Times New Roman" w:cs="Times New Roman"/>
          <w:bCs/>
          <w:sz w:val="24"/>
          <w:szCs w:val="24"/>
        </w:rPr>
        <w:t>=&amp;</w:t>
      </w:r>
      <w:proofErr w:type="spellEnd"/>
      <w:r w:rsidRPr="00A148F1">
        <w:rPr>
          <w:rFonts w:ascii="Times New Roman" w:hAnsi="Times New Roman" w:cs="Times New Roman"/>
          <w:bCs/>
          <w:sz w:val="24"/>
          <w:szCs w:val="24"/>
        </w:rPr>
        <w:t xml:space="preserve"> </w:t>
      </w:r>
      <w:proofErr w:type="spellStart"/>
      <w:r w:rsidR="00BE5296" w:rsidRPr="00A148F1">
        <w:rPr>
          <w:rFonts w:ascii="Times New Roman" w:hAnsi="Times New Roman" w:cs="Times New Roman"/>
          <w:bCs/>
          <w:sz w:val="24"/>
          <w:szCs w:val="24"/>
        </w:rPr>
        <w:t>codmun</w:t>
      </w:r>
      <w:proofErr w:type="spellEnd"/>
      <w:r w:rsidR="00BE5296" w:rsidRPr="00A148F1">
        <w:rPr>
          <w:rFonts w:ascii="Times New Roman" w:hAnsi="Times New Roman" w:cs="Times New Roman"/>
          <w:bCs/>
          <w:sz w:val="24"/>
          <w:szCs w:val="24"/>
        </w:rPr>
        <w:t>=420540&amp;search=</w:t>
      </w:r>
      <w:proofErr w:type="spellStart"/>
      <w:r w:rsidR="00BE5296" w:rsidRPr="00A148F1">
        <w:rPr>
          <w:rFonts w:ascii="Times New Roman" w:hAnsi="Times New Roman" w:cs="Times New Roman"/>
          <w:bCs/>
          <w:sz w:val="24"/>
          <w:szCs w:val="24"/>
        </w:rPr>
        <w:t>santa-catarina</w:t>
      </w:r>
      <w:proofErr w:type="spellEnd"/>
      <w:r w:rsidR="00BE5296" w:rsidRPr="00A148F1">
        <w:rPr>
          <w:rFonts w:ascii="Times New Roman" w:hAnsi="Times New Roman" w:cs="Times New Roman"/>
          <w:bCs/>
          <w:sz w:val="24"/>
          <w:szCs w:val="24"/>
        </w:rPr>
        <w:t>|</w:t>
      </w:r>
      <w:r w:rsidR="00521F2C" w:rsidRPr="00A148F1">
        <w:rPr>
          <w:rFonts w:ascii="Times New Roman" w:hAnsi="Times New Roman" w:cs="Times New Roman"/>
          <w:bCs/>
          <w:sz w:val="24"/>
          <w:szCs w:val="24"/>
        </w:rPr>
        <w:t xml:space="preserve"> </w:t>
      </w:r>
      <w:proofErr w:type="spellStart"/>
      <w:r w:rsidR="00BE5296" w:rsidRPr="00A148F1">
        <w:rPr>
          <w:rFonts w:ascii="Times New Roman" w:hAnsi="Times New Roman" w:cs="Times New Roman"/>
          <w:bCs/>
          <w:sz w:val="24"/>
          <w:szCs w:val="24"/>
        </w:rPr>
        <w:t>florianopolis</w:t>
      </w:r>
      <w:proofErr w:type="spellEnd"/>
      <w:r w:rsidR="00BE5296" w:rsidRPr="00A148F1">
        <w:rPr>
          <w:rFonts w:ascii="Times New Roman" w:hAnsi="Times New Roman" w:cs="Times New Roman"/>
          <w:bCs/>
          <w:sz w:val="24"/>
          <w:szCs w:val="24"/>
        </w:rPr>
        <w:t xml:space="preserve">&gt;. Acesso em: 10 abr. </w:t>
      </w:r>
      <w:proofErr w:type="gramStart"/>
      <w:r w:rsidR="00BE5296" w:rsidRPr="00A148F1">
        <w:rPr>
          <w:rFonts w:ascii="Times New Roman" w:hAnsi="Times New Roman" w:cs="Times New Roman"/>
          <w:bCs/>
          <w:sz w:val="24"/>
          <w:szCs w:val="24"/>
        </w:rPr>
        <w:t>2016</w:t>
      </w:r>
      <w:r w:rsidR="006B0414" w:rsidRPr="00A148F1">
        <w:rPr>
          <w:rFonts w:ascii="Times New Roman" w:hAnsi="Times New Roman" w:cs="Times New Roman"/>
          <w:bCs/>
          <w:sz w:val="24"/>
          <w:szCs w:val="24"/>
        </w:rPr>
        <w:t>a</w:t>
      </w:r>
      <w:r w:rsidR="00BE5296" w:rsidRPr="00A148F1">
        <w:rPr>
          <w:rFonts w:ascii="Times New Roman" w:hAnsi="Times New Roman" w:cs="Times New Roman"/>
          <w:bCs/>
          <w:sz w:val="24"/>
          <w:szCs w:val="24"/>
        </w:rPr>
        <w:t>.</w:t>
      </w:r>
      <w:proofErr w:type="gramEnd"/>
    </w:p>
    <w:p w:rsidR="00521F2C" w:rsidRPr="00A148F1" w:rsidRDefault="00521F2C" w:rsidP="00FA4C99">
      <w:pPr>
        <w:spacing w:before="120" w:after="120" w:line="240" w:lineRule="auto"/>
        <w:rPr>
          <w:rFonts w:ascii="Times New Roman" w:hAnsi="Times New Roman" w:cs="Times New Roman"/>
          <w:bCs/>
          <w:sz w:val="24"/>
          <w:szCs w:val="24"/>
        </w:rPr>
      </w:pPr>
      <w:r w:rsidRPr="00A148F1">
        <w:rPr>
          <w:rFonts w:ascii="Times New Roman" w:hAnsi="Times New Roman" w:cs="Times New Roman"/>
          <w:bCs/>
          <w:sz w:val="24"/>
          <w:szCs w:val="24"/>
        </w:rPr>
        <w:t>______.</w:t>
      </w:r>
      <w:r w:rsidRPr="00A148F1">
        <w:rPr>
          <w:rFonts w:ascii="Times New Roman" w:hAnsi="Times New Roman" w:cs="Times New Roman"/>
          <w:b/>
          <w:bCs/>
          <w:sz w:val="24"/>
          <w:szCs w:val="24"/>
        </w:rPr>
        <w:t xml:space="preserve"> Pesquisa Nacional por Amostra de Domicílios Contínua – PNAD</w:t>
      </w:r>
      <w:r w:rsidRPr="00A148F1">
        <w:rPr>
          <w:rFonts w:ascii="Times New Roman" w:hAnsi="Times New Roman" w:cs="Times New Roman"/>
          <w:bCs/>
          <w:sz w:val="24"/>
          <w:szCs w:val="24"/>
        </w:rPr>
        <w:t>.</w:t>
      </w:r>
      <w:r w:rsidRPr="00A148F1">
        <w:rPr>
          <w:rFonts w:ascii="Times New Roman" w:hAnsi="Times New Roman" w:cs="Times New Roman"/>
          <w:b/>
          <w:bCs/>
          <w:sz w:val="24"/>
          <w:szCs w:val="24"/>
        </w:rPr>
        <w:t xml:space="preserve"> </w:t>
      </w:r>
      <w:r w:rsidRPr="00A148F1">
        <w:rPr>
          <w:rFonts w:ascii="Times New Roman" w:hAnsi="Times New Roman" w:cs="Times New Roman"/>
          <w:bCs/>
          <w:sz w:val="24"/>
          <w:szCs w:val="24"/>
        </w:rPr>
        <w:t>Disponível em: &lt;</w:t>
      </w:r>
      <w:proofErr w:type="gramStart"/>
      <w:r w:rsidRPr="00A148F1">
        <w:rPr>
          <w:rFonts w:ascii="Times New Roman" w:hAnsi="Times New Roman" w:cs="Times New Roman"/>
          <w:bCs/>
          <w:sz w:val="24"/>
          <w:szCs w:val="24"/>
        </w:rPr>
        <w:t>ftp</w:t>
      </w:r>
      <w:proofErr w:type="gramEnd"/>
      <w:r w:rsidRPr="00A148F1">
        <w:rPr>
          <w:rFonts w:ascii="Times New Roman" w:hAnsi="Times New Roman" w:cs="Times New Roman"/>
          <w:bCs/>
          <w:sz w:val="24"/>
          <w:szCs w:val="24"/>
        </w:rPr>
        <w:t>://ftp.ibge.gov.br/Trabalho_e_Rendimento/Pesquisa_Nacional_por_Amostra_de_</w:t>
      </w:r>
      <w:r w:rsidR="00996C00" w:rsidRPr="00A148F1">
        <w:rPr>
          <w:rFonts w:ascii="Times New Roman" w:hAnsi="Times New Roman" w:cs="Times New Roman"/>
          <w:bCs/>
          <w:sz w:val="24"/>
          <w:szCs w:val="24"/>
        </w:rPr>
        <w:t xml:space="preserve"> </w:t>
      </w:r>
      <w:r w:rsidRPr="00A148F1">
        <w:rPr>
          <w:rFonts w:ascii="Times New Roman" w:hAnsi="Times New Roman" w:cs="Times New Roman"/>
          <w:bCs/>
          <w:sz w:val="24"/>
          <w:szCs w:val="24"/>
        </w:rPr>
        <w:lastRenderedPageBreak/>
        <w:t>Domicilios_continua/Trimestral/Tabelas/pnadc_201601_tabelas_capita</w:t>
      </w:r>
      <w:r w:rsidR="001B0203" w:rsidRPr="00A148F1">
        <w:rPr>
          <w:rFonts w:ascii="Times New Roman" w:hAnsi="Times New Roman" w:cs="Times New Roman"/>
          <w:bCs/>
          <w:sz w:val="24"/>
          <w:szCs w:val="24"/>
        </w:rPr>
        <w:t>l.zip&gt;. Acesso em: 24 jun. 2016b</w:t>
      </w:r>
      <w:r w:rsidRPr="00A148F1">
        <w:rPr>
          <w:rFonts w:ascii="Times New Roman" w:hAnsi="Times New Roman" w:cs="Times New Roman"/>
          <w:bCs/>
          <w:sz w:val="24"/>
          <w:szCs w:val="24"/>
        </w:rPr>
        <w:t>.</w:t>
      </w:r>
    </w:p>
    <w:p w:rsidR="00C95631" w:rsidRPr="00A148F1" w:rsidRDefault="00C95631" w:rsidP="00FA4C99">
      <w:pPr>
        <w:spacing w:before="120" w:after="120" w:line="240" w:lineRule="auto"/>
        <w:rPr>
          <w:rFonts w:ascii="Times New Roman" w:hAnsi="Times New Roman" w:cs="Times New Roman"/>
          <w:bCs/>
          <w:sz w:val="24"/>
          <w:szCs w:val="24"/>
        </w:rPr>
      </w:pPr>
      <w:r w:rsidRPr="00A148F1">
        <w:rPr>
          <w:rFonts w:ascii="Times New Roman" w:hAnsi="Times New Roman" w:cs="Times New Roman"/>
          <w:bCs/>
          <w:sz w:val="24"/>
          <w:szCs w:val="24"/>
        </w:rPr>
        <w:t xml:space="preserve">KOHAMA, </w:t>
      </w:r>
      <w:proofErr w:type="spellStart"/>
      <w:r w:rsidRPr="00A148F1">
        <w:rPr>
          <w:rFonts w:ascii="Times New Roman" w:hAnsi="Times New Roman" w:cs="Times New Roman"/>
          <w:bCs/>
          <w:sz w:val="24"/>
          <w:szCs w:val="24"/>
        </w:rPr>
        <w:t>Heilio</w:t>
      </w:r>
      <w:proofErr w:type="spellEnd"/>
      <w:r w:rsidRPr="00A148F1">
        <w:rPr>
          <w:rFonts w:ascii="Times New Roman" w:hAnsi="Times New Roman" w:cs="Times New Roman"/>
          <w:bCs/>
          <w:sz w:val="24"/>
          <w:szCs w:val="24"/>
        </w:rPr>
        <w:t xml:space="preserve">. </w:t>
      </w:r>
      <w:r w:rsidR="00895FE5" w:rsidRPr="00A148F1">
        <w:rPr>
          <w:rFonts w:ascii="Times New Roman" w:hAnsi="Times New Roman" w:cs="Times New Roman"/>
          <w:b/>
          <w:bCs/>
          <w:sz w:val="24"/>
          <w:szCs w:val="24"/>
        </w:rPr>
        <w:t>Contabilidade P</w:t>
      </w:r>
      <w:r w:rsidRPr="00A148F1">
        <w:rPr>
          <w:rFonts w:ascii="Times New Roman" w:hAnsi="Times New Roman" w:cs="Times New Roman"/>
          <w:b/>
          <w:bCs/>
          <w:sz w:val="24"/>
          <w:szCs w:val="24"/>
        </w:rPr>
        <w:t>ública</w:t>
      </w:r>
      <w:r w:rsidR="00895FE5" w:rsidRPr="00A148F1">
        <w:rPr>
          <w:rFonts w:ascii="Times New Roman" w:hAnsi="Times New Roman" w:cs="Times New Roman"/>
          <w:bCs/>
          <w:sz w:val="24"/>
          <w:szCs w:val="24"/>
        </w:rPr>
        <w:t>: teoria e prática. 11.</w:t>
      </w:r>
      <w:r w:rsidRPr="00A148F1">
        <w:rPr>
          <w:rFonts w:ascii="Times New Roman" w:hAnsi="Times New Roman" w:cs="Times New Roman"/>
          <w:bCs/>
          <w:sz w:val="24"/>
          <w:szCs w:val="24"/>
        </w:rPr>
        <w:t xml:space="preserve"> </w:t>
      </w:r>
      <w:proofErr w:type="gramStart"/>
      <w:r w:rsidRPr="00A148F1">
        <w:rPr>
          <w:rFonts w:ascii="Times New Roman" w:hAnsi="Times New Roman" w:cs="Times New Roman"/>
          <w:bCs/>
          <w:sz w:val="24"/>
          <w:szCs w:val="24"/>
        </w:rPr>
        <w:t>ed.</w:t>
      </w:r>
      <w:proofErr w:type="gramEnd"/>
      <w:r w:rsidRPr="00A148F1">
        <w:rPr>
          <w:rFonts w:ascii="Times New Roman" w:hAnsi="Times New Roman" w:cs="Times New Roman"/>
          <w:bCs/>
          <w:sz w:val="24"/>
          <w:szCs w:val="24"/>
        </w:rPr>
        <w:t xml:space="preserve"> São Paulo: Atlas, 2010.</w:t>
      </w:r>
    </w:p>
    <w:p w:rsidR="00CD1D0A" w:rsidRPr="00A148F1" w:rsidRDefault="00CD1D0A" w:rsidP="00FA4C99">
      <w:pPr>
        <w:spacing w:before="120" w:after="120" w:line="240" w:lineRule="auto"/>
        <w:rPr>
          <w:rFonts w:ascii="Times New Roman" w:hAnsi="Times New Roman" w:cs="Times New Roman"/>
          <w:bCs/>
          <w:sz w:val="24"/>
          <w:szCs w:val="24"/>
        </w:rPr>
      </w:pPr>
      <w:r w:rsidRPr="00A148F1">
        <w:rPr>
          <w:rFonts w:ascii="Times New Roman" w:hAnsi="Times New Roman" w:cs="Times New Roman"/>
          <w:bCs/>
          <w:sz w:val="24"/>
          <w:szCs w:val="24"/>
        </w:rPr>
        <w:t>LAKATOS, Eva Maria; MARCONI, Marina de Andrade.</w:t>
      </w:r>
      <w:r w:rsidRPr="00A148F1">
        <w:rPr>
          <w:rFonts w:ascii="Times New Roman" w:hAnsi="Times New Roman" w:cs="Times New Roman"/>
          <w:b/>
          <w:bCs/>
          <w:sz w:val="24"/>
          <w:szCs w:val="24"/>
        </w:rPr>
        <w:t xml:space="preserve"> Fundamentos de metodologia de pesquisa</w:t>
      </w:r>
      <w:r w:rsidRPr="00A148F1">
        <w:rPr>
          <w:rFonts w:ascii="Times New Roman" w:hAnsi="Times New Roman" w:cs="Times New Roman"/>
          <w:bCs/>
          <w:sz w:val="24"/>
          <w:szCs w:val="24"/>
        </w:rPr>
        <w:t xml:space="preserve">. 7. </w:t>
      </w:r>
      <w:proofErr w:type="gramStart"/>
      <w:r w:rsidRPr="00A148F1">
        <w:rPr>
          <w:rFonts w:ascii="Times New Roman" w:hAnsi="Times New Roman" w:cs="Times New Roman"/>
          <w:bCs/>
          <w:sz w:val="24"/>
          <w:szCs w:val="24"/>
        </w:rPr>
        <w:t>ed.</w:t>
      </w:r>
      <w:proofErr w:type="gramEnd"/>
      <w:r w:rsidRPr="00A148F1">
        <w:rPr>
          <w:rFonts w:ascii="Times New Roman" w:hAnsi="Times New Roman" w:cs="Times New Roman"/>
          <w:bCs/>
          <w:sz w:val="24"/>
          <w:szCs w:val="24"/>
        </w:rPr>
        <w:t xml:space="preserve"> São Paulo: Atlas, 2010.</w:t>
      </w:r>
    </w:p>
    <w:p w:rsidR="00CD2ACD" w:rsidRPr="00A148F1" w:rsidRDefault="00CD2ACD" w:rsidP="00FA4C99">
      <w:pPr>
        <w:spacing w:before="120" w:after="120" w:line="240" w:lineRule="auto"/>
        <w:rPr>
          <w:rFonts w:ascii="Times New Roman" w:hAnsi="Times New Roman" w:cs="Times New Roman"/>
          <w:bCs/>
          <w:sz w:val="24"/>
          <w:szCs w:val="24"/>
        </w:rPr>
      </w:pPr>
      <w:r w:rsidRPr="00A148F1">
        <w:rPr>
          <w:rFonts w:ascii="Times New Roman" w:hAnsi="Times New Roman" w:cs="Times New Roman"/>
          <w:bCs/>
          <w:sz w:val="24"/>
          <w:szCs w:val="24"/>
        </w:rPr>
        <w:t xml:space="preserve">MACARINI, </w:t>
      </w:r>
      <w:proofErr w:type="spellStart"/>
      <w:r w:rsidR="00605248" w:rsidRPr="00A148F1">
        <w:rPr>
          <w:rFonts w:ascii="Times New Roman" w:hAnsi="Times New Roman" w:cs="Times New Roman"/>
          <w:bCs/>
          <w:sz w:val="24"/>
          <w:szCs w:val="24"/>
        </w:rPr>
        <w:t>Daiani</w:t>
      </w:r>
      <w:proofErr w:type="spellEnd"/>
      <w:r w:rsidR="00605248" w:rsidRPr="00A148F1">
        <w:rPr>
          <w:rFonts w:ascii="Times New Roman" w:hAnsi="Times New Roman" w:cs="Times New Roman"/>
          <w:bCs/>
          <w:sz w:val="24"/>
          <w:szCs w:val="24"/>
        </w:rPr>
        <w:t xml:space="preserve">. </w:t>
      </w:r>
      <w:r w:rsidR="00605248" w:rsidRPr="00A148F1">
        <w:rPr>
          <w:rFonts w:ascii="Times New Roman" w:hAnsi="Times New Roman" w:cs="Times New Roman"/>
          <w:b/>
          <w:bCs/>
          <w:sz w:val="24"/>
          <w:szCs w:val="24"/>
        </w:rPr>
        <w:t>Gastos com Saúde: um estudo de caso sobre o percentual da aplicação dos gastos na área da saúde do Município de Meleiro (SC)</w:t>
      </w:r>
      <w:r w:rsidR="00605248" w:rsidRPr="00A148F1">
        <w:rPr>
          <w:rFonts w:ascii="Times New Roman" w:hAnsi="Times New Roman" w:cs="Times New Roman"/>
          <w:bCs/>
          <w:sz w:val="24"/>
          <w:szCs w:val="24"/>
        </w:rPr>
        <w:t>. Monografia para Graduação em Ciências Contábeis da Universidade do Extremo Sul Catarinense. Criciúma, 2014.</w:t>
      </w:r>
    </w:p>
    <w:p w:rsidR="003959A0" w:rsidRPr="00A148F1" w:rsidRDefault="003959A0" w:rsidP="00FA4C99">
      <w:pPr>
        <w:spacing w:before="120" w:after="120" w:line="240" w:lineRule="auto"/>
        <w:rPr>
          <w:rFonts w:ascii="Times New Roman" w:hAnsi="Times New Roman" w:cs="Times New Roman"/>
          <w:bCs/>
          <w:sz w:val="24"/>
          <w:szCs w:val="24"/>
        </w:rPr>
      </w:pPr>
      <w:r w:rsidRPr="00A148F1">
        <w:rPr>
          <w:rFonts w:ascii="Times New Roman" w:hAnsi="Times New Roman" w:cs="Times New Roman"/>
          <w:bCs/>
          <w:sz w:val="24"/>
          <w:szCs w:val="24"/>
        </w:rPr>
        <w:t xml:space="preserve">MOG – Ministério do Orçamento e Gestão. </w:t>
      </w:r>
      <w:r w:rsidRPr="00A148F1">
        <w:rPr>
          <w:rFonts w:ascii="Times New Roman" w:hAnsi="Times New Roman" w:cs="Times New Roman"/>
          <w:b/>
          <w:bCs/>
          <w:sz w:val="24"/>
          <w:szCs w:val="24"/>
        </w:rPr>
        <w:t>Portaria n.º 42</w:t>
      </w:r>
      <w:r w:rsidRPr="00A148F1">
        <w:rPr>
          <w:rFonts w:ascii="Times New Roman" w:hAnsi="Times New Roman" w:cs="Times New Roman"/>
          <w:bCs/>
          <w:sz w:val="24"/>
          <w:szCs w:val="24"/>
        </w:rPr>
        <w:t xml:space="preserve">, de 14 de abril de 1999. </w:t>
      </w:r>
      <w:r w:rsidRPr="00A148F1">
        <w:rPr>
          <w:rFonts w:ascii="Times New Roman" w:hAnsi="Times New Roman" w:cs="Times New Roman"/>
          <w:sz w:val="24"/>
          <w:szCs w:val="24"/>
        </w:rPr>
        <w:t xml:space="preserve">Atualiza a discriminação da despesa por funções de que </w:t>
      </w:r>
      <w:proofErr w:type="gramStart"/>
      <w:r w:rsidRPr="00A148F1">
        <w:rPr>
          <w:rFonts w:ascii="Times New Roman" w:hAnsi="Times New Roman" w:cs="Times New Roman"/>
          <w:sz w:val="24"/>
          <w:szCs w:val="24"/>
        </w:rPr>
        <w:t>tratam</w:t>
      </w:r>
      <w:proofErr w:type="gramEnd"/>
      <w:r w:rsidRPr="00A148F1">
        <w:rPr>
          <w:rFonts w:ascii="Times New Roman" w:hAnsi="Times New Roman" w:cs="Times New Roman"/>
          <w:sz w:val="24"/>
          <w:szCs w:val="24"/>
        </w:rPr>
        <w:t xml:space="preserve"> o inciso I do § 1º do art. 2º e § 2º do art. 8º, ambos da Lei nº 4.320, de 17 de março de 1964, estabelece os conceitos de função, subfunção, programa, projeto, atividade, operações especiais, e dá outras providências</w:t>
      </w:r>
      <w:r w:rsidRPr="00A148F1">
        <w:rPr>
          <w:rFonts w:ascii="Times New Roman" w:hAnsi="Times New Roman" w:cs="Times New Roman"/>
          <w:bCs/>
          <w:sz w:val="24"/>
          <w:szCs w:val="24"/>
        </w:rPr>
        <w:t>. Disponível em: &lt;http://www3.tesouro.gov.br/legislacao/download/contabilidade portaria42.pdf&gt;. Acesso em: 10 abr. 2016.</w:t>
      </w:r>
    </w:p>
    <w:p w:rsidR="000153AB" w:rsidRPr="00A148F1" w:rsidRDefault="000153AB" w:rsidP="00FA4C99">
      <w:pPr>
        <w:spacing w:before="120" w:after="120" w:line="240" w:lineRule="auto"/>
        <w:rPr>
          <w:rFonts w:ascii="Times New Roman" w:hAnsi="Times New Roman" w:cs="Times New Roman"/>
          <w:bCs/>
          <w:sz w:val="24"/>
          <w:szCs w:val="24"/>
        </w:rPr>
      </w:pPr>
      <w:r w:rsidRPr="00A148F1">
        <w:rPr>
          <w:rFonts w:ascii="Times New Roman" w:hAnsi="Times New Roman" w:cs="Times New Roman"/>
          <w:bCs/>
          <w:sz w:val="24"/>
          <w:szCs w:val="24"/>
        </w:rPr>
        <w:t xml:space="preserve">MS – Ministério da Saúde – Portal da Saúde. </w:t>
      </w:r>
      <w:r w:rsidRPr="00A148F1">
        <w:rPr>
          <w:rFonts w:ascii="Times New Roman" w:hAnsi="Times New Roman" w:cs="Times New Roman"/>
          <w:b/>
          <w:bCs/>
          <w:sz w:val="24"/>
          <w:szCs w:val="24"/>
        </w:rPr>
        <w:t>Entenda o SUS</w:t>
      </w:r>
      <w:r w:rsidR="00A37F68" w:rsidRPr="00A148F1">
        <w:rPr>
          <w:rFonts w:ascii="Times New Roman" w:hAnsi="Times New Roman" w:cs="Times New Roman"/>
          <w:bCs/>
          <w:sz w:val="24"/>
          <w:szCs w:val="24"/>
        </w:rPr>
        <w:t>.</w:t>
      </w:r>
      <w:r w:rsidRPr="00A148F1">
        <w:rPr>
          <w:rFonts w:ascii="Times New Roman" w:hAnsi="Times New Roman" w:cs="Times New Roman"/>
          <w:b/>
          <w:bCs/>
          <w:sz w:val="24"/>
          <w:szCs w:val="24"/>
        </w:rPr>
        <w:t xml:space="preserve"> </w:t>
      </w:r>
      <w:r w:rsidRPr="00A148F1">
        <w:rPr>
          <w:rFonts w:ascii="Times New Roman" w:hAnsi="Times New Roman" w:cs="Times New Roman"/>
          <w:bCs/>
          <w:sz w:val="24"/>
          <w:szCs w:val="24"/>
        </w:rPr>
        <w:t>Disponível em: &lt;http://portal</w:t>
      </w:r>
      <w:r w:rsidR="00D82AB6" w:rsidRPr="00A148F1">
        <w:rPr>
          <w:rFonts w:ascii="Times New Roman" w:hAnsi="Times New Roman" w:cs="Times New Roman"/>
          <w:bCs/>
          <w:sz w:val="24"/>
          <w:szCs w:val="24"/>
        </w:rPr>
        <w:t xml:space="preserve"> </w:t>
      </w:r>
      <w:proofErr w:type="spellStart"/>
      <w:proofErr w:type="gramStart"/>
      <w:r w:rsidRPr="00A148F1">
        <w:rPr>
          <w:rFonts w:ascii="Times New Roman" w:hAnsi="Times New Roman" w:cs="Times New Roman"/>
          <w:bCs/>
          <w:sz w:val="24"/>
          <w:szCs w:val="24"/>
        </w:rPr>
        <w:t>saude</w:t>
      </w:r>
      <w:proofErr w:type="spellEnd"/>
      <w:r w:rsidRPr="00A148F1">
        <w:rPr>
          <w:rFonts w:ascii="Times New Roman" w:hAnsi="Times New Roman" w:cs="Times New Roman"/>
          <w:bCs/>
          <w:sz w:val="24"/>
          <w:szCs w:val="24"/>
        </w:rPr>
        <w:t>.</w:t>
      </w:r>
      <w:proofErr w:type="spellStart"/>
      <w:proofErr w:type="gramEnd"/>
      <w:r w:rsidRPr="00A148F1">
        <w:rPr>
          <w:rFonts w:ascii="Times New Roman" w:hAnsi="Times New Roman" w:cs="Times New Roman"/>
          <w:bCs/>
          <w:sz w:val="24"/>
          <w:szCs w:val="24"/>
        </w:rPr>
        <w:t>saude</w:t>
      </w:r>
      <w:proofErr w:type="spellEnd"/>
      <w:r w:rsidRPr="00A148F1">
        <w:rPr>
          <w:rFonts w:ascii="Times New Roman" w:hAnsi="Times New Roman" w:cs="Times New Roman"/>
          <w:bCs/>
          <w:sz w:val="24"/>
          <w:szCs w:val="24"/>
        </w:rPr>
        <w:t>.</w:t>
      </w:r>
      <w:proofErr w:type="spellStart"/>
      <w:r w:rsidRPr="00A148F1">
        <w:rPr>
          <w:rFonts w:ascii="Times New Roman" w:hAnsi="Times New Roman" w:cs="Times New Roman"/>
          <w:bCs/>
          <w:sz w:val="24"/>
          <w:szCs w:val="24"/>
        </w:rPr>
        <w:t>gov.br/index.php/cidadao/entenda-o-sus&gt;.</w:t>
      </w:r>
      <w:proofErr w:type="spellEnd"/>
      <w:r w:rsidRPr="00A148F1">
        <w:rPr>
          <w:rFonts w:ascii="Times New Roman" w:hAnsi="Times New Roman" w:cs="Times New Roman"/>
          <w:bCs/>
          <w:sz w:val="24"/>
          <w:szCs w:val="24"/>
        </w:rPr>
        <w:t xml:space="preserve"> Acesso em: 28 mar. 2016.</w:t>
      </w:r>
    </w:p>
    <w:p w:rsidR="00B358A2" w:rsidRPr="00A148F1" w:rsidRDefault="00736F7F" w:rsidP="00FA4C99">
      <w:pPr>
        <w:spacing w:before="120" w:after="120" w:line="240" w:lineRule="auto"/>
        <w:rPr>
          <w:rFonts w:ascii="Times New Roman" w:hAnsi="Times New Roman" w:cs="Times New Roman"/>
          <w:bCs/>
          <w:sz w:val="24"/>
          <w:szCs w:val="24"/>
        </w:rPr>
      </w:pPr>
      <w:r w:rsidRPr="00A148F1">
        <w:rPr>
          <w:rFonts w:ascii="Times New Roman" w:hAnsi="Times New Roman" w:cs="Times New Roman"/>
          <w:bCs/>
          <w:sz w:val="24"/>
          <w:szCs w:val="24"/>
        </w:rPr>
        <w:t xml:space="preserve">PMF – Prefeitura Municipal de Florianópolis. </w:t>
      </w:r>
      <w:r w:rsidRPr="00A148F1">
        <w:rPr>
          <w:rFonts w:ascii="Times New Roman" w:hAnsi="Times New Roman" w:cs="Times New Roman"/>
          <w:b/>
          <w:bCs/>
          <w:sz w:val="24"/>
          <w:szCs w:val="24"/>
        </w:rPr>
        <w:t xml:space="preserve">A cidade. </w:t>
      </w:r>
      <w:r w:rsidRPr="00A148F1">
        <w:rPr>
          <w:rFonts w:ascii="Times New Roman" w:hAnsi="Times New Roman" w:cs="Times New Roman"/>
          <w:bCs/>
          <w:sz w:val="24"/>
          <w:szCs w:val="24"/>
        </w:rPr>
        <w:t>Disponível em: &lt;</w:t>
      </w:r>
      <w:proofErr w:type="gramStart"/>
      <w:r w:rsidRPr="00A148F1">
        <w:rPr>
          <w:rFonts w:ascii="Times New Roman" w:hAnsi="Times New Roman" w:cs="Times New Roman"/>
          <w:bCs/>
          <w:sz w:val="24"/>
          <w:szCs w:val="24"/>
        </w:rPr>
        <w:t>http://www.pmf.sc</w:t>
      </w:r>
      <w:r w:rsidR="006B0414" w:rsidRPr="00A148F1">
        <w:rPr>
          <w:rFonts w:ascii="Times New Roman" w:hAnsi="Times New Roman" w:cs="Times New Roman"/>
          <w:bCs/>
          <w:sz w:val="24"/>
          <w:szCs w:val="24"/>
        </w:rPr>
        <w:t xml:space="preserve"> </w:t>
      </w:r>
      <w:r w:rsidRPr="00A148F1">
        <w:rPr>
          <w:rFonts w:ascii="Times New Roman" w:hAnsi="Times New Roman" w:cs="Times New Roman"/>
          <w:bCs/>
          <w:sz w:val="24"/>
          <w:szCs w:val="24"/>
        </w:rPr>
        <w:t>.</w:t>
      </w:r>
      <w:proofErr w:type="spellStart"/>
      <w:proofErr w:type="gramEnd"/>
      <w:r w:rsidRPr="00A148F1">
        <w:rPr>
          <w:rFonts w:ascii="Times New Roman" w:hAnsi="Times New Roman" w:cs="Times New Roman"/>
          <w:bCs/>
          <w:sz w:val="24"/>
          <w:szCs w:val="24"/>
        </w:rPr>
        <w:t>gov.br/entidades/turismo/index.php?</w:t>
      </w:r>
      <w:proofErr w:type="spellEnd"/>
      <w:r w:rsidRPr="00A148F1">
        <w:rPr>
          <w:rFonts w:ascii="Times New Roman" w:hAnsi="Times New Roman" w:cs="Times New Roman"/>
          <w:bCs/>
          <w:sz w:val="24"/>
          <w:szCs w:val="24"/>
        </w:rPr>
        <w:t xml:space="preserve"> </w:t>
      </w:r>
      <w:proofErr w:type="spellStart"/>
      <w:proofErr w:type="gramStart"/>
      <w:r w:rsidRPr="00A148F1">
        <w:rPr>
          <w:rFonts w:ascii="Times New Roman" w:hAnsi="Times New Roman" w:cs="Times New Roman"/>
          <w:bCs/>
          <w:sz w:val="24"/>
          <w:szCs w:val="24"/>
        </w:rPr>
        <w:t>cms</w:t>
      </w:r>
      <w:proofErr w:type="spellEnd"/>
      <w:proofErr w:type="gramEnd"/>
      <w:r w:rsidRPr="00A148F1">
        <w:rPr>
          <w:rFonts w:ascii="Times New Roman" w:hAnsi="Times New Roman" w:cs="Times New Roman"/>
          <w:bCs/>
          <w:sz w:val="24"/>
          <w:szCs w:val="24"/>
        </w:rPr>
        <w:t>=a+</w:t>
      </w:r>
      <w:proofErr w:type="spellStart"/>
      <w:r w:rsidRPr="00A148F1">
        <w:rPr>
          <w:rFonts w:ascii="Times New Roman" w:hAnsi="Times New Roman" w:cs="Times New Roman"/>
          <w:bCs/>
          <w:sz w:val="24"/>
          <w:szCs w:val="24"/>
        </w:rPr>
        <w:t>cidade&amp;menu</w:t>
      </w:r>
      <w:proofErr w:type="spellEnd"/>
      <w:r w:rsidRPr="00A148F1">
        <w:rPr>
          <w:rFonts w:ascii="Times New Roman" w:hAnsi="Times New Roman" w:cs="Times New Roman"/>
          <w:bCs/>
          <w:sz w:val="24"/>
          <w:szCs w:val="24"/>
        </w:rPr>
        <w:t xml:space="preserve">=5&gt;. Acesso em: 07 dez. </w:t>
      </w:r>
      <w:proofErr w:type="gramStart"/>
      <w:r w:rsidRPr="00A148F1">
        <w:rPr>
          <w:rFonts w:ascii="Times New Roman" w:hAnsi="Times New Roman" w:cs="Times New Roman"/>
          <w:bCs/>
          <w:sz w:val="24"/>
          <w:szCs w:val="24"/>
        </w:rPr>
        <w:t>2015</w:t>
      </w:r>
      <w:r w:rsidR="006B0414" w:rsidRPr="00A148F1">
        <w:rPr>
          <w:rFonts w:ascii="Times New Roman" w:hAnsi="Times New Roman" w:cs="Times New Roman"/>
          <w:bCs/>
          <w:sz w:val="24"/>
          <w:szCs w:val="24"/>
        </w:rPr>
        <w:t>a</w:t>
      </w:r>
      <w:r w:rsidRPr="00A148F1">
        <w:rPr>
          <w:rFonts w:ascii="Times New Roman" w:hAnsi="Times New Roman" w:cs="Times New Roman"/>
          <w:bCs/>
          <w:sz w:val="24"/>
          <w:szCs w:val="24"/>
        </w:rPr>
        <w:t>.</w:t>
      </w:r>
      <w:proofErr w:type="gramEnd"/>
    </w:p>
    <w:p w:rsidR="00E35DF5" w:rsidRPr="00A148F1" w:rsidRDefault="00E35DF5" w:rsidP="00FA4C99">
      <w:pPr>
        <w:spacing w:before="120" w:after="120" w:line="240" w:lineRule="auto"/>
        <w:rPr>
          <w:rFonts w:ascii="Times New Roman" w:hAnsi="Times New Roman" w:cs="Times New Roman"/>
          <w:bCs/>
          <w:sz w:val="24"/>
          <w:szCs w:val="24"/>
        </w:rPr>
      </w:pPr>
      <w:r w:rsidRPr="00A148F1">
        <w:rPr>
          <w:rFonts w:ascii="Times New Roman" w:hAnsi="Times New Roman" w:cs="Times New Roman"/>
          <w:bCs/>
          <w:sz w:val="24"/>
          <w:szCs w:val="24"/>
        </w:rPr>
        <w:t xml:space="preserve">______. </w:t>
      </w:r>
      <w:r w:rsidRPr="00A148F1">
        <w:rPr>
          <w:rFonts w:ascii="Times New Roman" w:hAnsi="Times New Roman" w:cs="Times New Roman"/>
          <w:b/>
          <w:bCs/>
          <w:sz w:val="24"/>
          <w:szCs w:val="24"/>
        </w:rPr>
        <w:t>Demonstrativo das Receitas e Despesas com Ações e Serviços Públicos de Saúde</w:t>
      </w:r>
      <w:r w:rsidRPr="00A148F1">
        <w:rPr>
          <w:rFonts w:ascii="Times New Roman" w:hAnsi="Times New Roman" w:cs="Times New Roman"/>
          <w:bCs/>
          <w:sz w:val="24"/>
          <w:szCs w:val="24"/>
        </w:rPr>
        <w:t>:</w:t>
      </w:r>
      <w:r w:rsidRPr="00A148F1">
        <w:rPr>
          <w:rFonts w:ascii="Times New Roman" w:hAnsi="Times New Roman" w:cs="Times New Roman"/>
          <w:b/>
          <w:bCs/>
          <w:sz w:val="24"/>
          <w:szCs w:val="24"/>
        </w:rPr>
        <w:t xml:space="preserve"> </w:t>
      </w:r>
      <w:r w:rsidRPr="00A148F1">
        <w:rPr>
          <w:rFonts w:ascii="Times New Roman" w:hAnsi="Times New Roman" w:cs="Times New Roman"/>
          <w:bCs/>
          <w:sz w:val="24"/>
          <w:szCs w:val="24"/>
        </w:rPr>
        <w:t xml:space="preserve">Anexos 12 do Relatório Resumido de Execução </w:t>
      </w:r>
      <w:proofErr w:type="gramStart"/>
      <w:r w:rsidRPr="00A148F1">
        <w:rPr>
          <w:rFonts w:ascii="Times New Roman" w:hAnsi="Times New Roman" w:cs="Times New Roman"/>
          <w:bCs/>
          <w:sz w:val="24"/>
          <w:szCs w:val="24"/>
        </w:rPr>
        <w:t>Orçamentária referentes aos 6</w:t>
      </w:r>
      <w:r w:rsidR="005F72AF" w:rsidRPr="00A148F1">
        <w:rPr>
          <w:rFonts w:ascii="Times New Roman" w:hAnsi="Times New Roman" w:cs="Times New Roman"/>
          <w:bCs/>
          <w:sz w:val="24"/>
          <w:szCs w:val="24"/>
          <w:vertAlign w:val="superscript"/>
        </w:rPr>
        <w:t>o</w:t>
      </w:r>
      <w:r w:rsidRPr="00A148F1">
        <w:rPr>
          <w:rFonts w:ascii="Times New Roman" w:hAnsi="Times New Roman" w:cs="Times New Roman"/>
          <w:bCs/>
          <w:sz w:val="24"/>
          <w:szCs w:val="24"/>
          <w:vertAlign w:val="superscript"/>
        </w:rPr>
        <w:t>s</w:t>
      </w:r>
      <w:r w:rsidRPr="00A148F1">
        <w:rPr>
          <w:rFonts w:ascii="Times New Roman" w:hAnsi="Times New Roman" w:cs="Times New Roman"/>
          <w:bCs/>
          <w:sz w:val="24"/>
          <w:szCs w:val="24"/>
        </w:rPr>
        <w:t xml:space="preserve"> bimestres dos anos de 2002 a </w:t>
      </w:r>
      <w:r w:rsidR="006B0414" w:rsidRPr="00A148F1">
        <w:rPr>
          <w:rFonts w:ascii="Times New Roman" w:hAnsi="Times New Roman" w:cs="Times New Roman"/>
          <w:bCs/>
          <w:sz w:val="24"/>
          <w:szCs w:val="24"/>
        </w:rPr>
        <w:t>2015</w:t>
      </w:r>
      <w:proofErr w:type="gramEnd"/>
      <w:r w:rsidRPr="00A148F1">
        <w:rPr>
          <w:rFonts w:ascii="Times New Roman" w:hAnsi="Times New Roman" w:cs="Times New Roman"/>
          <w:bCs/>
          <w:sz w:val="24"/>
          <w:szCs w:val="24"/>
        </w:rPr>
        <w:t>. Secretaria Municipal da Fazenda, Planejamento e Orçamento.</w:t>
      </w:r>
      <w:r w:rsidRPr="00A148F1">
        <w:rPr>
          <w:rFonts w:ascii="Times New Roman" w:hAnsi="Times New Roman" w:cs="Times New Roman"/>
          <w:b/>
          <w:bCs/>
          <w:sz w:val="24"/>
          <w:szCs w:val="24"/>
        </w:rPr>
        <w:t xml:space="preserve"> </w:t>
      </w:r>
      <w:r w:rsidR="006B0414" w:rsidRPr="00A148F1">
        <w:rPr>
          <w:rFonts w:ascii="Times New Roman" w:hAnsi="Times New Roman" w:cs="Times New Roman"/>
          <w:bCs/>
          <w:sz w:val="24"/>
          <w:szCs w:val="24"/>
        </w:rPr>
        <w:t>Anos de 2002 e 2008 a 2010 f</w:t>
      </w:r>
      <w:r w:rsidRPr="00A148F1">
        <w:rPr>
          <w:rFonts w:ascii="Times New Roman" w:hAnsi="Times New Roman" w:cs="Times New Roman"/>
          <w:bCs/>
          <w:sz w:val="24"/>
          <w:szCs w:val="24"/>
        </w:rPr>
        <w:t>ornecido</w:t>
      </w:r>
      <w:r w:rsidR="006B0414" w:rsidRPr="00A148F1">
        <w:rPr>
          <w:rFonts w:ascii="Times New Roman" w:hAnsi="Times New Roman" w:cs="Times New Roman"/>
          <w:bCs/>
          <w:sz w:val="24"/>
          <w:szCs w:val="24"/>
        </w:rPr>
        <w:t>s</w:t>
      </w:r>
      <w:r w:rsidRPr="00A148F1">
        <w:rPr>
          <w:rFonts w:ascii="Times New Roman" w:hAnsi="Times New Roman" w:cs="Times New Roman"/>
          <w:bCs/>
          <w:sz w:val="24"/>
          <w:szCs w:val="24"/>
        </w:rPr>
        <w:t xml:space="preserve"> pe</w:t>
      </w:r>
      <w:r w:rsidR="006B0414" w:rsidRPr="00A148F1">
        <w:rPr>
          <w:rFonts w:ascii="Times New Roman" w:hAnsi="Times New Roman" w:cs="Times New Roman"/>
          <w:bCs/>
          <w:sz w:val="24"/>
          <w:szCs w:val="24"/>
        </w:rPr>
        <w:t xml:space="preserve">la </w:t>
      </w:r>
      <w:r w:rsidR="005D7101" w:rsidRPr="00A148F1">
        <w:rPr>
          <w:rFonts w:ascii="Times New Roman" w:hAnsi="Times New Roman" w:cs="Times New Roman"/>
          <w:bCs/>
          <w:sz w:val="24"/>
          <w:szCs w:val="24"/>
        </w:rPr>
        <w:t>Secretaria fisicamente. Anos de 2009 e 2011 a 2015, d</w:t>
      </w:r>
      <w:r w:rsidR="006B0414" w:rsidRPr="00A148F1">
        <w:rPr>
          <w:rFonts w:ascii="Times New Roman" w:hAnsi="Times New Roman" w:cs="Times New Roman"/>
          <w:bCs/>
          <w:sz w:val="24"/>
          <w:szCs w:val="24"/>
        </w:rPr>
        <w:t>isponíve</w:t>
      </w:r>
      <w:r w:rsidR="005D7101" w:rsidRPr="00A148F1">
        <w:rPr>
          <w:rFonts w:ascii="Times New Roman" w:hAnsi="Times New Roman" w:cs="Times New Roman"/>
          <w:bCs/>
          <w:sz w:val="24"/>
          <w:szCs w:val="24"/>
        </w:rPr>
        <w:t>is</w:t>
      </w:r>
      <w:r w:rsidR="006B0414" w:rsidRPr="00A148F1">
        <w:rPr>
          <w:rFonts w:ascii="Times New Roman" w:hAnsi="Times New Roman" w:cs="Times New Roman"/>
          <w:bCs/>
          <w:sz w:val="24"/>
          <w:szCs w:val="24"/>
        </w:rPr>
        <w:t xml:space="preserve"> em: &lt;</w:t>
      </w:r>
      <w:proofErr w:type="gramStart"/>
      <w:r w:rsidR="006B0414" w:rsidRPr="00A148F1">
        <w:rPr>
          <w:rFonts w:ascii="Times New Roman" w:hAnsi="Times New Roman" w:cs="Times New Roman"/>
          <w:bCs/>
          <w:sz w:val="24"/>
          <w:szCs w:val="24"/>
        </w:rPr>
        <w:t>http://www.pmf.sc.gov.br/</w:t>
      </w:r>
      <w:r w:rsidR="00996C00" w:rsidRPr="00A148F1">
        <w:rPr>
          <w:rFonts w:ascii="Times New Roman" w:hAnsi="Times New Roman" w:cs="Times New Roman"/>
          <w:bCs/>
          <w:sz w:val="24"/>
          <w:szCs w:val="24"/>
        </w:rPr>
        <w:t>transparencia/index.</w:t>
      </w:r>
      <w:proofErr w:type="gramEnd"/>
      <w:r w:rsidR="00996C00" w:rsidRPr="00A148F1">
        <w:rPr>
          <w:rFonts w:ascii="Times New Roman" w:hAnsi="Times New Roman" w:cs="Times New Roman"/>
          <w:bCs/>
          <w:sz w:val="24"/>
          <w:szCs w:val="24"/>
        </w:rPr>
        <w:t xml:space="preserve">php? </w:t>
      </w:r>
      <w:proofErr w:type="gramStart"/>
      <w:r w:rsidR="00996C00" w:rsidRPr="00A148F1">
        <w:rPr>
          <w:rFonts w:ascii="Times New Roman" w:hAnsi="Times New Roman" w:cs="Times New Roman"/>
          <w:bCs/>
          <w:sz w:val="24"/>
          <w:szCs w:val="24"/>
        </w:rPr>
        <w:t>pagina</w:t>
      </w:r>
      <w:proofErr w:type="gramEnd"/>
      <w:r w:rsidR="00996C00" w:rsidRPr="00A148F1">
        <w:rPr>
          <w:rFonts w:ascii="Times New Roman" w:hAnsi="Times New Roman" w:cs="Times New Roman"/>
          <w:bCs/>
          <w:sz w:val="24"/>
          <w:szCs w:val="24"/>
        </w:rPr>
        <w:t>=</w:t>
      </w:r>
      <w:proofErr w:type="spellStart"/>
      <w:r w:rsidR="006B0414" w:rsidRPr="00A148F1">
        <w:rPr>
          <w:rFonts w:ascii="Times New Roman" w:hAnsi="Times New Roman" w:cs="Times New Roman"/>
          <w:bCs/>
          <w:sz w:val="24"/>
          <w:szCs w:val="24"/>
        </w:rPr>
        <w:t>responsabilidadefiscal&amp;menu</w:t>
      </w:r>
      <w:proofErr w:type="spellEnd"/>
      <w:r w:rsidR="006B0414" w:rsidRPr="00A148F1">
        <w:rPr>
          <w:rFonts w:ascii="Times New Roman" w:hAnsi="Times New Roman" w:cs="Times New Roman"/>
          <w:bCs/>
          <w:sz w:val="24"/>
          <w:szCs w:val="24"/>
        </w:rPr>
        <w:t>=4&amp;</w:t>
      </w:r>
      <w:proofErr w:type="spellStart"/>
      <w:r w:rsidR="006B0414" w:rsidRPr="00A148F1">
        <w:rPr>
          <w:rFonts w:ascii="Times New Roman" w:hAnsi="Times New Roman" w:cs="Times New Roman"/>
          <w:bCs/>
          <w:sz w:val="24"/>
          <w:szCs w:val="24"/>
        </w:rPr>
        <w:t>tprel</w:t>
      </w:r>
      <w:proofErr w:type="spellEnd"/>
      <w:r w:rsidR="006B0414" w:rsidRPr="00A148F1">
        <w:rPr>
          <w:rFonts w:ascii="Times New Roman" w:hAnsi="Times New Roman" w:cs="Times New Roman"/>
          <w:bCs/>
          <w:sz w:val="24"/>
          <w:szCs w:val="24"/>
        </w:rPr>
        <w:t>=362&amp;</w:t>
      </w:r>
      <w:proofErr w:type="spellStart"/>
      <w:r w:rsidR="006B0414" w:rsidRPr="00A148F1">
        <w:rPr>
          <w:rFonts w:ascii="Times New Roman" w:hAnsi="Times New Roman" w:cs="Times New Roman"/>
          <w:bCs/>
          <w:sz w:val="24"/>
          <w:szCs w:val="24"/>
        </w:rPr>
        <w:t>pg</w:t>
      </w:r>
      <w:proofErr w:type="spellEnd"/>
      <w:r w:rsidR="006B0414" w:rsidRPr="00A148F1">
        <w:rPr>
          <w:rFonts w:ascii="Times New Roman" w:hAnsi="Times New Roman" w:cs="Times New Roman"/>
          <w:bCs/>
          <w:sz w:val="24"/>
          <w:szCs w:val="24"/>
        </w:rPr>
        <w:t xml:space="preserve">=1&gt;. Acesso em: 12 abr. 2016. </w:t>
      </w:r>
    </w:p>
    <w:p w:rsidR="008A1AC4" w:rsidRPr="00A148F1" w:rsidRDefault="005D5E4D" w:rsidP="00FA4C99">
      <w:pPr>
        <w:spacing w:before="120" w:after="120" w:line="240" w:lineRule="auto"/>
        <w:rPr>
          <w:rFonts w:ascii="Times New Roman" w:hAnsi="Times New Roman" w:cs="Times New Roman"/>
          <w:bCs/>
          <w:sz w:val="24"/>
          <w:szCs w:val="24"/>
        </w:rPr>
      </w:pPr>
      <w:r w:rsidRPr="00A148F1">
        <w:rPr>
          <w:rFonts w:ascii="Times New Roman" w:hAnsi="Times New Roman" w:cs="Times New Roman"/>
          <w:bCs/>
          <w:sz w:val="24"/>
          <w:szCs w:val="24"/>
        </w:rPr>
        <w:t>______</w:t>
      </w:r>
      <w:r w:rsidR="00736F7F" w:rsidRPr="00A148F1">
        <w:rPr>
          <w:rFonts w:ascii="Times New Roman" w:hAnsi="Times New Roman" w:cs="Times New Roman"/>
          <w:bCs/>
          <w:sz w:val="24"/>
          <w:szCs w:val="24"/>
        </w:rPr>
        <w:t xml:space="preserve">. </w:t>
      </w:r>
      <w:r w:rsidR="00736F7F" w:rsidRPr="00A148F1">
        <w:rPr>
          <w:rFonts w:ascii="Times New Roman" w:hAnsi="Times New Roman" w:cs="Times New Roman"/>
          <w:b/>
          <w:bCs/>
          <w:sz w:val="24"/>
          <w:szCs w:val="24"/>
        </w:rPr>
        <w:t>História</w:t>
      </w:r>
      <w:r w:rsidR="00736F7F" w:rsidRPr="00A148F1">
        <w:rPr>
          <w:rFonts w:ascii="Times New Roman" w:hAnsi="Times New Roman" w:cs="Times New Roman"/>
          <w:bCs/>
          <w:sz w:val="24"/>
          <w:szCs w:val="24"/>
        </w:rPr>
        <w:t>.</w:t>
      </w:r>
      <w:r w:rsidR="00736F7F" w:rsidRPr="00A148F1">
        <w:rPr>
          <w:rFonts w:ascii="Times New Roman" w:hAnsi="Times New Roman" w:cs="Times New Roman"/>
          <w:b/>
          <w:bCs/>
          <w:sz w:val="24"/>
          <w:szCs w:val="24"/>
        </w:rPr>
        <w:t xml:space="preserve"> </w:t>
      </w:r>
      <w:r w:rsidR="00736F7F" w:rsidRPr="00A148F1">
        <w:rPr>
          <w:rFonts w:ascii="Times New Roman" w:hAnsi="Times New Roman" w:cs="Times New Roman"/>
          <w:bCs/>
          <w:sz w:val="24"/>
          <w:szCs w:val="24"/>
        </w:rPr>
        <w:t>Disponível em: &lt;</w:t>
      </w:r>
      <w:proofErr w:type="gramStart"/>
      <w:r w:rsidR="00736F7F" w:rsidRPr="00A148F1">
        <w:rPr>
          <w:rFonts w:ascii="Times New Roman" w:hAnsi="Times New Roman" w:cs="Times New Roman"/>
          <w:bCs/>
          <w:sz w:val="24"/>
          <w:szCs w:val="24"/>
        </w:rPr>
        <w:t>http://www.pmf.sc.gov.br/entidades/turismo/index.</w:t>
      </w:r>
      <w:proofErr w:type="gramEnd"/>
      <w:r w:rsidR="00736F7F" w:rsidRPr="00A148F1">
        <w:rPr>
          <w:rFonts w:ascii="Times New Roman" w:hAnsi="Times New Roman" w:cs="Times New Roman"/>
          <w:bCs/>
          <w:sz w:val="24"/>
          <w:szCs w:val="24"/>
        </w:rPr>
        <w:t xml:space="preserve">php? </w:t>
      </w:r>
      <w:proofErr w:type="spellStart"/>
      <w:proofErr w:type="gramStart"/>
      <w:r w:rsidR="00736F7F" w:rsidRPr="00A148F1">
        <w:rPr>
          <w:rFonts w:ascii="Times New Roman" w:hAnsi="Times New Roman" w:cs="Times New Roman"/>
          <w:bCs/>
          <w:sz w:val="24"/>
          <w:szCs w:val="24"/>
        </w:rPr>
        <w:t>cms</w:t>
      </w:r>
      <w:proofErr w:type="spellEnd"/>
      <w:proofErr w:type="gramEnd"/>
      <w:r w:rsidR="00736F7F" w:rsidRPr="00A148F1">
        <w:rPr>
          <w:rFonts w:ascii="Times New Roman" w:hAnsi="Times New Roman" w:cs="Times New Roman"/>
          <w:bCs/>
          <w:sz w:val="24"/>
          <w:szCs w:val="24"/>
        </w:rPr>
        <w:t>=</w:t>
      </w:r>
      <w:proofErr w:type="spellStart"/>
      <w:r w:rsidR="00736F7F" w:rsidRPr="00A148F1">
        <w:rPr>
          <w:rFonts w:ascii="Times New Roman" w:hAnsi="Times New Roman" w:cs="Times New Roman"/>
          <w:bCs/>
          <w:sz w:val="24"/>
          <w:szCs w:val="24"/>
        </w:rPr>
        <w:t>historia&amp;menu</w:t>
      </w:r>
      <w:proofErr w:type="spellEnd"/>
      <w:r w:rsidR="00736F7F" w:rsidRPr="00A148F1">
        <w:rPr>
          <w:rFonts w:ascii="Times New Roman" w:hAnsi="Times New Roman" w:cs="Times New Roman"/>
          <w:bCs/>
          <w:sz w:val="24"/>
          <w:szCs w:val="24"/>
        </w:rPr>
        <w:t>=5&gt;. Acesso em: 07 dez. 2015</w:t>
      </w:r>
      <w:r w:rsidR="006B0414" w:rsidRPr="00A148F1">
        <w:rPr>
          <w:rFonts w:ascii="Times New Roman" w:hAnsi="Times New Roman" w:cs="Times New Roman"/>
          <w:bCs/>
          <w:sz w:val="24"/>
          <w:szCs w:val="24"/>
        </w:rPr>
        <w:t>b</w:t>
      </w:r>
      <w:r w:rsidR="00736F7F" w:rsidRPr="00A148F1">
        <w:rPr>
          <w:rFonts w:ascii="Times New Roman" w:hAnsi="Times New Roman" w:cs="Times New Roman"/>
          <w:bCs/>
          <w:sz w:val="24"/>
          <w:szCs w:val="24"/>
        </w:rPr>
        <w:t>.</w:t>
      </w:r>
    </w:p>
    <w:p w:rsidR="008A1AC4" w:rsidRPr="00A148F1" w:rsidRDefault="00895FE5" w:rsidP="00FA4C99">
      <w:pPr>
        <w:spacing w:before="120" w:after="120" w:line="240" w:lineRule="auto"/>
        <w:rPr>
          <w:rFonts w:ascii="Times New Roman" w:hAnsi="Times New Roman" w:cs="Times New Roman"/>
          <w:bCs/>
          <w:sz w:val="24"/>
          <w:szCs w:val="24"/>
        </w:rPr>
      </w:pPr>
      <w:r w:rsidRPr="00A148F1">
        <w:rPr>
          <w:rFonts w:ascii="Times New Roman" w:hAnsi="Times New Roman" w:cs="Times New Roman"/>
          <w:bCs/>
          <w:sz w:val="24"/>
          <w:szCs w:val="24"/>
        </w:rPr>
        <w:t xml:space="preserve">PNUD </w:t>
      </w:r>
      <w:r w:rsidR="009F0398" w:rsidRPr="00A148F1">
        <w:rPr>
          <w:rFonts w:ascii="Times New Roman" w:hAnsi="Times New Roman" w:cs="Times New Roman"/>
          <w:bCs/>
          <w:sz w:val="24"/>
          <w:szCs w:val="24"/>
        </w:rPr>
        <w:t>–</w:t>
      </w:r>
      <w:r w:rsidR="00E976D2" w:rsidRPr="00A148F1">
        <w:rPr>
          <w:rFonts w:ascii="Times New Roman" w:hAnsi="Times New Roman" w:cs="Times New Roman"/>
          <w:bCs/>
          <w:sz w:val="24"/>
          <w:szCs w:val="24"/>
        </w:rPr>
        <w:t xml:space="preserve"> Programa das Nações Unidas para o Desenvolvimento. </w:t>
      </w:r>
      <w:r w:rsidR="00E976D2" w:rsidRPr="00A148F1">
        <w:rPr>
          <w:rFonts w:ascii="Times New Roman" w:hAnsi="Times New Roman" w:cs="Times New Roman"/>
          <w:b/>
          <w:bCs/>
          <w:sz w:val="24"/>
          <w:szCs w:val="24"/>
        </w:rPr>
        <w:t>Atlas do desenvolvi</w:t>
      </w:r>
      <w:r w:rsidR="009A0D93" w:rsidRPr="00A148F1">
        <w:rPr>
          <w:rFonts w:ascii="Times New Roman" w:hAnsi="Times New Roman" w:cs="Times New Roman"/>
          <w:b/>
          <w:bCs/>
          <w:sz w:val="24"/>
          <w:szCs w:val="24"/>
        </w:rPr>
        <w:t>mento humano no Brasil 2013</w:t>
      </w:r>
      <w:r w:rsidR="009A0D93" w:rsidRPr="00A148F1">
        <w:rPr>
          <w:rFonts w:ascii="Times New Roman" w:hAnsi="Times New Roman" w:cs="Times New Roman"/>
          <w:bCs/>
          <w:sz w:val="24"/>
          <w:szCs w:val="24"/>
        </w:rPr>
        <w:t>.</w:t>
      </w:r>
      <w:r w:rsidR="009A0D93" w:rsidRPr="00A148F1">
        <w:rPr>
          <w:rFonts w:ascii="Times New Roman" w:hAnsi="Times New Roman" w:cs="Times New Roman"/>
          <w:b/>
          <w:bCs/>
          <w:sz w:val="24"/>
          <w:szCs w:val="24"/>
        </w:rPr>
        <w:t xml:space="preserve"> </w:t>
      </w:r>
      <w:r w:rsidR="009A0D93" w:rsidRPr="00A148F1">
        <w:rPr>
          <w:rFonts w:ascii="Times New Roman" w:hAnsi="Times New Roman" w:cs="Times New Roman"/>
          <w:bCs/>
          <w:sz w:val="24"/>
          <w:szCs w:val="24"/>
        </w:rPr>
        <w:t>Disponível em: &lt;http://www.pnud.org.br/atlas</w:t>
      </w:r>
      <w:r w:rsidR="00996C00" w:rsidRPr="00A148F1">
        <w:rPr>
          <w:rFonts w:ascii="Times New Roman" w:hAnsi="Times New Roman" w:cs="Times New Roman"/>
          <w:bCs/>
          <w:sz w:val="24"/>
          <w:szCs w:val="24"/>
        </w:rPr>
        <w:t xml:space="preserve"> </w:t>
      </w:r>
      <w:r w:rsidR="009A0D93" w:rsidRPr="00A148F1">
        <w:rPr>
          <w:rFonts w:ascii="Times New Roman" w:hAnsi="Times New Roman" w:cs="Times New Roman"/>
          <w:bCs/>
          <w:sz w:val="24"/>
          <w:szCs w:val="24"/>
        </w:rPr>
        <w:t>/ranking/Ranking-IDHM-Municipios-</w:t>
      </w:r>
      <w:proofErr w:type="gramStart"/>
      <w:r w:rsidR="009A0D93" w:rsidRPr="00A148F1">
        <w:rPr>
          <w:rFonts w:ascii="Times New Roman" w:hAnsi="Times New Roman" w:cs="Times New Roman"/>
          <w:bCs/>
          <w:sz w:val="24"/>
          <w:szCs w:val="24"/>
        </w:rPr>
        <w:t>2010.</w:t>
      </w:r>
      <w:proofErr w:type="gramEnd"/>
      <w:r w:rsidR="009A0D93" w:rsidRPr="00A148F1">
        <w:rPr>
          <w:rFonts w:ascii="Times New Roman" w:hAnsi="Times New Roman" w:cs="Times New Roman"/>
          <w:bCs/>
          <w:sz w:val="24"/>
          <w:szCs w:val="24"/>
        </w:rPr>
        <w:t>aspx&gt;. Acesso em: 08 dez</w:t>
      </w:r>
      <w:r w:rsidRPr="00A148F1">
        <w:rPr>
          <w:rFonts w:ascii="Times New Roman" w:hAnsi="Times New Roman" w:cs="Times New Roman"/>
          <w:bCs/>
          <w:sz w:val="24"/>
          <w:szCs w:val="24"/>
        </w:rPr>
        <w:t>.</w:t>
      </w:r>
      <w:r w:rsidR="009A0D93" w:rsidRPr="00A148F1">
        <w:rPr>
          <w:rFonts w:ascii="Times New Roman" w:hAnsi="Times New Roman" w:cs="Times New Roman"/>
          <w:bCs/>
          <w:sz w:val="24"/>
          <w:szCs w:val="24"/>
        </w:rPr>
        <w:t xml:space="preserve"> 2015.</w:t>
      </w:r>
    </w:p>
    <w:p w:rsidR="00CD1D0A" w:rsidRPr="00A148F1" w:rsidRDefault="00CD1D0A" w:rsidP="00FA4C99">
      <w:pPr>
        <w:spacing w:before="120" w:after="120" w:line="240" w:lineRule="auto"/>
        <w:rPr>
          <w:rFonts w:ascii="Times New Roman" w:hAnsi="Times New Roman" w:cs="Times New Roman"/>
          <w:sz w:val="24"/>
          <w:szCs w:val="24"/>
        </w:rPr>
      </w:pPr>
      <w:r w:rsidRPr="00A148F1">
        <w:rPr>
          <w:rFonts w:ascii="Times New Roman" w:hAnsi="Times New Roman" w:cs="Times New Roman"/>
          <w:sz w:val="24"/>
          <w:szCs w:val="24"/>
        </w:rPr>
        <w:t xml:space="preserve">RAUPP, Fabiano Maury; BEUREN, </w:t>
      </w:r>
      <w:proofErr w:type="spellStart"/>
      <w:r w:rsidRPr="00A148F1">
        <w:rPr>
          <w:rFonts w:ascii="Times New Roman" w:hAnsi="Times New Roman" w:cs="Times New Roman"/>
          <w:sz w:val="24"/>
          <w:szCs w:val="24"/>
        </w:rPr>
        <w:t>Ilse</w:t>
      </w:r>
      <w:proofErr w:type="spellEnd"/>
      <w:r w:rsidRPr="00A148F1">
        <w:rPr>
          <w:rFonts w:ascii="Times New Roman" w:hAnsi="Times New Roman" w:cs="Times New Roman"/>
          <w:sz w:val="24"/>
          <w:szCs w:val="24"/>
        </w:rPr>
        <w:t xml:space="preserve"> Maria.</w:t>
      </w:r>
      <w:r w:rsidRPr="00A148F1">
        <w:rPr>
          <w:rStyle w:val="apple-converted-space"/>
          <w:rFonts w:ascii="Times New Roman" w:hAnsi="Times New Roman" w:cs="Times New Roman"/>
          <w:sz w:val="24"/>
          <w:szCs w:val="24"/>
        </w:rPr>
        <w:t> </w:t>
      </w:r>
      <w:r w:rsidRPr="00A148F1">
        <w:rPr>
          <w:rFonts w:ascii="Times New Roman" w:hAnsi="Times New Roman" w:cs="Times New Roman"/>
          <w:b/>
          <w:bCs/>
          <w:sz w:val="24"/>
          <w:szCs w:val="24"/>
        </w:rPr>
        <w:t>Como elaborar trabalhos monográficos em contabilidade</w:t>
      </w:r>
      <w:r w:rsidRPr="00A148F1">
        <w:rPr>
          <w:rFonts w:ascii="Times New Roman" w:hAnsi="Times New Roman" w:cs="Times New Roman"/>
          <w:bCs/>
          <w:sz w:val="24"/>
          <w:szCs w:val="24"/>
        </w:rPr>
        <w:t>:</w:t>
      </w:r>
      <w:r w:rsidRPr="00A148F1">
        <w:rPr>
          <w:rStyle w:val="apple-converted-space"/>
          <w:rFonts w:ascii="Times New Roman" w:hAnsi="Times New Roman" w:cs="Times New Roman"/>
          <w:b/>
          <w:bCs/>
          <w:sz w:val="24"/>
          <w:szCs w:val="24"/>
        </w:rPr>
        <w:t> </w:t>
      </w:r>
      <w:r w:rsidRPr="00A148F1">
        <w:rPr>
          <w:rFonts w:ascii="Times New Roman" w:hAnsi="Times New Roman" w:cs="Times New Roman"/>
          <w:sz w:val="24"/>
          <w:szCs w:val="24"/>
        </w:rPr>
        <w:t>teoria e prática.</w:t>
      </w:r>
      <w:r w:rsidRPr="00A148F1">
        <w:rPr>
          <w:rStyle w:val="apple-converted-space"/>
          <w:rFonts w:ascii="Times New Roman" w:hAnsi="Times New Roman" w:cs="Times New Roman"/>
          <w:sz w:val="24"/>
          <w:szCs w:val="24"/>
        </w:rPr>
        <w:t> </w:t>
      </w:r>
      <w:proofErr w:type="gramStart"/>
      <w:r w:rsidRPr="00A148F1">
        <w:rPr>
          <w:rFonts w:ascii="Times New Roman" w:hAnsi="Times New Roman" w:cs="Times New Roman"/>
          <w:sz w:val="24"/>
          <w:szCs w:val="24"/>
        </w:rPr>
        <w:t>2</w:t>
      </w:r>
      <w:proofErr w:type="gramEnd"/>
      <w:r w:rsidRPr="00A148F1">
        <w:rPr>
          <w:rFonts w:ascii="Times New Roman" w:hAnsi="Times New Roman" w:cs="Times New Roman"/>
          <w:sz w:val="24"/>
          <w:szCs w:val="24"/>
        </w:rPr>
        <w:t xml:space="preserve">. </w:t>
      </w:r>
      <w:proofErr w:type="gramStart"/>
      <w:r w:rsidRPr="00A148F1">
        <w:rPr>
          <w:rFonts w:ascii="Times New Roman" w:hAnsi="Times New Roman" w:cs="Times New Roman"/>
          <w:sz w:val="24"/>
          <w:szCs w:val="24"/>
        </w:rPr>
        <w:t>ed.</w:t>
      </w:r>
      <w:proofErr w:type="gramEnd"/>
      <w:r w:rsidRPr="00A148F1">
        <w:rPr>
          <w:rFonts w:ascii="Times New Roman" w:hAnsi="Times New Roman" w:cs="Times New Roman"/>
          <w:sz w:val="24"/>
          <w:szCs w:val="24"/>
        </w:rPr>
        <w:t xml:space="preserve"> São Paulo: Atlas, 2004.</w:t>
      </w:r>
    </w:p>
    <w:p w:rsidR="00CD1D0A" w:rsidRPr="00A148F1" w:rsidRDefault="00CD1D0A" w:rsidP="00FA4C99">
      <w:pPr>
        <w:spacing w:before="120" w:after="120" w:line="240" w:lineRule="auto"/>
        <w:rPr>
          <w:rFonts w:ascii="Times New Roman" w:hAnsi="Times New Roman" w:cs="Times New Roman"/>
          <w:sz w:val="24"/>
          <w:szCs w:val="24"/>
        </w:rPr>
      </w:pPr>
      <w:r w:rsidRPr="00A148F1">
        <w:rPr>
          <w:rFonts w:ascii="Times New Roman" w:hAnsi="Times New Roman" w:cs="Times New Roman"/>
          <w:sz w:val="24"/>
          <w:szCs w:val="24"/>
        </w:rPr>
        <w:t xml:space="preserve">REZENDE, Camila Schmitt. </w:t>
      </w:r>
      <w:r w:rsidRPr="00A148F1">
        <w:rPr>
          <w:rFonts w:ascii="Times New Roman" w:hAnsi="Times New Roman" w:cs="Times New Roman"/>
          <w:b/>
          <w:bCs/>
          <w:sz w:val="24"/>
          <w:szCs w:val="24"/>
        </w:rPr>
        <w:t>Despesas com a função saúde no Município de Florianópolis, no período de 2004 a 2008</w:t>
      </w:r>
      <w:r w:rsidRPr="00A148F1">
        <w:rPr>
          <w:rFonts w:ascii="Times New Roman" w:hAnsi="Times New Roman" w:cs="Times New Roman"/>
          <w:sz w:val="24"/>
          <w:szCs w:val="24"/>
        </w:rPr>
        <w:t>. Monografia de Graduação em Ciências Contábeis da Universidade Federal de Santa Catarina. Florianópolis, 2009.</w:t>
      </w:r>
    </w:p>
    <w:p w:rsidR="003159A5" w:rsidRPr="00A148F1" w:rsidRDefault="003159A5" w:rsidP="00FA4C99">
      <w:pPr>
        <w:spacing w:before="120" w:after="120" w:line="240" w:lineRule="auto"/>
        <w:rPr>
          <w:rFonts w:ascii="Times New Roman" w:hAnsi="Times New Roman" w:cs="Times New Roman"/>
          <w:bCs/>
          <w:sz w:val="24"/>
          <w:szCs w:val="24"/>
        </w:rPr>
      </w:pPr>
      <w:r w:rsidRPr="00A148F1">
        <w:rPr>
          <w:rFonts w:ascii="Times New Roman" w:hAnsi="Times New Roman" w:cs="Times New Roman"/>
          <w:bCs/>
          <w:sz w:val="24"/>
          <w:szCs w:val="24"/>
        </w:rPr>
        <w:t xml:space="preserve">SANTOS, </w:t>
      </w:r>
      <w:proofErr w:type="spellStart"/>
      <w:r w:rsidRPr="00A148F1">
        <w:rPr>
          <w:rFonts w:ascii="Times New Roman" w:hAnsi="Times New Roman" w:cs="Times New Roman"/>
          <w:bCs/>
          <w:sz w:val="24"/>
          <w:szCs w:val="24"/>
        </w:rPr>
        <w:t>Grazielle</w:t>
      </w:r>
      <w:proofErr w:type="spellEnd"/>
      <w:r w:rsidRPr="00A148F1">
        <w:rPr>
          <w:rFonts w:ascii="Times New Roman" w:hAnsi="Times New Roman" w:cs="Times New Roman"/>
          <w:bCs/>
          <w:sz w:val="24"/>
          <w:szCs w:val="24"/>
        </w:rPr>
        <w:t xml:space="preserve"> Souza dos; Cruz Flávio </w:t>
      </w:r>
      <w:proofErr w:type="gramStart"/>
      <w:r w:rsidRPr="00A148F1">
        <w:rPr>
          <w:rFonts w:ascii="Times New Roman" w:hAnsi="Times New Roman" w:cs="Times New Roman"/>
          <w:bCs/>
          <w:sz w:val="24"/>
          <w:szCs w:val="24"/>
        </w:rPr>
        <w:t>da.</w:t>
      </w:r>
      <w:proofErr w:type="gramEnd"/>
      <w:r w:rsidRPr="00A148F1">
        <w:rPr>
          <w:rFonts w:ascii="Times New Roman" w:hAnsi="Times New Roman" w:cs="Times New Roman"/>
          <w:bCs/>
          <w:sz w:val="24"/>
          <w:szCs w:val="24"/>
        </w:rPr>
        <w:t xml:space="preserve"> </w:t>
      </w:r>
      <w:r w:rsidRPr="00A148F1">
        <w:rPr>
          <w:rFonts w:ascii="Times New Roman" w:hAnsi="Times New Roman" w:cs="Times New Roman"/>
          <w:b/>
          <w:bCs/>
          <w:sz w:val="24"/>
          <w:szCs w:val="24"/>
        </w:rPr>
        <w:t>Investigação da função Saúde no Município de São José (SC), no período de 2004 a 2008</w:t>
      </w:r>
      <w:r w:rsidRPr="00A148F1">
        <w:rPr>
          <w:rFonts w:ascii="Times New Roman" w:hAnsi="Times New Roman" w:cs="Times New Roman"/>
          <w:bCs/>
          <w:sz w:val="24"/>
          <w:szCs w:val="24"/>
        </w:rPr>
        <w:t xml:space="preserve">. Artigo Apresentado no 4º </w:t>
      </w:r>
      <w:r w:rsidRPr="00A148F1">
        <w:rPr>
          <w:rFonts w:ascii="Times New Roman" w:hAnsi="Times New Roman" w:cs="Times New Roman"/>
          <w:bCs/>
          <w:sz w:val="24"/>
          <w:szCs w:val="24"/>
        </w:rPr>
        <w:lastRenderedPageBreak/>
        <w:t>Congresso UFSC de Controladoria e Finanças e do 4º Congresso UFSC de Iniciação Científica em Contabilidade. Florianópolis, 2011.</w:t>
      </w:r>
    </w:p>
    <w:p w:rsidR="00702E94" w:rsidRPr="00A148F1" w:rsidRDefault="00702E94" w:rsidP="00FA4C99">
      <w:pPr>
        <w:spacing w:before="120" w:after="120" w:line="240" w:lineRule="auto"/>
        <w:rPr>
          <w:rStyle w:val="apple-converted-space"/>
          <w:rFonts w:ascii="Times New Roman" w:hAnsi="Times New Roman" w:cs="Times New Roman"/>
          <w:sz w:val="24"/>
          <w:szCs w:val="24"/>
        </w:rPr>
      </w:pPr>
      <w:r w:rsidRPr="00A148F1">
        <w:rPr>
          <w:rFonts w:ascii="Times New Roman" w:hAnsi="Times New Roman" w:cs="Times New Roman"/>
          <w:sz w:val="24"/>
          <w:szCs w:val="24"/>
        </w:rPr>
        <w:t xml:space="preserve">SILVA, Lino Martins </w:t>
      </w:r>
      <w:proofErr w:type="gramStart"/>
      <w:r w:rsidRPr="00A148F1">
        <w:rPr>
          <w:rFonts w:ascii="Times New Roman" w:hAnsi="Times New Roman" w:cs="Times New Roman"/>
          <w:sz w:val="24"/>
          <w:szCs w:val="24"/>
        </w:rPr>
        <w:t>da.</w:t>
      </w:r>
      <w:proofErr w:type="gramEnd"/>
      <w:r w:rsidRPr="00A148F1">
        <w:rPr>
          <w:rStyle w:val="apple-converted-space"/>
          <w:rFonts w:ascii="Times New Roman" w:hAnsi="Times New Roman" w:cs="Times New Roman"/>
          <w:sz w:val="24"/>
          <w:szCs w:val="24"/>
        </w:rPr>
        <w:t> </w:t>
      </w:r>
      <w:r w:rsidR="003959A0" w:rsidRPr="00A148F1">
        <w:rPr>
          <w:rFonts w:ascii="Times New Roman" w:hAnsi="Times New Roman" w:cs="Times New Roman"/>
          <w:b/>
          <w:bCs/>
          <w:sz w:val="24"/>
          <w:szCs w:val="24"/>
        </w:rPr>
        <w:t>Contabilidade G</w:t>
      </w:r>
      <w:r w:rsidRPr="00A148F1">
        <w:rPr>
          <w:rFonts w:ascii="Times New Roman" w:hAnsi="Times New Roman" w:cs="Times New Roman"/>
          <w:b/>
          <w:bCs/>
          <w:sz w:val="24"/>
          <w:szCs w:val="24"/>
        </w:rPr>
        <w:t>overnamental</w:t>
      </w:r>
      <w:r w:rsidRPr="00A148F1">
        <w:rPr>
          <w:rFonts w:ascii="Times New Roman" w:hAnsi="Times New Roman" w:cs="Times New Roman"/>
          <w:bCs/>
          <w:sz w:val="24"/>
          <w:szCs w:val="24"/>
        </w:rPr>
        <w:t>:</w:t>
      </w:r>
      <w:r w:rsidRPr="00A148F1">
        <w:rPr>
          <w:rStyle w:val="apple-converted-space"/>
          <w:rFonts w:ascii="Times New Roman" w:hAnsi="Times New Roman" w:cs="Times New Roman"/>
          <w:b/>
          <w:bCs/>
          <w:sz w:val="24"/>
          <w:szCs w:val="24"/>
        </w:rPr>
        <w:t> </w:t>
      </w:r>
      <w:r w:rsidRPr="00A148F1">
        <w:rPr>
          <w:rFonts w:ascii="Times New Roman" w:hAnsi="Times New Roman" w:cs="Times New Roman"/>
          <w:sz w:val="24"/>
          <w:szCs w:val="24"/>
        </w:rPr>
        <w:t>um enfoque administrativo da nova contabilidade pública.</w:t>
      </w:r>
      <w:r w:rsidRPr="00A148F1">
        <w:rPr>
          <w:rStyle w:val="apple-converted-space"/>
          <w:rFonts w:ascii="Times New Roman" w:hAnsi="Times New Roman" w:cs="Times New Roman"/>
          <w:sz w:val="24"/>
          <w:szCs w:val="24"/>
        </w:rPr>
        <w:t> </w:t>
      </w:r>
      <w:r w:rsidRPr="00A148F1">
        <w:rPr>
          <w:rFonts w:ascii="Times New Roman" w:hAnsi="Times New Roman" w:cs="Times New Roman"/>
          <w:sz w:val="24"/>
          <w:szCs w:val="24"/>
        </w:rPr>
        <w:t xml:space="preserve">9. </w:t>
      </w:r>
      <w:proofErr w:type="gramStart"/>
      <w:r w:rsidRPr="00A148F1">
        <w:rPr>
          <w:rFonts w:ascii="Times New Roman" w:hAnsi="Times New Roman" w:cs="Times New Roman"/>
          <w:sz w:val="24"/>
          <w:szCs w:val="24"/>
        </w:rPr>
        <w:t>ed.</w:t>
      </w:r>
      <w:proofErr w:type="gramEnd"/>
      <w:r w:rsidRPr="00A148F1">
        <w:rPr>
          <w:rFonts w:ascii="Times New Roman" w:hAnsi="Times New Roman" w:cs="Times New Roman"/>
          <w:sz w:val="24"/>
          <w:szCs w:val="24"/>
        </w:rPr>
        <w:t xml:space="preserve"> São Paulo: Atlas, 2011.</w:t>
      </w:r>
    </w:p>
    <w:p w:rsidR="008C7287" w:rsidRPr="00A148F1" w:rsidRDefault="008C7287" w:rsidP="00FA4C99">
      <w:pPr>
        <w:spacing w:before="120" w:after="120" w:line="240" w:lineRule="auto"/>
        <w:rPr>
          <w:rStyle w:val="apple-converted-space"/>
          <w:rFonts w:ascii="Times New Roman" w:hAnsi="Times New Roman" w:cs="Times New Roman"/>
          <w:bCs/>
          <w:sz w:val="24"/>
          <w:szCs w:val="24"/>
        </w:rPr>
      </w:pPr>
      <w:r w:rsidRPr="00A148F1">
        <w:rPr>
          <w:rFonts w:ascii="Times New Roman" w:hAnsi="Times New Roman" w:cs="Times New Roman"/>
          <w:bCs/>
          <w:sz w:val="24"/>
          <w:szCs w:val="24"/>
        </w:rPr>
        <w:t xml:space="preserve">SILVA, Mauricio Corrêa da; MACIEL, João </w:t>
      </w:r>
      <w:proofErr w:type="spellStart"/>
      <w:r w:rsidRPr="00A148F1">
        <w:rPr>
          <w:rFonts w:ascii="Times New Roman" w:hAnsi="Times New Roman" w:cs="Times New Roman"/>
          <w:bCs/>
          <w:sz w:val="24"/>
          <w:szCs w:val="24"/>
        </w:rPr>
        <w:t>Halberto</w:t>
      </w:r>
      <w:proofErr w:type="spellEnd"/>
      <w:r w:rsidRPr="00A148F1">
        <w:rPr>
          <w:rFonts w:ascii="Times New Roman" w:hAnsi="Times New Roman" w:cs="Times New Roman"/>
          <w:bCs/>
          <w:sz w:val="24"/>
          <w:szCs w:val="24"/>
        </w:rPr>
        <w:t xml:space="preserve"> </w:t>
      </w:r>
      <w:proofErr w:type="spellStart"/>
      <w:r w:rsidRPr="00A148F1">
        <w:rPr>
          <w:rFonts w:ascii="Times New Roman" w:hAnsi="Times New Roman" w:cs="Times New Roman"/>
          <w:bCs/>
          <w:sz w:val="24"/>
          <w:szCs w:val="24"/>
        </w:rPr>
        <w:t>Balduino</w:t>
      </w:r>
      <w:proofErr w:type="spellEnd"/>
      <w:r w:rsidRPr="00A148F1">
        <w:rPr>
          <w:rFonts w:ascii="Times New Roman" w:hAnsi="Times New Roman" w:cs="Times New Roman"/>
          <w:bCs/>
          <w:sz w:val="24"/>
          <w:szCs w:val="24"/>
        </w:rPr>
        <w:t xml:space="preserve">; CHACON, Márcia </w:t>
      </w:r>
      <w:proofErr w:type="spellStart"/>
      <w:r w:rsidRPr="00A148F1">
        <w:rPr>
          <w:rFonts w:ascii="Times New Roman" w:hAnsi="Times New Roman" w:cs="Times New Roman"/>
          <w:bCs/>
          <w:sz w:val="24"/>
          <w:szCs w:val="24"/>
        </w:rPr>
        <w:t>Josiene</w:t>
      </w:r>
      <w:proofErr w:type="spellEnd"/>
      <w:r w:rsidRPr="00A148F1">
        <w:rPr>
          <w:rFonts w:ascii="Times New Roman" w:hAnsi="Times New Roman" w:cs="Times New Roman"/>
          <w:bCs/>
          <w:sz w:val="24"/>
          <w:szCs w:val="24"/>
        </w:rPr>
        <w:t xml:space="preserve"> Monteiro; ARAUJO, </w:t>
      </w:r>
      <w:proofErr w:type="spellStart"/>
      <w:r w:rsidRPr="00A148F1">
        <w:rPr>
          <w:rFonts w:ascii="Times New Roman" w:hAnsi="Times New Roman" w:cs="Times New Roman"/>
          <w:bCs/>
          <w:sz w:val="24"/>
          <w:szCs w:val="24"/>
        </w:rPr>
        <w:t>Aneide</w:t>
      </w:r>
      <w:proofErr w:type="spellEnd"/>
      <w:r w:rsidRPr="00A148F1">
        <w:rPr>
          <w:rFonts w:ascii="Times New Roman" w:hAnsi="Times New Roman" w:cs="Times New Roman"/>
          <w:bCs/>
          <w:sz w:val="24"/>
          <w:szCs w:val="24"/>
        </w:rPr>
        <w:t xml:space="preserve"> Oliveira. </w:t>
      </w:r>
      <w:r w:rsidRPr="00A148F1">
        <w:rPr>
          <w:rFonts w:ascii="Times New Roman" w:hAnsi="Times New Roman" w:cs="Times New Roman"/>
          <w:b/>
          <w:bCs/>
          <w:sz w:val="24"/>
          <w:szCs w:val="24"/>
        </w:rPr>
        <w:t>Gastos com Saúde: uma análise do cumprimento da Emenda Constitucional n.º 29/2000 pelos 100 municípios brasileiros mais populosos, no período de 2000 a 2008</w:t>
      </w:r>
      <w:r w:rsidRPr="00A148F1">
        <w:rPr>
          <w:rFonts w:ascii="Times New Roman" w:hAnsi="Times New Roman" w:cs="Times New Roman"/>
          <w:bCs/>
          <w:sz w:val="24"/>
          <w:szCs w:val="24"/>
        </w:rPr>
        <w:t>.</w:t>
      </w:r>
      <w:r w:rsidRPr="00A148F1">
        <w:rPr>
          <w:rFonts w:ascii="Times New Roman" w:hAnsi="Times New Roman" w:cs="Times New Roman"/>
          <w:b/>
          <w:bCs/>
          <w:sz w:val="24"/>
          <w:szCs w:val="24"/>
        </w:rPr>
        <w:t xml:space="preserve"> </w:t>
      </w:r>
      <w:r w:rsidRPr="00A148F1">
        <w:rPr>
          <w:rFonts w:ascii="Times New Roman" w:hAnsi="Times New Roman" w:cs="Times New Roman"/>
          <w:bCs/>
          <w:sz w:val="24"/>
          <w:szCs w:val="24"/>
        </w:rPr>
        <w:t>Revista de Administração, Contabilidade e Sustentabilidade, v. 2, n.º 1, 2012. Disponível em</w:t>
      </w:r>
      <w:r w:rsidR="00996C00" w:rsidRPr="00A148F1">
        <w:rPr>
          <w:rFonts w:ascii="Times New Roman" w:hAnsi="Times New Roman" w:cs="Times New Roman"/>
          <w:bCs/>
          <w:sz w:val="24"/>
          <w:szCs w:val="24"/>
        </w:rPr>
        <w:t>:</w:t>
      </w:r>
      <w:r w:rsidRPr="00A148F1">
        <w:rPr>
          <w:rFonts w:ascii="Times New Roman" w:hAnsi="Times New Roman" w:cs="Times New Roman"/>
          <w:bCs/>
          <w:sz w:val="24"/>
          <w:szCs w:val="24"/>
        </w:rPr>
        <w:t xml:space="preserve"> &lt;http://revistas.ufcg.edu.br/reunir/index.</w:t>
      </w:r>
      <w:r w:rsidR="00996C00" w:rsidRPr="00A148F1">
        <w:rPr>
          <w:rFonts w:ascii="Times New Roman" w:hAnsi="Times New Roman" w:cs="Times New Roman"/>
          <w:bCs/>
          <w:sz w:val="24"/>
          <w:szCs w:val="24"/>
        </w:rPr>
        <w:t xml:space="preserve"> </w:t>
      </w:r>
      <w:proofErr w:type="spellStart"/>
      <w:proofErr w:type="gramStart"/>
      <w:r w:rsidRPr="00A148F1">
        <w:rPr>
          <w:rFonts w:ascii="Times New Roman" w:hAnsi="Times New Roman" w:cs="Times New Roman"/>
          <w:bCs/>
          <w:sz w:val="24"/>
          <w:szCs w:val="24"/>
        </w:rPr>
        <w:t>php</w:t>
      </w:r>
      <w:proofErr w:type="spellEnd"/>
      <w:proofErr w:type="gramEnd"/>
      <w:r w:rsidRPr="00A148F1">
        <w:rPr>
          <w:rFonts w:ascii="Times New Roman" w:hAnsi="Times New Roman" w:cs="Times New Roman"/>
          <w:bCs/>
          <w:sz w:val="24"/>
          <w:szCs w:val="24"/>
        </w:rPr>
        <w:t>/</w:t>
      </w:r>
      <w:proofErr w:type="spellStart"/>
      <w:r w:rsidRPr="00A148F1">
        <w:rPr>
          <w:rFonts w:ascii="Times New Roman" w:hAnsi="Times New Roman" w:cs="Times New Roman"/>
          <w:bCs/>
          <w:sz w:val="24"/>
          <w:szCs w:val="24"/>
        </w:rPr>
        <w:t>uacc</w:t>
      </w:r>
      <w:proofErr w:type="spellEnd"/>
      <w:r w:rsidRPr="00A148F1">
        <w:rPr>
          <w:rFonts w:ascii="Times New Roman" w:hAnsi="Times New Roman" w:cs="Times New Roman"/>
          <w:bCs/>
          <w:sz w:val="24"/>
          <w:szCs w:val="24"/>
        </w:rPr>
        <w:t>/</w:t>
      </w:r>
      <w:proofErr w:type="spellStart"/>
      <w:r w:rsidRPr="00A148F1">
        <w:rPr>
          <w:rFonts w:ascii="Times New Roman" w:hAnsi="Times New Roman" w:cs="Times New Roman"/>
          <w:bCs/>
          <w:sz w:val="24"/>
          <w:szCs w:val="24"/>
        </w:rPr>
        <w:t>article</w:t>
      </w:r>
      <w:proofErr w:type="spellEnd"/>
      <w:r w:rsidRPr="00A148F1">
        <w:rPr>
          <w:rFonts w:ascii="Times New Roman" w:hAnsi="Times New Roman" w:cs="Times New Roman"/>
          <w:bCs/>
          <w:sz w:val="24"/>
          <w:szCs w:val="24"/>
        </w:rPr>
        <w:t>/</w:t>
      </w:r>
      <w:proofErr w:type="spellStart"/>
      <w:r w:rsidRPr="00A148F1">
        <w:rPr>
          <w:rFonts w:ascii="Times New Roman" w:hAnsi="Times New Roman" w:cs="Times New Roman"/>
          <w:bCs/>
          <w:sz w:val="24"/>
          <w:szCs w:val="24"/>
        </w:rPr>
        <w:t>view</w:t>
      </w:r>
      <w:proofErr w:type="spellEnd"/>
      <w:r w:rsidRPr="00A148F1">
        <w:rPr>
          <w:rFonts w:ascii="Times New Roman" w:hAnsi="Times New Roman" w:cs="Times New Roman"/>
          <w:bCs/>
          <w:sz w:val="24"/>
          <w:szCs w:val="24"/>
        </w:rPr>
        <w:t>/ 31/</w:t>
      </w:r>
      <w:proofErr w:type="spellStart"/>
      <w:r w:rsidRPr="00A148F1">
        <w:rPr>
          <w:rFonts w:ascii="Times New Roman" w:hAnsi="Times New Roman" w:cs="Times New Roman"/>
          <w:bCs/>
          <w:sz w:val="24"/>
          <w:szCs w:val="24"/>
        </w:rPr>
        <w:t>pdf</w:t>
      </w:r>
      <w:proofErr w:type="spellEnd"/>
      <w:r w:rsidRPr="00A148F1">
        <w:rPr>
          <w:rFonts w:ascii="Times New Roman" w:hAnsi="Times New Roman" w:cs="Times New Roman"/>
          <w:bCs/>
          <w:sz w:val="24"/>
          <w:szCs w:val="24"/>
        </w:rPr>
        <w:t>&gt;. Acesso em: 28 abr. 2016.</w:t>
      </w:r>
    </w:p>
    <w:p w:rsidR="0001486E" w:rsidRPr="00A148F1" w:rsidRDefault="0001486E" w:rsidP="00FA4C99">
      <w:pPr>
        <w:spacing w:before="120" w:after="120" w:line="240" w:lineRule="auto"/>
        <w:rPr>
          <w:rFonts w:ascii="Times New Roman" w:hAnsi="Times New Roman" w:cs="Times New Roman"/>
          <w:sz w:val="24"/>
          <w:szCs w:val="24"/>
        </w:rPr>
      </w:pPr>
      <w:r w:rsidRPr="00A148F1">
        <w:rPr>
          <w:rFonts w:ascii="Times New Roman" w:hAnsi="Times New Roman" w:cs="Times New Roman"/>
          <w:sz w:val="24"/>
          <w:szCs w:val="24"/>
        </w:rPr>
        <w:t xml:space="preserve">SANTANA, Grace </w:t>
      </w:r>
      <w:proofErr w:type="spellStart"/>
      <w:r w:rsidRPr="00A148F1">
        <w:rPr>
          <w:rFonts w:ascii="Times New Roman" w:hAnsi="Times New Roman" w:cs="Times New Roman"/>
          <w:sz w:val="24"/>
          <w:szCs w:val="24"/>
        </w:rPr>
        <w:t>Stéphanie</w:t>
      </w:r>
      <w:proofErr w:type="spellEnd"/>
      <w:r w:rsidRPr="00A148F1">
        <w:rPr>
          <w:rFonts w:ascii="Times New Roman" w:hAnsi="Times New Roman" w:cs="Times New Roman"/>
          <w:sz w:val="24"/>
          <w:szCs w:val="24"/>
        </w:rPr>
        <w:t xml:space="preserve"> Carvalho. </w:t>
      </w:r>
      <w:r w:rsidRPr="00A148F1">
        <w:rPr>
          <w:rFonts w:ascii="Times New Roman" w:hAnsi="Times New Roman" w:cs="Times New Roman"/>
          <w:b/>
          <w:sz w:val="24"/>
          <w:szCs w:val="24"/>
        </w:rPr>
        <w:t>A fiscalização exercida pelo TCM quanto à aplicação do percentual mínimo constitucional na saúde</w:t>
      </w:r>
      <w:r w:rsidRPr="00A148F1">
        <w:rPr>
          <w:rFonts w:ascii="Times New Roman" w:hAnsi="Times New Roman" w:cs="Times New Roman"/>
          <w:sz w:val="24"/>
          <w:szCs w:val="24"/>
        </w:rPr>
        <w:t>. 2011. 94 f. Trabalho de Conclusão de Curso (Graduação) da Faculdade de Administração, Ciências Contábeis e Ciências Econômicas, Universidade Federal de Goiás, Goiânia, 2011.</w:t>
      </w:r>
    </w:p>
    <w:p w:rsidR="0001486E" w:rsidRPr="00A148F1" w:rsidRDefault="0001486E" w:rsidP="00FA4C99">
      <w:pPr>
        <w:spacing w:before="120" w:after="120" w:line="240" w:lineRule="auto"/>
        <w:rPr>
          <w:rFonts w:ascii="Times New Roman" w:hAnsi="Times New Roman" w:cs="Times New Roman"/>
          <w:sz w:val="24"/>
          <w:szCs w:val="24"/>
        </w:rPr>
      </w:pPr>
      <w:r w:rsidRPr="00A148F1">
        <w:rPr>
          <w:rFonts w:ascii="Times New Roman" w:hAnsi="Times New Roman" w:cs="Times New Roman"/>
          <w:sz w:val="24"/>
          <w:szCs w:val="24"/>
        </w:rPr>
        <w:t>SCHWANCK, Gustavo Aguiar.</w:t>
      </w:r>
      <w:r w:rsidRPr="00A148F1">
        <w:rPr>
          <w:rFonts w:ascii="Times New Roman" w:hAnsi="Times New Roman" w:cs="Times New Roman"/>
          <w:b/>
          <w:sz w:val="24"/>
          <w:szCs w:val="24"/>
        </w:rPr>
        <w:t xml:space="preserve"> </w:t>
      </w:r>
      <w:r w:rsidR="00303D4A" w:rsidRPr="00A148F1">
        <w:rPr>
          <w:rFonts w:ascii="Times New Roman" w:hAnsi="Times New Roman" w:cs="Times New Roman"/>
          <w:b/>
          <w:sz w:val="24"/>
          <w:szCs w:val="24"/>
        </w:rPr>
        <w:t>Direito a Saúde Pública no Estado do Rio Grande do Sul: o (</w:t>
      </w:r>
      <w:proofErr w:type="spellStart"/>
      <w:r w:rsidR="00303D4A" w:rsidRPr="00A148F1">
        <w:rPr>
          <w:rFonts w:ascii="Times New Roman" w:hAnsi="Times New Roman" w:cs="Times New Roman"/>
          <w:b/>
          <w:sz w:val="24"/>
          <w:szCs w:val="24"/>
        </w:rPr>
        <w:t>des</w:t>
      </w:r>
      <w:proofErr w:type="spellEnd"/>
      <w:proofErr w:type="gramStart"/>
      <w:r w:rsidR="00303D4A" w:rsidRPr="00A148F1">
        <w:rPr>
          <w:rFonts w:ascii="Times New Roman" w:hAnsi="Times New Roman" w:cs="Times New Roman"/>
          <w:b/>
          <w:sz w:val="24"/>
          <w:szCs w:val="24"/>
        </w:rPr>
        <w:t>)cumprimento</w:t>
      </w:r>
      <w:proofErr w:type="gramEnd"/>
      <w:r w:rsidR="00303D4A" w:rsidRPr="00A148F1">
        <w:rPr>
          <w:rFonts w:ascii="Times New Roman" w:hAnsi="Times New Roman" w:cs="Times New Roman"/>
          <w:b/>
          <w:sz w:val="24"/>
          <w:szCs w:val="24"/>
        </w:rPr>
        <w:t xml:space="preserve"> da emenda constitucional n.º 29/2000 no período de 2006 a 2011</w:t>
      </w:r>
      <w:r w:rsidR="00303D4A" w:rsidRPr="00A148F1">
        <w:rPr>
          <w:rFonts w:ascii="Times New Roman" w:hAnsi="Times New Roman" w:cs="Times New Roman"/>
          <w:sz w:val="24"/>
          <w:szCs w:val="24"/>
        </w:rPr>
        <w:t>. Monografia de Graduação em Administração da Universidade Federal do Rio Grande do Sul. Porto alegre, 2012.</w:t>
      </w:r>
    </w:p>
    <w:p w:rsidR="00C95631" w:rsidRPr="00A148F1" w:rsidRDefault="00895FE5" w:rsidP="00FA4C99">
      <w:pPr>
        <w:spacing w:before="120" w:after="120" w:line="240" w:lineRule="auto"/>
        <w:rPr>
          <w:rFonts w:ascii="Times New Roman" w:hAnsi="Times New Roman" w:cs="Times New Roman"/>
          <w:bCs/>
          <w:sz w:val="24"/>
          <w:szCs w:val="24"/>
        </w:rPr>
      </w:pPr>
      <w:r w:rsidRPr="00A148F1">
        <w:rPr>
          <w:rFonts w:ascii="Times New Roman" w:hAnsi="Times New Roman" w:cs="Times New Roman"/>
          <w:bCs/>
          <w:sz w:val="24"/>
          <w:szCs w:val="24"/>
        </w:rPr>
        <w:t xml:space="preserve">STN </w:t>
      </w:r>
      <w:r w:rsidRPr="00A148F1">
        <w:rPr>
          <w:rFonts w:ascii="Times New Roman" w:hAnsi="Times New Roman" w:cs="Times New Roman"/>
          <w:bCs/>
          <w:sz w:val="24"/>
          <w:szCs w:val="24"/>
        </w:rPr>
        <w:softHyphen/>
      </w:r>
      <w:r w:rsidR="009F0398" w:rsidRPr="00A148F1">
        <w:rPr>
          <w:rFonts w:ascii="Times New Roman" w:hAnsi="Times New Roman" w:cs="Times New Roman"/>
          <w:bCs/>
          <w:sz w:val="24"/>
          <w:szCs w:val="24"/>
        </w:rPr>
        <w:t>–</w:t>
      </w:r>
      <w:r w:rsidR="00C95631" w:rsidRPr="00A148F1">
        <w:rPr>
          <w:rFonts w:ascii="Times New Roman" w:hAnsi="Times New Roman" w:cs="Times New Roman"/>
          <w:bCs/>
          <w:sz w:val="24"/>
          <w:szCs w:val="24"/>
        </w:rPr>
        <w:t xml:space="preserve"> Secretaria do Tesouro Nacional. </w:t>
      </w:r>
      <w:r w:rsidR="00C95631" w:rsidRPr="00A148F1">
        <w:rPr>
          <w:rFonts w:ascii="Times New Roman" w:hAnsi="Times New Roman" w:cs="Times New Roman"/>
          <w:b/>
          <w:bCs/>
          <w:sz w:val="24"/>
          <w:szCs w:val="24"/>
        </w:rPr>
        <w:t>Manual de Demonstrativos Fiscais (MDF)</w:t>
      </w:r>
      <w:r w:rsidR="00C95631" w:rsidRPr="00A148F1">
        <w:rPr>
          <w:rFonts w:ascii="Times New Roman" w:hAnsi="Times New Roman" w:cs="Times New Roman"/>
          <w:bCs/>
          <w:sz w:val="24"/>
          <w:szCs w:val="24"/>
        </w:rPr>
        <w:t xml:space="preserve">. Aprovado pela Portaria STN n.º </w:t>
      </w:r>
      <w:r w:rsidR="000C4E09" w:rsidRPr="00A148F1">
        <w:rPr>
          <w:rFonts w:ascii="Times New Roman" w:hAnsi="Times New Roman" w:cs="Times New Roman"/>
          <w:bCs/>
          <w:sz w:val="24"/>
          <w:szCs w:val="24"/>
        </w:rPr>
        <w:t>553/2014. Ministério da Fazenda. 6</w:t>
      </w:r>
      <w:r w:rsidR="00C95631" w:rsidRPr="00A148F1">
        <w:rPr>
          <w:rFonts w:ascii="Times New Roman" w:hAnsi="Times New Roman" w:cs="Times New Roman"/>
          <w:bCs/>
          <w:sz w:val="24"/>
          <w:szCs w:val="24"/>
        </w:rPr>
        <w:t xml:space="preserve">. </w:t>
      </w:r>
      <w:proofErr w:type="gramStart"/>
      <w:r w:rsidR="00C95631" w:rsidRPr="00A148F1">
        <w:rPr>
          <w:rFonts w:ascii="Times New Roman" w:hAnsi="Times New Roman" w:cs="Times New Roman"/>
          <w:bCs/>
          <w:sz w:val="24"/>
          <w:szCs w:val="24"/>
        </w:rPr>
        <w:t>ed.</w:t>
      </w:r>
      <w:proofErr w:type="gramEnd"/>
      <w:r w:rsidR="00C95631" w:rsidRPr="00A148F1">
        <w:rPr>
          <w:rFonts w:ascii="Times New Roman" w:hAnsi="Times New Roman" w:cs="Times New Roman"/>
          <w:bCs/>
          <w:sz w:val="24"/>
          <w:szCs w:val="24"/>
        </w:rPr>
        <w:t xml:space="preserve"> Disponível em: &lt;</w:t>
      </w:r>
      <w:r w:rsidR="000C4E09" w:rsidRPr="00A148F1">
        <w:rPr>
          <w:rFonts w:ascii="Times New Roman" w:hAnsi="Times New Roman" w:cs="Times New Roman"/>
          <w:bCs/>
          <w:sz w:val="24"/>
          <w:szCs w:val="24"/>
        </w:rPr>
        <w:t xml:space="preserve">http://www.tesouro.fazenda.gov.br/documents/10180/471139/CPU_MDF_6%C2%AA_edicao_versao_19maio2016.pdf/963a392e-7623-44c7-9112-dc8557caadf8 </w:t>
      </w:r>
      <w:r w:rsidR="00C95631" w:rsidRPr="00A148F1">
        <w:rPr>
          <w:rFonts w:ascii="Times New Roman" w:hAnsi="Times New Roman" w:cs="Times New Roman"/>
          <w:bCs/>
          <w:sz w:val="24"/>
          <w:szCs w:val="24"/>
        </w:rPr>
        <w:t>&gt;</w:t>
      </w:r>
      <w:r w:rsidR="00BA46D1" w:rsidRPr="00A148F1">
        <w:rPr>
          <w:rFonts w:ascii="Times New Roman" w:hAnsi="Times New Roman" w:cs="Times New Roman"/>
          <w:bCs/>
          <w:sz w:val="24"/>
          <w:szCs w:val="24"/>
        </w:rPr>
        <w:t>.</w:t>
      </w:r>
      <w:r w:rsidR="00C95631" w:rsidRPr="00A148F1">
        <w:rPr>
          <w:rFonts w:ascii="Times New Roman" w:hAnsi="Times New Roman" w:cs="Times New Roman"/>
          <w:bCs/>
          <w:sz w:val="24"/>
          <w:szCs w:val="24"/>
        </w:rPr>
        <w:t xml:space="preserve"> Acesso em: </w:t>
      </w:r>
      <w:r w:rsidR="000C4E09" w:rsidRPr="00A148F1">
        <w:rPr>
          <w:rFonts w:ascii="Times New Roman" w:hAnsi="Times New Roman" w:cs="Times New Roman"/>
          <w:bCs/>
          <w:sz w:val="24"/>
          <w:szCs w:val="24"/>
        </w:rPr>
        <w:t>05 jul. 2016</w:t>
      </w:r>
      <w:r w:rsidR="00C95631" w:rsidRPr="00A148F1">
        <w:rPr>
          <w:rFonts w:ascii="Times New Roman" w:hAnsi="Times New Roman" w:cs="Times New Roman"/>
          <w:bCs/>
          <w:sz w:val="24"/>
          <w:szCs w:val="24"/>
        </w:rPr>
        <w:t>.</w:t>
      </w:r>
      <w:r w:rsidR="001D2AA8" w:rsidRPr="00A148F1">
        <w:rPr>
          <w:rFonts w:ascii="Times New Roman" w:hAnsi="Times New Roman" w:cs="Times New Roman"/>
          <w:bCs/>
          <w:sz w:val="24"/>
          <w:szCs w:val="24"/>
        </w:rPr>
        <w:t xml:space="preserve"> </w:t>
      </w:r>
      <w:proofErr w:type="gramStart"/>
      <w:r w:rsidR="001D2AA8" w:rsidRPr="00A148F1">
        <w:rPr>
          <w:rFonts w:ascii="Times New Roman" w:hAnsi="Times New Roman" w:cs="Times New Roman"/>
          <w:bCs/>
          <w:sz w:val="24"/>
          <w:szCs w:val="24"/>
        </w:rPr>
        <w:t>2014a.</w:t>
      </w:r>
      <w:proofErr w:type="gramEnd"/>
    </w:p>
    <w:p w:rsidR="008A1AC4" w:rsidRPr="00A148F1" w:rsidRDefault="00C95631" w:rsidP="00FA4C99">
      <w:pPr>
        <w:spacing w:before="120" w:after="120" w:line="240" w:lineRule="auto"/>
        <w:rPr>
          <w:rFonts w:ascii="Times New Roman" w:hAnsi="Times New Roman" w:cs="Times New Roman"/>
          <w:bCs/>
          <w:sz w:val="24"/>
          <w:szCs w:val="24"/>
        </w:rPr>
      </w:pPr>
      <w:r w:rsidRPr="00A148F1">
        <w:rPr>
          <w:rFonts w:ascii="Times New Roman" w:hAnsi="Times New Roman" w:cs="Times New Roman"/>
          <w:bCs/>
          <w:sz w:val="24"/>
          <w:szCs w:val="24"/>
        </w:rPr>
        <w:t xml:space="preserve">______. </w:t>
      </w:r>
      <w:r w:rsidRPr="00A148F1">
        <w:rPr>
          <w:rFonts w:ascii="Times New Roman" w:hAnsi="Times New Roman" w:cs="Times New Roman"/>
          <w:b/>
          <w:bCs/>
          <w:sz w:val="24"/>
          <w:szCs w:val="24"/>
        </w:rPr>
        <w:t>Manual de Contabilidade Aplicada ao Setor Público</w:t>
      </w:r>
      <w:r w:rsidRPr="00A148F1">
        <w:rPr>
          <w:rFonts w:ascii="Times New Roman" w:hAnsi="Times New Roman" w:cs="Times New Roman"/>
          <w:bCs/>
          <w:sz w:val="24"/>
          <w:szCs w:val="24"/>
        </w:rPr>
        <w:t>. Aprovado p</w:t>
      </w:r>
      <w:r w:rsidR="001D2AA8" w:rsidRPr="00A148F1">
        <w:rPr>
          <w:rFonts w:ascii="Times New Roman" w:hAnsi="Times New Roman" w:cs="Times New Roman"/>
          <w:bCs/>
          <w:sz w:val="24"/>
          <w:szCs w:val="24"/>
        </w:rPr>
        <w:t>ela Portaria STN/SOF n.º 01/2014</w:t>
      </w:r>
      <w:r w:rsidRPr="00A148F1">
        <w:rPr>
          <w:rFonts w:ascii="Times New Roman" w:hAnsi="Times New Roman" w:cs="Times New Roman"/>
          <w:bCs/>
          <w:sz w:val="24"/>
          <w:szCs w:val="24"/>
        </w:rPr>
        <w:t xml:space="preserve">. Ministério da Fazenda. 6. </w:t>
      </w:r>
      <w:proofErr w:type="gramStart"/>
      <w:r w:rsidRPr="00A148F1">
        <w:rPr>
          <w:rFonts w:ascii="Times New Roman" w:hAnsi="Times New Roman" w:cs="Times New Roman"/>
          <w:bCs/>
          <w:sz w:val="24"/>
          <w:szCs w:val="24"/>
        </w:rPr>
        <w:t>ed.</w:t>
      </w:r>
      <w:proofErr w:type="gramEnd"/>
      <w:r w:rsidRPr="00A148F1">
        <w:rPr>
          <w:rFonts w:ascii="Times New Roman" w:hAnsi="Times New Roman" w:cs="Times New Roman"/>
          <w:bCs/>
          <w:sz w:val="24"/>
          <w:szCs w:val="24"/>
        </w:rPr>
        <w:t xml:space="preserve"> Disponível em: &lt;http://www.tesouro</w:t>
      </w:r>
      <w:r w:rsidR="00BA46D1" w:rsidRPr="00A148F1">
        <w:rPr>
          <w:rFonts w:ascii="Times New Roman" w:hAnsi="Times New Roman" w:cs="Times New Roman"/>
          <w:bCs/>
          <w:sz w:val="24"/>
          <w:szCs w:val="24"/>
        </w:rPr>
        <w:t xml:space="preserve"> </w:t>
      </w:r>
      <w:r w:rsidRPr="00A148F1">
        <w:rPr>
          <w:rFonts w:ascii="Times New Roman" w:hAnsi="Times New Roman" w:cs="Times New Roman"/>
          <w:bCs/>
          <w:sz w:val="24"/>
          <w:szCs w:val="24"/>
        </w:rPr>
        <w:t>.fazenda.gov.br/documents/10180/456785/CPU_MCASP+6%C2%AA%20edi%C3%A7%C3%A3o_Republ2/fa1ee713-2fd3-4f51-8182-a542ce123773&gt;</w:t>
      </w:r>
      <w:r w:rsidR="00BA46D1" w:rsidRPr="00A148F1">
        <w:rPr>
          <w:rFonts w:ascii="Times New Roman" w:hAnsi="Times New Roman" w:cs="Times New Roman"/>
          <w:bCs/>
          <w:sz w:val="24"/>
          <w:szCs w:val="24"/>
        </w:rPr>
        <w:t>.</w:t>
      </w:r>
      <w:r w:rsidRPr="00A148F1">
        <w:rPr>
          <w:rFonts w:ascii="Times New Roman" w:hAnsi="Times New Roman" w:cs="Times New Roman"/>
          <w:bCs/>
          <w:sz w:val="24"/>
          <w:szCs w:val="24"/>
        </w:rPr>
        <w:t xml:space="preserve"> Acesso em: 25 nov. 2015.</w:t>
      </w:r>
      <w:r w:rsidR="001D2AA8" w:rsidRPr="00A148F1">
        <w:rPr>
          <w:rFonts w:ascii="Times New Roman" w:hAnsi="Times New Roman" w:cs="Times New Roman"/>
          <w:bCs/>
          <w:sz w:val="24"/>
          <w:szCs w:val="24"/>
        </w:rPr>
        <w:t xml:space="preserve"> 2014b.</w:t>
      </w:r>
    </w:p>
    <w:p w:rsidR="00960514" w:rsidRPr="00A148F1" w:rsidRDefault="00C71540" w:rsidP="00FA4C99">
      <w:pPr>
        <w:spacing w:before="120" w:after="120" w:line="240" w:lineRule="auto"/>
        <w:rPr>
          <w:rFonts w:ascii="Times New Roman" w:hAnsi="Times New Roman" w:cs="Times New Roman"/>
          <w:bCs/>
          <w:sz w:val="24"/>
          <w:szCs w:val="24"/>
        </w:rPr>
      </w:pPr>
      <w:r w:rsidRPr="00A148F1">
        <w:rPr>
          <w:rFonts w:ascii="Times New Roman" w:hAnsi="Times New Roman" w:cs="Times New Roman"/>
          <w:bCs/>
          <w:sz w:val="24"/>
          <w:szCs w:val="24"/>
        </w:rPr>
        <w:t xml:space="preserve">TCE/SC – Tribunal de Contas do Estado de Santa Catarina. </w:t>
      </w:r>
      <w:r w:rsidRPr="00A148F1">
        <w:rPr>
          <w:rFonts w:ascii="Times New Roman" w:hAnsi="Times New Roman" w:cs="Times New Roman"/>
          <w:b/>
          <w:bCs/>
          <w:sz w:val="24"/>
          <w:szCs w:val="24"/>
        </w:rPr>
        <w:t>Portal do Cidadão</w:t>
      </w:r>
      <w:r w:rsidRPr="00A148F1">
        <w:rPr>
          <w:rFonts w:ascii="Times New Roman" w:hAnsi="Times New Roman" w:cs="Times New Roman"/>
          <w:bCs/>
          <w:sz w:val="24"/>
          <w:szCs w:val="24"/>
        </w:rPr>
        <w:t xml:space="preserve">. </w:t>
      </w:r>
      <w:r w:rsidR="00635DF2" w:rsidRPr="00A148F1">
        <w:rPr>
          <w:rFonts w:ascii="Times New Roman" w:hAnsi="Times New Roman" w:cs="Times New Roman"/>
          <w:bCs/>
          <w:sz w:val="24"/>
          <w:szCs w:val="24"/>
        </w:rPr>
        <w:t xml:space="preserve">Gastos com Saúde – </w:t>
      </w:r>
      <w:proofErr w:type="gramStart"/>
      <w:r w:rsidR="00635DF2" w:rsidRPr="00A148F1">
        <w:rPr>
          <w:rFonts w:ascii="Times New Roman" w:hAnsi="Times New Roman" w:cs="Times New Roman"/>
          <w:bCs/>
          <w:sz w:val="24"/>
          <w:szCs w:val="24"/>
        </w:rPr>
        <w:t>Município de Florianópolis referentes aos anos de 2000 a 2015</w:t>
      </w:r>
      <w:proofErr w:type="gramEnd"/>
      <w:r w:rsidRPr="00A148F1">
        <w:rPr>
          <w:rFonts w:ascii="Times New Roman" w:hAnsi="Times New Roman" w:cs="Times New Roman"/>
          <w:bCs/>
          <w:sz w:val="24"/>
          <w:szCs w:val="24"/>
        </w:rPr>
        <w:t>.</w:t>
      </w:r>
      <w:r w:rsidRPr="00A148F1">
        <w:rPr>
          <w:rFonts w:ascii="Times New Roman" w:hAnsi="Times New Roman" w:cs="Times New Roman"/>
          <w:b/>
          <w:bCs/>
          <w:sz w:val="24"/>
          <w:szCs w:val="24"/>
        </w:rPr>
        <w:t xml:space="preserve"> </w:t>
      </w:r>
      <w:r w:rsidRPr="00A148F1">
        <w:rPr>
          <w:rFonts w:ascii="Times New Roman" w:hAnsi="Times New Roman" w:cs="Times New Roman"/>
          <w:bCs/>
          <w:sz w:val="24"/>
          <w:szCs w:val="24"/>
        </w:rPr>
        <w:t>Disponível em: &lt;</w:t>
      </w:r>
      <w:proofErr w:type="gramStart"/>
      <w:r w:rsidR="00635DF2" w:rsidRPr="00A148F1">
        <w:rPr>
          <w:rFonts w:ascii="Times New Roman" w:hAnsi="Times New Roman" w:cs="Times New Roman"/>
          <w:bCs/>
          <w:sz w:val="24"/>
          <w:szCs w:val="24"/>
        </w:rPr>
        <w:t>http://portaldocidadao.tce.sc.gov.br/home.</w:t>
      </w:r>
      <w:proofErr w:type="gramEnd"/>
      <w:r w:rsidR="00635DF2" w:rsidRPr="00A148F1">
        <w:rPr>
          <w:rFonts w:ascii="Times New Roman" w:hAnsi="Times New Roman" w:cs="Times New Roman"/>
          <w:bCs/>
          <w:sz w:val="24"/>
          <w:szCs w:val="24"/>
        </w:rPr>
        <w:t>php?</w:t>
      </w:r>
      <w:proofErr w:type="gramStart"/>
      <w:r w:rsidR="00635DF2" w:rsidRPr="00A148F1">
        <w:rPr>
          <w:rFonts w:ascii="Times New Roman" w:hAnsi="Times New Roman" w:cs="Times New Roman"/>
          <w:bCs/>
          <w:sz w:val="24"/>
          <w:szCs w:val="24"/>
        </w:rPr>
        <w:t>id</w:t>
      </w:r>
      <w:proofErr w:type="gramEnd"/>
      <w:r w:rsidR="00635DF2" w:rsidRPr="00A148F1">
        <w:rPr>
          <w:rFonts w:ascii="Times New Roman" w:hAnsi="Times New Roman" w:cs="Times New Roman"/>
          <w:bCs/>
          <w:sz w:val="24"/>
          <w:szCs w:val="24"/>
        </w:rPr>
        <w:t>=420540&amp;idmenu=municipio&amp;menu=</w:t>
      </w:r>
      <w:r w:rsidR="00996C00" w:rsidRPr="00A148F1">
        <w:rPr>
          <w:rFonts w:ascii="Times New Roman" w:hAnsi="Times New Roman" w:cs="Times New Roman"/>
          <w:bCs/>
          <w:sz w:val="24"/>
          <w:szCs w:val="24"/>
        </w:rPr>
        <w:t xml:space="preserve"> </w:t>
      </w:r>
      <w:r w:rsidR="00635DF2" w:rsidRPr="00A148F1">
        <w:rPr>
          <w:rFonts w:ascii="Times New Roman" w:hAnsi="Times New Roman" w:cs="Times New Roman"/>
          <w:bCs/>
          <w:sz w:val="24"/>
          <w:szCs w:val="24"/>
        </w:rPr>
        <w:t>limite-constitucional-saude</w:t>
      </w:r>
      <w:r w:rsidRPr="00A148F1">
        <w:rPr>
          <w:rFonts w:ascii="Times New Roman" w:hAnsi="Times New Roman" w:cs="Times New Roman"/>
          <w:bCs/>
          <w:sz w:val="24"/>
          <w:szCs w:val="24"/>
        </w:rPr>
        <w:t xml:space="preserve">&gt;. Acesso em: </w:t>
      </w:r>
      <w:r w:rsidR="00635DF2" w:rsidRPr="00A148F1">
        <w:rPr>
          <w:rFonts w:ascii="Times New Roman" w:hAnsi="Times New Roman" w:cs="Times New Roman"/>
          <w:bCs/>
          <w:sz w:val="24"/>
          <w:szCs w:val="24"/>
        </w:rPr>
        <w:t>12</w:t>
      </w:r>
      <w:r w:rsidRPr="00A148F1">
        <w:rPr>
          <w:rFonts w:ascii="Times New Roman" w:hAnsi="Times New Roman" w:cs="Times New Roman"/>
          <w:bCs/>
          <w:sz w:val="24"/>
          <w:szCs w:val="24"/>
        </w:rPr>
        <w:t xml:space="preserve"> </w:t>
      </w:r>
      <w:r w:rsidR="00635DF2" w:rsidRPr="00A148F1">
        <w:rPr>
          <w:rFonts w:ascii="Times New Roman" w:hAnsi="Times New Roman" w:cs="Times New Roman"/>
          <w:bCs/>
          <w:sz w:val="24"/>
          <w:szCs w:val="24"/>
        </w:rPr>
        <w:t>abr</w:t>
      </w:r>
      <w:r w:rsidRPr="00A148F1">
        <w:rPr>
          <w:rFonts w:ascii="Times New Roman" w:hAnsi="Times New Roman" w:cs="Times New Roman"/>
          <w:bCs/>
          <w:sz w:val="24"/>
          <w:szCs w:val="24"/>
        </w:rPr>
        <w:t>. 201</w:t>
      </w:r>
      <w:r w:rsidR="00635DF2" w:rsidRPr="00A148F1">
        <w:rPr>
          <w:rFonts w:ascii="Times New Roman" w:hAnsi="Times New Roman" w:cs="Times New Roman"/>
          <w:bCs/>
          <w:sz w:val="24"/>
          <w:szCs w:val="24"/>
        </w:rPr>
        <w:t>6</w:t>
      </w:r>
      <w:r w:rsidRPr="00A148F1">
        <w:rPr>
          <w:rFonts w:ascii="Times New Roman" w:hAnsi="Times New Roman" w:cs="Times New Roman"/>
          <w:bCs/>
          <w:sz w:val="24"/>
          <w:szCs w:val="24"/>
        </w:rPr>
        <w:t>.</w:t>
      </w:r>
    </w:p>
    <w:sectPr w:rsidR="00960514" w:rsidRPr="00A148F1" w:rsidSect="00E70C56">
      <w:headerReference w:type="default" r:id="rId9"/>
      <w:footerReference w:type="default" r:id="rId10"/>
      <w:footerReference w:type="first" r:id="rId11"/>
      <w:pgSz w:w="11906" w:h="16838"/>
      <w:pgMar w:top="1896" w:right="1134" w:bottom="1134" w:left="1701" w:header="0" w:footer="113"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508F1" w:rsidRDefault="00E508F1" w:rsidP="0072590E">
      <w:pPr>
        <w:spacing w:after="0" w:line="240" w:lineRule="auto"/>
      </w:pPr>
      <w:r>
        <w:separator/>
      </w:r>
    </w:p>
  </w:endnote>
  <w:endnote w:type="continuationSeparator" w:id="0">
    <w:p w:rsidR="00E508F1" w:rsidRDefault="00E508F1" w:rsidP="0072590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48541726"/>
      <w:docPartObj>
        <w:docPartGallery w:val="Page Numbers (Bottom of Page)"/>
        <w:docPartUnique/>
      </w:docPartObj>
    </w:sdtPr>
    <w:sdtEndPr>
      <w:rPr>
        <w:rFonts w:ascii="Arial" w:hAnsi="Arial" w:cs="Arial"/>
        <w:sz w:val="20"/>
        <w:szCs w:val="20"/>
      </w:rPr>
    </w:sdtEndPr>
    <w:sdtContent>
      <w:p w:rsidR="00A148F1" w:rsidRDefault="00A148F1" w:rsidP="0084647B">
        <w:pPr>
          <w:pStyle w:val="Rodap"/>
          <w:jc w:val="right"/>
          <w:rPr>
            <w:rFonts w:ascii="Arial" w:hAnsi="Arial" w:cs="Arial"/>
            <w:sz w:val="20"/>
            <w:szCs w:val="20"/>
          </w:rPr>
        </w:pPr>
        <w:r w:rsidRPr="00F62F68">
          <w:rPr>
            <w:rFonts w:ascii="Arial" w:hAnsi="Arial" w:cs="Arial"/>
            <w:sz w:val="20"/>
            <w:szCs w:val="20"/>
          </w:rPr>
          <w:fldChar w:fldCharType="begin"/>
        </w:r>
        <w:r w:rsidRPr="00F62F68">
          <w:rPr>
            <w:rFonts w:ascii="Arial" w:hAnsi="Arial" w:cs="Arial"/>
            <w:sz w:val="20"/>
            <w:szCs w:val="20"/>
          </w:rPr>
          <w:instrText>PAGE   \* MERGEFORMAT</w:instrText>
        </w:r>
        <w:r w:rsidRPr="00F62F68">
          <w:rPr>
            <w:rFonts w:ascii="Arial" w:hAnsi="Arial" w:cs="Arial"/>
            <w:sz w:val="20"/>
            <w:szCs w:val="20"/>
          </w:rPr>
          <w:fldChar w:fldCharType="separate"/>
        </w:r>
        <w:r w:rsidR="004F10F1">
          <w:rPr>
            <w:rFonts w:ascii="Arial" w:hAnsi="Arial" w:cs="Arial"/>
            <w:noProof/>
            <w:sz w:val="20"/>
            <w:szCs w:val="20"/>
          </w:rPr>
          <w:t>15</w:t>
        </w:r>
        <w:r w:rsidRPr="00F62F68">
          <w:rPr>
            <w:rFonts w:ascii="Arial" w:hAnsi="Arial" w:cs="Arial"/>
            <w:sz w:val="20"/>
            <w:szCs w:val="20"/>
          </w:rPr>
          <w:fldChar w:fldCharType="end"/>
        </w:r>
      </w:p>
      <w:p w:rsidR="00A148F1" w:rsidRPr="0084647B" w:rsidRDefault="00A148F1" w:rsidP="0084647B">
        <w:pPr>
          <w:pStyle w:val="Rodap"/>
          <w:jc w:val="right"/>
          <w:rPr>
            <w:rFonts w:ascii="Arial" w:hAnsi="Arial" w:cs="Arial"/>
            <w:sz w:val="20"/>
            <w:szCs w:val="20"/>
          </w:rPr>
        </w:pPr>
        <w:r w:rsidRPr="00714671">
          <w:rPr>
            <w:rFonts w:ascii="Arial" w:hAnsi="Arial" w:cs="Arial"/>
            <w:noProof/>
            <w:sz w:val="20"/>
            <w:szCs w:val="20"/>
          </w:rPr>
          <w:drawing>
            <wp:inline distT="0" distB="0" distL="0" distR="0">
              <wp:extent cx="5613400" cy="1240155"/>
              <wp:effectExtent l="19050" t="0" r="6350" b="0"/>
              <wp:docPr id="3" name="Picture 9" descr="C:\Users\desenv.prof2\Desktop\Agende-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esenv.prof2\Desktop\Agende-se.png"/>
                      <pic:cNvPicPr>
                        <a:picLocks noChangeAspect="1" noChangeArrowheads="1"/>
                      </pic:cNvPicPr>
                    </pic:nvPicPr>
                    <pic:blipFill>
                      <a:blip r:embed="rId1"/>
                      <a:srcRect b="9723"/>
                      <a:stretch>
                        <a:fillRect/>
                      </a:stretch>
                    </pic:blipFill>
                    <pic:spPr bwMode="auto">
                      <a:xfrm>
                        <a:off x="0" y="0"/>
                        <a:ext cx="5613400" cy="1240155"/>
                      </a:xfrm>
                      <a:prstGeom prst="rect">
                        <a:avLst/>
                      </a:prstGeom>
                      <a:noFill/>
                      <a:ln w="9525">
                        <a:noFill/>
                        <a:miter lim="800000"/>
                        <a:headEnd/>
                        <a:tailEnd/>
                      </a:ln>
                    </pic:spPr>
                  </pic:pic>
                </a:graphicData>
              </a:graphic>
            </wp:inline>
          </w:drawing>
        </w:r>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73678585"/>
      <w:docPartObj>
        <w:docPartGallery w:val="Page Numbers (Bottom of Page)"/>
        <w:docPartUnique/>
      </w:docPartObj>
    </w:sdtPr>
    <w:sdtContent>
      <w:p w:rsidR="00A148F1" w:rsidRDefault="00A148F1">
        <w:pPr>
          <w:pStyle w:val="Rodap"/>
          <w:jc w:val="right"/>
        </w:pPr>
        <w:fldSimple w:instr="PAGE   \* MERGEFORMAT">
          <w:r>
            <w:rPr>
              <w:noProof/>
            </w:rPr>
            <w:t>0</w:t>
          </w:r>
        </w:fldSimple>
      </w:p>
    </w:sdtContent>
  </w:sdt>
  <w:p w:rsidR="00A148F1" w:rsidRDefault="00A148F1">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508F1" w:rsidRDefault="00E508F1" w:rsidP="0072590E">
      <w:pPr>
        <w:spacing w:after="0" w:line="240" w:lineRule="auto"/>
      </w:pPr>
      <w:r>
        <w:separator/>
      </w:r>
    </w:p>
  </w:footnote>
  <w:footnote w:type="continuationSeparator" w:id="0">
    <w:p w:rsidR="00E508F1" w:rsidRDefault="00E508F1" w:rsidP="0072590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48F1" w:rsidRPr="00113CBA" w:rsidRDefault="00A148F1" w:rsidP="00E70C56">
    <w:pPr>
      <w:pStyle w:val="Cabealho"/>
      <w:spacing w:after="120"/>
      <w:rPr>
        <w:szCs w:val="20"/>
      </w:rPr>
    </w:pPr>
    <w:r w:rsidRPr="00F90969">
      <w:rPr>
        <w:noProof/>
      </w:rPr>
      <w:pict>
        <v:shapetype id="_x0000_t32" coordsize="21600,21600" o:spt="32" o:oned="t" path="m,l21600,21600e" filled="f">
          <v:path arrowok="t" fillok="f" o:connecttype="none"/>
          <o:lock v:ext="edit" shapetype="t"/>
        </v:shapetype>
        <v:shape id="_x0000_s10241" type="#_x0000_t32" style="position:absolute;margin-left:-15.3pt;margin-top:122.65pt;width:484.5pt;height:0;z-index:251658240" o:connectortype="straight">
          <v:shadow type="perspective" color="#7f7f7f" opacity=".5" offset="1pt" offset2="-1pt"/>
        </v:shape>
      </w:pict>
    </w:r>
    <w:r>
      <w:rPr>
        <w:noProof/>
      </w:rPr>
      <w:drawing>
        <wp:inline distT="0" distB="0" distL="0" distR="0">
          <wp:extent cx="5760085" cy="1559167"/>
          <wp:effectExtent l="19050" t="0" r="0" b="0"/>
          <wp:docPr id="1" name="Imagem 1" descr="capa face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a facebook"/>
                  <pic:cNvPicPr>
                    <a:picLocks noChangeAspect="1" noChangeArrowheads="1"/>
                  </pic:cNvPicPr>
                </pic:nvPicPr>
                <pic:blipFill>
                  <a:blip r:embed="rId1"/>
                  <a:srcRect/>
                  <a:stretch>
                    <a:fillRect/>
                  </a:stretch>
                </pic:blipFill>
                <pic:spPr bwMode="auto">
                  <a:xfrm>
                    <a:off x="0" y="0"/>
                    <a:ext cx="5760085" cy="1559167"/>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84548"/>
    <w:multiLevelType w:val="hybridMultilevel"/>
    <w:tmpl w:val="8C645B32"/>
    <w:lvl w:ilvl="0" w:tplc="E1DC605E">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
    <w:nsid w:val="03697FE3"/>
    <w:multiLevelType w:val="hybridMultilevel"/>
    <w:tmpl w:val="104C9F32"/>
    <w:lvl w:ilvl="0" w:tplc="0416000F">
      <w:start w:val="1"/>
      <w:numFmt w:val="decimal"/>
      <w:lvlText w:val="%1."/>
      <w:lvlJc w:val="left"/>
      <w:pPr>
        <w:ind w:left="1425" w:hanging="360"/>
      </w:pPr>
    </w:lvl>
    <w:lvl w:ilvl="1" w:tplc="04160019" w:tentative="1">
      <w:start w:val="1"/>
      <w:numFmt w:val="lowerLetter"/>
      <w:lvlText w:val="%2."/>
      <w:lvlJc w:val="left"/>
      <w:pPr>
        <w:ind w:left="2145" w:hanging="360"/>
      </w:pPr>
    </w:lvl>
    <w:lvl w:ilvl="2" w:tplc="0416001B" w:tentative="1">
      <w:start w:val="1"/>
      <w:numFmt w:val="lowerRoman"/>
      <w:lvlText w:val="%3."/>
      <w:lvlJc w:val="right"/>
      <w:pPr>
        <w:ind w:left="2865" w:hanging="180"/>
      </w:pPr>
    </w:lvl>
    <w:lvl w:ilvl="3" w:tplc="0416000F" w:tentative="1">
      <w:start w:val="1"/>
      <w:numFmt w:val="decimal"/>
      <w:lvlText w:val="%4."/>
      <w:lvlJc w:val="left"/>
      <w:pPr>
        <w:ind w:left="3585" w:hanging="360"/>
      </w:pPr>
    </w:lvl>
    <w:lvl w:ilvl="4" w:tplc="04160019" w:tentative="1">
      <w:start w:val="1"/>
      <w:numFmt w:val="lowerLetter"/>
      <w:lvlText w:val="%5."/>
      <w:lvlJc w:val="left"/>
      <w:pPr>
        <w:ind w:left="4305" w:hanging="360"/>
      </w:pPr>
    </w:lvl>
    <w:lvl w:ilvl="5" w:tplc="0416001B" w:tentative="1">
      <w:start w:val="1"/>
      <w:numFmt w:val="lowerRoman"/>
      <w:lvlText w:val="%6."/>
      <w:lvlJc w:val="right"/>
      <w:pPr>
        <w:ind w:left="5025" w:hanging="180"/>
      </w:pPr>
    </w:lvl>
    <w:lvl w:ilvl="6" w:tplc="0416000F" w:tentative="1">
      <w:start w:val="1"/>
      <w:numFmt w:val="decimal"/>
      <w:lvlText w:val="%7."/>
      <w:lvlJc w:val="left"/>
      <w:pPr>
        <w:ind w:left="5745" w:hanging="360"/>
      </w:pPr>
    </w:lvl>
    <w:lvl w:ilvl="7" w:tplc="04160019" w:tentative="1">
      <w:start w:val="1"/>
      <w:numFmt w:val="lowerLetter"/>
      <w:lvlText w:val="%8."/>
      <w:lvlJc w:val="left"/>
      <w:pPr>
        <w:ind w:left="6465" w:hanging="360"/>
      </w:pPr>
    </w:lvl>
    <w:lvl w:ilvl="8" w:tplc="0416001B" w:tentative="1">
      <w:start w:val="1"/>
      <w:numFmt w:val="lowerRoman"/>
      <w:lvlText w:val="%9."/>
      <w:lvlJc w:val="right"/>
      <w:pPr>
        <w:ind w:left="7185" w:hanging="180"/>
      </w:pPr>
    </w:lvl>
  </w:abstractNum>
  <w:abstractNum w:abstractNumId="2">
    <w:nsid w:val="03976B0A"/>
    <w:multiLevelType w:val="hybridMultilevel"/>
    <w:tmpl w:val="6FD6C056"/>
    <w:lvl w:ilvl="0" w:tplc="3174B186">
      <w:start w:val="1"/>
      <w:numFmt w:val="decimal"/>
      <w:lvlText w:val="%1"/>
      <w:lvlJc w:val="left"/>
      <w:pPr>
        <w:ind w:left="1287" w:hanging="360"/>
      </w:pPr>
      <w:rPr>
        <w:rFonts w:hint="default"/>
      </w:rPr>
    </w:lvl>
    <w:lvl w:ilvl="1" w:tplc="04160019" w:tentative="1">
      <w:start w:val="1"/>
      <w:numFmt w:val="lowerLetter"/>
      <w:lvlText w:val="%2."/>
      <w:lvlJc w:val="left"/>
      <w:pPr>
        <w:ind w:left="2007" w:hanging="360"/>
      </w:pPr>
    </w:lvl>
    <w:lvl w:ilvl="2" w:tplc="0416001B" w:tentative="1">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abstractNum w:abstractNumId="3">
    <w:nsid w:val="07CB2625"/>
    <w:multiLevelType w:val="hybridMultilevel"/>
    <w:tmpl w:val="C93A34F4"/>
    <w:lvl w:ilvl="0" w:tplc="7D6868DA">
      <w:start w:val="1"/>
      <w:numFmt w:val="lowerLetter"/>
      <w:lvlText w:val="%1)"/>
      <w:lvlJc w:val="left"/>
      <w:pPr>
        <w:ind w:left="1065" w:hanging="360"/>
      </w:pPr>
      <w:rPr>
        <w:rFonts w:hint="default"/>
      </w:rPr>
    </w:lvl>
    <w:lvl w:ilvl="1" w:tplc="04160019" w:tentative="1">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4">
    <w:nsid w:val="15661A4C"/>
    <w:multiLevelType w:val="hybridMultilevel"/>
    <w:tmpl w:val="364A0BB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2A077E54"/>
    <w:multiLevelType w:val="hybridMultilevel"/>
    <w:tmpl w:val="DF36BA3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42950415"/>
    <w:multiLevelType w:val="multilevel"/>
    <w:tmpl w:val="D692180A"/>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7">
    <w:nsid w:val="450E7D04"/>
    <w:multiLevelType w:val="hybridMultilevel"/>
    <w:tmpl w:val="12C6A67A"/>
    <w:lvl w:ilvl="0" w:tplc="14846B9E">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8">
    <w:nsid w:val="4D8C4C2B"/>
    <w:multiLevelType w:val="hybridMultilevel"/>
    <w:tmpl w:val="3B548DEA"/>
    <w:lvl w:ilvl="0" w:tplc="1764C932">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9">
    <w:nsid w:val="4F385213"/>
    <w:multiLevelType w:val="hybridMultilevel"/>
    <w:tmpl w:val="02DE77D6"/>
    <w:lvl w:ilvl="0" w:tplc="C73A8ED4">
      <w:start w:val="1"/>
      <w:numFmt w:val="bullet"/>
      <w:lvlText w:val=""/>
      <w:lvlJc w:val="left"/>
      <w:pPr>
        <w:ind w:left="720" w:hanging="360"/>
      </w:pPr>
      <w:rPr>
        <w:rFonts w:ascii="Wingdings" w:eastAsiaTheme="minorEastAsia" w:hAnsi="Wingdings"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4F87473B"/>
    <w:multiLevelType w:val="hybridMultilevel"/>
    <w:tmpl w:val="651447DC"/>
    <w:lvl w:ilvl="0" w:tplc="6E1CB19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F890EBD"/>
    <w:multiLevelType w:val="hybridMultilevel"/>
    <w:tmpl w:val="38C2E7E4"/>
    <w:lvl w:ilvl="0" w:tplc="CE960FCA">
      <w:start w:val="1"/>
      <w:numFmt w:val="lowerLetter"/>
      <w:lvlText w:val="%1)"/>
      <w:lvlJc w:val="left"/>
      <w:pPr>
        <w:ind w:left="1068" w:hanging="360"/>
      </w:pPr>
      <w:rPr>
        <w:rFonts w:ascii="Arial" w:eastAsiaTheme="minorEastAsia" w:hAnsi="Arial" w:cs="Arial"/>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2">
    <w:nsid w:val="685C695A"/>
    <w:multiLevelType w:val="hybridMultilevel"/>
    <w:tmpl w:val="22BAA2E0"/>
    <w:lvl w:ilvl="0" w:tplc="C4C07638">
      <w:start w:val="1"/>
      <w:numFmt w:val="decimal"/>
      <w:lvlText w:val="%1"/>
      <w:lvlJc w:val="left"/>
      <w:pPr>
        <w:ind w:left="1287" w:hanging="360"/>
      </w:pPr>
      <w:rPr>
        <w:rFonts w:hint="default"/>
      </w:rPr>
    </w:lvl>
    <w:lvl w:ilvl="1" w:tplc="04160019" w:tentative="1">
      <w:start w:val="1"/>
      <w:numFmt w:val="lowerLetter"/>
      <w:lvlText w:val="%2."/>
      <w:lvlJc w:val="left"/>
      <w:pPr>
        <w:ind w:left="2007" w:hanging="360"/>
      </w:pPr>
    </w:lvl>
    <w:lvl w:ilvl="2" w:tplc="0416001B" w:tentative="1">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abstractNum w:abstractNumId="13">
    <w:nsid w:val="70B7701E"/>
    <w:multiLevelType w:val="hybridMultilevel"/>
    <w:tmpl w:val="530C6F14"/>
    <w:lvl w:ilvl="0" w:tplc="936E5AF8">
      <w:start w:val="1"/>
      <w:numFmt w:val="decimal"/>
      <w:lvlText w:val="OP-A %1)"/>
      <w:lvlJc w:val="left"/>
      <w:pPr>
        <w:ind w:left="720" w:hanging="36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7DBA0D6E"/>
    <w:multiLevelType w:val="hybridMultilevel"/>
    <w:tmpl w:val="D424EBDA"/>
    <w:lvl w:ilvl="0" w:tplc="4204241E">
      <w:start w:val="1"/>
      <w:numFmt w:val="lowerLetter"/>
      <w:lvlText w:val="%1)"/>
      <w:lvlJc w:val="left"/>
      <w:pPr>
        <w:ind w:left="1065" w:hanging="360"/>
      </w:pPr>
      <w:rPr>
        <w:rFonts w:hint="default"/>
      </w:rPr>
    </w:lvl>
    <w:lvl w:ilvl="1" w:tplc="04160019" w:tentative="1">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num w:numId="1">
    <w:abstractNumId w:val="7"/>
  </w:num>
  <w:num w:numId="2">
    <w:abstractNumId w:val="13"/>
  </w:num>
  <w:num w:numId="3">
    <w:abstractNumId w:val="9"/>
  </w:num>
  <w:num w:numId="4">
    <w:abstractNumId w:val="0"/>
  </w:num>
  <w:num w:numId="5">
    <w:abstractNumId w:val="14"/>
  </w:num>
  <w:num w:numId="6">
    <w:abstractNumId w:val="3"/>
  </w:num>
  <w:num w:numId="7">
    <w:abstractNumId w:val="1"/>
  </w:num>
  <w:num w:numId="8">
    <w:abstractNumId w:val="4"/>
  </w:num>
  <w:num w:numId="9">
    <w:abstractNumId w:val="5"/>
  </w:num>
  <w:num w:numId="10">
    <w:abstractNumId w:val="11"/>
  </w:num>
  <w:num w:numId="11">
    <w:abstractNumId w:val="8"/>
  </w:num>
  <w:num w:numId="12">
    <w:abstractNumId w:val="10"/>
  </w:num>
  <w:num w:numId="13">
    <w:abstractNumId w:val="6"/>
  </w:num>
  <w:num w:numId="14">
    <w:abstractNumId w:val="2"/>
  </w:num>
  <w:num w:numId="15">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13314"/>
    <o:shapelayout v:ext="edit">
      <o:idmap v:ext="edit" data="10"/>
      <o:rules v:ext="edit">
        <o:r id="V:Rule2" type="connector" idref="#_x0000_s10241"/>
      </o:rules>
    </o:shapelayout>
  </w:hdrShapeDefaults>
  <w:footnotePr>
    <w:footnote w:id="-1"/>
    <w:footnote w:id="0"/>
  </w:footnotePr>
  <w:endnotePr>
    <w:endnote w:id="-1"/>
    <w:endnote w:id="0"/>
  </w:endnotePr>
  <w:compat>
    <w:useFELayout/>
  </w:compat>
  <w:rsids>
    <w:rsidRoot w:val="00B15364"/>
    <w:rsid w:val="0000052C"/>
    <w:rsid w:val="0000085F"/>
    <w:rsid w:val="00002AAD"/>
    <w:rsid w:val="00002D59"/>
    <w:rsid w:val="00003D36"/>
    <w:rsid w:val="00006E9C"/>
    <w:rsid w:val="00012D4A"/>
    <w:rsid w:val="000132AC"/>
    <w:rsid w:val="0001486E"/>
    <w:rsid w:val="000153AB"/>
    <w:rsid w:val="00017C90"/>
    <w:rsid w:val="00020B56"/>
    <w:rsid w:val="000215EC"/>
    <w:rsid w:val="000216C2"/>
    <w:rsid w:val="00022045"/>
    <w:rsid w:val="00023619"/>
    <w:rsid w:val="00024008"/>
    <w:rsid w:val="000240D2"/>
    <w:rsid w:val="00025EB6"/>
    <w:rsid w:val="0002686C"/>
    <w:rsid w:val="000274AB"/>
    <w:rsid w:val="000279C5"/>
    <w:rsid w:val="000306AE"/>
    <w:rsid w:val="00030817"/>
    <w:rsid w:val="00036C9D"/>
    <w:rsid w:val="0003756D"/>
    <w:rsid w:val="000378CD"/>
    <w:rsid w:val="000420E7"/>
    <w:rsid w:val="00042781"/>
    <w:rsid w:val="00045C3D"/>
    <w:rsid w:val="00050740"/>
    <w:rsid w:val="00051D0D"/>
    <w:rsid w:val="00052D05"/>
    <w:rsid w:val="000535D6"/>
    <w:rsid w:val="000555F3"/>
    <w:rsid w:val="00057843"/>
    <w:rsid w:val="00065556"/>
    <w:rsid w:val="00067124"/>
    <w:rsid w:val="000721B6"/>
    <w:rsid w:val="0007278C"/>
    <w:rsid w:val="000752F3"/>
    <w:rsid w:val="00075CB8"/>
    <w:rsid w:val="000761BA"/>
    <w:rsid w:val="0007790F"/>
    <w:rsid w:val="000802FF"/>
    <w:rsid w:val="00080304"/>
    <w:rsid w:val="00080B08"/>
    <w:rsid w:val="00080BCF"/>
    <w:rsid w:val="00084E61"/>
    <w:rsid w:val="0008525B"/>
    <w:rsid w:val="00087377"/>
    <w:rsid w:val="00091E86"/>
    <w:rsid w:val="0009306E"/>
    <w:rsid w:val="00093F79"/>
    <w:rsid w:val="000967D7"/>
    <w:rsid w:val="00096BFD"/>
    <w:rsid w:val="000A0C6B"/>
    <w:rsid w:val="000A1521"/>
    <w:rsid w:val="000A5F0F"/>
    <w:rsid w:val="000B0131"/>
    <w:rsid w:val="000B19D2"/>
    <w:rsid w:val="000B2C3A"/>
    <w:rsid w:val="000B2FA2"/>
    <w:rsid w:val="000B51F9"/>
    <w:rsid w:val="000C0AE6"/>
    <w:rsid w:val="000C384E"/>
    <w:rsid w:val="000C4E09"/>
    <w:rsid w:val="000C7C55"/>
    <w:rsid w:val="000D61C8"/>
    <w:rsid w:val="000D7835"/>
    <w:rsid w:val="000D7860"/>
    <w:rsid w:val="000D7EF7"/>
    <w:rsid w:val="000E0E7C"/>
    <w:rsid w:val="000E1ED5"/>
    <w:rsid w:val="000E2527"/>
    <w:rsid w:val="000E28FD"/>
    <w:rsid w:val="000E2B78"/>
    <w:rsid w:val="000E2E20"/>
    <w:rsid w:val="000E34D5"/>
    <w:rsid w:val="000E3C2E"/>
    <w:rsid w:val="000E3E74"/>
    <w:rsid w:val="000E54AE"/>
    <w:rsid w:val="000E6FD5"/>
    <w:rsid w:val="000F0686"/>
    <w:rsid w:val="000F14D3"/>
    <w:rsid w:val="000F29C5"/>
    <w:rsid w:val="000F496A"/>
    <w:rsid w:val="000F4B32"/>
    <w:rsid w:val="000F5551"/>
    <w:rsid w:val="000F5D21"/>
    <w:rsid w:val="000F6423"/>
    <w:rsid w:val="000F7456"/>
    <w:rsid w:val="001019DF"/>
    <w:rsid w:val="0010364E"/>
    <w:rsid w:val="00107135"/>
    <w:rsid w:val="00107AD9"/>
    <w:rsid w:val="00111A2E"/>
    <w:rsid w:val="00112E15"/>
    <w:rsid w:val="00113084"/>
    <w:rsid w:val="00113CBA"/>
    <w:rsid w:val="0011405A"/>
    <w:rsid w:val="00121331"/>
    <w:rsid w:val="00121BCC"/>
    <w:rsid w:val="00122C56"/>
    <w:rsid w:val="00123C2C"/>
    <w:rsid w:val="0012422D"/>
    <w:rsid w:val="0012460F"/>
    <w:rsid w:val="001248F1"/>
    <w:rsid w:val="0013249F"/>
    <w:rsid w:val="00132AF8"/>
    <w:rsid w:val="00133574"/>
    <w:rsid w:val="00133E75"/>
    <w:rsid w:val="00136957"/>
    <w:rsid w:val="00137044"/>
    <w:rsid w:val="00137A3B"/>
    <w:rsid w:val="001401FF"/>
    <w:rsid w:val="0014220E"/>
    <w:rsid w:val="00143124"/>
    <w:rsid w:val="00143DF3"/>
    <w:rsid w:val="00147353"/>
    <w:rsid w:val="00152456"/>
    <w:rsid w:val="00153028"/>
    <w:rsid w:val="00157EAD"/>
    <w:rsid w:val="001604F7"/>
    <w:rsid w:val="001607C3"/>
    <w:rsid w:val="00163C84"/>
    <w:rsid w:val="001724DA"/>
    <w:rsid w:val="001742DF"/>
    <w:rsid w:val="0017545A"/>
    <w:rsid w:val="001776AA"/>
    <w:rsid w:val="00177A90"/>
    <w:rsid w:val="00182F82"/>
    <w:rsid w:val="00184D18"/>
    <w:rsid w:val="001873D6"/>
    <w:rsid w:val="00190601"/>
    <w:rsid w:val="00193396"/>
    <w:rsid w:val="001933E8"/>
    <w:rsid w:val="001941E7"/>
    <w:rsid w:val="0019441B"/>
    <w:rsid w:val="001946E1"/>
    <w:rsid w:val="001952E8"/>
    <w:rsid w:val="001957EF"/>
    <w:rsid w:val="00195A18"/>
    <w:rsid w:val="00196A79"/>
    <w:rsid w:val="001A06C1"/>
    <w:rsid w:val="001A0D33"/>
    <w:rsid w:val="001A1438"/>
    <w:rsid w:val="001A3A30"/>
    <w:rsid w:val="001A672F"/>
    <w:rsid w:val="001B0203"/>
    <w:rsid w:val="001B2551"/>
    <w:rsid w:val="001B3416"/>
    <w:rsid w:val="001B5F1C"/>
    <w:rsid w:val="001B69A5"/>
    <w:rsid w:val="001B6B8D"/>
    <w:rsid w:val="001C0AF2"/>
    <w:rsid w:val="001C0F94"/>
    <w:rsid w:val="001C2A95"/>
    <w:rsid w:val="001C43C5"/>
    <w:rsid w:val="001C5976"/>
    <w:rsid w:val="001C6160"/>
    <w:rsid w:val="001D0F33"/>
    <w:rsid w:val="001D2512"/>
    <w:rsid w:val="001D2AA8"/>
    <w:rsid w:val="001D32E9"/>
    <w:rsid w:val="001D6642"/>
    <w:rsid w:val="001D67AD"/>
    <w:rsid w:val="001D6DA4"/>
    <w:rsid w:val="001F0259"/>
    <w:rsid w:val="001F04A3"/>
    <w:rsid w:val="001F221D"/>
    <w:rsid w:val="001F2A77"/>
    <w:rsid w:val="001F2B04"/>
    <w:rsid w:val="001F3674"/>
    <w:rsid w:val="001F4D9D"/>
    <w:rsid w:val="001F6D65"/>
    <w:rsid w:val="001F7F98"/>
    <w:rsid w:val="002010DD"/>
    <w:rsid w:val="00203B12"/>
    <w:rsid w:val="00205DD9"/>
    <w:rsid w:val="002068A0"/>
    <w:rsid w:val="00207128"/>
    <w:rsid w:val="00207B5D"/>
    <w:rsid w:val="00207F4A"/>
    <w:rsid w:val="00210E16"/>
    <w:rsid w:val="0021143B"/>
    <w:rsid w:val="00212176"/>
    <w:rsid w:val="00213469"/>
    <w:rsid w:val="002137E6"/>
    <w:rsid w:val="00214C07"/>
    <w:rsid w:val="00214FE8"/>
    <w:rsid w:val="002209E8"/>
    <w:rsid w:val="002222B3"/>
    <w:rsid w:val="002246B4"/>
    <w:rsid w:val="0022649B"/>
    <w:rsid w:val="00227EF1"/>
    <w:rsid w:val="002317BD"/>
    <w:rsid w:val="0023195D"/>
    <w:rsid w:val="00233697"/>
    <w:rsid w:val="00234B9A"/>
    <w:rsid w:val="00241428"/>
    <w:rsid w:val="00243BDA"/>
    <w:rsid w:val="00245147"/>
    <w:rsid w:val="00246314"/>
    <w:rsid w:val="00246762"/>
    <w:rsid w:val="00252CD5"/>
    <w:rsid w:val="0025335C"/>
    <w:rsid w:val="00255687"/>
    <w:rsid w:val="00256599"/>
    <w:rsid w:val="00264AF4"/>
    <w:rsid w:val="00265834"/>
    <w:rsid w:val="002669B6"/>
    <w:rsid w:val="00273B59"/>
    <w:rsid w:val="00273FDB"/>
    <w:rsid w:val="00275317"/>
    <w:rsid w:val="00276161"/>
    <w:rsid w:val="00276393"/>
    <w:rsid w:val="00280F75"/>
    <w:rsid w:val="00282221"/>
    <w:rsid w:val="00282316"/>
    <w:rsid w:val="00284B41"/>
    <w:rsid w:val="0028782F"/>
    <w:rsid w:val="00287E6A"/>
    <w:rsid w:val="0029116C"/>
    <w:rsid w:val="002923ED"/>
    <w:rsid w:val="00292A70"/>
    <w:rsid w:val="00293193"/>
    <w:rsid w:val="002952DC"/>
    <w:rsid w:val="0029693F"/>
    <w:rsid w:val="002A32A3"/>
    <w:rsid w:val="002A3F68"/>
    <w:rsid w:val="002A47AC"/>
    <w:rsid w:val="002A59B6"/>
    <w:rsid w:val="002B24C7"/>
    <w:rsid w:val="002B24CF"/>
    <w:rsid w:val="002B4116"/>
    <w:rsid w:val="002B58B7"/>
    <w:rsid w:val="002B6B6B"/>
    <w:rsid w:val="002B6E57"/>
    <w:rsid w:val="002B7EFC"/>
    <w:rsid w:val="002C057E"/>
    <w:rsid w:val="002C497B"/>
    <w:rsid w:val="002D0778"/>
    <w:rsid w:val="002D0D0A"/>
    <w:rsid w:val="002D45EB"/>
    <w:rsid w:val="002D78E0"/>
    <w:rsid w:val="002D7E5B"/>
    <w:rsid w:val="002E328C"/>
    <w:rsid w:val="002E3F06"/>
    <w:rsid w:val="002E4CAA"/>
    <w:rsid w:val="002F0574"/>
    <w:rsid w:val="002F3CFB"/>
    <w:rsid w:val="002F3DC9"/>
    <w:rsid w:val="003014C7"/>
    <w:rsid w:val="00301E3D"/>
    <w:rsid w:val="0030356F"/>
    <w:rsid w:val="00303D4A"/>
    <w:rsid w:val="0030668E"/>
    <w:rsid w:val="00313F31"/>
    <w:rsid w:val="0031489B"/>
    <w:rsid w:val="003159A5"/>
    <w:rsid w:val="00316D08"/>
    <w:rsid w:val="00320B48"/>
    <w:rsid w:val="00320EA6"/>
    <w:rsid w:val="00321D22"/>
    <w:rsid w:val="00321DBF"/>
    <w:rsid w:val="0032562D"/>
    <w:rsid w:val="00330CD8"/>
    <w:rsid w:val="00332A59"/>
    <w:rsid w:val="00334FD9"/>
    <w:rsid w:val="00335905"/>
    <w:rsid w:val="00335EC5"/>
    <w:rsid w:val="00340BF5"/>
    <w:rsid w:val="00340DB4"/>
    <w:rsid w:val="00342B85"/>
    <w:rsid w:val="00343158"/>
    <w:rsid w:val="0034728D"/>
    <w:rsid w:val="00347990"/>
    <w:rsid w:val="00347A6B"/>
    <w:rsid w:val="00347D52"/>
    <w:rsid w:val="00356F03"/>
    <w:rsid w:val="00362C2D"/>
    <w:rsid w:val="00363B8B"/>
    <w:rsid w:val="003646B6"/>
    <w:rsid w:val="003655A7"/>
    <w:rsid w:val="0036799E"/>
    <w:rsid w:val="00367DD5"/>
    <w:rsid w:val="00367F88"/>
    <w:rsid w:val="00371D4F"/>
    <w:rsid w:val="003732E7"/>
    <w:rsid w:val="0037438F"/>
    <w:rsid w:val="00375DAC"/>
    <w:rsid w:val="00376532"/>
    <w:rsid w:val="00377D9B"/>
    <w:rsid w:val="00382037"/>
    <w:rsid w:val="0038291E"/>
    <w:rsid w:val="003848FA"/>
    <w:rsid w:val="00386063"/>
    <w:rsid w:val="0039018C"/>
    <w:rsid w:val="003919D0"/>
    <w:rsid w:val="0039325B"/>
    <w:rsid w:val="00394479"/>
    <w:rsid w:val="003959A0"/>
    <w:rsid w:val="00396DF1"/>
    <w:rsid w:val="003976F0"/>
    <w:rsid w:val="003A1D1D"/>
    <w:rsid w:val="003A40E4"/>
    <w:rsid w:val="003A42A5"/>
    <w:rsid w:val="003A4F9C"/>
    <w:rsid w:val="003B2988"/>
    <w:rsid w:val="003B34C6"/>
    <w:rsid w:val="003B5982"/>
    <w:rsid w:val="003B63F0"/>
    <w:rsid w:val="003C1D2D"/>
    <w:rsid w:val="003C3AC8"/>
    <w:rsid w:val="003C3FD3"/>
    <w:rsid w:val="003C571C"/>
    <w:rsid w:val="003D28F5"/>
    <w:rsid w:val="003D31DC"/>
    <w:rsid w:val="003D402D"/>
    <w:rsid w:val="003D756E"/>
    <w:rsid w:val="003E1626"/>
    <w:rsid w:val="003E242D"/>
    <w:rsid w:val="003E2B90"/>
    <w:rsid w:val="003E2BE2"/>
    <w:rsid w:val="003E4309"/>
    <w:rsid w:val="003E46D4"/>
    <w:rsid w:val="003E4EE9"/>
    <w:rsid w:val="003E52DC"/>
    <w:rsid w:val="003E54EF"/>
    <w:rsid w:val="003F097D"/>
    <w:rsid w:val="003F3FC0"/>
    <w:rsid w:val="003F4D2B"/>
    <w:rsid w:val="003F516B"/>
    <w:rsid w:val="00400E7D"/>
    <w:rsid w:val="00402228"/>
    <w:rsid w:val="00402DAB"/>
    <w:rsid w:val="00402F6E"/>
    <w:rsid w:val="00403592"/>
    <w:rsid w:val="004060E7"/>
    <w:rsid w:val="00407521"/>
    <w:rsid w:val="00410EE2"/>
    <w:rsid w:val="00411029"/>
    <w:rsid w:val="0041254B"/>
    <w:rsid w:val="00412B19"/>
    <w:rsid w:val="00412D9F"/>
    <w:rsid w:val="00413D50"/>
    <w:rsid w:val="00416A1D"/>
    <w:rsid w:val="004174E8"/>
    <w:rsid w:val="0041751F"/>
    <w:rsid w:val="00420AA0"/>
    <w:rsid w:val="004231EC"/>
    <w:rsid w:val="00423383"/>
    <w:rsid w:val="00424A00"/>
    <w:rsid w:val="004261B7"/>
    <w:rsid w:val="0042730D"/>
    <w:rsid w:val="004310C6"/>
    <w:rsid w:val="0043310F"/>
    <w:rsid w:val="00434C3D"/>
    <w:rsid w:val="0043605B"/>
    <w:rsid w:val="00440F8F"/>
    <w:rsid w:val="00444257"/>
    <w:rsid w:val="00445035"/>
    <w:rsid w:val="00446F41"/>
    <w:rsid w:val="00450E7A"/>
    <w:rsid w:val="004532EE"/>
    <w:rsid w:val="00454A7C"/>
    <w:rsid w:val="00455790"/>
    <w:rsid w:val="0045762F"/>
    <w:rsid w:val="0045793A"/>
    <w:rsid w:val="004616FB"/>
    <w:rsid w:val="00462103"/>
    <w:rsid w:val="00465B04"/>
    <w:rsid w:val="00465C99"/>
    <w:rsid w:val="00466686"/>
    <w:rsid w:val="0047067A"/>
    <w:rsid w:val="0047079F"/>
    <w:rsid w:val="00472B44"/>
    <w:rsid w:val="00473CF6"/>
    <w:rsid w:val="0047551F"/>
    <w:rsid w:val="00475DA5"/>
    <w:rsid w:val="00475F0F"/>
    <w:rsid w:val="00476363"/>
    <w:rsid w:val="00476A79"/>
    <w:rsid w:val="00482A50"/>
    <w:rsid w:val="00483175"/>
    <w:rsid w:val="00490040"/>
    <w:rsid w:val="004928A4"/>
    <w:rsid w:val="00495B72"/>
    <w:rsid w:val="00495DC2"/>
    <w:rsid w:val="004A0606"/>
    <w:rsid w:val="004A0E64"/>
    <w:rsid w:val="004A4BCE"/>
    <w:rsid w:val="004A4F40"/>
    <w:rsid w:val="004A59FE"/>
    <w:rsid w:val="004A7766"/>
    <w:rsid w:val="004B0BEC"/>
    <w:rsid w:val="004B0F54"/>
    <w:rsid w:val="004B31B6"/>
    <w:rsid w:val="004B58C3"/>
    <w:rsid w:val="004B6D08"/>
    <w:rsid w:val="004B791F"/>
    <w:rsid w:val="004C05B5"/>
    <w:rsid w:val="004C08AC"/>
    <w:rsid w:val="004C11C2"/>
    <w:rsid w:val="004C52DD"/>
    <w:rsid w:val="004D25AE"/>
    <w:rsid w:val="004D4C01"/>
    <w:rsid w:val="004D54C0"/>
    <w:rsid w:val="004D5816"/>
    <w:rsid w:val="004E13D1"/>
    <w:rsid w:val="004E42FD"/>
    <w:rsid w:val="004E609C"/>
    <w:rsid w:val="004E614F"/>
    <w:rsid w:val="004E63DC"/>
    <w:rsid w:val="004E640A"/>
    <w:rsid w:val="004E65B5"/>
    <w:rsid w:val="004E681C"/>
    <w:rsid w:val="004E6AE5"/>
    <w:rsid w:val="004F0403"/>
    <w:rsid w:val="004F05D5"/>
    <w:rsid w:val="004F10F1"/>
    <w:rsid w:val="004F2194"/>
    <w:rsid w:val="004F24FC"/>
    <w:rsid w:val="00500E4E"/>
    <w:rsid w:val="005036A4"/>
    <w:rsid w:val="0050413C"/>
    <w:rsid w:val="00510963"/>
    <w:rsid w:val="00510A4A"/>
    <w:rsid w:val="00516A76"/>
    <w:rsid w:val="00520EF9"/>
    <w:rsid w:val="005218B5"/>
    <w:rsid w:val="00521F2C"/>
    <w:rsid w:val="00522907"/>
    <w:rsid w:val="00522F4A"/>
    <w:rsid w:val="00524432"/>
    <w:rsid w:val="005247C9"/>
    <w:rsid w:val="00526CE4"/>
    <w:rsid w:val="00527583"/>
    <w:rsid w:val="005275E4"/>
    <w:rsid w:val="00533469"/>
    <w:rsid w:val="00534278"/>
    <w:rsid w:val="00534B07"/>
    <w:rsid w:val="00534BDC"/>
    <w:rsid w:val="00534F8A"/>
    <w:rsid w:val="00534FDC"/>
    <w:rsid w:val="00535206"/>
    <w:rsid w:val="00537AA1"/>
    <w:rsid w:val="00541797"/>
    <w:rsid w:val="00543BB1"/>
    <w:rsid w:val="00554526"/>
    <w:rsid w:val="005557FB"/>
    <w:rsid w:val="005564E0"/>
    <w:rsid w:val="00561B4D"/>
    <w:rsid w:val="005631B6"/>
    <w:rsid w:val="0056477E"/>
    <w:rsid w:val="00564CE6"/>
    <w:rsid w:val="00567889"/>
    <w:rsid w:val="00570A7C"/>
    <w:rsid w:val="005730C6"/>
    <w:rsid w:val="0057327E"/>
    <w:rsid w:val="005736AC"/>
    <w:rsid w:val="005747B3"/>
    <w:rsid w:val="005748D8"/>
    <w:rsid w:val="00574E4C"/>
    <w:rsid w:val="00580DA1"/>
    <w:rsid w:val="00581465"/>
    <w:rsid w:val="00581A1E"/>
    <w:rsid w:val="0058217D"/>
    <w:rsid w:val="0058224D"/>
    <w:rsid w:val="0058251B"/>
    <w:rsid w:val="00585048"/>
    <w:rsid w:val="00586016"/>
    <w:rsid w:val="00590542"/>
    <w:rsid w:val="00591A3D"/>
    <w:rsid w:val="00593F98"/>
    <w:rsid w:val="0059445C"/>
    <w:rsid w:val="00594A4C"/>
    <w:rsid w:val="00596292"/>
    <w:rsid w:val="005A16EB"/>
    <w:rsid w:val="005A172C"/>
    <w:rsid w:val="005A1BA4"/>
    <w:rsid w:val="005A25D1"/>
    <w:rsid w:val="005A39EB"/>
    <w:rsid w:val="005A65D3"/>
    <w:rsid w:val="005B0D65"/>
    <w:rsid w:val="005B1314"/>
    <w:rsid w:val="005C0037"/>
    <w:rsid w:val="005C0C1A"/>
    <w:rsid w:val="005C24B9"/>
    <w:rsid w:val="005C351E"/>
    <w:rsid w:val="005C428F"/>
    <w:rsid w:val="005C725E"/>
    <w:rsid w:val="005C74DE"/>
    <w:rsid w:val="005C7DC6"/>
    <w:rsid w:val="005D2B5E"/>
    <w:rsid w:val="005D35F7"/>
    <w:rsid w:val="005D3E13"/>
    <w:rsid w:val="005D4051"/>
    <w:rsid w:val="005D55CB"/>
    <w:rsid w:val="005D5E4D"/>
    <w:rsid w:val="005D7101"/>
    <w:rsid w:val="005E20A3"/>
    <w:rsid w:val="005E2640"/>
    <w:rsid w:val="005E29DA"/>
    <w:rsid w:val="005E623B"/>
    <w:rsid w:val="005F1CAF"/>
    <w:rsid w:val="005F329B"/>
    <w:rsid w:val="005F4AAF"/>
    <w:rsid w:val="005F5500"/>
    <w:rsid w:val="005F72AF"/>
    <w:rsid w:val="005F741E"/>
    <w:rsid w:val="00600C90"/>
    <w:rsid w:val="006010E6"/>
    <w:rsid w:val="00602381"/>
    <w:rsid w:val="00602BBA"/>
    <w:rsid w:val="006031AF"/>
    <w:rsid w:val="0060408C"/>
    <w:rsid w:val="006043B2"/>
    <w:rsid w:val="00604711"/>
    <w:rsid w:val="00605248"/>
    <w:rsid w:val="00605599"/>
    <w:rsid w:val="006063E4"/>
    <w:rsid w:val="006101B4"/>
    <w:rsid w:val="006101B5"/>
    <w:rsid w:val="006101FF"/>
    <w:rsid w:val="00611996"/>
    <w:rsid w:val="006148EF"/>
    <w:rsid w:val="00615C06"/>
    <w:rsid w:val="00616C69"/>
    <w:rsid w:val="00620541"/>
    <w:rsid w:val="00622E4C"/>
    <w:rsid w:val="00623094"/>
    <w:rsid w:val="00623DA5"/>
    <w:rsid w:val="00627F95"/>
    <w:rsid w:val="00631C18"/>
    <w:rsid w:val="00631CC7"/>
    <w:rsid w:val="00633539"/>
    <w:rsid w:val="006335E0"/>
    <w:rsid w:val="00635550"/>
    <w:rsid w:val="0063588B"/>
    <w:rsid w:val="00635DF2"/>
    <w:rsid w:val="00635F8E"/>
    <w:rsid w:val="006367B1"/>
    <w:rsid w:val="00636CAA"/>
    <w:rsid w:val="00637489"/>
    <w:rsid w:val="00637D03"/>
    <w:rsid w:val="00637F4E"/>
    <w:rsid w:val="006402FC"/>
    <w:rsid w:val="0064030D"/>
    <w:rsid w:val="00640880"/>
    <w:rsid w:val="0064131E"/>
    <w:rsid w:val="00644C2E"/>
    <w:rsid w:val="0064539C"/>
    <w:rsid w:val="00645642"/>
    <w:rsid w:val="006509DD"/>
    <w:rsid w:val="00650C83"/>
    <w:rsid w:val="006522FC"/>
    <w:rsid w:val="00653D6A"/>
    <w:rsid w:val="00660A3E"/>
    <w:rsid w:val="00663EA4"/>
    <w:rsid w:val="00664CB7"/>
    <w:rsid w:val="006742B5"/>
    <w:rsid w:val="00674BA7"/>
    <w:rsid w:val="006750B9"/>
    <w:rsid w:val="00676657"/>
    <w:rsid w:val="00681512"/>
    <w:rsid w:val="00681FBA"/>
    <w:rsid w:val="0068268B"/>
    <w:rsid w:val="00684C55"/>
    <w:rsid w:val="00685010"/>
    <w:rsid w:val="006902CE"/>
    <w:rsid w:val="00691334"/>
    <w:rsid w:val="006918D7"/>
    <w:rsid w:val="006922F1"/>
    <w:rsid w:val="006A08EC"/>
    <w:rsid w:val="006A1B55"/>
    <w:rsid w:val="006A280A"/>
    <w:rsid w:val="006A3F7B"/>
    <w:rsid w:val="006A4025"/>
    <w:rsid w:val="006A495B"/>
    <w:rsid w:val="006A4DAA"/>
    <w:rsid w:val="006A6C20"/>
    <w:rsid w:val="006A7D2D"/>
    <w:rsid w:val="006A7D6E"/>
    <w:rsid w:val="006B0414"/>
    <w:rsid w:val="006B1BE1"/>
    <w:rsid w:val="006B53AF"/>
    <w:rsid w:val="006B5FA4"/>
    <w:rsid w:val="006B623C"/>
    <w:rsid w:val="006C093E"/>
    <w:rsid w:val="006C3259"/>
    <w:rsid w:val="006C67FA"/>
    <w:rsid w:val="006D0341"/>
    <w:rsid w:val="006D0AE3"/>
    <w:rsid w:val="006D1251"/>
    <w:rsid w:val="006D1B3B"/>
    <w:rsid w:val="006D42B1"/>
    <w:rsid w:val="006D482D"/>
    <w:rsid w:val="006D7BD7"/>
    <w:rsid w:val="006E03CE"/>
    <w:rsid w:val="006E082F"/>
    <w:rsid w:val="006E11BC"/>
    <w:rsid w:val="006E355F"/>
    <w:rsid w:val="006E3CA5"/>
    <w:rsid w:val="006F0D52"/>
    <w:rsid w:val="006F293D"/>
    <w:rsid w:val="006F42E4"/>
    <w:rsid w:val="006F4D09"/>
    <w:rsid w:val="006F552A"/>
    <w:rsid w:val="006F5C3B"/>
    <w:rsid w:val="00701D64"/>
    <w:rsid w:val="00702B0D"/>
    <w:rsid w:val="00702E94"/>
    <w:rsid w:val="00704307"/>
    <w:rsid w:val="007050CD"/>
    <w:rsid w:val="00705C65"/>
    <w:rsid w:val="007078E7"/>
    <w:rsid w:val="00707C01"/>
    <w:rsid w:val="00710092"/>
    <w:rsid w:val="00711680"/>
    <w:rsid w:val="00711F82"/>
    <w:rsid w:val="00712E26"/>
    <w:rsid w:val="00714671"/>
    <w:rsid w:val="00715520"/>
    <w:rsid w:val="007166CE"/>
    <w:rsid w:val="00717350"/>
    <w:rsid w:val="00722CD8"/>
    <w:rsid w:val="0072590E"/>
    <w:rsid w:val="0072710D"/>
    <w:rsid w:val="00730E58"/>
    <w:rsid w:val="00732C32"/>
    <w:rsid w:val="007332CF"/>
    <w:rsid w:val="007346D0"/>
    <w:rsid w:val="00735F71"/>
    <w:rsid w:val="00736F7F"/>
    <w:rsid w:val="00741567"/>
    <w:rsid w:val="00743FEE"/>
    <w:rsid w:val="007447A2"/>
    <w:rsid w:val="007452BB"/>
    <w:rsid w:val="007454E0"/>
    <w:rsid w:val="007463DE"/>
    <w:rsid w:val="00746C51"/>
    <w:rsid w:val="00754C31"/>
    <w:rsid w:val="00755236"/>
    <w:rsid w:val="0075546C"/>
    <w:rsid w:val="007557CC"/>
    <w:rsid w:val="0075618F"/>
    <w:rsid w:val="00757763"/>
    <w:rsid w:val="007601F1"/>
    <w:rsid w:val="00766920"/>
    <w:rsid w:val="0077000E"/>
    <w:rsid w:val="0077359A"/>
    <w:rsid w:val="00777086"/>
    <w:rsid w:val="00777A80"/>
    <w:rsid w:val="00777AB5"/>
    <w:rsid w:val="0078063D"/>
    <w:rsid w:val="0078074C"/>
    <w:rsid w:val="0078090A"/>
    <w:rsid w:val="007813E4"/>
    <w:rsid w:val="00781670"/>
    <w:rsid w:val="0078200A"/>
    <w:rsid w:val="00784A7A"/>
    <w:rsid w:val="00784FD5"/>
    <w:rsid w:val="00786C9E"/>
    <w:rsid w:val="00787EAC"/>
    <w:rsid w:val="007917AA"/>
    <w:rsid w:val="007929E2"/>
    <w:rsid w:val="00794115"/>
    <w:rsid w:val="00794EEE"/>
    <w:rsid w:val="007A04A9"/>
    <w:rsid w:val="007A12BA"/>
    <w:rsid w:val="007A3042"/>
    <w:rsid w:val="007A3062"/>
    <w:rsid w:val="007A579A"/>
    <w:rsid w:val="007A58E7"/>
    <w:rsid w:val="007A798B"/>
    <w:rsid w:val="007B111E"/>
    <w:rsid w:val="007B2CEB"/>
    <w:rsid w:val="007B49C8"/>
    <w:rsid w:val="007B56EE"/>
    <w:rsid w:val="007B5763"/>
    <w:rsid w:val="007B64C6"/>
    <w:rsid w:val="007B6B80"/>
    <w:rsid w:val="007B7C6C"/>
    <w:rsid w:val="007B7DF5"/>
    <w:rsid w:val="007C16B1"/>
    <w:rsid w:val="007C2E2C"/>
    <w:rsid w:val="007C5B8D"/>
    <w:rsid w:val="007C5E8D"/>
    <w:rsid w:val="007C602D"/>
    <w:rsid w:val="007C6B93"/>
    <w:rsid w:val="007D0A72"/>
    <w:rsid w:val="007D1119"/>
    <w:rsid w:val="007D138D"/>
    <w:rsid w:val="007D3D30"/>
    <w:rsid w:val="007D4D81"/>
    <w:rsid w:val="007D593C"/>
    <w:rsid w:val="007D7CBB"/>
    <w:rsid w:val="007E01E9"/>
    <w:rsid w:val="007E1332"/>
    <w:rsid w:val="007E2CE0"/>
    <w:rsid w:val="007E3C5C"/>
    <w:rsid w:val="007E402F"/>
    <w:rsid w:val="007E43DE"/>
    <w:rsid w:val="007E6246"/>
    <w:rsid w:val="007E6258"/>
    <w:rsid w:val="007E66CA"/>
    <w:rsid w:val="007F0B3C"/>
    <w:rsid w:val="007F4A97"/>
    <w:rsid w:val="007F74AB"/>
    <w:rsid w:val="007F751D"/>
    <w:rsid w:val="0080071A"/>
    <w:rsid w:val="0080096B"/>
    <w:rsid w:val="008016D0"/>
    <w:rsid w:val="00804CA1"/>
    <w:rsid w:val="00804FD2"/>
    <w:rsid w:val="00805181"/>
    <w:rsid w:val="008051FC"/>
    <w:rsid w:val="00805CD1"/>
    <w:rsid w:val="00812D0B"/>
    <w:rsid w:val="00815563"/>
    <w:rsid w:val="00816B3E"/>
    <w:rsid w:val="008179E1"/>
    <w:rsid w:val="008225CD"/>
    <w:rsid w:val="008236FC"/>
    <w:rsid w:val="0082413C"/>
    <w:rsid w:val="00826782"/>
    <w:rsid w:val="00831265"/>
    <w:rsid w:val="00832A78"/>
    <w:rsid w:val="0083435B"/>
    <w:rsid w:val="0083482E"/>
    <w:rsid w:val="00836E83"/>
    <w:rsid w:val="00837E27"/>
    <w:rsid w:val="008401D3"/>
    <w:rsid w:val="008406E5"/>
    <w:rsid w:val="008408C3"/>
    <w:rsid w:val="0084647B"/>
    <w:rsid w:val="00846F28"/>
    <w:rsid w:val="00846FED"/>
    <w:rsid w:val="00847519"/>
    <w:rsid w:val="008506BE"/>
    <w:rsid w:val="008512B1"/>
    <w:rsid w:val="00852928"/>
    <w:rsid w:val="00852B29"/>
    <w:rsid w:val="00852F2E"/>
    <w:rsid w:val="00853D17"/>
    <w:rsid w:val="00855BFC"/>
    <w:rsid w:val="008604E6"/>
    <w:rsid w:val="00860D36"/>
    <w:rsid w:val="008621CC"/>
    <w:rsid w:val="0086325E"/>
    <w:rsid w:val="00865DC5"/>
    <w:rsid w:val="008660F7"/>
    <w:rsid w:val="00866157"/>
    <w:rsid w:val="00867390"/>
    <w:rsid w:val="00870061"/>
    <w:rsid w:val="00871DD1"/>
    <w:rsid w:val="00873DDA"/>
    <w:rsid w:val="00874B3E"/>
    <w:rsid w:val="00880961"/>
    <w:rsid w:val="00880B57"/>
    <w:rsid w:val="00880C3D"/>
    <w:rsid w:val="008832A0"/>
    <w:rsid w:val="00883775"/>
    <w:rsid w:val="00883D01"/>
    <w:rsid w:val="00884EE3"/>
    <w:rsid w:val="008860F9"/>
    <w:rsid w:val="00886937"/>
    <w:rsid w:val="00886D36"/>
    <w:rsid w:val="0089490B"/>
    <w:rsid w:val="00895AAB"/>
    <w:rsid w:val="00895FE5"/>
    <w:rsid w:val="008A04F2"/>
    <w:rsid w:val="008A056F"/>
    <w:rsid w:val="008A0DC4"/>
    <w:rsid w:val="008A1AC4"/>
    <w:rsid w:val="008A2C19"/>
    <w:rsid w:val="008A30D9"/>
    <w:rsid w:val="008A314A"/>
    <w:rsid w:val="008A6B3D"/>
    <w:rsid w:val="008A7096"/>
    <w:rsid w:val="008A74DE"/>
    <w:rsid w:val="008B183F"/>
    <w:rsid w:val="008B2F60"/>
    <w:rsid w:val="008B5455"/>
    <w:rsid w:val="008C17DB"/>
    <w:rsid w:val="008C204F"/>
    <w:rsid w:val="008C25FB"/>
    <w:rsid w:val="008C4985"/>
    <w:rsid w:val="008C5145"/>
    <w:rsid w:val="008C55AA"/>
    <w:rsid w:val="008C662C"/>
    <w:rsid w:val="008C7287"/>
    <w:rsid w:val="008D563D"/>
    <w:rsid w:val="008D5ED6"/>
    <w:rsid w:val="008D7941"/>
    <w:rsid w:val="008E0689"/>
    <w:rsid w:val="008E24D5"/>
    <w:rsid w:val="008E2E7E"/>
    <w:rsid w:val="008E5FF2"/>
    <w:rsid w:val="008E6C60"/>
    <w:rsid w:val="008E7728"/>
    <w:rsid w:val="008F3830"/>
    <w:rsid w:val="008F3880"/>
    <w:rsid w:val="008F3D2B"/>
    <w:rsid w:val="008F5396"/>
    <w:rsid w:val="008F680B"/>
    <w:rsid w:val="009042A1"/>
    <w:rsid w:val="00904558"/>
    <w:rsid w:val="00906793"/>
    <w:rsid w:val="00911877"/>
    <w:rsid w:val="00913249"/>
    <w:rsid w:val="00914BA5"/>
    <w:rsid w:val="0091513A"/>
    <w:rsid w:val="00923757"/>
    <w:rsid w:val="00924AE4"/>
    <w:rsid w:val="00924DF5"/>
    <w:rsid w:val="00925278"/>
    <w:rsid w:val="00925560"/>
    <w:rsid w:val="00932767"/>
    <w:rsid w:val="00936F01"/>
    <w:rsid w:val="00940F67"/>
    <w:rsid w:val="00941CDC"/>
    <w:rsid w:val="0094738C"/>
    <w:rsid w:val="00956824"/>
    <w:rsid w:val="0096001B"/>
    <w:rsid w:val="00960514"/>
    <w:rsid w:val="00963ED6"/>
    <w:rsid w:val="00963FF2"/>
    <w:rsid w:val="0096402C"/>
    <w:rsid w:val="009658A4"/>
    <w:rsid w:val="00967691"/>
    <w:rsid w:val="009700F3"/>
    <w:rsid w:val="00974ED9"/>
    <w:rsid w:val="0097552A"/>
    <w:rsid w:val="00977E89"/>
    <w:rsid w:val="00982E4B"/>
    <w:rsid w:val="0098300A"/>
    <w:rsid w:val="00983013"/>
    <w:rsid w:val="0099049B"/>
    <w:rsid w:val="00992137"/>
    <w:rsid w:val="0099355D"/>
    <w:rsid w:val="0099504B"/>
    <w:rsid w:val="00996C00"/>
    <w:rsid w:val="009A0AA0"/>
    <w:rsid w:val="009A0D93"/>
    <w:rsid w:val="009A2128"/>
    <w:rsid w:val="009A235B"/>
    <w:rsid w:val="009A255A"/>
    <w:rsid w:val="009A42EF"/>
    <w:rsid w:val="009A558D"/>
    <w:rsid w:val="009B4AA6"/>
    <w:rsid w:val="009B54C0"/>
    <w:rsid w:val="009B5EA6"/>
    <w:rsid w:val="009C2145"/>
    <w:rsid w:val="009C2A6F"/>
    <w:rsid w:val="009C3A88"/>
    <w:rsid w:val="009C48EE"/>
    <w:rsid w:val="009C5351"/>
    <w:rsid w:val="009C5F30"/>
    <w:rsid w:val="009C7E67"/>
    <w:rsid w:val="009D0C8C"/>
    <w:rsid w:val="009D5445"/>
    <w:rsid w:val="009D675E"/>
    <w:rsid w:val="009D677C"/>
    <w:rsid w:val="009D69A2"/>
    <w:rsid w:val="009E1A32"/>
    <w:rsid w:val="009E4A72"/>
    <w:rsid w:val="009E6A69"/>
    <w:rsid w:val="009E6C8B"/>
    <w:rsid w:val="009E6DD5"/>
    <w:rsid w:val="009E7D39"/>
    <w:rsid w:val="009E7FE2"/>
    <w:rsid w:val="009F0398"/>
    <w:rsid w:val="009F1646"/>
    <w:rsid w:val="009F1BE8"/>
    <w:rsid w:val="009F2E9D"/>
    <w:rsid w:val="009F366B"/>
    <w:rsid w:val="009F39A3"/>
    <w:rsid w:val="009F3AD8"/>
    <w:rsid w:val="009F424E"/>
    <w:rsid w:val="009F52E0"/>
    <w:rsid w:val="009F62DA"/>
    <w:rsid w:val="009F6848"/>
    <w:rsid w:val="009F7B57"/>
    <w:rsid w:val="00A00A47"/>
    <w:rsid w:val="00A03DBF"/>
    <w:rsid w:val="00A102AE"/>
    <w:rsid w:val="00A12F9B"/>
    <w:rsid w:val="00A148F1"/>
    <w:rsid w:val="00A14EEA"/>
    <w:rsid w:val="00A154B0"/>
    <w:rsid w:val="00A15A93"/>
    <w:rsid w:val="00A2183B"/>
    <w:rsid w:val="00A22005"/>
    <w:rsid w:val="00A22AAF"/>
    <w:rsid w:val="00A23444"/>
    <w:rsid w:val="00A24B77"/>
    <w:rsid w:val="00A256CA"/>
    <w:rsid w:val="00A27EF9"/>
    <w:rsid w:val="00A31187"/>
    <w:rsid w:val="00A356EE"/>
    <w:rsid w:val="00A36760"/>
    <w:rsid w:val="00A36D33"/>
    <w:rsid w:val="00A373C7"/>
    <w:rsid w:val="00A37F68"/>
    <w:rsid w:val="00A41AC6"/>
    <w:rsid w:val="00A42C43"/>
    <w:rsid w:val="00A43DD4"/>
    <w:rsid w:val="00A44327"/>
    <w:rsid w:val="00A5051D"/>
    <w:rsid w:val="00A50F35"/>
    <w:rsid w:val="00A52D40"/>
    <w:rsid w:val="00A530EC"/>
    <w:rsid w:val="00A53313"/>
    <w:rsid w:val="00A53965"/>
    <w:rsid w:val="00A53998"/>
    <w:rsid w:val="00A53AE6"/>
    <w:rsid w:val="00A541EC"/>
    <w:rsid w:val="00A55CAA"/>
    <w:rsid w:val="00A572B3"/>
    <w:rsid w:val="00A57DA1"/>
    <w:rsid w:val="00A60F4E"/>
    <w:rsid w:val="00A62178"/>
    <w:rsid w:val="00A62AE9"/>
    <w:rsid w:val="00A701D6"/>
    <w:rsid w:val="00A70309"/>
    <w:rsid w:val="00A736D6"/>
    <w:rsid w:val="00A73979"/>
    <w:rsid w:val="00A76E3E"/>
    <w:rsid w:val="00A7758B"/>
    <w:rsid w:val="00A830BD"/>
    <w:rsid w:val="00A833FD"/>
    <w:rsid w:val="00A84017"/>
    <w:rsid w:val="00A86208"/>
    <w:rsid w:val="00A86290"/>
    <w:rsid w:val="00A86B83"/>
    <w:rsid w:val="00A8722F"/>
    <w:rsid w:val="00A91597"/>
    <w:rsid w:val="00A91BDC"/>
    <w:rsid w:val="00A91F1B"/>
    <w:rsid w:val="00A94224"/>
    <w:rsid w:val="00A97451"/>
    <w:rsid w:val="00AA04FA"/>
    <w:rsid w:val="00AA3E02"/>
    <w:rsid w:val="00AA4FE2"/>
    <w:rsid w:val="00AB25E6"/>
    <w:rsid w:val="00AB25EB"/>
    <w:rsid w:val="00AB396F"/>
    <w:rsid w:val="00AB4E22"/>
    <w:rsid w:val="00AB6B17"/>
    <w:rsid w:val="00AC218B"/>
    <w:rsid w:val="00AC2D06"/>
    <w:rsid w:val="00AC7244"/>
    <w:rsid w:val="00AC7F99"/>
    <w:rsid w:val="00AD02A7"/>
    <w:rsid w:val="00AD15C5"/>
    <w:rsid w:val="00AD3458"/>
    <w:rsid w:val="00AD377C"/>
    <w:rsid w:val="00AD4813"/>
    <w:rsid w:val="00AD75D1"/>
    <w:rsid w:val="00AE367A"/>
    <w:rsid w:val="00AE41C0"/>
    <w:rsid w:val="00AE5F80"/>
    <w:rsid w:val="00AE6086"/>
    <w:rsid w:val="00AE6740"/>
    <w:rsid w:val="00AE6DF3"/>
    <w:rsid w:val="00AF1E62"/>
    <w:rsid w:val="00AF4A11"/>
    <w:rsid w:val="00AF4C82"/>
    <w:rsid w:val="00AF5F4B"/>
    <w:rsid w:val="00AF6ACC"/>
    <w:rsid w:val="00B002EE"/>
    <w:rsid w:val="00B06337"/>
    <w:rsid w:val="00B07B80"/>
    <w:rsid w:val="00B15364"/>
    <w:rsid w:val="00B16E0A"/>
    <w:rsid w:val="00B1761A"/>
    <w:rsid w:val="00B202DC"/>
    <w:rsid w:val="00B2345C"/>
    <w:rsid w:val="00B23C29"/>
    <w:rsid w:val="00B24D42"/>
    <w:rsid w:val="00B27822"/>
    <w:rsid w:val="00B3197F"/>
    <w:rsid w:val="00B339D7"/>
    <w:rsid w:val="00B3451F"/>
    <w:rsid w:val="00B3474D"/>
    <w:rsid w:val="00B358A2"/>
    <w:rsid w:val="00B36067"/>
    <w:rsid w:val="00B361EC"/>
    <w:rsid w:val="00B37EF0"/>
    <w:rsid w:val="00B37FCC"/>
    <w:rsid w:val="00B41031"/>
    <w:rsid w:val="00B426B7"/>
    <w:rsid w:val="00B42AD3"/>
    <w:rsid w:val="00B44E1D"/>
    <w:rsid w:val="00B45191"/>
    <w:rsid w:val="00B45E49"/>
    <w:rsid w:val="00B46F1C"/>
    <w:rsid w:val="00B475D9"/>
    <w:rsid w:val="00B50520"/>
    <w:rsid w:val="00B5066E"/>
    <w:rsid w:val="00B5423A"/>
    <w:rsid w:val="00B5797C"/>
    <w:rsid w:val="00B57D9A"/>
    <w:rsid w:val="00B601A7"/>
    <w:rsid w:val="00B60F51"/>
    <w:rsid w:val="00B613B0"/>
    <w:rsid w:val="00B61D2C"/>
    <w:rsid w:val="00B62396"/>
    <w:rsid w:val="00B634A9"/>
    <w:rsid w:val="00B6404A"/>
    <w:rsid w:val="00B64197"/>
    <w:rsid w:val="00B64C3A"/>
    <w:rsid w:val="00B65C8F"/>
    <w:rsid w:val="00B66086"/>
    <w:rsid w:val="00B660E8"/>
    <w:rsid w:val="00B66356"/>
    <w:rsid w:val="00B7050D"/>
    <w:rsid w:val="00B72FB7"/>
    <w:rsid w:val="00B75288"/>
    <w:rsid w:val="00B8243B"/>
    <w:rsid w:val="00B8287A"/>
    <w:rsid w:val="00B8417E"/>
    <w:rsid w:val="00B8576F"/>
    <w:rsid w:val="00B85B4E"/>
    <w:rsid w:val="00B86630"/>
    <w:rsid w:val="00B90B28"/>
    <w:rsid w:val="00B93D9E"/>
    <w:rsid w:val="00BA2039"/>
    <w:rsid w:val="00BA26B9"/>
    <w:rsid w:val="00BA282C"/>
    <w:rsid w:val="00BA3740"/>
    <w:rsid w:val="00BA46D1"/>
    <w:rsid w:val="00BA4E22"/>
    <w:rsid w:val="00BA5D44"/>
    <w:rsid w:val="00BA5FE7"/>
    <w:rsid w:val="00BB2756"/>
    <w:rsid w:val="00BB421C"/>
    <w:rsid w:val="00BB5BFA"/>
    <w:rsid w:val="00BB73FB"/>
    <w:rsid w:val="00BC04F9"/>
    <w:rsid w:val="00BC1EE0"/>
    <w:rsid w:val="00BC25CF"/>
    <w:rsid w:val="00BC380C"/>
    <w:rsid w:val="00BC43B5"/>
    <w:rsid w:val="00BC44D2"/>
    <w:rsid w:val="00BC6376"/>
    <w:rsid w:val="00BC7187"/>
    <w:rsid w:val="00BD1049"/>
    <w:rsid w:val="00BD18CD"/>
    <w:rsid w:val="00BD5F0D"/>
    <w:rsid w:val="00BD63F2"/>
    <w:rsid w:val="00BD68A2"/>
    <w:rsid w:val="00BE21C6"/>
    <w:rsid w:val="00BE3AFD"/>
    <w:rsid w:val="00BE5296"/>
    <w:rsid w:val="00BE762C"/>
    <w:rsid w:val="00BF001C"/>
    <w:rsid w:val="00BF188A"/>
    <w:rsid w:val="00BF2460"/>
    <w:rsid w:val="00BF317B"/>
    <w:rsid w:val="00BF3E8D"/>
    <w:rsid w:val="00BF403B"/>
    <w:rsid w:val="00BF7C7A"/>
    <w:rsid w:val="00C00759"/>
    <w:rsid w:val="00C03B83"/>
    <w:rsid w:val="00C03C72"/>
    <w:rsid w:val="00C04A3C"/>
    <w:rsid w:val="00C05BAA"/>
    <w:rsid w:val="00C072DA"/>
    <w:rsid w:val="00C10F21"/>
    <w:rsid w:val="00C13AAE"/>
    <w:rsid w:val="00C14333"/>
    <w:rsid w:val="00C162A7"/>
    <w:rsid w:val="00C177F5"/>
    <w:rsid w:val="00C178F9"/>
    <w:rsid w:val="00C20969"/>
    <w:rsid w:val="00C23235"/>
    <w:rsid w:val="00C236D2"/>
    <w:rsid w:val="00C24F25"/>
    <w:rsid w:val="00C302ED"/>
    <w:rsid w:val="00C33889"/>
    <w:rsid w:val="00C33D46"/>
    <w:rsid w:val="00C347FF"/>
    <w:rsid w:val="00C377DD"/>
    <w:rsid w:val="00C37FE3"/>
    <w:rsid w:val="00C40F87"/>
    <w:rsid w:val="00C4263D"/>
    <w:rsid w:val="00C42C89"/>
    <w:rsid w:val="00C44B17"/>
    <w:rsid w:val="00C4601E"/>
    <w:rsid w:val="00C47A4F"/>
    <w:rsid w:val="00C50D1A"/>
    <w:rsid w:val="00C510B6"/>
    <w:rsid w:val="00C54497"/>
    <w:rsid w:val="00C5564F"/>
    <w:rsid w:val="00C55DF8"/>
    <w:rsid w:val="00C574A6"/>
    <w:rsid w:val="00C57B5A"/>
    <w:rsid w:val="00C6344F"/>
    <w:rsid w:val="00C649FF"/>
    <w:rsid w:val="00C66A66"/>
    <w:rsid w:val="00C66AB8"/>
    <w:rsid w:val="00C67BBC"/>
    <w:rsid w:val="00C701BB"/>
    <w:rsid w:val="00C71540"/>
    <w:rsid w:val="00C72E42"/>
    <w:rsid w:val="00C73829"/>
    <w:rsid w:val="00C7405D"/>
    <w:rsid w:val="00C75573"/>
    <w:rsid w:val="00C76AC7"/>
    <w:rsid w:val="00C80378"/>
    <w:rsid w:val="00C803DC"/>
    <w:rsid w:val="00C80DBC"/>
    <w:rsid w:val="00C825DF"/>
    <w:rsid w:val="00C86FB2"/>
    <w:rsid w:val="00C872C4"/>
    <w:rsid w:val="00C873E5"/>
    <w:rsid w:val="00C90BBC"/>
    <w:rsid w:val="00C917B9"/>
    <w:rsid w:val="00C955D3"/>
    <w:rsid w:val="00C95631"/>
    <w:rsid w:val="00C95CF8"/>
    <w:rsid w:val="00C96BBA"/>
    <w:rsid w:val="00C9759C"/>
    <w:rsid w:val="00C9762C"/>
    <w:rsid w:val="00C97716"/>
    <w:rsid w:val="00CA0086"/>
    <w:rsid w:val="00CA03DB"/>
    <w:rsid w:val="00CA44EB"/>
    <w:rsid w:val="00CA4D51"/>
    <w:rsid w:val="00CA5E17"/>
    <w:rsid w:val="00CA6A36"/>
    <w:rsid w:val="00CA7AE1"/>
    <w:rsid w:val="00CB0100"/>
    <w:rsid w:val="00CB3EE6"/>
    <w:rsid w:val="00CB50F5"/>
    <w:rsid w:val="00CB5A0F"/>
    <w:rsid w:val="00CC0C40"/>
    <w:rsid w:val="00CC1A1C"/>
    <w:rsid w:val="00CC443F"/>
    <w:rsid w:val="00CC5429"/>
    <w:rsid w:val="00CC7B93"/>
    <w:rsid w:val="00CC7C80"/>
    <w:rsid w:val="00CD1D0A"/>
    <w:rsid w:val="00CD2ACD"/>
    <w:rsid w:val="00CD3577"/>
    <w:rsid w:val="00CD5FBE"/>
    <w:rsid w:val="00CD62CD"/>
    <w:rsid w:val="00CD65D9"/>
    <w:rsid w:val="00CD65F3"/>
    <w:rsid w:val="00CD73B9"/>
    <w:rsid w:val="00CD799A"/>
    <w:rsid w:val="00CE07F1"/>
    <w:rsid w:val="00CE51C3"/>
    <w:rsid w:val="00CE713F"/>
    <w:rsid w:val="00CF138B"/>
    <w:rsid w:val="00CF27E4"/>
    <w:rsid w:val="00CF28AB"/>
    <w:rsid w:val="00CF4194"/>
    <w:rsid w:val="00CF449F"/>
    <w:rsid w:val="00CF5A8E"/>
    <w:rsid w:val="00CF61F3"/>
    <w:rsid w:val="00CF73AF"/>
    <w:rsid w:val="00D012BF"/>
    <w:rsid w:val="00D02162"/>
    <w:rsid w:val="00D06396"/>
    <w:rsid w:val="00D0658F"/>
    <w:rsid w:val="00D111BA"/>
    <w:rsid w:val="00D11A93"/>
    <w:rsid w:val="00D12D4F"/>
    <w:rsid w:val="00D12EEC"/>
    <w:rsid w:val="00D13752"/>
    <w:rsid w:val="00D2024C"/>
    <w:rsid w:val="00D227AD"/>
    <w:rsid w:val="00D24525"/>
    <w:rsid w:val="00D25C71"/>
    <w:rsid w:val="00D26574"/>
    <w:rsid w:val="00D31D8D"/>
    <w:rsid w:val="00D32F4E"/>
    <w:rsid w:val="00D37120"/>
    <w:rsid w:val="00D41508"/>
    <w:rsid w:val="00D41A70"/>
    <w:rsid w:val="00D43375"/>
    <w:rsid w:val="00D43492"/>
    <w:rsid w:val="00D43F41"/>
    <w:rsid w:val="00D4428A"/>
    <w:rsid w:val="00D4638E"/>
    <w:rsid w:val="00D466A0"/>
    <w:rsid w:val="00D53947"/>
    <w:rsid w:val="00D573CD"/>
    <w:rsid w:val="00D57734"/>
    <w:rsid w:val="00D60A2E"/>
    <w:rsid w:val="00D61824"/>
    <w:rsid w:val="00D62A75"/>
    <w:rsid w:val="00D64F30"/>
    <w:rsid w:val="00D667D1"/>
    <w:rsid w:val="00D66A1C"/>
    <w:rsid w:val="00D72579"/>
    <w:rsid w:val="00D72C10"/>
    <w:rsid w:val="00D739EA"/>
    <w:rsid w:val="00D73C86"/>
    <w:rsid w:val="00D74AE6"/>
    <w:rsid w:val="00D76EF1"/>
    <w:rsid w:val="00D82317"/>
    <w:rsid w:val="00D82AB6"/>
    <w:rsid w:val="00D83DFC"/>
    <w:rsid w:val="00D83F84"/>
    <w:rsid w:val="00D84FF9"/>
    <w:rsid w:val="00D85037"/>
    <w:rsid w:val="00D85FA4"/>
    <w:rsid w:val="00D86A40"/>
    <w:rsid w:val="00D9160F"/>
    <w:rsid w:val="00D92352"/>
    <w:rsid w:val="00D93305"/>
    <w:rsid w:val="00D93EE3"/>
    <w:rsid w:val="00D95801"/>
    <w:rsid w:val="00D96014"/>
    <w:rsid w:val="00D96E1B"/>
    <w:rsid w:val="00D979D8"/>
    <w:rsid w:val="00DA0246"/>
    <w:rsid w:val="00DA1C09"/>
    <w:rsid w:val="00DA29CB"/>
    <w:rsid w:val="00DA44D3"/>
    <w:rsid w:val="00DA4EB1"/>
    <w:rsid w:val="00DB0ECB"/>
    <w:rsid w:val="00DB1896"/>
    <w:rsid w:val="00DB2006"/>
    <w:rsid w:val="00DB4159"/>
    <w:rsid w:val="00DC1553"/>
    <w:rsid w:val="00DC3117"/>
    <w:rsid w:val="00DC44C1"/>
    <w:rsid w:val="00DC5722"/>
    <w:rsid w:val="00DC6036"/>
    <w:rsid w:val="00DC7259"/>
    <w:rsid w:val="00DD17B9"/>
    <w:rsid w:val="00DE07BB"/>
    <w:rsid w:val="00DE1D9D"/>
    <w:rsid w:val="00DE415D"/>
    <w:rsid w:val="00DE5340"/>
    <w:rsid w:val="00DE5ACF"/>
    <w:rsid w:val="00DE79FB"/>
    <w:rsid w:val="00DF0E9D"/>
    <w:rsid w:val="00DF17EA"/>
    <w:rsid w:val="00DF1E8D"/>
    <w:rsid w:val="00DF2C35"/>
    <w:rsid w:val="00DF3707"/>
    <w:rsid w:val="00DF43C8"/>
    <w:rsid w:val="00DF4AC8"/>
    <w:rsid w:val="00DF5464"/>
    <w:rsid w:val="00DF7142"/>
    <w:rsid w:val="00E0178C"/>
    <w:rsid w:val="00E0286F"/>
    <w:rsid w:val="00E059A2"/>
    <w:rsid w:val="00E07A26"/>
    <w:rsid w:val="00E10B72"/>
    <w:rsid w:val="00E11625"/>
    <w:rsid w:val="00E120C2"/>
    <w:rsid w:val="00E12292"/>
    <w:rsid w:val="00E12414"/>
    <w:rsid w:val="00E12EE0"/>
    <w:rsid w:val="00E137EA"/>
    <w:rsid w:val="00E17195"/>
    <w:rsid w:val="00E178A2"/>
    <w:rsid w:val="00E17FC9"/>
    <w:rsid w:val="00E20814"/>
    <w:rsid w:val="00E2085D"/>
    <w:rsid w:val="00E20A8E"/>
    <w:rsid w:val="00E2108C"/>
    <w:rsid w:val="00E21820"/>
    <w:rsid w:val="00E22435"/>
    <w:rsid w:val="00E236D1"/>
    <w:rsid w:val="00E25846"/>
    <w:rsid w:val="00E25F0C"/>
    <w:rsid w:val="00E320B1"/>
    <w:rsid w:val="00E339C0"/>
    <w:rsid w:val="00E35DF5"/>
    <w:rsid w:val="00E35FDA"/>
    <w:rsid w:val="00E364FD"/>
    <w:rsid w:val="00E36942"/>
    <w:rsid w:val="00E36973"/>
    <w:rsid w:val="00E37054"/>
    <w:rsid w:val="00E406F4"/>
    <w:rsid w:val="00E425C9"/>
    <w:rsid w:val="00E447C0"/>
    <w:rsid w:val="00E464A4"/>
    <w:rsid w:val="00E508F1"/>
    <w:rsid w:val="00E54EF2"/>
    <w:rsid w:val="00E570B1"/>
    <w:rsid w:val="00E61DA8"/>
    <w:rsid w:val="00E63F49"/>
    <w:rsid w:val="00E708BE"/>
    <w:rsid w:val="00E70C56"/>
    <w:rsid w:val="00E72523"/>
    <w:rsid w:val="00E773BB"/>
    <w:rsid w:val="00E80589"/>
    <w:rsid w:val="00E81188"/>
    <w:rsid w:val="00E81CE4"/>
    <w:rsid w:val="00E829F5"/>
    <w:rsid w:val="00E85475"/>
    <w:rsid w:val="00E90BB2"/>
    <w:rsid w:val="00E91604"/>
    <w:rsid w:val="00E938E0"/>
    <w:rsid w:val="00E94A54"/>
    <w:rsid w:val="00E976D2"/>
    <w:rsid w:val="00EA0930"/>
    <w:rsid w:val="00EA110F"/>
    <w:rsid w:val="00EA32E6"/>
    <w:rsid w:val="00EA398F"/>
    <w:rsid w:val="00EA5288"/>
    <w:rsid w:val="00EA549E"/>
    <w:rsid w:val="00EA64B2"/>
    <w:rsid w:val="00EA7BEF"/>
    <w:rsid w:val="00EA7F8F"/>
    <w:rsid w:val="00EB1554"/>
    <w:rsid w:val="00EB15FA"/>
    <w:rsid w:val="00EB1E6F"/>
    <w:rsid w:val="00EB280C"/>
    <w:rsid w:val="00EB2CED"/>
    <w:rsid w:val="00EC004E"/>
    <w:rsid w:val="00EC0647"/>
    <w:rsid w:val="00EC40EA"/>
    <w:rsid w:val="00EC5071"/>
    <w:rsid w:val="00EC57E4"/>
    <w:rsid w:val="00EC703C"/>
    <w:rsid w:val="00EC77E5"/>
    <w:rsid w:val="00EC7819"/>
    <w:rsid w:val="00EC7EA4"/>
    <w:rsid w:val="00ED1F42"/>
    <w:rsid w:val="00ED2AE3"/>
    <w:rsid w:val="00ED55F3"/>
    <w:rsid w:val="00ED7645"/>
    <w:rsid w:val="00EE0BD1"/>
    <w:rsid w:val="00EE1EE6"/>
    <w:rsid w:val="00EE3107"/>
    <w:rsid w:val="00EE7365"/>
    <w:rsid w:val="00EF18FF"/>
    <w:rsid w:val="00EF35D4"/>
    <w:rsid w:val="00F033FF"/>
    <w:rsid w:val="00F03C6D"/>
    <w:rsid w:val="00F0454E"/>
    <w:rsid w:val="00F0553D"/>
    <w:rsid w:val="00F07E02"/>
    <w:rsid w:val="00F10F36"/>
    <w:rsid w:val="00F1474A"/>
    <w:rsid w:val="00F214A3"/>
    <w:rsid w:val="00F23081"/>
    <w:rsid w:val="00F23678"/>
    <w:rsid w:val="00F26021"/>
    <w:rsid w:val="00F266C2"/>
    <w:rsid w:val="00F310FD"/>
    <w:rsid w:val="00F31380"/>
    <w:rsid w:val="00F320ED"/>
    <w:rsid w:val="00F32C34"/>
    <w:rsid w:val="00F330C5"/>
    <w:rsid w:val="00F3758F"/>
    <w:rsid w:val="00F40C73"/>
    <w:rsid w:val="00F44EA8"/>
    <w:rsid w:val="00F45199"/>
    <w:rsid w:val="00F454CD"/>
    <w:rsid w:val="00F56334"/>
    <w:rsid w:val="00F62F68"/>
    <w:rsid w:val="00F63920"/>
    <w:rsid w:val="00F665A0"/>
    <w:rsid w:val="00F67058"/>
    <w:rsid w:val="00F756AB"/>
    <w:rsid w:val="00F8052F"/>
    <w:rsid w:val="00F808B9"/>
    <w:rsid w:val="00F80C26"/>
    <w:rsid w:val="00F82F60"/>
    <w:rsid w:val="00F84400"/>
    <w:rsid w:val="00F85AFA"/>
    <w:rsid w:val="00F86DEE"/>
    <w:rsid w:val="00F86F08"/>
    <w:rsid w:val="00F90969"/>
    <w:rsid w:val="00F91F13"/>
    <w:rsid w:val="00F926D5"/>
    <w:rsid w:val="00F93A6B"/>
    <w:rsid w:val="00F93E81"/>
    <w:rsid w:val="00FA019D"/>
    <w:rsid w:val="00FA0E48"/>
    <w:rsid w:val="00FA1264"/>
    <w:rsid w:val="00FA4C99"/>
    <w:rsid w:val="00FA7C67"/>
    <w:rsid w:val="00FB0BA8"/>
    <w:rsid w:val="00FB244A"/>
    <w:rsid w:val="00FB4BD0"/>
    <w:rsid w:val="00FB64ED"/>
    <w:rsid w:val="00FC1603"/>
    <w:rsid w:val="00FC1F7A"/>
    <w:rsid w:val="00FC2559"/>
    <w:rsid w:val="00FC2D0B"/>
    <w:rsid w:val="00FC48E4"/>
    <w:rsid w:val="00FC52D4"/>
    <w:rsid w:val="00FD06E9"/>
    <w:rsid w:val="00FD5D82"/>
    <w:rsid w:val="00FD5E66"/>
    <w:rsid w:val="00FD7C10"/>
    <w:rsid w:val="00FE0AAC"/>
    <w:rsid w:val="00FE24B2"/>
    <w:rsid w:val="00FE287A"/>
    <w:rsid w:val="00FE2881"/>
    <w:rsid w:val="00FE28F6"/>
    <w:rsid w:val="00FE6661"/>
    <w:rsid w:val="00FF1B95"/>
    <w:rsid w:val="00FF4292"/>
    <w:rsid w:val="00FF4CA5"/>
    <w:rsid w:val="00FF5B1B"/>
    <w:rsid w:val="00FF6E97"/>
    <w:rsid w:val="00FF76F6"/>
    <w:rsid w:val="00FF7971"/>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0B48"/>
  </w:style>
  <w:style w:type="paragraph" w:styleId="Ttulo1">
    <w:name w:val="heading 1"/>
    <w:basedOn w:val="Normal"/>
    <w:next w:val="Normal"/>
    <w:link w:val="Ttulo1Char"/>
    <w:uiPriority w:val="9"/>
    <w:qFormat/>
    <w:rsid w:val="00EC40EA"/>
    <w:pPr>
      <w:keepNext/>
      <w:keepLines/>
      <w:numPr>
        <w:numId w:val="13"/>
      </w:numPr>
      <w:spacing w:after="0" w:line="360" w:lineRule="auto"/>
      <w:jc w:val="both"/>
      <w:outlineLvl w:val="0"/>
    </w:pPr>
    <w:rPr>
      <w:rFonts w:ascii="Arial" w:eastAsiaTheme="majorEastAsia" w:hAnsi="Arial" w:cstheme="majorBidi"/>
      <w:b/>
      <w:bCs/>
      <w:color w:val="000000" w:themeColor="text1"/>
      <w:szCs w:val="28"/>
    </w:rPr>
  </w:style>
  <w:style w:type="paragraph" w:styleId="Ttulo2">
    <w:name w:val="heading 2"/>
    <w:basedOn w:val="Normal"/>
    <w:next w:val="Normal"/>
    <w:link w:val="Ttulo2Char"/>
    <w:autoRedefine/>
    <w:uiPriority w:val="99"/>
    <w:qFormat/>
    <w:rsid w:val="00203B12"/>
    <w:pPr>
      <w:keepNext/>
      <w:numPr>
        <w:ilvl w:val="1"/>
        <w:numId w:val="13"/>
      </w:numPr>
      <w:spacing w:after="0" w:line="240" w:lineRule="auto"/>
      <w:ind w:left="578" w:hanging="578"/>
      <w:jc w:val="both"/>
      <w:outlineLvl w:val="1"/>
    </w:pPr>
    <w:rPr>
      <w:rFonts w:ascii="Arial" w:eastAsia="Times New Roman" w:hAnsi="Arial" w:cs="Times New Roman"/>
      <w:bCs/>
      <w:caps/>
      <w:szCs w:val="24"/>
    </w:rPr>
  </w:style>
  <w:style w:type="paragraph" w:styleId="Ttulo3">
    <w:name w:val="heading 3"/>
    <w:basedOn w:val="Normal"/>
    <w:next w:val="Normal"/>
    <w:link w:val="Ttulo3Char"/>
    <w:uiPriority w:val="9"/>
    <w:unhideWhenUsed/>
    <w:qFormat/>
    <w:rsid w:val="007F4A97"/>
    <w:pPr>
      <w:keepNext/>
      <w:keepLines/>
      <w:numPr>
        <w:ilvl w:val="2"/>
        <w:numId w:val="13"/>
      </w:numPr>
      <w:spacing w:after="0" w:line="240" w:lineRule="auto"/>
      <w:jc w:val="both"/>
      <w:outlineLvl w:val="2"/>
    </w:pPr>
    <w:rPr>
      <w:rFonts w:ascii="Arial" w:eastAsiaTheme="majorEastAsia" w:hAnsi="Arial" w:cstheme="majorBidi"/>
      <w:bCs/>
    </w:rPr>
  </w:style>
  <w:style w:type="paragraph" w:styleId="Ttulo4">
    <w:name w:val="heading 4"/>
    <w:basedOn w:val="Normal"/>
    <w:next w:val="Normal"/>
    <w:link w:val="Ttulo4Char"/>
    <w:uiPriority w:val="9"/>
    <w:unhideWhenUsed/>
    <w:qFormat/>
    <w:rsid w:val="00CB0100"/>
    <w:pPr>
      <w:keepNext/>
      <w:keepLines/>
      <w:numPr>
        <w:ilvl w:val="3"/>
        <w:numId w:val="13"/>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CB0100"/>
    <w:pPr>
      <w:keepNext/>
      <w:keepLines/>
      <w:numPr>
        <w:ilvl w:val="4"/>
        <w:numId w:val="13"/>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CB0100"/>
    <w:pPr>
      <w:keepNext/>
      <w:keepLines/>
      <w:numPr>
        <w:ilvl w:val="5"/>
        <w:numId w:val="13"/>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CB0100"/>
    <w:pPr>
      <w:keepNext/>
      <w:keepLines/>
      <w:numPr>
        <w:ilvl w:val="6"/>
        <w:numId w:val="13"/>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CB0100"/>
    <w:pPr>
      <w:keepNext/>
      <w:keepLines/>
      <w:numPr>
        <w:ilvl w:val="7"/>
        <w:numId w:val="13"/>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CB0100"/>
    <w:pPr>
      <w:keepNext/>
      <w:keepLines/>
      <w:numPr>
        <w:ilvl w:val="8"/>
        <w:numId w:val="1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992137"/>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Ttulo2Char">
    <w:name w:val="Título 2 Char"/>
    <w:basedOn w:val="Fontepargpadro"/>
    <w:link w:val="Ttulo2"/>
    <w:uiPriority w:val="99"/>
    <w:rsid w:val="00203B12"/>
    <w:rPr>
      <w:rFonts w:ascii="Arial" w:eastAsia="Times New Roman" w:hAnsi="Arial" w:cs="Times New Roman"/>
      <w:bCs/>
      <w:caps/>
      <w:szCs w:val="24"/>
    </w:rPr>
  </w:style>
  <w:style w:type="paragraph" w:styleId="Corpodetexto">
    <w:name w:val="Body Text"/>
    <w:basedOn w:val="Normal"/>
    <w:link w:val="CorpodetextoChar"/>
    <w:rsid w:val="0072590E"/>
    <w:pPr>
      <w:spacing w:after="0" w:line="360" w:lineRule="auto"/>
      <w:ind w:firstLine="851"/>
      <w:jc w:val="both"/>
    </w:pPr>
    <w:rPr>
      <w:rFonts w:ascii="Times New Roman" w:eastAsia="Times New Roman" w:hAnsi="Times New Roman" w:cs="Times New Roman"/>
      <w:color w:val="000000"/>
      <w:sz w:val="24"/>
      <w:szCs w:val="20"/>
    </w:rPr>
  </w:style>
  <w:style w:type="character" w:customStyle="1" w:styleId="CorpodetextoChar">
    <w:name w:val="Corpo de texto Char"/>
    <w:basedOn w:val="Fontepargpadro"/>
    <w:link w:val="Corpodetexto"/>
    <w:rsid w:val="0072590E"/>
    <w:rPr>
      <w:rFonts w:ascii="Times New Roman" w:eastAsia="Times New Roman" w:hAnsi="Times New Roman" w:cs="Times New Roman"/>
      <w:color w:val="000000"/>
      <w:sz w:val="24"/>
      <w:szCs w:val="20"/>
    </w:rPr>
  </w:style>
  <w:style w:type="character" w:styleId="Refdenotaderodap">
    <w:name w:val="footnote reference"/>
    <w:semiHidden/>
    <w:rsid w:val="0072590E"/>
    <w:rPr>
      <w:vertAlign w:val="superscript"/>
    </w:rPr>
  </w:style>
  <w:style w:type="paragraph" w:styleId="Textodenotaderodap">
    <w:name w:val="footnote text"/>
    <w:basedOn w:val="Normal"/>
    <w:link w:val="TextodenotaderodapChar"/>
    <w:semiHidden/>
    <w:rsid w:val="0072590E"/>
    <w:pPr>
      <w:spacing w:after="0" w:line="360" w:lineRule="auto"/>
      <w:ind w:firstLine="851"/>
      <w:jc w:val="both"/>
    </w:pPr>
    <w:rPr>
      <w:rFonts w:ascii="Times New Roman" w:eastAsia="Times New Roman" w:hAnsi="Times New Roman" w:cs="Times New Roman"/>
      <w:sz w:val="20"/>
      <w:szCs w:val="20"/>
    </w:rPr>
  </w:style>
  <w:style w:type="character" w:customStyle="1" w:styleId="TextodenotaderodapChar">
    <w:name w:val="Texto de nota de rodapé Char"/>
    <w:basedOn w:val="Fontepargpadro"/>
    <w:link w:val="Textodenotaderodap"/>
    <w:semiHidden/>
    <w:rsid w:val="0072590E"/>
    <w:rPr>
      <w:rFonts w:ascii="Times New Roman" w:eastAsia="Times New Roman" w:hAnsi="Times New Roman" w:cs="Times New Roman"/>
      <w:sz w:val="20"/>
      <w:szCs w:val="20"/>
    </w:rPr>
  </w:style>
  <w:style w:type="character" w:styleId="Hyperlink">
    <w:name w:val="Hyperlink"/>
    <w:uiPriority w:val="99"/>
    <w:rsid w:val="0072590E"/>
    <w:rPr>
      <w:color w:val="0000FF"/>
      <w:u w:val="single"/>
    </w:rPr>
  </w:style>
  <w:style w:type="paragraph" w:customStyle="1" w:styleId="fonte">
    <w:name w:val="fonte"/>
    <w:basedOn w:val="Normal"/>
    <w:uiPriority w:val="99"/>
    <w:rsid w:val="0072590E"/>
    <w:pPr>
      <w:widowControl w:val="0"/>
      <w:suppressAutoHyphens/>
      <w:autoSpaceDE w:val="0"/>
      <w:autoSpaceDN w:val="0"/>
      <w:adjustRightInd w:val="0"/>
      <w:spacing w:before="120" w:after="0" w:line="360" w:lineRule="auto"/>
      <w:ind w:firstLine="851"/>
      <w:jc w:val="both"/>
    </w:pPr>
    <w:rPr>
      <w:rFonts w:ascii="Arial" w:eastAsia="Calibri" w:hAnsi="Arial" w:cs="Arial"/>
      <w:sz w:val="20"/>
      <w:szCs w:val="20"/>
      <w:lang w:eastAsia="en-US"/>
    </w:rPr>
  </w:style>
  <w:style w:type="character" w:customStyle="1" w:styleId="verdanabold25px1">
    <w:name w:val="verdana_bold_25px1"/>
    <w:uiPriority w:val="99"/>
    <w:semiHidden/>
    <w:rsid w:val="0072590E"/>
    <w:rPr>
      <w:rFonts w:ascii="Verdana" w:hAnsi="Verdana" w:cs="Verdana"/>
      <w:b/>
      <w:bCs/>
      <w:color w:val="000000"/>
      <w:sz w:val="50"/>
      <w:szCs w:val="50"/>
    </w:rPr>
  </w:style>
  <w:style w:type="paragraph" w:customStyle="1" w:styleId="corpotexto">
    <w:name w:val="corpo texto"/>
    <w:basedOn w:val="Normal"/>
    <w:rsid w:val="0072590E"/>
    <w:pPr>
      <w:widowControl w:val="0"/>
      <w:suppressAutoHyphens/>
      <w:spacing w:after="0" w:line="360" w:lineRule="auto"/>
      <w:ind w:firstLine="851"/>
      <w:jc w:val="both"/>
    </w:pPr>
    <w:rPr>
      <w:rFonts w:ascii="Arial" w:eastAsia="Calibri" w:hAnsi="Arial" w:cs="Arial"/>
      <w:sz w:val="24"/>
      <w:szCs w:val="24"/>
      <w:lang w:eastAsia="en-US"/>
    </w:rPr>
  </w:style>
  <w:style w:type="paragraph" w:styleId="Textodebalo">
    <w:name w:val="Balloon Text"/>
    <w:basedOn w:val="Normal"/>
    <w:link w:val="TextodebaloChar"/>
    <w:uiPriority w:val="99"/>
    <w:semiHidden/>
    <w:unhideWhenUsed/>
    <w:rsid w:val="0072590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2590E"/>
    <w:rPr>
      <w:rFonts w:ascii="Tahoma" w:hAnsi="Tahoma" w:cs="Tahoma"/>
      <w:sz w:val="16"/>
      <w:szCs w:val="16"/>
    </w:rPr>
  </w:style>
  <w:style w:type="paragraph" w:styleId="Textodecomentrio">
    <w:name w:val="annotation text"/>
    <w:basedOn w:val="Normal"/>
    <w:link w:val="TextodecomentrioChar"/>
    <w:uiPriority w:val="99"/>
    <w:unhideWhenUsed/>
    <w:rsid w:val="0072590E"/>
    <w:pPr>
      <w:spacing w:line="240" w:lineRule="auto"/>
    </w:pPr>
    <w:rPr>
      <w:rFonts w:eastAsiaTheme="minorHAnsi"/>
      <w:sz w:val="20"/>
      <w:szCs w:val="20"/>
      <w:lang w:eastAsia="en-US"/>
    </w:rPr>
  </w:style>
  <w:style w:type="character" w:customStyle="1" w:styleId="TextodecomentrioChar">
    <w:name w:val="Texto de comentário Char"/>
    <w:basedOn w:val="Fontepargpadro"/>
    <w:link w:val="Textodecomentrio"/>
    <w:uiPriority w:val="99"/>
    <w:rsid w:val="0072590E"/>
    <w:rPr>
      <w:rFonts w:eastAsiaTheme="minorHAnsi"/>
      <w:sz w:val="20"/>
      <w:szCs w:val="20"/>
      <w:lang w:eastAsia="en-US"/>
    </w:rPr>
  </w:style>
  <w:style w:type="paragraph" w:styleId="PargrafodaLista">
    <w:name w:val="List Paragraph"/>
    <w:basedOn w:val="Normal"/>
    <w:uiPriority w:val="34"/>
    <w:qFormat/>
    <w:rsid w:val="00264AF4"/>
    <w:pPr>
      <w:ind w:left="720"/>
      <w:contextualSpacing/>
    </w:pPr>
  </w:style>
  <w:style w:type="paragraph" w:customStyle="1" w:styleId="biblio">
    <w:name w:val="biblio"/>
    <w:basedOn w:val="Normal"/>
    <w:uiPriority w:val="99"/>
    <w:rsid w:val="003E242D"/>
    <w:pPr>
      <w:widowControl w:val="0"/>
      <w:suppressAutoHyphens/>
      <w:spacing w:after="360" w:line="240" w:lineRule="auto"/>
      <w:jc w:val="both"/>
    </w:pPr>
    <w:rPr>
      <w:rFonts w:ascii="Arial" w:eastAsia="Calibri" w:hAnsi="Arial" w:cs="Arial"/>
      <w:sz w:val="24"/>
      <w:szCs w:val="24"/>
    </w:rPr>
  </w:style>
  <w:style w:type="paragraph" w:styleId="NormalWeb">
    <w:name w:val="Normal (Web)"/>
    <w:basedOn w:val="Normal"/>
    <w:uiPriority w:val="99"/>
    <w:unhideWhenUsed/>
    <w:rsid w:val="00C40F87"/>
    <w:pPr>
      <w:spacing w:before="100" w:beforeAutospacing="1" w:after="100" w:afterAutospacing="1" w:line="240" w:lineRule="auto"/>
    </w:pPr>
    <w:rPr>
      <w:rFonts w:ascii="Times New Roman" w:eastAsia="Times New Roman" w:hAnsi="Times New Roman" w:cs="Times New Roman"/>
      <w:sz w:val="24"/>
      <w:szCs w:val="24"/>
    </w:rPr>
  </w:style>
  <w:style w:type="character" w:styleId="HiperlinkVisitado">
    <w:name w:val="FollowedHyperlink"/>
    <w:basedOn w:val="Fontepargpadro"/>
    <w:uiPriority w:val="99"/>
    <w:semiHidden/>
    <w:unhideWhenUsed/>
    <w:rsid w:val="005C725E"/>
    <w:rPr>
      <w:color w:val="800080" w:themeColor="followedHyperlink"/>
      <w:u w:val="single"/>
    </w:rPr>
  </w:style>
  <w:style w:type="table" w:styleId="Tabelacomgrade">
    <w:name w:val="Table Grid"/>
    <w:basedOn w:val="Tabelanormal"/>
    <w:uiPriority w:val="59"/>
    <w:rsid w:val="00E708B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extodoEspaoReservado">
    <w:name w:val="Placeholder Text"/>
    <w:basedOn w:val="Fontepargpadro"/>
    <w:uiPriority w:val="99"/>
    <w:semiHidden/>
    <w:rsid w:val="008051FC"/>
    <w:rPr>
      <w:color w:val="808080"/>
    </w:rPr>
  </w:style>
  <w:style w:type="paragraph" w:styleId="Cabealho">
    <w:name w:val="header"/>
    <w:basedOn w:val="Normal"/>
    <w:link w:val="CabealhoChar"/>
    <w:uiPriority w:val="99"/>
    <w:unhideWhenUsed/>
    <w:rsid w:val="005218B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218B5"/>
  </w:style>
  <w:style w:type="paragraph" w:styleId="Rodap">
    <w:name w:val="footer"/>
    <w:basedOn w:val="Normal"/>
    <w:link w:val="RodapChar"/>
    <w:uiPriority w:val="99"/>
    <w:unhideWhenUsed/>
    <w:rsid w:val="005218B5"/>
    <w:pPr>
      <w:tabs>
        <w:tab w:val="center" w:pos="4252"/>
        <w:tab w:val="right" w:pos="8504"/>
      </w:tabs>
      <w:spacing w:after="0" w:line="240" w:lineRule="auto"/>
    </w:pPr>
  </w:style>
  <w:style w:type="character" w:customStyle="1" w:styleId="RodapChar">
    <w:name w:val="Rodapé Char"/>
    <w:basedOn w:val="Fontepargpadro"/>
    <w:link w:val="Rodap"/>
    <w:uiPriority w:val="99"/>
    <w:rsid w:val="005218B5"/>
  </w:style>
  <w:style w:type="character" w:customStyle="1" w:styleId="Ttulo1Char">
    <w:name w:val="Título 1 Char"/>
    <w:basedOn w:val="Fontepargpadro"/>
    <w:link w:val="Ttulo1"/>
    <w:uiPriority w:val="9"/>
    <w:rsid w:val="00EC40EA"/>
    <w:rPr>
      <w:rFonts w:ascii="Arial" w:eastAsiaTheme="majorEastAsia" w:hAnsi="Arial" w:cstheme="majorBidi"/>
      <w:b/>
      <w:bCs/>
      <w:color w:val="000000" w:themeColor="text1"/>
      <w:szCs w:val="28"/>
    </w:rPr>
  </w:style>
  <w:style w:type="character" w:customStyle="1" w:styleId="apple-converted-space">
    <w:name w:val="apple-converted-space"/>
    <w:basedOn w:val="Fontepargpadro"/>
    <w:rsid w:val="00702E94"/>
  </w:style>
  <w:style w:type="character" w:customStyle="1" w:styleId="Ttulo3Char">
    <w:name w:val="Título 3 Char"/>
    <w:basedOn w:val="Fontepargpadro"/>
    <w:link w:val="Ttulo3"/>
    <w:uiPriority w:val="9"/>
    <w:rsid w:val="00EC40EA"/>
    <w:rPr>
      <w:rFonts w:ascii="Arial" w:eastAsiaTheme="majorEastAsia" w:hAnsi="Arial" w:cstheme="majorBidi"/>
      <w:bCs/>
    </w:rPr>
  </w:style>
  <w:style w:type="paragraph" w:styleId="SemEspaamento">
    <w:name w:val="No Spacing"/>
    <w:uiPriority w:val="1"/>
    <w:qFormat/>
    <w:rsid w:val="00CB0100"/>
    <w:pPr>
      <w:spacing w:after="0" w:line="240" w:lineRule="auto"/>
    </w:pPr>
  </w:style>
  <w:style w:type="character" w:customStyle="1" w:styleId="Ttulo4Char">
    <w:name w:val="Título 4 Char"/>
    <w:basedOn w:val="Fontepargpadro"/>
    <w:link w:val="Ttulo4"/>
    <w:uiPriority w:val="9"/>
    <w:rsid w:val="00CB0100"/>
    <w:rPr>
      <w:rFonts w:asciiTheme="majorHAnsi" w:eastAsiaTheme="majorEastAsia" w:hAnsiTheme="majorHAnsi" w:cstheme="majorBidi"/>
      <w:b/>
      <w:bCs/>
      <w:i/>
      <w:iCs/>
      <w:color w:val="4F81BD" w:themeColor="accent1"/>
    </w:rPr>
  </w:style>
  <w:style w:type="character" w:customStyle="1" w:styleId="Ttulo5Char">
    <w:name w:val="Título 5 Char"/>
    <w:basedOn w:val="Fontepargpadro"/>
    <w:link w:val="Ttulo5"/>
    <w:uiPriority w:val="9"/>
    <w:semiHidden/>
    <w:rsid w:val="00CB0100"/>
    <w:rPr>
      <w:rFonts w:asciiTheme="majorHAnsi" w:eastAsiaTheme="majorEastAsia" w:hAnsiTheme="majorHAnsi" w:cstheme="majorBidi"/>
      <w:color w:val="243F60" w:themeColor="accent1" w:themeShade="7F"/>
    </w:rPr>
  </w:style>
  <w:style w:type="character" w:customStyle="1" w:styleId="Ttulo6Char">
    <w:name w:val="Título 6 Char"/>
    <w:basedOn w:val="Fontepargpadro"/>
    <w:link w:val="Ttulo6"/>
    <w:uiPriority w:val="9"/>
    <w:semiHidden/>
    <w:rsid w:val="00CB0100"/>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semiHidden/>
    <w:rsid w:val="00CB0100"/>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CB0100"/>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semiHidden/>
    <w:rsid w:val="00CB0100"/>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7046493">
      <w:bodyDiv w:val="1"/>
      <w:marLeft w:val="115"/>
      <w:marRight w:val="115"/>
      <w:marTop w:val="115"/>
      <w:marBottom w:val="0"/>
      <w:divBdr>
        <w:top w:val="none" w:sz="0" w:space="0" w:color="auto"/>
        <w:left w:val="none" w:sz="0" w:space="0" w:color="auto"/>
        <w:bottom w:val="none" w:sz="0" w:space="0" w:color="auto"/>
        <w:right w:val="none" w:sz="0" w:space="0" w:color="auto"/>
      </w:divBdr>
      <w:divsChild>
        <w:div w:id="1230000587">
          <w:marLeft w:val="0"/>
          <w:marRight w:val="0"/>
          <w:marTop w:val="0"/>
          <w:marBottom w:val="0"/>
          <w:divBdr>
            <w:top w:val="none" w:sz="0" w:space="0" w:color="auto"/>
            <w:left w:val="none" w:sz="0" w:space="0" w:color="auto"/>
            <w:bottom w:val="none" w:sz="0" w:space="0" w:color="auto"/>
            <w:right w:val="none" w:sz="0" w:space="0" w:color="auto"/>
          </w:divBdr>
        </w:div>
      </w:divsChild>
    </w:div>
    <w:div w:id="72316534">
      <w:bodyDiv w:val="1"/>
      <w:marLeft w:val="0"/>
      <w:marRight w:val="0"/>
      <w:marTop w:val="0"/>
      <w:marBottom w:val="0"/>
      <w:divBdr>
        <w:top w:val="none" w:sz="0" w:space="0" w:color="auto"/>
        <w:left w:val="none" w:sz="0" w:space="0" w:color="auto"/>
        <w:bottom w:val="none" w:sz="0" w:space="0" w:color="auto"/>
        <w:right w:val="none" w:sz="0" w:space="0" w:color="auto"/>
      </w:divBdr>
    </w:div>
    <w:div w:id="152647637">
      <w:bodyDiv w:val="1"/>
      <w:marLeft w:val="0"/>
      <w:marRight w:val="0"/>
      <w:marTop w:val="0"/>
      <w:marBottom w:val="0"/>
      <w:divBdr>
        <w:top w:val="none" w:sz="0" w:space="0" w:color="auto"/>
        <w:left w:val="none" w:sz="0" w:space="0" w:color="auto"/>
        <w:bottom w:val="none" w:sz="0" w:space="0" w:color="auto"/>
        <w:right w:val="none" w:sz="0" w:space="0" w:color="auto"/>
      </w:divBdr>
      <w:divsChild>
        <w:div w:id="222168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144885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26789590">
      <w:bodyDiv w:val="1"/>
      <w:marLeft w:val="0"/>
      <w:marRight w:val="0"/>
      <w:marTop w:val="0"/>
      <w:marBottom w:val="0"/>
      <w:divBdr>
        <w:top w:val="none" w:sz="0" w:space="0" w:color="auto"/>
        <w:left w:val="none" w:sz="0" w:space="0" w:color="auto"/>
        <w:bottom w:val="none" w:sz="0" w:space="0" w:color="auto"/>
        <w:right w:val="none" w:sz="0" w:space="0" w:color="auto"/>
      </w:divBdr>
    </w:div>
    <w:div w:id="771047752">
      <w:bodyDiv w:val="1"/>
      <w:marLeft w:val="0"/>
      <w:marRight w:val="0"/>
      <w:marTop w:val="0"/>
      <w:marBottom w:val="0"/>
      <w:divBdr>
        <w:top w:val="none" w:sz="0" w:space="0" w:color="auto"/>
        <w:left w:val="none" w:sz="0" w:space="0" w:color="auto"/>
        <w:bottom w:val="none" w:sz="0" w:space="0" w:color="auto"/>
        <w:right w:val="none" w:sz="0" w:space="0" w:color="auto"/>
      </w:divBdr>
    </w:div>
    <w:div w:id="825977527">
      <w:bodyDiv w:val="1"/>
      <w:marLeft w:val="0"/>
      <w:marRight w:val="0"/>
      <w:marTop w:val="0"/>
      <w:marBottom w:val="0"/>
      <w:divBdr>
        <w:top w:val="none" w:sz="0" w:space="0" w:color="auto"/>
        <w:left w:val="none" w:sz="0" w:space="0" w:color="auto"/>
        <w:bottom w:val="none" w:sz="0" w:space="0" w:color="auto"/>
        <w:right w:val="none" w:sz="0" w:space="0" w:color="auto"/>
      </w:divBdr>
    </w:div>
    <w:div w:id="948462999">
      <w:bodyDiv w:val="1"/>
      <w:marLeft w:val="0"/>
      <w:marRight w:val="0"/>
      <w:marTop w:val="0"/>
      <w:marBottom w:val="0"/>
      <w:divBdr>
        <w:top w:val="none" w:sz="0" w:space="0" w:color="auto"/>
        <w:left w:val="none" w:sz="0" w:space="0" w:color="auto"/>
        <w:bottom w:val="none" w:sz="0" w:space="0" w:color="auto"/>
        <w:right w:val="none" w:sz="0" w:space="0" w:color="auto"/>
      </w:divBdr>
    </w:div>
    <w:div w:id="952900940">
      <w:bodyDiv w:val="1"/>
      <w:marLeft w:val="0"/>
      <w:marRight w:val="0"/>
      <w:marTop w:val="0"/>
      <w:marBottom w:val="0"/>
      <w:divBdr>
        <w:top w:val="none" w:sz="0" w:space="0" w:color="auto"/>
        <w:left w:val="none" w:sz="0" w:space="0" w:color="auto"/>
        <w:bottom w:val="none" w:sz="0" w:space="0" w:color="auto"/>
        <w:right w:val="none" w:sz="0" w:space="0" w:color="auto"/>
      </w:divBdr>
    </w:div>
    <w:div w:id="989821962">
      <w:bodyDiv w:val="1"/>
      <w:marLeft w:val="0"/>
      <w:marRight w:val="0"/>
      <w:marTop w:val="0"/>
      <w:marBottom w:val="0"/>
      <w:divBdr>
        <w:top w:val="none" w:sz="0" w:space="0" w:color="auto"/>
        <w:left w:val="none" w:sz="0" w:space="0" w:color="auto"/>
        <w:bottom w:val="none" w:sz="0" w:space="0" w:color="auto"/>
        <w:right w:val="none" w:sz="0" w:space="0" w:color="auto"/>
      </w:divBdr>
    </w:div>
    <w:div w:id="994530483">
      <w:bodyDiv w:val="1"/>
      <w:marLeft w:val="0"/>
      <w:marRight w:val="0"/>
      <w:marTop w:val="0"/>
      <w:marBottom w:val="0"/>
      <w:divBdr>
        <w:top w:val="none" w:sz="0" w:space="0" w:color="auto"/>
        <w:left w:val="none" w:sz="0" w:space="0" w:color="auto"/>
        <w:bottom w:val="none" w:sz="0" w:space="0" w:color="auto"/>
        <w:right w:val="none" w:sz="0" w:space="0" w:color="auto"/>
      </w:divBdr>
    </w:div>
    <w:div w:id="1309282612">
      <w:bodyDiv w:val="1"/>
      <w:marLeft w:val="0"/>
      <w:marRight w:val="0"/>
      <w:marTop w:val="0"/>
      <w:marBottom w:val="0"/>
      <w:divBdr>
        <w:top w:val="none" w:sz="0" w:space="0" w:color="auto"/>
        <w:left w:val="none" w:sz="0" w:space="0" w:color="auto"/>
        <w:bottom w:val="none" w:sz="0" w:space="0" w:color="auto"/>
        <w:right w:val="none" w:sz="0" w:space="0" w:color="auto"/>
      </w:divBdr>
    </w:div>
    <w:div w:id="1424063516">
      <w:bodyDiv w:val="1"/>
      <w:marLeft w:val="0"/>
      <w:marRight w:val="0"/>
      <w:marTop w:val="0"/>
      <w:marBottom w:val="0"/>
      <w:divBdr>
        <w:top w:val="none" w:sz="0" w:space="0" w:color="auto"/>
        <w:left w:val="none" w:sz="0" w:space="0" w:color="auto"/>
        <w:bottom w:val="none" w:sz="0" w:space="0" w:color="auto"/>
        <w:right w:val="none" w:sz="0" w:space="0" w:color="auto"/>
      </w:divBdr>
    </w:div>
    <w:div w:id="1534070950">
      <w:bodyDiv w:val="1"/>
      <w:marLeft w:val="0"/>
      <w:marRight w:val="0"/>
      <w:marTop w:val="0"/>
      <w:marBottom w:val="0"/>
      <w:divBdr>
        <w:top w:val="none" w:sz="0" w:space="0" w:color="auto"/>
        <w:left w:val="none" w:sz="0" w:space="0" w:color="auto"/>
        <w:bottom w:val="none" w:sz="0" w:space="0" w:color="auto"/>
        <w:right w:val="none" w:sz="0" w:space="0" w:color="auto"/>
      </w:divBdr>
    </w:div>
    <w:div w:id="1553615961">
      <w:bodyDiv w:val="1"/>
      <w:marLeft w:val="0"/>
      <w:marRight w:val="0"/>
      <w:marTop w:val="0"/>
      <w:marBottom w:val="0"/>
      <w:divBdr>
        <w:top w:val="none" w:sz="0" w:space="0" w:color="auto"/>
        <w:left w:val="none" w:sz="0" w:space="0" w:color="auto"/>
        <w:bottom w:val="none" w:sz="0" w:space="0" w:color="auto"/>
        <w:right w:val="none" w:sz="0" w:space="0" w:color="auto"/>
      </w:divBdr>
    </w:div>
    <w:div w:id="1710715245">
      <w:bodyDiv w:val="1"/>
      <w:marLeft w:val="0"/>
      <w:marRight w:val="0"/>
      <w:marTop w:val="0"/>
      <w:marBottom w:val="0"/>
      <w:divBdr>
        <w:top w:val="none" w:sz="0" w:space="0" w:color="auto"/>
        <w:left w:val="none" w:sz="0" w:space="0" w:color="auto"/>
        <w:bottom w:val="none" w:sz="0" w:space="0" w:color="auto"/>
        <w:right w:val="none" w:sz="0" w:space="0" w:color="auto"/>
      </w:divBdr>
    </w:div>
    <w:div w:id="1918706722">
      <w:bodyDiv w:val="1"/>
      <w:marLeft w:val="0"/>
      <w:marRight w:val="0"/>
      <w:marTop w:val="0"/>
      <w:marBottom w:val="0"/>
      <w:divBdr>
        <w:top w:val="none" w:sz="0" w:space="0" w:color="auto"/>
        <w:left w:val="none" w:sz="0" w:space="0" w:color="auto"/>
        <w:bottom w:val="none" w:sz="0" w:space="0" w:color="auto"/>
        <w:right w:val="none" w:sz="0" w:space="0" w:color="auto"/>
      </w:divBdr>
    </w:div>
    <w:div w:id="2113164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microsoft.com/office/2007/relationships/stylesWithEffects" Target="stylesWithEffect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Paulo%20Bittencourt\Documents\UFSC\Orienta&#231;&#227;o%20Artigo%20-%20Paulo\Documentos%20para%20o%20Artigo\Planilha%20com%20Gr&#225;fico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pt-BR"/>
  <c:chart>
    <c:plotArea>
      <c:layout>
        <c:manualLayout>
          <c:layoutTarget val="inner"/>
          <c:xMode val="edge"/>
          <c:yMode val="edge"/>
          <c:x val="6.1834658789642977E-2"/>
          <c:y val="3.9370538018530805E-2"/>
          <c:w val="0.92685048144939663"/>
          <c:h val="0.87179371195621824"/>
        </c:manualLayout>
      </c:layout>
      <c:barChart>
        <c:barDir val="col"/>
        <c:grouping val="clustered"/>
        <c:ser>
          <c:idx val="0"/>
          <c:order val="0"/>
          <c:tx>
            <c:strRef>
              <c:f>Plan2!$F$2</c:f>
              <c:strCache>
                <c:ptCount val="1"/>
                <c:pt idx="0">
                  <c:v>% de aplicação em ASPS conforme a PMF</c:v>
                </c:pt>
              </c:strCache>
            </c:strRef>
          </c:tx>
          <c:spPr>
            <a:pattFill prst="pct75">
              <a:fgClr>
                <a:srgbClr val="FFFFFF"/>
              </a:fgClr>
              <a:bgClr>
                <a:srgbClr val="000000"/>
              </a:bgClr>
            </a:pattFill>
            <a:ln w="6350">
              <a:solidFill>
                <a:sysClr val="windowText" lastClr="000000"/>
              </a:solidFill>
            </a:ln>
          </c:spPr>
          <c:dLbls>
            <c:numFmt formatCode="0.00%" sourceLinked="0"/>
            <c:txPr>
              <a:bodyPr rot="-5400000" vert="horz"/>
              <a:lstStyle/>
              <a:p>
                <a:pPr>
                  <a:defRPr sz="1000"/>
                </a:pPr>
                <a:endParaRPr lang="pt-BR"/>
              </a:p>
            </c:txPr>
            <c:showVal val="1"/>
          </c:dLbls>
          <c:cat>
            <c:numRef>
              <c:f>Plan2!$B$13:$Q$13</c:f>
              <c:numCache>
                <c:formatCode>General</c:formatCode>
                <c:ptCount val="16"/>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numCache>
            </c:numRef>
          </c:cat>
          <c:val>
            <c:numRef>
              <c:f>Plan2!$B$8:$Q$8</c:f>
              <c:numCache>
                <c:formatCode>General</c:formatCode>
                <c:ptCount val="16"/>
                <c:pt idx="2" formatCode="0.00%">
                  <c:v>0.11314890537861472</c:v>
                </c:pt>
                <c:pt idx="3" formatCode="0.00%">
                  <c:v>0.12323119625737702</c:v>
                </c:pt>
                <c:pt idx="4" formatCode="0.00%">
                  <c:v>0.15095465313774745</c:v>
                </c:pt>
                <c:pt idx="5" formatCode="0.00%">
                  <c:v>0.15520068706418691</c:v>
                </c:pt>
                <c:pt idx="6" formatCode="0.00%">
                  <c:v>0.16189365043985918</c:v>
                </c:pt>
                <c:pt idx="7" formatCode="0.00%">
                  <c:v>0.17474682075356909</c:v>
                </c:pt>
                <c:pt idx="8" formatCode="0.00%">
                  <c:v>0.25927464631949682</c:v>
                </c:pt>
                <c:pt idx="9" formatCode="0.00%">
                  <c:v>0.20490113192959244</c:v>
                </c:pt>
                <c:pt idx="10" formatCode="0.00%">
                  <c:v>0.30558075236496807</c:v>
                </c:pt>
                <c:pt idx="11" formatCode="0.00%">
                  <c:v>0.20721087849706812</c:v>
                </c:pt>
                <c:pt idx="12" formatCode="0.00%">
                  <c:v>0.21519717118751391</c:v>
                </c:pt>
                <c:pt idx="13" formatCode="0.00%">
                  <c:v>0.19537598374469275</c:v>
                </c:pt>
                <c:pt idx="14" formatCode="0.00%">
                  <c:v>0.19720044570613773</c:v>
                </c:pt>
                <c:pt idx="15" formatCode="0.00%">
                  <c:v>0.20203225146742751</c:v>
                </c:pt>
              </c:numCache>
            </c:numRef>
          </c:val>
        </c:ser>
        <c:ser>
          <c:idx val="1"/>
          <c:order val="1"/>
          <c:tx>
            <c:strRef>
              <c:f>Plan2!$F$10</c:f>
              <c:strCache>
                <c:ptCount val="1"/>
                <c:pt idx="0">
                  <c:v>% de aplicação em ASPS conforme o TCE/SC</c:v>
                </c:pt>
              </c:strCache>
            </c:strRef>
          </c:tx>
          <c:spPr>
            <a:pattFill prst="pct25">
              <a:fgClr>
                <a:srgbClr val="FFFFFF"/>
              </a:fgClr>
              <a:bgClr>
                <a:srgbClr val="000000"/>
              </a:bgClr>
            </a:pattFill>
            <a:ln w="3175">
              <a:solidFill>
                <a:sysClr val="windowText" lastClr="000000"/>
              </a:solidFill>
            </a:ln>
          </c:spPr>
          <c:dLbls>
            <c:numFmt formatCode="0.00%" sourceLinked="0"/>
            <c:txPr>
              <a:bodyPr rot="-5400000" vert="horz"/>
              <a:lstStyle/>
              <a:p>
                <a:pPr>
                  <a:defRPr sz="1000"/>
                </a:pPr>
                <a:endParaRPr lang="pt-BR"/>
              </a:p>
            </c:txPr>
            <c:showVal val="1"/>
          </c:dLbls>
          <c:cat>
            <c:numRef>
              <c:f>Plan2!$B$13:$Q$13</c:f>
              <c:numCache>
                <c:formatCode>General</c:formatCode>
                <c:ptCount val="16"/>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numCache>
            </c:numRef>
          </c:cat>
          <c:val>
            <c:numRef>
              <c:f>Plan2!$B$17:$Q$17</c:f>
              <c:numCache>
                <c:formatCode>0%</c:formatCode>
                <c:ptCount val="16"/>
                <c:pt idx="0">
                  <c:v>0.19196340203375828</c:v>
                </c:pt>
                <c:pt idx="1">
                  <c:v>0.14778161809152693</c:v>
                </c:pt>
                <c:pt idx="2">
                  <c:v>0.15781611736028162</c:v>
                </c:pt>
                <c:pt idx="3">
                  <c:v>0.1443815045637627</c:v>
                </c:pt>
                <c:pt idx="4">
                  <c:v>0.154148534910718</c:v>
                </c:pt>
                <c:pt idx="5">
                  <c:v>0.15095161010469471</c:v>
                </c:pt>
                <c:pt idx="6">
                  <c:v>0.17625549296804446</c:v>
                </c:pt>
                <c:pt idx="7">
                  <c:v>0.17714329178840943</c:v>
                </c:pt>
                <c:pt idx="8">
                  <c:v>0.18413422436530746</c:v>
                </c:pt>
                <c:pt idx="9">
                  <c:v>0.20370526297833191</c:v>
                </c:pt>
                <c:pt idx="10">
                  <c:v>0.19804077154413868</c:v>
                </c:pt>
                <c:pt idx="11">
                  <c:v>0.25135080260078907</c:v>
                </c:pt>
                <c:pt idx="12">
                  <c:v>0.25421999503813325</c:v>
                </c:pt>
                <c:pt idx="13">
                  <c:v>0.18924116825694418</c:v>
                </c:pt>
                <c:pt idx="14">
                  <c:v>0.18587824797606844</c:v>
                </c:pt>
                <c:pt idx="15">
                  <c:v>0.18711681271440544</c:v>
                </c:pt>
              </c:numCache>
            </c:numRef>
          </c:val>
        </c:ser>
        <c:dLbls>
          <c:showVal val="1"/>
        </c:dLbls>
        <c:axId val="106354176"/>
        <c:axId val="82813696"/>
      </c:barChart>
      <c:lineChart>
        <c:grouping val="standard"/>
        <c:ser>
          <c:idx val="2"/>
          <c:order val="2"/>
          <c:tx>
            <c:strRef>
              <c:f>Plan2!$B$19</c:f>
              <c:strCache>
                <c:ptCount val="1"/>
                <c:pt idx="0">
                  <c:v>Aplicação mínima em ASPS</c:v>
                </c:pt>
              </c:strCache>
            </c:strRef>
          </c:tx>
          <c:spPr>
            <a:ln w="22225">
              <a:solidFill>
                <a:schemeClr val="tx1"/>
              </a:solidFill>
            </a:ln>
          </c:spPr>
          <c:marker>
            <c:symbol val="diamond"/>
            <c:size val="5"/>
            <c:spPr>
              <a:solidFill>
                <a:schemeClr val="tx1"/>
              </a:solidFill>
            </c:spPr>
          </c:marker>
          <c:dLbls>
            <c:delete val="1"/>
          </c:dLbls>
          <c:val>
            <c:numRef>
              <c:f>Plan2!$B$20:$Q$20</c:f>
              <c:numCache>
                <c:formatCode>0.00%</c:formatCode>
                <c:ptCount val="16"/>
                <c:pt idx="0">
                  <c:v>0.15000000000000024</c:v>
                </c:pt>
                <c:pt idx="1">
                  <c:v>0.15000000000000024</c:v>
                </c:pt>
                <c:pt idx="2">
                  <c:v>0.15000000000000024</c:v>
                </c:pt>
                <c:pt idx="3">
                  <c:v>0.15000000000000024</c:v>
                </c:pt>
                <c:pt idx="4">
                  <c:v>0.15000000000000024</c:v>
                </c:pt>
                <c:pt idx="5">
                  <c:v>0.15000000000000024</c:v>
                </c:pt>
                <c:pt idx="6">
                  <c:v>0.15000000000000024</c:v>
                </c:pt>
                <c:pt idx="7">
                  <c:v>0.15000000000000024</c:v>
                </c:pt>
                <c:pt idx="8">
                  <c:v>0.15000000000000024</c:v>
                </c:pt>
                <c:pt idx="9">
                  <c:v>0.15000000000000024</c:v>
                </c:pt>
                <c:pt idx="10">
                  <c:v>0.15000000000000024</c:v>
                </c:pt>
                <c:pt idx="11">
                  <c:v>0.15000000000000024</c:v>
                </c:pt>
                <c:pt idx="12">
                  <c:v>0.15000000000000024</c:v>
                </c:pt>
                <c:pt idx="13">
                  <c:v>0.15000000000000024</c:v>
                </c:pt>
                <c:pt idx="14">
                  <c:v>0.15000000000000024</c:v>
                </c:pt>
                <c:pt idx="15">
                  <c:v>0.15000000000000024</c:v>
                </c:pt>
              </c:numCache>
            </c:numRef>
          </c:val>
        </c:ser>
        <c:dLbls>
          <c:showVal val="1"/>
        </c:dLbls>
        <c:marker val="1"/>
        <c:axId val="106354176"/>
        <c:axId val="82813696"/>
      </c:lineChart>
      <c:catAx>
        <c:axId val="106354176"/>
        <c:scaling>
          <c:orientation val="minMax"/>
        </c:scaling>
        <c:axPos val="b"/>
        <c:numFmt formatCode="General" sourceLinked="1"/>
        <c:tickLblPos val="nextTo"/>
        <c:crossAx val="82813696"/>
        <c:crosses val="autoZero"/>
        <c:auto val="1"/>
        <c:lblAlgn val="ctr"/>
        <c:lblOffset val="100"/>
      </c:catAx>
      <c:valAx>
        <c:axId val="82813696"/>
        <c:scaling>
          <c:orientation val="minMax"/>
        </c:scaling>
        <c:axPos val="l"/>
        <c:majorGridlines/>
        <c:numFmt formatCode="0%" sourceLinked="0"/>
        <c:tickLblPos val="nextTo"/>
        <c:txPr>
          <a:bodyPr/>
          <a:lstStyle/>
          <a:p>
            <a:pPr>
              <a:defRPr sz="1000"/>
            </a:pPr>
            <a:endParaRPr lang="pt-BR"/>
          </a:p>
        </c:txPr>
        <c:crossAx val="106354176"/>
        <c:crosses val="autoZero"/>
        <c:crossBetween val="between"/>
      </c:valAx>
    </c:plotArea>
    <c:legend>
      <c:legendPos val="r"/>
      <c:layout>
        <c:manualLayout>
          <c:xMode val="edge"/>
          <c:yMode val="edge"/>
          <c:x val="6.814405589657116E-2"/>
          <c:y val="4.3154693572155949E-2"/>
          <c:w val="0.47253726668725682"/>
          <c:h val="0.18432566737357667"/>
        </c:manualLayout>
      </c:layout>
    </c:legend>
    <c:plotVisOnly val="1"/>
    <c:dispBlanksAs val="gap"/>
  </c:chart>
  <c:spPr>
    <a:ln w="6350">
      <a:solidFill>
        <a:schemeClr val="tx1"/>
      </a:solidFill>
    </a:ln>
  </c:spPr>
  <c:txPr>
    <a:bodyPr/>
    <a:lstStyle/>
    <a:p>
      <a:pPr algn="just">
        <a:defRPr>
          <a:latin typeface="Times New Roman" pitchFamily="18" charset="0"/>
          <a:cs typeface="Times New Roman" pitchFamily="18" charset="0"/>
        </a:defRPr>
      </a:pPr>
      <a:endParaRPr lang="pt-BR"/>
    </a:p>
  </c:txPr>
  <c:externalData r:id="rId1"/>
</c:chartSpac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20FED59-DC6A-489C-8DF2-EC2FD6B960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19</Pages>
  <Words>8449</Words>
  <Characters>45629</Characters>
  <Application>Microsoft Office Word</Application>
  <DocSecurity>0</DocSecurity>
  <Lines>380</Lines>
  <Paragraphs>107</Paragraphs>
  <ScaleCrop>false</ScaleCrop>
  <HeadingPairs>
    <vt:vector size="2" baseType="variant">
      <vt:variant>
        <vt:lpstr>Título</vt:lpstr>
      </vt:variant>
      <vt:variant>
        <vt:i4>1</vt:i4>
      </vt:variant>
    </vt:vector>
  </HeadingPairs>
  <TitlesOfParts>
    <vt:vector size="1" baseType="lpstr">
      <vt:lpstr/>
    </vt:vector>
  </TitlesOfParts>
  <Company>Grizli777</Company>
  <LinksUpToDate>false</LinksUpToDate>
  <CharactersWithSpaces>53971</CharactersWithSpaces>
  <SharedDoc>false</SharedDoc>
  <HLinks>
    <vt:vector size="12" baseType="variant">
      <vt:variant>
        <vt:i4>524374</vt:i4>
      </vt:variant>
      <vt:variant>
        <vt:i4>3</vt:i4>
      </vt:variant>
      <vt:variant>
        <vt:i4>0</vt:i4>
      </vt:variant>
      <vt:variant>
        <vt:i4>5</vt:i4>
      </vt:variant>
      <vt:variant>
        <vt:lpwstr>http://siops.datasus.gov.br/</vt:lpwstr>
      </vt:variant>
      <vt:variant>
        <vt:lpwstr/>
      </vt:variant>
      <vt:variant>
        <vt:i4>3407912</vt:i4>
      </vt:variant>
      <vt:variant>
        <vt:i4>0</vt:i4>
      </vt:variant>
      <vt:variant>
        <vt:i4>0</vt:i4>
      </vt:variant>
      <vt:variant>
        <vt:i4>5</vt:i4>
      </vt:variant>
      <vt:variant>
        <vt:lpwstr>http://www.fnde.gov.br/</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paulo.bittencourt</dc:creator>
  <cp:lastModifiedBy>paulo.bittencourt</cp:lastModifiedBy>
  <cp:revision>4</cp:revision>
  <dcterms:created xsi:type="dcterms:W3CDTF">2016-09-06T18:15:00Z</dcterms:created>
  <dcterms:modified xsi:type="dcterms:W3CDTF">2016-09-06T18:27:00Z</dcterms:modified>
</cp:coreProperties>
</file>