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641" w:rsidRDefault="00A80641" w:rsidP="002826C0">
      <w:pPr>
        <w:jc w:val="center"/>
        <w:rPr>
          <w:b/>
        </w:rPr>
      </w:pPr>
    </w:p>
    <w:p w:rsidR="002826C0" w:rsidRPr="00E858DF" w:rsidRDefault="00342DC6" w:rsidP="001838F0">
      <w:pPr>
        <w:ind w:firstLine="0"/>
        <w:jc w:val="center"/>
        <w:rPr>
          <w:b/>
          <w:szCs w:val="24"/>
        </w:rPr>
      </w:pPr>
      <w:bookmarkStart w:id="0" w:name="_GoBack"/>
      <w:bookmarkEnd w:id="0"/>
      <w:r w:rsidRPr="00E858DF">
        <w:rPr>
          <w:b/>
          <w:szCs w:val="24"/>
        </w:rPr>
        <w:t>O IMPACTO DA SUBSTITUIÇÃO TRIBUTÁRIA PROGRESSIVA DE ICMS NAS EMPRESAS OPTANTES PELO SIMPLES NACIONAL EM SANTA CATARINA</w:t>
      </w:r>
    </w:p>
    <w:p w:rsidR="002826C0" w:rsidRPr="00E858DF" w:rsidRDefault="002826C0" w:rsidP="002826C0">
      <w:pPr>
        <w:jc w:val="center"/>
        <w:rPr>
          <w:color w:val="999999"/>
          <w:szCs w:val="24"/>
        </w:rPr>
      </w:pPr>
    </w:p>
    <w:p w:rsidR="002826C0" w:rsidRPr="00E858DF" w:rsidRDefault="002826C0" w:rsidP="002826C0">
      <w:pPr>
        <w:rPr>
          <w:color w:val="999999"/>
          <w:szCs w:val="24"/>
        </w:rPr>
      </w:pPr>
    </w:p>
    <w:p w:rsidR="002826C0" w:rsidRPr="00E858DF" w:rsidRDefault="00342DC6" w:rsidP="001838F0">
      <w:pPr>
        <w:ind w:firstLine="0"/>
        <w:jc w:val="center"/>
        <w:rPr>
          <w:b/>
          <w:szCs w:val="24"/>
        </w:rPr>
      </w:pPr>
      <w:r w:rsidRPr="00E858DF">
        <w:rPr>
          <w:b/>
          <w:szCs w:val="24"/>
        </w:rPr>
        <w:t>Luiz Eduardo Vieira</w:t>
      </w:r>
    </w:p>
    <w:p w:rsidR="002826C0" w:rsidRPr="00E858DF" w:rsidRDefault="00342DC6" w:rsidP="001838F0">
      <w:pPr>
        <w:ind w:firstLine="0"/>
        <w:jc w:val="center"/>
        <w:rPr>
          <w:szCs w:val="24"/>
        </w:rPr>
      </w:pPr>
      <w:r w:rsidRPr="00E858DF">
        <w:rPr>
          <w:szCs w:val="24"/>
        </w:rPr>
        <w:t>Universidade Federal de Santa Catarina</w:t>
      </w:r>
      <w:r w:rsidR="002826C0" w:rsidRPr="00E858DF">
        <w:rPr>
          <w:szCs w:val="24"/>
        </w:rPr>
        <w:t xml:space="preserve"> (</w:t>
      </w:r>
      <w:r w:rsidRPr="00E858DF">
        <w:rPr>
          <w:szCs w:val="24"/>
        </w:rPr>
        <w:t>UFSC</w:t>
      </w:r>
      <w:r w:rsidR="002826C0" w:rsidRPr="00E858DF">
        <w:rPr>
          <w:szCs w:val="24"/>
        </w:rPr>
        <w:t>)</w:t>
      </w:r>
    </w:p>
    <w:p w:rsidR="002826C0" w:rsidRPr="00E858DF" w:rsidRDefault="00342DC6" w:rsidP="001838F0">
      <w:pPr>
        <w:ind w:firstLine="0"/>
        <w:jc w:val="center"/>
        <w:rPr>
          <w:i/>
          <w:szCs w:val="24"/>
        </w:rPr>
      </w:pPr>
      <w:r w:rsidRPr="00E858DF">
        <w:rPr>
          <w:i/>
          <w:szCs w:val="24"/>
        </w:rPr>
        <w:t>luizev@hotmail.com</w:t>
      </w:r>
    </w:p>
    <w:p w:rsidR="002826C0" w:rsidRPr="00E858DF" w:rsidRDefault="002826C0" w:rsidP="002826C0">
      <w:pPr>
        <w:jc w:val="center"/>
        <w:rPr>
          <w:b/>
          <w:szCs w:val="24"/>
        </w:rPr>
      </w:pPr>
    </w:p>
    <w:p w:rsidR="002826C0" w:rsidRPr="00E858DF" w:rsidRDefault="00342DC6" w:rsidP="001838F0">
      <w:pPr>
        <w:ind w:firstLine="0"/>
        <w:jc w:val="center"/>
        <w:rPr>
          <w:b/>
          <w:szCs w:val="24"/>
        </w:rPr>
      </w:pPr>
      <w:r w:rsidRPr="00E858DF">
        <w:rPr>
          <w:b/>
          <w:szCs w:val="24"/>
        </w:rPr>
        <w:t>Priscila Alano da Rosa</w:t>
      </w:r>
    </w:p>
    <w:p w:rsidR="002826C0" w:rsidRPr="00E858DF" w:rsidRDefault="00342DC6" w:rsidP="001838F0">
      <w:pPr>
        <w:ind w:firstLine="0"/>
        <w:jc w:val="center"/>
        <w:rPr>
          <w:szCs w:val="24"/>
        </w:rPr>
      </w:pPr>
      <w:r w:rsidRPr="00E858DF">
        <w:rPr>
          <w:szCs w:val="24"/>
        </w:rPr>
        <w:t>Universidade Federal de Santa Catarina (UFSC)</w:t>
      </w:r>
    </w:p>
    <w:p w:rsidR="002826C0" w:rsidRPr="00E858DF" w:rsidRDefault="00512B12" w:rsidP="001838F0">
      <w:pPr>
        <w:ind w:firstLine="0"/>
        <w:jc w:val="center"/>
        <w:rPr>
          <w:i/>
          <w:szCs w:val="24"/>
        </w:rPr>
      </w:pPr>
      <w:r w:rsidRPr="00E858DF">
        <w:rPr>
          <w:rStyle w:val="allowtextselection"/>
          <w:i/>
          <w:szCs w:val="24"/>
        </w:rPr>
        <w:t>priscilaalano@gmail.com</w:t>
      </w:r>
    </w:p>
    <w:p w:rsidR="002826C0" w:rsidRPr="00E858DF" w:rsidRDefault="002826C0" w:rsidP="002826C0">
      <w:pPr>
        <w:jc w:val="center"/>
        <w:rPr>
          <w:b/>
          <w:szCs w:val="24"/>
        </w:rPr>
      </w:pPr>
    </w:p>
    <w:p w:rsidR="002826C0" w:rsidRPr="00E858DF" w:rsidRDefault="00342DC6" w:rsidP="001838F0">
      <w:pPr>
        <w:ind w:firstLine="0"/>
        <w:jc w:val="center"/>
        <w:rPr>
          <w:b/>
          <w:szCs w:val="24"/>
        </w:rPr>
      </w:pPr>
      <w:r w:rsidRPr="00E858DF">
        <w:rPr>
          <w:b/>
          <w:szCs w:val="24"/>
        </w:rPr>
        <w:t>Sérgio Murilo Petri</w:t>
      </w:r>
    </w:p>
    <w:p w:rsidR="002826C0" w:rsidRPr="00E858DF" w:rsidRDefault="00342DC6" w:rsidP="001838F0">
      <w:pPr>
        <w:ind w:firstLine="0"/>
        <w:jc w:val="center"/>
        <w:rPr>
          <w:szCs w:val="24"/>
        </w:rPr>
      </w:pPr>
      <w:r w:rsidRPr="00E858DF">
        <w:rPr>
          <w:szCs w:val="24"/>
        </w:rPr>
        <w:t>Universidade Federal de Santa Catarina (UFSC)</w:t>
      </w:r>
    </w:p>
    <w:p w:rsidR="002826C0" w:rsidRPr="00E858DF" w:rsidRDefault="00342DC6" w:rsidP="001838F0">
      <w:pPr>
        <w:ind w:firstLine="0"/>
        <w:jc w:val="center"/>
        <w:rPr>
          <w:i/>
          <w:szCs w:val="24"/>
        </w:rPr>
      </w:pPr>
      <w:r w:rsidRPr="00E858DF">
        <w:rPr>
          <w:rStyle w:val="allowtextselection"/>
          <w:i/>
          <w:szCs w:val="24"/>
        </w:rPr>
        <w:t>smpetri@gmail.com</w:t>
      </w:r>
    </w:p>
    <w:p w:rsidR="002826C0" w:rsidRPr="00E858DF" w:rsidRDefault="002826C0" w:rsidP="002826C0">
      <w:pPr>
        <w:jc w:val="center"/>
        <w:rPr>
          <w:b/>
          <w:color w:val="999999"/>
          <w:szCs w:val="24"/>
        </w:rPr>
      </w:pPr>
    </w:p>
    <w:p w:rsidR="002826C0" w:rsidRPr="00E858DF" w:rsidRDefault="002826C0" w:rsidP="002826C0">
      <w:pPr>
        <w:jc w:val="center"/>
        <w:rPr>
          <w:b/>
          <w:color w:val="999999"/>
          <w:szCs w:val="24"/>
        </w:rPr>
      </w:pPr>
    </w:p>
    <w:p w:rsidR="00512B12" w:rsidRPr="00E858DF" w:rsidRDefault="00512B12" w:rsidP="00512B12">
      <w:pPr>
        <w:ind w:firstLine="0"/>
        <w:rPr>
          <w:b/>
          <w:szCs w:val="24"/>
        </w:rPr>
      </w:pPr>
      <w:r w:rsidRPr="00E858DF">
        <w:rPr>
          <w:b/>
          <w:szCs w:val="24"/>
        </w:rPr>
        <w:t>Resumo</w:t>
      </w:r>
    </w:p>
    <w:p w:rsidR="002826C0" w:rsidRPr="00E858DF" w:rsidRDefault="00512B12" w:rsidP="00512B12">
      <w:pPr>
        <w:ind w:firstLine="0"/>
        <w:rPr>
          <w:szCs w:val="24"/>
        </w:rPr>
      </w:pPr>
      <w:r w:rsidRPr="00E858DF">
        <w:rPr>
          <w:szCs w:val="24"/>
        </w:rPr>
        <w:t>A substituição tributária de imposto sobre operações relativas à circulação de mercadorias e sobre prestações de serviços de transporte interestadual, intermunicipal e de comunicação (ICMS), foi criada com intuito de facilitar a fiscalização e arrecadação do imposto para os estados e Distrito Federal (</w:t>
      </w:r>
      <w:hyperlink r:id="rId8">
        <w:r w:rsidRPr="00E858DF">
          <w:rPr>
            <w:szCs w:val="24"/>
          </w:rPr>
          <w:t>Lei Complementar 87/1996</w:t>
        </w:r>
      </w:hyperlink>
      <w:r w:rsidRPr="00E858DF">
        <w:rPr>
          <w:szCs w:val="24"/>
        </w:rPr>
        <w:t xml:space="preserve">). O governo do estado de Santa Catarina editou em 2010 o Decreto estadual nº 3.467/2010, no qual, reduz em 70% a Margem de Valor Agregado (MVA) de 14 segmentos de produtos. Entre eles está o de perfumaria, com objetivo de beneficiar </w:t>
      </w:r>
      <w:proofErr w:type="gramStart"/>
      <w:r w:rsidRPr="00E858DF">
        <w:rPr>
          <w:szCs w:val="24"/>
        </w:rPr>
        <w:t>as</w:t>
      </w:r>
      <w:proofErr w:type="gramEnd"/>
      <w:r w:rsidRPr="00E858DF">
        <w:rPr>
          <w:szCs w:val="24"/>
        </w:rPr>
        <w:t xml:space="preserve"> </w:t>
      </w:r>
      <w:proofErr w:type="gramStart"/>
      <w:r w:rsidRPr="00E858DF">
        <w:rPr>
          <w:szCs w:val="24"/>
        </w:rPr>
        <w:t>empresas</w:t>
      </w:r>
      <w:proofErr w:type="gramEnd"/>
      <w:r w:rsidRPr="00E858DF">
        <w:rPr>
          <w:szCs w:val="24"/>
        </w:rPr>
        <w:t xml:space="preserve"> catarinenses optantes pelo Simples Nacional. Portanto, este estudo visa demonstrar por meio de simulações, o impacto da substituição tributária progressiva do ICMS para as empresas optantes pelo Simples Nacional, localizada no estado de Santa Catarina. Esta pesquisa se caracteriza como descritiva, fazendo o uso de dados secundários da legislação vigente e sua abordagem é considerada qualitativa. Ao ser analisado o resultado, verificou-se que em todas as operações sem o beneficio fiscal cedido às empresas do Simples Nacional houve uma sobrecarga na tributação. Já nas operações com o beneficio fiscal, apenas nas operações internas a partir da 4º faixa do Anexo I, o benefício é atingido.</w:t>
      </w:r>
      <w:r w:rsidR="002826C0" w:rsidRPr="00E858DF">
        <w:rPr>
          <w:szCs w:val="24"/>
        </w:rPr>
        <w:t xml:space="preserve"> </w:t>
      </w:r>
    </w:p>
    <w:p w:rsidR="002826C0" w:rsidRPr="00E858DF" w:rsidRDefault="002826C0" w:rsidP="002826C0">
      <w:pPr>
        <w:rPr>
          <w:b/>
          <w:szCs w:val="24"/>
        </w:rPr>
      </w:pPr>
    </w:p>
    <w:p w:rsidR="002826C0" w:rsidRPr="00E858DF" w:rsidRDefault="002826C0" w:rsidP="002826C0">
      <w:pPr>
        <w:ind w:firstLine="0"/>
        <w:rPr>
          <w:szCs w:val="24"/>
        </w:rPr>
      </w:pPr>
      <w:r w:rsidRPr="00E858DF">
        <w:rPr>
          <w:b/>
          <w:szCs w:val="24"/>
        </w:rPr>
        <w:t xml:space="preserve">Palavras-chave: </w:t>
      </w:r>
      <w:r w:rsidR="00512B12" w:rsidRPr="00E858DF">
        <w:rPr>
          <w:szCs w:val="24"/>
        </w:rPr>
        <w:t>ICMS, Substituição Tributária, Simples Nacional.</w:t>
      </w:r>
    </w:p>
    <w:p w:rsidR="002826C0" w:rsidRPr="00E858DF" w:rsidRDefault="002826C0" w:rsidP="002826C0">
      <w:pPr>
        <w:rPr>
          <w:b/>
          <w:szCs w:val="24"/>
        </w:rPr>
      </w:pPr>
    </w:p>
    <w:p w:rsidR="002826C0" w:rsidRPr="00E858DF" w:rsidRDefault="002826C0" w:rsidP="002826C0">
      <w:pPr>
        <w:ind w:firstLine="0"/>
        <w:rPr>
          <w:b/>
          <w:szCs w:val="24"/>
        </w:rPr>
      </w:pPr>
      <w:r w:rsidRPr="00E858DF">
        <w:rPr>
          <w:b/>
          <w:szCs w:val="24"/>
        </w:rPr>
        <w:t>Área Temática</w:t>
      </w:r>
      <w:r w:rsidRPr="00E858DF">
        <w:rPr>
          <w:szCs w:val="24"/>
        </w:rPr>
        <w:t>:</w:t>
      </w:r>
      <w:r w:rsidR="00512B12" w:rsidRPr="00E858DF">
        <w:rPr>
          <w:szCs w:val="24"/>
        </w:rPr>
        <w:t xml:space="preserve"> CONTABILIDADE TRIBUTÁRIA</w:t>
      </w:r>
    </w:p>
    <w:p w:rsidR="00F05FBB" w:rsidRPr="00E858DF" w:rsidRDefault="00F05FBB" w:rsidP="00F05FBB">
      <w:pPr>
        <w:rPr>
          <w:b/>
          <w:szCs w:val="24"/>
        </w:rPr>
      </w:pPr>
    </w:p>
    <w:p w:rsidR="002056D7" w:rsidRDefault="002056D7" w:rsidP="002056D7">
      <w:pPr>
        <w:pStyle w:val="Ttulo1"/>
        <w:sectPr w:rsidR="002056D7" w:rsidSect="004251EF">
          <w:headerReference w:type="default" r:id="rId9"/>
          <w:footerReference w:type="default" r:id="rId10"/>
          <w:pgSz w:w="12240" w:h="15840" w:code="119"/>
          <w:pgMar w:top="1701" w:right="1134" w:bottom="1134" w:left="1701" w:header="142" w:footer="113" w:gutter="0"/>
          <w:cols w:space="720"/>
        </w:sectPr>
      </w:pPr>
    </w:p>
    <w:p w:rsidR="00512B12" w:rsidRPr="00E858DF" w:rsidRDefault="00512B12" w:rsidP="00E858DF">
      <w:pPr>
        <w:ind w:firstLine="0"/>
        <w:rPr>
          <w:b/>
          <w:szCs w:val="24"/>
        </w:rPr>
      </w:pPr>
      <w:r w:rsidRPr="00E858DF">
        <w:rPr>
          <w:b/>
          <w:szCs w:val="24"/>
        </w:rPr>
        <w:lastRenderedPageBreak/>
        <w:t>1. Introdução</w:t>
      </w:r>
    </w:p>
    <w:p w:rsidR="00512B12" w:rsidRPr="00E858DF" w:rsidRDefault="00512B12" w:rsidP="00E858DF">
      <w:pPr>
        <w:ind w:firstLine="708"/>
        <w:rPr>
          <w:szCs w:val="24"/>
        </w:rPr>
      </w:pPr>
      <w:r w:rsidRPr="00E858DF">
        <w:rPr>
          <w:szCs w:val="24"/>
        </w:rPr>
        <w:t xml:space="preserve">Segundo Amaral (2014, p.21) “temos no Brasil o sistema tributário mais complexo e mais caro do mundo em virtude da quantidade de tributos [...]”, que são recolhidos pelos Entes da Federação. São eles: Governo Federal, os estados, distrito federal e os municípios, que são obrigados a aplicar uma porcentagem do dinheiro recolhido em áreas especificam, posteriormente tendo que prestar as contas para a população seguindo a Lei de Responsabilidade Fiscal (Lei Complementar nº101, de </w:t>
      </w:r>
      <w:proofErr w:type="gramStart"/>
      <w:r w:rsidRPr="00E858DF">
        <w:rPr>
          <w:szCs w:val="24"/>
        </w:rPr>
        <w:t>4</w:t>
      </w:r>
      <w:proofErr w:type="gramEnd"/>
      <w:r w:rsidRPr="00E858DF">
        <w:rPr>
          <w:szCs w:val="24"/>
        </w:rPr>
        <w:t xml:space="preserve"> de maio de 2000).</w:t>
      </w:r>
    </w:p>
    <w:p w:rsidR="00512B12" w:rsidRPr="00E858DF" w:rsidRDefault="00512B12" w:rsidP="00E858DF">
      <w:pPr>
        <w:ind w:firstLine="708"/>
        <w:rPr>
          <w:szCs w:val="24"/>
        </w:rPr>
      </w:pPr>
      <w:r w:rsidRPr="00E858DF">
        <w:rPr>
          <w:szCs w:val="24"/>
        </w:rPr>
        <w:t>O regime tributário denominado Simples Nacional é diferenciado dos demais regimes tributários, consiste na simplificação para Empresa de Pequeno Porte (EPP) e Micro Empresa (ME) com faturamento anual de R$ 3,6 mi e R$ 360 mil, respectivamente, no pagamento dos impostos e nas obrigações acessórias, previsto na Lei Complementar nº 123, de 14.12.2006.</w:t>
      </w:r>
    </w:p>
    <w:p w:rsidR="00512B12" w:rsidRPr="00E858DF" w:rsidRDefault="00512B12" w:rsidP="00E858DF">
      <w:pPr>
        <w:ind w:firstLine="708"/>
        <w:rPr>
          <w:szCs w:val="24"/>
        </w:rPr>
      </w:pPr>
      <w:r w:rsidRPr="00E858DF">
        <w:rPr>
          <w:szCs w:val="24"/>
        </w:rPr>
        <w:t xml:space="preserve">O </w:t>
      </w:r>
      <w:r w:rsidRPr="00E858DF">
        <w:rPr>
          <w:color w:val="000000"/>
          <w:szCs w:val="24"/>
        </w:rPr>
        <w:t>imposto sobre operações relativas à circulação de mercadorias e sobre prestações de serviços de transporte interestadual, intermunicipal e de comunicação</w:t>
      </w:r>
      <w:r w:rsidRPr="00E858DF">
        <w:rPr>
          <w:szCs w:val="24"/>
        </w:rPr>
        <w:t xml:space="preserve"> (ICMS) é um tipo de tributo cobrado pelos Estados da Federação. Com intuito de diminuir a evasão fiscal e facilitação na fiscalização, foi criado a Substituição Tributária de ICMS, no qual, transfere a obrigação de recolhimento do imposto para o contribuinte (geralmente o primeiro na cadeia de comercialização, importador ou o fabricante) de alguns produtos. (REZENDE, 2010).</w:t>
      </w:r>
    </w:p>
    <w:p w:rsidR="00512B12" w:rsidRPr="00E858DF" w:rsidRDefault="00512B12" w:rsidP="00E858DF">
      <w:pPr>
        <w:ind w:firstLine="708"/>
        <w:rPr>
          <w:szCs w:val="24"/>
        </w:rPr>
      </w:pPr>
      <w:r w:rsidRPr="00E858DF">
        <w:rPr>
          <w:szCs w:val="24"/>
        </w:rPr>
        <w:t>Desde sua criação, o ICMS por substituição tributária gera discussão por vários especialistas que defende ser uma tributação inconstitucional. Segundo Carrazza (2005), não pode considerar ocorrido o fato gerador de ICMS anteriormente a efetiva ocorrência da operação mercantil. Mesmo que vários contribuintes levaram essa discussão para o poder judiciário, o Supremo Tribunal Federal, através do Recurso Especial 213.396-5 SP/1999 declarou legal a cobrança da substituição tributária de ICMS pelos estados.</w:t>
      </w:r>
    </w:p>
    <w:p w:rsidR="00512B12" w:rsidRPr="00E858DF" w:rsidRDefault="00512B12" w:rsidP="00E858DF">
      <w:pPr>
        <w:ind w:firstLine="708"/>
        <w:rPr>
          <w:szCs w:val="24"/>
        </w:rPr>
      </w:pPr>
      <w:r w:rsidRPr="00E858DF">
        <w:rPr>
          <w:szCs w:val="24"/>
        </w:rPr>
        <w:t>Para recolhimento do ICMS por substituição tributária é estimado o valor da venda do produto numa eventual operação subsequente. O método utilizado para determinar a base de cálculo do ICMS/ST pode variar de produto para produto, através: a) Margem de Valor Agregado sobre os custos de aquisição da mercadoria; b) Preço final a consumidor, único ou máximo, que seja fixado por órgão público competente; c) Preço final a consumidor sugerido pelo fabricante ou importador; d) Pesquisa de Preços no Mercado. Portanto, as regras que regulamentam a fixação da base de cálculo de ICMS/ST são estabelecidas pelo artigo 8º da Lei Complementar 87/1996.</w:t>
      </w:r>
    </w:p>
    <w:p w:rsidR="00236A64" w:rsidRPr="00E858DF" w:rsidRDefault="00512B12" w:rsidP="00E858DF">
      <w:pPr>
        <w:ind w:firstLine="708"/>
        <w:rPr>
          <w:szCs w:val="24"/>
        </w:rPr>
      </w:pPr>
      <w:r w:rsidRPr="00E858DF">
        <w:rPr>
          <w:szCs w:val="24"/>
        </w:rPr>
        <w:t>Até agosto de 2010, não existia uma efetiva diferenciação benéfica para os produtos incidentes de substituição tributária comercializados com empresas do Simples Nacional em Santa Catarina, o que muda com a edição do Decreto estadual nº 3.467/2010, no qual, beneficia as empresas optantes pelo Simples Nacional, sediadas no estado, reduzindo a MVA para a base de cálculo da substituição tributária em 70% nas operações internas e</w:t>
      </w:r>
      <w:r w:rsidR="00236A64" w:rsidRPr="00E858DF">
        <w:rPr>
          <w:szCs w:val="24"/>
        </w:rPr>
        <w:t xml:space="preserve"> interestaduais de 14 segmentos de produtos, dentro deles o de perfumaria (Protocolo ICMS 191/09). </w:t>
      </w:r>
    </w:p>
    <w:p w:rsidR="00236A64" w:rsidRPr="00E858DF" w:rsidRDefault="00236A64" w:rsidP="00E858DF">
      <w:pPr>
        <w:ind w:firstLine="708"/>
        <w:rPr>
          <w:szCs w:val="24"/>
        </w:rPr>
      </w:pPr>
      <w:r w:rsidRPr="00E858DF">
        <w:rPr>
          <w:szCs w:val="24"/>
        </w:rPr>
        <w:t xml:space="preserve">Pelas informações descritas acima, é construída a seguinte pergunta, que exemplifica essa pesquisa: Qual o impacto da substituição tributária de ICMS nos custos da comercialização para </w:t>
      </w:r>
      <w:r w:rsidRPr="00E858DF">
        <w:rPr>
          <w:szCs w:val="24"/>
        </w:rPr>
        <w:lastRenderedPageBreak/>
        <w:t xml:space="preserve">empresas catarinenses optantes pelo Simples Nacional do produto perfume? </w:t>
      </w:r>
    </w:p>
    <w:p w:rsidR="00236A64" w:rsidRPr="00E858DF" w:rsidRDefault="00236A64" w:rsidP="00E858DF">
      <w:pPr>
        <w:ind w:firstLine="708"/>
        <w:rPr>
          <w:szCs w:val="24"/>
        </w:rPr>
      </w:pPr>
      <w:r w:rsidRPr="00E858DF">
        <w:rPr>
          <w:szCs w:val="24"/>
        </w:rPr>
        <w:t xml:space="preserve">Para solucionar a pergunta dessa pesquisa, o objetivo geral do trabalho é analisar o impacto da substituição tributária de ICMS, na carga tributária do produto perfume comercializada para empresas catarinenses optantes pelo simples nacional. </w:t>
      </w:r>
    </w:p>
    <w:p w:rsidR="00236A64" w:rsidRPr="00E858DF" w:rsidRDefault="00236A64" w:rsidP="00E858DF">
      <w:pPr>
        <w:ind w:firstLine="708"/>
        <w:rPr>
          <w:szCs w:val="24"/>
        </w:rPr>
      </w:pPr>
      <w:r w:rsidRPr="00E858DF">
        <w:rPr>
          <w:szCs w:val="24"/>
        </w:rPr>
        <w:t xml:space="preserve">Para ser atingido o objetivo geral da pesquisa é necessário o cumprimento dos seguintes objetivos específicos: </w:t>
      </w:r>
    </w:p>
    <w:p w:rsidR="00236A64" w:rsidRPr="00E858DF" w:rsidRDefault="00236A64" w:rsidP="00E858DF">
      <w:pPr>
        <w:ind w:firstLine="708"/>
        <w:rPr>
          <w:i/>
          <w:szCs w:val="24"/>
        </w:rPr>
      </w:pPr>
      <w:r w:rsidRPr="00E858DF">
        <w:rPr>
          <w:szCs w:val="24"/>
        </w:rPr>
        <w:t xml:space="preserve">(i) Simular três operações de venda interna e interestadual do produto perfume para uma empresa optante pelo simples nacional, sediada no estado de Santa Catarina, como: o produto sem incidência de ICMS/ST, assim o cálculo é realizado com o ICMS tributado pelo Simples Nacional; Na segunda simulação, a base de cálculo do ICMS/ST é calculada pela MVA integral; Já na última simulação, é analisado o benefício fiscal cedido pelo governo de Santa Catarina, assim a MVA da </w:t>
      </w:r>
      <w:r w:rsidRPr="00E858DF">
        <w:rPr>
          <w:i/>
          <w:szCs w:val="24"/>
        </w:rPr>
        <w:t xml:space="preserve">base de cálculo do </w:t>
      </w:r>
      <w:r w:rsidRPr="00E858DF">
        <w:rPr>
          <w:szCs w:val="24"/>
        </w:rPr>
        <w:t>ICMS/ST é reduzida em 70%, conforme Decreto estadual nº 3.467/2010.</w:t>
      </w:r>
    </w:p>
    <w:p w:rsidR="00236A64" w:rsidRPr="00E858DF" w:rsidRDefault="00236A64" w:rsidP="00E858DF">
      <w:pPr>
        <w:ind w:firstLine="708"/>
        <w:rPr>
          <w:szCs w:val="24"/>
        </w:rPr>
      </w:pPr>
      <w:r w:rsidRPr="00E858DF">
        <w:rPr>
          <w:szCs w:val="24"/>
        </w:rPr>
        <w:t>(ii) Simular em um único quadro, o valor de ICMS pelo regime simplificado em todas as faixas de faturamento regulamentados pelo Simples Nacional e comparar com o valor devido ao fisco na substituição tributária nas operações interestaduais e internas em Santa Catarina.</w:t>
      </w:r>
    </w:p>
    <w:p w:rsidR="00236A64" w:rsidRPr="00E858DF" w:rsidRDefault="00236A64" w:rsidP="00E858DF">
      <w:pPr>
        <w:rPr>
          <w:szCs w:val="24"/>
        </w:rPr>
      </w:pPr>
      <w:r w:rsidRPr="00E858DF">
        <w:rPr>
          <w:szCs w:val="24"/>
        </w:rPr>
        <w:t xml:space="preserve">Essa pesquisa é relevante pelo fato da contribuição das empresas do Simples Nacional com sociedade. Mesmo individualmente não tendo a mesma contribuição para os cofres públicos como uma empresa de porte maior, as empresas do Simples </w:t>
      </w:r>
      <w:proofErr w:type="gramStart"/>
      <w:r w:rsidRPr="00E858DF">
        <w:rPr>
          <w:szCs w:val="24"/>
        </w:rPr>
        <w:t>Nacional juntas</w:t>
      </w:r>
      <w:proofErr w:type="gramEnd"/>
      <w:r w:rsidRPr="00E858DF">
        <w:rPr>
          <w:szCs w:val="24"/>
        </w:rPr>
        <w:t xml:space="preserve"> se tornam importantes e relevantes para o funcionamento da economia. </w:t>
      </w:r>
    </w:p>
    <w:p w:rsidR="00550BF4" w:rsidRPr="00E858DF" w:rsidRDefault="00550BF4" w:rsidP="00E858DF">
      <w:pPr>
        <w:ind w:firstLine="0"/>
        <w:rPr>
          <w:b/>
          <w:szCs w:val="24"/>
        </w:rPr>
      </w:pPr>
    </w:p>
    <w:p w:rsidR="00236A64" w:rsidRPr="00E858DF" w:rsidRDefault="00236A64" w:rsidP="00E858DF">
      <w:pPr>
        <w:ind w:firstLine="0"/>
        <w:rPr>
          <w:b/>
          <w:szCs w:val="24"/>
        </w:rPr>
      </w:pPr>
      <w:r w:rsidRPr="00E858DF">
        <w:rPr>
          <w:b/>
          <w:szCs w:val="24"/>
        </w:rPr>
        <w:t>2. Fundamentação Teórica</w:t>
      </w:r>
    </w:p>
    <w:p w:rsidR="00236A64" w:rsidRPr="00E858DF" w:rsidRDefault="00236A64" w:rsidP="00E858DF">
      <w:pPr>
        <w:rPr>
          <w:szCs w:val="24"/>
        </w:rPr>
      </w:pPr>
      <w:r w:rsidRPr="00E858DF">
        <w:rPr>
          <w:szCs w:val="24"/>
        </w:rPr>
        <w:t>Este capítulo apresenta a fundamentação teórica da pesquisa que auxilia no entendimento do estudo. Contém os conceitos do Simples Nacional, ICMS, substituição tributária progressiva de ICMS, substituição tributária de ICMS no Simples Nacional e abordar pesquisas similares e correlatas com o tema deste estudo.</w:t>
      </w:r>
    </w:p>
    <w:p w:rsidR="00236A64" w:rsidRPr="00E858DF" w:rsidRDefault="00236A64" w:rsidP="00E858DF">
      <w:pPr>
        <w:ind w:firstLine="0"/>
        <w:rPr>
          <w:b/>
          <w:szCs w:val="24"/>
        </w:rPr>
      </w:pPr>
      <w:proofErr w:type="gramStart"/>
      <w:r w:rsidRPr="00E858DF">
        <w:rPr>
          <w:b/>
          <w:szCs w:val="24"/>
        </w:rPr>
        <w:t>2.1 Simples Nacional</w:t>
      </w:r>
      <w:proofErr w:type="gramEnd"/>
    </w:p>
    <w:p w:rsidR="00236A64" w:rsidRPr="00E858DF" w:rsidRDefault="00236A64" w:rsidP="00E858DF">
      <w:pPr>
        <w:ind w:firstLine="708"/>
        <w:rPr>
          <w:szCs w:val="24"/>
        </w:rPr>
      </w:pPr>
      <w:r w:rsidRPr="00E858DF">
        <w:rPr>
          <w:szCs w:val="24"/>
        </w:rPr>
        <w:t>O Simples Nacional é um regime de tributação simplificado, que reuni várias impostos em um só recolhimento. Foi criado em 14 de dezembro de 2006 pela Lei Complementar 123. A princípio, se destinava apenas a empresas com faturamento anual de R$ 2.400.000,00, que não se enquadravam em algumas atividades diferenciadas, como por exemplo, comercialização de combustível. (BRASIL, Lei Complementar 123/06).</w:t>
      </w:r>
    </w:p>
    <w:p w:rsidR="00236A64" w:rsidRPr="00E858DF" w:rsidRDefault="00236A64" w:rsidP="00E858DF">
      <w:pPr>
        <w:ind w:firstLine="708"/>
        <w:rPr>
          <w:szCs w:val="24"/>
        </w:rPr>
      </w:pPr>
      <w:r w:rsidRPr="00E858DF">
        <w:rPr>
          <w:szCs w:val="24"/>
        </w:rPr>
        <w:t>Está regulamentado pelo Art. 13 da Lei Complementar 123/06, que implicam no Simples Nacional, os seguintes impostos e contribuições:</w:t>
      </w:r>
    </w:p>
    <w:p w:rsidR="00236A64" w:rsidRPr="00E858DF" w:rsidRDefault="00236A64" w:rsidP="00E858DF">
      <w:pPr>
        <w:ind w:left="2268" w:firstLine="0"/>
        <w:rPr>
          <w:sz w:val="20"/>
        </w:rPr>
      </w:pPr>
      <w:r w:rsidRPr="00E858DF">
        <w:rPr>
          <w:sz w:val="20"/>
        </w:rPr>
        <w:t>I - Imposto sobre a Renda da Pessoa Jurídica - IRPJ;</w:t>
      </w:r>
    </w:p>
    <w:p w:rsidR="00236A64" w:rsidRPr="00E858DF" w:rsidRDefault="00236A64" w:rsidP="00E858DF">
      <w:pPr>
        <w:ind w:left="2268" w:firstLine="0"/>
        <w:rPr>
          <w:sz w:val="20"/>
        </w:rPr>
      </w:pPr>
      <w:r w:rsidRPr="00E858DF">
        <w:rPr>
          <w:sz w:val="20"/>
        </w:rPr>
        <w:t>II - Imposto sobre Produtos Industrializados - IPI, observado o disposto no inciso XII do § 1</w:t>
      </w:r>
      <w:r w:rsidRPr="00E858DF">
        <w:rPr>
          <w:sz w:val="20"/>
          <w:u w:val="single"/>
          <w:vertAlign w:val="superscript"/>
        </w:rPr>
        <w:t>o</w:t>
      </w:r>
      <w:r w:rsidRPr="00E858DF">
        <w:rPr>
          <w:color w:val="000000"/>
          <w:sz w:val="20"/>
        </w:rPr>
        <w:t> </w:t>
      </w:r>
      <w:r w:rsidRPr="00E858DF">
        <w:rPr>
          <w:sz w:val="20"/>
        </w:rPr>
        <w:t>deste artigo;</w:t>
      </w:r>
    </w:p>
    <w:p w:rsidR="00236A64" w:rsidRPr="00E858DF" w:rsidRDefault="00236A64" w:rsidP="00E858DF">
      <w:pPr>
        <w:ind w:left="2268" w:firstLine="0"/>
        <w:rPr>
          <w:sz w:val="20"/>
        </w:rPr>
      </w:pPr>
      <w:r w:rsidRPr="00E858DF">
        <w:rPr>
          <w:sz w:val="20"/>
        </w:rPr>
        <w:t>III - Contribuição Social sobre o Lucro Líquido - CSLL;</w:t>
      </w:r>
    </w:p>
    <w:p w:rsidR="00236A64" w:rsidRPr="00E858DF" w:rsidRDefault="00236A64" w:rsidP="00E858DF">
      <w:pPr>
        <w:ind w:left="2268" w:firstLine="0"/>
        <w:rPr>
          <w:sz w:val="20"/>
        </w:rPr>
      </w:pPr>
      <w:r w:rsidRPr="00E858DF">
        <w:rPr>
          <w:sz w:val="20"/>
        </w:rPr>
        <w:t>IV - Contribuição para o Financiamento da Seguridade Social - COFINS, observado o disposto no inciso XII do § 1</w:t>
      </w:r>
      <w:r w:rsidRPr="00E858DF">
        <w:rPr>
          <w:sz w:val="20"/>
          <w:u w:val="single"/>
          <w:vertAlign w:val="superscript"/>
        </w:rPr>
        <w:t>o</w:t>
      </w:r>
      <w:r w:rsidRPr="00E858DF">
        <w:rPr>
          <w:color w:val="000000"/>
          <w:sz w:val="20"/>
        </w:rPr>
        <w:t> </w:t>
      </w:r>
      <w:r w:rsidRPr="00E858DF">
        <w:rPr>
          <w:sz w:val="20"/>
        </w:rPr>
        <w:t>deste artigo;</w:t>
      </w:r>
    </w:p>
    <w:p w:rsidR="00236A64" w:rsidRPr="00E858DF" w:rsidRDefault="00236A64" w:rsidP="00E858DF">
      <w:pPr>
        <w:ind w:left="2268" w:firstLine="0"/>
        <w:rPr>
          <w:sz w:val="20"/>
        </w:rPr>
      </w:pPr>
      <w:r w:rsidRPr="00E858DF">
        <w:rPr>
          <w:sz w:val="20"/>
        </w:rPr>
        <w:lastRenderedPageBreak/>
        <w:t>V - Contribuição para o PIS/</w:t>
      </w:r>
      <w:proofErr w:type="gramStart"/>
      <w:r w:rsidRPr="00E858DF">
        <w:rPr>
          <w:sz w:val="20"/>
        </w:rPr>
        <w:t>Pasep</w:t>
      </w:r>
      <w:proofErr w:type="gramEnd"/>
      <w:r w:rsidRPr="00E858DF">
        <w:rPr>
          <w:sz w:val="20"/>
        </w:rPr>
        <w:t>, observado o disposto no inciso XII do § 1</w:t>
      </w:r>
      <w:r w:rsidRPr="00E858DF">
        <w:rPr>
          <w:sz w:val="20"/>
          <w:u w:val="single"/>
          <w:vertAlign w:val="superscript"/>
        </w:rPr>
        <w:t>o</w:t>
      </w:r>
      <w:r w:rsidRPr="00E858DF">
        <w:rPr>
          <w:color w:val="000000"/>
          <w:sz w:val="20"/>
        </w:rPr>
        <w:t> </w:t>
      </w:r>
      <w:r w:rsidRPr="00E858DF">
        <w:rPr>
          <w:sz w:val="20"/>
        </w:rPr>
        <w:t>deste artigo;</w:t>
      </w:r>
    </w:p>
    <w:p w:rsidR="00236A64" w:rsidRPr="00E858DF" w:rsidRDefault="00236A64" w:rsidP="00E858DF">
      <w:pPr>
        <w:ind w:left="2268" w:firstLine="0"/>
        <w:rPr>
          <w:sz w:val="20"/>
        </w:rPr>
      </w:pPr>
      <w:r w:rsidRPr="00E858DF">
        <w:rPr>
          <w:sz w:val="20"/>
        </w:rPr>
        <w:t>VI</w:t>
      </w:r>
      <w:r w:rsidRPr="00E858DF">
        <w:rPr>
          <w:color w:val="000000"/>
          <w:sz w:val="20"/>
        </w:rPr>
        <w:t> </w:t>
      </w:r>
      <w:r w:rsidRPr="00E858DF">
        <w:rPr>
          <w:sz w:val="20"/>
        </w:rPr>
        <w:t>- Contribuição Patronal Previdenciária - CPP para a Seguridade Social, a cargo da pessoa jurídica, de que trata o</w:t>
      </w:r>
      <w:r w:rsidRPr="00E858DF">
        <w:rPr>
          <w:color w:val="000000"/>
          <w:sz w:val="20"/>
        </w:rPr>
        <w:t> </w:t>
      </w:r>
      <w:hyperlink r:id="rId11">
        <w:r w:rsidRPr="00E858DF">
          <w:rPr>
            <w:sz w:val="20"/>
          </w:rPr>
          <w:t>art. 22 da Lei nº 8.212, de 24 de julho de 1991</w:t>
        </w:r>
      </w:hyperlink>
      <w:r w:rsidRPr="00E858DF">
        <w:rPr>
          <w:sz w:val="20"/>
        </w:rPr>
        <w:t>, exceto no caso da microempresa e da empresa de pequeno porte que se dedique às atividades de prestação de serviços referidas no § 5º-C</w:t>
      </w:r>
      <w:r w:rsidRPr="00E858DF">
        <w:rPr>
          <w:color w:val="000000"/>
          <w:sz w:val="20"/>
        </w:rPr>
        <w:t> </w:t>
      </w:r>
      <w:r w:rsidRPr="00E858DF">
        <w:rPr>
          <w:sz w:val="20"/>
        </w:rPr>
        <w:t>do art. 18 desta Lei Complementar;</w:t>
      </w:r>
    </w:p>
    <w:p w:rsidR="00236A64" w:rsidRPr="00E858DF" w:rsidRDefault="00236A64" w:rsidP="00E858DF">
      <w:pPr>
        <w:ind w:left="2268" w:firstLine="0"/>
        <w:rPr>
          <w:sz w:val="20"/>
        </w:rPr>
      </w:pPr>
      <w:r w:rsidRPr="00E858DF">
        <w:rPr>
          <w:sz w:val="20"/>
        </w:rPr>
        <w:t>VII - Imposto sobre Operações Relativas à Circulação de Mercadorias e Sobre Prestações de Serviços de Transporte Interestadual e Intermunicipal e de Comunicação - ICMS;</w:t>
      </w:r>
    </w:p>
    <w:p w:rsidR="00236A64" w:rsidRPr="00E858DF" w:rsidRDefault="00236A64" w:rsidP="00E858DF">
      <w:pPr>
        <w:ind w:left="2268" w:firstLine="0"/>
        <w:rPr>
          <w:sz w:val="20"/>
        </w:rPr>
      </w:pPr>
      <w:r w:rsidRPr="00E858DF">
        <w:rPr>
          <w:sz w:val="20"/>
        </w:rPr>
        <w:t>VIII - Imposto sobre Serviços de Qualquer Natureza - ISS.</w:t>
      </w:r>
    </w:p>
    <w:p w:rsidR="00236A64" w:rsidRPr="00E858DF" w:rsidRDefault="00236A64" w:rsidP="00E858DF">
      <w:pPr>
        <w:rPr>
          <w:szCs w:val="24"/>
        </w:rPr>
      </w:pPr>
    </w:p>
    <w:p w:rsidR="00236A64" w:rsidRPr="00E858DF" w:rsidRDefault="00236A64" w:rsidP="00E858DF">
      <w:pPr>
        <w:ind w:firstLine="708"/>
        <w:rPr>
          <w:szCs w:val="24"/>
        </w:rPr>
      </w:pPr>
      <w:r w:rsidRPr="00E858DF">
        <w:rPr>
          <w:szCs w:val="24"/>
        </w:rPr>
        <w:t xml:space="preserve">Constantemente há alguma alteração no Simples Nacional, com inclusão de alguma atividade diferente. Em 2011, foi </w:t>
      </w:r>
      <w:proofErr w:type="gramStart"/>
      <w:r w:rsidRPr="00E858DF">
        <w:rPr>
          <w:szCs w:val="24"/>
        </w:rPr>
        <w:t>sancionada a lei que ampliou para novas empresas entrarem no programa</w:t>
      </w:r>
      <w:proofErr w:type="gramEnd"/>
      <w:r w:rsidRPr="00E858DF">
        <w:rPr>
          <w:szCs w:val="24"/>
        </w:rPr>
        <w:t xml:space="preserve">, com aumento da receita bruta anual de R$ 2.400.000,00 para R$ 3.600.000,00, a partir do ano de 2012. (BRASIL, </w:t>
      </w:r>
      <w:hyperlink r:id="rId12">
        <w:r w:rsidRPr="00E858DF">
          <w:rPr>
            <w:szCs w:val="24"/>
          </w:rPr>
          <w:t>Lei Complementar 139/2011</w:t>
        </w:r>
      </w:hyperlink>
      <w:r w:rsidRPr="00E858DF">
        <w:rPr>
          <w:b/>
          <w:szCs w:val="24"/>
        </w:rPr>
        <w:t>).</w:t>
      </w:r>
    </w:p>
    <w:p w:rsidR="00236A64" w:rsidRPr="00E858DF" w:rsidRDefault="00236A64" w:rsidP="00E858DF">
      <w:pPr>
        <w:rPr>
          <w:szCs w:val="24"/>
        </w:rPr>
      </w:pPr>
      <w:r w:rsidRPr="00E858DF">
        <w:rPr>
          <w:szCs w:val="24"/>
        </w:rPr>
        <w:t>Segundo Martins Filho (2012) esse novo regime tributário estimula os micro e pequenos empreendimentos, com intuito da legalização de empreendimentos informais. Além disso, tem uma tributação menor, alíquotas com base na receita bruta da empresa, simplificada e unificada com os impostos de todos os Entes da Federação. Novos empreendimentos legais geram maior contribuição tributária e diminuição da sonegação das empresas para com o fisco.</w:t>
      </w:r>
    </w:p>
    <w:p w:rsidR="00236A64" w:rsidRPr="00E858DF" w:rsidRDefault="00236A64" w:rsidP="00E858DF">
      <w:pPr>
        <w:ind w:firstLine="708"/>
        <w:rPr>
          <w:szCs w:val="24"/>
        </w:rPr>
      </w:pPr>
      <w:r w:rsidRPr="00E858DF">
        <w:rPr>
          <w:szCs w:val="24"/>
        </w:rPr>
        <w:t>Com base na Lei Complementar 123/06 é constatado que o regime simplificado de impostos é composto por seis anexos, são eles: Anexo I destinado às empresas do comercio; Anexo II a indústria; Anexos III, IV, V e VI para prestadoras de serviço. A empresa deve ser enquadra em um ou mais anexos, dependendo da sua atividade empresarial. As alíquotas variam conforme cada anexo e aumentam gradativamente conforme aumenta sua receita bruta dos últimos doze meses.</w:t>
      </w:r>
    </w:p>
    <w:p w:rsidR="00236A64" w:rsidRPr="00E858DF" w:rsidRDefault="00236A64" w:rsidP="00E858DF">
      <w:pPr>
        <w:ind w:firstLine="0"/>
        <w:rPr>
          <w:b/>
          <w:szCs w:val="24"/>
        </w:rPr>
      </w:pPr>
      <w:r w:rsidRPr="00E858DF">
        <w:rPr>
          <w:b/>
          <w:szCs w:val="24"/>
        </w:rPr>
        <w:t>2.2 ICMS</w:t>
      </w:r>
    </w:p>
    <w:p w:rsidR="00236A64" w:rsidRPr="00E858DF" w:rsidRDefault="00236A64" w:rsidP="00E858DF">
      <w:pPr>
        <w:ind w:firstLine="708"/>
        <w:rPr>
          <w:szCs w:val="24"/>
        </w:rPr>
      </w:pPr>
      <w:r w:rsidRPr="00E858DF">
        <w:rPr>
          <w:szCs w:val="24"/>
        </w:rPr>
        <w:t>O ICMS é um tributo de competência dos estados da Federação juntamente com o Distrito Federal. Na Constituição Federal, está regulamentado no inciso 2º do Art. 155, já pelo estado de Santa Catarina pelo Decreto 2.870 – DOE de 28 de agosto de 2001. Ele incide sobre operações relativas à circulação de mercadorias, sobre prestações de serviços de transporte interestadual, intermunicipal e de comunicação.</w:t>
      </w:r>
    </w:p>
    <w:p w:rsidR="00236A64" w:rsidRPr="00E858DF" w:rsidRDefault="00236A64" w:rsidP="00E858DF">
      <w:pPr>
        <w:ind w:firstLine="708"/>
        <w:rPr>
          <w:szCs w:val="24"/>
        </w:rPr>
      </w:pPr>
      <w:r w:rsidRPr="00E858DF">
        <w:rPr>
          <w:szCs w:val="24"/>
        </w:rPr>
        <w:t>Do montante total arrecadado de ICMS, 25% são direcionados aos municípios, assim o estado (ou Distrito Federal) fica com os outros 75%. Ele é um imposto não cumulativo, assim sempre é compensado o imposto do fato gerador anterior há situação. Sua incidência se dá várias vezes, em cada novo fator gerador da circulação de mercadoria e/ou serviço. Sendo que, terá direito ao crédito de ICMS os produtos adquiridos destinados à revenda ou usados como insumos na industrialização. Além disso, o imposto deve estar destacado no documento fiscal emitido pelo contribuinte (BRASIL, Lei Complementar 63/90).</w:t>
      </w:r>
    </w:p>
    <w:p w:rsidR="00236A64" w:rsidRPr="00E858DF" w:rsidRDefault="00236A64" w:rsidP="00E858DF">
      <w:pPr>
        <w:rPr>
          <w:szCs w:val="24"/>
        </w:rPr>
      </w:pPr>
      <w:r w:rsidRPr="00E858DF">
        <w:rPr>
          <w:szCs w:val="24"/>
        </w:rPr>
        <w:t>Segundo Lei Kandir, Art.4 da Lei Complementar Federal nº87/1996, que dispõe sobre o ICMS:</w:t>
      </w:r>
    </w:p>
    <w:p w:rsidR="00236A64" w:rsidRPr="00E858DF" w:rsidRDefault="00236A64" w:rsidP="00236A64">
      <w:pPr>
        <w:ind w:left="2268" w:firstLine="0"/>
        <w:rPr>
          <w:sz w:val="20"/>
        </w:rPr>
      </w:pPr>
      <w:r w:rsidRPr="00E858DF">
        <w:rPr>
          <w:color w:val="000000"/>
          <w:sz w:val="20"/>
        </w:rPr>
        <w:lastRenderedPageBreak/>
        <w:t>Contribuinte é qualquer pessoa, física ou jurídica, que realize, com habitualidade ou em volume que caracterize intuito comercial, operações de circulação de mercadoria ou prestações de serviços de transporte interestadual e intermunicipal e de comunicação, ainda que as operações e as prestações se iniciem no exterior.</w:t>
      </w:r>
    </w:p>
    <w:p w:rsidR="00236A64" w:rsidRPr="00E858DF" w:rsidRDefault="00236A64" w:rsidP="00E858DF">
      <w:pPr>
        <w:ind w:firstLine="708"/>
        <w:rPr>
          <w:szCs w:val="24"/>
        </w:rPr>
      </w:pPr>
    </w:p>
    <w:p w:rsidR="00236A64" w:rsidRPr="00E858DF" w:rsidRDefault="00236A64" w:rsidP="00E858DF">
      <w:pPr>
        <w:ind w:firstLine="708"/>
        <w:rPr>
          <w:szCs w:val="24"/>
        </w:rPr>
      </w:pPr>
      <w:r w:rsidRPr="00E858DF">
        <w:rPr>
          <w:szCs w:val="24"/>
        </w:rPr>
        <w:t xml:space="preserve">Compõe a base de cálculo do ICMS, muitas vezes, o próprio imposto, assim é calculado “por dentro”. Além do valor da operação somado os gastos totais como o frete, seguro, juros, descontos e outras despesas acessórias. O Imposto sobre Produtos Industrializados (IPI), também entra na base de cálculo do ICMS, somente, quando a destinação do produto é para uso do cliente, assim denominado “usuário final”. Com base na Lei Complementar nº87/1996, há muitas exceções para a incorporação da base de cálculo do ICMS, o que depende muitas vezes da operação no qual o contribuinte realiza. </w:t>
      </w:r>
    </w:p>
    <w:p w:rsidR="00236A64" w:rsidRPr="00E858DF" w:rsidRDefault="00236A64" w:rsidP="00E858DF">
      <w:pPr>
        <w:rPr>
          <w:color w:val="000000"/>
          <w:szCs w:val="24"/>
        </w:rPr>
      </w:pPr>
      <w:r w:rsidRPr="00E858DF">
        <w:rPr>
          <w:color w:val="000000"/>
          <w:szCs w:val="24"/>
        </w:rPr>
        <w:t>As alíquotas interestaduais são padronizadas pelo Senado, geralmente variam de 12% e 7%.</w:t>
      </w:r>
    </w:p>
    <w:p w:rsidR="00236A64" w:rsidRPr="00E858DF" w:rsidRDefault="00236A64" w:rsidP="00E858DF">
      <w:pPr>
        <w:rPr>
          <w:szCs w:val="24"/>
        </w:rPr>
      </w:pPr>
      <w:r w:rsidRPr="00E858DF">
        <w:rPr>
          <w:color w:val="000000"/>
          <w:szCs w:val="24"/>
        </w:rPr>
        <w:t xml:space="preserve">As alíquotas internas (quando a operação é realizada apenas dentro do estado) são estabelecidas por cada unidade da Federação. No estado de Santa Catarina, as alíquotas internas variam conforme a operação/prestação: 25%, 17%, 12% e 7%. Segundo o legislador da CF, um dos traços importantes do ICMS, é a </w:t>
      </w:r>
      <w:r w:rsidRPr="00E858DF">
        <w:rPr>
          <w:i/>
          <w:color w:val="000000"/>
          <w:szCs w:val="24"/>
        </w:rPr>
        <w:t xml:space="preserve">seletividade, </w:t>
      </w:r>
      <w:r w:rsidRPr="00E858DF">
        <w:rPr>
          <w:color w:val="000000"/>
          <w:szCs w:val="24"/>
        </w:rPr>
        <w:t>no qual, os produtos tidos como supérfluo tem alíquota do imposto mais elevada, já produtos tidos como essenciais tem alíquota reduzida. (BRASIL, Art.155)</w:t>
      </w:r>
    </w:p>
    <w:p w:rsidR="00236A64" w:rsidRPr="00E858DF" w:rsidRDefault="00236A64" w:rsidP="00E858DF">
      <w:pPr>
        <w:ind w:firstLine="0"/>
        <w:rPr>
          <w:b/>
          <w:szCs w:val="24"/>
        </w:rPr>
      </w:pPr>
      <w:proofErr w:type="gramStart"/>
      <w:r w:rsidRPr="00E858DF">
        <w:rPr>
          <w:b/>
          <w:szCs w:val="24"/>
        </w:rPr>
        <w:t>2.3 Substituição</w:t>
      </w:r>
      <w:proofErr w:type="gramEnd"/>
      <w:r w:rsidRPr="00E858DF">
        <w:rPr>
          <w:b/>
          <w:szCs w:val="24"/>
        </w:rPr>
        <w:t xml:space="preserve"> Tributária Progressiva de ICMS</w:t>
      </w:r>
    </w:p>
    <w:p w:rsidR="00236A64" w:rsidRPr="00E858DF" w:rsidRDefault="00236A64" w:rsidP="00E858DF">
      <w:pPr>
        <w:ind w:firstLine="708"/>
        <w:rPr>
          <w:szCs w:val="24"/>
        </w:rPr>
      </w:pPr>
      <w:r w:rsidRPr="00E858DF">
        <w:rPr>
          <w:szCs w:val="24"/>
        </w:rPr>
        <w:t xml:space="preserve">Está previsto no § 7º do artigo 150 da Constituição Federal a Substituição Tributária. A Lei Complementar 87/1996 dispõe sobre a Substituição Tributária, no qual, expõe que cada estado instituirá a mesma por meio das suas legislações estaduais. Em Santa Catarina, a substituição tributária de ICMS está inclusa no anexo </w:t>
      </w:r>
      <w:proofErr w:type="gramStart"/>
      <w:r w:rsidRPr="00E858DF">
        <w:rPr>
          <w:szCs w:val="24"/>
        </w:rPr>
        <w:t>3</w:t>
      </w:r>
      <w:proofErr w:type="gramEnd"/>
      <w:r w:rsidRPr="00E858DF">
        <w:rPr>
          <w:szCs w:val="24"/>
        </w:rPr>
        <w:t xml:space="preserve"> do</w:t>
      </w:r>
      <w:r w:rsidRPr="00E858DF">
        <w:rPr>
          <w:szCs w:val="24"/>
        </w:rPr>
        <w:tab/>
        <w:t>Regulamento do ICMS – RICMS/SC-01.</w:t>
      </w:r>
    </w:p>
    <w:p w:rsidR="00236A64" w:rsidRPr="00E858DF" w:rsidRDefault="00236A64" w:rsidP="00E858DF">
      <w:pPr>
        <w:rPr>
          <w:szCs w:val="24"/>
        </w:rPr>
      </w:pPr>
      <w:r w:rsidRPr="00E858DF">
        <w:rPr>
          <w:szCs w:val="24"/>
        </w:rPr>
        <w:t>Na substituição tributária existe duas formas de contribuinte, o substituto e o substituído conforme comenta Amorim (2007, p. 109):</w:t>
      </w:r>
    </w:p>
    <w:p w:rsidR="00236A64" w:rsidRPr="00E858DF" w:rsidRDefault="00236A64" w:rsidP="00236A64">
      <w:pPr>
        <w:pStyle w:val="SemEspaamento"/>
        <w:ind w:left="2268"/>
        <w:rPr>
          <w:sz w:val="20"/>
        </w:rPr>
      </w:pPr>
      <w:r w:rsidRPr="00E858DF">
        <w:rPr>
          <w:sz w:val="20"/>
        </w:rPr>
        <w:t>O regime da Substituição tributária tem como principal característica atribuir ao contribuinte substituto a responsabilidade por cálculo, retenção e recolhimento aos cofres públicos do montante do imposto devido pelas operações de terceiros - contribuinte substituído (antecedentes, concomitantes ou subsequentes), além do seu próprio imposto. O imposto devido é apurado em cada operação, de forma individualizada e compensatória entre débito e crédito. Como regra geral, tal sistemática encerra todo o ciclo de tributação de uma mercadoria sujeita ao ICMS/ST, não mais sofrendo incidência do imposto nas operações subsequentes.</w:t>
      </w:r>
    </w:p>
    <w:p w:rsidR="00236A64" w:rsidRPr="00E858DF" w:rsidRDefault="00236A64" w:rsidP="00E858DF">
      <w:pPr>
        <w:rPr>
          <w:b/>
          <w:szCs w:val="24"/>
        </w:rPr>
      </w:pPr>
      <w:r w:rsidRPr="003D59C3">
        <w:rPr>
          <w:rFonts w:ascii="Arial" w:hAnsi="Arial" w:cs="Arial"/>
          <w:b/>
        </w:rPr>
        <w:tab/>
      </w:r>
    </w:p>
    <w:p w:rsidR="00236A64" w:rsidRPr="00E858DF" w:rsidRDefault="00236A64" w:rsidP="00E858DF">
      <w:pPr>
        <w:rPr>
          <w:szCs w:val="24"/>
        </w:rPr>
      </w:pPr>
      <w:r w:rsidRPr="00E858DF">
        <w:rPr>
          <w:szCs w:val="24"/>
        </w:rPr>
        <w:t xml:space="preserve">Conforme é informado na Cartilha da Substituição Tributária, criado pela Secretaria do Estado da Fazenda de Santa Catarina, o responsável pelo recolhimento do imposto das operações subsequente é o estabelecimento recebedor (substituto tributário) da mercadoria, até chegar ao varejo (substituído tributário) que realizará a última etapa do ciclo, a venda para o consumidor </w:t>
      </w:r>
      <w:r w:rsidRPr="00E858DF">
        <w:rPr>
          <w:szCs w:val="24"/>
        </w:rPr>
        <w:lastRenderedPageBreak/>
        <w:t xml:space="preserve">final. </w:t>
      </w:r>
    </w:p>
    <w:p w:rsidR="00236A64" w:rsidRPr="00E858DF" w:rsidRDefault="00236A64" w:rsidP="00E858DF">
      <w:pPr>
        <w:rPr>
          <w:szCs w:val="24"/>
        </w:rPr>
      </w:pPr>
      <w:r w:rsidRPr="00E858DF">
        <w:rPr>
          <w:szCs w:val="24"/>
        </w:rPr>
        <w:t xml:space="preserve">Para Rezende, a substituição tributária do ICMS é benéfica para o governo, pois é mais ágil processo de recolhimento do imposto. Mas na visão do contribuinte gera questionamento pelo fato do valor estimado pelo governo na venda não ser o que realmente acontece. </w:t>
      </w:r>
    </w:p>
    <w:p w:rsidR="00236A64" w:rsidRPr="00E858DF" w:rsidRDefault="00236A64" w:rsidP="00E858DF">
      <w:pPr>
        <w:rPr>
          <w:szCs w:val="24"/>
        </w:rPr>
      </w:pPr>
      <w:r w:rsidRPr="00E858DF">
        <w:rPr>
          <w:szCs w:val="24"/>
        </w:rPr>
        <w:t>Segundo Rezende (2010, p.55):</w:t>
      </w:r>
    </w:p>
    <w:p w:rsidR="00236A64" w:rsidRPr="00E858DF" w:rsidRDefault="00236A64" w:rsidP="00236A64">
      <w:pPr>
        <w:pStyle w:val="SemEspaamento"/>
        <w:ind w:left="2268"/>
        <w:rPr>
          <w:sz w:val="20"/>
        </w:rPr>
      </w:pPr>
      <w:r w:rsidRPr="00E858DF">
        <w:rPr>
          <w:sz w:val="20"/>
        </w:rPr>
        <w:t>Apesar de a Substituição Tributária ser um mecanismo aparentemente interessante para o governo, têm surgido questionamentos por parte de algumas empresas sujeitas a esse tipo de tributação, tendo em vista que o tributo acaba incidindo sobre um valor estimado, que pode ser superior ao valor final da venda, levando o contribuinte a recolhe mais do que seria pago no sistema normal.</w:t>
      </w:r>
    </w:p>
    <w:p w:rsidR="00236A64" w:rsidRPr="00E858DF" w:rsidRDefault="00236A64" w:rsidP="00E858DF">
      <w:pPr>
        <w:rPr>
          <w:szCs w:val="24"/>
        </w:rPr>
      </w:pPr>
    </w:p>
    <w:p w:rsidR="00236A64" w:rsidRPr="00E858DF" w:rsidRDefault="00236A64" w:rsidP="00E858DF">
      <w:pPr>
        <w:rPr>
          <w:szCs w:val="24"/>
        </w:rPr>
      </w:pPr>
      <w:r w:rsidRPr="00E858DF">
        <w:rPr>
          <w:szCs w:val="24"/>
        </w:rPr>
        <w:t xml:space="preserve">A regra de estimativa do preço final de determinado produto, no qual será </w:t>
      </w:r>
      <w:proofErr w:type="gramStart"/>
      <w:r w:rsidRPr="00E858DF">
        <w:rPr>
          <w:szCs w:val="24"/>
        </w:rPr>
        <w:t>a</w:t>
      </w:r>
      <w:proofErr w:type="gramEnd"/>
      <w:r w:rsidRPr="00E858DF">
        <w:rPr>
          <w:szCs w:val="24"/>
        </w:rPr>
        <w:t xml:space="preserve"> base de cálculo de substituição tributária é determinado pelo artigo 8º da Lei Complementar 87/1996. Assim, a base de cálculo para determinado produto pode ser determinado pela Margem de Valor Agregado (MVA), que é repassado pelos estados para os contribuintes.</w:t>
      </w:r>
    </w:p>
    <w:p w:rsidR="00236A64" w:rsidRPr="00E858DF" w:rsidRDefault="00236A64" w:rsidP="00E858DF">
      <w:pPr>
        <w:rPr>
          <w:szCs w:val="24"/>
        </w:rPr>
      </w:pPr>
      <w:r w:rsidRPr="00E858DF">
        <w:rPr>
          <w:szCs w:val="24"/>
        </w:rPr>
        <w:t>Para calcular a substituição tributária do ICMS é utilizada a seguinte formula (CARTILHA SUBSTITUIÇÃO TRIBUTÁRIA DE SC, p.10):</w:t>
      </w:r>
    </w:p>
    <w:p w:rsidR="00236A64" w:rsidRPr="00E858DF" w:rsidRDefault="00236A64" w:rsidP="00236A64">
      <w:pPr>
        <w:pStyle w:val="SemEspaamento"/>
        <w:ind w:left="2268"/>
        <w:rPr>
          <w:sz w:val="20"/>
        </w:rPr>
      </w:pPr>
      <w:r w:rsidRPr="00E858DF">
        <w:rPr>
          <w:sz w:val="20"/>
        </w:rPr>
        <w:t>Fórmula: ICMS ST</w:t>
      </w:r>
      <w:r w:rsidRPr="00E858DF">
        <w:rPr>
          <w:spacing w:val="18"/>
          <w:sz w:val="20"/>
        </w:rPr>
        <w:t xml:space="preserve"> </w:t>
      </w:r>
      <w:r w:rsidRPr="00E858DF">
        <w:rPr>
          <w:sz w:val="20"/>
        </w:rPr>
        <w:t xml:space="preserve">= </w:t>
      </w:r>
      <w:r w:rsidRPr="00E858DF">
        <w:rPr>
          <w:spacing w:val="1"/>
          <w:sz w:val="20"/>
        </w:rPr>
        <w:t>(</w:t>
      </w:r>
      <w:r w:rsidRPr="00E858DF">
        <w:rPr>
          <w:sz w:val="20"/>
        </w:rPr>
        <w:t>Al</w:t>
      </w:r>
      <w:r w:rsidRPr="00E858DF">
        <w:rPr>
          <w:spacing w:val="-2"/>
          <w:sz w:val="20"/>
        </w:rPr>
        <w:t xml:space="preserve"> </w:t>
      </w:r>
      <w:r w:rsidRPr="00E858DF">
        <w:rPr>
          <w:sz w:val="20"/>
        </w:rPr>
        <w:t>x</w:t>
      </w:r>
      <w:r w:rsidRPr="00E858DF">
        <w:rPr>
          <w:spacing w:val="-1"/>
          <w:sz w:val="20"/>
        </w:rPr>
        <w:t xml:space="preserve"> </w:t>
      </w:r>
      <w:r w:rsidRPr="00E858DF">
        <w:rPr>
          <w:sz w:val="20"/>
        </w:rPr>
        <w:t>BC S</w:t>
      </w:r>
      <w:r w:rsidRPr="00E858DF">
        <w:rPr>
          <w:spacing w:val="1"/>
          <w:sz w:val="20"/>
        </w:rPr>
        <w:t>T</w:t>
      </w:r>
      <w:r w:rsidRPr="00E858DF">
        <w:rPr>
          <w:sz w:val="20"/>
        </w:rPr>
        <w:t>)</w:t>
      </w:r>
      <w:r w:rsidRPr="00E858DF">
        <w:rPr>
          <w:spacing w:val="-2"/>
          <w:sz w:val="20"/>
        </w:rPr>
        <w:t xml:space="preserve"> </w:t>
      </w:r>
      <w:r w:rsidRPr="00E858DF">
        <w:rPr>
          <w:sz w:val="20"/>
        </w:rPr>
        <w:t>– (ICMS oper</w:t>
      </w:r>
      <w:r w:rsidRPr="00E858DF">
        <w:rPr>
          <w:spacing w:val="-1"/>
          <w:sz w:val="20"/>
        </w:rPr>
        <w:t>a</w:t>
      </w:r>
      <w:r w:rsidRPr="00E858DF">
        <w:rPr>
          <w:spacing w:val="1"/>
          <w:sz w:val="20"/>
        </w:rPr>
        <w:t>ç</w:t>
      </w:r>
      <w:r w:rsidRPr="00E858DF">
        <w:rPr>
          <w:spacing w:val="-1"/>
          <w:sz w:val="20"/>
        </w:rPr>
        <w:t>ã</w:t>
      </w:r>
      <w:r w:rsidRPr="00E858DF">
        <w:rPr>
          <w:sz w:val="20"/>
        </w:rPr>
        <w:t>o</w:t>
      </w:r>
      <w:r w:rsidRPr="00E858DF">
        <w:rPr>
          <w:spacing w:val="-1"/>
          <w:sz w:val="20"/>
        </w:rPr>
        <w:t xml:space="preserve"> </w:t>
      </w:r>
      <w:r w:rsidRPr="00E858DF">
        <w:rPr>
          <w:sz w:val="20"/>
        </w:rPr>
        <w:t>pró</w:t>
      </w:r>
      <w:r w:rsidRPr="00E858DF">
        <w:rPr>
          <w:spacing w:val="-1"/>
          <w:sz w:val="20"/>
        </w:rPr>
        <w:t>p</w:t>
      </w:r>
      <w:r w:rsidRPr="00E858DF">
        <w:rPr>
          <w:sz w:val="20"/>
        </w:rPr>
        <w:t xml:space="preserve">ria) </w:t>
      </w:r>
    </w:p>
    <w:p w:rsidR="00236A64" w:rsidRPr="00E858DF" w:rsidRDefault="00236A64" w:rsidP="00236A64">
      <w:pPr>
        <w:pStyle w:val="SemEspaamento"/>
        <w:ind w:left="2268"/>
        <w:rPr>
          <w:sz w:val="20"/>
        </w:rPr>
      </w:pPr>
      <w:r w:rsidRPr="00E858DF">
        <w:rPr>
          <w:sz w:val="20"/>
        </w:rPr>
        <w:t>Onde:</w:t>
      </w:r>
    </w:p>
    <w:p w:rsidR="00236A64" w:rsidRPr="00E858DF" w:rsidRDefault="00236A64" w:rsidP="00236A64">
      <w:pPr>
        <w:pStyle w:val="SemEspaamento"/>
        <w:ind w:left="2268"/>
        <w:rPr>
          <w:sz w:val="20"/>
        </w:rPr>
      </w:pPr>
      <w:r w:rsidRPr="00E858DF">
        <w:rPr>
          <w:sz w:val="20"/>
        </w:rPr>
        <w:t>- ICMS ST</w:t>
      </w:r>
      <w:r w:rsidRPr="00E858DF">
        <w:rPr>
          <w:spacing w:val="18"/>
          <w:sz w:val="20"/>
        </w:rPr>
        <w:t xml:space="preserve"> </w:t>
      </w:r>
      <w:r w:rsidRPr="00E858DF">
        <w:rPr>
          <w:sz w:val="20"/>
        </w:rPr>
        <w:t xml:space="preserve">= </w:t>
      </w:r>
      <w:r w:rsidRPr="00E858DF">
        <w:rPr>
          <w:spacing w:val="-1"/>
          <w:sz w:val="20"/>
        </w:rPr>
        <w:t>i</w:t>
      </w:r>
      <w:r w:rsidRPr="00E858DF">
        <w:rPr>
          <w:sz w:val="20"/>
        </w:rPr>
        <w:t>mposto a</w:t>
      </w:r>
      <w:r w:rsidRPr="00E858DF">
        <w:rPr>
          <w:spacing w:val="-1"/>
          <w:sz w:val="20"/>
        </w:rPr>
        <w:t xml:space="preserve"> </w:t>
      </w:r>
      <w:r w:rsidRPr="00E858DF">
        <w:rPr>
          <w:sz w:val="20"/>
        </w:rPr>
        <w:t>r</w:t>
      </w:r>
      <w:r w:rsidRPr="00E858DF">
        <w:rPr>
          <w:spacing w:val="-1"/>
          <w:sz w:val="20"/>
        </w:rPr>
        <w:t>e</w:t>
      </w:r>
      <w:r w:rsidRPr="00E858DF">
        <w:rPr>
          <w:sz w:val="20"/>
        </w:rPr>
        <w:t xml:space="preserve">colher </w:t>
      </w:r>
      <w:r w:rsidRPr="00E858DF">
        <w:rPr>
          <w:spacing w:val="-1"/>
          <w:sz w:val="20"/>
        </w:rPr>
        <w:t>p</w:t>
      </w:r>
      <w:r w:rsidRPr="00E858DF">
        <w:rPr>
          <w:sz w:val="20"/>
        </w:rPr>
        <w:t xml:space="preserve">or </w:t>
      </w:r>
      <w:r w:rsidRPr="00E858DF">
        <w:rPr>
          <w:spacing w:val="1"/>
          <w:sz w:val="20"/>
        </w:rPr>
        <w:t>s</w:t>
      </w:r>
      <w:r w:rsidRPr="00E858DF">
        <w:rPr>
          <w:sz w:val="20"/>
        </w:rPr>
        <w:t>ub</w:t>
      </w:r>
      <w:r w:rsidRPr="00E858DF">
        <w:rPr>
          <w:spacing w:val="1"/>
          <w:sz w:val="20"/>
        </w:rPr>
        <w:t>s</w:t>
      </w:r>
      <w:r w:rsidRPr="00E858DF">
        <w:rPr>
          <w:sz w:val="20"/>
        </w:rPr>
        <w:t>titui</w:t>
      </w:r>
      <w:r w:rsidRPr="00E858DF">
        <w:rPr>
          <w:spacing w:val="1"/>
          <w:sz w:val="20"/>
        </w:rPr>
        <w:t>ç</w:t>
      </w:r>
      <w:r w:rsidRPr="00E858DF">
        <w:rPr>
          <w:sz w:val="20"/>
        </w:rPr>
        <w:t>ão tributária;</w:t>
      </w:r>
    </w:p>
    <w:p w:rsidR="00236A64" w:rsidRPr="00E858DF" w:rsidRDefault="00236A64" w:rsidP="00236A64">
      <w:pPr>
        <w:pStyle w:val="SemEspaamento"/>
        <w:ind w:left="2268"/>
        <w:rPr>
          <w:sz w:val="20"/>
        </w:rPr>
      </w:pPr>
      <w:r w:rsidRPr="00E858DF">
        <w:rPr>
          <w:sz w:val="20"/>
        </w:rPr>
        <w:t>- Al = alíqu</w:t>
      </w:r>
      <w:r w:rsidRPr="00E858DF">
        <w:rPr>
          <w:spacing w:val="-1"/>
          <w:sz w:val="20"/>
        </w:rPr>
        <w:t>o</w:t>
      </w:r>
      <w:r w:rsidRPr="00E858DF">
        <w:rPr>
          <w:sz w:val="20"/>
        </w:rPr>
        <w:t>ta interna apl</w:t>
      </w:r>
      <w:r w:rsidRPr="00E858DF">
        <w:rPr>
          <w:spacing w:val="-1"/>
          <w:sz w:val="20"/>
        </w:rPr>
        <w:t>i</w:t>
      </w:r>
      <w:r w:rsidRPr="00E858DF">
        <w:rPr>
          <w:spacing w:val="1"/>
          <w:sz w:val="20"/>
        </w:rPr>
        <w:t>c</w:t>
      </w:r>
      <w:r w:rsidRPr="00E858DF">
        <w:rPr>
          <w:sz w:val="20"/>
        </w:rPr>
        <w:t xml:space="preserve">ável ao </w:t>
      </w:r>
      <w:r w:rsidRPr="00E858DF">
        <w:rPr>
          <w:spacing w:val="-1"/>
          <w:sz w:val="20"/>
        </w:rPr>
        <w:t>p</w:t>
      </w:r>
      <w:r w:rsidRPr="00E858DF">
        <w:rPr>
          <w:sz w:val="20"/>
        </w:rPr>
        <w:t>ro</w:t>
      </w:r>
      <w:r w:rsidRPr="00E858DF">
        <w:rPr>
          <w:spacing w:val="-1"/>
          <w:sz w:val="20"/>
        </w:rPr>
        <w:t>d</w:t>
      </w:r>
      <w:r w:rsidRPr="00E858DF">
        <w:rPr>
          <w:sz w:val="20"/>
        </w:rPr>
        <w:t>uto;</w:t>
      </w:r>
    </w:p>
    <w:p w:rsidR="00236A64" w:rsidRPr="00E858DF" w:rsidRDefault="00236A64" w:rsidP="00236A64">
      <w:pPr>
        <w:pStyle w:val="SemEspaamento"/>
        <w:ind w:left="2268"/>
        <w:rPr>
          <w:sz w:val="20"/>
        </w:rPr>
      </w:pPr>
      <w:r w:rsidRPr="00E858DF">
        <w:rPr>
          <w:spacing w:val="1"/>
          <w:sz w:val="20"/>
        </w:rPr>
        <w:t xml:space="preserve">- </w:t>
      </w:r>
      <w:r w:rsidRPr="00E858DF">
        <w:rPr>
          <w:sz w:val="20"/>
        </w:rPr>
        <w:t>BC</w:t>
      </w:r>
      <w:r w:rsidRPr="00E858DF">
        <w:rPr>
          <w:spacing w:val="15"/>
          <w:sz w:val="20"/>
        </w:rPr>
        <w:t xml:space="preserve"> </w:t>
      </w:r>
      <w:r w:rsidRPr="00E858DF">
        <w:rPr>
          <w:sz w:val="20"/>
        </w:rPr>
        <w:t>ST</w:t>
      </w:r>
      <w:r w:rsidRPr="00E858DF">
        <w:rPr>
          <w:spacing w:val="32"/>
          <w:sz w:val="20"/>
        </w:rPr>
        <w:t xml:space="preserve"> </w:t>
      </w:r>
      <w:r w:rsidRPr="00E858DF">
        <w:rPr>
          <w:sz w:val="20"/>
        </w:rPr>
        <w:t>=</w:t>
      </w:r>
      <w:r w:rsidRPr="00E858DF">
        <w:rPr>
          <w:spacing w:val="14"/>
          <w:sz w:val="20"/>
        </w:rPr>
        <w:t xml:space="preserve"> </w:t>
      </w:r>
      <w:r w:rsidRPr="00E858DF">
        <w:rPr>
          <w:spacing w:val="-1"/>
          <w:sz w:val="20"/>
        </w:rPr>
        <w:t>b</w:t>
      </w:r>
      <w:r w:rsidRPr="00E858DF">
        <w:rPr>
          <w:sz w:val="20"/>
        </w:rPr>
        <w:t>ase</w:t>
      </w:r>
      <w:r w:rsidRPr="00E858DF">
        <w:rPr>
          <w:spacing w:val="14"/>
          <w:sz w:val="20"/>
        </w:rPr>
        <w:t xml:space="preserve"> </w:t>
      </w:r>
      <w:r w:rsidRPr="00E858DF">
        <w:rPr>
          <w:spacing w:val="-1"/>
          <w:sz w:val="20"/>
        </w:rPr>
        <w:t>d</w:t>
      </w:r>
      <w:r w:rsidRPr="00E858DF">
        <w:rPr>
          <w:sz w:val="20"/>
        </w:rPr>
        <w:t>e</w:t>
      </w:r>
      <w:r w:rsidRPr="00E858DF">
        <w:rPr>
          <w:spacing w:val="14"/>
          <w:sz w:val="20"/>
        </w:rPr>
        <w:t xml:space="preserve"> </w:t>
      </w:r>
      <w:r w:rsidRPr="00E858DF">
        <w:rPr>
          <w:sz w:val="20"/>
        </w:rPr>
        <w:t>cá</w:t>
      </w:r>
      <w:r w:rsidRPr="00E858DF">
        <w:rPr>
          <w:spacing w:val="-1"/>
          <w:sz w:val="20"/>
        </w:rPr>
        <w:t>l</w:t>
      </w:r>
      <w:r w:rsidRPr="00E858DF">
        <w:rPr>
          <w:spacing w:val="1"/>
          <w:sz w:val="20"/>
        </w:rPr>
        <w:t>c</w:t>
      </w:r>
      <w:r w:rsidRPr="00E858DF">
        <w:rPr>
          <w:sz w:val="20"/>
        </w:rPr>
        <w:t>u</w:t>
      </w:r>
      <w:r w:rsidRPr="00E858DF">
        <w:rPr>
          <w:spacing w:val="-1"/>
          <w:sz w:val="20"/>
        </w:rPr>
        <w:t>l</w:t>
      </w:r>
      <w:r w:rsidRPr="00E858DF">
        <w:rPr>
          <w:sz w:val="20"/>
        </w:rPr>
        <w:t>o</w:t>
      </w:r>
      <w:r w:rsidRPr="00E858DF">
        <w:rPr>
          <w:spacing w:val="14"/>
          <w:sz w:val="20"/>
        </w:rPr>
        <w:t xml:space="preserve"> </w:t>
      </w:r>
      <w:r w:rsidRPr="00E858DF">
        <w:rPr>
          <w:sz w:val="20"/>
        </w:rPr>
        <w:t>da</w:t>
      </w:r>
      <w:r w:rsidRPr="00E858DF">
        <w:rPr>
          <w:spacing w:val="14"/>
          <w:sz w:val="20"/>
        </w:rPr>
        <w:t xml:space="preserve"> </w:t>
      </w:r>
      <w:r w:rsidRPr="00E858DF">
        <w:rPr>
          <w:sz w:val="20"/>
        </w:rPr>
        <w:t>su</w:t>
      </w:r>
      <w:r w:rsidRPr="00E858DF">
        <w:rPr>
          <w:spacing w:val="-1"/>
          <w:sz w:val="20"/>
        </w:rPr>
        <w:t>b</w:t>
      </w:r>
      <w:r w:rsidRPr="00E858DF">
        <w:rPr>
          <w:spacing w:val="1"/>
          <w:sz w:val="20"/>
        </w:rPr>
        <w:t>s</w:t>
      </w:r>
      <w:r w:rsidRPr="00E858DF">
        <w:rPr>
          <w:sz w:val="20"/>
        </w:rPr>
        <w:t>titu</w:t>
      </w:r>
      <w:r w:rsidRPr="00E858DF">
        <w:rPr>
          <w:spacing w:val="-1"/>
          <w:sz w:val="20"/>
        </w:rPr>
        <w:t>i</w:t>
      </w:r>
      <w:r w:rsidRPr="00E858DF">
        <w:rPr>
          <w:spacing w:val="1"/>
          <w:sz w:val="20"/>
        </w:rPr>
        <w:t>ç</w:t>
      </w:r>
      <w:r w:rsidRPr="00E858DF">
        <w:rPr>
          <w:sz w:val="20"/>
        </w:rPr>
        <w:t>ão</w:t>
      </w:r>
      <w:r w:rsidRPr="00E858DF">
        <w:rPr>
          <w:spacing w:val="14"/>
          <w:sz w:val="20"/>
        </w:rPr>
        <w:t xml:space="preserve"> </w:t>
      </w:r>
      <w:r w:rsidRPr="00E858DF">
        <w:rPr>
          <w:sz w:val="20"/>
        </w:rPr>
        <w:t>tri</w:t>
      </w:r>
      <w:r w:rsidRPr="00E858DF">
        <w:rPr>
          <w:spacing w:val="-1"/>
          <w:sz w:val="20"/>
        </w:rPr>
        <w:t>b</w:t>
      </w:r>
      <w:r w:rsidRPr="00E858DF">
        <w:rPr>
          <w:sz w:val="20"/>
        </w:rPr>
        <w:t>utária</w:t>
      </w:r>
      <w:r w:rsidRPr="00E858DF">
        <w:rPr>
          <w:spacing w:val="13"/>
          <w:sz w:val="20"/>
        </w:rPr>
        <w:t xml:space="preserve"> </w:t>
      </w:r>
      <w:r w:rsidRPr="00E858DF">
        <w:rPr>
          <w:sz w:val="20"/>
        </w:rPr>
        <w:t>apur</w:t>
      </w:r>
      <w:r w:rsidRPr="00E858DF">
        <w:rPr>
          <w:spacing w:val="-1"/>
          <w:sz w:val="20"/>
        </w:rPr>
        <w:t>a</w:t>
      </w:r>
      <w:r w:rsidRPr="00E858DF">
        <w:rPr>
          <w:sz w:val="20"/>
        </w:rPr>
        <w:t>da</w:t>
      </w:r>
      <w:r w:rsidRPr="00E858DF">
        <w:rPr>
          <w:spacing w:val="14"/>
          <w:sz w:val="20"/>
        </w:rPr>
        <w:t xml:space="preserve"> </w:t>
      </w:r>
      <w:r w:rsidRPr="00E858DF">
        <w:rPr>
          <w:sz w:val="20"/>
        </w:rPr>
        <w:t>co</w:t>
      </w:r>
      <w:r w:rsidRPr="00E858DF">
        <w:rPr>
          <w:spacing w:val="-1"/>
          <w:sz w:val="20"/>
        </w:rPr>
        <w:t>n</w:t>
      </w:r>
      <w:r w:rsidRPr="00E858DF">
        <w:rPr>
          <w:sz w:val="20"/>
        </w:rPr>
        <w:t>forme</w:t>
      </w:r>
      <w:r w:rsidRPr="00E858DF">
        <w:rPr>
          <w:spacing w:val="14"/>
          <w:sz w:val="20"/>
        </w:rPr>
        <w:t xml:space="preserve"> </w:t>
      </w:r>
      <w:r w:rsidRPr="00E858DF">
        <w:rPr>
          <w:sz w:val="20"/>
        </w:rPr>
        <w:t>r</w:t>
      </w:r>
      <w:r w:rsidRPr="00E858DF">
        <w:rPr>
          <w:spacing w:val="-1"/>
          <w:sz w:val="20"/>
        </w:rPr>
        <w:t>e</w:t>
      </w:r>
      <w:r w:rsidRPr="00E858DF">
        <w:rPr>
          <w:sz w:val="20"/>
        </w:rPr>
        <w:t>gra</w:t>
      </w:r>
      <w:r w:rsidRPr="00E858DF">
        <w:rPr>
          <w:spacing w:val="14"/>
          <w:sz w:val="20"/>
        </w:rPr>
        <w:t xml:space="preserve"> </w:t>
      </w:r>
      <w:r w:rsidRPr="00E858DF">
        <w:rPr>
          <w:sz w:val="20"/>
        </w:rPr>
        <w:t>aplicável</w:t>
      </w:r>
      <w:r w:rsidRPr="00E858DF">
        <w:rPr>
          <w:spacing w:val="14"/>
          <w:sz w:val="20"/>
        </w:rPr>
        <w:t xml:space="preserve"> </w:t>
      </w:r>
      <w:r w:rsidRPr="00E858DF">
        <w:rPr>
          <w:sz w:val="20"/>
        </w:rPr>
        <w:t>ao</w:t>
      </w:r>
      <w:r w:rsidRPr="00E858DF">
        <w:rPr>
          <w:spacing w:val="14"/>
          <w:sz w:val="20"/>
        </w:rPr>
        <w:t xml:space="preserve"> </w:t>
      </w:r>
      <w:r w:rsidRPr="00E858DF">
        <w:rPr>
          <w:sz w:val="20"/>
        </w:rPr>
        <w:t>pr</w:t>
      </w:r>
      <w:r w:rsidRPr="00E858DF">
        <w:rPr>
          <w:spacing w:val="-1"/>
          <w:sz w:val="20"/>
        </w:rPr>
        <w:t>o</w:t>
      </w:r>
      <w:r w:rsidRPr="00E858DF">
        <w:rPr>
          <w:sz w:val="20"/>
        </w:rPr>
        <w:t>duto;</w:t>
      </w:r>
    </w:p>
    <w:p w:rsidR="00236A64" w:rsidRPr="005265AC" w:rsidRDefault="00236A64" w:rsidP="00236A64">
      <w:pPr>
        <w:pStyle w:val="SemEspaamento"/>
        <w:ind w:left="2268"/>
        <w:rPr>
          <w:rFonts w:ascii="Arial" w:hAnsi="Arial" w:cs="Arial"/>
        </w:rPr>
      </w:pPr>
      <w:r w:rsidRPr="00E858DF">
        <w:rPr>
          <w:sz w:val="20"/>
        </w:rPr>
        <w:t>- ICMS op</w:t>
      </w:r>
      <w:r w:rsidRPr="00E858DF">
        <w:rPr>
          <w:spacing w:val="-1"/>
          <w:sz w:val="20"/>
        </w:rPr>
        <w:t>e</w:t>
      </w:r>
      <w:r w:rsidRPr="00E858DF">
        <w:rPr>
          <w:sz w:val="20"/>
        </w:rPr>
        <w:t>raç</w:t>
      </w:r>
      <w:r w:rsidRPr="00E858DF">
        <w:rPr>
          <w:spacing w:val="-1"/>
          <w:sz w:val="20"/>
        </w:rPr>
        <w:t>ã</w:t>
      </w:r>
      <w:r w:rsidRPr="00E858DF">
        <w:rPr>
          <w:sz w:val="20"/>
        </w:rPr>
        <w:t>o pr</w:t>
      </w:r>
      <w:r w:rsidRPr="00E858DF">
        <w:rPr>
          <w:spacing w:val="-1"/>
          <w:sz w:val="20"/>
        </w:rPr>
        <w:t>ó</w:t>
      </w:r>
      <w:r w:rsidRPr="00E858DF">
        <w:rPr>
          <w:sz w:val="20"/>
        </w:rPr>
        <w:t>pr</w:t>
      </w:r>
      <w:r w:rsidRPr="00E858DF">
        <w:rPr>
          <w:spacing w:val="-1"/>
          <w:sz w:val="20"/>
        </w:rPr>
        <w:t>i</w:t>
      </w:r>
      <w:r w:rsidRPr="00E858DF">
        <w:rPr>
          <w:sz w:val="20"/>
        </w:rPr>
        <w:t>a = ICMS inc</w:t>
      </w:r>
      <w:r w:rsidRPr="00E858DF">
        <w:rPr>
          <w:spacing w:val="-1"/>
          <w:sz w:val="20"/>
        </w:rPr>
        <w:t>id</w:t>
      </w:r>
      <w:r w:rsidRPr="00E858DF">
        <w:rPr>
          <w:sz w:val="20"/>
        </w:rPr>
        <w:t>ente s</w:t>
      </w:r>
      <w:r w:rsidRPr="00E858DF">
        <w:rPr>
          <w:spacing w:val="-1"/>
          <w:sz w:val="20"/>
        </w:rPr>
        <w:t>o</w:t>
      </w:r>
      <w:r w:rsidRPr="00E858DF">
        <w:rPr>
          <w:sz w:val="20"/>
        </w:rPr>
        <w:t>bre a</w:t>
      </w:r>
      <w:r w:rsidRPr="00E858DF">
        <w:rPr>
          <w:spacing w:val="-1"/>
          <w:sz w:val="20"/>
        </w:rPr>
        <w:t xml:space="preserve"> </w:t>
      </w:r>
      <w:r w:rsidRPr="00E858DF">
        <w:rPr>
          <w:sz w:val="20"/>
        </w:rPr>
        <w:t xml:space="preserve">operação </w:t>
      </w:r>
      <w:r w:rsidRPr="00E858DF">
        <w:rPr>
          <w:spacing w:val="-1"/>
          <w:sz w:val="20"/>
        </w:rPr>
        <w:t>p</w:t>
      </w:r>
      <w:r w:rsidRPr="00E858DF">
        <w:rPr>
          <w:sz w:val="20"/>
        </w:rPr>
        <w:t>r</w:t>
      </w:r>
      <w:r w:rsidRPr="00E858DF">
        <w:rPr>
          <w:spacing w:val="-1"/>
          <w:sz w:val="20"/>
        </w:rPr>
        <w:t>a</w:t>
      </w:r>
      <w:r w:rsidRPr="00E858DF">
        <w:rPr>
          <w:sz w:val="20"/>
        </w:rPr>
        <w:t xml:space="preserve">ticada </w:t>
      </w:r>
      <w:r w:rsidRPr="00E858DF">
        <w:rPr>
          <w:spacing w:val="-1"/>
          <w:sz w:val="20"/>
        </w:rPr>
        <w:t>p</w:t>
      </w:r>
      <w:r w:rsidRPr="00E858DF">
        <w:rPr>
          <w:sz w:val="20"/>
        </w:rPr>
        <w:t>elo próprio</w:t>
      </w:r>
      <w:r w:rsidRPr="00E858DF">
        <w:rPr>
          <w:spacing w:val="-2"/>
          <w:sz w:val="20"/>
        </w:rPr>
        <w:t xml:space="preserve"> </w:t>
      </w:r>
      <w:r w:rsidRPr="00E858DF">
        <w:rPr>
          <w:sz w:val="20"/>
        </w:rPr>
        <w:t>remet</w:t>
      </w:r>
      <w:r w:rsidRPr="00E858DF">
        <w:rPr>
          <w:spacing w:val="-1"/>
          <w:sz w:val="20"/>
        </w:rPr>
        <w:t>e</w:t>
      </w:r>
      <w:r w:rsidRPr="00E858DF">
        <w:rPr>
          <w:sz w:val="20"/>
        </w:rPr>
        <w:t>nte</w:t>
      </w:r>
      <w:r w:rsidRPr="008C3F13">
        <w:rPr>
          <w:rFonts w:ascii="Arial" w:hAnsi="Arial" w:cs="Arial"/>
          <w:sz w:val="20"/>
        </w:rPr>
        <w:t>.</w:t>
      </w:r>
    </w:p>
    <w:p w:rsidR="00236A64" w:rsidRPr="00236A64" w:rsidRDefault="00236A64" w:rsidP="00E858DF">
      <w:pPr>
        <w:pStyle w:val="SemEspaamento"/>
      </w:pPr>
    </w:p>
    <w:p w:rsidR="00236A64" w:rsidRPr="00236A64" w:rsidRDefault="00236A64" w:rsidP="00E858DF">
      <w:pPr>
        <w:pStyle w:val="SemEspaamento"/>
        <w:ind w:firstLine="708"/>
      </w:pPr>
      <w:r w:rsidRPr="00236A64">
        <w:t xml:space="preserve">No Quadro1 é demonstrado um exemplo de cálculo de uma venda interna no estado de Santa Catarina. Nesse exemplo </w:t>
      </w:r>
      <w:proofErr w:type="gramStart"/>
      <w:r w:rsidRPr="00236A64">
        <w:t>é</w:t>
      </w:r>
      <w:proofErr w:type="gramEnd"/>
      <w:r w:rsidRPr="00236A64">
        <w:t xml:space="preserve"> considerado 40% a margem de valor agregado – MVA, no qual representa o acréscimo no preço futuro nesse produto fictício, e a alíquota de ICMS próprio é 17%:</w:t>
      </w:r>
    </w:p>
    <w:p w:rsidR="00AB302E" w:rsidRPr="00E858DF" w:rsidRDefault="00AB302E" w:rsidP="00E858DF">
      <w:pPr>
        <w:pStyle w:val="SemEspaamento"/>
        <w:jc w:val="center"/>
        <w:rPr>
          <w:rFonts w:ascii="Arial" w:hAnsi="Arial" w:cs="Arial"/>
          <w:sz w:val="20"/>
        </w:rPr>
      </w:pPr>
      <w:r w:rsidRPr="00E858DF">
        <w:rPr>
          <w:sz w:val="20"/>
        </w:rPr>
        <w:t>Quadro 1 – Exemplo de cálculo da substituição tributária de ICMS</w:t>
      </w:r>
    </w:p>
    <w:tbl>
      <w:tblPr>
        <w:tblW w:w="0" w:type="auto"/>
        <w:jc w:val="center"/>
        <w:tblInd w:w="-255" w:type="dxa"/>
        <w:tblCellMar>
          <w:left w:w="10" w:type="dxa"/>
          <w:right w:w="10" w:type="dxa"/>
        </w:tblCellMar>
        <w:tblLook w:val="0000"/>
      </w:tblPr>
      <w:tblGrid>
        <w:gridCol w:w="4182"/>
        <w:gridCol w:w="2482"/>
        <w:gridCol w:w="2655"/>
      </w:tblGrid>
      <w:tr w:rsidR="00AB302E" w:rsidRPr="003D59C3" w:rsidTr="00AB302E">
        <w:trPr>
          <w:trHeight w:val="1"/>
          <w:jc w:val="center"/>
        </w:trPr>
        <w:tc>
          <w:tcPr>
            <w:tcW w:w="418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B302E" w:rsidRPr="001C1895" w:rsidRDefault="00AB302E" w:rsidP="00AB302E">
            <w:pPr>
              <w:pStyle w:val="SemEspaamento"/>
              <w:rPr>
                <w:b/>
                <w:sz w:val="20"/>
              </w:rPr>
            </w:pPr>
            <w:r w:rsidRPr="001C1895">
              <w:rPr>
                <w:b/>
                <w:sz w:val="20"/>
              </w:rPr>
              <w:t>Operação venda interestadual</w:t>
            </w:r>
          </w:p>
        </w:tc>
        <w:tc>
          <w:tcPr>
            <w:tcW w:w="248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B302E" w:rsidRPr="001C1895" w:rsidRDefault="00AB302E" w:rsidP="00AB302E">
            <w:pPr>
              <w:pStyle w:val="SemEspaamento"/>
              <w:rPr>
                <w:b/>
                <w:sz w:val="20"/>
              </w:rPr>
            </w:pPr>
            <w:r w:rsidRPr="001C1895">
              <w:rPr>
                <w:b/>
                <w:sz w:val="20"/>
              </w:rPr>
              <w:t>Valor</w:t>
            </w:r>
          </w:p>
        </w:tc>
        <w:tc>
          <w:tcPr>
            <w:tcW w:w="265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B302E" w:rsidRPr="001C1895" w:rsidRDefault="00AB302E" w:rsidP="00AB302E">
            <w:pPr>
              <w:pStyle w:val="SemEspaamento"/>
              <w:rPr>
                <w:b/>
                <w:sz w:val="20"/>
              </w:rPr>
            </w:pPr>
            <w:r w:rsidRPr="001C1895">
              <w:rPr>
                <w:b/>
                <w:sz w:val="20"/>
              </w:rPr>
              <w:t>Cálculo realizado</w:t>
            </w:r>
          </w:p>
        </w:tc>
      </w:tr>
      <w:tr w:rsidR="00AB302E" w:rsidRPr="003D59C3" w:rsidTr="00AB302E">
        <w:trPr>
          <w:trHeight w:val="1"/>
          <w:jc w:val="center"/>
        </w:trPr>
        <w:tc>
          <w:tcPr>
            <w:tcW w:w="41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Base de cálculo da operação</w:t>
            </w:r>
          </w:p>
        </w:tc>
        <w:tc>
          <w:tcPr>
            <w:tcW w:w="2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R$ 1.000,00</w:t>
            </w:r>
          </w:p>
        </w:tc>
        <w:tc>
          <w:tcPr>
            <w:tcW w:w="2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rFonts w:eastAsia="Calibri"/>
                <w:sz w:val="20"/>
              </w:rPr>
            </w:pPr>
          </w:p>
        </w:tc>
      </w:tr>
      <w:tr w:rsidR="00AB302E" w:rsidRPr="003D59C3" w:rsidTr="00AB302E">
        <w:trPr>
          <w:trHeight w:val="1"/>
          <w:jc w:val="center"/>
        </w:trPr>
        <w:tc>
          <w:tcPr>
            <w:tcW w:w="41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Base de cálculo do ST (MVA 40%)</w:t>
            </w:r>
          </w:p>
        </w:tc>
        <w:tc>
          <w:tcPr>
            <w:tcW w:w="2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R$ 1.400,00</w:t>
            </w:r>
          </w:p>
        </w:tc>
        <w:tc>
          <w:tcPr>
            <w:tcW w:w="2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rFonts w:eastAsia="Calibri"/>
                <w:sz w:val="20"/>
              </w:rPr>
            </w:pPr>
          </w:p>
        </w:tc>
      </w:tr>
      <w:tr w:rsidR="00AB302E" w:rsidRPr="003D59C3" w:rsidTr="00AB302E">
        <w:trPr>
          <w:trHeight w:val="1"/>
          <w:jc w:val="center"/>
        </w:trPr>
        <w:tc>
          <w:tcPr>
            <w:tcW w:w="41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Alíquota interna</w:t>
            </w:r>
          </w:p>
        </w:tc>
        <w:tc>
          <w:tcPr>
            <w:tcW w:w="2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17%</w:t>
            </w:r>
          </w:p>
        </w:tc>
        <w:tc>
          <w:tcPr>
            <w:tcW w:w="2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rFonts w:eastAsia="Calibri"/>
                <w:sz w:val="20"/>
              </w:rPr>
            </w:pPr>
          </w:p>
        </w:tc>
      </w:tr>
      <w:tr w:rsidR="00AB302E" w:rsidRPr="003D59C3" w:rsidTr="00AB302E">
        <w:trPr>
          <w:trHeight w:val="1"/>
          <w:jc w:val="center"/>
        </w:trPr>
        <w:tc>
          <w:tcPr>
            <w:tcW w:w="41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ICMS operação própria</w:t>
            </w:r>
          </w:p>
        </w:tc>
        <w:tc>
          <w:tcPr>
            <w:tcW w:w="2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R$ 170,00</w:t>
            </w:r>
          </w:p>
        </w:tc>
        <w:tc>
          <w:tcPr>
            <w:tcW w:w="2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(1.000 x 17%)</w:t>
            </w:r>
          </w:p>
        </w:tc>
      </w:tr>
      <w:tr w:rsidR="00AB302E" w:rsidRPr="003D59C3" w:rsidTr="00AB302E">
        <w:trPr>
          <w:trHeight w:val="1"/>
          <w:jc w:val="center"/>
        </w:trPr>
        <w:tc>
          <w:tcPr>
            <w:tcW w:w="41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ICMS ST</w:t>
            </w:r>
          </w:p>
        </w:tc>
        <w:tc>
          <w:tcPr>
            <w:tcW w:w="2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R$ 68,00</w:t>
            </w:r>
          </w:p>
        </w:tc>
        <w:tc>
          <w:tcPr>
            <w:tcW w:w="2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(1.400 x 17%) – 170,00</w:t>
            </w:r>
          </w:p>
        </w:tc>
      </w:tr>
    </w:tbl>
    <w:p w:rsidR="00AB302E" w:rsidRPr="00902D75" w:rsidRDefault="00AB302E" w:rsidP="00AB302E">
      <w:pPr>
        <w:pStyle w:val="SemEspaamento"/>
        <w:spacing w:line="360" w:lineRule="auto"/>
        <w:rPr>
          <w:sz w:val="20"/>
        </w:rPr>
      </w:pPr>
      <w:r w:rsidRPr="001C1895">
        <w:rPr>
          <w:sz w:val="20"/>
        </w:rPr>
        <w:t xml:space="preserve">Fonte: Elaborado pelo autor, </w:t>
      </w:r>
      <w:proofErr w:type="gramStart"/>
      <w:r w:rsidRPr="001C1895">
        <w:rPr>
          <w:sz w:val="20"/>
        </w:rPr>
        <w:t>2016</w:t>
      </w:r>
      <w:proofErr w:type="gramEnd"/>
    </w:p>
    <w:p w:rsidR="00AB302E" w:rsidRPr="00AB302E" w:rsidRDefault="00AB302E" w:rsidP="00E858DF">
      <w:pPr>
        <w:pStyle w:val="SemEspaamento"/>
        <w:ind w:firstLine="708"/>
      </w:pPr>
      <w:r w:rsidRPr="00AB302E">
        <w:t xml:space="preserve">Nas operações interestaduais é utilizado a MVA ajustada, que é calculado a partir da MVA original de cada produto. A MVA ajustada foi criada no intuito de equilibrar o preço nas duas operações pela diferença nas alíquotas interna e interestadual. Pois, o próprio imposto integra a base de cálculo, assim o preço de partida que determina a base de cálculo do ICMS/ST </w:t>
      </w:r>
      <w:r w:rsidRPr="00AB302E">
        <w:lastRenderedPageBreak/>
        <w:t>gera desequilíbrio, em relação às duas alíquotas e consequentemente o preço final do produto. (CARTILHA DA SUBSTITUIÇÃO TRIBUTÁRIA DE SC, 2011).</w:t>
      </w:r>
    </w:p>
    <w:p w:rsidR="00AB302E" w:rsidRPr="00AB302E" w:rsidRDefault="00AB302E" w:rsidP="00E858DF">
      <w:pPr>
        <w:pStyle w:val="SemEspaamento"/>
        <w:ind w:firstLine="708"/>
      </w:pPr>
      <w:r w:rsidRPr="00AB302E">
        <w:t>Segundo a Cartilha Substituição Tributária de SC, a fórmula para obter a MVA ajustada é a seguinte:</w:t>
      </w:r>
    </w:p>
    <w:p w:rsidR="00AB302E" w:rsidRPr="00E858DF" w:rsidRDefault="00AB302E" w:rsidP="00AB302E">
      <w:pPr>
        <w:pStyle w:val="SemEspaamento"/>
        <w:ind w:left="2268"/>
        <w:rPr>
          <w:sz w:val="20"/>
        </w:rPr>
      </w:pPr>
      <w:r w:rsidRPr="00E858DF">
        <w:rPr>
          <w:sz w:val="20"/>
        </w:rPr>
        <w:t>MVA ajustada = [(1+ MVA ST original) x (1 - ALQ inter) / (1- ALQ intra)] -1</w:t>
      </w:r>
    </w:p>
    <w:p w:rsidR="00AB302E" w:rsidRPr="00E858DF" w:rsidRDefault="00AB302E" w:rsidP="008F0FC5">
      <w:pPr>
        <w:pStyle w:val="SemEspaamento"/>
        <w:ind w:left="2268"/>
        <w:rPr>
          <w:sz w:val="20"/>
        </w:rPr>
      </w:pPr>
      <w:r w:rsidRPr="00E858DF">
        <w:rPr>
          <w:sz w:val="20"/>
        </w:rPr>
        <w:t>Onde:</w:t>
      </w:r>
    </w:p>
    <w:p w:rsidR="00AB302E" w:rsidRPr="00E858DF" w:rsidRDefault="00AB302E" w:rsidP="00AB302E">
      <w:pPr>
        <w:pStyle w:val="SemEspaamento"/>
        <w:ind w:left="2268"/>
        <w:rPr>
          <w:sz w:val="20"/>
        </w:rPr>
      </w:pPr>
      <w:r w:rsidRPr="00E858DF">
        <w:rPr>
          <w:sz w:val="20"/>
        </w:rPr>
        <w:t>- MVA ST origina = é a margem de valor agregado estabelecida para o produto;</w:t>
      </w:r>
    </w:p>
    <w:p w:rsidR="00AB302E" w:rsidRPr="00E858DF" w:rsidRDefault="00AB302E" w:rsidP="00AB302E">
      <w:pPr>
        <w:pStyle w:val="SemEspaamento"/>
        <w:ind w:left="2268"/>
        <w:rPr>
          <w:sz w:val="20"/>
        </w:rPr>
      </w:pPr>
      <w:r w:rsidRPr="00E858DF">
        <w:rPr>
          <w:sz w:val="20"/>
        </w:rPr>
        <w:t>- ALQ inter = é o coeficiente correspondente à alíquota interestadual aplicável à operação;</w:t>
      </w:r>
    </w:p>
    <w:p w:rsidR="00AB302E" w:rsidRPr="00E858DF" w:rsidRDefault="00AB302E" w:rsidP="001838F0">
      <w:pPr>
        <w:pStyle w:val="SemEspaamento"/>
        <w:ind w:left="2268"/>
        <w:rPr>
          <w:sz w:val="20"/>
        </w:rPr>
      </w:pPr>
      <w:r w:rsidRPr="00E858DF">
        <w:rPr>
          <w:sz w:val="20"/>
        </w:rPr>
        <w:t>- ALQ intra = é o coeficiente correspondente à alíquota interna aplicável sobre a operação substituída.</w:t>
      </w:r>
    </w:p>
    <w:p w:rsidR="00694312" w:rsidRPr="00E858DF" w:rsidRDefault="00694312" w:rsidP="00E858DF">
      <w:pPr>
        <w:pStyle w:val="SemEspaamento"/>
      </w:pPr>
    </w:p>
    <w:p w:rsidR="00AB302E" w:rsidRPr="00E858DF" w:rsidRDefault="00AB302E" w:rsidP="00E858DF">
      <w:pPr>
        <w:pStyle w:val="SemEspaamento"/>
        <w:ind w:firstLine="708"/>
      </w:pPr>
      <w:r w:rsidRPr="00E858DF">
        <w:t xml:space="preserve">Pode ser observado no Quadro </w:t>
      </w:r>
      <w:proofErr w:type="gramStart"/>
      <w:r w:rsidRPr="00E858DF">
        <w:t>2</w:t>
      </w:r>
      <w:proofErr w:type="gramEnd"/>
      <w:r w:rsidRPr="00E858DF">
        <w:t>, um exemplo do cálculo de ICMS/ST numa operação interestadual com a MVA ajustada. Ressalta-se que a alíquota do ICMS próprio é a interestadual na operação entre estados da Federação, nesse exemplo é 12%.</w:t>
      </w:r>
    </w:p>
    <w:p w:rsidR="00AB302E" w:rsidRPr="00005697" w:rsidRDefault="00AB302E" w:rsidP="006467C5">
      <w:pPr>
        <w:pStyle w:val="SemEspaamento"/>
        <w:jc w:val="center"/>
        <w:rPr>
          <w:sz w:val="20"/>
        </w:rPr>
      </w:pPr>
      <w:r w:rsidRPr="001C1895">
        <w:rPr>
          <w:sz w:val="20"/>
        </w:rPr>
        <w:t>Quadro 2 – Exemplo de cálculo da substituição tributária de ICMS com MVA ajustada.</w:t>
      </w:r>
    </w:p>
    <w:tbl>
      <w:tblPr>
        <w:tblW w:w="0" w:type="auto"/>
        <w:jc w:val="center"/>
        <w:tblInd w:w="-643" w:type="dxa"/>
        <w:tblCellMar>
          <w:left w:w="10" w:type="dxa"/>
          <w:right w:w="10" w:type="dxa"/>
        </w:tblCellMar>
        <w:tblLook w:val="0000"/>
      </w:tblPr>
      <w:tblGrid>
        <w:gridCol w:w="4384"/>
        <w:gridCol w:w="2105"/>
        <w:gridCol w:w="2874"/>
      </w:tblGrid>
      <w:tr w:rsidR="00AB302E" w:rsidRPr="001C1895" w:rsidTr="008F0FC5">
        <w:trPr>
          <w:trHeight w:val="1"/>
          <w:jc w:val="center"/>
        </w:trPr>
        <w:tc>
          <w:tcPr>
            <w:tcW w:w="438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B302E" w:rsidRPr="007E3FFC" w:rsidRDefault="00AB302E" w:rsidP="00AB302E">
            <w:pPr>
              <w:pStyle w:val="SemEspaamento"/>
              <w:rPr>
                <w:b/>
                <w:sz w:val="20"/>
              </w:rPr>
            </w:pPr>
            <w:r w:rsidRPr="007E3FFC">
              <w:rPr>
                <w:b/>
                <w:sz w:val="20"/>
              </w:rPr>
              <w:t>Operação de venda interna</w:t>
            </w:r>
          </w:p>
        </w:tc>
        <w:tc>
          <w:tcPr>
            <w:tcW w:w="210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B302E" w:rsidRPr="007E3FFC" w:rsidRDefault="00AB302E" w:rsidP="00AB302E">
            <w:pPr>
              <w:pStyle w:val="SemEspaamento"/>
              <w:rPr>
                <w:b/>
                <w:sz w:val="20"/>
              </w:rPr>
            </w:pPr>
            <w:r w:rsidRPr="007E3FFC">
              <w:rPr>
                <w:b/>
                <w:sz w:val="20"/>
              </w:rPr>
              <w:t>Valor</w:t>
            </w:r>
          </w:p>
        </w:tc>
        <w:tc>
          <w:tcPr>
            <w:tcW w:w="287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B302E" w:rsidRPr="007E3FFC" w:rsidRDefault="00AB302E" w:rsidP="00AB302E">
            <w:pPr>
              <w:pStyle w:val="SemEspaamento"/>
              <w:rPr>
                <w:b/>
                <w:sz w:val="20"/>
              </w:rPr>
            </w:pPr>
            <w:r w:rsidRPr="007E3FFC">
              <w:rPr>
                <w:b/>
                <w:sz w:val="20"/>
              </w:rPr>
              <w:t>Cálculo realizado</w:t>
            </w:r>
          </w:p>
        </w:tc>
      </w:tr>
      <w:tr w:rsidR="00AB302E" w:rsidRPr="001C1895" w:rsidTr="008F0FC5">
        <w:trPr>
          <w:trHeight w:val="1"/>
          <w:jc w:val="center"/>
        </w:trPr>
        <w:tc>
          <w:tcPr>
            <w:tcW w:w="4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Base de cálculo da operação</w:t>
            </w:r>
          </w:p>
        </w:tc>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R$ 1.000,00</w:t>
            </w:r>
          </w:p>
        </w:tc>
        <w:tc>
          <w:tcPr>
            <w:tcW w:w="28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rFonts w:eastAsia="Calibri"/>
                <w:sz w:val="20"/>
              </w:rPr>
            </w:pPr>
          </w:p>
        </w:tc>
      </w:tr>
      <w:tr w:rsidR="00AB302E" w:rsidRPr="001C1895" w:rsidTr="008F0FC5">
        <w:trPr>
          <w:trHeight w:val="1"/>
          <w:jc w:val="center"/>
        </w:trPr>
        <w:tc>
          <w:tcPr>
            <w:tcW w:w="4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MVA original (Não utilizada)</w:t>
            </w:r>
          </w:p>
        </w:tc>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 xml:space="preserve">40% </w:t>
            </w:r>
          </w:p>
        </w:tc>
        <w:tc>
          <w:tcPr>
            <w:tcW w:w="28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rFonts w:eastAsia="Calibri"/>
                <w:sz w:val="20"/>
              </w:rPr>
            </w:pPr>
          </w:p>
        </w:tc>
      </w:tr>
      <w:tr w:rsidR="00AB302E" w:rsidRPr="001C1895" w:rsidTr="008F0FC5">
        <w:trPr>
          <w:trHeight w:val="1"/>
          <w:jc w:val="center"/>
        </w:trPr>
        <w:tc>
          <w:tcPr>
            <w:tcW w:w="4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MVA Ajustada</w:t>
            </w:r>
          </w:p>
        </w:tc>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65%</w:t>
            </w:r>
          </w:p>
        </w:tc>
        <w:tc>
          <w:tcPr>
            <w:tcW w:w="28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p>
        </w:tc>
      </w:tr>
      <w:tr w:rsidR="00AB302E" w:rsidRPr="001C1895" w:rsidTr="008F0FC5">
        <w:trPr>
          <w:trHeight w:val="1"/>
          <w:jc w:val="center"/>
        </w:trPr>
        <w:tc>
          <w:tcPr>
            <w:tcW w:w="4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Base de cálculo de ST</w:t>
            </w:r>
          </w:p>
        </w:tc>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R$ 1.650,00</w:t>
            </w:r>
          </w:p>
        </w:tc>
        <w:tc>
          <w:tcPr>
            <w:tcW w:w="28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1.000 x 1,65 (MVA ajustada)</w:t>
            </w:r>
          </w:p>
        </w:tc>
      </w:tr>
      <w:tr w:rsidR="00AB302E" w:rsidRPr="001C1895" w:rsidTr="008F0FC5">
        <w:trPr>
          <w:trHeight w:val="1"/>
          <w:jc w:val="center"/>
        </w:trPr>
        <w:tc>
          <w:tcPr>
            <w:tcW w:w="4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Alíquota interestadual</w:t>
            </w:r>
          </w:p>
        </w:tc>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12%</w:t>
            </w:r>
          </w:p>
        </w:tc>
        <w:tc>
          <w:tcPr>
            <w:tcW w:w="28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rFonts w:eastAsia="Calibri"/>
                <w:sz w:val="20"/>
              </w:rPr>
            </w:pPr>
          </w:p>
        </w:tc>
      </w:tr>
      <w:tr w:rsidR="00AB302E" w:rsidRPr="001C1895" w:rsidTr="008F0FC5">
        <w:trPr>
          <w:trHeight w:val="1"/>
          <w:jc w:val="center"/>
        </w:trPr>
        <w:tc>
          <w:tcPr>
            <w:tcW w:w="4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ICMS de operação própria</w:t>
            </w:r>
          </w:p>
        </w:tc>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R$ 120,00</w:t>
            </w:r>
          </w:p>
        </w:tc>
        <w:tc>
          <w:tcPr>
            <w:tcW w:w="28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1.000 x 0,12</w:t>
            </w:r>
          </w:p>
        </w:tc>
      </w:tr>
      <w:tr w:rsidR="00AB302E" w:rsidRPr="001C1895" w:rsidTr="008F0FC5">
        <w:trPr>
          <w:trHeight w:val="1"/>
          <w:jc w:val="center"/>
        </w:trPr>
        <w:tc>
          <w:tcPr>
            <w:tcW w:w="4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ICMS-ST a recolher</w:t>
            </w:r>
          </w:p>
        </w:tc>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R$ 160,50</w:t>
            </w:r>
          </w:p>
        </w:tc>
        <w:tc>
          <w:tcPr>
            <w:tcW w:w="28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(1.650 x 0,17) - 120</w:t>
            </w:r>
          </w:p>
        </w:tc>
      </w:tr>
    </w:tbl>
    <w:p w:rsidR="00AB302E" w:rsidRPr="00AB302E" w:rsidRDefault="00AB302E" w:rsidP="007D1361">
      <w:pPr>
        <w:pStyle w:val="SemEspaamento"/>
        <w:spacing w:line="360" w:lineRule="auto"/>
        <w:jc w:val="left"/>
        <w:rPr>
          <w:sz w:val="20"/>
        </w:rPr>
      </w:pPr>
      <w:r w:rsidRPr="001C1895">
        <w:rPr>
          <w:sz w:val="20"/>
        </w:rPr>
        <w:t xml:space="preserve">Fonte: Elaborado pelo autor, </w:t>
      </w:r>
      <w:proofErr w:type="gramStart"/>
      <w:r w:rsidRPr="001C1895">
        <w:rPr>
          <w:sz w:val="20"/>
        </w:rPr>
        <w:t>2016</w:t>
      </w:r>
      <w:proofErr w:type="gramEnd"/>
    </w:p>
    <w:p w:rsidR="00AB302E" w:rsidRPr="00E858DF" w:rsidRDefault="00AB302E" w:rsidP="006467C5">
      <w:pPr>
        <w:pStyle w:val="SemEspaamento"/>
        <w:ind w:firstLine="708"/>
      </w:pPr>
      <w:r w:rsidRPr="00E858DF">
        <w:t xml:space="preserve">Portanto, conforme demonstrado no Quadro </w:t>
      </w:r>
      <w:proofErr w:type="gramStart"/>
      <w:r w:rsidRPr="00E858DF">
        <w:t>2</w:t>
      </w:r>
      <w:proofErr w:type="gramEnd"/>
      <w:r w:rsidRPr="00E858DF">
        <w:t>, a alíquota utilizada para formar a base de cálculo do ICMS/ST na operação interestadual é da MVA Ajusta.</w:t>
      </w:r>
    </w:p>
    <w:p w:rsidR="00AB302E" w:rsidRPr="00E858DF" w:rsidRDefault="00AB302E" w:rsidP="006467C5">
      <w:pPr>
        <w:pStyle w:val="SemEspaamento"/>
        <w:rPr>
          <w:b/>
        </w:rPr>
      </w:pPr>
      <w:r w:rsidRPr="00E858DF">
        <w:rPr>
          <w:b/>
        </w:rPr>
        <w:t>2.4 A Substituição Tributária Progressiva de ICMS no Simples Nacional</w:t>
      </w:r>
    </w:p>
    <w:p w:rsidR="00AB302E" w:rsidRPr="00E858DF" w:rsidRDefault="00AB302E" w:rsidP="006467C5">
      <w:pPr>
        <w:pStyle w:val="SemEspaamento"/>
        <w:ind w:firstLine="708"/>
      </w:pPr>
      <w:r w:rsidRPr="00E858DF">
        <w:t>Com os resultados obtidos na pesquisa realizada por Biava e Oyadomari (2010), foi constatado que há um aumento na carga tributária perante as empresas optante pelo simples nacional quando os produtos adquiridos por elas tem substituição tributária de ICMS. A falta de um “tratamento diferenciado” acarreta numa competitividade desleal. Assim, empresas de outros regimes tributários, como Lucro Presumido e Lucro Real tem o mesmo tratamento tributário na operação com incidência de ICMS/ST.</w:t>
      </w:r>
    </w:p>
    <w:p w:rsidR="00AB302E" w:rsidRPr="00E858DF" w:rsidRDefault="00AB302E" w:rsidP="006467C5">
      <w:pPr>
        <w:pStyle w:val="SemEspaamento"/>
        <w:ind w:firstLine="708"/>
      </w:pPr>
      <w:r w:rsidRPr="00E858DF">
        <w:t xml:space="preserve">Perante essa discussão, foi instituída em 2010 pelo Decreto estadual 3.467/2010 em Santa Catarina, uma redução de 70% na Margem de Valor Agregado de alguns produtos, em que, apenas destinatários catarinenses optantes pelo simples nacional se beneficiariam. Com a criação desse decreto, uma empresa de Santa Catarina optante pelo regime simplificado passaria a adquirir certos produtos pelo custo menor, como pode ser observado no exemplo do Quadro </w:t>
      </w:r>
      <w:proofErr w:type="gramStart"/>
      <w:r w:rsidRPr="00E858DF">
        <w:t>3</w:t>
      </w:r>
      <w:proofErr w:type="gramEnd"/>
      <w:r w:rsidRPr="00E858DF">
        <w:t>:</w:t>
      </w:r>
    </w:p>
    <w:p w:rsidR="00AB302E" w:rsidRPr="00E858DF" w:rsidRDefault="00AB302E" w:rsidP="006467C5">
      <w:pPr>
        <w:pStyle w:val="SemEspaamento"/>
      </w:pPr>
    </w:p>
    <w:p w:rsidR="001838F0" w:rsidRDefault="001838F0" w:rsidP="001838F0">
      <w:pPr>
        <w:spacing w:line="360" w:lineRule="auto"/>
        <w:ind w:firstLine="0"/>
        <w:jc w:val="center"/>
        <w:rPr>
          <w:rFonts w:ascii="Arial" w:hAnsi="Arial" w:cs="Arial"/>
          <w:sz w:val="22"/>
          <w:szCs w:val="22"/>
        </w:rPr>
      </w:pPr>
    </w:p>
    <w:p w:rsidR="00AB302E" w:rsidRPr="006467C5" w:rsidRDefault="00AB302E" w:rsidP="006467C5">
      <w:pPr>
        <w:pStyle w:val="SemEspaamento"/>
        <w:jc w:val="center"/>
        <w:rPr>
          <w:rFonts w:ascii="Arial" w:hAnsi="Arial" w:cs="Arial"/>
          <w:sz w:val="20"/>
        </w:rPr>
      </w:pPr>
      <w:r w:rsidRPr="006467C5">
        <w:rPr>
          <w:sz w:val="20"/>
        </w:rPr>
        <w:lastRenderedPageBreak/>
        <w:t>Quadro 3 – Exemplo de cálculo da substituição tributária de ICMS com redução 70% MVA</w:t>
      </w:r>
    </w:p>
    <w:tbl>
      <w:tblPr>
        <w:tblW w:w="0" w:type="auto"/>
        <w:jc w:val="center"/>
        <w:tblInd w:w="-603" w:type="dxa"/>
        <w:tblCellMar>
          <w:left w:w="10" w:type="dxa"/>
          <w:right w:w="10" w:type="dxa"/>
        </w:tblCellMar>
        <w:tblLook w:val="0000"/>
      </w:tblPr>
      <w:tblGrid>
        <w:gridCol w:w="4353"/>
        <w:gridCol w:w="2110"/>
        <w:gridCol w:w="2882"/>
      </w:tblGrid>
      <w:tr w:rsidR="00AB302E" w:rsidRPr="001C1895" w:rsidTr="008F0FC5">
        <w:trPr>
          <w:trHeight w:val="1"/>
          <w:jc w:val="center"/>
        </w:trPr>
        <w:tc>
          <w:tcPr>
            <w:tcW w:w="435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B302E" w:rsidRPr="001C1895" w:rsidRDefault="00AB302E" w:rsidP="00AB302E">
            <w:pPr>
              <w:pStyle w:val="SemEspaamento"/>
              <w:rPr>
                <w:b/>
                <w:sz w:val="20"/>
              </w:rPr>
            </w:pPr>
            <w:r w:rsidRPr="001C1895">
              <w:rPr>
                <w:b/>
                <w:sz w:val="20"/>
              </w:rPr>
              <w:t>Operação de venda interna</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B302E" w:rsidRPr="001C1895" w:rsidRDefault="00AB302E" w:rsidP="00AB302E">
            <w:pPr>
              <w:pStyle w:val="SemEspaamento"/>
              <w:rPr>
                <w:b/>
                <w:sz w:val="20"/>
              </w:rPr>
            </w:pPr>
            <w:r w:rsidRPr="001C1895">
              <w:rPr>
                <w:b/>
                <w:sz w:val="20"/>
              </w:rPr>
              <w:t>Valor</w:t>
            </w:r>
          </w:p>
        </w:tc>
        <w:tc>
          <w:tcPr>
            <w:tcW w:w="288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B302E" w:rsidRPr="001C1895" w:rsidRDefault="00AB302E" w:rsidP="00AB302E">
            <w:pPr>
              <w:pStyle w:val="SemEspaamento"/>
              <w:rPr>
                <w:b/>
                <w:sz w:val="20"/>
              </w:rPr>
            </w:pPr>
            <w:r w:rsidRPr="001C1895">
              <w:rPr>
                <w:b/>
                <w:sz w:val="20"/>
              </w:rPr>
              <w:t>Cálculo realizado</w:t>
            </w:r>
          </w:p>
        </w:tc>
      </w:tr>
      <w:tr w:rsidR="00AB302E" w:rsidRPr="001C1895" w:rsidTr="008F0FC5">
        <w:trPr>
          <w:trHeight w:val="1"/>
          <w:jc w:val="center"/>
        </w:trPr>
        <w:tc>
          <w:tcPr>
            <w:tcW w:w="4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Base de cálculo da operação</w:t>
            </w:r>
          </w:p>
        </w:tc>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R$ 1.000,00</w:t>
            </w:r>
          </w:p>
        </w:tc>
        <w:tc>
          <w:tcPr>
            <w:tcW w:w="2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rFonts w:eastAsia="Calibri"/>
                <w:sz w:val="20"/>
              </w:rPr>
            </w:pPr>
          </w:p>
        </w:tc>
      </w:tr>
      <w:tr w:rsidR="00AB302E" w:rsidRPr="001C1895" w:rsidTr="008F0FC5">
        <w:trPr>
          <w:trHeight w:val="1"/>
          <w:jc w:val="center"/>
        </w:trPr>
        <w:tc>
          <w:tcPr>
            <w:tcW w:w="4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MVA original</w:t>
            </w:r>
          </w:p>
        </w:tc>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40%</w:t>
            </w:r>
          </w:p>
        </w:tc>
        <w:tc>
          <w:tcPr>
            <w:tcW w:w="2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rFonts w:eastAsia="Calibri"/>
                <w:sz w:val="20"/>
              </w:rPr>
            </w:pPr>
          </w:p>
        </w:tc>
      </w:tr>
      <w:tr w:rsidR="00AB302E" w:rsidRPr="001C1895" w:rsidTr="008F0FC5">
        <w:trPr>
          <w:trHeight w:val="1"/>
          <w:jc w:val="center"/>
        </w:trPr>
        <w:tc>
          <w:tcPr>
            <w:tcW w:w="4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MVA com redução de 70%</w:t>
            </w:r>
          </w:p>
        </w:tc>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12%</w:t>
            </w:r>
          </w:p>
        </w:tc>
        <w:tc>
          <w:tcPr>
            <w:tcW w:w="2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0,40 x 0,30</w:t>
            </w:r>
          </w:p>
        </w:tc>
      </w:tr>
      <w:tr w:rsidR="00AB302E" w:rsidRPr="001C1895" w:rsidTr="008F0FC5">
        <w:trPr>
          <w:trHeight w:val="1"/>
          <w:jc w:val="center"/>
        </w:trPr>
        <w:tc>
          <w:tcPr>
            <w:tcW w:w="4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Base de cálculo de ST</w:t>
            </w:r>
          </w:p>
        </w:tc>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R$ 1.120,00</w:t>
            </w:r>
          </w:p>
        </w:tc>
        <w:tc>
          <w:tcPr>
            <w:tcW w:w="2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1.000 x 1,12</w:t>
            </w:r>
          </w:p>
        </w:tc>
      </w:tr>
      <w:tr w:rsidR="00AB302E" w:rsidRPr="001C1895" w:rsidTr="008F0FC5">
        <w:trPr>
          <w:trHeight w:val="1"/>
          <w:jc w:val="center"/>
        </w:trPr>
        <w:tc>
          <w:tcPr>
            <w:tcW w:w="4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Alíquota interna</w:t>
            </w:r>
          </w:p>
        </w:tc>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17%</w:t>
            </w:r>
          </w:p>
        </w:tc>
        <w:tc>
          <w:tcPr>
            <w:tcW w:w="2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rFonts w:eastAsia="Calibri"/>
                <w:sz w:val="20"/>
              </w:rPr>
            </w:pPr>
          </w:p>
        </w:tc>
      </w:tr>
      <w:tr w:rsidR="00AB302E" w:rsidRPr="001C1895" w:rsidTr="008F0FC5">
        <w:trPr>
          <w:trHeight w:val="1"/>
          <w:jc w:val="center"/>
        </w:trPr>
        <w:tc>
          <w:tcPr>
            <w:tcW w:w="4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ICMS de operação própria</w:t>
            </w:r>
          </w:p>
        </w:tc>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R$ 170,00</w:t>
            </w:r>
          </w:p>
        </w:tc>
        <w:tc>
          <w:tcPr>
            <w:tcW w:w="2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1.000 x 0,17</w:t>
            </w:r>
          </w:p>
        </w:tc>
      </w:tr>
      <w:tr w:rsidR="00AB302E" w:rsidRPr="001C1895" w:rsidTr="008F0FC5">
        <w:trPr>
          <w:trHeight w:val="1"/>
          <w:jc w:val="center"/>
        </w:trPr>
        <w:tc>
          <w:tcPr>
            <w:tcW w:w="4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ICMS-ST a recolher</w:t>
            </w:r>
          </w:p>
        </w:tc>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R$ 20,40</w:t>
            </w:r>
          </w:p>
        </w:tc>
        <w:tc>
          <w:tcPr>
            <w:tcW w:w="2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302E" w:rsidRPr="001C1895" w:rsidRDefault="00AB302E" w:rsidP="00AB302E">
            <w:pPr>
              <w:pStyle w:val="SemEspaamento"/>
              <w:rPr>
                <w:sz w:val="20"/>
              </w:rPr>
            </w:pPr>
            <w:r w:rsidRPr="001C1895">
              <w:rPr>
                <w:sz w:val="20"/>
              </w:rPr>
              <w:t>(1.120 x 0,17) - 170</w:t>
            </w:r>
          </w:p>
        </w:tc>
      </w:tr>
    </w:tbl>
    <w:p w:rsidR="00AB302E" w:rsidRPr="00005697" w:rsidRDefault="00AB302E" w:rsidP="00AB302E">
      <w:pPr>
        <w:pStyle w:val="SemEspaamento"/>
        <w:spacing w:line="360" w:lineRule="auto"/>
        <w:rPr>
          <w:sz w:val="20"/>
        </w:rPr>
      </w:pPr>
      <w:r w:rsidRPr="001C1895">
        <w:rPr>
          <w:sz w:val="20"/>
        </w:rPr>
        <w:t xml:space="preserve">Fonte: Elaborado pelo autor, </w:t>
      </w:r>
      <w:proofErr w:type="gramStart"/>
      <w:r w:rsidRPr="001C1895">
        <w:rPr>
          <w:sz w:val="20"/>
        </w:rPr>
        <w:t>2016</w:t>
      </w:r>
      <w:proofErr w:type="gramEnd"/>
    </w:p>
    <w:p w:rsidR="00AB302E" w:rsidRPr="00E858DF" w:rsidRDefault="00AB302E" w:rsidP="006467C5">
      <w:pPr>
        <w:pStyle w:val="SemEspaamento"/>
        <w:ind w:firstLine="708"/>
      </w:pPr>
      <w:r w:rsidRPr="00E858DF">
        <w:t xml:space="preserve">Dentre os 14 segmentos de produtos beneficiados com o Decreto estadual 3.467/2010 </w:t>
      </w:r>
      <w:proofErr w:type="gramStart"/>
      <w:r w:rsidRPr="00E858DF">
        <w:t>está</w:t>
      </w:r>
      <w:proofErr w:type="gramEnd"/>
      <w:r w:rsidRPr="00E858DF">
        <w:t xml:space="preserve"> o de perfumaria, assim incluso o produto perfume (Protocolo ICMS 191/09 – NCM 33.03.00.10).</w:t>
      </w:r>
    </w:p>
    <w:p w:rsidR="00AB302E" w:rsidRPr="00E858DF" w:rsidRDefault="00AB302E" w:rsidP="006467C5">
      <w:pPr>
        <w:pStyle w:val="SemEspaamento"/>
        <w:rPr>
          <w:b/>
        </w:rPr>
      </w:pPr>
      <w:r w:rsidRPr="00E858DF">
        <w:rPr>
          <w:b/>
        </w:rPr>
        <w:t>2.5 Pesquisas Similares ou Correlatas</w:t>
      </w:r>
    </w:p>
    <w:p w:rsidR="00AB302E" w:rsidRPr="00E858DF" w:rsidRDefault="00AB302E" w:rsidP="006467C5">
      <w:pPr>
        <w:pStyle w:val="SemEspaamento"/>
        <w:ind w:firstLine="708"/>
      </w:pPr>
      <w:r w:rsidRPr="00E858DF">
        <w:t xml:space="preserve">Nesta seção serão apresentadas algumas pesquisas similares ou correlatas identificadas em publicações, no qual, seu tema é similar ao estudado nesta pesquisa. Foram encontradas poucas pesquisas similares com a deste estudo. Como é demonstrado a seguir no Quadro </w:t>
      </w:r>
      <w:proofErr w:type="gramStart"/>
      <w:r w:rsidRPr="00E858DF">
        <w:t>4</w:t>
      </w:r>
      <w:proofErr w:type="gramEnd"/>
      <w:r w:rsidRPr="00E858DF">
        <w:t xml:space="preserve">. </w:t>
      </w:r>
    </w:p>
    <w:p w:rsidR="00AB302E" w:rsidRPr="006467C5" w:rsidRDefault="00AB302E" w:rsidP="006467C5">
      <w:pPr>
        <w:pStyle w:val="SemEspaamento"/>
        <w:jc w:val="center"/>
        <w:rPr>
          <w:rFonts w:ascii="Arial" w:hAnsi="Arial" w:cs="Arial"/>
          <w:sz w:val="20"/>
        </w:rPr>
      </w:pPr>
      <w:r w:rsidRPr="006467C5">
        <w:rPr>
          <w:sz w:val="20"/>
        </w:rPr>
        <w:t>Quadro 4 – Pesquisas similares de outros autores.</w:t>
      </w:r>
    </w:p>
    <w:tbl>
      <w:tblPr>
        <w:tblW w:w="0" w:type="auto"/>
        <w:jc w:val="center"/>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9"/>
        <w:gridCol w:w="2345"/>
        <w:gridCol w:w="5572"/>
      </w:tblGrid>
      <w:tr w:rsidR="00AB302E" w:rsidRPr="001C1895" w:rsidTr="008F0FC5">
        <w:trPr>
          <w:trHeight w:val="152"/>
          <w:jc w:val="center"/>
        </w:trPr>
        <w:tc>
          <w:tcPr>
            <w:tcW w:w="1459" w:type="dxa"/>
            <w:shd w:val="clear" w:color="auto" w:fill="D9D9D9"/>
          </w:tcPr>
          <w:p w:rsidR="00AB302E" w:rsidRPr="00AB302E" w:rsidRDefault="00AB302E" w:rsidP="00694312">
            <w:pPr>
              <w:pStyle w:val="SemEspaamento"/>
              <w:widowControl w:val="0"/>
              <w:suppressLineNumbers/>
              <w:suppressAutoHyphens/>
              <w:jc w:val="left"/>
              <w:rPr>
                <w:b/>
                <w:sz w:val="20"/>
              </w:rPr>
            </w:pPr>
            <w:r w:rsidRPr="00AB302E">
              <w:rPr>
                <w:b/>
                <w:sz w:val="20"/>
              </w:rPr>
              <w:t>Autor / Ano</w:t>
            </w:r>
          </w:p>
        </w:tc>
        <w:tc>
          <w:tcPr>
            <w:tcW w:w="2345" w:type="dxa"/>
            <w:shd w:val="clear" w:color="auto" w:fill="D9D9D9"/>
          </w:tcPr>
          <w:p w:rsidR="00AB302E" w:rsidRPr="00AB302E" w:rsidRDefault="00AB302E" w:rsidP="00694312">
            <w:pPr>
              <w:pStyle w:val="SemEspaamento"/>
              <w:widowControl w:val="0"/>
              <w:suppressLineNumbers/>
              <w:suppressAutoHyphens/>
              <w:jc w:val="left"/>
              <w:rPr>
                <w:b/>
                <w:sz w:val="20"/>
              </w:rPr>
            </w:pPr>
            <w:r w:rsidRPr="00AB302E">
              <w:rPr>
                <w:b/>
                <w:sz w:val="20"/>
              </w:rPr>
              <w:t>Título / Tipo de publicação</w:t>
            </w:r>
          </w:p>
        </w:tc>
        <w:tc>
          <w:tcPr>
            <w:tcW w:w="5572" w:type="dxa"/>
            <w:shd w:val="clear" w:color="auto" w:fill="D9D9D9"/>
          </w:tcPr>
          <w:p w:rsidR="00AB302E" w:rsidRPr="00AB302E" w:rsidRDefault="00AB302E" w:rsidP="00694312">
            <w:pPr>
              <w:pStyle w:val="SemEspaamento"/>
              <w:widowControl w:val="0"/>
              <w:suppressLineNumbers/>
              <w:suppressAutoHyphens/>
              <w:jc w:val="left"/>
              <w:rPr>
                <w:b/>
                <w:sz w:val="20"/>
              </w:rPr>
            </w:pPr>
            <w:r w:rsidRPr="00AB302E">
              <w:rPr>
                <w:b/>
                <w:sz w:val="20"/>
              </w:rPr>
              <w:t>Temática abordada e resultados</w:t>
            </w:r>
          </w:p>
        </w:tc>
      </w:tr>
      <w:tr w:rsidR="00AB302E" w:rsidRPr="001C1895" w:rsidTr="008F0FC5">
        <w:trPr>
          <w:trHeight w:val="152"/>
          <w:jc w:val="center"/>
        </w:trPr>
        <w:tc>
          <w:tcPr>
            <w:tcW w:w="1459" w:type="dxa"/>
          </w:tcPr>
          <w:p w:rsidR="00AB302E" w:rsidRPr="00AB302E" w:rsidRDefault="00AB302E" w:rsidP="00AB302E">
            <w:pPr>
              <w:pStyle w:val="SemEspaamento"/>
              <w:widowControl w:val="0"/>
              <w:suppressLineNumbers/>
              <w:suppressAutoHyphens/>
              <w:ind w:firstLine="709"/>
              <w:jc w:val="left"/>
              <w:rPr>
                <w:sz w:val="20"/>
              </w:rPr>
            </w:pPr>
          </w:p>
          <w:p w:rsidR="00AB302E" w:rsidRPr="00AB302E" w:rsidRDefault="00AB302E" w:rsidP="00AB302E">
            <w:pPr>
              <w:pStyle w:val="SemEspaamento"/>
              <w:widowControl w:val="0"/>
              <w:suppressLineNumbers/>
              <w:suppressAutoHyphens/>
              <w:ind w:firstLine="709"/>
              <w:jc w:val="left"/>
              <w:rPr>
                <w:sz w:val="20"/>
              </w:rPr>
            </w:pPr>
          </w:p>
          <w:p w:rsidR="00AB302E" w:rsidRPr="00AB302E" w:rsidRDefault="00AB302E" w:rsidP="00AB302E">
            <w:pPr>
              <w:pStyle w:val="SemEspaamento"/>
              <w:widowControl w:val="0"/>
              <w:suppressLineNumbers/>
              <w:suppressAutoHyphens/>
              <w:ind w:firstLine="709"/>
              <w:jc w:val="left"/>
              <w:rPr>
                <w:sz w:val="20"/>
              </w:rPr>
            </w:pPr>
          </w:p>
          <w:p w:rsidR="00AB302E" w:rsidRPr="00AB302E" w:rsidRDefault="00AB302E" w:rsidP="00AB302E">
            <w:pPr>
              <w:pStyle w:val="SemEspaamento"/>
              <w:widowControl w:val="0"/>
              <w:suppressLineNumbers/>
              <w:suppressAutoHyphens/>
              <w:ind w:firstLine="709"/>
              <w:jc w:val="left"/>
              <w:rPr>
                <w:sz w:val="20"/>
              </w:rPr>
            </w:pPr>
          </w:p>
          <w:p w:rsidR="00AB302E" w:rsidRPr="00AB302E" w:rsidRDefault="00AB302E" w:rsidP="00AB302E">
            <w:pPr>
              <w:pStyle w:val="SemEspaamento"/>
              <w:widowControl w:val="0"/>
              <w:suppressLineNumbers/>
              <w:suppressAutoHyphens/>
              <w:jc w:val="left"/>
              <w:rPr>
                <w:sz w:val="20"/>
              </w:rPr>
            </w:pPr>
            <w:r w:rsidRPr="00AB302E">
              <w:rPr>
                <w:sz w:val="20"/>
              </w:rPr>
              <w:t>Bortolon, Casagrande e Müller (2011</w:t>
            </w:r>
            <w:proofErr w:type="gramStart"/>
            <w:r w:rsidRPr="00AB302E">
              <w:rPr>
                <w:sz w:val="20"/>
              </w:rPr>
              <w:t>)</w:t>
            </w:r>
            <w:proofErr w:type="gramEnd"/>
          </w:p>
        </w:tc>
        <w:tc>
          <w:tcPr>
            <w:tcW w:w="2345" w:type="dxa"/>
          </w:tcPr>
          <w:p w:rsidR="00AB302E" w:rsidRPr="00AB302E" w:rsidRDefault="00AB302E" w:rsidP="00AB302E">
            <w:pPr>
              <w:pStyle w:val="SemEspaamento"/>
              <w:widowControl w:val="0"/>
              <w:suppressLineNumbers/>
              <w:suppressAutoHyphens/>
              <w:ind w:firstLine="709"/>
              <w:jc w:val="left"/>
              <w:rPr>
                <w:bCs/>
                <w:sz w:val="20"/>
              </w:rPr>
            </w:pPr>
          </w:p>
          <w:p w:rsidR="00AB302E" w:rsidRPr="00AB302E" w:rsidRDefault="00AB302E" w:rsidP="00AB302E">
            <w:pPr>
              <w:pStyle w:val="SemEspaamento"/>
              <w:widowControl w:val="0"/>
              <w:suppressLineNumbers/>
              <w:suppressAutoHyphens/>
              <w:ind w:firstLine="709"/>
              <w:jc w:val="left"/>
              <w:rPr>
                <w:bCs/>
                <w:sz w:val="20"/>
              </w:rPr>
            </w:pPr>
          </w:p>
          <w:p w:rsidR="00AB302E" w:rsidRPr="00AB302E" w:rsidRDefault="00AB302E" w:rsidP="00AB302E">
            <w:pPr>
              <w:pStyle w:val="SemEspaamento"/>
              <w:widowControl w:val="0"/>
              <w:suppressLineNumbers/>
              <w:suppressAutoHyphens/>
              <w:jc w:val="left"/>
              <w:rPr>
                <w:bCs/>
                <w:sz w:val="20"/>
              </w:rPr>
            </w:pPr>
            <w:r w:rsidRPr="00AB302E">
              <w:rPr>
                <w:bCs/>
                <w:sz w:val="20"/>
              </w:rPr>
              <w:t>“Impacto da substituição tributária do ICMS sobre a carga tributária das empresas optantes pelo Simples Nacional: Um estudo multicasos em duas empresas de Santa Catarina” / Evento</w:t>
            </w:r>
          </w:p>
        </w:tc>
        <w:tc>
          <w:tcPr>
            <w:tcW w:w="5572" w:type="dxa"/>
          </w:tcPr>
          <w:p w:rsidR="00AB302E" w:rsidRPr="00AB302E" w:rsidRDefault="00AB302E" w:rsidP="00AB302E">
            <w:pPr>
              <w:pStyle w:val="SemEspaamento"/>
              <w:widowControl w:val="0"/>
              <w:suppressLineNumbers/>
              <w:suppressAutoHyphens/>
              <w:jc w:val="left"/>
              <w:rPr>
                <w:sz w:val="20"/>
              </w:rPr>
            </w:pPr>
            <w:r w:rsidRPr="00AB302E">
              <w:rPr>
                <w:sz w:val="20"/>
              </w:rPr>
              <w:t xml:space="preserve">Aprofundou seu estudo </w:t>
            </w:r>
            <w:r w:rsidRPr="00AB302E">
              <w:rPr>
                <w:bCs/>
                <w:sz w:val="20"/>
              </w:rPr>
              <w:t>em duas empresas de Santa Catarina. “A pesquisa tem como objetivo verificar o impacto da substituição tributária do ICMS no resultado de duas empresas contribuintes do ICMS e optantes pelo Simples Nacional, situadas em Santa Catarina referente ao ano de 2010”. O resultado obtido verificou-se que as informações do ICMS/ST de ambas as empresas embora sejam difíceis de ser extraídas são de vital importância para realizar a Demonstração Resultado Exercício – DRE; O cálculo de ICMS normal versus ICMS/ST é importante para empresas saber o montante devido; O impacto do ICMS/ST é negativo para as empresas do Simples Nacional, pois houve um aumento nos custos da mercadoria vendida.</w:t>
            </w:r>
          </w:p>
        </w:tc>
      </w:tr>
      <w:tr w:rsidR="00AB302E" w:rsidRPr="001C1895" w:rsidTr="008F0FC5">
        <w:trPr>
          <w:trHeight w:val="2668"/>
          <w:jc w:val="center"/>
        </w:trPr>
        <w:tc>
          <w:tcPr>
            <w:tcW w:w="1459" w:type="dxa"/>
          </w:tcPr>
          <w:p w:rsidR="00AB302E" w:rsidRPr="00AB302E" w:rsidRDefault="00AB302E" w:rsidP="00AB302E">
            <w:pPr>
              <w:pStyle w:val="SemEspaamento"/>
              <w:widowControl w:val="0"/>
              <w:suppressLineNumbers/>
              <w:suppressAutoHyphens/>
              <w:ind w:firstLine="709"/>
              <w:jc w:val="left"/>
              <w:rPr>
                <w:sz w:val="20"/>
              </w:rPr>
            </w:pPr>
          </w:p>
          <w:p w:rsidR="00AB302E" w:rsidRPr="00AB302E" w:rsidRDefault="00AB302E" w:rsidP="00AB302E">
            <w:pPr>
              <w:pStyle w:val="SemEspaamento"/>
              <w:widowControl w:val="0"/>
              <w:suppressLineNumbers/>
              <w:suppressAutoHyphens/>
              <w:ind w:firstLine="709"/>
              <w:jc w:val="left"/>
              <w:rPr>
                <w:sz w:val="20"/>
              </w:rPr>
            </w:pPr>
          </w:p>
          <w:p w:rsidR="00AB302E" w:rsidRPr="00AB302E" w:rsidRDefault="00AB302E" w:rsidP="00AB302E">
            <w:pPr>
              <w:pStyle w:val="SemEspaamento"/>
              <w:widowControl w:val="0"/>
              <w:suppressLineNumbers/>
              <w:suppressAutoHyphens/>
              <w:ind w:firstLine="709"/>
              <w:jc w:val="left"/>
              <w:rPr>
                <w:sz w:val="20"/>
              </w:rPr>
            </w:pPr>
          </w:p>
          <w:p w:rsidR="00AB302E" w:rsidRPr="00AB302E" w:rsidRDefault="00AB302E" w:rsidP="00AB302E">
            <w:pPr>
              <w:pStyle w:val="SemEspaamento"/>
              <w:widowControl w:val="0"/>
              <w:suppressLineNumbers/>
              <w:suppressAutoHyphens/>
              <w:jc w:val="left"/>
              <w:rPr>
                <w:sz w:val="20"/>
              </w:rPr>
            </w:pPr>
            <w:r w:rsidRPr="00AB302E">
              <w:rPr>
                <w:sz w:val="20"/>
              </w:rPr>
              <w:t>Nadir e Petri</w:t>
            </w:r>
            <w:proofErr w:type="gramStart"/>
            <w:r w:rsidRPr="00AB302E">
              <w:rPr>
                <w:sz w:val="20"/>
              </w:rPr>
              <w:t xml:space="preserve">  </w:t>
            </w:r>
            <w:proofErr w:type="gramEnd"/>
            <w:r w:rsidRPr="00AB302E">
              <w:rPr>
                <w:sz w:val="20"/>
              </w:rPr>
              <w:t>(2012)</w:t>
            </w:r>
          </w:p>
        </w:tc>
        <w:tc>
          <w:tcPr>
            <w:tcW w:w="2345" w:type="dxa"/>
          </w:tcPr>
          <w:p w:rsidR="00AB302E" w:rsidRPr="00AB302E" w:rsidRDefault="00AB302E" w:rsidP="00AB302E">
            <w:pPr>
              <w:pStyle w:val="SemEspaamento"/>
              <w:widowControl w:val="0"/>
              <w:suppressLineNumbers/>
              <w:suppressAutoHyphens/>
              <w:jc w:val="left"/>
              <w:rPr>
                <w:bCs/>
                <w:sz w:val="20"/>
              </w:rPr>
            </w:pPr>
            <w:r w:rsidRPr="00AB302E">
              <w:rPr>
                <w:bCs/>
                <w:sz w:val="20"/>
              </w:rPr>
              <w:t>“Substituição Tributária Progressiva no ICMS em Santa Catarina: uma análise do benefício fiscal de redução da margem de valor agregado e seus impactos na carga tributária das empresas optantes do Simples Nacional” / Evento</w:t>
            </w:r>
          </w:p>
        </w:tc>
        <w:tc>
          <w:tcPr>
            <w:tcW w:w="5572" w:type="dxa"/>
          </w:tcPr>
          <w:p w:rsidR="00AB302E" w:rsidRPr="00AB302E" w:rsidRDefault="00AB302E" w:rsidP="00AB302E">
            <w:pPr>
              <w:pStyle w:val="SemEspaamento"/>
              <w:widowControl w:val="0"/>
              <w:suppressLineNumbers/>
              <w:suppressAutoHyphens/>
              <w:jc w:val="left"/>
              <w:rPr>
                <w:sz w:val="20"/>
              </w:rPr>
            </w:pPr>
            <w:r w:rsidRPr="00AB302E">
              <w:rPr>
                <w:sz w:val="20"/>
              </w:rPr>
              <w:t>Analisaram o beneficio fiscal com a redução da margem de valor agregado e seus impactos tributários nas empresas optantes pelo Simples Nacional em Santa Catarina, o produto analisado foi o colchão (incidente de ICMS/ST). Dos resultados obtidos, verificaram que com o beneficio fiscal houve diminuição na carga tributária principalmente nas operações internas. Já nas operações interestaduais apenas reduziu o ICMS/ST, sem equalizar com o imposto pela tributação simplificada.</w:t>
            </w:r>
          </w:p>
        </w:tc>
      </w:tr>
      <w:tr w:rsidR="00AB302E" w:rsidRPr="001C1895" w:rsidTr="008F0FC5">
        <w:trPr>
          <w:trHeight w:val="3163"/>
          <w:jc w:val="center"/>
        </w:trPr>
        <w:tc>
          <w:tcPr>
            <w:tcW w:w="1459" w:type="dxa"/>
          </w:tcPr>
          <w:p w:rsidR="00AB302E" w:rsidRPr="00AB302E" w:rsidRDefault="00AB302E" w:rsidP="00AB302E">
            <w:pPr>
              <w:pStyle w:val="SemEspaamento"/>
              <w:widowControl w:val="0"/>
              <w:suppressLineNumbers/>
              <w:suppressAutoHyphens/>
              <w:ind w:firstLine="709"/>
              <w:jc w:val="left"/>
              <w:rPr>
                <w:sz w:val="20"/>
              </w:rPr>
            </w:pPr>
          </w:p>
          <w:p w:rsidR="00AB302E" w:rsidRPr="00AB302E" w:rsidRDefault="00AB302E" w:rsidP="00AB302E">
            <w:pPr>
              <w:pStyle w:val="SemEspaamento"/>
              <w:widowControl w:val="0"/>
              <w:suppressLineNumbers/>
              <w:suppressAutoHyphens/>
              <w:ind w:firstLine="709"/>
              <w:jc w:val="left"/>
              <w:rPr>
                <w:sz w:val="20"/>
              </w:rPr>
            </w:pPr>
          </w:p>
          <w:p w:rsidR="00AB302E" w:rsidRPr="00AB302E" w:rsidRDefault="00AB302E" w:rsidP="00AB302E">
            <w:pPr>
              <w:pStyle w:val="SemEspaamento"/>
              <w:widowControl w:val="0"/>
              <w:suppressLineNumbers/>
              <w:suppressAutoHyphens/>
              <w:ind w:firstLine="709"/>
              <w:jc w:val="left"/>
              <w:rPr>
                <w:sz w:val="20"/>
              </w:rPr>
            </w:pPr>
          </w:p>
          <w:p w:rsidR="00AB302E" w:rsidRPr="00AB302E" w:rsidRDefault="00AB302E" w:rsidP="00AB302E">
            <w:pPr>
              <w:pStyle w:val="SemEspaamento"/>
              <w:widowControl w:val="0"/>
              <w:suppressLineNumbers/>
              <w:suppressAutoHyphens/>
              <w:ind w:firstLine="709"/>
              <w:jc w:val="left"/>
              <w:rPr>
                <w:sz w:val="20"/>
              </w:rPr>
            </w:pPr>
          </w:p>
          <w:p w:rsidR="00AB302E" w:rsidRPr="00AB302E" w:rsidRDefault="00AB302E" w:rsidP="00AB302E">
            <w:pPr>
              <w:pStyle w:val="SemEspaamento"/>
              <w:widowControl w:val="0"/>
              <w:suppressLineNumbers/>
              <w:suppressAutoHyphens/>
              <w:jc w:val="left"/>
              <w:rPr>
                <w:sz w:val="20"/>
              </w:rPr>
            </w:pPr>
            <w:r w:rsidRPr="00AB302E">
              <w:rPr>
                <w:sz w:val="20"/>
              </w:rPr>
              <w:t>Barreto e Stock</w:t>
            </w:r>
            <w:proofErr w:type="gramStart"/>
            <w:r w:rsidRPr="00AB302E">
              <w:rPr>
                <w:sz w:val="20"/>
              </w:rPr>
              <w:t xml:space="preserve">  </w:t>
            </w:r>
            <w:proofErr w:type="gramEnd"/>
            <w:r w:rsidRPr="00AB302E">
              <w:rPr>
                <w:sz w:val="20"/>
              </w:rPr>
              <w:t>(2013)</w:t>
            </w:r>
          </w:p>
        </w:tc>
        <w:tc>
          <w:tcPr>
            <w:tcW w:w="2345" w:type="dxa"/>
          </w:tcPr>
          <w:p w:rsidR="00AB302E" w:rsidRPr="00AB302E" w:rsidRDefault="00AB302E" w:rsidP="00AB302E">
            <w:pPr>
              <w:pStyle w:val="SemEspaamento"/>
              <w:widowControl w:val="0"/>
              <w:suppressLineNumbers/>
              <w:suppressAutoHyphens/>
              <w:ind w:firstLine="709"/>
              <w:jc w:val="left"/>
              <w:rPr>
                <w:bCs/>
                <w:sz w:val="20"/>
              </w:rPr>
            </w:pPr>
          </w:p>
          <w:p w:rsidR="00AB302E" w:rsidRPr="00AB302E" w:rsidRDefault="00AB302E" w:rsidP="00AB302E">
            <w:pPr>
              <w:pStyle w:val="SemEspaamento"/>
              <w:widowControl w:val="0"/>
              <w:suppressLineNumbers/>
              <w:suppressAutoHyphens/>
              <w:ind w:firstLine="709"/>
              <w:jc w:val="left"/>
              <w:rPr>
                <w:bCs/>
                <w:sz w:val="20"/>
              </w:rPr>
            </w:pPr>
          </w:p>
          <w:p w:rsidR="00AB302E" w:rsidRPr="00AB302E" w:rsidRDefault="00AB302E" w:rsidP="00AB302E">
            <w:pPr>
              <w:pStyle w:val="SemEspaamento"/>
              <w:widowControl w:val="0"/>
              <w:suppressLineNumbers/>
              <w:suppressAutoHyphens/>
              <w:jc w:val="left"/>
              <w:rPr>
                <w:bCs/>
                <w:sz w:val="20"/>
              </w:rPr>
            </w:pPr>
            <w:r w:rsidRPr="00AB302E">
              <w:rPr>
                <w:bCs/>
                <w:sz w:val="20"/>
              </w:rPr>
              <w:t>“O impacto da substituição tributária progressiva do ICMS no preço de venda de produtos de informática do setor varejista no estado de Santa Catarina” / TCC</w:t>
            </w:r>
          </w:p>
        </w:tc>
        <w:tc>
          <w:tcPr>
            <w:tcW w:w="5572" w:type="dxa"/>
          </w:tcPr>
          <w:p w:rsidR="00AB302E" w:rsidRPr="00AB302E" w:rsidRDefault="00AB302E" w:rsidP="00AB302E">
            <w:pPr>
              <w:pStyle w:val="SemEspaamento"/>
              <w:widowControl w:val="0"/>
              <w:suppressLineNumbers/>
              <w:suppressAutoHyphens/>
              <w:jc w:val="left"/>
              <w:rPr>
                <w:sz w:val="20"/>
              </w:rPr>
            </w:pPr>
            <w:r w:rsidRPr="00AB302E">
              <w:rPr>
                <w:sz w:val="20"/>
              </w:rPr>
              <w:t>Barreto e Stock (2013) por meio de uma análise bibliográfica seguiram a visão de diversos autores na área de legislação tributária no estado de Santa Catarina, assim como estudo de uma empresa comercial varejista do ramo de informática. O objetivo da pesquisa “é evidenciar o impacto causado regime de substituição tributária do ICMS no preço de venda de dois produtos de informática, no estado de Santa Catarina.” Evidenciando os cálculos do preço de venda o autor concluiu que em determinadas situações há o impacto positivo, mas em outras situações há o impacto negativo. Por conta de diversos fatores, dentre os quais se destacam os benefícios concedidos aos produtos, margem de lucro estabelecida pelo fisco e a praticada pela empresa.</w:t>
            </w:r>
          </w:p>
        </w:tc>
      </w:tr>
      <w:tr w:rsidR="00AB302E" w:rsidRPr="001C1895" w:rsidTr="008F0FC5">
        <w:trPr>
          <w:trHeight w:val="2422"/>
          <w:jc w:val="center"/>
        </w:trPr>
        <w:tc>
          <w:tcPr>
            <w:tcW w:w="1459" w:type="dxa"/>
          </w:tcPr>
          <w:p w:rsidR="00AB302E" w:rsidRPr="00AB302E" w:rsidRDefault="00AB302E" w:rsidP="00AB302E">
            <w:pPr>
              <w:pStyle w:val="SemEspaamento"/>
              <w:widowControl w:val="0"/>
              <w:suppressLineNumbers/>
              <w:suppressAutoHyphens/>
              <w:ind w:firstLine="709"/>
              <w:jc w:val="left"/>
              <w:rPr>
                <w:sz w:val="20"/>
              </w:rPr>
            </w:pPr>
          </w:p>
          <w:p w:rsidR="00AB302E" w:rsidRPr="00AB302E" w:rsidRDefault="00AB302E" w:rsidP="00AB302E">
            <w:pPr>
              <w:pStyle w:val="SemEspaamento"/>
              <w:widowControl w:val="0"/>
              <w:suppressLineNumbers/>
              <w:suppressAutoHyphens/>
              <w:ind w:firstLine="709"/>
              <w:jc w:val="left"/>
              <w:rPr>
                <w:sz w:val="20"/>
              </w:rPr>
            </w:pPr>
          </w:p>
          <w:p w:rsidR="00AB302E" w:rsidRPr="00AB302E" w:rsidRDefault="00AB302E" w:rsidP="00AB302E">
            <w:pPr>
              <w:pStyle w:val="SemEspaamento"/>
              <w:widowControl w:val="0"/>
              <w:suppressLineNumbers/>
              <w:suppressAutoHyphens/>
              <w:jc w:val="left"/>
              <w:rPr>
                <w:sz w:val="20"/>
              </w:rPr>
            </w:pPr>
            <w:r w:rsidRPr="00AB302E">
              <w:rPr>
                <w:sz w:val="20"/>
              </w:rPr>
              <w:t>Biava Júnior e Oyadomari</w:t>
            </w:r>
            <w:proofErr w:type="gramStart"/>
            <w:r w:rsidRPr="00AB302E">
              <w:rPr>
                <w:sz w:val="20"/>
              </w:rPr>
              <w:t xml:space="preserve">  </w:t>
            </w:r>
            <w:proofErr w:type="gramEnd"/>
            <w:r w:rsidRPr="00AB302E">
              <w:rPr>
                <w:sz w:val="20"/>
              </w:rPr>
              <w:t>(2010)</w:t>
            </w:r>
          </w:p>
        </w:tc>
        <w:tc>
          <w:tcPr>
            <w:tcW w:w="2345" w:type="dxa"/>
          </w:tcPr>
          <w:p w:rsidR="00AB302E" w:rsidRPr="00AB302E" w:rsidRDefault="00AB302E" w:rsidP="00AB302E">
            <w:pPr>
              <w:pStyle w:val="SemEspaamento"/>
              <w:widowControl w:val="0"/>
              <w:suppressLineNumbers/>
              <w:suppressAutoHyphens/>
              <w:ind w:firstLine="709"/>
              <w:jc w:val="left"/>
              <w:rPr>
                <w:sz w:val="20"/>
              </w:rPr>
            </w:pPr>
          </w:p>
          <w:p w:rsidR="00AB302E" w:rsidRPr="00AB302E" w:rsidRDefault="00AB302E" w:rsidP="00AB302E">
            <w:pPr>
              <w:pStyle w:val="SemEspaamento"/>
              <w:widowControl w:val="0"/>
              <w:suppressLineNumbers/>
              <w:suppressAutoHyphens/>
              <w:jc w:val="left"/>
              <w:rPr>
                <w:sz w:val="20"/>
              </w:rPr>
            </w:pPr>
            <w:r w:rsidRPr="00AB302E">
              <w:rPr>
                <w:sz w:val="20"/>
              </w:rPr>
              <w:t>“Impactos da Substituição Tributária do ICMS na Lucratividade e nos Custos Empresariais” / Periódico</w:t>
            </w:r>
          </w:p>
        </w:tc>
        <w:tc>
          <w:tcPr>
            <w:tcW w:w="5572" w:type="dxa"/>
          </w:tcPr>
          <w:p w:rsidR="00AB302E" w:rsidRPr="00AB302E" w:rsidRDefault="00AB302E" w:rsidP="00AB302E">
            <w:pPr>
              <w:pStyle w:val="SemEspaamento"/>
              <w:widowControl w:val="0"/>
              <w:suppressLineNumbers/>
              <w:suppressAutoHyphens/>
              <w:jc w:val="left"/>
              <w:rPr>
                <w:sz w:val="20"/>
              </w:rPr>
            </w:pPr>
            <w:r w:rsidRPr="00AB302E">
              <w:rPr>
                <w:sz w:val="20"/>
              </w:rPr>
              <w:t>Biava Júnior e Oyadomari (2010) pesquisaram o a prática de adoção e contabilização da sistemática da substituição tributária de ICMS, além disso, analisaram os principais impactos dessa forma de tributação nos custos e lucratividade empresariais. Concluíram que há um desembolso antecipado, que afeta o fluxo de caixa das empresas; há um aumento na carga tributária para as empresas do regime simplificado, por falta de uma diferenciação tributária; há um aumento nos custos dos produtos quando a base de cálculo de ICMS/ST for maior do que aplicada no mercado.</w:t>
            </w:r>
          </w:p>
        </w:tc>
      </w:tr>
      <w:tr w:rsidR="00AB302E" w:rsidRPr="001C1895" w:rsidTr="008F0FC5">
        <w:trPr>
          <w:trHeight w:val="972"/>
          <w:jc w:val="center"/>
        </w:trPr>
        <w:tc>
          <w:tcPr>
            <w:tcW w:w="9376" w:type="dxa"/>
            <w:gridSpan w:val="3"/>
          </w:tcPr>
          <w:p w:rsidR="00AB302E" w:rsidRPr="00AB302E" w:rsidRDefault="00AB302E" w:rsidP="00AB302E">
            <w:pPr>
              <w:pStyle w:val="SemEspaamento"/>
              <w:widowControl w:val="0"/>
              <w:suppressLineNumbers/>
              <w:suppressAutoHyphens/>
              <w:jc w:val="left"/>
              <w:rPr>
                <w:sz w:val="20"/>
              </w:rPr>
            </w:pPr>
            <w:r w:rsidRPr="00AB302E">
              <w:rPr>
                <w:sz w:val="20"/>
              </w:rPr>
              <w:t xml:space="preserve">Nota: Os tipos de publicação são: TCC – Monografias e artigos apresentados como Trabalho de Conclusão de Curso de graduação; Periódico – </w:t>
            </w:r>
            <w:proofErr w:type="gramStart"/>
            <w:r w:rsidRPr="00AB302E">
              <w:rPr>
                <w:sz w:val="20"/>
              </w:rPr>
              <w:t>Artigos técnico cientifico</w:t>
            </w:r>
            <w:proofErr w:type="gramEnd"/>
            <w:r w:rsidRPr="00AB302E">
              <w:rPr>
                <w:sz w:val="20"/>
              </w:rPr>
              <w:t xml:space="preserve"> publicados em periódicos (revistas, boletins, ...); Evento – Artigos técnico cientifico publicados em anais de eventos (congresso, encontros, ...).</w:t>
            </w:r>
          </w:p>
        </w:tc>
      </w:tr>
    </w:tbl>
    <w:p w:rsidR="00AB302E" w:rsidRPr="00005697" w:rsidRDefault="00AB302E" w:rsidP="00AB302E">
      <w:pPr>
        <w:pStyle w:val="SemEspaamento"/>
        <w:spacing w:line="360" w:lineRule="auto"/>
        <w:rPr>
          <w:sz w:val="20"/>
        </w:rPr>
      </w:pPr>
      <w:r w:rsidRPr="001C1895">
        <w:rPr>
          <w:sz w:val="20"/>
        </w:rPr>
        <w:t>Fonte: Elabora pelo autor, 20</w:t>
      </w:r>
      <w:r>
        <w:rPr>
          <w:sz w:val="20"/>
        </w:rPr>
        <w:t>16.</w:t>
      </w:r>
    </w:p>
    <w:p w:rsidR="00AB302E" w:rsidRPr="00E858DF" w:rsidRDefault="00AB302E" w:rsidP="006467C5">
      <w:pPr>
        <w:pStyle w:val="SemEspaamento"/>
        <w:ind w:firstLine="708"/>
      </w:pPr>
      <w:r w:rsidRPr="00E858DF">
        <w:t xml:space="preserve">Além das pesquisas apresentadas no Quadro </w:t>
      </w:r>
      <w:proofErr w:type="gramStart"/>
      <w:r w:rsidRPr="00E858DF">
        <w:t>4</w:t>
      </w:r>
      <w:proofErr w:type="gramEnd"/>
      <w:r w:rsidRPr="00E858DF">
        <w:t xml:space="preserve">, também foram identificadas no processo de busca outras pesquisas com temas similares, mas com abordagem metodológica e objetivo diferentes desta pesquisa.  </w:t>
      </w:r>
    </w:p>
    <w:p w:rsidR="00AB302E" w:rsidRPr="00E858DF" w:rsidRDefault="00AB302E" w:rsidP="006467C5">
      <w:pPr>
        <w:pStyle w:val="SemEspaamento"/>
        <w:rPr>
          <w:b/>
        </w:rPr>
      </w:pPr>
      <w:r w:rsidRPr="00E858DF">
        <w:rPr>
          <w:b/>
        </w:rPr>
        <w:t>3. Metodologia da Pesquisa</w:t>
      </w:r>
    </w:p>
    <w:p w:rsidR="00AB302E" w:rsidRPr="00E858DF" w:rsidRDefault="00AB302E" w:rsidP="006467C5">
      <w:pPr>
        <w:pStyle w:val="SemEspaamento"/>
        <w:ind w:firstLine="708"/>
      </w:pPr>
      <w:r w:rsidRPr="00E858DF">
        <w:t>O referencial teórico desse trabalho é composto por artigos publicados em programas de pós-graduação recomendados pela Capes de Ciências Contábeis em nível de Mestrado e Doutorado. A base para acolher essas informações, acredita-se que o conteúdo desses artigos publicados é de interesse na área contábil e por seus autores terem pesquisado os seus respectivos conteúdos.</w:t>
      </w:r>
    </w:p>
    <w:p w:rsidR="00AB302E" w:rsidRPr="00E858DF" w:rsidRDefault="00AB302E" w:rsidP="006467C5">
      <w:pPr>
        <w:pStyle w:val="SemEspaamento"/>
        <w:ind w:firstLine="708"/>
      </w:pPr>
      <w:r w:rsidRPr="00E858DF">
        <w:t xml:space="preserve"> Entretanto, foi de importância expandir a buscar por maior conteúdo em eventos como: </w:t>
      </w:r>
      <w:r w:rsidRPr="00E858DF">
        <w:rPr>
          <w:color w:val="000000"/>
        </w:rPr>
        <w:t>4º Congresso UFSC de Iniciação Científica em Contabilidade,</w:t>
      </w:r>
      <w:r w:rsidRPr="00E858DF">
        <w:t xml:space="preserve"> 6º Congresso UFSC de Controladoria e Finanças, 13º Encontro Catarinense de Estudantes de Contabilidade (ECECON) e 19º Congresso Brasileiro de Custos, que agregaram conhecimento não só na parte de substituição </w:t>
      </w:r>
      <w:r w:rsidRPr="00E858DF">
        <w:lastRenderedPageBreak/>
        <w:t>tributária de ICMS no estado de Santa Catarina, mas também, no entendimento do Simples Nacional e carga tributária.</w:t>
      </w:r>
    </w:p>
    <w:p w:rsidR="00AB302E" w:rsidRPr="00E858DF" w:rsidRDefault="00AB302E" w:rsidP="006467C5">
      <w:pPr>
        <w:pStyle w:val="SemEspaamento"/>
        <w:ind w:firstLine="708"/>
      </w:pPr>
      <w:r w:rsidRPr="00E858DF">
        <w:t>Todas as análises dos artigos foram realizadas por meio online, tanto pelos sites de busca, quanto pelo próprio site do evento de cada artigo. Assim, o período de abrangência da pesquisa foi entres os anos de 2002 a 2015.</w:t>
      </w:r>
    </w:p>
    <w:p w:rsidR="00AB302E" w:rsidRPr="00E858DF" w:rsidRDefault="00AB302E" w:rsidP="006467C5">
      <w:pPr>
        <w:pStyle w:val="SemEspaamento"/>
        <w:ind w:firstLine="708"/>
      </w:pPr>
      <w:r w:rsidRPr="00E858DF">
        <w:t>A seleção dos artigos se dá por meio de buscas nas palavras chave do conteúdo do artigo como no título, resumo e na própria palavra chave, como: ICMS, Substituição Tributária e Simples Nacional.</w:t>
      </w:r>
    </w:p>
    <w:p w:rsidR="00AB302E" w:rsidRPr="00E858DF" w:rsidRDefault="00AB302E" w:rsidP="006467C5">
      <w:pPr>
        <w:pStyle w:val="SemEspaamento"/>
        <w:ind w:firstLine="708"/>
      </w:pPr>
      <w:r w:rsidRPr="00E858DF">
        <w:t xml:space="preserve">Foram encontrados e analisados na busca 30 artigos, porém nem todos foram utilizados no referencial teórico da pesquisa, pelo fato de seu conteúdo não ser considerado relevante no uso da pesquisa. Apesar de ter contribuído para melhor entendimento do autor. </w:t>
      </w:r>
    </w:p>
    <w:p w:rsidR="001838F0" w:rsidRPr="00E858DF" w:rsidRDefault="00AB302E" w:rsidP="006467C5">
      <w:pPr>
        <w:pStyle w:val="SemEspaamento"/>
        <w:ind w:firstLine="708"/>
      </w:pPr>
      <w:r w:rsidRPr="00E858DF">
        <w:t xml:space="preserve">A natureza desta pesquisa se caracteriza como descritiva, pois segundo Andrade (2005, p. 124) na pesquisa descritiva “os fatos são observados, registrados, analisados, classificados e interpretados sem que o pesquisador interfira neles. Isto significa que os fenômenos do mundo físico e humano são estudados, mas não manipulados pelo pesquisador”, assim a presente pesquisa observou e analisou o impacto da substituição tributária de ICMS na carga tributária do produto perfume nas empresas optante pelo regime denominado Simples Nacional em empresas no estado de Santa Catarina. </w:t>
      </w:r>
    </w:p>
    <w:p w:rsidR="00AB302E" w:rsidRPr="00E858DF" w:rsidRDefault="00AB302E" w:rsidP="006467C5">
      <w:pPr>
        <w:pStyle w:val="SemEspaamento"/>
        <w:ind w:firstLine="708"/>
      </w:pPr>
      <w:r w:rsidRPr="00E858DF">
        <w:t>Segundo Andrade (2010, p. 29), as fontes secundárias “são constituídas pela literatura originada de determinadas fontes primárias e constituem-se em fontes das pesquisas bibliográficas”. Portanto, para coletar os dados dessa pesquisa foram utilizados dados secundários da legislação vigente.</w:t>
      </w:r>
    </w:p>
    <w:p w:rsidR="00AB302E" w:rsidRPr="00E858DF" w:rsidRDefault="00AB302E" w:rsidP="006467C5">
      <w:pPr>
        <w:pStyle w:val="SemEspaamento"/>
        <w:ind w:firstLine="708"/>
      </w:pPr>
      <w:r w:rsidRPr="00E858DF">
        <w:t>Conforme entendimento de Richardson (1999, p.70), “a abordagem qualitativa de um problema, além de ser uma opção do investigador, justifica-se, sobretudo, por ser uma forma adequada para entender a natureza de um fenômeno social.” Sendo assim, a abordagem do problema da pesquisa é considerada uma pesquisa qualitativa, pois se analisa o impacto da substituição tributária de ICMS no produto perfume para empresas optantes pelo Simples Nacional, com simulação da MVA integral e com o beneficio concedido pelo estado catarinense, em operações internas e interestaduais, comparando o valor devido de imposto numa situação, em que, o ICMS devido seja sujeito ao regime simplificado.</w:t>
      </w:r>
    </w:p>
    <w:p w:rsidR="00AB302E" w:rsidRPr="00E858DF" w:rsidRDefault="00AB302E" w:rsidP="006467C5">
      <w:pPr>
        <w:pStyle w:val="SemEspaamento"/>
        <w:ind w:firstLine="708"/>
      </w:pPr>
      <w:r w:rsidRPr="00E858DF">
        <w:t xml:space="preserve">Quanto o procedimento técnico utilizado nesse estudo foi </w:t>
      </w:r>
      <w:proofErr w:type="gramStart"/>
      <w:r w:rsidRPr="00E858DF">
        <w:t>a</w:t>
      </w:r>
      <w:proofErr w:type="gramEnd"/>
      <w:r w:rsidRPr="00E858DF">
        <w:t xml:space="preserve"> pesquisa documental, pois no entendimento de Gil (2008) na pesquisa documental as fontes utilizadas podem ser documentos oficiais, como nesta pesquisa, analisado a legislação tributária vigente do estado de Santa Catarina para atingir o objetivo do trabalho.</w:t>
      </w:r>
    </w:p>
    <w:p w:rsidR="00AB302E" w:rsidRPr="00E858DF" w:rsidRDefault="00AB302E" w:rsidP="006467C5">
      <w:pPr>
        <w:pStyle w:val="SemEspaamento"/>
        <w:rPr>
          <w:b/>
        </w:rPr>
      </w:pPr>
      <w:r w:rsidRPr="00E858DF">
        <w:rPr>
          <w:b/>
        </w:rPr>
        <w:t>4. Análise dos Dados</w:t>
      </w:r>
    </w:p>
    <w:p w:rsidR="00AB302E" w:rsidRPr="00E858DF" w:rsidRDefault="00AB302E" w:rsidP="006467C5">
      <w:pPr>
        <w:pStyle w:val="SemEspaamento"/>
        <w:ind w:firstLine="708"/>
      </w:pPr>
      <w:r w:rsidRPr="00E858DF">
        <w:t>Nesta seção será analisado o impacto da substituição tributária de ICMS na carga tributária do produto perfume (NCM: 3303.000), através de simulações de venda para uma empresa optante pelo Simples Nacional, sediada em Santa Catarina. Nas simulações o fornecedor é uma empresa de regime tributário normal.</w:t>
      </w:r>
    </w:p>
    <w:p w:rsidR="00AB302E" w:rsidRPr="00E858DF" w:rsidRDefault="00AB302E" w:rsidP="006467C5">
      <w:pPr>
        <w:pStyle w:val="SemEspaamento"/>
        <w:rPr>
          <w:b/>
        </w:rPr>
      </w:pPr>
      <w:r w:rsidRPr="00E858DF">
        <w:rPr>
          <w:b/>
        </w:rPr>
        <w:lastRenderedPageBreak/>
        <w:t>4.1 Simulações de venda interna em Santa Catarina</w:t>
      </w:r>
    </w:p>
    <w:p w:rsidR="00854EA6" w:rsidRPr="00E858DF" w:rsidRDefault="00AB302E" w:rsidP="006467C5">
      <w:pPr>
        <w:pStyle w:val="SemEspaamento"/>
        <w:ind w:firstLine="708"/>
      </w:pPr>
      <w:r w:rsidRPr="00E858DF">
        <w:t xml:space="preserve">A seguir, são elaboradas simulações de vendas dentro do estado de Santa Catarina, também denominado “vendas internas”. No qual, por título de exemplo todas as vendas para a Empresa B (optante pelo Simples Nacional), terá por base valor de R$ 1.000,00. Já o valor da venda da Empresa B para o consumidor final, será obtido por meio da aplicação da MVA do produto objeto de análise, o perfume (NCM </w:t>
      </w:r>
      <w:r w:rsidRPr="00E858DF">
        <w:rPr>
          <w:color w:val="000000"/>
        </w:rPr>
        <w:t xml:space="preserve">3303.00.10), com a MVA </w:t>
      </w:r>
      <w:r w:rsidRPr="00E858DF">
        <w:t xml:space="preserve">de 51%, conforme previsto </w:t>
      </w:r>
      <w:r w:rsidRPr="00E858DF">
        <w:rPr>
          <w:color w:val="000000"/>
        </w:rPr>
        <w:t xml:space="preserve">Protocolos ICMS </w:t>
      </w:r>
      <w:r w:rsidRPr="00E858DF">
        <w:t>nº</w:t>
      </w:r>
      <w:r w:rsidRPr="00E858DF">
        <w:rPr>
          <w:rStyle w:val="apple-converted-space"/>
          <w:szCs w:val="24"/>
        </w:rPr>
        <w:t> </w:t>
      </w:r>
      <w:hyperlink r:id="rId13" w:tgtFrame="_blank" w:history="1">
        <w:r w:rsidRPr="00E858DF">
          <w:rPr>
            <w:rStyle w:val="Hyperlink"/>
            <w:color w:val="auto"/>
            <w:szCs w:val="24"/>
            <w:u w:val="none"/>
          </w:rPr>
          <w:t>191/09</w:t>
        </w:r>
      </w:hyperlink>
      <w:r w:rsidRPr="00E858DF">
        <w:rPr>
          <w:rStyle w:val="apple-converted-space"/>
          <w:szCs w:val="24"/>
        </w:rPr>
        <w:t> </w:t>
      </w:r>
      <w:r w:rsidRPr="00E858DF">
        <w:t>e</w:t>
      </w:r>
      <w:r w:rsidRPr="00E858DF">
        <w:rPr>
          <w:rStyle w:val="apple-converted-space"/>
          <w:szCs w:val="24"/>
        </w:rPr>
        <w:t> </w:t>
      </w:r>
      <w:r w:rsidRPr="00E858DF">
        <w:t>112/12.</w:t>
      </w:r>
    </w:p>
    <w:p w:rsidR="00AB302E" w:rsidRPr="00E858DF" w:rsidRDefault="00AB302E" w:rsidP="006467C5">
      <w:pPr>
        <w:pStyle w:val="SemEspaamento"/>
        <w:ind w:firstLine="708"/>
      </w:pPr>
      <w:r w:rsidRPr="00E858DF">
        <w:t xml:space="preserve">Na simulação do Quadro </w:t>
      </w:r>
      <w:proofErr w:type="gramStart"/>
      <w:r w:rsidRPr="00E858DF">
        <w:t>5</w:t>
      </w:r>
      <w:proofErr w:type="gramEnd"/>
      <w:r w:rsidRPr="00E858DF">
        <w:t xml:space="preserve">, será considerado uma apuração normal pelo Simples Nacional, sem incidência de ICMS/ST. Assim, possibilitar a comparação entre ICMS pelo regime simplificado e pelo ICMS/ST. Vale ressaltar que, o valor devido de ICMS da empresa B, para com o fisco, incide apenas na venda da mercadoria para o usuário final. Nesse exemplo, foi considerada a alíquota máxima de ICMS prevista no Anexo I (Comércio) do Simples Nacional, 3,95%.  </w:t>
      </w:r>
    </w:p>
    <w:p w:rsidR="00AB302E" w:rsidRPr="00550BF4" w:rsidRDefault="00AB302E" w:rsidP="00550BF4">
      <w:pPr>
        <w:pStyle w:val="SemEspaamento"/>
        <w:jc w:val="center"/>
        <w:rPr>
          <w:rFonts w:eastAsia="Calibri"/>
          <w:sz w:val="20"/>
        </w:rPr>
      </w:pPr>
      <w:r w:rsidRPr="00550BF4">
        <w:rPr>
          <w:sz w:val="20"/>
        </w:rPr>
        <w:t>Quadro 5 – Venda do perfume tributado pelo Simples Nacional na operação interna.</w:t>
      </w:r>
    </w:p>
    <w:tbl>
      <w:tblPr>
        <w:tblW w:w="5000" w:type="pct"/>
        <w:jc w:val="center"/>
        <w:tblInd w:w="70" w:type="dxa"/>
        <w:tblCellMar>
          <w:left w:w="70" w:type="dxa"/>
          <w:right w:w="70" w:type="dxa"/>
        </w:tblCellMar>
        <w:tblLook w:val="00A0"/>
      </w:tblPr>
      <w:tblGrid>
        <w:gridCol w:w="146"/>
        <w:gridCol w:w="1863"/>
        <w:gridCol w:w="146"/>
        <w:gridCol w:w="3918"/>
        <w:gridCol w:w="3472"/>
      </w:tblGrid>
      <w:tr w:rsidR="00AB302E" w:rsidRPr="00D12989" w:rsidTr="008F0FC5">
        <w:trPr>
          <w:trHeight w:val="59"/>
          <w:jc w:val="center"/>
        </w:trPr>
        <w:tc>
          <w:tcPr>
            <w:tcW w:w="114" w:type="pct"/>
            <w:tcBorders>
              <w:top w:val="thinThickThinSmallGap" w:sz="24" w:space="0" w:color="auto"/>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938" w:type="pct"/>
            <w:tcBorders>
              <w:top w:val="thinThickThinSmallGap" w:sz="24" w:space="0" w:color="auto"/>
              <w:left w:val="nil"/>
              <w:bottom w:val="nil"/>
              <w:right w:val="nil"/>
            </w:tcBorders>
            <w:shd w:val="clear" w:color="auto" w:fill="FFFFFF"/>
            <w:noWrap/>
            <w:vAlign w:val="center"/>
          </w:tcPr>
          <w:p w:rsidR="00AB302E" w:rsidRDefault="00AB302E" w:rsidP="00AB302E">
            <w:pPr>
              <w:rPr>
                <w:rFonts w:eastAsia="Calibri" w:cs="Arial"/>
                <w:color w:val="000000"/>
                <w:sz w:val="16"/>
                <w:szCs w:val="16"/>
              </w:rPr>
            </w:pPr>
          </w:p>
        </w:tc>
        <w:tc>
          <w:tcPr>
            <w:tcW w:w="627" w:type="pct"/>
            <w:tcBorders>
              <w:top w:val="thinThickThinSmallGap" w:sz="24" w:space="0" w:color="auto"/>
              <w:left w:val="nil"/>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1127" w:type="pct"/>
            <w:tcBorders>
              <w:top w:val="thinThickThinSmallGap" w:sz="24" w:space="0" w:color="auto"/>
              <w:left w:val="nil"/>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2193" w:type="pct"/>
            <w:tcBorders>
              <w:top w:val="thinThickThinSmallGap" w:sz="24" w:space="0" w:color="auto"/>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16"/>
                <w:szCs w:val="16"/>
              </w:rPr>
            </w:pPr>
          </w:p>
        </w:tc>
      </w:tr>
      <w:tr w:rsidR="00AB302E" w:rsidRPr="00D12989" w:rsidTr="008F0FC5">
        <w:trPr>
          <w:trHeight w:val="70"/>
          <w:jc w:val="center"/>
        </w:trPr>
        <w:tc>
          <w:tcPr>
            <w:tcW w:w="11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938" w:type="pct"/>
            <w:shd w:val="clear" w:color="auto" w:fill="FFFFFF"/>
            <w:noWrap/>
            <w:vAlign w:val="center"/>
            <w:hideMark/>
          </w:tcPr>
          <w:p w:rsidR="00AB302E" w:rsidRDefault="00AB302E" w:rsidP="00854EA6">
            <w:pPr>
              <w:ind w:firstLine="0"/>
              <w:jc w:val="left"/>
              <w:rPr>
                <w:rFonts w:eastAsia="Calibri"/>
                <w:b/>
                <w:color w:val="000000"/>
                <w:sz w:val="20"/>
              </w:rPr>
            </w:pPr>
            <w:r w:rsidRPr="00D94526">
              <w:rPr>
                <w:rFonts w:eastAsia="Calibri"/>
                <w:color w:val="000000"/>
                <w:sz w:val="20"/>
              </w:rPr>
              <w:t xml:space="preserve">           </w:t>
            </w:r>
            <w:r w:rsidRPr="00D94526">
              <w:rPr>
                <w:rFonts w:eastAsia="Calibri"/>
                <w:b/>
                <w:color w:val="000000"/>
                <w:sz w:val="20"/>
              </w:rPr>
              <w:t>EMPRESA A</w:t>
            </w:r>
          </w:p>
        </w:tc>
        <w:tc>
          <w:tcPr>
            <w:tcW w:w="627" w:type="pct"/>
            <w:shd w:val="clear" w:color="auto" w:fill="FFFFFF"/>
            <w:noWrap/>
            <w:vAlign w:val="center"/>
          </w:tcPr>
          <w:p w:rsidR="00AB302E" w:rsidRDefault="00AB302E" w:rsidP="00AB302E">
            <w:pPr>
              <w:jc w:val="left"/>
              <w:rPr>
                <w:rFonts w:eastAsia="Calibri"/>
                <w:color w:val="000000"/>
                <w:sz w:val="20"/>
              </w:rPr>
            </w:pPr>
          </w:p>
        </w:tc>
        <w:tc>
          <w:tcPr>
            <w:tcW w:w="1127" w:type="pct"/>
            <w:shd w:val="clear" w:color="auto" w:fill="FFFFFF"/>
            <w:noWrap/>
            <w:vAlign w:val="center"/>
            <w:hideMark/>
          </w:tcPr>
          <w:p w:rsidR="00AB302E" w:rsidRPr="00AB302E" w:rsidRDefault="00AB302E" w:rsidP="00854EA6">
            <w:pPr>
              <w:ind w:firstLine="0"/>
              <w:jc w:val="center"/>
              <w:rPr>
                <w:rFonts w:eastAsia="Calibri"/>
                <w:b/>
                <w:color w:val="000000"/>
                <w:sz w:val="20"/>
              </w:rPr>
            </w:pPr>
            <w:r w:rsidRPr="00AB302E">
              <w:rPr>
                <w:rFonts w:eastAsia="Calibri"/>
                <w:b/>
                <w:color w:val="000000"/>
                <w:sz w:val="20"/>
              </w:rPr>
              <w:t>Empresa B – Optante pelo Simples Nacional</w:t>
            </w:r>
          </w:p>
        </w:tc>
        <w:tc>
          <w:tcPr>
            <w:tcW w:w="2193" w:type="pct"/>
            <w:tcBorders>
              <w:top w:val="nil"/>
              <w:left w:val="nil"/>
              <w:bottom w:val="nil"/>
              <w:right w:val="thinThickThinSmallGap" w:sz="24" w:space="0" w:color="auto"/>
            </w:tcBorders>
            <w:shd w:val="clear" w:color="auto" w:fill="FFFFFF"/>
            <w:noWrap/>
            <w:vAlign w:val="center"/>
            <w:hideMark/>
          </w:tcPr>
          <w:p w:rsidR="00AB302E" w:rsidRDefault="00AB302E" w:rsidP="00854EA6">
            <w:pPr>
              <w:ind w:firstLine="0"/>
              <w:jc w:val="left"/>
              <w:rPr>
                <w:rFonts w:eastAsia="Calibri" w:cs="Arial"/>
                <w:b/>
                <w:color w:val="000000"/>
                <w:sz w:val="20"/>
              </w:rPr>
            </w:pPr>
            <w:r w:rsidRPr="00D94526">
              <w:rPr>
                <w:rFonts w:eastAsia="Calibri" w:cs="Arial"/>
                <w:color w:val="000000"/>
                <w:sz w:val="20"/>
              </w:rPr>
              <w:t xml:space="preserve">     </w:t>
            </w:r>
            <w:r>
              <w:rPr>
                <w:rFonts w:eastAsia="Calibri" w:cs="Arial"/>
                <w:color w:val="000000"/>
                <w:sz w:val="20"/>
              </w:rPr>
              <w:t xml:space="preserve"> </w:t>
            </w:r>
            <w:r w:rsidR="00854EA6">
              <w:rPr>
                <w:rFonts w:eastAsia="Calibri" w:cs="Arial"/>
                <w:color w:val="000000"/>
                <w:sz w:val="20"/>
              </w:rPr>
              <w:t xml:space="preserve">                </w:t>
            </w:r>
            <w:r w:rsidRPr="00D94526">
              <w:rPr>
                <w:rFonts w:eastAsia="Calibri" w:cs="Arial"/>
                <w:b/>
                <w:color w:val="000000"/>
                <w:sz w:val="20"/>
              </w:rPr>
              <w:t>Consumidor Final</w:t>
            </w:r>
          </w:p>
        </w:tc>
      </w:tr>
      <w:tr w:rsidR="00AB302E" w:rsidRPr="00D12989" w:rsidTr="008F0FC5">
        <w:trPr>
          <w:trHeight w:val="80"/>
          <w:jc w:val="center"/>
        </w:trPr>
        <w:tc>
          <w:tcPr>
            <w:tcW w:w="11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938" w:type="pct"/>
            <w:shd w:val="clear" w:color="auto" w:fill="FFFFFF"/>
            <w:noWrap/>
            <w:vAlign w:val="center"/>
            <w:hideMark/>
          </w:tcPr>
          <w:p w:rsidR="00AB302E" w:rsidRDefault="00AB302E" w:rsidP="00AB302E">
            <w:pPr>
              <w:jc w:val="center"/>
              <w:rPr>
                <w:rFonts w:eastAsia="Calibri"/>
                <w:color w:val="000000"/>
                <w:sz w:val="16"/>
                <w:szCs w:val="16"/>
              </w:rPr>
            </w:pPr>
            <w:r w:rsidRPr="00CF633A">
              <w:rPr>
                <w:rFonts w:eastAsia="Calibri"/>
                <w:sz w:val="16"/>
                <w:szCs w:val="16"/>
              </w:rPr>
              <w:pict>
                <v:rect id="_x0000_s1026" style="position:absolute;left:0;text-align:left;margin-left:9.3pt;margin-top:2.95pt;width:99.5pt;height:44.7pt;z-index:1;mso-position-horizontal-relative:text;mso-position-vertical-relative:text">
                  <v:textbox style="mso-next-textbox:#_x0000_s1026">
                    <w:txbxContent>
                      <w:p w:rsidR="00AB302E" w:rsidRPr="00D94526" w:rsidRDefault="00AB302E" w:rsidP="00854EA6">
                        <w:pPr>
                          <w:pStyle w:val="SemEspaamento"/>
                          <w:jc w:val="left"/>
                          <w:rPr>
                            <w:sz w:val="20"/>
                          </w:rPr>
                        </w:pPr>
                        <w:r w:rsidRPr="00D94526">
                          <w:rPr>
                            <w:sz w:val="20"/>
                          </w:rPr>
                          <w:t>Custo</w:t>
                        </w:r>
                        <w:r w:rsidRPr="00D94526">
                          <w:rPr>
                            <w:sz w:val="20"/>
                          </w:rPr>
                          <w:tab/>
                          <w:t xml:space="preserve">        Venda</w:t>
                        </w:r>
                      </w:p>
                      <w:p w:rsidR="00AB302E" w:rsidRPr="00D94526" w:rsidRDefault="00AB302E" w:rsidP="00854EA6">
                        <w:pPr>
                          <w:pStyle w:val="SemEspaamento"/>
                          <w:jc w:val="left"/>
                          <w:rPr>
                            <w:sz w:val="20"/>
                          </w:rPr>
                        </w:pPr>
                        <w:r w:rsidRPr="00D94526">
                          <w:rPr>
                            <w:b/>
                            <w:sz w:val="20"/>
                          </w:rPr>
                          <w:t>70,00</w:t>
                        </w:r>
                        <w:r w:rsidRPr="00D94526">
                          <w:rPr>
                            <w:sz w:val="20"/>
                          </w:rPr>
                          <w:tab/>
                          <w:t xml:space="preserve">        </w:t>
                        </w:r>
                        <w:r w:rsidRPr="00D94526">
                          <w:rPr>
                            <w:b/>
                            <w:sz w:val="20"/>
                          </w:rPr>
                          <w:t>100,00</w:t>
                        </w:r>
                      </w:p>
                    </w:txbxContent>
                  </v:textbox>
                </v:rect>
              </w:pict>
            </w:r>
          </w:p>
        </w:tc>
        <w:tc>
          <w:tcPr>
            <w:tcW w:w="627" w:type="pct"/>
            <w:shd w:val="clear" w:color="auto" w:fill="FFFFFF"/>
            <w:noWrap/>
            <w:vAlign w:val="center"/>
            <w:hideMark/>
          </w:tcPr>
          <w:p w:rsidR="00AB302E" w:rsidRDefault="00AB302E" w:rsidP="00AB302E">
            <w:pPr>
              <w:jc w:val="center"/>
              <w:rPr>
                <w:rFonts w:eastAsia="Calibri"/>
                <w:color w:val="000000"/>
                <w:sz w:val="16"/>
                <w:szCs w:val="16"/>
              </w:rPr>
            </w:pPr>
            <w:r w:rsidRPr="00CF633A">
              <w:rPr>
                <w:rFonts w:eastAsia="Calibri"/>
                <w:sz w:val="16"/>
                <w:szCs w:val="16"/>
              </w:rPr>
              <w:pict>
                <v:rect id="_x0000_s1028" style="position:absolute;left:0;text-align:left;margin-left:44.6pt;margin-top:1.9pt;width:162.9pt;height:82.1pt;z-index:3;mso-position-horizontal-relative:text;mso-position-vertical-relative:text">
                  <v:textbox style="mso-next-textbox:#_x0000_s1028">
                    <w:txbxContent>
                      <w:p w:rsidR="00AB302E" w:rsidRPr="00D94526" w:rsidRDefault="00AB302E" w:rsidP="00854EA6">
                        <w:pPr>
                          <w:pStyle w:val="SemEspaamento"/>
                          <w:jc w:val="left"/>
                          <w:rPr>
                            <w:sz w:val="20"/>
                          </w:rPr>
                        </w:pPr>
                        <w:r w:rsidRPr="00D94526">
                          <w:rPr>
                            <w:sz w:val="20"/>
                          </w:rPr>
                          <w:t>Custo</w:t>
                        </w:r>
                        <w:r w:rsidRPr="00D94526">
                          <w:rPr>
                            <w:sz w:val="20"/>
                          </w:rPr>
                          <w:tab/>
                          <w:t xml:space="preserve">        Venda</w:t>
                        </w:r>
                      </w:p>
                      <w:p w:rsidR="00AB302E" w:rsidRPr="00D94526" w:rsidRDefault="00AB302E" w:rsidP="00854EA6">
                        <w:pPr>
                          <w:pStyle w:val="SemEspaamento"/>
                          <w:jc w:val="left"/>
                          <w:rPr>
                            <w:sz w:val="20"/>
                          </w:rPr>
                        </w:pPr>
                        <w:r w:rsidRPr="00D94526">
                          <w:rPr>
                            <w:b/>
                            <w:sz w:val="20"/>
                          </w:rPr>
                          <w:t>100,00</w:t>
                        </w:r>
                        <w:r w:rsidRPr="00D94526">
                          <w:rPr>
                            <w:sz w:val="20"/>
                          </w:rPr>
                          <w:tab/>
                          <w:t xml:space="preserve">        </w:t>
                        </w:r>
                        <w:r w:rsidRPr="00D94526">
                          <w:rPr>
                            <w:b/>
                            <w:sz w:val="20"/>
                          </w:rPr>
                          <w:t>151,00</w:t>
                        </w:r>
                        <w:r w:rsidRPr="00D94526">
                          <w:rPr>
                            <w:sz w:val="20"/>
                          </w:rPr>
                          <w:t xml:space="preserve"> (100 x 51%)</w:t>
                        </w:r>
                      </w:p>
                      <w:p w:rsidR="00AB302E" w:rsidRPr="00D94526" w:rsidRDefault="00AB302E" w:rsidP="00854EA6">
                        <w:pPr>
                          <w:pStyle w:val="SemEspaamento"/>
                          <w:jc w:val="left"/>
                          <w:rPr>
                            <w:sz w:val="20"/>
                          </w:rPr>
                        </w:pPr>
                      </w:p>
                      <w:p w:rsidR="00AB302E" w:rsidRPr="00D94526" w:rsidRDefault="00AB302E" w:rsidP="00854EA6">
                        <w:pPr>
                          <w:pStyle w:val="SemEspaamento"/>
                          <w:jc w:val="left"/>
                          <w:rPr>
                            <w:b/>
                            <w:sz w:val="20"/>
                            <w:u w:val="single"/>
                          </w:rPr>
                        </w:pPr>
                        <w:r w:rsidRPr="00D94526">
                          <w:rPr>
                            <w:b/>
                            <w:sz w:val="20"/>
                            <w:u w:val="single"/>
                          </w:rPr>
                          <w:t>Cálculo de ICMS</w:t>
                        </w:r>
                      </w:p>
                      <w:p w:rsidR="00AB302E" w:rsidRPr="00D94526" w:rsidRDefault="00AB302E" w:rsidP="00854EA6">
                        <w:pPr>
                          <w:pStyle w:val="SemEspaamento"/>
                          <w:jc w:val="left"/>
                          <w:rPr>
                            <w:sz w:val="20"/>
                          </w:rPr>
                        </w:pPr>
                        <w:r w:rsidRPr="00D94526">
                          <w:rPr>
                            <w:sz w:val="20"/>
                          </w:rPr>
                          <w:t>Crédito</w:t>
                        </w:r>
                        <w:r w:rsidRPr="00D94526">
                          <w:rPr>
                            <w:sz w:val="20"/>
                          </w:rPr>
                          <w:tab/>
                          <w:t xml:space="preserve">        Débito</w:t>
                        </w:r>
                      </w:p>
                      <w:p w:rsidR="00AB302E" w:rsidRPr="00D94526" w:rsidRDefault="00AB302E" w:rsidP="00854EA6">
                        <w:pPr>
                          <w:pStyle w:val="SemEspaamento"/>
                          <w:jc w:val="left"/>
                          <w:rPr>
                            <w:sz w:val="20"/>
                          </w:rPr>
                        </w:pPr>
                        <w:r w:rsidRPr="00D94526">
                          <w:rPr>
                            <w:b/>
                            <w:sz w:val="20"/>
                          </w:rPr>
                          <w:t>0,00</w:t>
                        </w:r>
                        <w:r w:rsidRPr="00D94526">
                          <w:rPr>
                            <w:sz w:val="20"/>
                          </w:rPr>
                          <w:tab/>
                          <w:t xml:space="preserve">        </w:t>
                        </w:r>
                        <w:r w:rsidRPr="00D94526">
                          <w:rPr>
                            <w:b/>
                            <w:sz w:val="20"/>
                          </w:rPr>
                          <w:t>5,96</w:t>
                        </w:r>
                        <w:r w:rsidRPr="00D94526">
                          <w:rPr>
                            <w:sz w:val="20"/>
                          </w:rPr>
                          <w:t xml:space="preserve"> (151,00 x 3,95%)</w:t>
                        </w:r>
                      </w:p>
                    </w:txbxContent>
                  </v:textbox>
                </v:rect>
              </w:pict>
            </w:r>
          </w:p>
        </w:tc>
        <w:tc>
          <w:tcPr>
            <w:tcW w:w="1127" w:type="pct"/>
            <w:shd w:val="clear" w:color="auto" w:fill="FFFFFF"/>
            <w:noWrap/>
            <w:vAlign w:val="center"/>
          </w:tcPr>
          <w:p w:rsidR="00AB302E" w:rsidRDefault="00AB302E" w:rsidP="00AB302E">
            <w:pPr>
              <w:jc w:val="center"/>
              <w:rPr>
                <w:rFonts w:eastAsia="Calibri"/>
                <w:color w:val="000000"/>
                <w:sz w:val="16"/>
                <w:szCs w:val="16"/>
              </w:rPr>
            </w:pPr>
          </w:p>
        </w:tc>
        <w:tc>
          <w:tcPr>
            <w:tcW w:w="2193" w:type="pct"/>
            <w:tcBorders>
              <w:top w:val="nil"/>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20"/>
              </w:rPr>
            </w:pPr>
            <w:r w:rsidRPr="00CF633A">
              <w:rPr>
                <w:rFonts w:eastAsia="Calibri"/>
                <w:sz w:val="2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10.9pt;margin-top:5.85pt;width:58.7pt;height:62.45pt;z-index:2;mso-position-horizontal-relative:text;mso-position-vertical-relative:text">
                  <v:textbox style="mso-next-textbox:#_x0000_s1027">
                    <w:txbxContent>
                      <w:p w:rsidR="00AB302E" w:rsidRPr="00D94526" w:rsidRDefault="00AB302E" w:rsidP="00854EA6">
                        <w:pPr>
                          <w:ind w:firstLine="0"/>
                          <w:jc w:val="center"/>
                          <w:rPr>
                            <w:b/>
                            <w:bCs/>
                            <w:sz w:val="20"/>
                          </w:rPr>
                        </w:pPr>
                        <w:r>
                          <w:rPr>
                            <w:b/>
                            <w:bCs/>
                            <w:sz w:val="20"/>
                          </w:rPr>
                          <w:t xml:space="preserve">Venda </w:t>
                        </w:r>
                        <w:proofErr w:type="gramStart"/>
                        <w:r w:rsidRPr="00D94526">
                          <w:rPr>
                            <w:b/>
                            <w:bCs/>
                            <w:sz w:val="20"/>
                          </w:rPr>
                          <w:t>2</w:t>
                        </w:r>
                        <w:proofErr w:type="gramEnd"/>
                      </w:p>
                    </w:txbxContent>
                  </v:textbox>
                </v:shape>
              </w:pict>
            </w:r>
          </w:p>
        </w:tc>
      </w:tr>
      <w:tr w:rsidR="00AB302E" w:rsidRPr="00D12989" w:rsidTr="008F0FC5">
        <w:trPr>
          <w:trHeight w:val="80"/>
          <w:jc w:val="center"/>
        </w:trPr>
        <w:tc>
          <w:tcPr>
            <w:tcW w:w="11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938" w:type="pct"/>
            <w:shd w:val="clear" w:color="auto" w:fill="FFFFFF"/>
            <w:noWrap/>
            <w:vAlign w:val="center"/>
            <w:hideMark/>
          </w:tcPr>
          <w:p w:rsidR="00AB302E" w:rsidRDefault="00AB302E" w:rsidP="00AB302E">
            <w:pPr>
              <w:jc w:val="center"/>
              <w:rPr>
                <w:rFonts w:eastAsia="Calibri"/>
                <w:color w:val="000000"/>
                <w:sz w:val="16"/>
                <w:szCs w:val="16"/>
              </w:rPr>
            </w:pPr>
            <w:r w:rsidRPr="00CF633A">
              <w:rPr>
                <w:rFonts w:eastAsia="Calibri"/>
                <w:sz w:val="16"/>
                <w:szCs w:val="16"/>
              </w:rPr>
              <w:pict>
                <v:shape id="_x0000_s1029" type="#_x0000_t13" style="position:absolute;left:0;text-align:left;margin-left:70.7pt;margin-top:36.75pt;width:64.6pt;height:36.15pt;z-index:4;mso-position-horizontal-relative:text;mso-position-vertical-relative:text">
                  <v:textbox style="mso-next-textbox:#_x0000_s1029">
                    <w:txbxContent>
                      <w:p w:rsidR="00AB302E" w:rsidRPr="00D94526" w:rsidRDefault="00AB302E" w:rsidP="00854EA6">
                        <w:pPr>
                          <w:ind w:firstLine="0"/>
                          <w:jc w:val="center"/>
                          <w:rPr>
                            <w:b/>
                            <w:bCs/>
                            <w:sz w:val="20"/>
                          </w:rPr>
                        </w:pPr>
                        <w:r w:rsidRPr="00D94526">
                          <w:rPr>
                            <w:b/>
                            <w:bCs/>
                            <w:sz w:val="20"/>
                          </w:rPr>
                          <w:t xml:space="preserve">Venda </w:t>
                        </w:r>
                        <w:proofErr w:type="gramStart"/>
                        <w:r w:rsidRPr="00D94526">
                          <w:rPr>
                            <w:b/>
                            <w:bCs/>
                            <w:sz w:val="20"/>
                          </w:rPr>
                          <w:t>1</w:t>
                        </w:r>
                        <w:proofErr w:type="gramEnd"/>
                      </w:p>
                    </w:txbxContent>
                  </v:textbox>
                </v:shape>
              </w:pict>
            </w:r>
          </w:p>
        </w:tc>
        <w:tc>
          <w:tcPr>
            <w:tcW w:w="627" w:type="pct"/>
            <w:shd w:val="clear" w:color="auto" w:fill="FFFFFF"/>
            <w:noWrap/>
            <w:vAlign w:val="center"/>
          </w:tcPr>
          <w:p w:rsidR="00AB302E" w:rsidRDefault="00AB302E" w:rsidP="00AB302E">
            <w:pPr>
              <w:jc w:val="center"/>
              <w:rPr>
                <w:rFonts w:eastAsia="Calibri"/>
                <w:color w:val="000000"/>
                <w:sz w:val="16"/>
                <w:szCs w:val="16"/>
              </w:rPr>
            </w:pPr>
          </w:p>
        </w:tc>
        <w:tc>
          <w:tcPr>
            <w:tcW w:w="1127" w:type="pct"/>
            <w:shd w:val="clear" w:color="auto" w:fill="FFFFFF"/>
            <w:noWrap/>
            <w:vAlign w:val="center"/>
          </w:tcPr>
          <w:p w:rsidR="00AB302E" w:rsidRDefault="00AB302E" w:rsidP="00AB302E">
            <w:pPr>
              <w:jc w:val="center"/>
              <w:rPr>
                <w:rFonts w:eastAsia="Calibri"/>
                <w:color w:val="000000"/>
                <w:sz w:val="16"/>
                <w:szCs w:val="16"/>
              </w:rPr>
            </w:pPr>
          </w:p>
        </w:tc>
        <w:tc>
          <w:tcPr>
            <w:tcW w:w="2193" w:type="pct"/>
            <w:tcBorders>
              <w:top w:val="nil"/>
              <w:left w:val="nil"/>
              <w:bottom w:val="nil"/>
              <w:right w:val="thinThickThinSmallGap" w:sz="24" w:space="0" w:color="auto"/>
            </w:tcBorders>
            <w:shd w:val="clear" w:color="auto" w:fill="FFFFFF"/>
            <w:noWrap/>
            <w:vAlign w:val="center"/>
            <w:hideMark/>
          </w:tcPr>
          <w:p w:rsidR="00AB302E" w:rsidRDefault="00AB302E" w:rsidP="00AB302E">
            <w:pPr>
              <w:tabs>
                <w:tab w:val="left" w:pos="3747"/>
              </w:tabs>
              <w:rPr>
                <w:rFonts w:eastAsia="Calibri" w:cs="Arial"/>
                <w:color w:val="000000"/>
                <w:sz w:val="16"/>
                <w:szCs w:val="16"/>
              </w:rPr>
            </w:pPr>
            <w:r>
              <w:rPr>
                <w:rFonts w:eastAsia="Calibri" w:cs="Arial"/>
                <w:color w:val="000000"/>
                <w:sz w:val="16"/>
                <w:szCs w:val="16"/>
              </w:rPr>
              <w:t xml:space="preserve">                   </w:t>
            </w:r>
            <w:r w:rsidR="00854EA6">
              <w:rPr>
                <w:rFonts w:eastAsia="Calibri" w:cs="Arial"/>
                <w:color w:val="000000"/>
                <w:sz w:val="16"/>
                <w:szCs w:val="16"/>
              </w:rPr>
              <w:t xml:space="preserve">  </w:t>
            </w:r>
            <w:r>
              <w:rPr>
                <w:rFonts w:eastAsia="Calibri" w:cs="Arial"/>
                <w:color w:val="000000"/>
                <w:sz w:val="16"/>
                <w:szCs w:val="16"/>
              </w:rPr>
              <w:t xml:space="preserve">   </w:t>
            </w:r>
            <w:r w:rsidRPr="00AB302E">
              <w:rPr>
                <w:rFonts w:eastAsia="Calibri"/>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4" o:spid="_x0000_i1025" type="#_x0000_t75" alt="bonewco" style="width:15.75pt;height:42pt;visibility:visible">
                  <v:imagedata r:id="rId14" o:title="bonewco"/>
                </v:shape>
              </w:pict>
            </w:r>
            <w:r w:rsidRPr="00D12989">
              <w:rPr>
                <w:rFonts w:eastAsia="Calibri" w:cs="Arial"/>
                <w:color w:val="000000"/>
                <w:sz w:val="16"/>
                <w:szCs w:val="16"/>
              </w:rPr>
              <w:t xml:space="preserve">                                          </w:t>
            </w:r>
          </w:p>
        </w:tc>
      </w:tr>
      <w:tr w:rsidR="00AB302E" w:rsidRPr="00D12989" w:rsidTr="008F0FC5">
        <w:trPr>
          <w:trHeight w:val="70"/>
          <w:jc w:val="center"/>
        </w:trPr>
        <w:tc>
          <w:tcPr>
            <w:tcW w:w="11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938" w:type="pct"/>
            <w:shd w:val="clear" w:color="auto" w:fill="FFFFFF"/>
            <w:noWrap/>
            <w:vAlign w:val="center"/>
          </w:tcPr>
          <w:p w:rsidR="00AB302E" w:rsidRDefault="00AB302E" w:rsidP="00AB302E">
            <w:pPr>
              <w:jc w:val="center"/>
              <w:rPr>
                <w:rFonts w:eastAsia="Calibri"/>
                <w:color w:val="000000"/>
                <w:sz w:val="16"/>
                <w:szCs w:val="16"/>
              </w:rPr>
            </w:pPr>
          </w:p>
        </w:tc>
        <w:tc>
          <w:tcPr>
            <w:tcW w:w="627" w:type="pct"/>
            <w:shd w:val="clear" w:color="auto" w:fill="FFFFFF"/>
            <w:noWrap/>
            <w:vAlign w:val="center"/>
          </w:tcPr>
          <w:p w:rsidR="00AB302E" w:rsidRDefault="00AB302E" w:rsidP="00AB302E">
            <w:pPr>
              <w:jc w:val="center"/>
              <w:rPr>
                <w:rFonts w:eastAsia="Calibri"/>
                <w:color w:val="000000"/>
                <w:sz w:val="16"/>
                <w:szCs w:val="16"/>
              </w:rPr>
            </w:pPr>
          </w:p>
        </w:tc>
        <w:tc>
          <w:tcPr>
            <w:tcW w:w="1127" w:type="pct"/>
            <w:shd w:val="clear" w:color="auto" w:fill="FFFFFF"/>
            <w:noWrap/>
            <w:vAlign w:val="center"/>
          </w:tcPr>
          <w:p w:rsidR="00AB302E" w:rsidRDefault="00AB302E" w:rsidP="00AB302E">
            <w:pPr>
              <w:jc w:val="center"/>
              <w:rPr>
                <w:rFonts w:eastAsia="Calibri"/>
                <w:color w:val="000000"/>
                <w:sz w:val="16"/>
                <w:szCs w:val="16"/>
              </w:rPr>
            </w:pPr>
          </w:p>
        </w:tc>
        <w:tc>
          <w:tcPr>
            <w:tcW w:w="2193" w:type="pct"/>
            <w:tcBorders>
              <w:top w:val="nil"/>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16"/>
                <w:szCs w:val="16"/>
              </w:rPr>
            </w:pPr>
          </w:p>
        </w:tc>
      </w:tr>
      <w:tr w:rsidR="00AB302E" w:rsidRPr="00D12989" w:rsidTr="008F0FC5">
        <w:trPr>
          <w:trHeight w:val="80"/>
          <w:jc w:val="center"/>
        </w:trPr>
        <w:tc>
          <w:tcPr>
            <w:tcW w:w="11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938" w:type="pct"/>
            <w:shd w:val="clear" w:color="auto" w:fill="FFFFFF"/>
            <w:noWrap/>
            <w:vAlign w:val="center"/>
          </w:tcPr>
          <w:p w:rsidR="00AB302E" w:rsidRDefault="00AB302E" w:rsidP="00AB302E">
            <w:pPr>
              <w:jc w:val="center"/>
              <w:rPr>
                <w:rFonts w:eastAsia="Calibri"/>
                <w:color w:val="000000"/>
                <w:sz w:val="16"/>
                <w:szCs w:val="16"/>
              </w:rPr>
            </w:pPr>
          </w:p>
        </w:tc>
        <w:tc>
          <w:tcPr>
            <w:tcW w:w="627" w:type="pct"/>
            <w:shd w:val="clear" w:color="auto" w:fill="FFFFFF"/>
            <w:noWrap/>
            <w:vAlign w:val="center"/>
          </w:tcPr>
          <w:p w:rsidR="00AB302E" w:rsidRDefault="00AB302E" w:rsidP="00AB302E">
            <w:pPr>
              <w:jc w:val="center"/>
              <w:rPr>
                <w:rFonts w:eastAsia="Calibri"/>
                <w:color w:val="000000"/>
                <w:sz w:val="16"/>
                <w:szCs w:val="16"/>
              </w:rPr>
            </w:pPr>
          </w:p>
        </w:tc>
        <w:tc>
          <w:tcPr>
            <w:tcW w:w="1127" w:type="pct"/>
            <w:shd w:val="clear" w:color="auto" w:fill="FFFFFF"/>
            <w:noWrap/>
            <w:vAlign w:val="center"/>
          </w:tcPr>
          <w:p w:rsidR="00AB302E" w:rsidRDefault="00AB302E" w:rsidP="00AB302E">
            <w:pPr>
              <w:jc w:val="center"/>
              <w:rPr>
                <w:rFonts w:eastAsia="Calibri"/>
                <w:color w:val="000000"/>
                <w:sz w:val="16"/>
                <w:szCs w:val="16"/>
              </w:rPr>
            </w:pPr>
          </w:p>
        </w:tc>
        <w:tc>
          <w:tcPr>
            <w:tcW w:w="2193" w:type="pct"/>
            <w:tcBorders>
              <w:top w:val="nil"/>
              <w:left w:val="nil"/>
              <w:bottom w:val="nil"/>
              <w:right w:val="thinThickThinSmallGap" w:sz="24" w:space="0" w:color="auto"/>
            </w:tcBorders>
            <w:shd w:val="clear" w:color="auto" w:fill="FFFFFF"/>
            <w:noWrap/>
            <w:vAlign w:val="center"/>
            <w:hideMark/>
          </w:tcPr>
          <w:p w:rsidR="00AB302E" w:rsidRDefault="00AB302E" w:rsidP="00AB302E">
            <w:pPr>
              <w:jc w:val="center"/>
              <w:rPr>
                <w:rFonts w:eastAsia="Calibri" w:cs="Arial"/>
                <w:color w:val="000000"/>
                <w:sz w:val="16"/>
                <w:szCs w:val="16"/>
              </w:rPr>
            </w:pPr>
            <w:r w:rsidRPr="00D12989">
              <w:rPr>
                <w:rFonts w:eastAsia="Calibri" w:cs="Arial"/>
                <w:color w:val="000000"/>
                <w:sz w:val="16"/>
                <w:szCs w:val="16"/>
              </w:rPr>
              <w:t xml:space="preserve"> </w:t>
            </w:r>
          </w:p>
        </w:tc>
      </w:tr>
      <w:tr w:rsidR="00AB302E" w:rsidRPr="00D12989" w:rsidTr="008F0FC5">
        <w:trPr>
          <w:trHeight w:val="80"/>
          <w:jc w:val="center"/>
        </w:trPr>
        <w:tc>
          <w:tcPr>
            <w:tcW w:w="11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938" w:type="pct"/>
            <w:shd w:val="clear" w:color="auto" w:fill="FFFFFF"/>
            <w:noWrap/>
            <w:vAlign w:val="center"/>
          </w:tcPr>
          <w:p w:rsidR="00AB302E" w:rsidRDefault="00AB302E" w:rsidP="00AB302E">
            <w:pPr>
              <w:jc w:val="center"/>
              <w:rPr>
                <w:rFonts w:eastAsia="Calibri"/>
                <w:color w:val="000000"/>
                <w:sz w:val="16"/>
                <w:szCs w:val="16"/>
              </w:rPr>
            </w:pPr>
          </w:p>
        </w:tc>
        <w:tc>
          <w:tcPr>
            <w:tcW w:w="627" w:type="pct"/>
            <w:shd w:val="clear" w:color="auto" w:fill="FFFFFF"/>
            <w:noWrap/>
            <w:vAlign w:val="center"/>
          </w:tcPr>
          <w:p w:rsidR="00AB302E" w:rsidRDefault="00AB302E" w:rsidP="00AB302E">
            <w:pPr>
              <w:jc w:val="center"/>
              <w:rPr>
                <w:rFonts w:eastAsia="Calibri"/>
                <w:color w:val="000000"/>
                <w:sz w:val="16"/>
                <w:szCs w:val="16"/>
              </w:rPr>
            </w:pPr>
          </w:p>
        </w:tc>
        <w:tc>
          <w:tcPr>
            <w:tcW w:w="1127" w:type="pct"/>
            <w:shd w:val="clear" w:color="auto" w:fill="FFFFFF"/>
            <w:noWrap/>
            <w:vAlign w:val="center"/>
          </w:tcPr>
          <w:p w:rsidR="00AB302E" w:rsidRDefault="00AB302E" w:rsidP="00AB302E">
            <w:pPr>
              <w:jc w:val="center"/>
              <w:rPr>
                <w:rFonts w:eastAsia="Calibri"/>
                <w:color w:val="000000"/>
                <w:sz w:val="16"/>
                <w:szCs w:val="16"/>
              </w:rPr>
            </w:pPr>
          </w:p>
        </w:tc>
        <w:tc>
          <w:tcPr>
            <w:tcW w:w="2193" w:type="pct"/>
            <w:tcBorders>
              <w:top w:val="nil"/>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16"/>
                <w:szCs w:val="16"/>
              </w:rPr>
            </w:pPr>
          </w:p>
        </w:tc>
      </w:tr>
      <w:tr w:rsidR="00AB302E" w:rsidRPr="00D12989" w:rsidTr="008F0FC5">
        <w:trPr>
          <w:trHeight w:val="87"/>
          <w:jc w:val="center"/>
        </w:trPr>
        <w:tc>
          <w:tcPr>
            <w:tcW w:w="114" w:type="pct"/>
            <w:tcBorders>
              <w:top w:val="nil"/>
              <w:left w:val="thinThickThinSmallGap" w:sz="24" w:space="0" w:color="auto"/>
              <w:bottom w:val="thinThickThinSmallGap" w:sz="24" w:space="0" w:color="auto"/>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938" w:type="pct"/>
            <w:tcBorders>
              <w:top w:val="nil"/>
              <w:left w:val="nil"/>
              <w:bottom w:val="thinThickThinSmallGap" w:sz="24" w:space="0" w:color="auto"/>
              <w:right w:val="nil"/>
            </w:tcBorders>
            <w:shd w:val="clear" w:color="auto" w:fill="FFFFFF"/>
            <w:noWrap/>
            <w:vAlign w:val="center"/>
          </w:tcPr>
          <w:p w:rsidR="00AB302E" w:rsidRDefault="00AB302E" w:rsidP="00AB302E">
            <w:pPr>
              <w:jc w:val="center"/>
              <w:rPr>
                <w:rFonts w:eastAsia="Calibri"/>
                <w:color w:val="000000"/>
                <w:sz w:val="16"/>
                <w:szCs w:val="16"/>
              </w:rPr>
            </w:pPr>
          </w:p>
        </w:tc>
        <w:tc>
          <w:tcPr>
            <w:tcW w:w="627" w:type="pct"/>
            <w:tcBorders>
              <w:top w:val="nil"/>
              <w:left w:val="nil"/>
              <w:bottom w:val="thinThickThinSmallGap" w:sz="24" w:space="0" w:color="auto"/>
              <w:right w:val="nil"/>
            </w:tcBorders>
            <w:shd w:val="clear" w:color="auto" w:fill="FFFFFF"/>
            <w:noWrap/>
            <w:vAlign w:val="center"/>
          </w:tcPr>
          <w:p w:rsidR="00AB302E" w:rsidRDefault="00AB302E" w:rsidP="00AB302E">
            <w:pPr>
              <w:rPr>
                <w:rFonts w:eastAsia="Calibri"/>
                <w:color w:val="000000"/>
                <w:sz w:val="16"/>
                <w:szCs w:val="16"/>
              </w:rPr>
            </w:pPr>
          </w:p>
        </w:tc>
        <w:tc>
          <w:tcPr>
            <w:tcW w:w="1127" w:type="pct"/>
            <w:tcBorders>
              <w:top w:val="nil"/>
              <w:left w:val="nil"/>
              <w:bottom w:val="thinThickThinSmallGap" w:sz="24" w:space="0" w:color="auto"/>
              <w:right w:val="nil"/>
            </w:tcBorders>
            <w:shd w:val="clear" w:color="auto" w:fill="FFFFFF"/>
            <w:noWrap/>
            <w:vAlign w:val="center"/>
          </w:tcPr>
          <w:p w:rsidR="00AB302E" w:rsidRDefault="00AB302E" w:rsidP="00AB302E">
            <w:pPr>
              <w:jc w:val="center"/>
              <w:rPr>
                <w:rFonts w:eastAsia="Calibri"/>
                <w:color w:val="000000"/>
                <w:sz w:val="16"/>
                <w:szCs w:val="16"/>
              </w:rPr>
            </w:pPr>
          </w:p>
        </w:tc>
        <w:tc>
          <w:tcPr>
            <w:tcW w:w="2193" w:type="pct"/>
            <w:tcBorders>
              <w:top w:val="nil"/>
              <w:left w:val="nil"/>
              <w:bottom w:val="thinThickThinSmallGap" w:sz="24" w:space="0" w:color="auto"/>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16"/>
                <w:szCs w:val="16"/>
              </w:rPr>
            </w:pPr>
          </w:p>
        </w:tc>
      </w:tr>
    </w:tbl>
    <w:p w:rsidR="00AB302E" w:rsidRPr="00854EA6" w:rsidRDefault="00AB302E" w:rsidP="00854EA6">
      <w:pPr>
        <w:pStyle w:val="SemEspaamento"/>
        <w:spacing w:line="360" w:lineRule="auto"/>
        <w:rPr>
          <w:sz w:val="20"/>
        </w:rPr>
      </w:pPr>
      <w:r w:rsidRPr="00E53EAC">
        <w:rPr>
          <w:sz w:val="20"/>
        </w:rPr>
        <w:t>Fonte: Elaborado pelo autor, 2016.</w:t>
      </w:r>
    </w:p>
    <w:p w:rsidR="00AB302E" w:rsidRPr="00E858DF" w:rsidRDefault="00AB302E" w:rsidP="00E858DF">
      <w:pPr>
        <w:pStyle w:val="SemEspaamento"/>
        <w:ind w:firstLine="708"/>
      </w:pPr>
      <w:r w:rsidRPr="00E858DF">
        <w:t xml:space="preserve">Na próxima simulação, Quadro </w:t>
      </w:r>
      <w:proofErr w:type="gramStart"/>
      <w:r w:rsidRPr="00E858DF">
        <w:t>6</w:t>
      </w:r>
      <w:proofErr w:type="gramEnd"/>
      <w:r w:rsidRPr="00E858DF">
        <w:t xml:space="preserve">, pode ser observado na Venda 1 que há cobrança de ICMS ST calculado com a MVA integral. Assim, o acréscimo do ICMS ST será repassado para a Empresa B (substituído). No entanto, na operação de Venda </w:t>
      </w:r>
      <w:proofErr w:type="gramStart"/>
      <w:r w:rsidRPr="00E858DF">
        <w:t>2</w:t>
      </w:r>
      <w:proofErr w:type="gramEnd"/>
      <w:r w:rsidRPr="00E858DF">
        <w:t>, o ICMS não será arrecadado, visto que a obrigatoriedade e recolhimento foi realizado pela Empresa A (substituto tributário).</w:t>
      </w:r>
    </w:p>
    <w:p w:rsidR="00AB302E" w:rsidRPr="00550BF4" w:rsidRDefault="00AB302E" w:rsidP="00550BF4">
      <w:pPr>
        <w:pStyle w:val="SemEspaamento"/>
        <w:jc w:val="center"/>
        <w:rPr>
          <w:sz w:val="20"/>
        </w:rPr>
      </w:pPr>
      <w:r w:rsidRPr="00550BF4">
        <w:rPr>
          <w:sz w:val="20"/>
        </w:rPr>
        <w:t xml:space="preserve">Quadro 6 – Venda </w:t>
      </w:r>
      <w:r w:rsidR="00550BF4">
        <w:rPr>
          <w:sz w:val="20"/>
        </w:rPr>
        <w:t xml:space="preserve">interna </w:t>
      </w:r>
      <w:r w:rsidRPr="00550BF4">
        <w:rPr>
          <w:sz w:val="20"/>
        </w:rPr>
        <w:t xml:space="preserve">do produto perfume tributado ICMS/ST para empresa optante pelo simples nacional. </w:t>
      </w:r>
    </w:p>
    <w:tbl>
      <w:tblPr>
        <w:tblW w:w="5000" w:type="pct"/>
        <w:jc w:val="center"/>
        <w:tblInd w:w="70" w:type="dxa"/>
        <w:tblCellMar>
          <w:left w:w="70" w:type="dxa"/>
          <w:right w:w="70" w:type="dxa"/>
        </w:tblCellMar>
        <w:tblLook w:val="00A0"/>
      </w:tblPr>
      <w:tblGrid>
        <w:gridCol w:w="161"/>
        <w:gridCol w:w="160"/>
        <w:gridCol w:w="3178"/>
        <w:gridCol w:w="4538"/>
        <w:gridCol w:w="1508"/>
      </w:tblGrid>
      <w:tr w:rsidR="00AB302E" w:rsidRPr="00102273" w:rsidTr="008F0FC5">
        <w:trPr>
          <w:trHeight w:val="59"/>
          <w:jc w:val="center"/>
        </w:trPr>
        <w:tc>
          <w:tcPr>
            <w:tcW w:w="84" w:type="pct"/>
            <w:tcBorders>
              <w:top w:val="thinThickThinSmallGap" w:sz="24" w:space="0" w:color="auto"/>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tcBorders>
              <w:top w:val="thinThickThinSmallGap" w:sz="24" w:space="0" w:color="auto"/>
              <w:left w:val="nil"/>
              <w:bottom w:val="nil"/>
              <w:right w:val="nil"/>
            </w:tcBorders>
            <w:shd w:val="clear" w:color="auto" w:fill="FFFFFF"/>
            <w:noWrap/>
            <w:vAlign w:val="center"/>
          </w:tcPr>
          <w:p w:rsidR="00AB302E" w:rsidRDefault="00AB302E" w:rsidP="00AB302E">
            <w:pPr>
              <w:rPr>
                <w:rFonts w:eastAsia="Calibri" w:cs="Arial"/>
                <w:color w:val="000000"/>
                <w:sz w:val="2"/>
                <w:szCs w:val="2"/>
              </w:rPr>
            </w:pPr>
          </w:p>
        </w:tc>
        <w:tc>
          <w:tcPr>
            <w:tcW w:w="1665" w:type="pct"/>
            <w:tcBorders>
              <w:top w:val="thinThickThinSmallGap" w:sz="24" w:space="0" w:color="auto"/>
              <w:left w:val="nil"/>
              <w:bottom w:val="nil"/>
              <w:right w:val="nil"/>
            </w:tcBorders>
            <w:shd w:val="clear" w:color="auto" w:fill="FFFFFF"/>
            <w:noWrap/>
            <w:vAlign w:val="center"/>
          </w:tcPr>
          <w:p w:rsidR="00AB302E" w:rsidRDefault="00AB302E" w:rsidP="00854EA6">
            <w:pPr>
              <w:ind w:firstLine="0"/>
              <w:rPr>
                <w:rFonts w:eastAsia="Calibri" w:cs="Arial"/>
                <w:color w:val="000000"/>
                <w:sz w:val="16"/>
                <w:szCs w:val="16"/>
              </w:rPr>
            </w:pPr>
          </w:p>
        </w:tc>
        <w:tc>
          <w:tcPr>
            <w:tcW w:w="2377" w:type="pct"/>
            <w:tcBorders>
              <w:top w:val="thinThickThinSmallGap" w:sz="24" w:space="0" w:color="auto"/>
              <w:left w:val="nil"/>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790" w:type="pct"/>
            <w:tcBorders>
              <w:top w:val="thinThickThinSmallGap" w:sz="24" w:space="0" w:color="auto"/>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16"/>
                <w:szCs w:val="16"/>
              </w:rPr>
            </w:pPr>
          </w:p>
        </w:tc>
      </w:tr>
      <w:tr w:rsidR="00AB302E" w:rsidRPr="00102273" w:rsidTr="008F0FC5">
        <w:trPr>
          <w:trHeight w:val="70"/>
          <w:jc w:val="center"/>
        </w:trPr>
        <w:tc>
          <w:tcPr>
            <w:tcW w:w="8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shd w:val="clear" w:color="auto" w:fill="FFFFFF"/>
            <w:noWrap/>
            <w:vAlign w:val="center"/>
            <w:hideMark/>
          </w:tcPr>
          <w:p w:rsidR="00AB302E" w:rsidRDefault="00AB302E" w:rsidP="00AB302E">
            <w:pPr>
              <w:rPr>
                <w:rFonts w:eastAsia="Calibri"/>
                <w:b/>
                <w:color w:val="000000"/>
                <w:sz w:val="16"/>
                <w:szCs w:val="16"/>
              </w:rPr>
            </w:pPr>
          </w:p>
        </w:tc>
        <w:tc>
          <w:tcPr>
            <w:tcW w:w="1665" w:type="pct"/>
            <w:shd w:val="clear" w:color="auto" w:fill="FFFFFF"/>
            <w:noWrap/>
            <w:vAlign w:val="center"/>
          </w:tcPr>
          <w:p w:rsidR="00AB302E" w:rsidRDefault="00AB302E" w:rsidP="007D1361">
            <w:pPr>
              <w:ind w:firstLine="0"/>
              <w:rPr>
                <w:rFonts w:eastAsia="Calibri"/>
                <w:b/>
                <w:color w:val="000000"/>
                <w:sz w:val="20"/>
              </w:rPr>
            </w:pPr>
            <w:r w:rsidRPr="003A0844">
              <w:rPr>
                <w:rFonts w:eastAsia="Calibri"/>
                <w:b/>
                <w:color w:val="000000"/>
                <w:sz w:val="16"/>
                <w:szCs w:val="16"/>
              </w:rPr>
              <w:t xml:space="preserve">               </w:t>
            </w:r>
            <w:r>
              <w:rPr>
                <w:rFonts w:eastAsia="Calibri"/>
                <w:b/>
                <w:color w:val="000000"/>
                <w:sz w:val="16"/>
                <w:szCs w:val="16"/>
              </w:rPr>
              <w:t xml:space="preserve">                            </w:t>
            </w:r>
            <w:r w:rsidRPr="003A0844">
              <w:rPr>
                <w:rFonts w:eastAsia="Calibri"/>
                <w:b/>
                <w:color w:val="000000"/>
                <w:sz w:val="16"/>
                <w:szCs w:val="16"/>
              </w:rPr>
              <w:t xml:space="preserve">  </w:t>
            </w:r>
            <w:r w:rsidRPr="006E03C2">
              <w:rPr>
                <w:rFonts w:eastAsia="Calibri"/>
                <w:b/>
                <w:color w:val="000000"/>
                <w:sz w:val="20"/>
              </w:rPr>
              <w:t>EMPRESA A</w:t>
            </w:r>
          </w:p>
        </w:tc>
        <w:tc>
          <w:tcPr>
            <w:tcW w:w="2377" w:type="pct"/>
            <w:shd w:val="clear" w:color="auto" w:fill="FFFFFF"/>
            <w:noWrap/>
            <w:vAlign w:val="center"/>
            <w:hideMark/>
          </w:tcPr>
          <w:p w:rsidR="00AB302E" w:rsidRDefault="00AB302E" w:rsidP="00854EA6">
            <w:pPr>
              <w:ind w:firstLine="0"/>
              <w:rPr>
                <w:rFonts w:eastAsia="Calibri"/>
                <w:b/>
                <w:color w:val="000000"/>
                <w:sz w:val="20"/>
              </w:rPr>
            </w:pPr>
            <w:r>
              <w:rPr>
                <w:rFonts w:eastAsia="Calibri"/>
                <w:b/>
                <w:color w:val="000000"/>
                <w:sz w:val="16"/>
                <w:szCs w:val="16"/>
              </w:rPr>
              <w:t xml:space="preserve">                                                                            </w:t>
            </w:r>
            <w:r w:rsidRPr="006E03C2">
              <w:rPr>
                <w:rFonts w:eastAsia="Calibri"/>
                <w:b/>
                <w:color w:val="000000"/>
                <w:sz w:val="20"/>
              </w:rPr>
              <w:t>EMPRESA B</w:t>
            </w:r>
          </w:p>
        </w:tc>
        <w:tc>
          <w:tcPr>
            <w:tcW w:w="790" w:type="pct"/>
            <w:tcBorders>
              <w:top w:val="nil"/>
              <w:left w:val="nil"/>
              <w:bottom w:val="nil"/>
              <w:right w:val="thinThickThinSmallGap" w:sz="24" w:space="0" w:color="auto"/>
            </w:tcBorders>
            <w:shd w:val="clear" w:color="auto" w:fill="FFFFFF"/>
            <w:noWrap/>
            <w:vAlign w:val="center"/>
            <w:hideMark/>
          </w:tcPr>
          <w:p w:rsidR="00AB302E" w:rsidRDefault="00AB302E" w:rsidP="00AB302E">
            <w:pPr>
              <w:rPr>
                <w:rFonts w:eastAsia="Calibri" w:cs="Arial"/>
                <w:b/>
                <w:color w:val="000000"/>
                <w:sz w:val="16"/>
                <w:szCs w:val="16"/>
              </w:rPr>
            </w:pPr>
          </w:p>
        </w:tc>
      </w:tr>
      <w:tr w:rsidR="00AB302E" w:rsidRPr="00102273" w:rsidTr="008F0FC5">
        <w:trPr>
          <w:trHeight w:val="80"/>
          <w:jc w:val="center"/>
        </w:trPr>
        <w:tc>
          <w:tcPr>
            <w:tcW w:w="8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shd w:val="clear" w:color="auto" w:fill="FFFFFF"/>
            <w:noWrap/>
            <w:vAlign w:val="center"/>
            <w:hideMark/>
          </w:tcPr>
          <w:p w:rsidR="00AB302E" w:rsidRDefault="00AB302E" w:rsidP="00AB302E">
            <w:pPr>
              <w:jc w:val="center"/>
              <w:rPr>
                <w:rFonts w:eastAsia="Calibri"/>
                <w:color w:val="000000"/>
                <w:sz w:val="16"/>
                <w:szCs w:val="16"/>
              </w:rPr>
            </w:pPr>
          </w:p>
        </w:tc>
        <w:tc>
          <w:tcPr>
            <w:tcW w:w="1665" w:type="pct"/>
            <w:shd w:val="clear" w:color="auto" w:fill="FFFFFF"/>
            <w:noWrap/>
            <w:vAlign w:val="center"/>
            <w:hideMark/>
          </w:tcPr>
          <w:p w:rsidR="00AB302E" w:rsidRDefault="00E360BF" w:rsidP="00AB302E">
            <w:pPr>
              <w:jc w:val="center"/>
              <w:rPr>
                <w:rFonts w:eastAsia="Calibri"/>
                <w:color w:val="000000"/>
                <w:sz w:val="16"/>
                <w:szCs w:val="16"/>
              </w:rPr>
            </w:pPr>
            <w:r w:rsidRPr="00CF633A">
              <w:rPr>
                <w:rFonts w:eastAsia="Calibri"/>
                <w:szCs w:val="24"/>
              </w:rPr>
              <w:pict>
                <v:rect id="_x0000_s1030" style="position:absolute;left:0;text-align:left;margin-left:11.4pt;margin-top:.6pt;width:262.1pt;height:108.45pt;z-index:5;mso-position-horizontal-relative:text;mso-position-vertical-relative:text">
                  <v:textbox style="mso-next-textbox:#_x0000_s1030">
                    <w:txbxContent>
                      <w:p w:rsidR="00AB302E" w:rsidRPr="006E03C2" w:rsidRDefault="00AB302E" w:rsidP="00AB302E">
                        <w:pPr>
                          <w:pStyle w:val="SemEspaamento"/>
                          <w:rPr>
                            <w:sz w:val="20"/>
                          </w:rPr>
                        </w:pPr>
                        <w:r>
                          <w:rPr>
                            <w:sz w:val="20"/>
                          </w:rPr>
                          <w:t>Custo</w:t>
                        </w:r>
                        <w:r>
                          <w:rPr>
                            <w:sz w:val="20"/>
                          </w:rPr>
                          <w:tab/>
                          <w:t xml:space="preserve">        Valor produto</w:t>
                        </w:r>
                        <w:r>
                          <w:rPr>
                            <w:sz w:val="20"/>
                          </w:rPr>
                          <w:tab/>
                        </w:r>
                        <w:r w:rsidRPr="006E03C2">
                          <w:rPr>
                            <w:sz w:val="20"/>
                          </w:rPr>
                          <w:t xml:space="preserve">Valor total da Venda </w:t>
                        </w:r>
                        <w:proofErr w:type="gramStart"/>
                        <w:r w:rsidRPr="006E03C2">
                          <w:rPr>
                            <w:sz w:val="20"/>
                          </w:rPr>
                          <w:t>1</w:t>
                        </w:r>
                        <w:proofErr w:type="gramEnd"/>
                      </w:p>
                      <w:p w:rsidR="00AB302E" w:rsidRPr="00E360BF" w:rsidRDefault="00AB302E" w:rsidP="00AB302E">
                        <w:pPr>
                          <w:pStyle w:val="SemEspaamento"/>
                          <w:rPr>
                            <w:sz w:val="20"/>
                          </w:rPr>
                        </w:pPr>
                        <w:r w:rsidRPr="006E03C2">
                          <w:rPr>
                            <w:b/>
                            <w:sz w:val="20"/>
                          </w:rPr>
                          <w:t>70,00</w:t>
                        </w:r>
                        <w:r w:rsidRPr="006E03C2">
                          <w:rPr>
                            <w:sz w:val="20"/>
                          </w:rPr>
                          <w:tab/>
                          <w:t xml:space="preserve">        </w:t>
                        </w:r>
                        <w:r w:rsidRPr="006E03C2">
                          <w:rPr>
                            <w:b/>
                            <w:sz w:val="20"/>
                          </w:rPr>
                          <w:t>100,00</w:t>
                        </w:r>
                        <w:r w:rsidRPr="006E03C2">
                          <w:rPr>
                            <w:b/>
                            <w:sz w:val="20"/>
                          </w:rPr>
                          <w:tab/>
                        </w:r>
                        <w:r w:rsidRPr="006E03C2">
                          <w:rPr>
                            <w:b/>
                            <w:sz w:val="20"/>
                          </w:rPr>
                          <w:tab/>
                          <w:t>112,75</w:t>
                        </w:r>
                        <w:r w:rsidRPr="006E03C2">
                          <w:rPr>
                            <w:b/>
                            <w:sz w:val="20"/>
                          </w:rPr>
                          <w:tab/>
                        </w:r>
                        <w:proofErr w:type="gramStart"/>
                        <w:r w:rsidR="00550BF4">
                          <w:rPr>
                            <w:sz w:val="20"/>
                          </w:rPr>
                          <w:t>(</w:t>
                        </w:r>
                        <w:proofErr w:type="gramEnd"/>
                        <w:r w:rsidR="00550BF4">
                          <w:rPr>
                            <w:sz w:val="20"/>
                          </w:rPr>
                          <w:t>100,00 + 12,75)</w:t>
                        </w:r>
                      </w:p>
                      <w:p w:rsidR="00550BF4" w:rsidRPr="007D1361" w:rsidRDefault="00550BF4" w:rsidP="00AB302E">
                        <w:pPr>
                          <w:pStyle w:val="SemEspaamento"/>
                          <w:rPr>
                            <w:b/>
                            <w:sz w:val="20"/>
                            <w:u w:val="single"/>
                          </w:rPr>
                        </w:pPr>
                        <w:r>
                          <w:rPr>
                            <w:b/>
                            <w:sz w:val="20"/>
                            <w:u w:val="single"/>
                          </w:rPr>
                          <w:t>Cálculo ICMS-ST</w:t>
                        </w:r>
                      </w:p>
                      <w:p w:rsidR="00AB302E" w:rsidRPr="006E03C2" w:rsidRDefault="00AB302E" w:rsidP="00AB302E">
                        <w:pPr>
                          <w:pStyle w:val="SemEspaamento"/>
                          <w:rPr>
                            <w:sz w:val="20"/>
                          </w:rPr>
                        </w:pPr>
                        <w:r w:rsidRPr="006E03C2">
                          <w:rPr>
                            <w:sz w:val="20"/>
                          </w:rPr>
                          <w:t>Valor operação</w:t>
                        </w:r>
                        <w:r w:rsidRPr="006E03C2">
                          <w:rPr>
                            <w:sz w:val="20"/>
                          </w:rPr>
                          <w:tab/>
                        </w:r>
                        <w:r w:rsidRPr="006E03C2">
                          <w:rPr>
                            <w:sz w:val="20"/>
                          </w:rPr>
                          <w:tab/>
                          <w:t>100,00</w:t>
                        </w:r>
                      </w:p>
                      <w:p w:rsidR="00AB302E" w:rsidRPr="006E03C2" w:rsidRDefault="00AB302E" w:rsidP="00AB302E">
                        <w:pPr>
                          <w:pStyle w:val="SemEspaamento"/>
                          <w:rPr>
                            <w:sz w:val="20"/>
                          </w:rPr>
                        </w:pPr>
                        <w:r w:rsidRPr="006E03C2">
                          <w:rPr>
                            <w:sz w:val="20"/>
                          </w:rPr>
                          <w:t>MVA integral</w:t>
                        </w:r>
                        <w:r w:rsidRPr="006E03C2">
                          <w:rPr>
                            <w:sz w:val="20"/>
                          </w:rPr>
                          <w:tab/>
                        </w:r>
                        <w:r w:rsidRPr="006E03C2">
                          <w:rPr>
                            <w:sz w:val="20"/>
                          </w:rPr>
                          <w:tab/>
                          <w:t xml:space="preserve"> 51%</w:t>
                        </w:r>
                      </w:p>
                      <w:p w:rsidR="00AB302E" w:rsidRPr="006E03C2" w:rsidRDefault="00AB302E" w:rsidP="00AB302E">
                        <w:pPr>
                          <w:pStyle w:val="SemEspaamento"/>
                          <w:rPr>
                            <w:sz w:val="20"/>
                          </w:rPr>
                        </w:pPr>
                        <w:r w:rsidRPr="006E03C2">
                          <w:rPr>
                            <w:sz w:val="20"/>
                          </w:rPr>
                          <w:t>Alíquota interna</w:t>
                        </w:r>
                        <w:r w:rsidRPr="006E03C2">
                          <w:rPr>
                            <w:sz w:val="20"/>
                          </w:rPr>
                          <w:tab/>
                        </w:r>
                        <w:r w:rsidRPr="006E03C2">
                          <w:rPr>
                            <w:sz w:val="20"/>
                          </w:rPr>
                          <w:tab/>
                          <w:t xml:space="preserve"> 25%</w:t>
                        </w:r>
                      </w:p>
                      <w:p w:rsidR="00AB302E" w:rsidRPr="006E03C2" w:rsidRDefault="00AB302E" w:rsidP="00AB302E">
                        <w:pPr>
                          <w:pStyle w:val="SemEspaamento"/>
                          <w:rPr>
                            <w:sz w:val="20"/>
                          </w:rPr>
                        </w:pPr>
                        <w:r w:rsidRPr="006E03C2">
                          <w:rPr>
                            <w:sz w:val="20"/>
                          </w:rPr>
                          <w:t>ICMS próprio</w:t>
                        </w:r>
                        <w:r w:rsidRPr="006E03C2">
                          <w:rPr>
                            <w:sz w:val="20"/>
                          </w:rPr>
                          <w:tab/>
                        </w:r>
                        <w:r w:rsidRPr="006E03C2">
                          <w:rPr>
                            <w:sz w:val="20"/>
                          </w:rPr>
                          <w:tab/>
                          <w:t>25,00</w:t>
                        </w:r>
                        <w:r w:rsidRPr="006E03C2">
                          <w:rPr>
                            <w:sz w:val="20"/>
                          </w:rPr>
                          <w:tab/>
                        </w:r>
                        <w:proofErr w:type="gramStart"/>
                        <w:r w:rsidRPr="006E03C2">
                          <w:rPr>
                            <w:sz w:val="20"/>
                          </w:rPr>
                          <w:t>(</w:t>
                        </w:r>
                        <w:proofErr w:type="gramEnd"/>
                        <w:r w:rsidRPr="006E03C2">
                          <w:rPr>
                            <w:sz w:val="20"/>
                          </w:rPr>
                          <w:t>100,00 x 25%)</w:t>
                        </w:r>
                      </w:p>
                      <w:p w:rsidR="00AB302E" w:rsidRPr="006E03C2" w:rsidRDefault="00AB302E" w:rsidP="00AB302E">
                        <w:pPr>
                          <w:pStyle w:val="SemEspaamento"/>
                          <w:rPr>
                            <w:sz w:val="20"/>
                          </w:rPr>
                        </w:pPr>
                        <w:r>
                          <w:rPr>
                            <w:sz w:val="20"/>
                          </w:rPr>
                          <w:t>Base de cálculo ST</w:t>
                        </w:r>
                        <w:r>
                          <w:rPr>
                            <w:sz w:val="20"/>
                          </w:rPr>
                          <w:tab/>
                        </w:r>
                        <w:r w:rsidRPr="006E03C2">
                          <w:rPr>
                            <w:sz w:val="20"/>
                          </w:rPr>
                          <w:t>151,00</w:t>
                        </w:r>
                        <w:r w:rsidRPr="006E03C2">
                          <w:rPr>
                            <w:sz w:val="20"/>
                          </w:rPr>
                          <w:tab/>
                        </w:r>
                        <w:proofErr w:type="gramStart"/>
                        <w:r w:rsidRPr="006E03C2">
                          <w:rPr>
                            <w:sz w:val="20"/>
                          </w:rPr>
                          <w:t>(</w:t>
                        </w:r>
                        <w:proofErr w:type="gramEnd"/>
                        <w:r w:rsidRPr="006E03C2">
                          <w:rPr>
                            <w:sz w:val="20"/>
                          </w:rPr>
                          <w:t>100,00 x 1,51)</w:t>
                        </w:r>
                      </w:p>
                      <w:p w:rsidR="00AB302E" w:rsidRPr="006E03C2" w:rsidRDefault="00AB302E" w:rsidP="00AB302E">
                        <w:pPr>
                          <w:pStyle w:val="SemEspaamento"/>
                          <w:rPr>
                            <w:sz w:val="20"/>
                          </w:rPr>
                        </w:pPr>
                        <w:r>
                          <w:rPr>
                            <w:sz w:val="20"/>
                          </w:rPr>
                          <w:t>ICMS-ST a recolher</w:t>
                        </w:r>
                        <w:r>
                          <w:rPr>
                            <w:sz w:val="20"/>
                          </w:rPr>
                          <w:tab/>
                        </w:r>
                        <w:r w:rsidRPr="006E03C2">
                          <w:rPr>
                            <w:b/>
                            <w:sz w:val="20"/>
                          </w:rPr>
                          <w:t>12,75</w:t>
                        </w:r>
                        <w:r w:rsidRPr="006E03C2">
                          <w:rPr>
                            <w:sz w:val="20"/>
                          </w:rPr>
                          <w:tab/>
                        </w:r>
                        <w:proofErr w:type="gramStart"/>
                        <w:r w:rsidRPr="006E03C2">
                          <w:rPr>
                            <w:sz w:val="20"/>
                          </w:rPr>
                          <w:t>(</w:t>
                        </w:r>
                        <w:proofErr w:type="gramEnd"/>
                        <w:r w:rsidRPr="006E03C2">
                          <w:rPr>
                            <w:sz w:val="20"/>
                          </w:rPr>
                          <w:t>151,00 x 25%) – 25,00</w:t>
                        </w:r>
                      </w:p>
                    </w:txbxContent>
                  </v:textbox>
                </v:rect>
              </w:pict>
            </w:r>
          </w:p>
        </w:tc>
        <w:tc>
          <w:tcPr>
            <w:tcW w:w="2377" w:type="pct"/>
            <w:shd w:val="clear" w:color="auto" w:fill="FFFFFF"/>
            <w:noWrap/>
            <w:vAlign w:val="center"/>
          </w:tcPr>
          <w:p w:rsidR="00AB302E" w:rsidRDefault="007D1361" w:rsidP="00AB302E">
            <w:pPr>
              <w:jc w:val="center"/>
              <w:rPr>
                <w:rFonts w:eastAsia="Calibri"/>
                <w:color w:val="000000"/>
                <w:sz w:val="16"/>
                <w:szCs w:val="16"/>
              </w:rPr>
            </w:pPr>
            <w:r w:rsidRPr="00CF633A">
              <w:rPr>
                <w:rFonts w:eastAsia="Calibri"/>
                <w:szCs w:val="24"/>
              </w:rPr>
              <w:pict>
                <v:rect id="_x0000_s1031" style="position:absolute;left:0;text-align:left;margin-left:119.5pt;margin-top:1.2pt;width:159.45pt;height:82.9pt;z-index:6;mso-position-horizontal-relative:text;mso-position-vertical-relative:text">
                  <v:textbox style="mso-next-textbox:#_x0000_s1031">
                    <w:txbxContent>
                      <w:p w:rsidR="00AB302E" w:rsidRPr="006E03C2" w:rsidRDefault="00AB302E" w:rsidP="00AB302E">
                        <w:pPr>
                          <w:pStyle w:val="SemEspaamento"/>
                          <w:rPr>
                            <w:sz w:val="20"/>
                          </w:rPr>
                        </w:pPr>
                        <w:r w:rsidRPr="006E03C2">
                          <w:rPr>
                            <w:sz w:val="20"/>
                          </w:rPr>
                          <w:t>Custo</w:t>
                        </w:r>
                        <w:r w:rsidRPr="006E03C2">
                          <w:rPr>
                            <w:sz w:val="20"/>
                          </w:rPr>
                          <w:tab/>
                          <w:t xml:space="preserve">        Valor da Venda </w:t>
                        </w:r>
                        <w:proofErr w:type="gramStart"/>
                        <w:r w:rsidRPr="006E03C2">
                          <w:rPr>
                            <w:sz w:val="20"/>
                          </w:rPr>
                          <w:t>2</w:t>
                        </w:r>
                        <w:proofErr w:type="gramEnd"/>
                      </w:p>
                      <w:p w:rsidR="00AB302E" w:rsidRPr="00E360BF" w:rsidRDefault="00AB302E" w:rsidP="00AB302E">
                        <w:pPr>
                          <w:pStyle w:val="SemEspaamento"/>
                          <w:rPr>
                            <w:sz w:val="20"/>
                          </w:rPr>
                        </w:pPr>
                        <w:r w:rsidRPr="006E03C2">
                          <w:rPr>
                            <w:b/>
                            <w:sz w:val="20"/>
                          </w:rPr>
                          <w:t>112,75</w:t>
                        </w:r>
                        <w:r w:rsidRPr="006E03C2">
                          <w:rPr>
                            <w:sz w:val="20"/>
                          </w:rPr>
                          <w:tab/>
                          <w:t xml:space="preserve">        </w:t>
                        </w:r>
                        <w:r w:rsidRPr="006E03C2">
                          <w:rPr>
                            <w:b/>
                            <w:sz w:val="20"/>
                          </w:rPr>
                          <w:t>151,00</w:t>
                        </w:r>
                        <w:r w:rsidR="00550BF4">
                          <w:rPr>
                            <w:sz w:val="20"/>
                          </w:rPr>
                          <w:t xml:space="preserve"> (100 x 51%)</w:t>
                        </w:r>
                      </w:p>
                      <w:p w:rsidR="00550BF4" w:rsidRPr="007D1361" w:rsidRDefault="007D1361" w:rsidP="00AB302E">
                        <w:pPr>
                          <w:pStyle w:val="SemEspaamento"/>
                          <w:rPr>
                            <w:b/>
                            <w:sz w:val="20"/>
                            <w:u w:val="single"/>
                          </w:rPr>
                        </w:pPr>
                        <w:r>
                          <w:rPr>
                            <w:b/>
                            <w:sz w:val="20"/>
                            <w:u w:val="single"/>
                          </w:rPr>
                          <w:t>Cálculo de ICMS</w:t>
                        </w:r>
                      </w:p>
                      <w:p w:rsidR="00AB302E" w:rsidRPr="006E03C2" w:rsidRDefault="00AB302E" w:rsidP="00AB302E">
                        <w:pPr>
                          <w:pStyle w:val="SemEspaamento"/>
                          <w:rPr>
                            <w:sz w:val="20"/>
                          </w:rPr>
                        </w:pPr>
                        <w:r w:rsidRPr="006E03C2">
                          <w:rPr>
                            <w:sz w:val="20"/>
                          </w:rPr>
                          <w:t>Crédito</w:t>
                        </w:r>
                        <w:r w:rsidRPr="006E03C2">
                          <w:rPr>
                            <w:sz w:val="20"/>
                          </w:rPr>
                          <w:tab/>
                        </w:r>
                        <w:proofErr w:type="gramStart"/>
                        <w:r w:rsidRPr="006E03C2">
                          <w:rPr>
                            <w:sz w:val="20"/>
                          </w:rPr>
                          <w:t xml:space="preserve">   </w:t>
                        </w:r>
                        <w:proofErr w:type="gramEnd"/>
                        <w:r>
                          <w:rPr>
                            <w:sz w:val="20"/>
                          </w:rPr>
                          <w:tab/>
                        </w:r>
                        <w:r w:rsidRPr="006E03C2">
                          <w:rPr>
                            <w:sz w:val="20"/>
                          </w:rPr>
                          <w:t xml:space="preserve">  Débito</w:t>
                        </w:r>
                      </w:p>
                      <w:p w:rsidR="00550BF4" w:rsidRPr="007D1361" w:rsidRDefault="00AB302E" w:rsidP="00AB302E">
                        <w:pPr>
                          <w:pStyle w:val="SemEspaamento"/>
                          <w:rPr>
                            <w:b/>
                            <w:sz w:val="20"/>
                          </w:rPr>
                        </w:pPr>
                        <w:r w:rsidRPr="006E03C2">
                          <w:rPr>
                            <w:b/>
                            <w:sz w:val="20"/>
                          </w:rPr>
                          <w:t>0,00</w:t>
                        </w:r>
                        <w:r w:rsidRPr="006E03C2">
                          <w:rPr>
                            <w:sz w:val="20"/>
                          </w:rPr>
                          <w:tab/>
                        </w:r>
                        <w:proofErr w:type="gramStart"/>
                        <w:r w:rsidRPr="006E03C2">
                          <w:rPr>
                            <w:sz w:val="20"/>
                          </w:rPr>
                          <w:t xml:space="preserve">    </w:t>
                        </w:r>
                        <w:proofErr w:type="gramEnd"/>
                        <w:r>
                          <w:rPr>
                            <w:sz w:val="20"/>
                          </w:rPr>
                          <w:tab/>
                        </w:r>
                        <w:r w:rsidRPr="006E03C2">
                          <w:rPr>
                            <w:sz w:val="20"/>
                          </w:rPr>
                          <w:t xml:space="preserve"> </w:t>
                        </w:r>
                        <w:r w:rsidRPr="006E03C2">
                          <w:rPr>
                            <w:b/>
                            <w:sz w:val="20"/>
                          </w:rPr>
                          <w:t>0,00</w:t>
                        </w:r>
                      </w:p>
                      <w:p w:rsidR="00AB302E" w:rsidRPr="006E03C2" w:rsidRDefault="00AB302E" w:rsidP="00AB302E">
                        <w:pPr>
                          <w:pStyle w:val="SemEspaamento"/>
                          <w:rPr>
                            <w:sz w:val="20"/>
                          </w:rPr>
                        </w:pPr>
                        <w:r w:rsidRPr="006E03C2">
                          <w:rPr>
                            <w:sz w:val="20"/>
                          </w:rPr>
                          <w:t>Obs: Já recolhido por ICMS/ST</w:t>
                        </w:r>
                      </w:p>
                    </w:txbxContent>
                  </v:textbox>
                </v:rect>
              </w:pict>
            </w:r>
          </w:p>
        </w:tc>
        <w:tc>
          <w:tcPr>
            <w:tcW w:w="790" w:type="pct"/>
            <w:tcBorders>
              <w:top w:val="nil"/>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16"/>
                <w:szCs w:val="16"/>
              </w:rPr>
            </w:pPr>
          </w:p>
        </w:tc>
      </w:tr>
      <w:tr w:rsidR="00AB302E" w:rsidRPr="00102273" w:rsidTr="008F0FC5">
        <w:trPr>
          <w:trHeight w:val="80"/>
          <w:jc w:val="center"/>
        </w:trPr>
        <w:tc>
          <w:tcPr>
            <w:tcW w:w="8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shd w:val="clear" w:color="auto" w:fill="FFFFFF"/>
            <w:noWrap/>
            <w:vAlign w:val="center"/>
            <w:hideMark/>
          </w:tcPr>
          <w:p w:rsidR="00AB302E" w:rsidRDefault="00AB302E" w:rsidP="00AB302E">
            <w:pPr>
              <w:jc w:val="center"/>
              <w:rPr>
                <w:rFonts w:eastAsia="Calibri"/>
                <w:color w:val="000000"/>
                <w:sz w:val="16"/>
                <w:szCs w:val="16"/>
              </w:rPr>
            </w:pPr>
          </w:p>
        </w:tc>
        <w:tc>
          <w:tcPr>
            <w:tcW w:w="1665" w:type="pct"/>
            <w:shd w:val="clear" w:color="auto" w:fill="FFFFFF"/>
            <w:noWrap/>
            <w:vAlign w:val="center"/>
          </w:tcPr>
          <w:p w:rsidR="00AB302E" w:rsidRDefault="00AB302E" w:rsidP="00AB302E">
            <w:pPr>
              <w:jc w:val="center"/>
              <w:rPr>
                <w:rFonts w:eastAsia="Calibri"/>
                <w:color w:val="000000"/>
                <w:sz w:val="16"/>
                <w:szCs w:val="16"/>
              </w:rPr>
            </w:pPr>
          </w:p>
        </w:tc>
        <w:tc>
          <w:tcPr>
            <w:tcW w:w="2377" w:type="pct"/>
            <w:shd w:val="clear" w:color="auto" w:fill="FFFFFF"/>
            <w:noWrap/>
            <w:vAlign w:val="center"/>
          </w:tcPr>
          <w:p w:rsidR="00AB302E" w:rsidRDefault="00AB302E" w:rsidP="00AB302E">
            <w:pPr>
              <w:jc w:val="center"/>
              <w:rPr>
                <w:rFonts w:eastAsia="Calibri"/>
                <w:color w:val="000000"/>
                <w:sz w:val="16"/>
                <w:szCs w:val="16"/>
              </w:rPr>
            </w:pPr>
          </w:p>
        </w:tc>
        <w:tc>
          <w:tcPr>
            <w:tcW w:w="790" w:type="pct"/>
            <w:tcBorders>
              <w:top w:val="nil"/>
              <w:left w:val="nil"/>
              <w:bottom w:val="nil"/>
              <w:right w:val="thinThickThinSmallGap" w:sz="24" w:space="0" w:color="auto"/>
            </w:tcBorders>
            <w:shd w:val="clear" w:color="auto" w:fill="FFFFFF"/>
            <w:noWrap/>
            <w:vAlign w:val="center"/>
            <w:hideMark/>
          </w:tcPr>
          <w:p w:rsidR="00AB302E" w:rsidRDefault="00AB302E" w:rsidP="00AB302E">
            <w:pPr>
              <w:tabs>
                <w:tab w:val="left" w:pos="3747"/>
              </w:tabs>
              <w:jc w:val="center"/>
              <w:rPr>
                <w:rFonts w:eastAsia="Calibri" w:cs="Arial"/>
                <w:color w:val="000000"/>
                <w:sz w:val="16"/>
                <w:szCs w:val="16"/>
              </w:rPr>
            </w:pPr>
            <w:r w:rsidRPr="00102273">
              <w:rPr>
                <w:rFonts w:eastAsia="Calibri" w:cs="Arial"/>
                <w:color w:val="000000"/>
                <w:sz w:val="16"/>
                <w:szCs w:val="16"/>
              </w:rPr>
              <w:t xml:space="preserve">                                               </w:t>
            </w:r>
          </w:p>
        </w:tc>
      </w:tr>
      <w:tr w:rsidR="00AB302E" w:rsidRPr="00102273" w:rsidTr="008F0FC5">
        <w:trPr>
          <w:trHeight w:val="70"/>
          <w:jc w:val="center"/>
        </w:trPr>
        <w:tc>
          <w:tcPr>
            <w:tcW w:w="8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shd w:val="clear" w:color="auto" w:fill="FFFFFF"/>
            <w:noWrap/>
            <w:vAlign w:val="center"/>
          </w:tcPr>
          <w:p w:rsidR="00AB302E" w:rsidRDefault="00AB302E" w:rsidP="00AB302E">
            <w:pPr>
              <w:jc w:val="center"/>
              <w:rPr>
                <w:rFonts w:eastAsia="Calibri"/>
                <w:color w:val="000000"/>
                <w:sz w:val="16"/>
                <w:szCs w:val="16"/>
              </w:rPr>
            </w:pPr>
          </w:p>
        </w:tc>
        <w:tc>
          <w:tcPr>
            <w:tcW w:w="1665" w:type="pct"/>
            <w:shd w:val="clear" w:color="auto" w:fill="FFFFFF"/>
            <w:noWrap/>
            <w:vAlign w:val="center"/>
          </w:tcPr>
          <w:p w:rsidR="00AB302E" w:rsidRDefault="00AB302E" w:rsidP="00AB302E">
            <w:pPr>
              <w:jc w:val="center"/>
              <w:rPr>
                <w:rFonts w:eastAsia="Calibri"/>
                <w:color w:val="000000"/>
                <w:sz w:val="16"/>
                <w:szCs w:val="16"/>
              </w:rPr>
            </w:pPr>
          </w:p>
        </w:tc>
        <w:tc>
          <w:tcPr>
            <w:tcW w:w="2377" w:type="pct"/>
            <w:shd w:val="clear" w:color="auto" w:fill="FFFFFF"/>
            <w:noWrap/>
            <w:vAlign w:val="center"/>
          </w:tcPr>
          <w:p w:rsidR="00AB302E" w:rsidRDefault="00AB302E" w:rsidP="00AB302E">
            <w:pPr>
              <w:jc w:val="center"/>
              <w:rPr>
                <w:rFonts w:eastAsia="Calibri"/>
                <w:color w:val="000000"/>
                <w:sz w:val="16"/>
                <w:szCs w:val="16"/>
              </w:rPr>
            </w:pPr>
          </w:p>
        </w:tc>
        <w:tc>
          <w:tcPr>
            <w:tcW w:w="790" w:type="pct"/>
            <w:tcBorders>
              <w:top w:val="nil"/>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16"/>
                <w:szCs w:val="16"/>
              </w:rPr>
            </w:pPr>
          </w:p>
        </w:tc>
      </w:tr>
      <w:tr w:rsidR="00AB302E" w:rsidRPr="00102273" w:rsidTr="008F0FC5">
        <w:trPr>
          <w:trHeight w:val="80"/>
          <w:jc w:val="center"/>
        </w:trPr>
        <w:tc>
          <w:tcPr>
            <w:tcW w:w="8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shd w:val="clear" w:color="auto" w:fill="FFFFFF"/>
            <w:noWrap/>
            <w:vAlign w:val="center"/>
          </w:tcPr>
          <w:p w:rsidR="00AB302E" w:rsidRDefault="00AB302E" w:rsidP="00AB302E">
            <w:pPr>
              <w:jc w:val="center"/>
              <w:rPr>
                <w:rFonts w:eastAsia="Calibri"/>
                <w:color w:val="000000"/>
                <w:sz w:val="16"/>
                <w:szCs w:val="16"/>
              </w:rPr>
            </w:pPr>
          </w:p>
        </w:tc>
        <w:tc>
          <w:tcPr>
            <w:tcW w:w="1665" w:type="pct"/>
            <w:shd w:val="clear" w:color="auto" w:fill="FFFFFF"/>
            <w:noWrap/>
            <w:vAlign w:val="center"/>
          </w:tcPr>
          <w:p w:rsidR="00AB302E" w:rsidRDefault="00AB302E" w:rsidP="00AB302E">
            <w:pPr>
              <w:jc w:val="center"/>
              <w:rPr>
                <w:rFonts w:eastAsia="Calibri"/>
                <w:color w:val="000000"/>
                <w:sz w:val="16"/>
                <w:szCs w:val="16"/>
              </w:rPr>
            </w:pPr>
          </w:p>
        </w:tc>
        <w:tc>
          <w:tcPr>
            <w:tcW w:w="2377" w:type="pct"/>
            <w:shd w:val="clear" w:color="auto" w:fill="FFFFFF"/>
            <w:noWrap/>
            <w:vAlign w:val="center"/>
          </w:tcPr>
          <w:p w:rsidR="00AB302E" w:rsidRDefault="00AB302E" w:rsidP="00AB302E">
            <w:pPr>
              <w:jc w:val="center"/>
              <w:rPr>
                <w:rFonts w:eastAsia="Calibri"/>
                <w:color w:val="000000"/>
                <w:sz w:val="16"/>
                <w:szCs w:val="16"/>
              </w:rPr>
            </w:pPr>
          </w:p>
        </w:tc>
        <w:tc>
          <w:tcPr>
            <w:tcW w:w="790" w:type="pct"/>
            <w:tcBorders>
              <w:top w:val="nil"/>
              <w:left w:val="nil"/>
              <w:bottom w:val="nil"/>
              <w:right w:val="thinThickThinSmallGap" w:sz="24" w:space="0" w:color="auto"/>
            </w:tcBorders>
            <w:shd w:val="clear" w:color="auto" w:fill="FFFFFF"/>
            <w:noWrap/>
            <w:vAlign w:val="center"/>
            <w:hideMark/>
          </w:tcPr>
          <w:p w:rsidR="00AB302E" w:rsidRDefault="00AB302E" w:rsidP="00AB302E">
            <w:pPr>
              <w:rPr>
                <w:rFonts w:eastAsia="Calibri" w:cs="Arial"/>
                <w:b/>
                <w:color w:val="000000"/>
                <w:sz w:val="16"/>
                <w:szCs w:val="16"/>
              </w:rPr>
            </w:pPr>
            <w:r>
              <w:rPr>
                <w:rFonts w:eastAsia="Calibri" w:cs="Arial"/>
                <w:b/>
                <w:color w:val="000000"/>
                <w:sz w:val="16"/>
                <w:szCs w:val="16"/>
              </w:rPr>
              <w:t xml:space="preserve">      </w:t>
            </w:r>
          </w:p>
        </w:tc>
      </w:tr>
      <w:tr w:rsidR="00AB302E" w:rsidRPr="00102273" w:rsidTr="008F0FC5">
        <w:trPr>
          <w:trHeight w:val="80"/>
          <w:jc w:val="center"/>
        </w:trPr>
        <w:tc>
          <w:tcPr>
            <w:tcW w:w="8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shd w:val="clear" w:color="auto" w:fill="FFFFFF"/>
            <w:noWrap/>
            <w:vAlign w:val="center"/>
          </w:tcPr>
          <w:p w:rsidR="00AB302E" w:rsidRDefault="00AB302E" w:rsidP="00AB302E">
            <w:pPr>
              <w:jc w:val="center"/>
              <w:rPr>
                <w:rFonts w:eastAsia="Calibri"/>
                <w:color w:val="000000"/>
                <w:sz w:val="16"/>
                <w:szCs w:val="16"/>
              </w:rPr>
            </w:pPr>
          </w:p>
        </w:tc>
        <w:tc>
          <w:tcPr>
            <w:tcW w:w="1665" w:type="pct"/>
            <w:shd w:val="clear" w:color="auto" w:fill="FFFFFF"/>
            <w:noWrap/>
            <w:vAlign w:val="center"/>
          </w:tcPr>
          <w:p w:rsidR="00AB302E" w:rsidRDefault="00AB302E" w:rsidP="00AB302E">
            <w:pPr>
              <w:jc w:val="center"/>
              <w:rPr>
                <w:rFonts w:eastAsia="Calibri"/>
                <w:color w:val="000000"/>
                <w:sz w:val="16"/>
                <w:szCs w:val="16"/>
              </w:rPr>
            </w:pPr>
          </w:p>
        </w:tc>
        <w:tc>
          <w:tcPr>
            <w:tcW w:w="2377" w:type="pct"/>
            <w:shd w:val="clear" w:color="auto" w:fill="FFFFFF"/>
            <w:noWrap/>
            <w:vAlign w:val="center"/>
          </w:tcPr>
          <w:p w:rsidR="00AB302E" w:rsidRDefault="00AB302E" w:rsidP="00AB302E">
            <w:pPr>
              <w:jc w:val="center"/>
              <w:rPr>
                <w:rFonts w:eastAsia="Calibri"/>
                <w:color w:val="000000"/>
                <w:sz w:val="16"/>
                <w:szCs w:val="16"/>
              </w:rPr>
            </w:pPr>
          </w:p>
        </w:tc>
        <w:tc>
          <w:tcPr>
            <w:tcW w:w="790" w:type="pct"/>
            <w:tcBorders>
              <w:top w:val="nil"/>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16"/>
                <w:szCs w:val="16"/>
              </w:rPr>
            </w:pPr>
          </w:p>
        </w:tc>
      </w:tr>
      <w:tr w:rsidR="00AB302E" w:rsidRPr="00102273" w:rsidTr="008F0FC5">
        <w:trPr>
          <w:trHeight w:val="1230"/>
          <w:jc w:val="center"/>
        </w:trPr>
        <w:tc>
          <w:tcPr>
            <w:tcW w:w="84" w:type="pct"/>
            <w:tcBorders>
              <w:top w:val="nil"/>
              <w:left w:val="thinThickThinSmallGap" w:sz="24" w:space="0" w:color="auto"/>
              <w:bottom w:val="thinThickThinSmallGap" w:sz="24" w:space="0" w:color="auto"/>
              <w:right w:val="nil"/>
            </w:tcBorders>
            <w:shd w:val="clear" w:color="auto" w:fill="FFFFFF"/>
            <w:noWrap/>
            <w:vAlign w:val="center"/>
          </w:tcPr>
          <w:p w:rsidR="00AB302E" w:rsidRDefault="00AB302E" w:rsidP="00AB302E">
            <w:pPr>
              <w:jc w:val="center"/>
              <w:rPr>
                <w:rFonts w:eastAsia="Calibri" w:cs="Arial"/>
                <w:color w:val="000000"/>
                <w:sz w:val="4"/>
                <w:szCs w:val="4"/>
              </w:rPr>
            </w:pPr>
          </w:p>
        </w:tc>
        <w:tc>
          <w:tcPr>
            <w:tcW w:w="84" w:type="pct"/>
            <w:tcBorders>
              <w:top w:val="nil"/>
              <w:left w:val="nil"/>
              <w:bottom w:val="thinThickThinSmallGap" w:sz="24" w:space="0" w:color="auto"/>
              <w:right w:val="nil"/>
            </w:tcBorders>
            <w:shd w:val="clear" w:color="auto" w:fill="FFFFFF"/>
            <w:noWrap/>
            <w:vAlign w:val="center"/>
          </w:tcPr>
          <w:p w:rsidR="00AB302E" w:rsidRDefault="00AB302E" w:rsidP="00AB302E">
            <w:pPr>
              <w:jc w:val="center"/>
              <w:rPr>
                <w:rFonts w:eastAsia="Calibri"/>
                <w:color w:val="000000"/>
                <w:sz w:val="4"/>
                <w:szCs w:val="4"/>
              </w:rPr>
            </w:pPr>
          </w:p>
        </w:tc>
        <w:tc>
          <w:tcPr>
            <w:tcW w:w="1665" w:type="pct"/>
            <w:tcBorders>
              <w:top w:val="nil"/>
              <w:left w:val="nil"/>
              <w:bottom w:val="thinThickThinSmallGap" w:sz="24" w:space="0" w:color="auto"/>
              <w:right w:val="nil"/>
            </w:tcBorders>
            <w:shd w:val="clear" w:color="auto" w:fill="FFFFFF"/>
            <w:noWrap/>
            <w:vAlign w:val="center"/>
          </w:tcPr>
          <w:p w:rsidR="00AB302E" w:rsidRDefault="00AB302E" w:rsidP="00AB302E">
            <w:pPr>
              <w:rPr>
                <w:rFonts w:eastAsia="Calibri"/>
                <w:color w:val="000000"/>
                <w:sz w:val="4"/>
                <w:szCs w:val="4"/>
              </w:rPr>
            </w:pPr>
          </w:p>
        </w:tc>
        <w:tc>
          <w:tcPr>
            <w:tcW w:w="2377" w:type="pct"/>
            <w:tcBorders>
              <w:top w:val="nil"/>
              <w:left w:val="nil"/>
              <w:bottom w:val="thinThickThinSmallGap" w:sz="24" w:space="0" w:color="auto"/>
              <w:right w:val="nil"/>
            </w:tcBorders>
            <w:shd w:val="clear" w:color="auto" w:fill="FFFFFF"/>
            <w:noWrap/>
            <w:vAlign w:val="center"/>
          </w:tcPr>
          <w:p w:rsidR="00AB302E" w:rsidRDefault="00E360BF" w:rsidP="00AB302E">
            <w:pPr>
              <w:jc w:val="center"/>
              <w:rPr>
                <w:rFonts w:eastAsia="Calibri"/>
                <w:color w:val="000000"/>
                <w:sz w:val="4"/>
                <w:szCs w:val="4"/>
              </w:rPr>
            </w:pPr>
            <w:r>
              <w:rPr>
                <w:rFonts w:eastAsia="Calibri"/>
                <w:noProof/>
                <w:color w:val="000000"/>
                <w:sz w:val="4"/>
                <w:szCs w:val="4"/>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32" type="#_x0000_t90" style="position:absolute;left:0;text-align:left;margin-left:139.7pt;margin-top:27.05pt;width:80pt;height:35.8pt;z-index:7;mso-position-horizontal-relative:text;mso-position-vertical-relative:text">
                  <v:textbox style="mso-next-textbox:#_x0000_s1032">
                    <w:txbxContent>
                      <w:p w:rsidR="00AB302E" w:rsidRPr="006E03C2" w:rsidRDefault="00AB302E" w:rsidP="00AB302E">
                        <w:pPr>
                          <w:pStyle w:val="SemEspaamento"/>
                          <w:rPr>
                            <w:b/>
                            <w:sz w:val="20"/>
                          </w:rPr>
                        </w:pPr>
                        <w:r w:rsidRPr="006E03C2">
                          <w:rPr>
                            <w:b/>
                            <w:sz w:val="20"/>
                          </w:rPr>
                          <w:t xml:space="preserve">          Venda </w:t>
                        </w:r>
                        <w:proofErr w:type="gramStart"/>
                        <w:r w:rsidRPr="006E03C2">
                          <w:rPr>
                            <w:b/>
                            <w:sz w:val="20"/>
                          </w:rPr>
                          <w:t>1</w:t>
                        </w:r>
                        <w:proofErr w:type="gramEnd"/>
                        <w:r w:rsidRPr="006E03C2">
                          <w:rPr>
                            <w:b/>
                            <w:sz w:val="20"/>
                          </w:rPr>
                          <w:t xml:space="preserve"> </w:t>
                        </w:r>
                      </w:p>
                    </w:txbxContent>
                  </v:textbox>
                </v:shape>
              </w:pict>
            </w:r>
          </w:p>
        </w:tc>
        <w:tc>
          <w:tcPr>
            <w:tcW w:w="790" w:type="pct"/>
            <w:tcBorders>
              <w:top w:val="nil"/>
              <w:left w:val="nil"/>
              <w:bottom w:val="thinThickThinSmallGap" w:sz="24" w:space="0" w:color="auto"/>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4"/>
                <w:szCs w:val="4"/>
              </w:rPr>
            </w:pPr>
          </w:p>
        </w:tc>
      </w:tr>
    </w:tbl>
    <w:p w:rsidR="00AB302E" w:rsidRDefault="00AB302E" w:rsidP="00AB302E">
      <w:pPr>
        <w:pStyle w:val="SemEspaamento"/>
        <w:spacing w:line="360" w:lineRule="auto"/>
        <w:rPr>
          <w:sz w:val="20"/>
        </w:rPr>
      </w:pPr>
      <w:r w:rsidRPr="00B67C73">
        <w:rPr>
          <w:sz w:val="20"/>
        </w:rPr>
        <w:lastRenderedPageBreak/>
        <w:t>Fonte: Elaborado pelo autor, 2016.</w:t>
      </w:r>
    </w:p>
    <w:p w:rsidR="00AB302E" w:rsidRPr="00E858DF" w:rsidRDefault="00AB302E" w:rsidP="00E858DF">
      <w:pPr>
        <w:pStyle w:val="SemEspaamento"/>
        <w:rPr>
          <w:rStyle w:val="eop"/>
          <w:szCs w:val="24"/>
        </w:rPr>
      </w:pPr>
      <w:r>
        <w:tab/>
      </w:r>
      <w:r w:rsidRPr="00E858DF">
        <w:rPr>
          <w:rStyle w:val="normaltextrun"/>
          <w:szCs w:val="24"/>
        </w:rPr>
        <w:t xml:space="preserve">Observa-se no Quadro </w:t>
      </w:r>
      <w:proofErr w:type="gramStart"/>
      <w:r w:rsidRPr="00E858DF">
        <w:rPr>
          <w:rStyle w:val="normaltextrun"/>
          <w:szCs w:val="24"/>
        </w:rPr>
        <w:t>7</w:t>
      </w:r>
      <w:proofErr w:type="gramEnd"/>
      <w:r w:rsidRPr="00E858DF">
        <w:rPr>
          <w:rStyle w:val="normaltextrun"/>
          <w:szCs w:val="24"/>
        </w:rPr>
        <w:t>, um valor menor de ICMS a pagar, pelo fato da MVA ser ajustada com uma redução de 70% sobre a MVA original, assim a margem no cálculo do imposto será de 15,30%. Após a instituição do Decreto estadual 3467/10 em Santa Catarina, essa operação é a que efetivamente acontece, numa venda do produto perfume (NCM: 3303.00.10) para uma empresa catarinense optante pelo regime simplificado.</w:t>
      </w:r>
      <w:r w:rsidRPr="00E858DF">
        <w:rPr>
          <w:rStyle w:val="eop"/>
          <w:szCs w:val="24"/>
        </w:rPr>
        <w:t> </w:t>
      </w:r>
    </w:p>
    <w:p w:rsidR="00AB302E" w:rsidRPr="006467C5" w:rsidRDefault="00AB302E" w:rsidP="006467C5">
      <w:pPr>
        <w:pStyle w:val="SemEspaamento"/>
        <w:jc w:val="center"/>
        <w:rPr>
          <w:sz w:val="20"/>
        </w:rPr>
      </w:pPr>
      <w:r w:rsidRPr="006467C5">
        <w:rPr>
          <w:sz w:val="20"/>
        </w:rPr>
        <w:t>Quadro 7 – Venda do produto perfume tributado ICMS/ST para empresa optante pelo simples nacional. Operação interna em Santa Catarina.</w:t>
      </w:r>
    </w:p>
    <w:tbl>
      <w:tblPr>
        <w:tblW w:w="5000" w:type="pct"/>
        <w:tblCellMar>
          <w:left w:w="70" w:type="dxa"/>
          <w:right w:w="70" w:type="dxa"/>
        </w:tblCellMar>
        <w:tblLook w:val="00A0"/>
      </w:tblPr>
      <w:tblGrid>
        <w:gridCol w:w="161"/>
        <w:gridCol w:w="160"/>
        <w:gridCol w:w="3178"/>
        <w:gridCol w:w="4538"/>
        <w:gridCol w:w="1508"/>
      </w:tblGrid>
      <w:tr w:rsidR="00AB302E" w:rsidRPr="00102273" w:rsidTr="008F0FC5">
        <w:trPr>
          <w:trHeight w:val="59"/>
        </w:trPr>
        <w:tc>
          <w:tcPr>
            <w:tcW w:w="84" w:type="pct"/>
            <w:tcBorders>
              <w:top w:val="thinThickThinSmallGap" w:sz="24" w:space="0" w:color="auto"/>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tcBorders>
              <w:top w:val="thinThickThinSmallGap" w:sz="24" w:space="0" w:color="auto"/>
              <w:left w:val="nil"/>
              <w:bottom w:val="nil"/>
              <w:right w:val="nil"/>
            </w:tcBorders>
            <w:shd w:val="clear" w:color="auto" w:fill="FFFFFF"/>
            <w:noWrap/>
            <w:vAlign w:val="center"/>
          </w:tcPr>
          <w:p w:rsidR="00AB302E" w:rsidRDefault="00AB302E" w:rsidP="00AB302E">
            <w:pPr>
              <w:rPr>
                <w:rFonts w:eastAsia="Calibri" w:cs="Arial"/>
                <w:color w:val="000000"/>
                <w:sz w:val="2"/>
                <w:szCs w:val="2"/>
              </w:rPr>
            </w:pPr>
          </w:p>
        </w:tc>
        <w:tc>
          <w:tcPr>
            <w:tcW w:w="1665" w:type="pct"/>
            <w:tcBorders>
              <w:top w:val="thinThickThinSmallGap" w:sz="24" w:space="0" w:color="auto"/>
              <w:left w:val="nil"/>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2377" w:type="pct"/>
            <w:tcBorders>
              <w:top w:val="thinThickThinSmallGap" w:sz="24" w:space="0" w:color="auto"/>
              <w:left w:val="nil"/>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790" w:type="pct"/>
            <w:tcBorders>
              <w:top w:val="thinThickThinSmallGap" w:sz="24" w:space="0" w:color="auto"/>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16"/>
                <w:szCs w:val="16"/>
              </w:rPr>
            </w:pPr>
          </w:p>
        </w:tc>
      </w:tr>
      <w:tr w:rsidR="00AB302E" w:rsidRPr="00102273" w:rsidTr="008F0FC5">
        <w:trPr>
          <w:trHeight w:val="70"/>
        </w:trPr>
        <w:tc>
          <w:tcPr>
            <w:tcW w:w="8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shd w:val="clear" w:color="auto" w:fill="FFFFFF"/>
            <w:noWrap/>
            <w:vAlign w:val="center"/>
            <w:hideMark/>
          </w:tcPr>
          <w:p w:rsidR="00AB302E" w:rsidRDefault="00AB302E" w:rsidP="00AB302E">
            <w:pPr>
              <w:rPr>
                <w:rFonts w:eastAsia="Calibri"/>
                <w:b/>
                <w:color w:val="000000"/>
                <w:sz w:val="16"/>
                <w:szCs w:val="16"/>
              </w:rPr>
            </w:pPr>
          </w:p>
        </w:tc>
        <w:tc>
          <w:tcPr>
            <w:tcW w:w="1665" w:type="pct"/>
            <w:shd w:val="clear" w:color="auto" w:fill="FFFFFF"/>
            <w:noWrap/>
            <w:vAlign w:val="center"/>
          </w:tcPr>
          <w:p w:rsidR="00AB302E" w:rsidRDefault="00AB302E" w:rsidP="00854EA6">
            <w:pPr>
              <w:ind w:firstLine="35"/>
              <w:jc w:val="center"/>
              <w:rPr>
                <w:rFonts w:eastAsia="Calibri"/>
                <w:b/>
                <w:color w:val="000000"/>
                <w:sz w:val="20"/>
              </w:rPr>
            </w:pPr>
            <w:r w:rsidRPr="003A0844">
              <w:rPr>
                <w:rFonts w:eastAsia="Calibri"/>
                <w:b/>
                <w:color w:val="000000"/>
                <w:sz w:val="16"/>
                <w:szCs w:val="16"/>
              </w:rPr>
              <w:t xml:space="preserve">               </w:t>
            </w:r>
            <w:r>
              <w:rPr>
                <w:rFonts w:eastAsia="Calibri"/>
                <w:b/>
                <w:color w:val="000000"/>
                <w:sz w:val="16"/>
                <w:szCs w:val="16"/>
              </w:rPr>
              <w:t xml:space="preserve">                            </w:t>
            </w:r>
            <w:r w:rsidRPr="003A0844">
              <w:rPr>
                <w:rFonts w:eastAsia="Calibri"/>
                <w:b/>
                <w:color w:val="000000"/>
                <w:sz w:val="16"/>
                <w:szCs w:val="16"/>
              </w:rPr>
              <w:t xml:space="preserve">  </w:t>
            </w:r>
            <w:r w:rsidRPr="006E03C2">
              <w:rPr>
                <w:rFonts w:eastAsia="Calibri"/>
                <w:b/>
                <w:color w:val="000000"/>
                <w:sz w:val="20"/>
              </w:rPr>
              <w:t>EMPRESA A</w:t>
            </w:r>
          </w:p>
        </w:tc>
        <w:tc>
          <w:tcPr>
            <w:tcW w:w="2377" w:type="pct"/>
            <w:shd w:val="clear" w:color="auto" w:fill="FFFFFF"/>
            <w:noWrap/>
            <w:vAlign w:val="center"/>
            <w:hideMark/>
          </w:tcPr>
          <w:p w:rsidR="00AB302E" w:rsidRDefault="00AB302E" w:rsidP="00854EA6">
            <w:pPr>
              <w:ind w:firstLine="0"/>
              <w:rPr>
                <w:rFonts w:eastAsia="Calibri"/>
                <w:b/>
                <w:color w:val="000000"/>
                <w:sz w:val="20"/>
              </w:rPr>
            </w:pPr>
            <w:r>
              <w:rPr>
                <w:rFonts w:eastAsia="Calibri"/>
                <w:b/>
                <w:color w:val="000000"/>
                <w:sz w:val="16"/>
                <w:szCs w:val="16"/>
              </w:rPr>
              <w:t xml:space="preserve">                                                                            </w:t>
            </w:r>
            <w:r w:rsidRPr="006E03C2">
              <w:rPr>
                <w:rFonts w:eastAsia="Calibri"/>
                <w:b/>
                <w:color w:val="000000"/>
                <w:sz w:val="20"/>
              </w:rPr>
              <w:t>EMPRESA B</w:t>
            </w:r>
          </w:p>
        </w:tc>
        <w:tc>
          <w:tcPr>
            <w:tcW w:w="790" w:type="pct"/>
            <w:tcBorders>
              <w:top w:val="nil"/>
              <w:left w:val="nil"/>
              <w:bottom w:val="nil"/>
              <w:right w:val="thinThickThinSmallGap" w:sz="24" w:space="0" w:color="auto"/>
            </w:tcBorders>
            <w:shd w:val="clear" w:color="auto" w:fill="FFFFFF"/>
            <w:noWrap/>
            <w:vAlign w:val="center"/>
            <w:hideMark/>
          </w:tcPr>
          <w:p w:rsidR="00AB302E" w:rsidRDefault="00AB302E" w:rsidP="00AB302E">
            <w:pPr>
              <w:rPr>
                <w:rFonts w:eastAsia="Calibri" w:cs="Arial"/>
                <w:b/>
                <w:color w:val="000000"/>
                <w:sz w:val="16"/>
                <w:szCs w:val="16"/>
              </w:rPr>
            </w:pPr>
          </w:p>
        </w:tc>
      </w:tr>
      <w:tr w:rsidR="00AB302E" w:rsidRPr="00102273" w:rsidTr="008F0FC5">
        <w:trPr>
          <w:trHeight w:val="80"/>
        </w:trPr>
        <w:tc>
          <w:tcPr>
            <w:tcW w:w="8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r w:rsidRPr="00CF633A">
              <w:rPr>
                <w:rFonts w:eastAsia="Calibri"/>
                <w:szCs w:val="24"/>
              </w:rPr>
              <w:pict>
                <v:rect id="_x0000_s1033" style="position:absolute;left:0;text-align:left;margin-left:6.1pt;margin-top:2.9pt;width:276.05pt;height:164.95pt;z-index:8;mso-position-horizontal-relative:text;mso-position-vertical-relative:text">
                  <v:textbox style="mso-next-textbox:#_x0000_s1033">
                    <w:txbxContent>
                      <w:p w:rsidR="00AB302E" w:rsidRPr="006E03C2" w:rsidRDefault="00854EA6" w:rsidP="00AB302E">
                        <w:pPr>
                          <w:pStyle w:val="SemEspaamento"/>
                          <w:rPr>
                            <w:sz w:val="20"/>
                          </w:rPr>
                        </w:pPr>
                        <w:r>
                          <w:rPr>
                            <w:sz w:val="20"/>
                          </w:rPr>
                          <w:t>Custo</w:t>
                        </w:r>
                        <w:r>
                          <w:rPr>
                            <w:sz w:val="20"/>
                          </w:rPr>
                          <w:tab/>
                          <w:t xml:space="preserve">        Valor produto</w:t>
                        </w:r>
                        <w:r>
                          <w:rPr>
                            <w:sz w:val="20"/>
                          </w:rPr>
                          <w:tab/>
                        </w:r>
                        <w:r w:rsidR="00AB302E" w:rsidRPr="006E03C2">
                          <w:rPr>
                            <w:sz w:val="20"/>
                          </w:rPr>
                          <w:t xml:space="preserve">Valor total da Venda </w:t>
                        </w:r>
                        <w:proofErr w:type="gramStart"/>
                        <w:r w:rsidR="00AB302E" w:rsidRPr="006E03C2">
                          <w:rPr>
                            <w:sz w:val="20"/>
                          </w:rPr>
                          <w:t>1</w:t>
                        </w:r>
                        <w:proofErr w:type="gramEnd"/>
                      </w:p>
                      <w:p w:rsidR="00AB302E" w:rsidRPr="006E03C2" w:rsidRDefault="00AB302E" w:rsidP="00AB302E">
                        <w:pPr>
                          <w:pStyle w:val="SemEspaamento"/>
                          <w:rPr>
                            <w:sz w:val="20"/>
                          </w:rPr>
                        </w:pPr>
                        <w:r w:rsidRPr="006E03C2">
                          <w:rPr>
                            <w:b/>
                            <w:sz w:val="20"/>
                          </w:rPr>
                          <w:t>70,00</w:t>
                        </w:r>
                        <w:r w:rsidRPr="006E03C2">
                          <w:rPr>
                            <w:sz w:val="20"/>
                          </w:rPr>
                          <w:tab/>
                          <w:t xml:space="preserve">        </w:t>
                        </w:r>
                        <w:r w:rsidRPr="006E03C2">
                          <w:rPr>
                            <w:b/>
                            <w:sz w:val="20"/>
                          </w:rPr>
                          <w:t>100,00</w:t>
                        </w:r>
                        <w:r w:rsidRPr="006E03C2">
                          <w:rPr>
                            <w:b/>
                            <w:sz w:val="20"/>
                          </w:rPr>
                          <w:tab/>
                        </w:r>
                        <w:r w:rsidRPr="006E03C2">
                          <w:rPr>
                            <w:b/>
                            <w:sz w:val="20"/>
                          </w:rPr>
                          <w:tab/>
                          <w:t>103,83</w:t>
                        </w:r>
                        <w:r w:rsidRPr="006E03C2">
                          <w:rPr>
                            <w:b/>
                            <w:sz w:val="20"/>
                          </w:rPr>
                          <w:tab/>
                        </w:r>
                        <w:proofErr w:type="gramStart"/>
                        <w:r w:rsidRPr="006E03C2">
                          <w:rPr>
                            <w:sz w:val="20"/>
                          </w:rPr>
                          <w:t>(</w:t>
                        </w:r>
                        <w:proofErr w:type="gramEnd"/>
                        <w:r w:rsidRPr="006E03C2">
                          <w:rPr>
                            <w:sz w:val="20"/>
                          </w:rPr>
                          <w:t>100,00 + 3,83)</w:t>
                        </w:r>
                      </w:p>
                      <w:p w:rsidR="00AB302E" w:rsidRPr="006E03C2" w:rsidRDefault="00AB302E" w:rsidP="00AB302E">
                        <w:pPr>
                          <w:pStyle w:val="SemEspaamento"/>
                          <w:rPr>
                            <w:b/>
                            <w:sz w:val="20"/>
                          </w:rPr>
                        </w:pPr>
                      </w:p>
                      <w:p w:rsidR="00AB302E" w:rsidRPr="006E03C2" w:rsidRDefault="00AB302E" w:rsidP="00AB302E">
                        <w:pPr>
                          <w:pStyle w:val="SemEspaamento"/>
                          <w:rPr>
                            <w:b/>
                            <w:sz w:val="20"/>
                            <w:u w:val="single"/>
                          </w:rPr>
                        </w:pPr>
                      </w:p>
                      <w:p w:rsidR="00AB302E" w:rsidRPr="006E03C2" w:rsidRDefault="00AB302E" w:rsidP="00AB302E">
                        <w:pPr>
                          <w:pStyle w:val="SemEspaamento"/>
                          <w:rPr>
                            <w:b/>
                            <w:sz w:val="20"/>
                            <w:u w:val="single"/>
                          </w:rPr>
                        </w:pPr>
                        <w:r w:rsidRPr="006E03C2">
                          <w:rPr>
                            <w:b/>
                            <w:sz w:val="20"/>
                            <w:u w:val="single"/>
                          </w:rPr>
                          <w:t>Cálculo ICMS-ST</w:t>
                        </w:r>
                      </w:p>
                      <w:p w:rsidR="00AB302E" w:rsidRPr="006E03C2" w:rsidRDefault="00AB302E" w:rsidP="00AB302E">
                        <w:pPr>
                          <w:pStyle w:val="SemEspaamento"/>
                          <w:rPr>
                            <w:b/>
                            <w:sz w:val="20"/>
                            <w:u w:val="single"/>
                          </w:rPr>
                        </w:pPr>
                      </w:p>
                      <w:p w:rsidR="00AB302E" w:rsidRPr="006E03C2" w:rsidRDefault="00AB302E" w:rsidP="00AB302E">
                        <w:pPr>
                          <w:pStyle w:val="SemEspaamento"/>
                          <w:rPr>
                            <w:sz w:val="20"/>
                          </w:rPr>
                        </w:pPr>
                        <w:r w:rsidRPr="006E03C2">
                          <w:rPr>
                            <w:sz w:val="20"/>
                          </w:rPr>
                          <w:t>Valor operação</w:t>
                        </w:r>
                        <w:r w:rsidRPr="006E03C2">
                          <w:rPr>
                            <w:sz w:val="20"/>
                          </w:rPr>
                          <w:tab/>
                        </w:r>
                        <w:r w:rsidRPr="006E03C2">
                          <w:rPr>
                            <w:sz w:val="20"/>
                          </w:rPr>
                          <w:tab/>
                          <w:t>100,00</w:t>
                        </w:r>
                      </w:p>
                      <w:p w:rsidR="00AB302E" w:rsidRPr="006E03C2" w:rsidRDefault="00AB302E" w:rsidP="00AB302E">
                        <w:pPr>
                          <w:pStyle w:val="SemEspaamento"/>
                          <w:rPr>
                            <w:sz w:val="20"/>
                          </w:rPr>
                        </w:pPr>
                        <w:r>
                          <w:rPr>
                            <w:sz w:val="20"/>
                          </w:rPr>
                          <w:t>MVA redução 70%</w:t>
                        </w:r>
                        <w:r>
                          <w:rPr>
                            <w:sz w:val="20"/>
                          </w:rPr>
                          <w:tab/>
                        </w:r>
                        <w:r w:rsidRPr="006E03C2">
                          <w:rPr>
                            <w:sz w:val="20"/>
                          </w:rPr>
                          <w:t xml:space="preserve"> 15,30%</w:t>
                        </w:r>
                      </w:p>
                      <w:p w:rsidR="00AB302E" w:rsidRPr="006E03C2" w:rsidRDefault="00AB302E" w:rsidP="00AB302E">
                        <w:pPr>
                          <w:pStyle w:val="SemEspaamento"/>
                          <w:rPr>
                            <w:sz w:val="20"/>
                          </w:rPr>
                        </w:pPr>
                        <w:r w:rsidRPr="006E03C2">
                          <w:rPr>
                            <w:sz w:val="20"/>
                          </w:rPr>
                          <w:t>Alíquota interna</w:t>
                        </w:r>
                        <w:r w:rsidRPr="006E03C2">
                          <w:rPr>
                            <w:sz w:val="20"/>
                          </w:rPr>
                          <w:tab/>
                        </w:r>
                        <w:r w:rsidRPr="006E03C2">
                          <w:rPr>
                            <w:sz w:val="20"/>
                          </w:rPr>
                          <w:tab/>
                          <w:t xml:space="preserve"> 25%</w:t>
                        </w:r>
                      </w:p>
                      <w:p w:rsidR="00AB302E" w:rsidRPr="006E03C2" w:rsidRDefault="00AB302E" w:rsidP="00AB302E">
                        <w:pPr>
                          <w:pStyle w:val="SemEspaamento"/>
                          <w:rPr>
                            <w:sz w:val="20"/>
                          </w:rPr>
                        </w:pPr>
                        <w:r w:rsidRPr="006E03C2">
                          <w:rPr>
                            <w:sz w:val="20"/>
                          </w:rPr>
                          <w:t>ICMS próprio</w:t>
                        </w:r>
                        <w:r w:rsidRPr="006E03C2">
                          <w:rPr>
                            <w:sz w:val="20"/>
                          </w:rPr>
                          <w:tab/>
                        </w:r>
                        <w:r w:rsidRPr="006E03C2">
                          <w:rPr>
                            <w:sz w:val="20"/>
                          </w:rPr>
                          <w:tab/>
                          <w:t>25,00</w:t>
                        </w:r>
                        <w:r w:rsidRPr="006E03C2">
                          <w:rPr>
                            <w:sz w:val="20"/>
                          </w:rPr>
                          <w:tab/>
                        </w:r>
                        <w:proofErr w:type="gramStart"/>
                        <w:r w:rsidRPr="006E03C2">
                          <w:rPr>
                            <w:sz w:val="20"/>
                          </w:rPr>
                          <w:t>(</w:t>
                        </w:r>
                        <w:proofErr w:type="gramEnd"/>
                        <w:r w:rsidRPr="006E03C2">
                          <w:rPr>
                            <w:sz w:val="20"/>
                          </w:rPr>
                          <w:t>100,00 x 25%)</w:t>
                        </w:r>
                      </w:p>
                      <w:p w:rsidR="00AB302E" w:rsidRPr="006E03C2" w:rsidRDefault="00AB302E" w:rsidP="00AB302E">
                        <w:pPr>
                          <w:pStyle w:val="SemEspaamento"/>
                          <w:rPr>
                            <w:sz w:val="20"/>
                          </w:rPr>
                        </w:pPr>
                        <w:r w:rsidRPr="006E03C2">
                          <w:rPr>
                            <w:sz w:val="20"/>
                          </w:rPr>
                          <w:t>Base de cálcu</w:t>
                        </w:r>
                        <w:r>
                          <w:rPr>
                            <w:sz w:val="20"/>
                          </w:rPr>
                          <w:t>lo ST</w:t>
                        </w:r>
                        <w:r>
                          <w:rPr>
                            <w:sz w:val="20"/>
                          </w:rPr>
                          <w:tab/>
                        </w:r>
                        <w:r w:rsidRPr="006E03C2">
                          <w:rPr>
                            <w:sz w:val="20"/>
                          </w:rPr>
                          <w:t>115,30</w:t>
                        </w:r>
                        <w:r w:rsidRPr="006E03C2">
                          <w:rPr>
                            <w:sz w:val="20"/>
                          </w:rPr>
                          <w:tab/>
                        </w:r>
                        <w:proofErr w:type="gramStart"/>
                        <w:r w:rsidRPr="006E03C2">
                          <w:rPr>
                            <w:sz w:val="20"/>
                          </w:rPr>
                          <w:t>(</w:t>
                        </w:r>
                        <w:proofErr w:type="gramEnd"/>
                        <w:r w:rsidRPr="006E03C2">
                          <w:rPr>
                            <w:sz w:val="20"/>
                          </w:rPr>
                          <w:t>100,00 x 1,153)</w:t>
                        </w:r>
                      </w:p>
                      <w:p w:rsidR="00AB302E" w:rsidRPr="006E03C2" w:rsidRDefault="00AB302E" w:rsidP="00AB302E">
                        <w:pPr>
                          <w:pStyle w:val="SemEspaamento"/>
                          <w:rPr>
                            <w:sz w:val="20"/>
                          </w:rPr>
                        </w:pPr>
                        <w:r>
                          <w:rPr>
                            <w:sz w:val="20"/>
                          </w:rPr>
                          <w:t>ICMS-ST a recolher</w:t>
                        </w:r>
                        <w:r>
                          <w:rPr>
                            <w:sz w:val="20"/>
                          </w:rPr>
                          <w:tab/>
                        </w:r>
                        <w:r w:rsidRPr="006E03C2">
                          <w:rPr>
                            <w:b/>
                            <w:sz w:val="20"/>
                          </w:rPr>
                          <w:t>3,83</w:t>
                        </w:r>
                        <w:r w:rsidRPr="006E03C2">
                          <w:rPr>
                            <w:sz w:val="20"/>
                          </w:rPr>
                          <w:tab/>
                        </w:r>
                        <w:proofErr w:type="gramStart"/>
                        <w:r w:rsidRPr="006E03C2">
                          <w:rPr>
                            <w:sz w:val="20"/>
                          </w:rPr>
                          <w:t>(</w:t>
                        </w:r>
                        <w:proofErr w:type="gramEnd"/>
                        <w:r w:rsidRPr="006E03C2">
                          <w:rPr>
                            <w:sz w:val="20"/>
                          </w:rPr>
                          <w:t>115,30 x 25%) – 25,00</w:t>
                        </w:r>
                      </w:p>
                    </w:txbxContent>
                  </v:textbox>
                </v:rect>
              </w:pict>
            </w:r>
          </w:p>
        </w:tc>
        <w:tc>
          <w:tcPr>
            <w:tcW w:w="84" w:type="pct"/>
            <w:shd w:val="clear" w:color="auto" w:fill="FFFFFF"/>
            <w:noWrap/>
            <w:vAlign w:val="center"/>
            <w:hideMark/>
          </w:tcPr>
          <w:p w:rsidR="00AB302E" w:rsidRDefault="00AB302E" w:rsidP="00AB302E">
            <w:pPr>
              <w:jc w:val="center"/>
              <w:rPr>
                <w:rFonts w:eastAsia="Calibri"/>
                <w:color w:val="000000"/>
                <w:sz w:val="16"/>
                <w:szCs w:val="16"/>
              </w:rPr>
            </w:pPr>
          </w:p>
        </w:tc>
        <w:tc>
          <w:tcPr>
            <w:tcW w:w="1665" w:type="pct"/>
            <w:shd w:val="clear" w:color="auto" w:fill="FFFFFF"/>
            <w:noWrap/>
            <w:vAlign w:val="center"/>
            <w:hideMark/>
          </w:tcPr>
          <w:p w:rsidR="00AB302E" w:rsidRDefault="00AB302E" w:rsidP="00AB302E">
            <w:pPr>
              <w:jc w:val="center"/>
              <w:rPr>
                <w:rFonts w:eastAsia="Calibri"/>
                <w:color w:val="000000"/>
                <w:sz w:val="16"/>
                <w:szCs w:val="16"/>
              </w:rPr>
            </w:pPr>
          </w:p>
        </w:tc>
        <w:tc>
          <w:tcPr>
            <w:tcW w:w="2377" w:type="pct"/>
            <w:shd w:val="clear" w:color="auto" w:fill="FFFFFF"/>
            <w:noWrap/>
            <w:vAlign w:val="center"/>
          </w:tcPr>
          <w:p w:rsidR="00AB302E" w:rsidRDefault="00AB302E" w:rsidP="00AB302E">
            <w:pPr>
              <w:jc w:val="center"/>
              <w:rPr>
                <w:rFonts w:eastAsia="Calibri"/>
                <w:color w:val="000000"/>
                <w:sz w:val="16"/>
                <w:szCs w:val="16"/>
              </w:rPr>
            </w:pPr>
            <w:r w:rsidRPr="00CF633A">
              <w:rPr>
                <w:rFonts w:eastAsia="Calibri"/>
                <w:szCs w:val="24"/>
              </w:rPr>
              <w:pict>
                <v:rect id="_x0000_s1034" style="position:absolute;left:0;text-align:left;margin-left:122.35pt;margin-top:3.4pt;width:157.55pt;height:120.95pt;z-index:9;mso-position-horizontal-relative:text;mso-position-vertical-relative:text">
                  <v:textbox style="mso-next-textbox:#_x0000_s1034">
                    <w:txbxContent>
                      <w:p w:rsidR="00AB302E" w:rsidRPr="006E03C2" w:rsidRDefault="00AB302E" w:rsidP="00AB302E">
                        <w:pPr>
                          <w:pStyle w:val="SemEspaamento"/>
                          <w:rPr>
                            <w:sz w:val="20"/>
                          </w:rPr>
                        </w:pPr>
                        <w:r w:rsidRPr="006E03C2">
                          <w:rPr>
                            <w:sz w:val="20"/>
                          </w:rPr>
                          <w:t>Custo</w:t>
                        </w:r>
                        <w:r w:rsidRPr="006E03C2">
                          <w:rPr>
                            <w:sz w:val="20"/>
                          </w:rPr>
                          <w:tab/>
                          <w:t xml:space="preserve">        Valor da Venda </w:t>
                        </w:r>
                        <w:proofErr w:type="gramStart"/>
                        <w:r w:rsidRPr="006E03C2">
                          <w:rPr>
                            <w:sz w:val="20"/>
                          </w:rPr>
                          <w:t>2</w:t>
                        </w:r>
                        <w:proofErr w:type="gramEnd"/>
                      </w:p>
                      <w:p w:rsidR="00AB302E" w:rsidRPr="006E03C2" w:rsidRDefault="00AB302E" w:rsidP="00AB302E">
                        <w:pPr>
                          <w:pStyle w:val="SemEspaamento"/>
                          <w:rPr>
                            <w:sz w:val="20"/>
                          </w:rPr>
                        </w:pPr>
                        <w:r w:rsidRPr="006E03C2">
                          <w:rPr>
                            <w:b/>
                            <w:sz w:val="20"/>
                          </w:rPr>
                          <w:t>103,83</w:t>
                        </w:r>
                        <w:r w:rsidRPr="006E03C2">
                          <w:rPr>
                            <w:sz w:val="20"/>
                          </w:rPr>
                          <w:tab/>
                          <w:t xml:space="preserve">        </w:t>
                        </w:r>
                        <w:r w:rsidRPr="006E03C2">
                          <w:rPr>
                            <w:b/>
                            <w:sz w:val="20"/>
                          </w:rPr>
                          <w:t>151,00</w:t>
                        </w:r>
                        <w:r w:rsidRPr="006E03C2">
                          <w:rPr>
                            <w:sz w:val="20"/>
                          </w:rPr>
                          <w:t xml:space="preserve"> (100 x 51%)</w:t>
                        </w:r>
                      </w:p>
                      <w:p w:rsidR="00AB302E" w:rsidRPr="006E03C2" w:rsidRDefault="00AB302E" w:rsidP="00AB302E">
                        <w:pPr>
                          <w:pStyle w:val="SemEspaamento"/>
                          <w:rPr>
                            <w:sz w:val="20"/>
                          </w:rPr>
                        </w:pPr>
                      </w:p>
                      <w:p w:rsidR="00AB302E" w:rsidRPr="006E03C2" w:rsidRDefault="00AB302E" w:rsidP="00AB302E">
                        <w:pPr>
                          <w:pStyle w:val="SemEspaamento"/>
                          <w:rPr>
                            <w:b/>
                            <w:sz w:val="20"/>
                            <w:u w:val="single"/>
                          </w:rPr>
                        </w:pPr>
                      </w:p>
                      <w:p w:rsidR="00AB302E" w:rsidRPr="006E03C2" w:rsidRDefault="00AB302E" w:rsidP="00AB302E">
                        <w:pPr>
                          <w:pStyle w:val="SemEspaamento"/>
                          <w:rPr>
                            <w:b/>
                            <w:sz w:val="20"/>
                            <w:u w:val="single"/>
                          </w:rPr>
                        </w:pPr>
                        <w:r w:rsidRPr="006E03C2">
                          <w:rPr>
                            <w:b/>
                            <w:sz w:val="20"/>
                            <w:u w:val="single"/>
                          </w:rPr>
                          <w:t>Cálculo de ICMS</w:t>
                        </w:r>
                      </w:p>
                      <w:p w:rsidR="00AB302E" w:rsidRPr="006E03C2" w:rsidRDefault="00AB302E" w:rsidP="00AB302E">
                        <w:pPr>
                          <w:pStyle w:val="SemEspaamento"/>
                          <w:rPr>
                            <w:sz w:val="20"/>
                          </w:rPr>
                        </w:pPr>
                        <w:r w:rsidRPr="006E03C2">
                          <w:rPr>
                            <w:sz w:val="20"/>
                          </w:rPr>
                          <w:t>Crédito</w:t>
                        </w:r>
                        <w:r w:rsidRPr="006E03C2">
                          <w:rPr>
                            <w:sz w:val="20"/>
                          </w:rPr>
                          <w:tab/>
                          <w:t xml:space="preserve">     Débito</w:t>
                        </w:r>
                      </w:p>
                      <w:p w:rsidR="00AB302E" w:rsidRDefault="00AB302E" w:rsidP="00AB302E">
                        <w:pPr>
                          <w:pStyle w:val="SemEspaamento"/>
                          <w:rPr>
                            <w:b/>
                            <w:sz w:val="20"/>
                          </w:rPr>
                        </w:pPr>
                        <w:r w:rsidRPr="006E03C2">
                          <w:rPr>
                            <w:b/>
                            <w:sz w:val="20"/>
                          </w:rPr>
                          <w:t>0,00</w:t>
                        </w:r>
                        <w:r w:rsidRPr="006E03C2">
                          <w:rPr>
                            <w:sz w:val="20"/>
                          </w:rPr>
                          <w:tab/>
                          <w:t xml:space="preserve">     </w:t>
                        </w:r>
                        <w:r w:rsidRPr="006E03C2">
                          <w:rPr>
                            <w:b/>
                            <w:sz w:val="20"/>
                          </w:rPr>
                          <w:t>0,00</w:t>
                        </w:r>
                      </w:p>
                      <w:p w:rsidR="00AB302E" w:rsidRDefault="00AB302E" w:rsidP="00AB302E">
                        <w:pPr>
                          <w:pStyle w:val="SemEspaamento"/>
                          <w:rPr>
                            <w:b/>
                            <w:sz w:val="20"/>
                          </w:rPr>
                        </w:pPr>
                      </w:p>
                      <w:p w:rsidR="00AB302E" w:rsidRPr="006E03C2" w:rsidRDefault="00AB302E" w:rsidP="00AB302E">
                        <w:pPr>
                          <w:pStyle w:val="SemEspaamento"/>
                          <w:rPr>
                            <w:sz w:val="20"/>
                          </w:rPr>
                        </w:pPr>
                        <w:r w:rsidRPr="006E03C2">
                          <w:rPr>
                            <w:sz w:val="20"/>
                          </w:rPr>
                          <w:t>Obs: Já recolhido por ICMS/ST</w:t>
                        </w:r>
                      </w:p>
                    </w:txbxContent>
                  </v:textbox>
                </v:rect>
              </w:pict>
            </w:r>
          </w:p>
        </w:tc>
        <w:tc>
          <w:tcPr>
            <w:tcW w:w="790" w:type="pct"/>
            <w:tcBorders>
              <w:top w:val="nil"/>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16"/>
                <w:szCs w:val="16"/>
              </w:rPr>
            </w:pPr>
          </w:p>
        </w:tc>
      </w:tr>
      <w:tr w:rsidR="00AB302E" w:rsidRPr="00102273" w:rsidTr="008F0FC5">
        <w:trPr>
          <w:trHeight w:val="80"/>
        </w:trPr>
        <w:tc>
          <w:tcPr>
            <w:tcW w:w="8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shd w:val="clear" w:color="auto" w:fill="FFFFFF"/>
            <w:noWrap/>
            <w:vAlign w:val="center"/>
            <w:hideMark/>
          </w:tcPr>
          <w:p w:rsidR="00AB302E" w:rsidRDefault="00AB302E" w:rsidP="00AB302E">
            <w:pPr>
              <w:jc w:val="center"/>
              <w:rPr>
                <w:rFonts w:eastAsia="Calibri"/>
                <w:color w:val="000000"/>
                <w:sz w:val="16"/>
                <w:szCs w:val="16"/>
              </w:rPr>
            </w:pPr>
          </w:p>
        </w:tc>
        <w:tc>
          <w:tcPr>
            <w:tcW w:w="1665" w:type="pct"/>
            <w:shd w:val="clear" w:color="auto" w:fill="FFFFFF"/>
            <w:noWrap/>
            <w:vAlign w:val="center"/>
          </w:tcPr>
          <w:p w:rsidR="00AB302E" w:rsidRDefault="00AB302E" w:rsidP="00AB302E">
            <w:pPr>
              <w:jc w:val="center"/>
              <w:rPr>
                <w:rFonts w:eastAsia="Calibri"/>
                <w:color w:val="000000"/>
                <w:sz w:val="16"/>
                <w:szCs w:val="16"/>
              </w:rPr>
            </w:pPr>
          </w:p>
        </w:tc>
        <w:tc>
          <w:tcPr>
            <w:tcW w:w="2377" w:type="pct"/>
            <w:shd w:val="clear" w:color="auto" w:fill="FFFFFF"/>
            <w:noWrap/>
            <w:vAlign w:val="center"/>
          </w:tcPr>
          <w:p w:rsidR="00AB302E" w:rsidRDefault="00AB302E" w:rsidP="00AB302E">
            <w:pPr>
              <w:jc w:val="center"/>
              <w:rPr>
                <w:rFonts w:eastAsia="Calibri"/>
                <w:color w:val="000000"/>
                <w:sz w:val="16"/>
                <w:szCs w:val="16"/>
              </w:rPr>
            </w:pPr>
          </w:p>
        </w:tc>
        <w:tc>
          <w:tcPr>
            <w:tcW w:w="790" w:type="pct"/>
            <w:tcBorders>
              <w:top w:val="nil"/>
              <w:left w:val="nil"/>
              <w:bottom w:val="nil"/>
              <w:right w:val="thinThickThinSmallGap" w:sz="24" w:space="0" w:color="auto"/>
            </w:tcBorders>
            <w:shd w:val="clear" w:color="auto" w:fill="FFFFFF"/>
            <w:noWrap/>
            <w:vAlign w:val="center"/>
            <w:hideMark/>
          </w:tcPr>
          <w:p w:rsidR="00AB302E" w:rsidRDefault="00AB302E" w:rsidP="00AB302E">
            <w:pPr>
              <w:tabs>
                <w:tab w:val="left" w:pos="3747"/>
              </w:tabs>
              <w:jc w:val="center"/>
              <w:rPr>
                <w:rFonts w:eastAsia="Calibri" w:cs="Arial"/>
                <w:color w:val="000000"/>
                <w:sz w:val="16"/>
                <w:szCs w:val="16"/>
              </w:rPr>
            </w:pPr>
            <w:r w:rsidRPr="00102273">
              <w:rPr>
                <w:rFonts w:eastAsia="Calibri" w:cs="Arial"/>
                <w:color w:val="000000"/>
                <w:sz w:val="16"/>
                <w:szCs w:val="16"/>
              </w:rPr>
              <w:t xml:space="preserve">                                               </w:t>
            </w:r>
          </w:p>
        </w:tc>
      </w:tr>
      <w:tr w:rsidR="00AB302E" w:rsidRPr="00102273" w:rsidTr="008F0FC5">
        <w:trPr>
          <w:trHeight w:val="70"/>
        </w:trPr>
        <w:tc>
          <w:tcPr>
            <w:tcW w:w="8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shd w:val="clear" w:color="auto" w:fill="FFFFFF"/>
            <w:noWrap/>
            <w:vAlign w:val="center"/>
          </w:tcPr>
          <w:p w:rsidR="00AB302E" w:rsidRDefault="00AB302E" w:rsidP="00AB302E">
            <w:pPr>
              <w:jc w:val="center"/>
              <w:rPr>
                <w:rFonts w:eastAsia="Calibri"/>
                <w:color w:val="000000"/>
                <w:sz w:val="16"/>
                <w:szCs w:val="16"/>
              </w:rPr>
            </w:pPr>
          </w:p>
        </w:tc>
        <w:tc>
          <w:tcPr>
            <w:tcW w:w="1665" w:type="pct"/>
            <w:shd w:val="clear" w:color="auto" w:fill="FFFFFF"/>
            <w:noWrap/>
            <w:vAlign w:val="center"/>
          </w:tcPr>
          <w:p w:rsidR="00AB302E" w:rsidRDefault="00AB302E" w:rsidP="00AB302E">
            <w:pPr>
              <w:jc w:val="center"/>
              <w:rPr>
                <w:rFonts w:eastAsia="Calibri"/>
                <w:color w:val="000000"/>
                <w:sz w:val="16"/>
                <w:szCs w:val="16"/>
              </w:rPr>
            </w:pPr>
          </w:p>
        </w:tc>
        <w:tc>
          <w:tcPr>
            <w:tcW w:w="2377" w:type="pct"/>
            <w:shd w:val="clear" w:color="auto" w:fill="FFFFFF"/>
            <w:noWrap/>
            <w:vAlign w:val="center"/>
          </w:tcPr>
          <w:p w:rsidR="00AB302E" w:rsidRDefault="00AB302E" w:rsidP="00AB302E">
            <w:pPr>
              <w:jc w:val="center"/>
              <w:rPr>
                <w:rFonts w:eastAsia="Calibri"/>
                <w:color w:val="000000"/>
                <w:sz w:val="16"/>
                <w:szCs w:val="16"/>
              </w:rPr>
            </w:pPr>
          </w:p>
        </w:tc>
        <w:tc>
          <w:tcPr>
            <w:tcW w:w="790" w:type="pct"/>
            <w:tcBorders>
              <w:top w:val="nil"/>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16"/>
                <w:szCs w:val="16"/>
              </w:rPr>
            </w:pPr>
          </w:p>
        </w:tc>
      </w:tr>
      <w:tr w:rsidR="00AB302E" w:rsidRPr="00102273" w:rsidTr="008F0FC5">
        <w:trPr>
          <w:trHeight w:val="80"/>
        </w:trPr>
        <w:tc>
          <w:tcPr>
            <w:tcW w:w="8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shd w:val="clear" w:color="auto" w:fill="FFFFFF"/>
            <w:noWrap/>
            <w:vAlign w:val="center"/>
          </w:tcPr>
          <w:p w:rsidR="00AB302E" w:rsidRDefault="00AB302E" w:rsidP="00AB302E">
            <w:pPr>
              <w:jc w:val="center"/>
              <w:rPr>
                <w:rFonts w:eastAsia="Calibri"/>
                <w:color w:val="000000"/>
                <w:sz w:val="16"/>
                <w:szCs w:val="16"/>
              </w:rPr>
            </w:pPr>
          </w:p>
        </w:tc>
        <w:tc>
          <w:tcPr>
            <w:tcW w:w="1665" w:type="pct"/>
            <w:shd w:val="clear" w:color="auto" w:fill="FFFFFF"/>
            <w:noWrap/>
            <w:vAlign w:val="center"/>
          </w:tcPr>
          <w:p w:rsidR="00AB302E" w:rsidRDefault="00AB302E" w:rsidP="00AB302E">
            <w:pPr>
              <w:jc w:val="center"/>
              <w:rPr>
                <w:rFonts w:eastAsia="Calibri"/>
                <w:color w:val="000000"/>
                <w:sz w:val="16"/>
                <w:szCs w:val="16"/>
              </w:rPr>
            </w:pPr>
          </w:p>
        </w:tc>
        <w:tc>
          <w:tcPr>
            <w:tcW w:w="2377" w:type="pct"/>
            <w:shd w:val="clear" w:color="auto" w:fill="FFFFFF"/>
            <w:noWrap/>
            <w:vAlign w:val="center"/>
          </w:tcPr>
          <w:p w:rsidR="00AB302E" w:rsidRDefault="00AB302E" w:rsidP="00AB302E">
            <w:pPr>
              <w:jc w:val="center"/>
              <w:rPr>
                <w:rFonts w:eastAsia="Calibri"/>
                <w:color w:val="000000"/>
                <w:sz w:val="16"/>
                <w:szCs w:val="16"/>
              </w:rPr>
            </w:pPr>
          </w:p>
        </w:tc>
        <w:tc>
          <w:tcPr>
            <w:tcW w:w="790" w:type="pct"/>
            <w:tcBorders>
              <w:top w:val="nil"/>
              <w:left w:val="nil"/>
              <w:bottom w:val="nil"/>
              <w:right w:val="thinThickThinSmallGap" w:sz="24" w:space="0" w:color="auto"/>
            </w:tcBorders>
            <w:shd w:val="clear" w:color="auto" w:fill="FFFFFF"/>
            <w:noWrap/>
            <w:vAlign w:val="center"/>
            <w:hideMark/>
          </w:tcPr>
          <w:p w:rsidR="00AB302E" w:rsidRDefault="00AB302E" w:rsidP="00AB302E">
            <w:pPr>
              <w:rPr>
                <w:rFonts w:eastAsia="Calibri" w:cs="Arial"/>
                <w:b/>
                <w:color w:val="000000"/>
                <w:sz w:val="16"/>
                <w:szCs w:val="16"/>
              </w:rPr>
            </w:pPr>
            <w:r>
              <w:rPr>
                <w:rFonts w:eastAsia="Calibri" w:cs="Arial"/>
                <w:b/>
                <w:color w:val="000000"/>
                <w:sz w:val="16"/>
                <w:szCs w:val="16"/>
              </w:rPr>
              <w:t xml:space="preserve">      </w:t>
            </w:r>
          </w:p>
        </w:tc>
      </w:tr>
      <w:tr w:rsidR="00AB302E" w:rsidRPr="00102273" w:rsidTr="008F0FC5">
        <w:trPr>
          <w:trHeight w:val="80"/>
        </w:trPr>
        <w:tc>
          <w:tcPr>
            <w:tcW w:w="8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shd w:val="clear" w:color="auto" w:fill="FFFFFF"/>
            <w:noWrap/>
            <w:vAlign w:val="center"/>
          </w:tcPr>
          <w:p w:rsidR="00AB302E" w:rsidRDefault="00AB302E" w:rsidP="00AB302E">
            <w:pPr>
              <w:jc w:val="center"/>
              <w:rPr>
                <w:rFonts w:eastAsia="Calibri"/>
                <w:color w:val="000000"/>
                <w:sz w:val="16"/>
                <w:szCs w:val="16"/>
              </w:rPr>
            </w:pPr>
          </w:p>
        </w:tc>
        <w:tc>
          <w:tcPr>
            <w:tcW w:w="1665" w:type="pct"/>
            <w:shd w:val="clear" w:color="auto" w:fill="FFFFFF"/>
            <w:noWrap/>
            <w:vAlign w:val="center"/>
          </w:tcPr>
          <w:p w:rsidR="00AB302E" w:rsidRDefault="00AB302E" w:rsidP="00AB302E">
            <w:pPr>
              <w:jc w:val="center"/>
              <w:rPr>
                <w:rFonts w:eastAsia="Calibri"/>
                <w:color w:val="000000"/>
                <w:sz w:val="16"/>
                <w:szCs w:val="16"/>
              </w:rPr>
            </w:pPr>
          </w:p>
        </w:tc>
        <w:tc>
          <w:tcPr>
            <w:tcW w:w="2377" w:type="pct"/>
            <w:shd w:val="clear" w:color="auto" w:fill="FFFFFF"/>
            <w:noWrap/>
            <w:vAlign w:val="center"/>
          </w:tcPr>
          <w:p w:rsidR="00AB302E" w:rsidRDefault="00AB302E" w:rsidP="00AB302E">
            <w:pPr>
              <w:jc w:val="center"/>
              <w:rPr>
                <w:rFonts w:eastAsia="Calibri"/>
                <w:color w:val="000000"/>
                <w:sz w:val="16"/>
                <w:szCs w:val="16"/>
              </w:rPr>
            </w:pPr>
          </w:p>
        </w:tc>
        <w:tc>
          <w:tcPr>
            <w:tcW w:w="790" w:type="pct"/>
            <w:tcBorders>
              <w:top w:val="nil"/>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16"/>
                <w:szCs w:val="16"/>
              </w:rPr>
            </w:pPr>
          </w:p>
        </w:tc>
      </w:tr>
      <w:tr w:rsidR="00AB302E" w:rsidRPr="00102273" w:rsidTr="008F0FC5">
        <w:trPr>
          <w:trHeight w:val="2608"/>
        </w:trPr>
        <w:tc>
          <w:tcPr>
            <w:tcW w:w="84" w:type="pct"/>
            <w:tcBorders>
              <w:top w:val="nil"/>
              <w:left w:val="thinThickThinSmallGap" w:sz="24" w:space="0" w:color="auto"/>
              <w:bottom w:val="thinThickThinSmallGap" w:sz="24" w:space="0" w:color="auto"/>
              <w:right w:val="nil"/>
            </w:tcBorders>
            <w:shd w:val="clear" w:color="auto" w:fill="FFFFFF"/>
            <w:noWrap/>
            <w:vAlign w:val="center"/>
          </w:tcPr>
          <w:p w:rsidR="00AB302E" w:rsidRDefault="00AB302E" w:rsidP="00AB302E">
            <w:pPr>
              <w:jc w:val="center"/>
              <w:rPr>
                <w:rFonts w:eastAsia="Calibri" w:cs="Arial"/>
                <w:color w:val="000000"/>
                <w:sz w:val="4"/>
                <w:szCs w:val="4"/>
              </w:rPr>
            </w:pPr>
          </w:p>
        </w:tc>
        <w:tc>
          <w:tcPr>
            <w:tcW w:w="84" w:type="pct"/>
            <w:tcBorders>
              <w:top w:val="nil"/>
              <w:left w:val="nil"/>
              <w:bottom w:val="thinThickThinSmallGap" w:sz="24" w:space="0" w:color="auto"/>
              <w:right w:val="nil"/>
            </w:tcBorders>
            <w:shd w:val="clear" w:color="auto" w:fill="FFFFFF"/>
            <w:noWrap/>
            <w:vAlign w:val="center"/>
          </w:tcPr>
          <w:p w:rsidR="00AB302E" w:rsidRDefault="00AB302E" w:rsidP="00AB302E">
            <w:pPr>
              <w:jc w:val="center"/>
              <w:rPr>
                <w:rFonts w:eastAsia="Calibri"/>
                <w:color w:val="000000"/>
                <w:sz w:val="4"/>
                <w:szCs w:val="4"/>
              </w:rPr>
            </w:pPr>
          </w:p>
        </w:tc>
        <w:tc>
          <w:tcPr>
            <w:tcW w:w="1665" w:type="pct"/>
            <w:tcBorders>
              <w:top w:val="nil"/>
              <w:left w:val="nil"/>
              <w:bottom w:val="thinThickThinSmallGap" w:sz="24" w:space="0" w:color="auto"/>
              <w:right w:val="nil"/>
            </w:tcBorders>
            <w:shd w:val="clear" w:color="auto" w:fill="FFFFFF"/>
            <w:noWrap/>
            <w:vAlign w:val="center"/>
          </w:tcPr>
          <w:p w:rsidR="00AB302E" w:rsidRDefault="00AB302E" w:rsidP="00AB302E">
            <w:pPr>
              <w:rPr>
                <w:rFonts w:eastAsia="Calibri"/>
                <w:color w:val="000000"/>
                <w:sz w:val="4"/>
                <w:szCs w:val="4"/>
              </w:rPr>
            </w:pPr>
          </w:p>
        </w:tc>
        <w:tc>
          <w:tcPr>
            <w:tcW w:w="2377" w:type="pct"/>
            <w:tcBorders>
              <w:top w:val="nil"/>
              <w:left w:val="nil"/>
              <w:bottom w:val="thinThickThinSmallGap" w:sz="24" w:space="0" w:color="auto"/>
              <w:right w:val="nil"/>
            </w:tcBorders>
            <w:shd w:val="clear" w:color="auto" w:fill="FFFFFF"/>
            <w:noWrap/>
            <w:vAlign w:val="center"/>
          </w:tcPr>
          <w:p w:rsidR="00AB302E" w:rsidRDefault="00AB302E" w:rsidP="00AB302E">
            <w:pPr>
              <w:jc w:val="center"/>
              <w:rPr>
                <w:rFonts w:eastAsia="Calibri"/>
                <w:color w:val="000000"/>
                <w:sz w:val="4"/>
                <w:szCs w:val="4"/>
              </w:rPr>
            </w:pPr>
            <w:r>
              <w:rPr>
                <w:rFonts w:eastAsia="Calibri"/>
                <w:noProof/>
                <w:color w:val="000000"/>
                <w:sz w:val="4"/>
                <w:szCs w:val="4"/>
              </w:rPr>
              <w:pict>
                <v:shape id="_x0000_s1035" type="#_x0000_t90" style="position:absolute;left:0;text-align:left;margin-left:126.8pt;margin-top:78.25pt;width:99.05pt;height:38.5pt;z-index:10;mso-position-horizontal-relative:text;mso-position-vertical-relative:text">
                  <v:textbox>
                    <w:txbxContent>
                      <w:p w:rsidR="00AB302E" w:rsidRPr="006E03C2" w:rsidRDefault="00AB302E" w:rsidP="00AB302E">
                        <w:pPr>
                          <w:pStyle w:val="SemEspaamento"/>
                          <w:rPr>
                            <w:b/>
                            <w:sz w:val="20"/>
                          </w:rPr>
                        </w:pPr>
                        <w:r>
                          <w:rPr>
                            <w:b/>
                            <w:sz w:val="16"/>
                            <w:szCs w:val="16"/>
                          </w:rPr>
                          <w:t xml:space="preserve">          </w:t>
                        </w:r>
                        <w:r w:rsidRPr="006E03C2">
                          <w:rPr>
                            <w:b/>
                            <w:sz w:val="20"/>
                          </w:rPr>
                          <w:t xml:space="preserve">Venda </w:t>
                        </w:r>
                        <w:proofErr w:type="gramStart"/>
                        <w:r w:rsidRPr="006E03C2">
                          <w:rPr>
                            <w:b/>
                            <w:sz w:val="20"/>
                          </w:rPr>
                          <w:t>1</w:t>
                        </w:r>
                        <w:proofErr w:type="gramEnd"/>
                        <w:r w:rsidRPr="006E03C2">
                          <w:rPr>
                            <w:b/>
                            <w:sz w:val="20"/>
                          </w:rPr>
                          <w:t xml:space="preserve"> </w:t>
                        </w:r>
                      </w:p>
                    </w:txbxContent>
                  </v:textbox>
                </v:shape>
              </w:pict>
            </w:r>
          </w:p>
        </w:tc>
        <w:tc>
          <w:tcPr>
            <w:tcW w:w="790" w:type="pct"/>
            <w:tcBorders>
              <w:top w:val="nil"/>
              <w:left w:val="nil"/>
              <w:bottom w:val="thinThickThinSmallGap" w:sz="24" w:space="0" w:color="auto"/>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4"/>
                <w:szCs w:val="4"/>
              </w:rPr>
            </w:pPr>
          </w:p>
        </w:tc>
      </w:tr>
    </w:tbl>
    <w:p w:rsidR="00AB302E" w:rsidRPr="00550BF4" w:rsidRDefault="00AB302E" w:rsidP="00550BF4">
      <w:pPr>
        <w:pStyle w:val="SemEspaamento"/>
        <w:spacing w:line="360" w:lineRule="auto"/>
        <w:rPr>
          <w:rStyle w:val="normaltextrun"/>
          <w:sz w:val="20"/>
        </w:rPr>
      </w:pPr>
      <w:r w:rsidRPr="00B67C73">
        <w:rPr>
          <w:sz w:val="20"/>
        </w:rPr>
        <w:t>Fonte: Elaborado pelo autor, 2016.</w:t>
      </w:r>
    </w:p>
    <w:p w:rsidR="00E360BF" w:rsidRDefault="00E360BF" w:rsidP="00E360BF">
      <w:pPr>
        <w:pStyle w:val="SemEspaamento"/>
        <w:ind w:firstLine="708"/>
        <w:rPr>
          <w:rStyle w:val="normaltextrun"/>
          <w:szCs w:val="22"/>
        </w:rPr>
      </w:pPr>
    </w:p>
    <w:p w:rsidR="00E360BF" w:rsidRDefault="00AB302E" w:rsidP="00E360BF">
      <w:pPr>
        <w:pStyle w:val="SemEspaamento"/>
        <w:ind w:firstLine="708"/>
        <w:rPr>
          <w:rStyle w:val="normaltextrun"/>
          <w:szCs w:val="22"/>
        </w:rPr>
      </w:pPr>
      <w:r w:rsidRPr="006467C5">
        <w:rPr>
          <w:rStyle w:val="normaltextrun"/>
          <w:szCs w:val="22"/>
        </w:rPr>
        <w:t xml:space="preserve">A comparação entre o valor do imposto a pagar nas três simulações de venda internas para a Empresa B, optante pelo Simples Nacional, é demonstrada no quadro a baixo, Quadro </w:t>
      </w:r>
      <w:proofErr w:type="gramStart"/>
      <w:r w:rsidRPr="006467C5">
        <w:rPr>
          <w:rStyle w:val="normaltextrun"/>
          <w:szCs w:val="22"/>
        </w:rPr>
        <w:t>8</w:t>
      </w:r>
      <w:proofErr w:type="gramEnd"/>
      <w:r w:rsidRPr="006467C5">
        <w:rPr>
          <w:rStyle w:val="normaltextrun"/>
          <w:szCs w:val="22"/>
        </w:rPr>
        <w:t>.</w:t>
      </w:r>
    </w:p>
    <w:p w:rsidR="00694312" w:rsidRPr="006467C5" w:rsidRDefault="00AB302E" w:rsidP="00E360BF">
      <w:pPr>
        <w:pStyle w:val="SemEspaamento"/>
        <w:ind w:firstLine="708"/>
        <w:rPr>
          <w:rStyle w:val="eop"/>
          <w:szCs w:val="22"/>
        </w:rPr>
      </w:pPr>
      <w:r w:rsidRPr="006467C5">
        <w:rPr>
          <w:rStyle w:val="eop"/>
          <w:szCs w:val="22"/>
        </w:rPr>
        <w:t> </w:t>
      </w:r>
    </w:p>
    <w:p w:rsidR="00AB302E" w:rsidRPr="007D1361" w:rsidRDefault="00AB302E" w:rsidP="007D1361">
      <w:pPr>
        <w:pStyle w:val="SemEspaamento"/>
        <w:jc w:val="center"/>
        <w:rPr>
          <w:sz w:val="20"/>
        </w:rPr>
      </w:pPr>
      <w:r w:rsidRPr="007D1361">
        <w:rPr>
          <w:sz w:val="20"/>
        </w:rPr>
        <w:t>Quadro 8 – Diferença do ICMS para a empresa optante pelo Simples Nacional, nas três situações apresentadas. Operação interna em Santa Catarina.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70"/>
        <w:gridCol w:w="3070"/>
        <w:gridCol w:w="3071"/>
      </w:tblGrid>
      <w:tr w:rsidR="00AB302E" w:rsidTr="008F0FC5">
        <w:trPr>
          <w:jc w:val="center"/>
        </w:trPr>
        <w:tc>
          <w:tcPr>
            <w:tcW w:w="3070" w:type="dxa"/>
            <w:shd w:val="clear" w:color="auto" w:fill="D9D9D9"/>
          </w:tcPr>
          <w:p w:rsidR="00AB302E" w:rsidRPr="00AB302E" w:rsidRDefault="00AB302E" w:rsidP="00854EA6">
            <w:pPr>
              <w:pStyle w:val="SemEspaamento"/>
              <w:widowControl w:val="0"/>
              <w:suppressLineNumbers/>
              <w:suppressAutoHyphens/>
              <w:jc w:val="center"/>
              <w:rPr>
                <w:b/>
                <w:sz w:val="20"/>
              </w:rPr>
            </w:pPr>
            <w:r w:rsidRPr="00AB302E">
              <w:rPr>
                <w:b/>
                <w:sz w:val="20"/>
              </w:rPr>
              <w:t>Tipo de Operação</w:t>
            </w:r>
          </w:p>
        </w:tc>
        <w:tc>
          <w:tcPr>
            <w:tcW w:w="3070" w:type="dxa"/>
            <w:shd w:val="clear" w:color="auto" w:fill="D9D9D9"/>
          </w:tcPr>
          <w:p w:rsidR="00AB302E" w:rsidRPr="00AB302E" w:rsidRDefault="00AB302E" w:rsidP="00854EA6">
            <w:pPr>
              <w:pStyle w:val="SemEspaamento"/>
              <w:widowControl w:val="0"/>
              <w:suppressLineNumbers/>
              <w:suppressAutoHyphens/>
              <w:jc w:val="center"/>
              <w:rPr>
                <w:b/>
                <w:sz w:val="20"/>
              </w:rPr>
            </w:pPr>
            <w:r w:rsidRPr="00AB302E">
              <w:rPr>
                <w:b/>
                <w:sz w:val="20"/>
              </w:rPr>
              <w:t>Custo do ICMS para a empresa optante pelo Simples Nacional</w:t>
            </w:r>
          </w:p>
        </w:tc>
        <w:tc>
          <w:tcPr>
            <w:tcW w:w="3071" w:type="dxa"/>
            <w:shd w:val="clear" w:color="auto" w:fill="D9D9D9"/>
          </w:tcPr>
          <w:p w:rsidR="00AB302E" w:rsidRPr="00AB302E" w:rsidRDefault="00AB302E" w:rsidP="00854EA6">
            <w:pPr>
              <w:pStyle w:val="SemEspaamento"/>
              <w:widowControl w:val="0"/>
              <w:suppressLineNumbers/>
              <w:suppressAutoHyphens/>
              <w:jc w:val="center"/>
              <w:rPr>
                <w:b/>
                <w:sz w:val="20"/>
              </w:rPr>
            </w:pPr>
            <w:r w:rsidRPr="00AB302E">
              <w:rPr>
                <w:b/>
                <w:sz w:val="20"/>
              </w:rPr>
              <w:t>Variação no imposto</w:t>
            </w:r>
          </w:p>
        </w:tc>
      </w:tr>
      <w:tr w:rsidR="00AB302E" w:rsidTr="008F0FC5">
        <w:trPr>
          <w:jc w:val="center"/>
        </w:trPr>
        <w:tc>
          <w:tcPr>
            <w:tcW w:w="3070" w:type="dxa"/>
          </w:tcPr>
          <w:p w:rsidR="00AB302E" w:rsidRPr="00AB302E" w:rsidRDefault="00AB302E" w:rsidP="00854EA6">
            <w:pPr>
              <w:pStyle w:val="SemEspaamento"/>
              <w:widowControl w:val="0"/>
              <w:suppressLineNumbers/>
              <w:suppressAutoHyphens/>
              <w:jc w:val="center"/>
              <w:rPr>
                <w:sz w:val="20"/>
              </w:rPr>
            </w:pPr>
            <w:r w:rsidRPr="00AB302E">
              <w:rPr>
                <w:sz w:val="20"/>
              </w:rPr>
              <w:t>ICMS no regime simplificado</w:t>
            </w:r>
          </w:p>
        </w:tc>
        <w:tc>
          <w:tcPr>
            <w:tcW w:w="3070" w:type="dxa"/>
          </w:tcPr>
          <w:p w:rsidR="00AB302E" w:rsidRPr="00AB302E" w:rsidRDefault="00AB302E" w:rsidP="00854EA6">
            <w:pPr>
              <w:pStyle w:val="SemEspaamento"/>
              <w:widowControl w:val="0"/>
              <w:suppressLineNumbers/>
              <w:suppressAutoHyphens/>
              <w:jc w:val="center"/>
              <w:rPr>
                <w:sz w:val="20"/>
              </w:rPr>
            </w:pPr>
            <w:r w:rsidRPr="00AB302E">
              <w:rPr>
                <w:sz w:val="20"/>
              </w:rPr>
              <w:t>5,96</w:t>
            </w:r>
          </w:p>
        </w:tc>
        <w:tc>
          <w:tcPr>
            <w:tcW w:w="3071" w:type="dxa"/>
          </w:tcPr>
          <w:p w:rsidR="00AB302E" w:rsidRPr="00AB302E" w:rsidRDefault="00AB302E" w:rsidP="00854EA6">
            <w:pPr>
              <w:pStyle w:val="SemEspaamento"/>
              <w:widowControl w:val="0"/>
              <w:suppressLineNumbers/>
              <w:suppressAutoHyphens/>
              <w:jc w:val="center"/>
              <w:rPr>
                <w:sz w:val="20"/>
              </w:rPr>
            </w:pPr>
            <w:r w:rsidRPr="00AB302E">
              <w:rPr>
                <w:sz w:val="20"/>
              </w:rPr>
              <w:t>-</w:t>
            </w:r>
          </w:p>
        </w:tc>
      </w:tr>
      <w:tr w:rsidR="00AB302E" w:rsidTr="008F0FC5">
        <w:trPr>
          <w:jc w:val="center"/>
        </w:trPr>
        <w:tc>
          <w:tcPr>
            <w:tcW w:w="3070" w:type="dxa"/>
          </w:tcPr>
          <w:p w:rsidR="00AB302E" w:rsidRPr="00AB302E" w:rsidRDefault="00AB302E" w:rsidP="00854EA6">
            <w:pPr>
              <w:pStyle w:val="SemEspaamento"/>
              <w:widowControl w:val="0"/>
              <w:suppressLineNumbers/>
              <w:suppressAutoHyphens/>
              <w:jc w:val="center"/>
              <w:rPr>
                <w:sz w:val="20"/>
              </w:rPr>
            </w:pPr>
            <w:r w:rsidRPr="00AB302E">
              <w:rPr>
                <w:sz w:val="20"/>
              </w:rPr>
              <w:t>ICMS/ST MVA integral</w:t>
            </w:r>
          </w:p>
        </w:tc>
        <w:tc>
          <w:tcPr>
            <w:tcW w:w="3070" w:type="dxa"/>
          </w:tcPr>
          <w:p w:rsidR="00AB302E" w:rsidRPr="00AB302E" w:rsidRDefault="00AB302E" w:rsidP="00854EA6">
            <w:pPr>
              <w:pStyle w:val="SemEspaamento"/>
              <w:widowControl w:val="0"/>
              <w:suppressLineNumbers/>
              <w:suppressAutoHyphens/>
              <w:jc w:val="center"/>
              <w:rPr>
                <w:sz w:val="20"/>
              </w:rPr>
            </w:pPr>
            <w:r w:rsidRPr="00AB302E">
              <w:rPr>
                <w:sz w:val="20"/>
              </w:rPr>
              <w:t>12,75</w:t>
            </w:r>
          </w:p>
        </w:tc>
        <w:tc>
          <w:tcPr>
            <w:tcW w:w="3071" w:type="dxa"/>
          </w:tcPr>
          <w:p w:rsidR="00AB302E" w:rsidRPr="00AB302E" w:rsidRDefault="00AB302E" w:rsidP="00854EA6">
            <w:pPr>
              <w:pStyle w:val="SemEspaamento"/>
              <w:widowControl w:val="0"/>
              <w:suppressLineNumbers/>
              <w:suppressAutoHyphens/>
              <w:jc w:val="center"/>
              <w:rPr>
                <w:sz w:val="20"/>
              </w:rPr>
            </w:pPr>
            <w:r w:rsidRPr="00AB302E">
              <w:rPr>
                <w:sz w:val="20"/>
              </w:rPr>
              <w:t>113,93</w:t>
            </w:r>
          </w:p>
        </w:tc>
      </w:tr>
      <w:tr w:rsidR="00AB302E" w:rsidTr="008F0FC5">
        <w:trPr>
          <w:jc w:val="center"/>
        </w:trPr>
        <w:tc>
          <w:tcPr>
            <w:tcW w:w="3070" w:type="dxa"/>
          </w:tcPr>
          <w:p w:rsidR="00AB302E" w:rsidRPr="00AB302E" w:rsidRDefault="00AB302E" w:rsidP="00854EA6">
            <w:pPr>
              <w:pStyle w:val="SemEspaamento"/>
              <w:widowControl w:val="0"/>
              <w:suppressLineNumbers/>
              <w:suppressAutoHyphens/>
              <w:jc w:val="center"/>
              <w:rPr>
                <w:sz w:val="20"/>
              </w:rPr>
            </w:pPr>
            <w:r w:rsidRPr="00AB302E">
              <w:rPr>
                <w:sz w:val="20"/>
              </w:rPr>
              <w:t>ICMS/ST MVA com redução</w:t>
            </w:r>
          </w:p>
        </w:tc>
        <w:tc>
          <w:tcPr>
            <w:tcW w:w="3070" w:type="dxa"/>
          </w:tcPr>
          <w:p w:rsidR="00AB302E" w:rsidRPr="00AB302E" w:rsidRDefault="00AB302E" w:rsidP="00854EA6">
            <w:pPr>
              <w:pStyle w:val="SemEspaamento"/>
              <w:widowControl w:val="0"/>
              <w:suppressLineNumbers/>
              <w:suppressAutoHyphens/>
              <w:jc w:val="center"/>
              <w:rPr>
                <w:sz w:val="20"/>
              </w:rPr>
            </w:pPr>
            <w:r w:rsidRPr="00AB302E">
              <w:rPr>
                <w:sz w:val="20"/>
              </w:rPr>
              <w:t>3,83</w:t>
            </w:r>
          </w:p>
        </w:tc>
        <w:tc>
          <w:tcPr>
            <w:tcW w:w="3071" w:type="dxa"/>
          </w:tcPr>
          <w:p w:rsidR="00AB302E" w:rsidRPr="00AB302E" w:rsidRDefault="00AB302E" w:rsidP="00854EA6">
            <w:pPr>
              <w:pStyle w:val="SemEspaamento"/>
              <w:widowControl w:val="0"/>
              <w:suppressLineNumbers/>
              <w:suppressAutoHyphens/>
              <w:jc w:val="center"/>
              <w:rPr>
                <w:sz w:val="20"/>
              </w:rPr>
            </w:pPr>
            <w:r w:rsidRPr="00AB302E">
              <w:rPr>
                <w:sz w:val="20"/>
              </w:rPr>
              <w:t>-35,74%</w:t>
            </w:r>
          </w:p>
        </w:tc>
      </w:tr>
    </w:tbl>
    <w:p w:rsidR="00694312" w:rsidRPr="00E360BF" w:rsidRDefault="00AB302E" w:rsidP="00E360BF">
      <w:pPr>
        <w:pStyle w:val="SemEspaamento"/>
        <w:spacing w:line="360" w:lineRule="auto"/>
        <w:rPr>
          <w:sz w:val="20"/>
        </w:rPr>
      </w:pPr>
      <w:r w:rsidRPr="001C1895">
        <w:rPr>
          <w:sz w:val="20"/>
        </w:rPr>
        <w:t>Fonte: Elaborado pelo autor, 2016.</w:t>
      </w:r>
    </w:p>
    <w:p w:rsidR="00E360BF" w:rsidRDefault="00E360BF" w:rsidP="006467C5">
      <w:pPr>
        <w:pStyle w:val="SemEspaamento"/>
        <w:ind w:firstLine="708"/>
        <w:jc w:val="left"/>
      </w:pPr>
    </w:p>
    <w:p w:rsidR="00AB302E" w:rsidRDefault="00AB302E" w:rsidP="006467C5">
      <w:pPr>
        <w:pStyle w:val="SemEspaamento"/>
        <w:ind w:firstLine="708"/>
        <w:jc w:val="left"/>
      </w:pPr>
      <w:r w:rsidRPr="00BD63BB">
        <w:t xml:space="preserve">É demonstrado, no Quadro </w:t>
      </w:r>
      <w:proofErr w:type="gramStart"/>
      <w:r w:rsidRPr="00BD63BB">
        <w:t>8</w:t>
      </w:r>
      <w:proofErr w:type="gramEnd"/>
      <w:r w:rsidRPr="00BD63BB">
        <w:t xml:space="preserve">, a variação do custo de ICMS do produto perfume para a empresa optante pelo Simples Nacional sediada em Santa Catarina, em operações de compra </w:t>
      </w:r>
      <w:r w:rsidRPr="00BD63BB">
        <w:lastRenderedPageBreak/>
        <w:t>interna no estado. Nota-se que, pelo regime simplificado (enquadrado na última faixa de tributação no Anexo I do Simples Nacional), o valor do ICMS devido na simulação é de R$ 5,96. Na operação com substituição tributária de ICMS, o valor do imposto sobe para R$ 12,75, um</w:t>
      </w:r>
      <w:r w:rsidR="00BD63BB">
        <w:t xml:space="preserve"> </w:t>
      </w:r>
      <w:r w:rsidRPr="00BD63BB">
        <w:t>aumento de 113,93%. Já na operação com o benefício fiscal (MVA reduzida em 70% na base de cálculo do ICMS/ST), obteve o valor de R$ 3,83, uma redução de 35,74%, comparado ao regime simplificado de tributação.</w:t>
      </w:r>
    </w:p>
    <w:p w:rsidR="00E360BF" w:rsidRPr="00BD63BB" w:rsidRDefault="00E360BF" w:rsidP="006467C5">
      <w:pPr>
        <w:pStyle w:val="SemEspaamento"/>
        <w:ind w:firstLine="708"/>
        <w:jc w:val="left"/>
      </w:pPr>
    </w:p>
    <w:p w:rsidR="00AB302E" w:rsidRPr="00BD63BB" w:rsidRDefault="00AB302E" w:rsidP="00E858DF">
      <w:pPr>
        <w:pStyle w:val="SemEspaamento"/>
        <w:rPr>
          <w:b/>
        </w:rPr>
      </w:pPr>
      <w:r w:rsidRPr="00BD63BB">
        <w:rPr>
          <w:b/>
        </w:rPr>
        <w:t>4.2 Simulações de venda interestadual para Santa Catarina</w:t>
      </w:r>
    </w:p>
    <w:p w:rsidR="00E360BF" w:rsidRDefault="00E360BF" w:rsidP="00E858DF">
      <w:pPr>
        <w:pStyle w:val="SemEspaamento"/>
        <w:ind w:firstLine="708"/>
      </w:pPr>
    </w:p>
    <w:p w:rsidR="00AB302E" w:rsidRPr="00BD63BB" w:rsidRDefault="00AB302E" w:rsidP="00E858DF">
      <w:pPr>
        <w:pStyle w:val="SemEspaamento"/>
        <w:ind w:firstLine="708"/>
      </w:pPr>
      <w:r w:rsidRPr="00BD63BB">
        <w:t>As simulações a baixo seguem as mesmas considerações iniciais das operações internas no estado catarinense. A MVA utilizada nas operações de vendas interestaduais para Santa Catarina são diferentes das utilizadas nas operações internas. A MVA pode variar conforme o regime tributário do fornecedor, como foi informado anteriormente.</w:t>
      </w:r>
    </w:p>
    <w:p w:rsidR="00694312" w:rsidRDefault="00AB302E" w:rsidP="00E858DF">
      <w:pPr>
        <w:pStyle w:val="SemEspaamento"/>
        <w:ind w:firstLine="708"/>
      </w:pPr>
      <w:r w:rsidRPr="00BD63BB">
        <w:t xml:space="preserve">No Quadro </w:t>
      </w:r>
      <w:proofErr w:type="gramStart"/>
      <w:r w:rsidRPr="00BD63BB">
        <w:t>9</w:t>
      </w:r>
      <w:proofErr w:type="gramEnd"/>
      <w:r w:rsidRPr="00BD63BB">
        <w:t xml:space="preserve">, obtivemos o valor de R$ 7,00 como ICMS. Nota-se que, na compra do produto perfume não é pago o ICMS por meio da substituição tributária, assim o ICMS será cobrado apenas na venda da Empresa B (optante pelo Simples Nacional) para o consumidor final. Para essa simulação, é utilizada a alíquota máxima prevista no Anexo I do Simples Nacional, 3,95%. O preço da Venda </w:t>
      </w:r>
      <w:proofErr w:type="gramStart"/>
      <w:r w:rsidRPr="00BD63BB">
        <w:t>2</w:t>
      </w:r>
      <w:proofErr w:type="gramEnd"/>
      <w:r w:rsidRPr="00BD63BB">
        <w:t xml:space="preserve"> será baseado na MVA ajustada (para alíquota interestadual 12%) de 77,17%.</w:t>
      </w:r>
    </w:p>
    <w:p w:rsidR="00E360BF" w:rsidRPr="00694312" w:rsidRDefault="00E360BF" w:rsidP="00E858DF">
      <w:pPr>
        <w:pStyle w:val="SemEspaamento"/>
        <w:ind w:firstLine="708"/>
      </w:pPr>
    </w:p>
    <w:p w:rsidR="00AB302E" w:rsidRPr="006467C5" w:rsidRDefault="00AB302E" w:rsidP="006467C5">
      <w:pPr>
        <w:pStyle w:val="SemEspaamento"/>
        <w:jc w:val="center"/>
        <w:rPr>
          <w:sz w:val="20"/>
        </w:rPr>
      </w:pPr>
      <w:r w:rsidRPr="006467C5">
        <w:rPr>
          <w:sz w:val="20"/>
        </w:rPr>
        <w:t>Quadro 9 – Venda interestadual do produto perfume tributado pelo regime simplificado.</w:t>
      </w:r>
    </w:p>
    <w:tbl>
      <w:tblPr>
        <w:tblW w:w="5000" w:type="pct"/>
        <w:jc w:val="center"/>
        <w:tblInd w:w="70" w:type="dxa"/>
        <w:tblCellMar>
          <w:left w:w="70" w:type="dxa"/>
          <w:right w:w="70" w:type="dxa"/>
        </w:tblCellMar>
        <w:tblLook w:val="00A0"/>
      </w:tblPr>
      <w:tblGrid>
        <w:gridCol w:w="146"/>
        <w:gridCol w:w="1973"/>
        <w:gridCol w:w="146"/>
        <w:gridCol w:w="4467"/>
        <w:gridCol w:w="2813"/>
      </w:tblGrid>
      <w:tr w:rsidR="00AB302E" w:rsidRPr="00102273" w:rsidTr="008F0FC5">
        <w:trPr>
          <w:trHeight w:val="55"/>
          <w:jc w:val="center"/>
        </w:trPr>
        <w:tc>
          <w:tcPr>
            <w:tcW w:w="80" w:type="pct"/>
            <w:tcBorders>
              <w:top w:val="thinThickThinSmallGap" w:sz="24" w:space="0" w:color="auto"/>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960" w:type="pct"/>
            <w:tcBorders>
              <w:top w:val="thinThickThinSmallGap" w:sz="24" w:space="0" w:color="auto"/>
              <w:left w:val="nil"/>
              <w:bottom w:val="nil"/>
              <w:right w:val="nil"/>
            </w:tcBorders>
            <w:shd w:val="clear" w:color="auto" w:fill="FFFFFF"/>
            <w:noWrap/>
            <w:vAlign w:val="center"/>
          </w:tcPr>
          <w:p w:rsidR="00AB302E" w:rsidRDefault="00AB302E" w:rsidP="00AB302E">
            <w:pPr>
              <w:rPr>
                <w:rFonts w:eastAsia="Calibri" w:cs="Arial"/>
                <w:color w:val="000000"/>
                <w:sz w:val="2"/>
                <w:szCs w:val="2"/>
              </w:rPr>
            </w:pPr>
          </w:p>
        </w:tc>
        <w:tc>
          <w:tcPr>
            <w:tcW w:w="80" w:type="pct"/>
            <w:tcBorders>
              <w:top w:val="thinThickThinSmallGap" w:sz="24" w:space="0" w:color="auto"/>
              <w:left w:val="nil"/>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2388" w:type="pct"/>
            <w:tcBorders>
              <w:top w:val="thinThickThinSmallGap" w:sz="24" w:space="0" w:color="auto"/>
              <w:left w:val="nil"/>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1493" w:type="pct"/>
            <w:tcBorders>
              <w:top w:val="thinThickThinSmallGap" w:sz="24" w:space="0" w:color="auto"/>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16"/>
                <w:szCs w:val="16"/>
              </w:rPr>
            </w:pPr>
          </w:p>
        </w:tc>
      </w:tr>
      <w:tr w:rsidR="00AB302E" w:rsidRPr="00102273" w:rsidTr="008F0FC5">
        <w:trPr>
          <w:trHeight w:val="65"/>
          <w:jc w:val="center"/>
        </w:trPr>
        <w:tc>
          <w:tcPr>
            <w:tcW w:w="80"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960" w:type="pct"/>
            <w:shd w:val="clear" w:color="auto" w:fill="FFFFFF"/>
            <w:noWrap/>
            <w:vAlign w:val="center"/>
            <w:hideMark/>
          </w:tcPr>
          <w:p w:rsidR="00AB302E" w:rsidRPr="00BD63BB" w:rsidRDefault="00AB302E" w:rsidP="00854EA6">
            <w:pPr>
              <w:ind w:firstLine="0"/>
              <w:jc w:val="center"/>
              <w:rPr>
                <w:rFonts w:eastAsia="Calibri"/>
                <w:b/>
                <w:sz w:val="20"/>
              </w:rPr>
            </w:pPr>
            <w:r w:rsidRPr="003B325B">
              <w:rPr>
                <w:rFonts w:eastAsia="Calibri"/>
              </w:rPr>
              <w:t xml:space="preserve">           </w:t>
            </w:r>
            <w:r w:rsidRPr="00BD63BB">
              <w:rPr>
                <w:rFonts w:eastAsia="Calibri"/>
                <w:b/>
                <w:sz w:val="20"/>
              </w:rPr>
              <w:t>EMPRESA A</w:t>
            </w:r>
          </w:p>
        </w:tc>
        <w:tc>
          <w:tcPr>
            <w:tcW w:w="80" w:type="pct"/>
            <w:shd w:val="clear" w:color="auto" w:fill="FFFFFF"/>
            <w:noWrap/>
            <w:vAlign w:val="center"/>
          </w:tcPr>
          <w:p w:rsidR="00AB302E" w:rsidRPr="003B325B" w:rsidRDefault="00AB302E" w:rsidP="00AB302E">
            <w:pPr>
              <w:jc w:val="center"/>
              <w:rPr>
                <w:rFonts w:eastAsia="Calibri"/>
              </w:rPr>
            </w:pPr>
          </w:p>
        </w:tc>
        <w:tc>
          <w:tcPr>
            <w:tcW w:w="2388" w:type="pct"/>
            <w:shd w:val="clear" w:color="auto" w:fill="FFFFFF"/>
            <w:noWrap/>
            <w:vAlign w:val="center"/>
            <w:hideMark/>
          </w:tcPr>
          <w:p w:rsidR="00AB302E" w:rsidRPr="00BD63BB" w:rsidRDefault="00AB302E" w:rsidP="00BD63BB">
            <w:pPr>
              <w:ind w:firstLine="0"/>
              <w:jc w:val="left"/>
              <w:rPr>
                <w:rFonts w:eastAsia="Calibri"/>
                <w:b/>
                <w:sz w:val="20"/>
              </w:rPr>
            </w:pPr>
            <w:r w:rsidRPr="00BD63BB">
              <w:rPr>
                <w:rFonts w:eastAsia="Calibri"/>
                <w:sz w:val="20"/>
              </w:rPr>
              <w:t xml:space="preserve"> </w:t>
            </w:r>
            <w:r w:rsidR="00BD63BB">
              <w:rPr>
                <w:rFonts w:eastAsia="Calibri"/>
                <w:sz w:val="20"/>
              </w:rPr>
              <w:t xml:space="preserve">            </w:t>
            </w:r>
            <w:r w:rsidRPr="00BD63BB">
              <w:rPr>
                <w:rFonts w:eastAsia="Calibri"/>
                <w:b/>
                <w:sz w:val="20"/>
              </w:rPr>
              <w:t>EMPRESA B – Optante Simples Nacional</w:t>
            </w:r>
          </w:p>
        </w:tc>
        <w:tc>
          <w:tcPr>
            <w:tcW w:w="1493" w:type="pct"/>
            <w:tcBorders>
              <w:top w:val="nil"/>
              <w:left w:val="nil"/>
              <w:bottom w:val="nil"/>
              <w:right w:val="thinThickThinSmallGap" w:sz="24" w:space="0" w:color="auto"/>
            </w:tcBorders>
            <w:shd w:val="clear" w:color="auto" w:fill="FFFFFF"/>
            <w:noWrap/>
            <w:vAlign w:val="center"/>
            <w:hideMark/>
          </w:tcPr>
          <w:p w:rsidR="00AB302E" w:rsidRPr="00BD63BB" w:rsidRDefault="00BD63BB" w:rsidP="00BD63BB">
            <w:pPr>
              <w:ind w:firstLine="0"/>
              <w:rPr>
                <w:rFonts w:eastAsia="Calibri" w:cs="Arial"/>
                <w:b/>
                <w:sz w:val="20"/>
              </w:rPr>
            </w:pPr>
            <w:r>
              <w:rPr>
                <w:rFonts w:eastAsia="Calibri" w:cs="Arial"/>
                <w:sz w:val="20"/>
              </w:rPr>
              <w:t xml:space="preserve">            </w:t>
            </w:r>
            <w:r w:rsidR="00AB302E" w:rsidRPr="00BD63BB">
              <w:rPr>
                <w:rFonts w:eastAsia="Calibri" w:cs="Arial"/>
                <w:sz w:val="20"/>
              </w:rPr>
              <w:t xml:space="preserve"> </w:t>
            </w:r>
            <w:r w:rsidR="00AB302E" w:rsidRPr="00BD63BB">
              <w:rPr>
                <w:rFonts w:eastAsia="Calibri" w:cs="Arial"/>
                <w:b/>
                <w:sz w:val="20"/>
              </w:rPr>
              <w:t>Consumidor Final</w:t>
            </w:r>
          </w:p>
        </w:tc>
      </w:tr>
      <w:tr w:rsidR="00AB302E" w:rsidRPr="00102273" w:rsidTr="008F0FC5">
        <w:trPr>
          <w:trHeight w:val="74"/>
          <w:jc w:val="center"/>
        </w:trPr>
        <w:tc>
          <w:tcPr>
            <w:tcW w:w="80"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960" w:type="pct"/>
            <w:shd w:val="clear" w:color="auto" w:fill="FFFFFF"/>
            <w:noWrap/>
            <w:vAlign w:val="center"/>
            <w:hideMark/>
          </w:tcPr>
          <w:p w:rsidR="00AB302E" w:rsidRPr="003B325B" w:rsidRDefault="00AB302E" w:rsidP="00AB302E">
            <w:pPr>
              <w:jc w:val="center"/>
              <w:rPr>
                <w:rFonts w:eastAsia="Calibri"/>
              </w:rPr>
            </w:pPr>
            <w:r>
              <w:rPr>
                <w:rFonts w:eastAsia="Calibri"/>
              </w:rPr>
              <w:pict>
                <v:rect id="_x0000_s1037" style="position:absolute;left:0;text-align:left;margin-left:-.8pt;margin-top:1.05pt;width:109.55pt;height:43.2pt;z-index:12;mso-position-horizontal-relative:text;mso-position-vertical-relative:text">
                  <v:textbox style="mso-next-textbox:#_x0000_s1037">
                    <w:txbxContent>
                      <w:p w:rsidR="00AB302E" w:rsidRPr="006E03C2" w:rsidRDefault="00AB302E" w:rsidP="00BD63BB">
                        <w:pPr>
                          <w:pStyle w:val="SemEspaamento"/>
                          <w:jc w:val="left"/>
                          <w:rPr>
                            <w:sz w:val="20"/>
                          </w:rPr>
                        </w:pPr>
                        <w:r w:rsidRPr="006E03C2">
                          <w:rPr>
                            <w:sz w:val="20"/>
                          </w:rPr>
                          <w:t>Custo</w:t>
                        </w:r>
                        <w:r w:rsidRPr="006E03C2">
                          <w:rPr>
                            <w:sz w:val="20"/>
                          </w:rPr>
                          <w:tab/>
                          <w:t xml:space="preserve">        Venda</w:t>
                        </w:r>
                      </w:p>
                      <w:p w:rsidR="00AB302E" w:rsidRPr="006E03C2" w:rsidRDefault="00AB302E" w:rsidP="00BD63BB">
                        <w:pPr>
                          <w:pStyle w:val="SemEspaamento"/>
                          <w:jc w:val="left"/>
                          <w:rPr>
                            <w:sz w:val="20"/>
                          </w:rPr>
                        </w:pPr>
                        <w:r w:rsidRPr="006E03C2">
                          <w:rPr>
                            <w:b/>
                            <w:sz w:val="20"/>
                          </w:rPr>
                          <w:t>70,00</w:t>
                        </w:r>
                        <w:r w:rsidRPr="006E03C2">
                          <w:rPr>
                            <w:sz w:val="20"/>
                          </w:rPr>
                          <w:tab/>
                          <w:t xml:space="preserve">        </w:t>
                        </w:r>
                        <w:r w:rsidRPr="006E03C2">
                          <w:rPr>
                            <w:b/>
                            <w:sz w:val="20"/>
                          </w:rPr>
                          <w:t>100,00</w:t>
                        </w:r>
                      </w:p>
                    </w:txbxContent>
                  </v:textbox>
                </v:rect>
              </w:pict>
            </w:r>
          </w:p>
        </w:tc>
        <w:tc>
          <w:tcPr>
            <w:tcW w:w="80" w:type="pct"/>
            <w:shd w:val="clear" w:color="auto" w:fill="FFFFFF"/>
            <w:noWrap/>
            <w:vAlign w:val="center"/>
            <w:hideMark/>
          </w:tcPr>
          <w:p w:rsidR="00AB302E" w:rsidRPr="003B325B" w:rsidRDefault="00AB302E" w:rsidP="00AB302E">
            <w:pPr>
              <w:jc w:val="center"/>
              <w:rPr>
                <w:rFonts w:eastAsia="Calibri"/>
              </w:rPr>
            </w:pPr>
          </w:p>
        </w:tc>
        <w:tc>
          <w:tcPr>
            <w:tcW w:w="2388" w:type="pct"/>
            <w:shd w:val="clear" w:color="auto" w:fill="FFFFFF"/>
            <w:noWrap/>
            <w:vAlign w:val="center"/>
          </w:tcPr>
          <w:p w:rsidR="00AB302E" w:rsidRPr="00BD63BB" w:rsidRDefault="00AB302E" w:rsidP="00AB302E">
            <w:pPr>
              <w:jc w:val="center"/>
              <w:rPr>
                <w:rFonts w:eastAsia="Calibri"/>
                <w:sz w:val="20"/>
              </w:rPr>
            </w:pPr>
            <w:r w:rsidRPr="00BD63BB">
              <w:rPr>
                <w:rFonts w:eastAsia="Calibri"/>
                <w:sz w:val="20"/>
              </w:rPr>
              <w:pict>
                <v:rect id="_x0000_s1038" style="position:absolute;left:0;text-align:left;margin-left:35.7pt;margin-top:.4pt;width:171.9pt;height:85.75pt;z-index:13;mso-position-horizontal-relative:text;mso-position-vertical-relative:text">
                  <v:textbox style="mso-next-textbox:#_x0000_s1038">
                    <w:txbxContent>
                      <w:p w:rsidR="00AB302E" w:rsidRPr="006E03C2" w:rsidRDefault="00AB302E" w:rsidP="00BD63BB">
                        <w:pPr>
                          <w:pStyle w:val="SemEspaamento"/>
                          <w:jc w:val="left"/>
                          <w:rPr>
                            <w:sz w:val="20"/>
                          </w:rPr>
                        </w:pPr>
                        <w:r w:rsidRPr="006E03C2">
                          <w:rPr>
                            <w:sz w:val="20"/>
                          </w:rPr>
                          <w:t>Custo</w:t>
                        </w:r>
                        <w:r w:rsidRPr="006E03C2">
                          <w:rPr>
                            <w:sz w:val="20"/>
                          </w:rPr>
                          <w:tab/>
                          <w:t xml:space="preserve">        Venda</w:t>
                        </w:r>
                      </w:p>
                      <w:p w:rsidR="00AB302E" w:rsidRPr="006E03C2" w:rsidRDefault="00AB302E" w:rsidP="00BD63BB">
                        <w:pPr>
                          <w:pStyle w:val="SemEspaamento"/>
                          <w:jc w:val="left"/>
                          <w:rPr>
                            <w:sz w:val="20"/>
                          </w:rPr>
                        </w:pPr>
                        <w:r w:rsidRPr="006E03C2">
                          <w:rPr>
                            <w:b/>
                            <w:sz w:val="20"/>
                          </w:rPr>
                          <w:t>100,00</w:t>
                        </w:r>
                        <w:r w:rsidRPr="006E03C2">
                          <w:rPr>
                            <w:sz w:val="20"/>
                          </w:rPr>
                          <w:tab/>
                          <w:t xml:space="preserve">        </w:t>
                        </w:r>
                        <w:r w:rsidRPr="006E03C2">
                          <w:rPr>
                            <w:b/>
                            <w:sz w:val="20"/>
                          </w:rPr>
                          <w:t>177,17</w:t>
                        </w:r>
                        <w:r w:rsidRPr="006E03C2">
                          <w:rPr>
                            <w:sz w:val="20"/>
                          </w:rPr>
                          <w:t xml:space="preserve"> (100 x 77,17%)</w:t>
                        </w:r>
                      </w:p>
                      <w:p w:rsidR="00AB302E" w:rsidRPr="006E03C2" w:rsidRDefault="00AB302E" w:rsidP="00BD63BB">
                        <w:pPr>
                          <w:pStyle w:val="SemEspaamento"/>
                          <w:jc w:val="left"/>
                          <w:rPr>
                            <w:sz w:val="20"/>
                          </w:rPr>
                        </w:pPr>
                      </w:p>
                      <w:p w:rsidR="00AB302E" w:rsidRPr="006E03C2" w:rsidRDefault="00AB302E" w:rsidP="00BD63BB">
                        <w:pPr>
                          <w:pStyle w:val="SemEspaamento"/>
                          <w:jc w:val="left"/>
                          <w:rPr>
                            <w:b/>
                            <w:sz w:val="20"/>
                            <w:u w:val="single"/>
                          </w:rPr>
                        </w:pPr>
                        <w:r w:rsidRPr="006E03C2">
                          <w:rPr>
                            <w:b/>
                            <w:sz w:val="20"/>
                            <w:u w:val="single"/>
                          </w:rPr>
                          <w:t>Cálculo de ICMS</w:t>
                        </w:r>
                      </w:p>
                      <w:p w:rsidR="00AB302E" w:rsidRPr="006E03C2" w:rsidRDefault="00AB302E" w:rsidP="00BD63BB">
                        <w:pPr>
                          <w:pStyle w:val="SemEspaamento"/>
                          <w:jc w:val="left"/>
                          <w:rPr>
                            <w:sz w:val="20"/>
                          </w:rPr>
                        </w:pPr>
                        <w:r w:rsidRPr="006E03C2">
                          <w:rPr>
                            <w:sz w:val="20"/>
                          </w:rPr>
                          <w:t>Crédito</w:t>
                        </w:r>
                        <w:r w:rsidRPr="006E03C2">
                          <w:rPr>
                            <w:sz w:val="20"/>
                          </w:rPr>
                          <w:tab/>
                          <w:t xml:space="preserve">        Débito</w:t>
                        </w:r>
                      </w:p>
                      <w:p w:rsidR="00AB302E" w:rsidRPr="006E03C2" w:rsidRDefault="00AB302E" w:rsidP="00BD63BB">
                        <w:pPr>
                          <w:pStyle w:val="SemEspaamento"/>
                          <w:jc w:val="left"/>
                          <w:rPr>
                            <w:sz w:val="20"/>
                          </w:rPr>
                        </w:pPr>
                        <w:r w:rsidRPr="006E03C2">
                          <w:rPr>
                            <w:b/>
                            <w:sz w:val="20"/>
                          </w:rPr>
                          <w:t>0,00</w:t>
                        </w:r>
                        <w:r w:rsidRPr="006E03C2">
                          <w:rPr>
                            <w:sz w:val="20"/>
                          </w:rPr>
                          <w:tab/>
                          <w:t xml:space="preserve">        </w:t>
                        </w:r>
                        <w:r w:rsidRPr="006E03C2">
                          <w:rPr>
                            <w:b/>
                            <w:sz w:val="20"/>
                          </w:rPr>
                          <w:t>7,00</w:t>
                        </w:r>
                        <w:r w:rsidRPr="006E03C2">
                          <w:rPr>
                            <w:sz w:val="20"/>
                          </w:rPr>
                          <w:t xml:space="preserve"> (100 x 3,95%)</w:t>
                        </w:r>
                      </w:p>
                    </w:txbxContent>
                  </v:textbox>
                </v:rect>
              </w:pict>
            </w:r>
          </w:p>
        </w:tc>
        <w:tc>
          <w:tcPr>
            <w:tcW w:w="1493" w:type="pct"/>
            <w:tcBorders>
              <w:top w:val="nil"/>
              <w:left w:val="nil"/>
              <w:bottom w:val="nil"/>
              <w:right w:val="thinThickThinSmallGap" w:sz="24" w:space="0" w:color="auto"/>
            </w:tcBorders>
            <w:shd w:val="clear" w:color="auto" w:fill="FFFFFF"/>
            <w:noWrap/>
            <w:vAlign w:val="center"/>
          </w:tcPr>
          <w:p w:rsidR="00AB302E" w:rsidRPr="00BD63BB" w:rsidRDefault="00AB302E" w:rsidP="00AB302E">
            <w:pPr>
              <w:jc w:val="center"/>
              <w:rPr>
                <w:rFonts w:eastAsia="Calibri" w:cs="Arial"/>
                <w:sz w:val="20"/>
              </w:rPr>
            </w:pPr>
          </w:p>
        </w:tc>
      </w:tr>
      <w:tr w:rsidR="00AB302E" w:rsidRPr="00102273" w:rsidTr="008F0FC5">
        <w:trPr>
          <w:trHeight w:val="74"/>
          <w:jc w:val="center"/>
        </w:trPr>
        <w:tc>
          <w:tcPr>
            <w:tcW w:w="80"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960" w:type="pct"/>
            <w:shd w:val="clear" w:color="auto" w:fill="FFFFFF"/>
            <w:noWrap/>
            <w:vAlign w:val="center"/>
            <w:hideMark/>
          </w:tcPr>
          <w:p w:rsidR="00AB302E" w:rsidRPr="003B325B" w:rsidRDefault="00AB302E" w:rsidP="00AB302E">
            <w:pPr>
              <w:jc w:val="center"/>
              <w:rPr>
                <w:rFonts w:eastAsia="Calibri"/>
              </w:rPr>
            </w:pPr>
            <w:r>
              <w:rPr>
                <w:rFonts w:eastAsia="Calibri"/>
              </w:rPr>
              <w:pict>
                <v:shape id="_x0000_s1036" type="#_x0000_t13" style="position:absolute;left:0;text-align:left;margin-left:56.55pt;margin-top:30.9pt;width:64.6pt;height:49.85pt;z-index:11;mso-position-horizontal-relative:text;mso-position-vertical-relative:text">
                  <v:textbox style="mso-next-textbox:#_x0000_s1036">
                    <w:txbxContent>
                      <w:p w:rsidR="00AB302E" w:rsidRPr="006E03C2" w:rsidRDefault="00AB302E" w:rsidP="00BD63BB">
                        <w:pPr>
                          <w:ind w:firstLine="0"/>
                          <w:jc w:val="left"/>
                          <w:rPr>
                            <w:b/>
                            <w:bCs/>
                            <w:sz w:val="20"/>
                          </w:rPr>
                        </w:pPr>
                        <w:r w:rsidRPr="006E03C2">
                          <w:rPr>
                            <w:b/>
                            <w:bCs/>
                            <w:sz w:val="20"/>
                          </w:rPr>
                          <w:t xml:space="preserve">Venda </w:t>
                        </w:r>
                        <w:proofErr w:type="gramStart"/>
                        <w:r w:rsidRPr="006E03C2">
                          <w:rPr>
                            <w:b/>
                            <w:bCs/>
                            <w:sz w:val="20"/>
                          </w:rPr>
                          <w:t>1</w:t>
                        </w:r>
                        <w:proofErr w:type="gramEnd"/>
                      </w:p>
                    </w:txbxContent>
                  </v:textbox>
                </v:shape>
              </w:pict>
            </w:r>
          </w:p>
        </w:tc>
        <w:tc>
          <w:tcPr>
            <w:tcW w:w="80" w:type="pct"/>
            <w:shd w:val="clear" w:color="auto" w:fill="FFFFFF"/>
            <w:noWrap/>
            <w:vAlign w:val="center"/>
          </w:tcPr>
          <w:p w:rsidR="00AB302E" w:rsidRPr="003B325B" w:rsidRDefault="00AB302E" w:rsidP="00AB302E">
            <w:pPr>
              <w:jc w:val="center"/>
              <w:rPr>
                <w:rFonts w:eastAsia="Calibri"/>
              </w:rPr>
            </w:pPr>
          </w:p>
        </w:tc>
        <w:tc>
          <w:tcPr>
            <w:tcW w:w="2388" w:type="pct"/>
            <w:shd w:val="clear" w:color="auto" w:fill="FFFFFF"/>
            <w:noWrap/>
            <w:vAlign w:val="center"/>
          </w:tcPr>
          <w:p w:rsidR="00AB302E" w:rsidRPr="00BD63BB" w:rsidRDefault="00BD63BB" w:rsidP="00AB302E">
            <w:pPr>
              <w:jc w:val="center"/>
              <w:rPr>
                <w:rFonts w:eastAsia="Calibri"/>
                <w:sz w:val="20"/>
              </w:rPr>
            </w:pPr>
            <w:r w:rsidRPr="00BD63BB">
              <w:rPr>
                <w:rFonts w:eastAsia="Calibri"/>
                <w:sz w:val="20"/>
              </w:rPr>
              <w:pict>
                <v:shape id="_x0000_s1039" type="#_x0000_t13" style="position:absolute;left:0;text-align:left;margin-left:215.4pt;margin-top:.65pt;width:53.6pt;height:55.85pt;z-index:14;mso-position-horizontal-relative:text;mso-position-vertical-relative:text">
                  <v:textbox style="mso-next-textbox:#_x0000_s1039">
                    <w:txbxContent>
                      <w:p w:rsidR="00AB302E" w:rsidRPr="006E03C2" w:rsidRDefault="00AB302E" w:rsidP="00BD63BB">
                        <w:pPr>
                          <w:ind w:firstLine="0"/>
                          <w:jc w:val="left"/>
                          <w:rPr>
                            <w:b/>
                            <w:bCs/>
                            <w:sz w:val="20"/>
                          </w:rPr>
                        </w:pPr>
                        <w:r w:rsidRPr="006E03C2">
                          <w:rPr>
                            <w:b/>
                            <w:bCs/>
                            <w:sz w:val="20"/>
                          </w:rPr>
                          <w:t xml:space="preserve">Venda </w:t>
                        </w:r>
                        <w:proofErr w:type="gramStart"/>
                        <w:r w:rsidRPr="006E03C2">
                          <w:rPr>
                            <w:b/>
                            <w:bCs/>
                            <w:sz w:val="20"/>
                          </w:rPr>
                          <w:t>2</w:t>
                        </w:r>
                        <w:proofErr w:type="gramEnd"/>
                      </w:p>
                    </w:txbxContent>
                  </v:textbox>
                </v:shape>
              </w:pict>
            </w:r>
          </w:p>
        </w:tc>
        <w:tc>
          <w:tcPr>
            <w:tcW w:w="1493" w:type="pct"/>
            <w:tcBorders>
              <w:top w:val="nil"/>
              <w:left w:val="nil"/>
              <w:bottom w:val="nil"/>
              <w:right w:val="thinThickThinSmallGap" w:sz="24" w:space="0" w:color="auto"/>
            </w:tcBorders>
            <w:shd w:val="clear" w:color="auto" w:fill="FFFFFF"/>
            <w:noWrap/>
            <w:vAlign w:val="center"/>
            <w:hideMark/>
          </w:tcPr>
          <w:p w:rsidR="00AB302E" w:rsidRPr="00BD63BB" w:rsidRDefault="00BD63BB" w:rsidP="00BD63BB">
            <w:pPr>
              <w:tabs>
                <w:tab w:val="left" w:pos="3747"/>
              </w:tabs>
              <w:ind w:firstLine="0"/>
              <w:rPr>
                <w:rFonts w:eastAsia="Calibri" w:cs="Arial"/>
                <w:sz w:val="20"/>
              </w:rPr>
            </w:pPr>
            <w:r>
              <w:rPr>
                <w:rFonts w:eastAsia="Calibri" w:cs="Arial"/>
                <w:sz w:val="20"/>
              </w:rPr>
              <w:t xml:space="preserve">                        </w:t>
            </w:r>
            <w:r w:rsidR="00AB302E" w:rsidRPr="00BD63BB">
              <w:rPr>
                <w:rFonts w:eastAsia="Calibri" w:cs="Arial"/>
                <w:sz w:val="20"/>
              </w:rPr>
              <w:t xml:space="preserve">    </w:t>
            </w:r>
            <w:r w:rsidR="00AB302E" w:rsidRPr="00BD63BB">
              <w:rPr>
                <w:rFonts w:eastAsia="Calibri"/>
                <w:noProof/>
                <w:sz w:val="20"/>
              </w:rPr>
              <w:pict>
                <v:shape id="_x0000_i1026" type="#_x0000_t75" alt="bonewco" style="width:15.75pt;height:42pt;visibility:visible">
                  <v:imagedata r:id="rId14" o:title="bonewco"/>
                </v:shape>
              </w:pict>
            </w:r>
            <w:r w:rsidR="00AB302E" w:rsidRPr="00BD63BB">
              <w:rPr>
                <w:rFonts w:eastAsia="Calibri" w:cs="Arial"/>
                <w:sz w:val="20"/>
              </w:rPr>
              <w:t xml:space="preserve">                            </w:t>
            </w:r>
          </w:p>
        </w:tc>
      </w:tr>
      <w:tr w:rsidR="00AB302E" w:rsidRPr="00102273" w:rsidTr="008F0FC5">
        <w:trPr>
          <w:trHeight w:val="65"/>
          <w:jc w:val="center"/>
        </w:trPr>
        <w:tc>
          <w:tcPr>
            <w:tcW w:w="80"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960" w:type="pct"/>
            <w:shd w:val="clear" w:color="auto" w:fill="FFFFFF"/>
            <w:noWrap/>
            <w:vAlign w:val="center"/>
          </w:tcPr>
          <w:p w:rsidR="00AB302E" w:rsidRPr="003B325B" w:rsidRDefault="00AB302E" w:rsidP="00AB302E">
            <w:pPr>
              <w:jc w:val="center"/>
              <w:rPr>
                <w:rFonts w:eastAsia="Calibri"/>
              </w:rPr>
            </w:pPr>
          </w:p>
        </w:tc>
        <w:tc>
          <w:tcPr>
            <w:tcW w:w="80" w:type="pct"/>
            <w:shd w:val="clear" w:color="auto" w:fill="FFFFFF"/>
            <w:noWrap/>
            <w:vAlign w:val="center"/>
          </w:tcPr>
          <w:p w:rsidR="00AB302E" w:rsidRPr="003B325B" w:rsidRDefault="00AB302E" w:rsidP="00AB302E">
            <w:pPr>
              <w:jc w:val="center"/>
              <w:rPr>
                <w:rFonts w:eastAsia="Calibri"/>
              </w:rPr>
            </w:pPr>
          </w:p>
        </w:tc>
        <w:tc>
          <w:tcPr>
            <w:tcW w:w="2388" w:type="pct"/>
            <w:shd w:val="clear" w:color="auto" w:fill="FFFFFF"/>
            <w:noWrap/>
            <w:vAlign w:val="center"/>
          </w:tcPr>
          <w:p w:rsidR="00AB302E" w:rsidRPr="003B325B" w:rsidRDefault="00AB302E" w:rsidP="00AB302E">
            <w:pPr>
              <w:jc w:val="center"/>
              <w:rPr>
                <w:rFonts w:eastAsia="Calibri"/>
              </w:rPr>
            </w:pPr>
          </w:p>
        </w:tc>
        <w:tc>
          <w:tcPr>
            <w:tcW w:w="1493" w:type="pct"/>
            <w:tcBorders>
              <w:top w:val="nil"/>
              <w:left w:val="nil"/>
              <w:bottom w:val="nil"/>
              <w:right w:val="thinThickThinSmallGap" w:sz="24" w:space="0" w:color="auto"/>
            </w:tcBorders>
            <w:shd w:val="clear" w:color="auto" w:fill="FFFFFF"/>
            <w:noWrap/>
            <w:vAlign w:val="center"/>
          </w:tcPr>
          <w:p w:rsidR="00AB302E" w:rsidRPr="003B325B" w:rsidRDefault="00AB302E" w:rsidP="00AB302E">
            <w:pPr>
              <w:jc w:val="center"/>
              <w:rPr>
                <w:rFonts w:eastAsia="Calibri" w:cs="Arial"/>
              </w:rPr>
            </w:pPr>
          </w:p>
        </w:tc>
      </w:tr>
      <w:tr w:rsidR="00AB302E" w:rsidRPr="00102273" w:rsidTr="008F0FC5">
        <w:trPr>
          <w:trHeight w:val="74"/>
          <w:jc w:val="center"/>
        </w:trPr>
        <w:tc>
          <w:tcPr>
            <w:tcW w:w="80"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960" w:type="pct"/>
            <w:shd w:val="clear" w:color="auto" w:fill="FFFFFF"/>
            <w:noWrap/>
            <w:vAlign w:val="center"/>
          </w:tcPr>
          <w:p w:rsidR="00AB302E" w:rsidRPr="003B325B" w:rsidRDefault="00AB302E" w:rsidP="00AB302E">
            <w:pPr>
              <w:jc w:val="center"/>
              <w:rPr>
                <w:rFonts w:eastAsia="Calibri"/>
              </w:rPr>
            </w:pPr>
          </w:p>
        </w:tc>
        <w:tc>
          <w:tcPr>
            <w:tcW w:w="80" w:type="pct"/>
            <w:shd w:val="clear" w:color="auto" w:fill="FFFFFF"/>
            <w:noWrap/>
            <w:vAlign w:val="center"/>
          </w:tcPr>
          <w:p w:rsidR="00AB302E" w:rsidRPr="003B325B" w:rsidRDefault="00AB302E" w:rsidP="00AB302E">
            <w:pPr>
              <w:jc w:val="center"/>
              <w:rPr>
                <w:rFonts w:eastAsia="Calibri"/>
              </w:rPr>
            </w:pPr>
          </w:p>
        </w:tc>
        <w:tc>
          <w:tcPr>
            <w:tcW w:w="2388" w:type="pct"/>
            <w:shd w:val="clear" w:color="auto" w:fill="FFFFFF"/>
            <w:noWrap/>
            <w:vAlign w:val="center"/>
          </w:tcPr>
          <w:p w:rsidR="00AB302E" w:rsidRPr="003B325B" w:rsidRDefault="00AB302E" w:rsidP="00AB302E">
            <w:pPr>
              <w:jc w:val="center"/>
              <w:rPr>
                <w:rFonts w:eastAsia="Calibri"/>
              </w:rPr>
            </w:pPr>
          </w:p>
        </w:tc>
        <w:tc>
          <w:tcPr>
            <w:tcW w:w="1493" w:type="pct"/>
            <w:tcBorders>
              <w:top w:val="nil"/>
              <w:left w:val="nil"/>
              <w:bottom w:val="nil"/>
              <w:right w:val="thinThickThinSmallGap" w:sz="24" w:space="0" w:color="auto"/>
            </w:tcBorders>
            <w:shd w:val="clear" w:color="auto" w:fill="FFFFFF"/>
            <w:noWrap/>
            <w:vAlign w:val="center"/>
            <w:hideMark/>
          </w:tcPr>
          <w:p w:rsidR="00AB302E" w:rsidRPr="003B325B" w:rsidRDefault="00AB302E" w:rsidP="00AB302E">
            <w:pPr>
              <w:jc w:val="center"/>
              <w:rPr>
                <w:rFonts w:eastAsia="Calibri" w:cs="Arial"/>
              </w:rPr>
            </w:pPr>
            <w:r w:rsidRPr="003B325B">
              <w:rPr>
                <w:rFonts w:eastAsia="Calibri" w:cs="Arial"/>
              </w:rPr>
              <w:t xml:space="preserve"> </w:t>
            </w:r>
          </w:p>
        </w:tc>
      </w:tr>
      <w:tr w:rsidR="00AB302E" w:rsidRPr="00102273" w:rsidTr="008F0FC5">
        <w:trPr>
          <w:trHeight w:val="74"/>
          <w:jc w:val="center"/>
        </w:trPr>
        <w:tc>
          <w:tcPr>
            <w:tcW w:w="80"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960" w:type="pct"/>
            <w:shd w:val="clear" w:color="auto" w:fill="FFFFFF"/>
            <w:noWrap/>
            <w:vAlign w:val="center"/>
          </w:tcPr>
          <w:p w:rsidR="00AB302E" w:rsidRDefault="00AB302E" w:rsidP="00AB302E">
            <w:pPr>
              <w:jc w:val="center"/>
              <w:rPr>
                <w:rFonts w:eastAsia="Calibri"/>
                <w:color w:val="000000"/>
                <w:sz w:val="16"/>
                <w:szCs w:val="16"/>
              </w:rPr>
            </w:pPr>
          </w:p>
        </w:tc>
        <w:tc>
          <w:tcPr>
            <w:tcW w:w="80" w:type="pct"/>
            <w:shd w:val="clear" w:color="auto" w:fill="FFFFFF"/>
            <w:noWrap/>
            <w:vAlign w:val="center"/>
          </w:tcPr>
          <w:p w:rsidR="00AB302E" w:rsidRDefault="00AB302E" w:rsidP="00AB302E">
            <w:pPr>
              <w:jc w:val="center"/>
              <w:rPr>
                <w:rFonts w:eastAsia="Calibri"/>
                <w:color w:val="000000"/>
                <w:sz w:val="16"/>
                <w:szCs w:val="16"/>
              </w:rPr>
            </w:pPr>
          </w:p>
        </w:tc>
        <w:tc>
          <w:tcPr>
            <w:tcW w:w="2388" w:type="pct"/>
            <w:shd w:val="clear" w:color="auto" w:fill="FFFFFF"/>
            <w:noWrap/>
            <w:vAlign w:val="center"/>
          </w:tcPr>
          <w:p w:rsidR="00AB302E" w:rsidRDefault="00AB302E" w:rsidP="00AB302E">
            <w:pPr>
              <w:jc w:val="center"/>
              <w:rPr>
                <w:rFonts w:eastAsia="Calibri"/>
                <w:color w:val="000000"/>
                <w:sz w:val="16"/>
                <w:szCs w:val="16"/>
              </w:rPr>
            </w:pPr>
          </w:p>
        </w:tc>
        <w:tc>
          <w:tcPr>
            <w:tcW w:w="1493" w:type="pct"/>
            <w:tcBorders>
              <w:top w:val="nil"/>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16"/>
                <w:szCs w:val="16"/>
              </w:rPr>
            </w:pPr>
          </w:p>
        </w:tc>
      </w:tr>
      <w:tr w:rsidR="00AB302E" w:rsidRPr="0085647A" w:rsidTr="008F0FC5">
        <w:trPr>
          <w:trHeight w:val="80"/>
          <w:jc w:val="center"/>
        </w:trPr>
        <w:tc>
          <w:tcPr>
            <w:tcW w:w="80" w:type="pct"/>
            <w:tcBorders>
              <w:top w:val="nil"/>
              <w:left w:val="thinThickThinSmallGap" w:sz="24" w:space="0" w:color="auto"/>
              <w:bottom w:val="thinThickThinSmallGap" w:sz="24" w:space="0" w:color="auto"/>
              <w:right w:val="nil"/>
            </w:tcBorders>
            <w:shd w:val="clear" w:color="auto" w:fill="FFFFFF"/>
            <w:noWrap/>
            <w:vAlign w:val="center"/>
          </w:tcPr>
          <w:p w:rsidR="00AB302E" w:rsidRDefault="00AB302E" w:rsidP="00AB302E">
            <w:pPr>
              <w:jc w:val="center"/>
              <w:rPr>
                <w:rFonts w:ascii="Arial" w:eastAsia="Calibri" w:hAnsi="Arial" w:cs="Arial"/>
                <w:color w:val="000000"/>
                <w:sz w:val="4"/>
                <w:szCs w:val="4"/>
              </w:rPr>
            </w:pPr>
          </w:p>
        </w:tc>
        <w:tc>
          <w:tcPr>
            <w:tcW w:w="960" w:type="pct"/>
            <w:tcBorders>
              <w:top w:val="nil"/>
              <w:left w:val="nil"/>
              <w:bottom w:val="thinThickThinSmallGap" w:sz="24" w:space="0" w:color="auto"/>
              <w:right w:val="nil"/>
            </w:tcBorders>
            <w:shd w:val="clear" w:color="auto" w:fill="FFFFFF"/>
            <w:noWrap/>
            <w:vAlign w:val="center"/>
          </w:tcPr>
          <w:p w:rsidR="00AB302E" w:rsidRDefault="00AB302E" w:rsidP="00AB302E">
            <w:pPr>
              <w:jc w:val="center"/>
              <w:rPr>
                <w:rFonts w:ascii="Arial" w:eastAsia="Calibri" w:hAnsi="Arial" w:cs="Arial"/>
                <w:color w:val="000000"/>
                <w:sz w:val="4"/>
                <w:szCs w:val="4"/>
              </w:rPr>
            </w:pPr>
          </w:p>
        </w:tc>
        <w:tc>
          <w:tcPr>
            <w:tcW w:w="80" w:type="pct"/>
            <w:tcBorders>
              <w:top w:val="nil"/>
              <w:left w:val="nil"/>
              <w:bottom w:val="thinThickThinSmallGap" w:sz="24" w:space="0" w:color="auto"/>
              <w:right w:val="nil"/>
            </w:tcBorders>
            <w:shd w:val="clear" w:color="auto" w:fill="FFFFFF"/>
            <w:noWrap/>
            <w:vAlign w:val="center"/>
          </w:tcPr>
          <w:p w:rsidR="00AB302E" w:rsidRDefault="00AB302E" w:rsidP="00AB302E">
            <w:pPr>
              <w:rPr>
                <w:rFonts w:ascii="Arial" w:eastAsia="Calibri" w:hAnsi="Arial" w:cs="Arial"/>
                <w:color w:val="000000"/>
                <w:sz w:val="4"/>
                <w:szCs w:val="4"/>
              </w:rPr>
            </w:pPr>
          </w:p>
        </w:tc>
        <w:tc>
          <w:tcPr>
            <w:tcW w:w="2388" w:type="pct"/>
            <w:tcBorders>
              <w:top w:val="nil"/>
              <w:left w:val="nil"/>
              <w:bottom w:val="thinThickThinSmallGap" w:sz="24" w:space="0" w:color="auto"/>
              <w:right w:val="nil"/>
            </w:tcBorders>
            <w:shd w:val="clear" w:color="auto" w:fill="FFFFFF"/>
            <w:noWrap/>
            <w:vAlign w:val="center"/>
          </w:tcPr>
          <w:p w:rsidR="00AB302E" w:rsidRDefault="00AB302E" w:rsidP="00AB302E">
            <w:pPr>
              <w:jc w:val="center"/>
              <w:rPr>
                <w:rFonts w:ascii="Arial" w:eastAsia="Calibri" w:hAnsi="Arial" w:cs="Arial"/>
                <w:color w:val="000000"/>
                <w:sz w:val="4"/>
                <w:szCs w:val="4"/>
              </w:rPr>
            </w:pPr>
          </w:p>
        </w:tc>
        <w:tc>
          <w:tcPr>
            <w:tcW w:w="1493" w:type="pct"/>
            <w:tcBorders>
              <w:top w:val="nil"/>
              <w:left w:val="nil"/>
              <w:bottom w:val="thinThickThinSmallGap" w:sz="24" w:space="0" w:color="auto"/>
              <w:right w:val="thinThickThinSmallGap" w:sz="24" w:space="0" w:color="auto"/>
            </w:tcBorders>
            <w:shd w:val="clear" w:color="auto" w:fill="FFFFFF"/>
            <w:noWrap/>
            <w:vAlign w:val="center"/>
          </w:tcPr>
          <w:p w:rsidR="00AB302E" w:rsidRDefault="00AB302E" w:rsidP="00AB302E">
            <w:pPr>
              <w:jc w:val="center"/>
              <w:rPr>
                <w:rFonts w:ascii="Arial" w:eastAsia="Calibri" w:hAnsi="Arial" w:cs="Arial"/>
                <w:color w:val="000000"/>
                <w:sz w:val="4"/>
                <w:szCs w:val="4"/>
              </w:rPr>
            </w:pPr>
          </w:p>
        </w:tc>
      </w:tr>
    </w:tbl>
    <w:p w:rsidR="00694312" w:rsidRPr="00E360BF" w:rsidRDefault="00AB302E" w:rsidP="00E360BF">
      <w:pPr>
        <w:pStyle w:val="SemEspaamento"/>
        <w:spacing w:line="360" w:lineRule="auto"/>
        <w:rPr>
          <w:sz w:val="20"/>
        </w:rPr>
      </w:pPr>
      <w:r w:rsidRPr="001C1895">
        <w:rPr>
          <w:sz w:val="20"/>
        </w:rPr>
        <w:t>Fonte: Elaborado pelo autor, 2016.</w:t>
      </w:r>
    </w:p>
    <w:p w:rsidR="00E360BF" w:rsidRDefault="00E360BF" w:rsidP="00E858DF">
      <w:pPr>
        <w:pStyle w:val="SemEspaamento"/>
        <w:ind w:firstLine="708"/>
      </w:pPr>
    </w:p>
    <w:p w:rsidR="00694312" w:rsidRDefault="00AB302E" w:rsidP="00E858DF">
      <w:pPr>
        <w:pStyle w:val="SemEspaamento"/>
        <w:ind w:firstLine="708"/>
      </w:pPr>
      <w:r w:rsidRPr="00BD63BB">
        <w:t>Na simulação do Quadro 10, demonstra-se o cálculo realizado com a MVA Ajustada integral de 77,17%, numa operação de venda com substituição tributária de ICMS da Empresa A (remetente Normal) para a Empresa B (destinatário do Simples Nacional).</w:t>
      </w:r>
    </w:p>
    <w:p w:rsidR="00E360BF" w:rsidRDefault="00E360BF" w:rsidP="00E858DF">
      <w:pPr>
        <w:pStyle w:val="SemEspaamento"/>
        <w:ind w:firstLine="708"/>
      </w:pPr>
    </w:p>
    <w:p w:rsidR="00E360BF" w:rsidRDefault="00E360BF" w:rsidP="00E858DF">
      <w:pPr>
        <w:pStyle w:val="SemEspaamento"/>
        <w:ind w:firstLine="708"/>
      </w:pPr>
    </w:p>
    <w:p w:rsidR="00E360BF" w:rsidRPr="00BD63BB" w:rsidRDefault="00E360BF" w:rsidP="00E858DF">
      <w:pPr>
        <w:pStyle w:val="SemEspaamento"/>
        <w:ind w:firstLine="708"/>
      </w:pPr>
    </w:p>
    <w:p w:rsidR="00AB302E" w:rsidRPr="006467C5" w:rsidRDefault="00AB302E" w:rsidP="006467C5">
      <w:pPr>
        <w:pStyle w:val="SemEspaamento"/>
        <w:jc w:val="center"/>
        <w:rPr>
          <w:rFonts w:ascii="Arial" w:hAnsi="Arial" w:cs="Arial"/>
          <w:sz w:val="20"/>
        </w:rPr>
      </w:pPr>
      <w:r w:rsidRPr="006467C5">
        <w:rPr>
          <w:sz w:val="20"/>
        </w:rPr>
        <w:lastRenderedPageBreak/>
        <w:t>Quadro 10 – Venda interestadual do produto perfume tributado ICMS/ST para empresa optante pelo simples nacional. MVA ajustada.</w:t>
      </w:r>
    </w:p>
    <w:tbl>
      <w:tblPr>
        <w:tblW w:w="5000" w:type="pct"/>
        <w:jc w:val="center"/>
        <w:tblInd w:w="70" w:type="dxa"/>
        <w:tblCellMar>
          <w:left w:w="70" w:type="dxa"/>
          <w:right w:w="70" w:type="dxa"/>
        </w:tblCellMar>
        <w:tblLook w:val="00A0"/>
      </w:tblPr>
      <w:tblGrid>
        <w:gridCol w:w="161"/>
        <w:gridCol w:w="160"/>
        <w:gridCol w:w="3178"/>
        <w:gridCol w:w="4538"/>
        <w:gridCol w:w="1508"/>
      </w:tblGrid>
      <w:tr w:rsidR="00AB302E" w:rsidRPr="00102273" w:rsidTr="008F0FC5">
        <w:trPr>
          <w:trHeight w:val="59"/>
          <w:jc w:val="center"/>
        </w:trPr>
        <w:tc>
          <w:tcPr>
            <w:tcW w:w="84" w:type="pct"/>
            <w:tcBorders>
              <w:top w:val="thinThickThinSmallGap" w:sz="24" w:space="0" w:color="auto"/>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tcBorders>
              <w:top w:val="thinThickThinSmallGap" w:sz="24" w:space="0" w:color="auto"/>
              <w:left w:val="nil"/>
              <w:bottom w:val="nil"/>
              <w:right w:val="nil"/>
            </w:tcBorders>
            <w:shd w:val="clear" w:color="auto" w:fill="FFFFFF"/>
            <w:noWrap/>
            <w:vAlign w:val="center"/>
          </w:tcPr>
          <w:p w:rsidR="00AB302E" w:rsidRDefault="00AB302E" w:rsidP="00AB302E">
            <w:pPr>
              <w:rPr>
                <w:rFonts w:eastAsia="Calibri" w:cs="Arial"/>
                <w:color w:val="000000"/>
                <w:sz w:val="2"/>
                <w:szCs w:val="2"/>
              </w:rPr>
            </w:pPr>
          </w:p>
        </w:tc>
        <w:tc>
          <w:tcPr>
            <w:tcW w:w="1665" w:type="pct"/>
            <w:tcBorders>
              <w:top w:val="thinThickThinSmallGap" w:sz="24" w:space="0" w:color="auto"/>
              <w:left w:val="nil"/>
              <w:bottom w:val="nil"/>
              <w:right w:val="nil"/>
            </w:tcBorders>
            <w:shd w:val="clear" w:color="auto" w:fill="FFFFFF"/>
            <w:noWrap/>
            <w:vAlign w:val="center"/>
          </w:tcPr>
          <w:p w:rsidR="00AB302E" w:rsidRDefault="00AB302E" w:rsidP="00E360BF">
            <w:pPr>
              <w:ind w:firstLine="0"/>
              <w:rPr>
                <w:rFonts w:eastAsia="Calibri" w:cs="Arial"/>
                <w:color w:val="000000"/>
                <w:sz w:val="16"/>
                <w:szCs w:val="16"/>
              </w:rPr>
            </w:pPr>
          </w:p>
        </w:tc>
        <w:tc>
          <w:tcPr>
            <w:tcW w:w="2377" w:type="pct"/>
            <w:tcBorders>
              <w:top w:val="thinThickThinSmallGap" w:sz="24" w:space="0" w:color="auto"/>
              <w:left w:val="nil"/>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790" w:type="pct"/>
            <w:tcBorders>
              <w:top w:val="thinThickThinSmallGap" w:sz="24" w:space="0" w:color="auto"/>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16"/>
                <w:szCs w:val="16"/>
              </w:rPr>
            </w:pPr>
          </w:p>
        </w:tc>
      </w:tr>
      <w:tr w:rsidR="00AB302E" w:rsidRPr="00102273" w:rsidTr="008F0FC5">
        <w:trPr>
          <w:trHeight w:val="70"/>
          <w:jc w:val="center"/>
        </w:trPr>
        <w:tc>
          <w:tcPr>
            <w:tcW w:w="8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shd w:val="clear" w:color="auto" w:fill="FFFFFF"/>
            <w:noWrap/>
            <w:vAlign w:val="center"/>
            <w:hideMark/>
          </w:tcPr>
          <w:p w:rsidR="00AB302E" w:rsidRDefault="00AB302E" w:rsidP="00AB302E">
            <w:pPr>
              <w:rPr>
                <w:rFonts w:eastAsia="Calibri"/>
                <w:b/>
                <w:color w:val="000000"/>
                <w:sz w:val="16"/>
                <w:szCs w:val="16"/>
              </w:rPr>
            </w:pPr>
          </w:p>
        </w:tc>
        <w:tc>
          <w:tcPr>
            <w:tcW w:w="1665" w:type="pct"/>
            <w:shd w:val="clear" w:color="auto" w:fill="FFFFFF"/>
            <w:noWrap/>
            <w:vAlign w:val="center"/>
          </w:tcPr>
          <w:p w:rsidR="00AB302E" w:rsidRDefault="00AB302E" w:rsidP="00854EA6">
            <w:pPr>
              <w:ind w:firstLine="0"/>
              <w:jc w:val="center"/>
              <w:rPr>
                <w:rFonts w:eastAsia="Calibri"/>
                <w:b/>
                <w:color w:val="000000"/>
                <w:sz w:val="20"/>
              </w:rPr>
            </w:pPr>
            <w:r w:rsidRPr="003A0844">
              <w:rPr>
                <w:rFonts w:eastAsia="Calibri"/>
                <w:b/>
                <w:color w:val="000000"/>
                <w:sz w:val="16"/>
                <w:szCs w:val="16"/>
              </w:rPr>
              <w:t xml:space="preserve">               </w:t>
            </w:r>
            <w:r>
              <w:rPr>
                <w:rFonts w:eastAsia="Calibri"/>
                <w:b/>
                <w:color w:val="000000"/>
                <w:sz w:val="16"/>
                <w:szCs w:val="16"/>
              </w:rPr>
              <w:t xml:space="preserve">                            </w:t>
            </w:r>
            <w:r w:rsidRPr="003A0844">
              <w:rPr>
                <w:rFonts w:eastAsia="Calibri"/>
                <w:b/>
                <w:color w:val="000000"/>
                <w:sz w:val="16"/>
                <w:szCs w:val="16"/>
              </w:rPr>
              <w:t xml:space="preserve">  </w:t>
            </w:r>
            <w:r w:rsidRPr="00B0107C">
              <w:rPr>
                <w:rFonts w:eastAsia="Calibri"/>
                <w:b/>
                <w:color w:val="000000"/>
                <w:sz w:val="20"/>
              </w:rPr>
              <w:t>EMPRESA A</w:t>
            </w:r>
          </w:p>
        </w:tc>
        <w:tc>
          <w:tcPr>
            <w:tcW w:w="2377" w:type="pct"/>
            <w:shd w:val="clear" w:color="auto" w:fill="FFFFFF"/>
            <w:noWrap/>
            <w:vAlign w:val="center"/>
            <w:hideMark/>
          </w:tcPr>
          <w:p w:rsidR="00AB302E" w:rsidRDefault="00AB302E" w:rsidP="00854EA6">
            <w:pPr>
              <w:ind w:hanging="25"/>
              <w:rPr>
                <w:rFonts w:eastAsia="Calibri"/>
                <w:b/>
                <w:color w:val="000000"/>
                <w:sz w:val="16"/>
                <w:szCs w:val="16"/>
              </w:rPr>
            </w:pPr>
            <w:r>
              <w:rPr>
                <w:rFonts w:eastAsia="Calibri"/>
                <w:b/>
                <w:color w:val="000000"/>
                <w:sz w:val="16"/>
                <w:szCs w:val="16"/>
              </w:rPr>
              <w:t xml:space="preserve">                                                                            EMPRESA B</w:t>
            </w:r>
          </w:p>
        </w:tc>
        <w:tc>
          <w:tcPr>
            <w:tcW w:w="790" w:type="pct"/>
            <w:tcBorders>
              <w:top w:val="nil"/>
              <w:left w:val="nil"/>
              <w:bottom w:val="nil"/>
              <w:right w:val="thinThickThinSmallGap" w:sz="24" w:space="0" w:color="auto"/>
            </w:tcBorders>
            <w:shd w:val="clear" w:color="auto" w:fill="FFFFFF"/>
            <w:noWrap/>
            <w:vAlign w:val="center"/>
            <w:hideMark/>
          </w:tcPr>
          <w:p w:rsidR="00AB302E" w:rsidRDefault="00AB302E" w:rsidP="00AB302E">
            <w:pPr>
              <w:rPr>
                <w:rFonts w:eastAsia="Calibri" w:cs="Arial"/>
                <w:b/>
                <w:color w:val="000000"/>
                <w:sz w:val="16"/>
                <w:szCs w:val="16"/>
              </w:rPr>
            </w:pPr>
          </w:p>
        </w:tc>
      </w:tr>
      <w:tr w:rsidR="00AB302E" w:rsidRPr="00102273" w:rsidTr="008F0FC5">
        <w:trPr>
          <w:trHeight w:val="80"/>
          <w:jc w:val="center"/>
        </w:trPr>
        <w:tc>
          <w:tcPr>
            <w:tcW w:w="8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shd w:val="clear" w:color="auto" w:fill="FFFFFF"/>
            <w:noWrap/>
            <w:vAlign w:val="center"/>
            <w:hideMark/>
          </w:tcPr>
          <w:p w:rsidR="00AB302E" w:rsidRDefault="00AB302E" w:rsidP="00AB302E">
            <w:pPr>
              <w:jc w:val="center"/>
              <w:rPr>
                <w:rFonts w:eastAsia="Calibri"/>
                <w:color w:val="000000"/>
                <w:sz w:val="16"/>
                <w:szCs w:val="16"/>
              </w:rPr>
            </w:pPr>
            <w:r w:rsidRPr="00CF633A">
              <w:rPr>
                <w:rFonts w:eastAsia="Calibri"/>
                <w:szCs w:val="24"/>
              </w:rPr>
              <w:pict>
                <v:rect id="_x0000_s1040" style="position:absolute;left:0;text-align:left;margin-left:-1.95pt;margin-top:2pt;width:284.1pt;height:113.45pt;z-index:15;mso-position-horizontal-relative:text;mso-position-vertical-relative:text">
                  <v:textbox style="mso-next-textbox:#_x0000_s1040">
                    <w:txbxContent>
                      <w:p w:rsidR="00AB302E" w:rsidRPr="00B0107C" w:rsidRDefault="00854EA6" w:rsidP="00BD63BB">
                        <w:pPr>
                          <w:pStyle w:val="SemEspaamento"/>
                          <w:jc w:val="left"/>
                          <w:rPr>
                            <w:sz w:val="20"/>
                          </w:rPr>
                        </w:pPr>
                        <w:r>
                          <w:rPr>
                            <w:sz w:val="20"/>
                          </w:rPr>
                          <w:t>Custo</w:t>
                        </w:r>
                        <w:r>
                          <w:rPr>
                            <w:sz w:val="20"/>
                          </w:rPr>
                          <w:tab/>
                          <w:t xml:space="preserve">        Valor produto</w:t>
                        </w:r>
                        <w:r>
                          <w:rPr>
                            <w:sz w:val="20"/>
                          </w:rPr>
                          <w:tab/>
                        </w:r>
                        <w:r w:rsidR="00AB302E" w:rsidRPr="00B0107C">
                          <w:rPr>
                            <w:sz w:val="20"/>
                          </w:rPr>
                          <w:t xml:space="preserve">Valor total da Venda </w:t>
                        </w:r>
                        <w:proofErr w:type="gramStart"/>
                        <w:r w:rsidR="00AB302E" w:rsidRPr="00B0107C">
                          <w:rPr>
                            <w:sz w:val="20"/>
                          </w:rPr>
                          <w:t>1</w:t>
                        </w:r>
                        <w:proofErr w:type="gramEnd"/>
                      </w:p>
                      <w:p w:rsidR="00AB302E" w:rsidRPr="00E360BF" w:rsidRDefault="00AB302E" w:rsidP="00BD63BB">
                        <w:pPr>
                          <w:pStyle w:val="SemEspaamento"/>
                          <w:jc w:val="left"/>
                          <w:rPr>
                            <w:sz w:val="20"/>
                          </w:rPr>
                        </w:pPr>
                        <w:r w:rsidRPr="00B0107C">
                          <w:rPr>
                            <w:b/>
                            <w:sz w:val="20"/>
                          </w:rPr>
                          <w:t>70,00</w:t>
                        </w:r>
                        <w:r w:rsidRPr="00B0107C">
                          <w:rPr>
                            <w:sz w:val="20"/>
                          </w:rPr>
                          <w:tab/>
                          <w:t xml:space="preserve">        </w:t>
                        </w:r>
                        <w:r w:rsidRPr="00B0107C">
                          <w:rPr>
                            <w:b/>
                            <w:sz w:val="20"/>
                          </w:rPr>
                          <w:t>100,00</w:t>
                        </w:r>
                        <w:r w:rsidRPr="00B0107C">
                          <w:rPr>
                            <w:b/>
                            <w:sz w:val="20"/>
                          </w:rPr>
                          <w:tab/>
                        </w:r>
                        <w:r w:rsidRPr="00B0107C">
                          <w:rPr>
                            <w:b/>
                            <w:sz w:val="20"/>
                          </w:rPr>
                          <w:tab/>
                          <w:t>132,29</w:t>
                        </w:r>
                        <w:r w:rsidRPr="00B0107C">
                          <w:rPr>
                            <w:b/>
                            <w:sz w:val="20"/>
                          </w:rPr>
                          <w:tab/>
                        </w:r>
                        <w:proofErr w:type="gramStart"/>
                        <w:r w:rsidR="00E360BF">
                          <w:rPr>
                            <w:sz w:val="20"/>
                          </w:rPr>
                          <w:t>(</w:t>
                        </w:r>
                        <w:proofErr w:type="gramEnd"/>
                        <w:r w:rsidR="00E360BF">
                          <w:rPr>
                            <w:sz w:val="20"/>
                          </w:rPr>
                          <w:t>100,00 + 32,29)</w:t>
                        </w:r>
                      </w:p>
                      <w:p w:rsidR="00AB302E" w:rsidRPr="00B0107C" w:rsidRDefault="00E360BF" w:rsidP="00BD63BB">
                        <w:pPr>
                          <w:pStyle w:val="SemEspaamento"/>
                          <w:jc w:val="left"/>
                          <w:rPr>
                            <w:b/>
                            <w:sz w:val="20"/>
                            <w:u w:val="single"/>
                          </w:rPr>
                        </w:pPr>
                        <w:r>
                          <w:rPr>
                            <w:b/>
                            <w:sz w:val="20"/>
                            <w:u w:val="single"/>
                          </w:rPr>
                          <w:t>Cálculo ICMS-ST</w:t>
                        </w:r>
                      </w:p>
                      <w:p w:rsidR="00AB302E" w:rsidRPr="00B0107C" w:rsidRDefault="00AB302E" w:rsidP="00BD63BB">
                        <w:pPr>
                          <w:pStyle w:val="SemEspaamento"/>
                          <w:jc w:val="left"/>
                          <w:rPr>
                            <w:sz w:val="20"/>
                          </w:rPr>
                        </w:pPr>
                        <w:r w:rsidRPr="00B0107C">
                          <w:rPr>
                            <w:sz w:val="20"/>
                          </w:rPr>
                          <w:t>Valor operação</w:t>
                        </w:r>
                        <w:r w:rsidRPr="00B0107C">
                          <w:rPr>
                            <w:sz w:val="20"/>
                          </w:rPr>
                          <w:tab/>
                        </w:r>
                        <w:r w:rsidRPr="00B0107C">
                          <w:rPr>
                            <w:sz w:val="20"/>
                          </w:rPr>
                          <w:tab/>
                          <w:t>100,00</w:t>
                        </w:r>
                      </w:p>
                      <w:p w:rsidR="00AB302E" w:rsidRPr="00B0107C" w:rsidRDefault="00AB302E" w:rsidP="00BD63BB">
                        <w:pPr>
                          <w:pStyle w:val="SemEspaamento"/>
                          <w:jc w:val="left"/>
                          <w:rPr>
                            <w:sz w:val="20"/>
                          </w:rPr>
                        </w:pPr>
                        <w:r w:rsidRPr="00B0107C">
                          <w:rPr>
                            <w:sz w:val="20"/>
                          </w:rPr>
                          <w:t>MVA integral</w:t>
                        </w:r>
                        <w:r w:rsidRPr="00B0107C">
                          <w:rPr>
                            <w:sz w:val="20"/>
                          </w:rPr>
                          <w:tab/>
                        </w:r>
                        <w:r w:rsidRPr="00B0107C">
                          <w:rPr>
                            <w:sz w:val="20"/>
                          </w:rPr>
                          <w:tab/>
                          <w:t>77,17%</w:t>
                        </w:r>
                      </w:p>
                      <w:p w:rsidR="00AB302E" w:rsidRPr="00B0107C" w:rsidRDefault="00AB302E" w:rsidP="00BD63BB">
                        <w:pPr>
                          <w:pStyle w:val="SemEspaamento"/>
                          <w:jc w:val="left"/>
                          <w:rPr>
                            <w:sz w:val="20"/>
                          </w:rPr>
                        </w:pPr>
                        <w:r w:rsidRPr="00B0107C">
                          <w:rPr>
                            <w:sz w:val="20"/>
                          </w:rPr>
                          <w:t>Alíquota interestadual</w:t>
                        </w:r>
                        <w:r w:rsidRPr="00B0107C">
                          <w:rPr>
                            <w:sz w:val="20"/>
                          </w:rPr>
                          <w:tab/>
                          <w:t xml:space="preserve"> 12%</w:t>
                        </w:r>
                      </w:p>
                      <w:p w:rsidR="00AB302E" w:rsidRPr="00B0107C" w:rsidRDefault="00AB302E" w:rsidP="00BD63BB">
                        <w:pPr>
                          <w:pStyle w:val="SemEspaamento"/>
                          <w:jc w:val="left"/>
                          <w:rPr>
                            <w:sz w:val="20"/>
                          </w:rPr>
                        </w:pPr>
                        <w:r w:rsidRPr="00B0107C">
                          <w:rPr>
                            <w:sz w:val="20"/>
                          </w:rPr>
                          <w:t>ICMS próprio</w:t>
                        </w:r>
                        <w:r w:rsidRPr="00B0107C">
                          <w:rPr>
                            <w:sz w:val="20"/>
                          </w:rPr>
                          <w:tab/>
                        </w:r>
                        <w:r w:rsidRPr="00B0107C">
                          <w:rPr>
                            <w:sz w:val="20"/>
                          </w:rPr>
                          <w:tab/>
                          <w:t>12,00</w:t>
                        </w:r>
                        <w:r w:rsidRPr="00B0107C">
                          <w:rPr>
                            <w:sz w:val="20"/>
                          </w:rPr>
                          <w:tab/>
                        </w:r>
                        <w:proofErr w:type="gramStart"/>
                        <w:r w:rsidRPr="00B0107C">
                          <w:rPr>
                            <w:sz w:val="20"/>
                          </w:rPr>
                          <w:t>(</w:t>
                        </w:r>
                        <w:proofErr w:type="gramEnd"/>
                        <w:r w:rsidRPr="00B0107C">
                          <w:rPr>
                            <w:sz w:val="20"/>
                          </w:rPr>
                          <w:t>100,00 x 12%)</w:t>
                        </w:r>
                      </w:p>
                      <w:p w:rsidR="00AB302E" w:rsidRPr="00B0107C" w:rsidRDefault="00AB302E" w:rsidP="00BD63BB">
                        <w:pPr>
                          <w:pStyle w:val="SemEspaamento"/>
                          <w:jc w:val="left"/>
                          <w:rPr>
                            <w:sz w:val="20"/>
                          </w:rPr>
                        </w:pPr>
                        <w:r>
                          <w:rPr>
                            <w:sz w:val="20"/>
                          </w:rPr>
                          <w:t>Base de cálculo ST</w:t>
                        </w:r>
                        <w:r>
                          <w:rPr>
                            <w:sz w:val="20"/>
                          </w:rPr>
                          <w:tab/>
                        </w:r>
                        <w:r w:rsidRPr="00B0107C">
                          <w:rPr>
                            <w:sz w:val="20"/>
                          </w:rPr>
                          <w:t>177,17</w:t>
                        </w:r>
                        <w:r w:rsidRPr="00B0107C">
                          <w:rPr>
                            <w:sz w:val="20"/>
                          </w:rPr>
                          <w:tab/>
                        </w:r>
                        <w:proofErr w:type="gramStart"/>
                        <w:r w:rsidRPr="00B0107C">
                          <w:rPr>
                            <w:sz w:val="20"/>
                          </w:rPr>
                          <w:t>(</w:t>
                        </w:r>
                        <w:proofErr w:type="gramEnd"/>
                        <w:r w:rsidRPr="00B0107C">
                          <w:rPr>
                            <w:sz w:val="20"/>
                          </w:rPr>
                          <w:t>100,00 x 1,7717)</w:t>
                        </w:r>
                      </w:p>
                      <w:p w:rsidR="00AB302E" w:rsidRPr="00B0107C" w:rsidRDefault="00AB302E" w:rsidP="00BD63BB">
                        <w:pPr>
                          <w:pStyle w:val="SemEspaamento"/>
                          <w:jc w:val="left"/>
                          <w:rPr>
                            <w:sz w:val="20"/>
                          </w:rPr>
                        </w:pPr>
                        <w:r>
                          <w:rPr>
                            <w:sz w:val="20"/>
                          </w:rPr>
                          <w:t>ICMS-ST a recolher</w:t>
                        </w:r>
                        <w:r>
                          <w:rPr>
                            <w:sz w:val="20"/>
                          </w:rPr>
                          <w:tab/>
                        </w:r>
                        <w:r w:rsidRPr="00B0107C">
                          <w:rPr>
                            <w:b/>
                            <w:sz w:val="20"/>
                          </w:rPr>
                          <w:t>32,29</w:t>
                        </w:r>
                        <w:r w:rsidRPr="00B0107C">
                          <w:rPr>
                            <w:sz w:val="20"/>
                          </w:rPr>
                          <w:tab/>
                        </w:r>
                        <w:proofErr w:type="gramStart"/>
                        <w:r w:rsidRPr="00B0107C">
                          <w:rPr>
                            <w:sz w:val="20"/>
                          </w:rPr>
                          <w:t>(</w:t>
                        </w:r>
                        <w:proofErr w:type="gramEnd"/>
                        <w:r w:rsidRPr="00B0107C">
                          <w:rPr>
                            <w:sz w:val="20"/>
                          </w:rPr>
                          <w:t>177,17 x 25%) – 12,00</w:t>
                        </w:r>
                      </w:p>
                    </w:txbxContent>
                  </v:textbox>
                </v:rect>
              </w:pict>
            </w:r>
          </w:p>
        </w:tc>
        <w:tc>
          <w:tcPr>
            <w:tcW w:w="1665" w:type="pct"/>
            <w:shd w:val="clear" w:color="auto" w:fill="FFFFFF"/>
            <w:noWrap/>
            <w:vAlign w:val="center"/>
            <w:hideMark/>
          </w:tcPr>
          <w:p w:rsidR="00AB302E" w:rsidRDefault="00AB302E" w:rsidP="00AB302E">
            <w:pPr>
              <w:jc w:val="center"/>
              <w:rPr>
                <w:rFonts w:eastAsia="Calibri"/>
                <w:color w:val="000000"/>
                <w:sz w:val="16"/>
                <w:szCs w:val="16"/>
              </w:rPr>
            </w:pPr>
          </w:p>
        </w:tc>
        <w:tc>
          <w:tcPr>
            <w:tcW w:w="2377" w:type="pct"/>
            <w:shd w:val="clear" w:color="auto" w:fill="FFFFFF"/>
            <w:noWrap/>
            <w:vAlign w:val="center"/>
          </w:tcPr>
          <w:p w:rsidR="00AB302E" w:rsidRDefault="00AB302E" w:rsidP="00AB302E">
            <w:pPr>
              <w:jc w:val="center"/>
              <w:rPr>
                <w:rFonts w:eastAsia="Calibri"/>
                <w:color w:val="000000"/>
                <w:sz w:val="16"/>
                <w:szCs w:val="16"/>
              </w:rPr>
            </w:pPr>
            <w:r w:rsidRPr="00CF633A">
              <w:rPr>
                <w:rFonts w:eastAsia="Calibri"/>
                <w:szCs w:val="24"/>
              </w:rPr>
              <w:pict>
                <v:rect id="_x0000_s1041" style="position:absolute;left:0;text-align:left;margin-left:121.65pt;margin-top:2.2pt;width:159.95pt;height:78pt;z-index:16;mso-position-horizontal-relative:text;mso-position-vertical-relative:text">
                  <v:textbox style="mso-next-textbox:#_x0000_s1041">
                    <w:txbxContent>
                      <w:p w:rsidR="00AB302E" w:rsidRPr="006E03C2" w:rsidRDefault="00AB302E" w:rsidP="00BD63BB">
                        <w:pPr>
                          <w:pStyle w:val="SemEspaamento"/>
                          <w:jc w:val="left"/>
                          <w:rPr>
                            <w:sz w:val="20"/>
                          </w:rPr>
                        </w:pPr>
                        <w:r>
                          <w:rPr>
                            <w:sz w:val="20"/>
                          </w:rPr>
                          <w:t>Custo</w:t>
                        </w:r>
                        <w:r>
                          <w:rPr>
                            <w:sz w:val="20"/>
                          </w:rPr>
                          <w:tab/>
                        </w:r>
                        <w:proofErr w:type="gramStart"/>
                        <w:r>
                          <w:rPr>
                            <w:sz w:val="20"/>
                          </w:rPr>
                          <w:t xml:space="preserve">    </w:t>
                        </w:r>
                        <w:proofErr w:type="gramEnd"/>
                        <w:r w:rsidRPr="006E03C2">
                          <w:rPr>
                            <w:sz w:val="20"/>
                          </w:rPr>
                          <w:t>Valor da Venda 2</w:t>
                        </w:r>
                      </w:p>
                      <w:p w:rsidR="00AB302E" w:rsidRPr="00E360BF" w:rsidRDefault="00AB302E" w:rsidP="00BD63BB">
                        <w:pPr>
                          <w:pStyle w:val="SemEspaamento"/>
                          <w:jc w:val="left"/>
                          <w:rPr>
                            <w:sz w:val="20"/>
                          </w:rPr>
                        </w:pPr>
                        <w:r w:rsidRPr="006E03C2">
                          <w:rPr>
                            <w:b/>
                            <w:sz w:val="20"/>
                          </w:rPr>
                          <w:t>132,29</w:t>
                        </w:r>
                        <w:r>
                          <w:rPr>
                            <w:sz w:val="20"/>
                          </w:rPr>
                          <w:tab/>
                        </w:r>
                        <w:proofErr w:type="gramStart"/>
                        <w:r>
                          <w:rPr>
                            <w:sz w:val="20"/>
                          </w:rPr>
                          <w:t xml:space="preserve">    </w:t>
                        </w:r>
                        <w:proofErr w:type="gramEnd"/>
                        <w:r w:rsidRPr="006E03C2">
                          <w:rPr>
                            <w:b/>
                            <w:sz w:val="20"/>
                          </w:rPr>
                          <w:t>177,17</w:t>
                        </w:r>
                        <w:r w:rsidRPr="006E03C2">
                          <w:rPr>
                            <w:sz w:val="20"/>
                          </w:rPr>
                          <w:t xml:space="preserve"> (100 x 77,17</w:t>
                        </w:r>
                        <w:r>
                          <w:rPr>
                            <w:sz w:val="20"/>
                          </w:rPr>
                          <w:t>%</w:t>
                        </w:r>
                        <w:r w:rsidR="00BD63BB">
                          <w:rPr>
                            <w:sz w:val="20"/>
                          </w:rPr>
                          <w:t xml:space="preserve"> )</w:t>
                        </w:r>
                      </w:p>
                      <w:p w:rsidR="00AB302E" w:rsidRPr="006E03C2" w:rsidRDefault="00AB302E" w:rsidP="00BD63BB">
                        <w:pPr>
                          <w:pStyle w:val="SemEspaamento"/>
                          <w:jc w:val="left"/>
                          <w:rPr>
                            <w:b/>
                            <w:sz w:val="20"/>
                            <w:u w:val="single"/>
                          </w:rPr>
                        </w:pPr>
                        <w:r w:rsidRPr="006E03C2">
                          <w:rPr>
                            <w:b/>
                            <w:sz w:val="20"/>
                            <w:u w:val="single"/>
                          </w:rPr>
                          <w:t>Cálculo de ICMS</w:t>
                        </w:r>
                      </w:p>
                      <w:p w:rsidR="00AB302E" w:rsidRPr="006E03C2" w:rsidRDefault="00AB302E" w:rsidP="00BD63BB">
                        <w:pPr>
                          <w:pStyle w:val="SemEspaamento"/>
                          <w:jc w:val="left"/>
                          <w:rPr>
                            <w:sz w:val="20"/>
                          </w:rPr>
                        </w:pPr>
                        <w:r w:rsidRPr="006E03C2">
                          <w:rPr>
                            <w:sz w:val="20"/>
                          </w:rPr>
                          <w:t>Crédito</w:t>
                        </w:r>
                        <w:r w:rsidRPr="006E03C2">
                          <w:rPr>
                            <w:sz w:val="20"/>
                          </w:rPr>
                          <w:tab/>
                        </w:r>
                        <w:proofErr w:type="gramStart"/>
                        <w:r w:rsidRPr="006E03C2">
                          <w:rPr>
                            <w:sz w:val="20"/>
                          </w:rPr>
                          <w:t xml:space="preserve">   </w:t>
                        </w:r>
                        <w:proofErr w:type="gramEnd"/>
                        <w:r>
                          <w:rPr>
                            <w:sz w:val="20"/>
                          </w:rPr>
                          <w:tab/>
                        </w:r>
                        <w:r w:rsidRPr="006E03C2">
                          <w:rPr>
                            <w:sz w:val="20"/>
                          </w:rPr>
                          <w:t xml:space="preserve"> Débito</w:t>
                        </w:r>
                      </w:p>
                      <w:p w:rsidR="00AB302E" w:rsidRDefault="00AB302E" w:rsidP="00BD63BB">
                        <w:pPr>
                          <w:pStyle w:val="SemEspaamento"/>
                          <w:jc w:val="left"/>
                          <w:rPr>
                            <w:b/>
                            <w:sz w:val="20"/>
                          </w:rPr>
                        </w:pPr>
                        <w:r w:rsidRPr="006E03C2">
                          <w:rPr>
                            <w:b/>
                            <w:sz w:val="20"/>
                          </w:rPr>
                          <w:t>0,00</w:t>
                        </w:r>
                        <w:r w:rsidRPr="006E03C2">
                          <w:rPr>
                            <w:sz w:val="20"/>
                          </w:rPr>
                          <w:tab/>
                        </w:r>
                        <w:proofErr w:type="gramStart"/>
                        <w:r w:rsidRPr="006E03C2">
                          <w:rPr>
                            <w:sz w:val="20"/>
                          </w:rPr>
                          <w:t xml:space="preserve">   </w:t>
                        </w:r>
                        <w:proofErr w:type="gramEnd"/>
                        <w:r>
                          <w:rPr>
                            <w:sz w:val="20"/>
                          </w:rPr>
                          <w:tab/>
                        </w:r>
                        <w:r w:rsidRPr="006E03C2">
                          <w:rPr>
                            <w:sz w:val="20"/>
                          </w:rPr>
                          <w:t xml:space="preserve"> </w:t>
                        </w:r>
                        <w:r w:rsidRPr="006E03C2">
                          <w:rPr>
                            <w:b/>
                            <w:sz w:val="20"/>
                          </w:rPr>
                          <w:t xml:space="preserve">0,00 </w:t>
                        </w:r>
                      </w:p>
                      <w:p w:rsidR="00AB302E" w:rsidRPr="006E03C2" w:rsidRDefault="00AB302E" w:rsidP="00BD63BB">
                        <w:pPr>
                          <w:pStyle w:val="SemEspaamento"/>
                          <w:jc w:val="left"/>
                          <w:rPr>
                            <w:sz w:val="20"/>
                          </w:rPr>
                        </w:pPr>
                        <w:r w:rsidRPr="006E03C2">
                          <w:rPr>
                            <w:sz w:val="20"/>
                          </w:rPr>
                          <w:t xml:space="preserve">Obs: Já recolhido por </w:t>
                        </w:r>
                        <w:r>
                          <w:rPr>
                            <w:sz w:val="20"/>
                          </w:rPr>
                          <w:t>ICMS/</w:t>
                        </w:r>
                        <w:r w:rsidRPr="006E03C2">
                          <w:rPr>
                            <w:sz w:val="20"/>
                          </w:rPr>
                          <w:t>ST</w:t>
                        </w:r>
                      </w:p>
                    </w:txbxContent>
                  </v:textbox>
                </v:rect>
              </w:pict>
            </w:r>
          </w:p>
        </w:tc>
        <w:tc>
          <w:tcPr>
            <w:tcW w:w="790" w:type="pct"/>
            <w:tcBorders>
              <w:top w:val="nil"/>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16"/>
                <w:szCs w:val="16"/>
              </w:rPr>
            </w:pPr>
          </w:p>
        </w:tc>
      </w:tr>
      <w:tr w:rsidR="00AB302E" w:rsidRPr="00102273" w:rsidTr="008F0FC5">
        <w:trPr>
          <w:trHeight w:val="80"/>
          <w:jc w:val="center"/>
        </w:trPr>
        <w:tc>
          <w:tcPr>
            <w:tcW w:w="8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shd w:val="clear" w:color="auto" w:fill="FFFFFF"/>
            <w:noWrap/>
            <w:vAlign w:val="center"/>
            <w:hideMark/>
          </w:tcPr>
          <w:p w:rsidR="00AB302E" w:rsidRDefault="00AB302E" w:rsidP="00AB302E">
            <w:pPr>
              <w:jc w:val="center"/>
              <w:rPr>
                <w:rFonts w:eastAsia="Calibri"/>
                <w:color w:val="000000"/>
                <w:sz w:val="16"/>
                <w:szCs w:val="16"/>
              </w:rPr>
            </w:pPr>
          </w:p>
        </w:tc>
        <w:tc>
          <w:tcPr>
            <w:tcW w:w="1665" w:type="pct"/>
            <w:shd w:val="clear" w:color="auto" w:fill="FFFFFF"/>
            <w:noWrap/>
            <w:vAlign w:val="center"/>
          </w:tcPr>
          <w:p w:rsidR="00AB302E" w:rsidRDefault="00AB302E" w:rsidP="00AB302E">
            <w:pPr>
              <w:jc w:val="center"/>
              <w:rPr>
                <w:rFonts w:eastAsia="Calibri"/>
                <w:color w:val="000000"/>
                <w:sz w:val="16"/>
                <w:szCs w:val="16"/>
              </w:rPr>
            </w:pPr>
          </w:p>
        </w:tc>
        <w:tc>
          <w:tcPr>
            <w:tcW w:w="2377" w:type="pct"/>
            <w:shd w:val="clear" w:color="auto" w:fill="FFFFFF"/>
            <w:noWrap/>
            <w:vAlign w:val="center"/>
          </w:tcPr>
          <w:p w:rsidR="00AB302E" w:rsidRDefault="00AB302E" w:rsidP="00AB302E">
            <w:pPr>
              <w:jc w:val="center"/>
              <w:rPr>
                <w:rFonts w:eastAsia="Calibri"/>
                <w:color w:val="000000"/>
                <w:sz w:val="16"/>
                <w:szCs w:val="16"/>
              </w:rPr>
            </w:pPr>
          </w:p>
        </w:tc>
        <w:tc>
          <w:tcPr>
            <w:tcW w:w="790" w:type="pct"/>
            <w:tcBorders>
              <w:top w:val="nil"/>
              <w:left w:val="nil"/>
              <w:bottom w:val="nil"/>
              <w:right w:val="thinThickThinSmallGap" w:sz="24" w:space="0" w:color="auto"/>
            </w:tcBorders>
            <w:shd w:val="clear" w:color="auto" w:fill="FFFFFF"/>
            <w:noWrap/>
            <w:vAlign w:val="center"/>
            <w:hideMark/>
          </w:tcPr>
          <w:p w:rsidR="00AB302E" w:rsidRDefault="00AB302E" w:rsidP="00AB302E">
            <w:pPr>
              <w:tabs>
                <w:tab w:val="left" w:pos="3747"/>
              </w:tabs>
              <w:jc w:val="center"/>
              <w:rPr>
                <w:rFonts w:eastAsia="Calibri" w:cs="Arial"/>
                <w:color w:val="000000"/>
                <w:sz w:val="16"/>
                <w:szCs w:val="16"/>
              </w:rPr>
            </w:pPr>
            <w:r w:rsidRPr="00102273">
              <w:rPr>
                <w:rFonts w:eastAsia="Calibri" w:cs="Arial"/>
                <w:color w:val="000000"/>
                <w:sz w:val="16"/>
                <w:szCs w:val="16"/>
              </w:rPr>
              <w:t xml:space="preserve">                                               </w:t>
            </w:r>
          </w:p>
        </w:tc>
      </w:tr>
      <w:tr w:rsidR="00AB302E" w:rsidRPr="00102273" w:rsidTr="008F0FC5">
        <w:trPr>
          <w:trHeight w:val="70"/>
          <w:jc w:val="center"/>
        </w:trPr>
        <w:tc>
          <w:tcPr>
            <w:tcW w:w="8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shd w:val="clear" w:color="auto" w:fill="FFFFFF"/>
            <w:noWrap/>
            <w:vAlign w:val="center"/>
          </w:tcPr>
          <w:p w:rsidR="00AB302E" w:rsidRDefault="00AB302E" w:rsidP="00AB302E">
            <w:pPr>
              <w:jc w:val="center"/>
              <w:rPr>
                <w:rFonts w:eastAsia="Calibri"/>
                <w:color w:val="000000"/>
                <w:sz w:val="16"/>
                <w:szCs w:val="16"/>
              </w:rPr>
            </w:pPr>
          </w:p>
        </w:tc>
        <w:tc>
          <w:tcPr>
            <w:tcW w:w="1665" w:type="pct"/>
            <w:shd w:val="clear" w:color="auto" w:fill="FFFFFF"/>
            <w:noWrap/>
            <w:vAlign w:val="center"/>
          </w:tcPr>
          <w:p w:rsidR="00AB302E" w:rsidRDefault="00AB302E" w:rsidP="00AB302E">
            <w:pPr>
              <w:jc w:val="center"/>
              <w:rPr>
                <w:rFonts w:eastAsia="Calibri"/>
                <w:color w:val="000000"/>
                <w:sz w:val="16"/>
                <w:szCs w:val="16"/>
              </w:rPr>
            </w:pPr>
          </w:p>
        </w:tc>
        <w:tc>
          <w:tcPr>
            <w:tcW w:w="2377" w:type="pct"/>
            <w:shd w:val="clear" w:color="auto" w:fill="FFFFFF"/>
            <w:noWrap/>
            <w:vAlign w:val="center"/>
          </w:tcPr>
          <w:p w:rsidR="00AB302E" w:rsidRDefault="00AB302E" w:rsidP="00AB302E">
            <w:pPr>
              <w:jc w:val="center"/>
              <w:rPr>
                <w:rFonts w:eastAsia="Calibri"/>
                <w:color w:val="000000"/>
                <w:sz w:val="16"/>
                <w:szCs w:val="16"/>
              </w:rPr>
            </w:pPr>
          </w:p>
        </w:tc>
        <w:tc>
          <w:tcPr>
            <w:tcW w:w="790" w:type="pct"/>
            <w:tcBorders>
              <w:top w:val="nil"/>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16"/>
                <w:szCs w:val="16"/>
              </w:rPr>
            </w:pPr>
          </w:p>
        </w:tc>
      </w:tr>
      <w:tr w:rsidR="00AB302E" w:rsidRPr="00102273" w:rsidTr="008F0FC5">
        <w:trPr>
          <w:trHeight w:val="80"/>
          <w:jc w:val="center"/>
        </w:trPr>
        <w:tc>
          <w:tcPr>
            <w:tcW w:w="8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shd w:val="clear" w:color="auto" w:fill="FFFFFF"/>
            <w:noWrap/>
            <w:vAlign w:val="center"/>
          </w:tcPr>
          <w:p w:rsidR="00AB302E" w:rsidRDefault="00AB302E" w:rsidP="00AB302E">
            <w:pPr>
              <w:jc w:val="center"/>
              <w:rPr>
                <w:rFonts w:eastAsia="Calibri"/>
                <w:color w:val="000000"/>
                <w:sz w:val="16"/>
                <w:szCs w:val="16"/>
              </w:rPr>
            </w:pPr>
          </w:p>
        </w:tc>
        <w:tc>
          <w:tcPr>
            <w:tcW w:w="1665" w:type="pct"/>
            <w:shd w:val="clear" w:color="auto" w:fill="FFFFFF"/>
            <w:noWrap/>
            <w:vAlign w:val="center"/>
          </w:tcPr>
          <w:p w:rsidR="00AB302E" w:rsidRDefault="00AB302E" w:rsidP="00AB302E">
            <w:pPr>
              <w:jc w:val="center"/>
              <w:rPr>
                <w:rFonts w:eastAsia="Calibri"/>
                <w:color w:val="000000"/>
                <w:sz w:val="16"/>
                <w:szCs w:val="16"/>
              </w:rPr>
            </w:pPr>
          </w:p>
        </w:tc>
        <w:tc>
          <w:tcPr>
            <w:tcW w:w="2377" w:type="pct"/>
            <w:shd w:val="clear" w:color="auto" w:fill="FFFFFF"/>
            <w:noWrap/>
            <w:vAlign w:val="center"/>
          </w:tcPr>
          <w:p w:rsidR="00AB302E" w:rsidRDefault="00AB302E" w:rsidP="00AB302E">
            <w:pPr>
              <w:jc w:val="center"/>
              <w:rPr>
                <w:rFonts w:eastAsia="Calibri"/>
                <w:color w:val="000000"/>
                <w:sz w:val="16"/>
                <w:szCs w:val="16"/>
              </w:rPr>
            </w:pPr>
          </w:p>
        </w:tc>
        <w:tc>
          <w:tcPr>
            <w:tcW w:w="790" w:type="pct"/>
            <w:tcBorders>
              <w:top w:val="nil"/>
              <w:left w:val="nil"/>
              <w:bottom w:val="nil"/>
              <w:right w:val="thinThickThinSmallGap" w:sz="24" w:space="0" w:color="auto"/>
            </w:tcBorders>
            <w:shd w:val="clear" w:color="auto" w:fill="FFFFFF"/>
            <w:noWrap/>
            <w:vAlign w:val="center"/>
            <w:hideMark/>
          </w:tcPr>
          <w:p w:rsidR="00AB302E" w:rsidRDefault="00AB302E" w:rsidP="00AB302E">
            <w:pPr>
              <w:rPr>
                <w:rFonts w:eastAsia="Calibri" w:cs="Arial"/>
                <w:b/>
                <w:color w:val="000000"/>
                <w:sz w:val="16"/>
                <w:szCs w:val="16"/>
              </w:rPr>
            </w:pPr>
            <w:r>
              <w:rPr>
                <w:rFonts w:eastAsia="Calibri" w:cs="Arial"/>
                <w:b/>
                <w:color w:val="000000"/>
                <w:sz w:val="16"/>
                <w:szCs w:val="16"/>
              </w:rPr>
              <w:t xml:space="preserve">      </w:t>
            </w:r>
          </w:p>
        </w:tc>
      </w:tr>
      <w:tr w:rsidR="00AB302E" w:rsidRPr="00102273" w:rsidTr="008F0FC5">
        <w:trPr>
          <w:trHeight w:val="80"/>
          <w:jc w:val="center"/>
        </w:trPr>
        <w:tc>
          <w:tcPr>
            <w:tcW w:w="84"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16"/>
                <w:szCs w:val="16"/>
              </w:rPr>
            </w:pPr>
          </w:p>
        </w:tc>
        <w:tc>
          <w:tcPr>
            <w:tcW w:w="84" w:type="pct"/>
            <w:shd w:val="clear" w:color="auto" w:fill="FFFFFF"/>
            <w:noWrap/>
            <w:vAlign w:val="center"/>
          </w:tcPr>
          <w:p w:rsidR="00AB302E" w:rsidRDefault="00AB302E" w:rsidP="00AB302E">
            <w:pPr>
              <w:jc w:val="center"/>
              <w:rPr>
                <w:rFonts w:eastAsia="Calibri"/>
                <w:color w:val="000000"/>
                <w:sz w:val="16"/>
                <w:szCs w:val="16"/>
              </w:rPr>
            </w:pPr>
          </w:p>
        </w:tc>
        <w:tc>
          <w:tcPr>
            <w:tcW w:w="1665" w:type="pct"/>
            <w:shd w:val="clear" w:color="auto" w:fill="FFFFFF"/>
            <w:noWrap/>
            <w:vAlign w:val="center"/>
          </w:tcPr>
          <w:p w:rsidR="00AB302E" w:rsidRDefault="00AB302E" w:rsidP="00AB302E">
            <w:pPr>
              <w:jc w:val="center"/>
              <w:rPr>
                <w:rFonts w:eastAsia="Calibri"/>
                <w:color w:val="000000"/>
                <w:sz w:val="16"/>
                <w:szCs w:val="16"/>
              </w:rPr>
            </w:pPr>
          </w:p>
        </w:tc>
        <w:tc>
          <w:tcPr>
            <w:tcW w:w="2377" w:type="pct"/>
            <w:shd w:val="clear" w:color="auto" w:fill="FFFFFF"/>
            <w:noWrap/>
            <w:vAlign w:val="center"/>
          </w:tcPr>
          <w:p w:rsidR="00AB302E" w:rsidRDefault="00AB302E" w:rsidP="00AB302E">
            <w:pPr>
              <w:jc w:val="center"/>
              <w:rPr>
                <w:rFonts w:eastAsia="Calibri"/>
                <w:color w:val="000000"/>
                <w:sz w:val="16"/>
                <w:szCs w:val="16"/>
              </w:rPr>
            </w:pPr>
          </w:p>
        </w:tc>
        <w:tc>
          <w:tcPr>
            <w:tcW w:w="790" w:type="pct"/>
            <w:tcBorders>
              <w:top w:val="nil"/>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16"/>
                <w:szCs w:val="16"/>
              </w:rPr>
            </w:pPr>
          </w:p>
        </w:tc>
      </w:tr>
      <w:tr w:rsidR="00AB302E" w:rsidRPr="00102273" w:rsidTr="008F0FC5">
        <w:trPr>
          <w:trHeight w:val="1506"/>
          <w:jc w:val="center"/>
        </w:trPr>
        <w:tc>
          <w:tcPr>
            <w:tcW w:w="84" w:type="pct"/>
            <w:tcBorders>
              <w:top w:val="nil"/>
              <w:left w:val="thinThickThinSmallGap" w:sz="24" w:space="0" w:color="auto"/>
              <w:bottom w:val="thinThickThinSmallGap" w:sz="24" w:space="0" w:color="auto"/>
              <w:right w:val="nil"/>
            </w:tcBorders>
            <w:shd w:val="clear" w:color="auto" w:fill="FFFFFF"/>
            <w:noWrap/>
            <w:vAlign w:val="center"/>
          </w:tcPr>
          <w:p w:rsidR="00AB302E" w:rsidRDefault="00AB302E" w:rsidP="00AB302E">
            <w:pPr>
              <w:jc w:val="center"/>
              <w:rPr>
                <w:rFonts w:eastAsia="Calibri" w:cs="Arial"/>
                <w:color w:val="000000"/>
                <w:sz w:val="4"/>
                <w:szCs w:val="4"/>
              </w:rPr>
            </w:pPr>
          </w:p>
        </w:tc>
        <w:tc>
          <w:tcPr>
            <w:tcW w:w="84" w:type="pct"/>
            <w:tcBorders>
              <w:top w:val="nil"/>
              <w:left w:val="nil"/>
              <w:bottom w:val="thinThickThinSmallGap" w:sz="24" w:space="0" w:color="auto"/>
              <w:right w:val="nil"/>
            </w:tcBorders>
            <w:shd w:val="clear" w:color="auto" w:fill="FFFFFF"/>
            <w:noWrap/>
            <w:vAlign w:val="center"/>
          </w:tcPr>
          <w:p w:rsidR="00AB302E" w:rsidRDefault="00AB302E" w:rsidP="00AB302E">
            <w:pPr>
              <w:jc w:val="center"/>
              <w:rPr>
                <w:rFonts w:eastAsia="Calibri"/>
                <w:color w:val="000000"/>
                <w:sz w:val="4"/>
                <w:szCs w:val="4"/>
              </w:rPr>
            </w:pPr>
          </w:p>
        </w:tc>
        <w:tc>
          <w:tcPr>
            <w:tcW w:w="1665" w:type="pct"/>
            <w:tcBorders>
              <w:top w:val="nil"/>
              <w:left w:val="nil"/>
              <w:bottom w:val="thinThickThinSmallGap" w:sz="24" w:space="0" w:color="auto"/>
              <w:right w:val="nil"/>
            </w:tcBorders>
            <w:shd w:val="clear" w:color="auto" w:fill="FFFFFF"/>
            <w:noWrap/>
            <w:vAlign w:val="center"/>
          </w:tcPr>
          <w:p w:rsidR="00AB302E" w:rsidRDefault="00AB302E" w:rsidP="00AB302E">
            <w:pPr>
              <w:rPr>
                <w:rFonts w:eastAsia="Calibri"/>
                <w:color w:val="000000"/>
                <w:sz w:val="4"/>
                <w:szCs w:val="4"/>
              </w:rPr>
            </w:pPr>
          </w:p>
        </w:tc>
        <w:tc>
          <w:tcPr>
            <w:tcW w:w="2377" w:type="pct"/>
            <w:tcBorders>
              <w:top w:val="nil"/>
              <w:left w:val="nil"/>
              <w:bottom w:val="thinThickThinSmallGap" w:sz="24" w:space="0" w:color="auto"/>
              <w:right w:val="nil"/>
            </w:tcBorders>
            <w:shd w:val="clear" w:color="auto" w:fill="FFFFFF"/>
            <w:noWrap/>
            <w:vAlign w:val="center"/>
          </w:tcPr>
          <w:p w:rsidR="00AB302E" w:rsidRDefault="00AB302E" w:rsidP="00AB302E">
            <w:pPr>
              <w:jc w:val="center"/>
              <w:rPr>
                <w:rFonts w:eastAsia="Calibri"/>
                <w:color w:val="000000"/>
                <w:sz w:val="4"/>
                <w:szCs w:val="4"/>
              </w:rPr>
            </w:pPr>
            <w:r>
              <w:rPr>
                <w:rFonts w:eastAsia="Calibri"/>
                <w:noProof/>
                <w:color w:val="000000"/>
                <w:sz w:val="4"/>
                <w:szCs w:val="4"/>
              </w:rPr>
              <w:pict>
                <v:shape id="_x0000_s1042" type="#_x0000_t90" style="position:absolute;left:0;text-align:left;margin-left:138.2pt;margin-top:34.45pt;width:85.8pt;height:35.2pt;z-index:17;mso-position-horizontal-relative:text;mso-position-vertical-relative:text">
                  <v:textbox style="mso-next-textbox:#_x0000_s1042">
                    <w:txbxContent>
                      <w:p w:rsidR="00AB302E" w:rsidRPr="006E03C2" w:rsidRDefault="00AB302E" w:rsidP="00AB302E">
                        <w:pPr>
                          <w:pStyle w:val="SemEspaamento"/>
                          <w:jc w:val="center"/>
                          <w:rPr>
                            <w:b/>
                            <w:sz w:val="20"/>
                          </w:rPr>
                        </w:pPr>
                        <w:r w:rsidRPr="006E03C2">
                          <w:rPr>
                            <w:b/>
                            <w:sz w:val="20"/>
                          </w:rPr>
                          <w:t xml:space="preserve">Venda </w:t>
                        </w:r>
                        <w:proofErr w:type="gramStart"/>
                        <w:r w:rsidRPr="006E03C2">
                          <w:rPr>
                            <w:b/>
                            <w:sz w:val="20"/>
                          </w:rPr>
                          <w:t>1</w:t>
                        </w:r>
                        <w:proofErr w:type="gramEnd"/>
                      </w:p>
                    </w:txbxContent>
                  </v:textbox>
                </v:shape>
              </w:pict>
            </w:r>
          </w:p>
        </w:tc>
        <w:tc>
          <w:tcPr>
            <w:tcW w:w="790" w:type="pct"/>
            <w:tcBorders>
              <w:top w:val="nil"/>
              <w:left w:val="nil"/>
              <w:bottom w:val="thinThickThinSmallGap" w:sz="24" w:space="0" w:color="auto"/>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4"/>
                <w:szCs w:val="4"/>
              </w:rPr>
            </w:pPr>
          </w:p>
        </w:tc>
      </w:tr>
    </w:tbl>
    <w:p w:rsidR="00694312" w:rsidRPr="007D1361" w:rsidRDefault="00AB302E" w:rsidP="007D1361">
      <w:pPr>
        <w:pStyle w:val="SemEspaamento"/>
        <w:spacing w:line="360" w:lineRule="auto"/>
        <w:rPr>
          <w:sz w:val="20"/>
        </w:rPr>
      </w:pPr>
      <w:r w:rsidRPr="001C1895">
        <w:rPr>
          <w:sz w:val="20"/>
        </w:rPr>
        <w:t>Fonte: Elaborado pelo autor, 2016.</w:t>
      </w:r>
    </w:p>
    <w:p w:rsidR="00694312" w:rsidRPr="006467C5" w:rsidRDefault="00AB302E" w:rsidP="006467C5">
      <w:pPr>
        <w:pStyle w:val="SemEspaamento"/>
        <w:ind w:firstLine="708"/>
        <w:rPr>
          <w:szCs w:val="22"/>
        </w:rPr>
      </w:pPr>
      <w:r w:rsidRPr="006467C5">
        <w:rPr>
          <w:szCs w:val="22"/>
        </w:rPr>
        <w:t>A seguir temos Quadro 11, onde é demonstrado o cálculo da substituição tributária de ICMS com a MVA ajustada reduzida em 70%. Nessa simulação, a Empresa A (substituto tributário), inclui no preço final do produto o valor de R$ 21,82, referente ao ICMS ST. Posteriormente, a Empresa B (substituída) não recolhe o ICMS para a venda ao consumidor final, pois o imposto foi recolhido na compra da mercadoria pelo próprio ICMS ST.</w:t>
      </w:r>
    </w:p>
    <w:p w:rsidR="00AB302E" w:rsidRPr="006467C5" w:rsidRDefault="00AB302E" w:rsidP="006467C5">
      <w:pPr>
        <w:pStyle w:val="SemEspaamento"/>
        <w:jc w:val="center"/>
        <w:rPr>
          <w:sz w:val="20"/>
        </w:rPr>
      </w:pPr>
      <w:r w:rsidRPr="006467C5">
        <w:rPr>
          <w:sz w:val="20"/>
        </w:rPr>
        <w:t>Quadro 11 – Venda interestadual do produto perfume tributado ICMS/ST para empresa optante pelo simples nacional. MVA ajustada com redução de 70%.</w:t>
      </w:r>
    </w:p>
    <w:tbl>
      <w:tblPr>
        <w:tblW w:w="5009" w:type="pct"/>
        <w:jc w:val="center"/>
        <w:tblInd w:w="70" w:type="dxa"/>
        <w:tblCellMar>
          <w:left w:w="70" w:type="dxa"/>
          <w:right w:w="70" w:type="dxa"/>
        </w:tblCellMar>
        <w:tblLook w:val="00A0"/>
      </w:tblPr>
      <w:tblGrid>
        <w:gridCol w:w="152"/>
        <w:gridCol w:w="151"/>
        <w:gridCol w:w="3699"/>
        <w:gridCol w:w="4569"/>
        <w:gridCol w:w="991"/>
      </w:tblGrid>
      <w:tr w:rsidR="00AB302E" w:rsidRPr="00B0107C" w:rsidTr="008F0FC5">
        <w:trPr>
          <w:trHeight w:val="48"/>
          <w:jc w:val="center"/>
        </w:trPr>
        <w:tc>
          <w:tcPr>
            <w:tcW w:w="79" w:type="pct"/>
            <w:tcBorders>
              <w:top w:val="thinThickThinSmallGap" w:sz="24" w:space="0" w:color="auto"/>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20"/>
              </w:rPr>
            </w:pPr>
          </w:p>
        </w:tc>
        <w:tc>
          <w:tcPr>
            <w:tcW w:w="79" w:type="pct"/>
            <w:tcBorders>
              <w:top w:val="thinThickThinSmallGap" w:sz="24" w:space="0" w:color="auto"/>
              <w:left w:val="nil"/>
              <w:bottom w:val="nil"/>
              <w:right w:val="nil"/>
            </w:tcBorders>
            <w:shd w:val="clear" w:color="auto" w:fill="FFFFFF"/>
            <w:noWrap/>
            <w:vAlign w:val="center"/>
          </w:tcPr>
          <w:p w:rsidR="00AB302E" w:rsidRDefault="00AB302E" w:rsidP="00AB302E">
            <w:pPr>
              <w:rPr>
                <w:rFonts w:eastAsia="Calibri" w:cs="Arial"/>
                <w:color w:val="000000"/>
                <w:sz w:val="20"/>
              </w:rPr>
            </w:pPr>
          </w:p>
        </w:tc>
        <w:tc>
          <w:tcPr>
            <w:tcW w:w="1934" w:type="pct"/>
            <w:tcBorders>
              <w:top w:val="thinThickThinSmallGap" w:sz="24" w:space="0" w:color="auto"/>
              <w:left w:val="nil"/>
              <w:bottom w:val="nil"/>
              <w:right w:val="nil"/>
            </w:tcBorders>
            <w:shd w:val="clear" w:color="auto" w:fill="FFFFFF"/>
            <w:noWrap/>
            <w:vAlign w:val="center"/>
          </w:tcPr>
          <w:p w:rsidR="00AB302E" w:rsidRDefault="00AB302E" w:rsidP="00AB302E">
            <w:pPr>
              <w:rPr>
                <w:rFonts w:eastAsia="Calibri" w:cs="Arial"/>
                <w:color w:val="000000"/>
                <w:sz w:val="20"/>
              </w:rPr>
            </w:pPr>
          </w:p>
        </w:tc>
        <w:tc>
          <w:tcPr>
            <w:tcW w:w="2389" w:type="pct"/>
            <w:tcBorders>
              <w:top w:val="thinThickThinSmallGap" w:sz="24" w:space="0" w:color="auto"/>
              <w:left w:val="nil"/>
              <w:bottom w:val="nil"/>
              <w:right w:val="nil"/>
            </w:tcBorders>
            <w:shd w:val="clear" w:color="auto" w:fill="FFFFFF"/>
            <w:noWrap/>
            <w:vAlign w:val="center"/>
          </w:tcPr>
          <w:p w:rsidR="00AB302E" w:rsidRDefault="00AB302E" w:rsidP="00AB302E">
            <w:pPr>
              <w:jc w:val="center"/>
              <w:rPr>
                <w:rFonts w:eastAsia="Calibri" w:cs="Arial"/>
                <w:color w:val="000000"/>
                <w:sz w:val="20"/>
              </w:rPr>
            </w:pPr>
          </w:p>
        </w:tc>
        <w:tc>
          <w:tcPr>
            <w:tcW w:w="518" w:type="pct"/>
            <w:tcBorders>
              <w:top w:val="thinThickThinSmallGap" w:sz="24" w:space="0" w:color="auto"/>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20"/>
              </w:rPr>
            </w:pPr>
          </w:p>
        </w:tc>
      </w:tr>
      <w:tr w:rsidR="00AB302E" w:rsidRPr="00B0107C" w:rsidTr="008F0FC5">
        <w:trPr>
          <w:trHeight w:val="57"/>
          <w:jc w:val="center"/>
        </w:trPr>
        <w:tc>
          <w:tcPr>
            <w:tcW w:w="79"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20"/>
              </w:rPr>
            </w:pPr>
          </w:p>
        </w:tc>
        <w:tc>
          <w:tcPr>
            <w:tcW w:w="79" w:type="pct"/>
            <w:shd w:val="clear" w:color="auto" w:fill="FFFFFF"/>
            <w:noWrap/>
            <w:vAlign w:val="center"/>
            <w:hideMark/>
          </w:tcPr>
          <w:p w:rsidR="00AB302E" w:rsidRDefault="00AB302E" w:rsidP="00AB302E">
            <w:pPr>
              <w:rPr>
                <w:rFonts w:eastAsia="Calibri"/>
                <w:b/>
                <w:color w:val="000000"/>
                <w:sz w:val="20"/>
              </w:rPr>
            </w:pPr>
          </w:p>
        </w:tc>
        <w:tc>
          <w:tcPr>
            <w:tcW w:w="1934" w:type="pct"/>
            <w:shd w:val="clear" w:color="auto" w:fill="FFFFFF"/>
            <w:noWrap/>
            <w:vAlign w:val="center"/>
          </w:tcPr>
          <w:p w:rsidR="00AB302E" w:rsidRDefault="00AB302E" w:rsidP="00BD63BB">
            <w:pPr>
              <w:ind w:firstLine="53"/>
              <w:jc w:val="left"/>
              <w:rPr>
                <w:rFonts w:eastAsia="Calibri"/>
                <w:b/>
                <w:color w:val="000000"/>
                <w:sz w:val="20"/>
              </w:rPr>
            </w:pPr>
            <w:r>
              <w:rPr>
                <w:rFonts w:eastAsia="Calibri"/>
                <w:b/>
                <w:color w:val="000000"/>
                <w:sz w:val="20"/>
              </w:rPr>
              <w:t xml:space="preserve">                                         </w:t>
            </w:r>
            <w:r w:rsidRPr="00B0107C">
              <w:rPr>
                <w:rFonts w:eastAsia="Calibri"/>
                <w:b/>
                <w:color w:val="000000"/>
                <w:sz w:val="20"/>
              </w:rPr>
              <w:t>EMPRESA A</w:t>
            </w:r>
            <w:r w:rsidR="00BD63BB">
              <w:rPr>
                <w:rFonts w:eastAsia="Calibri"/>
                <w:b/>
                <w:color w:val="000000"/>
                <w:sz w:val="20"/>
              </w:rPr>
              <w:t xml:space="preserve"> </w:t>
            </w:r>
          </w:p>
        </w:tc>
        <w:tc>
          <w:tcPr>
            <w:tcW w:w="2389" w:type="pct"/>
            <w:shd w:val="clear" w:color="auto" w:fill="FFFFFF"/>
            <w:noWrap/>
            <w:vAlign w:val="center"/>
            <w:hideMark/>
          </w:tcPr>
          <w:p w:rsidR="00AB302E" w:rsidRDefault="00AB302E" w:rsidP="00BD63BB">
            <w:pPr>
              <w:ind w:left="88" w:hanging="49"/>
              <w:jc w:val="left"/>
              <w:rPr>
                <w:rFonts w:eastAsia="Calibri"/>
                <w:b/>
                <w:color w:val="000000"/>
                <w:sz w:val="20"/>
              </w:rPr>
            </w:pPr>
            <w:r w:rsidRPr="00B0107C">
              <w:rPr>
                <w:rFonts w:eastAsia="Calibri"/>
                <w:b/>
                <w:color w:val="000000"/>
                <w:sz w:val="20"/>
              </w:rPr>
              <w:t xml:space="preserve">                        </w:t>
            </w:r>
            <w:r>
              <w:rPr>
                <w:rFonts w:eastAsia="Calibri"/>
                <w:b/>
                <w:color w:val="000000"/>
                <w:sz w:val="20"/>
              </w:rPr>
              <w:t xml:space="preserve">                  </w:t>
            </w:r>
            <w:r w:rsidRPr="00B0107C">
              <w:rPr>
                <w:rFonts w:eastAsia="Calibri"/>
                <w:b/>
                <w:color w:val="000000"/>
                <w:sz w:val="20"/>
              </w:rPr>
              <w:t xml:space="preserve">                    </w:t>
            </w:r>
            <w:r w:rsidR="00BD63BB">
              <w:rPr>
                <w:rFonts w:eastAsia="Calibri"/>
                <w:b/>
                <w:color w:val="000000"/>
                <w:sz w:val="20"/>
              </w:rPr>
              <w:t xml:space="preserve"> </w:t>
            </w:r>
            <w:r w:rsidRPr="00B0107C">
              <w:rPr>
                <w:rFonts w:eastAsia="Calibri"/>
                <w:b/>
                <w:color w:val="000000"/>
                <w:sz w:val="20"/>
              </w:rPr>
              <w:t>EMPRESA B</w:t>
            </w:r>
          </w:p>
        </w:tc>
        <w:tc>
          <w:tcPr>
            <w:tcW w:w="518" w:type="pct"/>
            <w:tcBorders>
              <w:top w:val="nil"/>
              <w:left w:val="nil"/>
              <w:bottom w:val="nil"/>
              <w:right w:val="thinThickThinSmallGap" w:sz="24" w:space="0" w:color="auto"/>
            </w:tcBorders>
            <w:shd w:val="clear" w:color="auto" w:fill="FFFFFF"/>
            <w:noWrap/>
            <w:vAlign w:val="center"/>
            <w:hideMark/>
          </w:tcPr>
          <w:p w:rsidR="00AB302E" w:rsidRDefault="00AB302E" w:rsidP="00AB302E">
            <w:pPr>
              <w:rPr>
                <w:rFonts w:eastAsia="Calibri" w:cs="Arial"/>
                <w:b/>
                <w:color w:val="000000"/>
                <w:sz w:val="20"/>
              </w:rPr>
            </w:pPr>
          </w:p>
        </w:tc>
      </w:tr>
      <w:tr w:rsidR="00AB302E" w:rsidRPr="00B0107C" w:rsidTr="008F0FC5">
        <w:trPr>
          <w:trHeight w:val="65"/>
          <w:jc w:val="center"/>
        </w:trPr>
        <w:tc>
          <w:tcPr>
            <w:tcW w:w="79"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20"/>
              </w:rPr>
            </w:pPr>
          </w:p>
        </w:tc>
        <w:tc>
          <w:tcPr>
            <w:tcW w:w="79" w:type="pct"/>
            <w:shd w:val="clear" w:color="auto" w:fill="FFFFFF"/>
            <w:noWrap/>
            <w:vAlign w:val="center"/>
            <w:hideMark/>
          </w:tcPr>
          <w:p w:rsidR="00AB302E" w:rsidRDefault="00AB302E" w:rsidP="00AB302E">
            <w:pPr>
              <w:jc w:val="center"/>
              <w:rPr>
                <w:rFonts w:eastAsia="Calibri"/>
                <w:color w:val="000000"/>
                <w:sz w:val="20"/>
              </w:rPr>
            </w:pPr>
          </w:p>
        </w:tc>
        <w:tc>
          <w:tcPr>
            <w:tcW w:w="1934" w:type="pct"/>
            <w:shd w:val="clear" w:color="auto" w:fill="FFFFFF"/>
            <w:noWrap/>
            <w:vAlign w:val="center"/>
            <w:hideMark/>
          </w:tcPr>
          <w:p w:rsidR="00AB302E" w:rsidRDefault="00AB302E" w:rsidP="00AB302E">
            <w:pPr>
              <w:jc w:val="center"/>
              <w:rPr>
                <w:rFonts w:eastAsia="Calibri"/>
                <w:color w:val="000000"/>
                <w:sz w:val="20"/>
              </w:rPr>
            </w:pPr>
            <w:r w:rsidRPr="00CF633A">
              <w:rPr>
                <w:rFonts w:eastAsia="Calibri"/>
                <w:sz w:val="20"/>
              </w:rPr>
              <w:pict>
                <v:rect id="_x0000_s1043" style="position:absolute;left:0;text-align:left;margin-left:2pt;margin-top:1.6pt;width:264.25pt;height:159.45pt;z-index:18;mso-position-horizontal-relative:text;mso-position-vertical-relative:text">
                  <v:textbox style="mso-next-textbox:#_x0000_s1043">
                    <w:txbxContent>
                      <w:p w:rsidR="00AB302E" w:rsidRPr="00B0107C" w:rsidRDefault="00AB302E" w:rsidP="00BD63BB">
                        <w:pPr>
                          <w:pStyle w:val="SemEspaamento"/>
                          <w:jc w:val="left"/>
                          <w:rPr>
                            <w:sz w:val="20"/>
                          </w:rPr>
                        </w:pPr>
                        <w:r w:rsidRPr="00B0107C">
                          <w:rPr>
                            <w:sz w:val="20"/>
                          </w:rPr>
                          <w:t>Custo</w:t>
                        </w:r>
                        <w:r w:rsidRPr="00B0107C">
                          <w:rPr>
                            <w:sz w:val="20"/>
                          </w:rPr>
                          <w:tab/>
                          <w:t xml:space="preserve">        Valor produto</w:t>
                        </w:r>
                        <w:r w:rsidRPr="00B0107C">
                          <w:rPr>
                            <w:sz w:val="20"/>
                          </w:rPr>
                          <w:tab/>
                        </w:r>
                        <w:r w:rsidRPr="00B0107C">
                          <w:rPr>
                            <w:sz w:val="20"/>
                          </w:rPr>
                          <w:tab/>
                          <w:t xml:space="preserve">Valor total da Venda </w:t>
                        </w:r>
                        <w:proofErr w:type="gramStart"/>
                        <w:r w:rsidRPr="00B0107C">
                          <w:rPr>
                            <w:sz w:val="20"/>
                          </w:rPr>
                          <w:t>1</w:t>
                        </w:r>
                        <w:proofErr w:type="gramEnd"/>
                      </w:p>
                      <w:p w:rsidR="00AB302E" w:rsidRPr="00B0107C" w:rsidRDefault="00AB302E" w:rsidP="00BD63BB">
                        <w:pPr>
                          <w:pStyle w:val="SemEspaamento"/>
                          <w:jc w:val="left"/>
                          <w:rPr>
                            <w:sz w:val="20"/>
                          </w:rPr>
                        </w:pPr>
                        <w:r w:rsidRPr="00B0107C">
                          <w:rPr>
                            <w:b/>
                            <w:sz w:val="20"/>
                          </w:rPr>
                          <w:t>70,00</w:t>
                        </w:r>
                        <w:r w:rsidRPr="00B0107C">
                          <w:rPr>
                            <w:sz w:val="20"/>
                          </w:rPr>
                          <w:tab/>
                          <w:t xml:space="preserve">        </w:t>
                        </w:r>
                        <w:r w:rsidRPr="00B0107C">
                          <w:rPr>
                            <w:b/>
                            <w:sz w:val="20"/>
                          </w:rPr>
                          <w:t>100,00</w:t>
                        </w:r>
                        <w:r w:rsidRPr="00B0107C">
                          <w:rPr>
                            <w:b/>
                            <w:sz w:val="20"/>
                          </w:rPr>
                          <w:tab/>
                        </w:r>
                        <w:r w:rsidRPr="00B0107C">
                          <w:rPr>
                            <w:b/>
                            <w:sz w:val="20"/>
                          </w:rPr>
                          <w:tab/>
                          <w:t>121,82</w:t>
                        </w:r>
                        <w:r w:rsidRPr="00B0107C">
                          <w:rPr>
                            <w:b/>
                            <w:sz w:val="20"/>
                          </w:rPr>
                          <w:tab/>
                        </w:r>
                        <w:proofErr w:type="gramStart"/>
                        <w:r w:rsidRPr="00B0107C">
                          <w:rPr>
                            <w:sz w:val="20"/>
                          </w:rPr>
                          <w:t>(</w:t>
                        </w:r>
                        <w:proofErr w:type="gramEnd"/>
                        <w:r w:rsidRPr="00B0107C">
                          <w:rPr>
                            <w:sz w:val="20"/>
                          </w:rPr>
                          <w:t>100,00 + 21,82)</w:t>
                        </w:r>
                      </w:p>
                      <w:p w:rsidR="00AB302E" w:rsidRPr="00B0107C" w:rsidRDefault="00AB302E" w:rsidP="00BD63BB">
                        <w:pPr>
                          <w:pStyle w:val="SemEspaamento"/>
                          <w:jc w:val="left"/>
                          <w:rPr>
                            <w:b/>
                            <w:sz w:val="20"/>
                          </w:rPr>
                        </w:pPr>
                      </w:p>
                      <w:p w:rsidR="00AB302E" w:rsidRPr="00B0107C" w:rsidRDefault="00AB302E" w:rsidP="00BD63BB">
                        <w:pPr>
                          <w:pStyle w:val="SemEspaamento"/>
                          <w:jc w:val="left"/>
                          <w:rPr>
                            <w:b/>
                            <w:sz w:val="20"/>
                            <w:u w:val="single"/>
                          </w:rPr>
                        </w:pPr>
                      </w:p>
                      <w:p w:rsidR="00AB302E" w:rsidRPr="00B0107C" w:rsidRDefault="00AB302E" w:rsidP="00BD63BB">
                        <w:pPr>
                          <w:pStyle w:val="SemEspaamento"/>
                          <w:jc w:val="left"/>
                          <w:rPr>
                            <w:b/>
                            <w:sz w:val="20"/>
                            <w:u w:val="single"/>
                          </w:rPr>
                        </w:pPr>
                        <w:r w:rsidRPr="00B0107C">
                          <w:rPr>
                            <w:b/>
                            <w:sz w:val="20"/>
                            <w:u w:val="single"/>
                          </w:rPr>
                          <w:t>Cálculo ICMS-ST</w:t>
                        </w:r>
                      </w:p>
                      <w:p w:rsidR="00AB302E" w:rsidRPr="00B0107C" w:rsidRDefault="00AB302E" w:rsidP="00BD63BB">
                        <w:pPr>
                          <w:pStyle w:val="SemEspaamento"/>
                          <w:jc w:val="left"/>
                          <w:rPr>
                            <w:b/>
                            <w:sz w:val="20"/>
                            <w:u w:val="single"/>
                          </w:rPr>
                        </w:pPr>
                      </w:p>
                      <w:p w:rsidR="00AB302E" w:rsidRPr="00B0107C" w:rsidRDefault="00AB302E" w:rsidP="00BD63BB">
                        <w:pPr>
                          <w:pStyle w:val="SemEspaamento"/>
                          <w:jc w:val="left"/>
                          <w:rPr>
                            <w:sz w:val="20"/>
                          </w:rPr>
                        </w:pPr>
                        <w:r w:rsidRPr="00B0107C">
                          <w:rPr>
                            <w:sz w:val="20"/>
                          </w:rPr>
                          <w:t>Valor operação</w:t>
                        </w:r>
                        <w:r w:rsidRPr="00B0107C">
                          <w:rPr>
                            <w:sz w:val="20"/>
                          </w:rPr>
                          <w:tab/>
                        </w:r>
                        <w:r w:rsidRPr="00B0107C">
                          <w:rPr>
                            <w:sz w:val="20"/>
                          </w:rPr>
                          <w:tab/>
                          <w:t>100,00</w:t>
                        </w:r>
                      </w:p>
                      <w:p w:rsidR="00AB302E" w:rsidRPr="00B0107C" w:rsidRDefault="00AB302E" w:rsidP="00BD63BB">
                        <w:pPr>
                          <w:pStyle w:val="SemEspaamento"/>
                          <w:jc w:val="left"/>
                          <w:rPr>
                            <w:sz w:val="20"/>
                          </w:rPr>
                        </w:pPr>
                        <w:r>
                          <w:rPr>
                            <w:sz w:val="20"/>
                          </w:rPr>
                          <w:t xml:space="preserve">MVA ajust. </w:t>
                        </w:r>
                        <w:proofErr w:type="gramStart"/>
                        <w:r>
                          <w:rPr>
                            <w:sz w:val="20"/>
                          </w:rPr>
                          <w:t>reduzida</w:t>
                        </w:r>
                        <w:proofErr w:type="gramEnd"/>
                        <w:r w:rsidRPr="00B0107C">
                          <w:rPr>
                            <w:sz w:val="20"/>
                          </w:rPr>
                          <w:tab/>
                          <w:t>35,29%</w:t>
                        </w:r>
                      </w:p>
                      <w:p w:rsidR="00AB302E" w:rsidRPr="00B0107C" w:rsidRDefault="00AB302E" w:rsidP="00BD63BB">
                        <w:pPr>
                          <w:pStyle w:val="SemEspaamento"/>
                          <w:jc w:val="left"/>
                          <w:rPr>
                            <w:sz w:val="20"/>
                          </w:rPr>
                        </w:pPr>
                        <w:r w:rsidRPr="00B0107C">
                          <w:rPr>
                            <w:sz w:val="20"/>
                          </w:rPr>
                          <w:t>Alíquota interestadual</w:t>
                        </w:r>
                        <w:r w:rsidRPr="00B0107C">
                          <w:rPr>
                            <w:sz w:val="20"/>
                          </w:rPr>
                          <w:tab/>
                          <w:t xml:space="preserve"> 12%</w:t>
                        </w:r>
                      </w:p>
                      <w:p w:rsidR="00AB302E" w:rsidRPr="00B0107C" w:rsidRDefault="00AB302E" w:rsidP="00BD63BB">
                        <w:pPr>
                          <w:pStyle w:val="SemEspaamento"/>
                          <w:jc w:val="left"/>
                          <w:rPr>
                            <w:sz w:val="20"/>
                          </w:rPr>
                        </w:pPr>
                        <w:r w:rsidRPr="00B0107C">
                          <w:rPr>
                            <w:sz w:val="20"/>
                          </w:rPr>
                          <w:t>ICMS próprio</w:t>
                        </w:r>
                        <w:r w:rsidRPr="00B0107C">
                          <w:rPr>
                            <w:sz w:val="20"/>
                          </w:rPr>
                          <w:tab/>
                        </w:r>
                        <w:r w:rsidRPr="00B0107C">
                          <w:rPr>
                            <w:sz w:val="20"/>
                          </w:rPr>
                          <w:tab/>
                          <w:t>12,00</w:t>
                        </w:r>
                        <w:r w:rsidRPr="00B0107C">
                          <w:rPr>
                            <w:sz w:val="20"/>
                          </w:rPr>
                          <w:tab/>
                        </w:r>
                        <w:proofErr w:type="gramStart"/>
                        <w:r w:rsidRPr="00B0107C">
                          <w:rPr>
                            <w:sz w:val="20"/>
                          </w:rPr>
                          <w:t>(</w:t>
                        </w:r>
                        <w:proofErr w:type="gramEnd"/>
                        <w:r w:rsidRPr="00B0107C">
                          <w:rPr>
                            <w:sz w:val="20"/>
                          </w:rPr>
                          <w:t>100,00 x 12%)</w:t>
                        </w:r>
                      </w:p>
                      <w:p w:rsidR="00AB302E" w:rsidRPr="00B0107C" w:rsidRDefault="00AB302E" w:rsidP="00BD63BB">
                        <w:pPr>
                          <w:pStyle w:val="SemEspaamento"/>
                          <w:jc w:val="left"/>
                          <w:rPr>
                            <w:sz w:val="20"/>
                          </w:rPr>
                        </w:pPr>
                        <w:r>
                          <w:rPr>
                            <w:sz w:val="20"/>
                          </w:rPr>
                          <w:t>Base de cálculo ST</w:t>
                        </w:r>
                        <w:r w:rsidRPr="00B0107C">
                          <w:rPr>
                            <w:sz w:val="20"/>
                          </w:rPr>
                          <w:tab/>
                          <w:t>135,29</w:t>
                        </w:r>
                        <w:r w:rsidRPr="00B0107C">
                          <w:rPr>
                            <w:sz w:val="20"/>
                          </w:rPr>
                          <w:tab/>
                        </w:r>
                        <w:proofErr w:type="gramStart"/>
                        <w:r w:rsidRPr="00B0107C">
                          <w:rPr>
                            <w:sz w:val="20"/>
                          </w:rPr>
                          <w:t>(</w:t>
                        </w:r>
                        <w:proofErr w:type="gramEnd"/>
                        <w:r w:rsidRPr="00B0107C">
                          <w:rPr>
                            <w:sz w:val="20"/>
                          </w:rPr>
                          <w:t>100,00 x 1,3529)</w:t>
                        </w:r>
                      </w:p>
                      <w:p w:rsidR="00AB302E" w:rsidRPr="00B0107C" w:rsidRDefault="00AB302E" w:rsidP="00BD63BB">
                        <w:pPr>
                          <w:pStyle w:val="SemEspaamento"/>
                          <w:jc w:val="left"/>
                          <w:rPr>
                            <w:sz w:val="20"/>
                          </w:rPr>
                        </w:pPr>
                        <w:r>
                          <w:rPr>
                            <w:sz w:val="20"/>
                          </w:rPr>
                          <w:t>ICMS-ST a recolher</w:t>
                        </w:r>
                        <w:r w:rsidRPr="00B0107C">
                          <w:rPr>
                            <w:sz w:val="20"/>
                          </w:rPr>
                          <w:tab/>
                        </w:r>
                        <w:r w:rsidRPr="00B0107C">
                          <w:rPr>
                            <w:b/>
                            <w:sz w:val="20"/>
                          </w:rPr>
                          <w:t>21,82</w:t>
                        </w:r>
                        <w:r w:rsidRPr="00B0107C">
                          <w:rPr>
                            <w:sz w:val="20"/>
                          </w:rPr>
                          <w:tab/>
                        </w:r>
                        <w:proofErr w:type="gramStart"/>
                        <w:r w:rsidRPr="00B0107C">
                          <w:rPr>
                            <w:sz w:val="20"/>
                          </w:rPr>
                          <w:t>(</w:t>
                        </w:r>
                        <w:proofErr w:type="gramEnd"/>
                        <w:r w:rsidRPr="00B0107C">
                          <w:rPr>
                            <w:sz w:val="20"/>
                          </w:rPr>
                          <w:t>135,29 x 25%) – 12,00</w:t>
                        </w:r>
                      </w:p>
                    </w:txbxContent>
                  </v:textbox>
                </v:rect>
              </w:pict>
            </w:r>
          </w:p>
        </w:tc>
        <w:tc>
          <w:tcPr>
            <w:tcW w:w="2389" w:type="pct"/>
            <w:shd w:val="clear" w:color="auto" w:fill="FFFFFF"/>
            <w:noWrap/>
            <w:vAlign w:val="center"/>
          </w:tcPr>
          <w:p w:rsidR="00AB302E" w:rsidRDefault="00AB302E" w:rsidP="00AB302E">
            <w:pPr>
              <w:jc w:val="center"/>
              <w:rPr>
                <w:rFonts w:eastAsia="Calibri"/>
                <w:color w:val="000000"/>
                <w:sz w:val="20"/>
              </w:rPr>
            </w:pPr>
            <w:r w:rsidRPr="00CF633A">
              <w:rPr>
                <w:rFonts w:eastAsia="Calibri"/>
                <w:sz w:val="20"/>
              </w:rPr>
              <w:pict>
                <v:rect id="_x0000_s1044" style="position:absolute;left:0;text-align:left;margin-left:97.6pt;margin-top:2.7pt;width:160.3pt;height:110.85pt;z-index:19;mso-position-horizontal-relative:text;mso-position-vertical-relative:text">
                  <v:textbox style="mso-next-textbox:#_x0000_s1044">
                    <w:txbxContent>
                      <w:p w:rsidR="00AB302E" w:rsidRPr="00B0107C" w:rsidRDefault="00AB302E" w:rsidP="00BD63BB">
                        <w:pPr>
                          <w:pStyle w:val="SemEspaamento"/>
                          <w:jc w:val="left"/>
                          <w:rPr>
                            <w:sz w:val="20"/>
                          </w:rPr>
                        </w:pPr>
                        <w:r w:rsidRPr="00B0107C">
                          <w:rPr>
                            <w:sz w:val="20"/>
                          </w:rPr>
                          <w:t>Custo</w:t>
                        </w:r>
                        <w:r w:rsidRPr="00B0107C">
                          <w:rPr>
                            <w:sz w:val="20"/>
                          </w:rPr>
                          <w:tab/>
                          <w:t xml:space="preserve">        Valor da Venda </w:t>
                        </w:r>
                        <w:proofErr w:type="gramStart"/>
                        <w:r w:rsidRPr="00B0107C">
                          <w:rPr>
                            <w:sz w:val="20"/>
                          </w:rPr>
                          <w:t>2</w:t>
                        </w:r>
                        <w:proofErr w:type="gramEnd"/>
                      </w:p>
                      <w:p w:rsidR="00AB302E" w:rsidRPr="00B0107C" w:rsidRDefault="00AB302E" w:rsidP="00BD63BB">
                        <w:pPr>
                          <w:pStyle w:val="SemEspaamento"/>
                          <w:jc w:val="left"/>
                          <w:rPr>
                            <w:sz w:val="20"/>
                          </w:rPr>
                        </w:pPr>
                        <w:r w:rsidRPr="00B0107C">
                          <w:rPr>
                            <w:b/>
                            <w:sz w:val="20"/>
                          </w:rPr>
                          <w:t>121,82</w:t>
                        </w:r>
                        <w:r w:rsidRPr="00B0107C">
                          <w:rPr>
                            <w:sz w:val="20"/>
                          </w:rPr>
                          <w:tab/>
                          <w:t xml:space="preserve">      </w:t>
                        </w:r>
                        <w:r w:rsidRPr="00B0107C">
                          <w:rPr>
                            <w:b/>
                            <w:sz w:val="20"/>
                          </w:rPr>
                          <w:t>177,17</w:t>
                        </w:r>
                        <w:r>
                          <w:rPr>
                            <w:sz w:val="20"/>
                          </w:rPr>
                          <w:t xml:space="preserve"> (100 x 77,17</w:t>
                        </w:r>
                        <w:r w:rsidRPr="00B0107C">
                          <w:rPr>
                            <w:sz w:val="20"/>
                          </w:rPr>
                          <w:t>%)</w:t>
                        </w:r>
                      </w:p>
                      <w:p w:rsidR="00AB302E" w:rsidRPr="00B0107C" w:rsidRDefault="00AB302E" w:rsidP="00BD63BB">
                        <w:pPr>
                          <w:pStyle w:val="SemEspaamento"/>
                          <w:jc w:val="left"/>
                          <w:rPr>
                            <w:sz w:val="20"/>
                          </w:rPr>
                        </w:pPr>
                      </w:p>
                      <w:p w:rsidR="00AB302E" w:rsidRPr="00B0107C" w:rsidRDefault="00AB302E" w:rsidP="00BD63BB">
                        <w:pPr>
                          <w:pStyle w:val="SemEspaamento"/>
                          <w:jc w:val="left"/>
                          <w:rPr>
                            <w:b/>
                            <w:sz w:val="20"/>
                            <w:u w:val="single"/>
                          </w:rPr>
                        </w:pPr>
                      </w:p>
                      <w:p w:rsidR="00AB302E" w:rsidRPr="00B0107C" w:rsidRDefault="00AB302E" w:rsidP="00BD63BB">
                        <w:pPr>
                          <w:pStyle w:val="SemEspaamento"/>
                          <w:jc w:val="left"/>
                          <w:rPr>
                            <w:b/>
                            <w:sz w:val="20"/>
                            <w:u w:val="single"/>
                          </w:rPr>
                        </w:pPr>
                        <w:r w:rsidRPr="00B0107C">
                          <w:rPr>
                            <w:b/>
                            <w:sz w:val="20"/>
                            <w:u w:val="single"/>
                          </w:rPr>
                          <w:t>Cálculo de ICMS</w:t>
                        </w:r>
                      </w:p>
                      <w:p w:rsidR="00AB302E" w:rsidRPr="00B0107C" w:rsidRDefault="00AB302E" w:rsidP="00BD63BB">
                        <w:pPr>
                          <w:pStyle w:val="SemEspaamento"/>
                          <w:jc w:val="left"/>
                          <w:rPr>
                            <w:sz w:val="20"/>
                          </w:rPr>
                        </w:pPr>
                        <w:r w:rsidRPr="00B0107C">
                          <w:rPr>
                            <w:sz w:val="20"/>
                          </w:rPr>
                          <w:t>Crédito</w:t>
                        </w:r>
                        <w:r w:rsidRPr="00B0107C">
                          <w:rPr>
                            <w:sz w:val="20"/>
                          </w:rPr>
                          <w:tab/>
                        </w:r>
                        <w:proofErr w:type="gramStart"/>
                        <w:r w:rsidRPr="00B0107C">
                          <w:rPr>
                            <w:sz w:val="20"/>
                          </w:rPr>
                          <w:t xml:space="preserve">   </w:t>
                        </w:r>
                        <w:proofErr w:type="gramEnd"/>
                        <w:r>
                          <w:rPr>
                            <w:sz w:val="20"/>
                          </w:rPr>
                          <w:tab/>
                        </w:r>
                        <w:r w:rsidRPr="00B0107C">
                          <w:rPr>
                            <w:sz w:val="20"/>
                          </w:rPr>
                          <w:t xml:space="preserve"> Débito</w:t>
                        </w:r>
                      </w:p>
                      <w:p w:rsidR="00AB302E" w:rsidRDefault="00AB302E" w:rsidP="00BD63BB">
                        <w:pPr>
                          <w:pStyle w:val="SemEspaamento"/>
                          <w:jc w:val="left"/>
                          <w:rPr>
                            <w:b/>
                            <w:sz w:val="20"/>
                          </w:rPr>
                        </w:pPr>
                        <w:r w:rsidRPr="00B0107C">
                          <w:rPr>
                            <w:b/>
                            <w:sz w:val="20"/>
                          </w:rPr>
                          <w:t>0,00</w:t>
                        </w:r>
                        <w:r w:rsidRPr="00B0107C">
                          <w:rPr>
                            <w:sz w:val="20"/>
                          </w:rPr>
                          <w:tab/>
                        </w:r>
                        <w:proofErr w:type="gramStart"/>
                        <w:r w:rsidRPr="00B0107C">
                          <w:rPr>
                            <w:sz w:val="20"/>
                          </w:rPr>
                          <w:t xml:space="preserve">  </w:t>
                        </w:r>
                        <w:proofErr w:type="gramEnd"/>
                        <w:r>
                          <w:rPr>
                            <w:sz w:val="20"/>
                          </w:rPr>
                          <w:tab/>
                        </w:r>
                        <w:r w:rsidRPr="00B0107C">
                          <w:rPr>
                            <w:sz w:val="20"/>
                          </w:rPr>
                          <w:t xml:space="preserve">  </w:t>
                        </w:r>
                        <w:r>
                          <w:rPr>
                            <w:b/>
                            <w:sz w:val="20"/>
                          </w:rPr>
                          <w:t xml:space="preserve">0,00 </w:t>
                        </w:r>
                      </w:p>
                      <w:p w:rsidR="00AB302E" w:rsidRDefault="00AB302E" w:rsidP="00BD63BB">
                        <w:pPr>
                          <w:pStyle w:val="SemEspaamento"/>
                          <w:jc w:val="left"/>
                          <w:rPr>
                            <w:b/>
                            <w:sz w:val="20"/>
                          </w:rPr>
                        </w:pPr>
                      </w:p>
                      <w:p w:rsidR="00AB302E" w:rsidRPr="00B0107C" w:rsidRDefault="00AB302E" w:rsidP="00BD63BB">
                        <w:pPr>
                          <w:pStyle w:val="SemEspaamento"/>
                          <w:jc w:val="left"/>
                          <w:rPr>
                            <w:sz w:val="20"/>
                          </w:rPr>
                        </w:pPr>
                        <w:r w:rsidRPr="00B0107C">
                          <w:rPr>
                            <w:sz w:val="20"/>
                          </w:rPr>
                          <w:t>Obs: Já recolhido por ST</w:t>
                        </w:r>
                      </w:p>
                    </w:txbxContent>
                  </v:textbox>
                </v:rect>
              </w:pict>
            </w:r>
          </w:p>
        </w:tc>
        <w:tc>
          <w:tcPr>
            <w:tcW w:w="518" w:type="pct"/>
            <w:tcBorders>
              <w:top w:val="nil"/>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20"/>
              </w:rPr>
            </w:pPr>
          </w:p>
        </w:tc>
      </w:tr>
      <w:tr w:rsidR="00AB302E" w:rsidRPr="00B0107C" w:rsidTr="008F0FC5">
        <w:trPr>
          <w:trHeight w:val="65"/>
          <w:jc w:val="center"/>
        </w:trPr>
        <w:tc>
          <w:tcPr>
            <w:tcW w:w="79"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20"/>
              </w:rPr>
            </w:pPr>
          </w:p>
        </w:tc>
        <w:tc>
          <w:tcPr>
            <w:tcW w:w="79" w:type="pct"/>
            <w:shd w:val="clear" w:color="auto" w:fill="FFFFFF"/>
            <w:noWrap/>
            <w:vAlign w:val="center"/>
            <w:hideMark/>
          </w:tcPr>
          <w:p w:rsidR="00AB302E" w:rsidRDefault="00AB302E" w:rsidP="00AB302E">
            <w:pPr>
              <w:jc w:val="center"/>
              <w:rPr>
                <w:rFonts w:eastAsia="Calibri"/>
                <w:color w:val="000000"/>
                <w:sz w:val="20"/>
              </w:rPr>
            </w:pPr>
          </w:p>
        </w:tc>
        <w:tc>
          <w:tcPr>
            <w:tcW w:w="1934" w:type="pct"/>
            <w:shd w:val="clear" w:color="auto" w:fill="FFFFFF"/>
            <w:noWrap/>
            <w:vAlign w:val="center"/>
          </w:tcPr>
          <w:p w:rsidR="00AB302E" w:rsidRDefault="00AB302E" w:rsidP="00AB302E">
            <w:pPr>
              <w:jc w:val="center"/>
              <w:rPr>
                <w:rFonts w:eastAsia="Calibri"/>
                <w:color w:val="000000"/>
                <w:sz w:val="20"/>
              </w:rPr>
            </w:pPr>
          </w:p>
        </w:tc>
        <w:tc>
          <w:tcPr>
            <w:tcW w:w="2389" w:type="pct"/>
            <w:shd w:val="clear" w:color="auto" w:fill="FFFFFF"/>
            <w:noWrap/>
            <w:vAlign w:val="center"/>
          </w:tcPr>
          <w:p w:rsidR="00AB302E" w:rsidRDefault="00AB302E" w:rsidP="00AB302E">
            <w:pPr>
              <w:jc w:val="center"/>
              <w:rPr>
                <w:rFonts w:eastAsia="Calibri"/>
                <w:color w:val="000000"/>
                <w:sz w:val="20"/>
              </w:rPr>
            </w:pPr>
          </w:p>
        </w:tc>
        <w:tc>
          <w:tcPr>
            <w:tcW w:w="518" w:type="pct"/>
            <w:tcBorders>
              <w:top w:val="nil"/>
              <w:left w:val="nil"/>
              <w:bottom w:val="nil"/>
              <w:right w:val="thinThickThinSmallGap" w:sz="24" w:space="0" w:color="auto"/>
            </w:tcBorders>
            <w:shd w:val="clear" w:color="auto" w:fill="FFFFFF"/>
            <w:noWrap/>
            <w:vAlign w:val="center"/>
            <w:hideMark/>
          </w:tcPr>
          <w:p w:rsidR="00AB302E" w:rsidRDefault="00AB302E" w:rsidP="00AB302E">
            <w:pPr>
              <w:tabs>
                <w:tab w:val="left" w:pos="3747"/>
              </w:tabs>
              <w:jc w:val="center"/>
              <w:rPr>
                <w:rFonts w:eastAsia="Calibri" w:cs="Arial"/>
                <w:color w:val="000000"/>
                <w:sz w:val="20"/>
              </w:rPr>
            </w:pPr>
            <w:r w:rsidRPr="00B0107C">
              <w:rPr>
                <w:rFonts w:eastAsia="Calibri" w:cs="Arial"/>
                <w:color w:val="000000"/>
                <w:sz w:val="20"/>
              </w:rPr>
              <w:t xml:space="preserve">                                               </w:t>
            </w:r>
          </w:p>
        </w:tc>
      </w:tr>
      <w:tr w:rsidR="00AB302E" w:rsidRPr="00B0107C" w:rsidTr="008F0FC5">
        <w:trPr>
          <w:trHeight w:val="57"/>
          <w:jc w:val="center"/>
        </w:trPr>
        <w:tc>
          <w:tcPr>
            <w:tcW w:w="79"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20"/>
              </w:rPr>
            </w:pPr>
          </w:p>
        </w:tc>
        <w:tc>
          <w:tcPr>
            <w:tcW w:w="79" w:type="pct"/>
            <w:shd w:val="clear" w:color="auto" w:fill="FFFFFF"/>
            <w:noWrap/>
            <w:vAlign w:val="center"/>
          </w:tcPr>
          <w:p w:rsidR="00AB302E" w:rsidRDefault="00AB302E" w:rsidP="00AB302E">
            <w:pPr>
              <w:jc w:val="center"/>
              <w:rPr>
                <w:rFonts w:eastAsia="Calibri"/>
                <w:color w:val="000000"/>
                <w:sz w:val="20"/>
              </w:rPr>
            </w:pPr>
          </w:p>
        </w:tc>
        <w:tc>
          <w:tcPr>
            <w:tcW w:w="1934" w:type="pct"/>
            <w:shd w:val="clear" w:color="auto" w:fill="FFFFFF"/>
            <w:noWrap/>
            <w:vAlign w:val="center"/>
          </w:tcPr>
          <w:p w:rsidR="00AB302E" w:rsidRDefault="00AB302E" w:rsidP="00AB302E">
            <w:pPr>
              <w:jc w:val="center"/>
              <w:rPr>
                <w:rFonts w:eastAsia="Calibri"/>
                <w:color w:val="000000"/>
                <w:sz w:val="20"/>
              </w:rPr>
            </w:pPr>
          </w:p>
        </w:tc>
        <w:tc>
          <w:tcPr>
            <w:tcW w:w="2389" w:type="pct"/>
            <w:shd w:val="clear" w:color="auto" w:fill="FFFFFF"/>
            <w:noWrap/>
            <w:vAlign w:val="center"/>
          </w:tcPr>
          <w:p w:rsidR="00AB302E" w:rsidRDefault="00AB302E" w:rsidP="00AB302E">
            <w:pPr>
              <w:jc w:val="center"/>
              <w:rPr>
                <w:rFonts w:eastAsia="Calibri"/>
                <w:color w:val="000000"/>
                <w:sz w:val="20"/>
              </w:rPr>
            </w:pPr>
          </w:p>
        </w:tc>
        <w:tc>
          <w:tcPr>
            <w:tcW w:w="518" w:type="pct"/>
            <w:tcBorders>
              <w:top w:val="nil"/>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20"/>
              </w:rPr>
            </w:pPr>
          </w:p>
        </w:tc>
      </w:tr>
      <w:tr w:rsidR="00AB302E" w:rsidRPr="00B0107C" w:rsidTr="008F0FC5">
        <w:trPr>
          <w:trHeight w:val="65"/>
          <w:jc w:val="center"/>
        </w:trPr>
        <w:tc>
          <w:tcPr>
            <w:tcW w:w="79"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20"/>
              </w:rPr>
            </w:pPr>
          </w:p>
        </w:tc>
        <w:tc>
          <w:tcPr>
            <w:tcW w:w="79" w:type="pct"/>
            <w:shd w:val="clear" w:color="auto" w:fill="FFFFFF"/>
            <w:noWrap/>
            <w:vAlign w:val="center"/>
          </w:tcPr>
          <w:p w:rsidR="00AB302E" w:rsidRDefault="00AB302E" w:rsidP="00AB302E">
            <w:pPr>
              <w:jc w:val="center"/>
              <w:rPr>
                <w:rFonts w:eastAsia="Calibri"/>
                <w:color w:val="000000"/>
                <w:sz w:val="20"/>
              </w:rPr>
            </w:pPr>
          </w:p>
        </w:tc>
        <w:tc>
          <w:tcPr>
            <w:tcW w:w="1934" w:type="pct"/>
            <w:shd w:val="clear" w:color="auto" w:fill="FFFFFF"/>
            <w:noWrap/>
            <w:vAlign w:val="center"/>
          </w:tcPr>
          <w:p w:rsidR="00AB302E" w:rsidRDefault="00AB302E" w:rsidP="00AB302E">
            <w:pPr>
              <w:jc w:val="center"/>
              <w:rPr>
                <w:rFonts w:eastAsia="Calibri"/>
                <w:color w:val="000000"/>
                <w:sz w:val="20"/>
              </w:rPr>
            </w:pPr>
          </w:p>
        </w:tc>
        <w:tc>
          <w:tcPr>
            <w:tcW w:w="2389" w:type="pct"/>
            <w:shd w:val="clear" w:color="auto" w:fill="FFFFFF"/>
            <w:noWrap/>
            <w:vAlign w:val="center"/>
          </w:tcPr>
          <w:p w:rsidR="00AB302E" w:rsidRDefault="00AB302E" w:rsidP="00AB302E">
            <w:pPr>
              <w:jc w:val="center"/>
              <w:rPr>
                <w:rFonts w:eastAsia="Calibri"/>
                <w:color w:val="000000"/>
                <w:sz w:val="20"/>
              </w:rPr>
            </w:pPr>
          </w:p>
        </w:tc>
        <w:tc>
          <w:tcPr>
            <w:tcW w:w="518" w:type="pct"/>
            <w:tcBorders>
              <w:top w:val="nil"/>
              <w:left w:val="nil"/>
              <w:bottom w:val="nil"/>
              <w:right w:val="thinThickThinSmallGap" w:sz="24" w:space="0" w:color="auto"/>
            </w:tcBorders>
            <w:shd w:val="clear" w:color="auto" w:fill="FFFFFF"/>
            <w:noWrap/>
            <w:vAlign w:val="center"/>
            <w:hideMark/>
          </w:tcPr>
          <w:p w:rsidR="00AB302E" w:rsidRDefault="00AB302E" w:rsidP="00AB302E">
            <w:pPr>
              <w:rPr>
                <w:rFonts w:eastAsia="Calibri" w:cs="Arial"/>
                <w:b/>
                <w:color w:val="000000"/>
                <w:sz w:val="20"/>
              </w:rPr>
            </w:pPr>
            <w:r w:rsidRPr="00B0107C">
              <w:rPr>
                <w:rFonts w:eastAsia="Calibri" w:cs="Arial"/>
                <w:b/>
                <w:color w:val="000000"/>
                <w:sz w:val="20"/>
              </w:rPr>
              <w:t xml:space="preserve">      </w:t>
            </w:r>
          </w:p>
        </w:tc>
      </w:tr>
      <w:tr w:rsidR="00AB302E" w:rsidRPr="00B0107C" w:rsidTr="008F0FC5">
        <w:trPr>
          <w:trHeight w:val="65"/>
          <w:jc w:val="center"/>
        </w:trPr>
        <w:tc>
          <w:tcPr>
            <w:tcW w:w="79" w:type="pct"/>
            <w:tcBorders>
              <w:top w:val="nil"/>
              <w:left w:val="thinThickThinSmallGap" w:sz="24" w:space="0" w:color="auto"/>
              <w:bottom w:val="nil"/>
              <w:right w:val="nil"/>
            </w:tcBorders>
            <w:shd w:val="clear" w:color="auto" w:fill="FFFFFF"/>
            <w:noWrap/>
            <w:vAlign w:val="center"/>
          </w:tcPr>
          <w:p w:rsidR="00AB302E" w:rsidRDefault="00AB302E" w:rsidP="00AB302E">
            <w:pPr>
              <w:jc w:val="center"/>
              <w:rPr>
                <w:rFonts w:eastAsia="Calibri" w:cs="Arial"/>
                <w:color w:val="000000"/>
                <w:sz w:val="20"/>
              </w:rPr>
            </w:pPr>
          </w:p>
        </w:tc>
        <w:tc>
          <w:tcPr>
            <w:tcW w:w="79" w:type="pct"/>
            <w:shd w:val="clear" w:color="auto" w:fill="FFFFFF"/>
            <w:noWrap/>
            <w:vAlign w:val="center"/>
          </w:tcPr>
          <w:p w:rsidR="00AB302E" w:rsidRDefault="00AB302E" w:rsidP="00AB302E">
            <w:pPr>
              <w:jc w:val="center"/>
              <w:rPr>
                <w:rFonts w:eastAsia="Calibri"/>
                <w:color w:val="000000"/>
                <w:sz w:val="20"/>
              </w:rPr>
            </w:pPr>
          </w:p>
        </w:tc>
        <w:tc>
          <w:tcPr>
            <w:tcW w:w="1934" w:type="pct"/>
            <w:shd w:val="clear" w:color="auto" w:fill="FFFFFF"/>
            <w:noWrap/>
            <w:vAlign w:val="center"/>
          </w:tcPr>
          <w:p w:rsidR="00AB302E" w:rsidRDefault="00AB302E" w:rsidP="00AB302E">
            <w:pPr>
              <w:jc w:val="center"/>
              <w:rPr>
                <w:rFonts w:eastAsia="Calibri"/>
                <w:color w:val="000000"/>
                <w:sz w:val="20"/>
              </w:rPr>
            </w:pPr>
          </w:p>
        </w:tc>
        <w:tc>
          <w:tcPr>
            <w:tcW w:w="2389" w:type="pct"/>
            <w:shd w:val="clear" w:color="auto" w:fill="FFFFFF"/>
            <w:noWrap/>
            <w:vAlign w:val="center"/>
          </w:tcPr>
          <w:p w:rsidR="00AB302E" w:rsidRDefault="00AB302E" w:rsidP="00AB302E">
            <w:pPr>
              <w:jc w:val="center"/>
              <w:rPr>
                <w:rFonts w:eastAsia="Calibri"/>
                <w:color w:val="000000"/>
                <w:sz w:val="20"/>
              </w:rPr>
            </w:pPr>
          </w:p>
        </w:tc>
        <w:tc>
          <w:tcPr>
            <w:tcW w:w="518" w:type="pct"/>
            <w:tcBorders>
              <w:top w:val="nil"/>
              <w:left w:val="nil"/>
              <w:bottom w:val="nil"/>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20"/>
              </w:rPr>
            </w:pPr>
          </w:p>
        </w:tc>
      </w:tr>
      <w:tr w:rsidR="00AB302E" w:rsidRPr="00B0107C" w:rsidTr="008F0FC5">
        <w:trPr>
          <w:trHeight w:val="2164"/>
          <w:jc w:val="center"/>
        </w:trPr>
        <w:tc>
          <w:tcPr>
            <w:tcW w:w="79" w:type="pct"/>
            <w:tcBorders>
              <w:top w:val="nil"/>
              <w:left w:val="thinThickThinSmallGap" w:sz="24" w:space="0" w:color="auto"/>
              <w:bottom w:val="thinThickThinSmallGap" w:sz="24" w:space="0" w:color="auto"/>
              <w:right w:val="nil"/>
            </w:tcBorders>
            <w:shd w:val="clear" w:color="auto" w:fill="FFFFFF"/>
            <w:noWrap/>
            <w:vAlign w:val="center"/>
          </w:tcPr>
          <w:p w:rsidR="00AB302E" w:rsidRDefault="00AB302E" w:rsidP="00AB302E">
            <w:pPr>
              <w:jc w:val="center"/>
              <w:rPr>
                <w:rFonts w:eastAsia="Calibri" w:cs="Arial"/>
                <w:color w:val="000000"/>
                <w:sz w:val="20"/>
              </w:rPr>
            </w:pPr>
          </w:p>
        </w:tc>
        <w:tc>
          <w:tcPr>
            <w:tcW w:w="79" w:type="pct"/>
            <w:tcBorders>
              <w:top w:val="nil"/>
              <w:left w:val="nil"/>
              <w:bottom w:val="thinThickThinSmallGap" w:sz="24" w:space="0" w:color="auto"/>
              <w:right w:val="nil"/>
            </w:tcBorders>
            <w:shd w:val="clear" w:color="auto" w:fill="FFFFFF"/>
            <w:noWrap/>
            <w:vAlign w:val="center"/>
          </w:tcPr>
          <w:p w:rsidR="00AB302E" w:rsidRDefault="00AB302E" w:rsidP="00AB302E">
            <w:pPr>
              <w:jc w:val="center"/>
              <w:rPr>
                <w:rFonts w:eastAsia="Calibri"/>
                <w:color w:val="000000"/>
                <w:sz w:val="20"/>
              </w:rPr>
            </w:pPr>
          </w:p>
        </w:tc>
        <w:tc>
          <w:tcPr>
            <w:tcW w:w="1934" w:type="pct"/>
            <w:tcBorders>
              <w:top w:val="nil"/>
              <w:left w:val="nil"/>
              <w:bottom w:val="thinThickThinSmallGap" w:sz="24" w:space="0" w:color="auto"/>
              <w:right w:val="nil"/>
            </w:tcBorders>
            <w:shd w:val="clear" w:color="auto" w:fill="FFFFFF"/>
            <w:noWrap/>
            <w:vAlign w:val="center"/>
          </w:tcPr>
          <w:p w:rsidR="00AB302E" w:rsidRDefault="00AB302E" w:rsidP="00AB302E">
            <w:pPr>
              <w:rPr>
                <w:rFonts w:eastAsia="Calibri"/>
                <w:color w:val="000000"/>
                <w:sz w:val="20"/>
              </w:rPr>
            </w:pPr>
          </w:p>
        </w:tc>
        <w:tc>
          <w:tcPr>
            <w:tcW w:w="2389" w:type="pct"/>
            <w:tcBorders>
              <w:top w:val="nil"/>
              <w:left w:val="nil"/>
              <w:bottom w:val="thinThickThinSmallGap" w:sz="24" w:space="0" w:color="auto"/>
              <w:right w:val="nil"/>
            </w:tcBorders>
            <w:shd w:val="clear" w:color="auto" w:fill="FFFFFF"/>
            <w:noWrap/>
            <w:vAlign w:val="center"/>
          </w:tcPr>
          <w:p w:rsidR="00AB302E" w:rsidRDefault="00AB302E" w:rsidP="00AB302E">
            <w:pPr>
              <w:jc w:val="center"/>
              <w:rPr>
                <w:rFonts w:eastAsia="Calibri"/>
                <w:color w:val="000000"/>
                <w:sz w:val="20"/>
              </w:rPr>
            </w:pPr>
            <w:r>
              <w:rPr>
                <w:rFonts w:eastAsia="Calibri"/>
                <w:noProof/>
                <w:color w:val="000000"/>
                <w:sz w:val="20"/>
              </w:rPr>
              <w:pict>
                <v:shape id="_x0000_s1045" type="#_x0000_t90" style="position:absolute;left:0;text-align:left;margin-left:112.65pt;margin-top:59.25pt;width:82.2pt;height:44pt;z-index:20;mso-position-horizontal-relative:text;mso-position-vertical-relative:text">
                  <v:textbox style="mso-next-textbox:#_x0000_s1045">
                    <w:txbxContent>
                      <w:p w:rsidR="00AB302E" w:rsidRPr="00B0107C" w:rsidRDefault="00AB302E" w:rsidP="00AB302E">
                        <w:pPr>
                          <w:pStyle w:val="SemEspaamento"/>
                          <w:jc w:val="center"/>
                          <w:rPr>
                            <w:b/>
                            <w:sz w:val="20"/>
                          </w:rPr>
                        </w:pPr>
                        <w:r w:rsidRPr="00B0107C">
                          <w:rPr>
                            <w:b/>
                            <w:sz w:val="20"/>
                          </w:rPr>
                          <w:t xml:space="preserve">Venda </w:t>
                        </w:r>
                        <w:proofErr w:type="gramStart"/>
                        <w:r w:rsidRPr="00B0107C">
                          <w:rPr>
                            <w:b/>
                            <w:sz w:val="20"/>
                          </w:rPr>
                          <w:t>1</w:t>
                        </w:r>
                        <w:proofErr w:type="gramEnd"/>
                      </w:p>
                    </w:txbxContent>
                  </v:textbox>
                </v:shape>
              </w:pict>
            </w:r>
          </w:p>
        </w:tc>
        <w:tc>
          <w:tcPr>
            <w:tcW w:w="518" w:type="pct"/>
            <w:tcBorders>
              <w:top w:val="nil"/>
              <w:left w:val="nil"/>
              <w:bottom w:val="thinThickThinSmallGap" w:sz="24" w:space="0" w:color="auto"/>
              <w:right w:val="thinThickThinSmallGap" w:sz="24" w:space="0" w:color="auto"/>
            </w:tcBorders>
            <w:shd w:val="clear" w:color="auto" w:fill="FFFFFF"/>
            <w:noWrap/>
            <w:vAlign w:val="center"/>
          </w:tcPr>
          <w:p w:rsidR="00AB302E" w:rsidRDefault="00AB302E" w:rsidP="00AB302E">
            <w:pPr>
              <w:jc w:val="center"/>
              <w:rPr>
                <w:rFonts w:eastAsia="Calibri" w:cs="Arial"/>
                <w:color w:val="000000"/>
                <w:sz w:val="20"/>
              </w:rPr>
            </w:pPr>
          </w:p>
        </w:tc>
      </w:tr>
    </w:tbl>
    <w:p w:rsidR="00AB302E" w:rsidRPr="00B21CC7" w:rsidRDefault="00AB302E" w:rsidP="00AB302E">
      <w:pPr>
        <w:pStyle w:val="SemEspaamento"/>
        <w:spacing w:line="360" w:lineRule="auto"/>
        <w:rPr>
          <w:sz w:val="20"/>
        </w:rPr>
      </w:pPr>
      <w:r w:rsidRPr="00B21CC7">
        <w:rPr>
          <w:sz w:val="20"/>
        </w:rPr>
        <w:t>Fonte: Elaborado pelo autor, 2016.</w:t>
      </w:r>
    </w:p>
    <w:p w:rsidR="00AB302E" w:rsidRPr="001838F0" w:rsidRDefault="00AB302E" w:rsidP="00E858DF">
      <w:pPr>
        <w:pStyle w:val="SemEspaamento"/>
        <w:ind w:firstLine="708"/>
      </w:pPr>
      <w:r w:rsidRPr="001838F0">
        <w:t>Conforme é demonstrado no Quadro 12, realiza-se a comparação do valor de ICMS nas três operações anteriores.</w:t>
      </w:r>
    </w:p>
    <w:p w:rsidR="00AB302E" w:rsidRPr="00E858DF" w:rsidRDefault="00AB302E" w:rsidP="00E858DF">
      <w:pPr>
        <w:pStyle w:val="SemEspaamento"/>
        <w:jc w:val="center"/>
        <w:rPr>
          <w:rFonts w:ascii="Arial" w:hAnsi="Arial" w:cs="Arial"/>
          <w:sz w:val="20"/>
        </w:rPr>
      </w:pPr>
      <w:r w:rsidRPr="00E858DF">
        <w:rPr>
          <w:sz w:val="20"/>
        </w:rPr>
        <w:lastRenderedPageBreak/>
        <w:t>Quadro 12 – Diferença do ICMS para a empresa optante pelo Simples Nacional, nas três situações apresentadas. Operação interestadual para Santa Catarina.</w:t>
      </w:r>
    </w:p>
    <w:tbl>
      <w:tblPr>
        <w:tblW w:w="0" w:type="auto"/>
        <w:jc w:val="center"/>
        <w:tblInd w:w="-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74"/>
        <w:gridCol w:w="3894"/>
        <w:gridCol w:w="2094"/>
      </w:tblGrid>
      <w:tr w:rsidR="00AB302E" w:rsidRPr="00A1241D" w:rsidTr="00854EA6">
        <w:trPr>
          <w:trHeight w:val="658"/>
          <w:jc w:val="center"/>
        </w:trPr>
        <w:tc>
          <w:tcPr>
            <w:tcW w:w="3474" w:type="dxa"/>
          </w:tcPr>
          <w:p w:rsidR="00AB302E" w:rsidRPr="00AB302E" w:rsidRDefault="00AB302E" w:rsidP="00BD63BB">
            <w:pPr>
              <w:pStyle w:val="SemEspaamento"/>
              <w:widowControl w:val="0"/>
              <w:suppressLineNumbers/>
              <w:suppressAutoHyphens/>
              <w:jc w:val="center"/>
              <w:rPr>
                <w:b/>
                <w:sz w:val="20"/>
              </w:rPr>
            </w:pPr>
            <w:r w:rsidRPr="00AB302E">
              <w:rPr>
                <w:b/>
                <w:sz w:val="20"/>
              </w:rPr>
              <w:t>Tipo de Operação</w:t>
            </w:r>
          </w:p>
        </w:tc>
        <w:tc>
          <w:tcPr>
            <w:tcW w:w="3894" w:type="dxa"/>
          </w:tcPr>
          <w:p w:rsidR="00AB302E" w:rsidRPr="00AB302E" w:rsidRDefault="00AB302E" w:rsidP="00BD63BB">
            <w:pPr>
              <w:pStyle w:val="SemEspaamento"/>
              <w:widowControl w:val="0"/>
              <w:suppressLineNumbers/>
              <w:suppressAutoHyphens/>
              <w:jc w:val="center"/>
              <w:rPr>
                <w:b/>
                <w:sz w:val="20"/>
              </w:rPr>
            </w:pPr>
            <w:r w:rsidRPr="00AB302E">
              <w:rPr>
                <w:b/>
                <w:sz w:val="20"/>
              </w:rPr>
              <w:t>Custo do ICMS para a empresa optante pelo Simples Nacional</w:t>
            </w:r>
          </w:p>
        </w:tc>
        <w:tc>
          <w:tcPr>
            <w:tcW w:w="2094" w:type="dxa"/>
          </w:tcPr>
          <w:p w:rsidR="00AB302E" w:rsidRPr="00AB302E" w:rsidRDefault="00AB302E" w:rsidP="00BD63BB">
            <w:pPr>
              <w:pStyle w:val="SemEspaamento"/>
              <w:widowControl w:val="0"/>
              <w:suppressLineNumbers/>
              <w:suppressAutoHyphens/>
              <w:jc w:val="center"/>
              <w:rPr>
                <w:b/>
                <w:sz w:val="20"/>
              </w:rPr>
            </w:pPr>
            <w:r w:rsidRPr="00AB302E">
              <w:rPr>
                <w:b/>
                <w:sz w:val="20"/>
              </w:rPr>
              <w:t>Variação no imposto</w:t>
            </w:r>
          </w:p>
        </w:tc>
      </w:tr>
      <w:tr w:rsidR="00AB302E" w:rsidRPr="00A1241D" w:rsidTr="00854EA6">
        <w:trPr>
          <w:trHeight w:val="340"/>
          <w:jc w:val="center"/>
        </w:trPr>
        <w:tc>
          <w:tcPr>
            <w:tcW w:w="3474" w:type="dxa"/>
          </w:tcPr>
          <w:p w:rsidR="00AB302E" w:rsidRPr="00AB302E" w:rsidRDefault="00AB302E" w:rsidP="00BD63BB">
            <w:pPr>
              <w:pStyle w:val="SemEspaamento"/>
              <w:widowControl w:val="0"/>
              <w:suppressLineNumbers/>
              <w:suppressAutoHyphens/>
              <w:jc w:val="center"/>
              <w:rPr>
                <w:sz w:val="20"/>
              </w:rPr>
            </w:pPr>
            <w:r w:rsidRPr="00AB302E">
              <w:rPr>
                <w:sz w:val="20"/>
              </w:rPr>
              <w:t>ICMS no regime simplificado</w:t>
            </w:r>
          </w:p>
        </w:tc>
        <w:tc>
          <w:tcPr>
            <w:tcW w:w="3894" w:type="dxa"/>
          </w:tcPr>
          <w:p w:rsidR="00AB302E" w:rsidRPr="00AB302E" w:rsidRDefault="00AB302E" w:rsidP="00BD63BB">
            <w:pPr>
              <w:pStyle w:val="SemEspaamento"/>
              <w:widowControl w:val="0"/>
              <w:suppressLineNumbers/>
              <w:suppressAutoHyphens/>
              <w:jc w:val="center"/>
              <w:rPr>
                <w:sz w:val="20"/>
              </w:rPr>
            </w:pPr>
            <w:r w:rsidRPr="00AB302E">
              <w:rPr>
                <w:sz w:val="20"/>
              </w:rPr>
              <w:t>R$ 7,00</w:t>
            </w:r>
          </w:p>
        </w:tc>
        <w:tc>
          <w:tcPr>
            <w:tcW w:w="2094" w:type="dxa"/>
          </w:tcPr>
          <w:p w:rsidR="00AB302E" w:rsidRPr="00AB302E" w:rsidRDefault="00AB302E" w:rsidP="00BD63BB">
            <w:pPr>
              <w:pStyle w:val="SemEspaamento"/>
              <w:widowControl w:val="0"/>
              <w:suppressLineNumbers/>
              <w:suppressAutoHyphens/>
              <w:jc w:val="center"/>
              <w:rPr>
                <w:sz w:val="20"/>
              </w:rPr>
            </w:pPr>
            <w:r w:rsidRPr="00AB302E">
              <w:rPr>
                <w:sz w:val="20"/>
              </w:rPr>
              <w:t>-</w:t>
            </w:r>
          </w:p>
        </w:tc>
      </w:tr>
      <w:tr w:rsidR="00AB302E" w:rsidRPr="00A1241D" w:rsidTr="00854EA6">
        <w:trPr>
          <w:trHeight w:val="317"/>
          <w:jc w:val="center"/>
        </w:trPr>
        <w:tc>
          <w:tcPr>
            <w:tcW w:w="3474" w:type="dxa"/>
          </w:tcPr>
          <w:p w:rsidR="00AB302E" w:rsidRPr="00AB302E" w:rsidRDefault="00AB302E" w:rsidP="00BD63BB">
            <w:pPr>
              <w:pStyle w:val="SemEspaamento"/>
              <w:widowControl w:val="0"/>
              <w:suppressLineNumbers/>
              <w:suppressAutoHyphens/>
              <w:jc w:val="center"/>
              <w:rPr>
                <w:sz w:val="20"/>
              </w:rPr>
            </w:pPr>
            <w:r w:rsidRPr="00AB302E">
              <w:rPr>
                <w:sz w:val="20"/>
              </w:rPr>
              <w:t>ICMS/ST MVA ajustada integral</w:t>
            </w:r>
          </w:p>
        </w:tc>
        <w:tc>
          <w:tcPr>
            <w:tcW w:w="3894" w:type="dxa"/>
          </w:tcPr>
          <w:p w:rsidR="00AB302E" w:rsidRPr="00AB302E" w:rsidRDefault="00AB302E" w:rsidP="00BD63BB">
            <w:pPr>
              <w:pStyle w:val="SemEspaamento"/>
              <w:widowControl w:val="0"/>
              <w:suppressLineNumbers/>
              <w:suppressAutoHyphens/>
              <w:jc w:val="center"/>
              <w:rPr>
                <w:sz w:val="20"/>
              </w:rPr>
            </w:pPr>
            <w:r w:rsidRPr="00AB302E">
              <w:rPr>
                <w:sz w:val="20"/>
              </w:rPr>
              <w:t>R$ 32,29</w:t>
            </w:r>
          </w:p>
        </w:tc>
        <w:tc>
          <w:tcPr>
            <w:tcW w:w="2094" w:type="dxa"/>
          </w:tcPr>
          <w:p w:rsidR="00AB302E" w:rsidRPr="00AB302E" w:rsidRDefault="00AB302E" w:rsidP="00BD63BB">
            <w:pPr>
              <w:pStyle w:val="SemEspaamento"/>
              <w:widowControl w:val="0"/>
              <w:suppressLineNumbers/>
              <w:suppressAutoHyphens/>
              <w:jc w:val="center"/>
              <w:rPr>
                <w:sz w:val="20"/>
              </w:rPr>
            </w:pPr>
            <w:r w:rsidRPr="00AB302E">
              <w:rPr>
                <w:sz w:val="20"/>
              </w:rPr>
              <w:t>461,28%</w:t>
            </w:r>
          </w:p>
        </w:tc>
      </w:tr>
      <w:tr w:rsidR="00AB302E" w:rsidRPr="00A1241D" w:rsidTr="00854EA6">
        <w:trPr>
          <w:trHeight w:val="658"/>
          <w:jc w:val="center"/>
        </w:trPr>
        <w:tc>
          <w:tcPr>
            <w:tcW w:w="3474" w:type="dxa"/>
          </w:tcPr>
          <w:p w:rsidR="00AB302E" w:rsidRPr="00AB302E" w:rsidRDefault="00AB302E" w:rsidP="00BD63BB">
            <w:pPr>
              <w:pStyle w:val="SemEspaamento"/>
              <w:widowControl w:val="0"/>
              <w:suppressLineNumbers/>
              <w:suppressAutoHyphens/>
              <w:jc w:val="center"/>
              <w:rPr>
                <w:sz w:val="20"/>
              </w:rPr>
            </w:pPr>
            <w:r w:rsidRPr="00AB302E">
              <w:rPr>
                <w:sz w:val="20"/>
              </w:rPr>
              <w:t>ICMS/ST MVA ajustada</w:t>
            </w:r>
          </w:p>
          <w:p w:rsidR="00AB302E" w:rsidRPr="00AB302E" w:rsidRDefault="00AB302E" w:rsidP="001838F0">
            <w:pPr>
              <w:pStyle w:val="SemEspaamento"/>
              <w:widowControl w:val="0"/>
              <w:suppressLineNumbers/>
              <w:suppressAutoHyphens/>
              <w:jc w:val="center"/>
              <w:rPr>
                <w:sz w:val="20"/>
              </w:rPr>
            </w:pPr>
            <w:proofErr w:type="gramStart"/>
            <w:r w:rsidRPr="00AB302E">
              <w:rPr>
                <w:sz w:val="20"/>
              </w:rPr>
              <w:t>com</w:t>
            </w:r>
            <w:proofErr w:type="gramEnd"/>
            <w:r w:rsidRPr="00AB302E">
              <w:rPr>
                <w:sz w:val="20"/>
              </w:rPr>
              <w:t xml:space="preserve"> redução de 70%</w:t>
            </w:r>
          </w:p>
        </w:tc>
        <w:tc>
          <w:tcPr>
            <w:tcW w:w="3894" w:type="dxa"/>
          </w:tcPr>
          <w:p w:rsidR="00AB302E" w:rsidRPr="00AB302E" w:rsidRDefault="00AB302E" w:rsidP="00BD63BB">
            <w:pPr>
              <w:pStyle w:val="SemEspaamento"/>
              <w:widowControl w:val="0"/>
              <w:suppressLineNumbers/>
              <w:suppressAutoHyphens/>
              <w:jc w:val="center"/>
              <w:rPr>
                <w:sz w:val="20"/>
              </w:rPr>
            </w:pPr>
            <w:r w:rsidRPr="00AB302E">
              <w:rPr>
                <w:sz w:val="20"/>
              </w:rPr>
              <w:t>R$ 21,82</w:t>
            </w:r>
          </w:p>
        </w:tc>
        <w:tc>
          <w:tcPr>
            <w:tcW w:w="2094" w:type="dxa"/>
          </w:tcPr>
          <w:p w:rsidR="00AB302E" w:rsidRPr="00AB302E" w:rsidRDefault="00AB302E" w:rsidP="00BD63BB">
            <w:pPr>
              <w:pStyle w:val="SemEspaamento"/>
              <w:widowControl w:val="0"/>
              <w:suppressLineNumbers/>
              <w:suppressAutoHyphens/>
              <w:jc w:val="center"/>
              <w:rPr>
                <w:sz w:val="20"/>
              </w:rPr>
            </w:pPr>
            <w:r w:rsidRPr="00AB302E">
              <w:rPr>
                <w:sz w:val="20"/>
              </w:rPr>
              <w:t>311,71%</w:t>
            </w:r>
          </w:p>
        </w:tc>
      </w:tr>
    </w:tbl>
    <w:p w:rsidR="00AB302E" w:rsidRPr="003471A9" w:rsidRDefault="00AB302E" w:rsidP="00AB302E">
      <w:pPr>
        <w:pStyle w:val="SemEspaamento"/>
        <w:spacing w:line="360" w:lineRule="auto"/>
        <w:rPr>
          <w:sz w:val="20"/>
        </w:rPr>
      </w:pPr>
      <w:r w:rsidRPr="00B21CC7">
        <w:rPr>
          <w:sz w:val="20"/>
        </w:rPr>
        <w:t>Fonte: Elaborado pelo autor, 2016.</w:t>
      </w:r>
    </w:p>
    <w:p w:rsidR="00AB302E" w:rsidRPr="001838F0" w:rsidRDefault="00AB302E" w:rsidP="006467C5">
      <w:pPr>
        <w:pStyle w:val="SemEspaamento"/>
        <w:ind w:firstLine="708"/>
      </w:pPr>
      <w:r w:rsidRPr="001838F0">
        <w:t>Ao analisar o Quadro 12, nota-se numa compra interestadual do produto perfume, a empresa enquadrada na ultima faixa do Anexo I do Simples Nacional recolhe o ICMS numa alíquota 461,28% maior, do que se estivesse no recolhendo o imposto pelo regime simplificado. Além disso, mesmo com o beneficio fiscal concedido a essa empresa pelo governado estadual com a redução na MVA em 70%, a variação de 311,71% é menor do que a MVA ajustada integral, mas ainda assim, muito acima se compara a tributação no regime simplificado.</w:t>
      </w:r>
    </w:p>
    <w:p w:rsidR="00854EA6" w:rsidRPr="001838F0" w:rsidRDefault="00854EA6" w:rsidP="006467C5">
      <w:pPr>
        <w:pStyle w:val="SemEspaamento"/>
        <w:rPr>
          <w:b/>
        </w:rPr>
      </w:pPr>
      <w:proofErr w:type="gramStart"/>
      <w:r w:rsidRPr="001838F0">
        <w:rPr>
          <w:b/>
        </w:rPr>
        <w:t>4.3 Variação</w:t>
      </w:r>
      <w:proofErr w:type="gramEnd"/>
      <w:r w:rsidRPr="001838F0">
        <w:rPr>
          <w:b/>
        </w:rPr>
        <w:t xml:space="preserve"> do ICMS nas simulações de operação interna e interestadual da substituição tributária com o regime simplificado</w:t>
      </w:r>
    </w:p>
    <w:p w:rsidR="00854EA6" w:rsidRPr="001838F0" w:rsidRDefault="00854EA6" w:rsidP="006467C5">
      <w:pPr>
        <w:pStyle w:val="SemEspaamento"/>
        <w:ind w:firstLine="708"/>
      </w:pPr>
      <w:r w:rsidRPr="001838F0">
        <w:t>No Quadro 13, é realizado simulação de operações internas (OI) e interestaduais (OE), com o valor do ICMS/ST na MVA integral e com a MVA reduzida em 70%. Assim, será compara a variação na carga tributária pelo ICMS devido pelo regime simplificado em cada faixa do Anexo I do Simples Nacional.</w:t>
      </w:r>
    </w:p>
    <w:p w:rsidR="00854EA6" w:rsidRPr="007D1361" w:rsidRDefault="00854EA6" w:rsidP="007D1361">
      <w:pPr>
        <w:pStyle w:val="SemEspaamento"/>
        <w:jc w:val="center"/>
        <w:rPr>
          <w:sz w:val="20"/>
        </w:rPr>
      </w:pPr>
      <w:r w:rsidRPr="007D1361">
        <w:rPr>
          <w:sz w:val="20"/>
        </w:rPr>
        <w:t>Quadro 13 – Comparação do ICMS/ST com MVA integral e MVA reduzida com ICMS pelo regime simplificado.</w:t>
      </w:r>
    </w:p>
    <w:tbl>
      <w:tblPr>
        <w:tblW w:w="5000" w:type="pct"/>
        <w:jc w:val="center"/>
        <w:tblCellMar>
          <w:left w:w="70" w:type="dxa"/>
          <w:right w:w="70" w:type="dxa"/>
        </w:tblCellMar>
        <w:tblLook w:val="00A0"/>
      </w:tblPr>
      <w:tblGrid>
        <w:gridCol w:w="2712"/>
        <w:gridCol w:w="663"/>
        <w:gridCol w:w="896"/>
        <w:gridCol w:w="1074"/>
        <w:gridCol w:w="1639"/>
        <w:gridCol w:w="1007"/>
        <w:gridCol w:w="1554"/>
      </w:tblGrid>
      <w:tr w:rsidR="00854EA6" w:rsidRPr="00B21CC7" w:rsidTr="00676672">
        <w:trPr>
          <w:trHeight w:val="447"/>
          <w:jc w:val="center"/>
        </w:trPr>
        <w:tc>
          <w:tcPr>
            <w:tcW w:w="1273" w:type="pct"/>
            <w:tcBorders>
              <w:top w:val="single" w:sz="8" w:space="0" w:color="auto"/>
              <w:left w:val="single" w:sz="8" w:space="0" w:color="auto"/>
              <w:bottom w:val="single" w:sz="8" w:space="0" w:color="auto"/>
              <w:right w:val="single" w:sz="8" w:space="0" w:color="auto"/>
            </w:tcBorders>
            <w:shd w:val="clear" w:color="auto" w:fill="D9D9D9"/>
            <w:noWrap/>
            <w:vAlign w:val="center"/>
          </w:tcPr>
          <w:p w:rsidR="00854EA6" w:rsidRPr="00B21CC7" w:rsidRDefault="00854EA6" w:rsidP="00854EA6">
            <w:pPr>
              <w:pStyle w:val="SemEspaamento"/>
              <w:jc w:val="left"/>
              <w:rPr>
                <w:b/>
                <w:sz w:val="20"/>
              </w:rPr>
            </w:pPr>
            <w:bookmarkStart w:id="1" w:name="_Toc308374612"/>
            <w:r w:rsidRPr="00B21CC7">
              <w:rPr>
                <w:b/>
                <w:sz w:val="20"/>
              </w:rPr>
              <w:t>Receita Bruta em 12 meses</w:t>
            </w:r>
          </w:p>
        </w:tc>
        <w:tc>
          <w:tcPr>
            <w:tcW w:w="360" w:type="pct"/>
            <w:tcBorders>
              <w:top w:val="single" w:sz="8" w:space="0" w:color="auto"/>
              <w:left w:val="nil"/>
              <w:bottom w:val="single" w:sz="8" w:space="0" w:color="auto"/>
              <w:right w:val="single" w:sz="8" w:space="0" w:color="auto"/>
            </w:tcBorders>
            <w:shd w:val="clear" w:color="auto" w:fill="D9D9D9"/>
            <w:noWrap/>
            <w:vAlign w:val="center"/>
          </w:tcPr>
          <w:p w:rsidR="00854EA6" w:rsidRPr="00B21CC7" w:rsidRDefault="00854EA6" w:rsidP="00854EA6">
            <w:pPr>
              <w:pStyle w:val="SemEspaamento"/>
              <w:jc w:val="left"/>
              <w:rPr>
                <w:b/>
                <w:sz w:val="20"/>
              </w:rPr>
            </w:pPr>
            <w:r w:rsidRPr="00B21CC7">
              <w:rPr>
                <w:b/>
                <w:sz w:val="20"/>
              </w:rPr>
              <w:t>Alíq.</w:t>
            </w:r>
          </w:p>
          <w:p w:rsidR="00854EA6" w:rsidRPr="00B21CC7" w:rsidRDefault="00854EA6" w:rsidP="00854EA6">
            <w:pPr>
              <w:pStyle w:val="SemEspaamento"/>
              <w:jc w:val="left"/>
              <w:rPr>
                <w:b/>
                <w:sz w:val="20"/>
              </w:rPr>
            </w:pPr>
            <w:r w:rsidRPr="00B21CC7">
              <w:rPr>
                <w:b/>
                <w:sz w:val="20"/>
              </w:rPr>
              <w:t>ICMS</w:t>
            </w:r>
          </w:p>
        </w:tc>
        <w:tc>
          <w:tcPr>
            <w:tcW w:w="390" w:type="pct"/>
            <w:tcBorders>
              <w:top w:val="single" w:sz="8" w:space="0" w:color="auto"/>
              <w:left w:val="nil"/>
              <w:bottom w:val="single" w:sz="8" w:space="0" w:color="auto"/>
              <w:right w:val="single" w:sz="4" w:space="0" w:color="auto"/>
            </w:tcBorders>
            <w:shd w:val="clear" w:color="auto" w:fill="D9D9D9"/>
            <w:vAlign w:val="center"/>
          </w:tcPr>
          <w:p w:rsidR="00854EA6" w:rsidRPr="00B21CC7" w:rsidRDefault="00854EA6" w:rsidP="00854EA6">
            <w:pPr>
              <w:pStyle w:val="SemEspaamento"/>
              <w:jc w:val="left"/>
              <w:rPr>
                <w:b/>
                <w:sz w:val="20"/>
              </w:rPr>
            </w:pPr>
            <w:r w:rsidRPr="00B21CC7">
              <w:rPr>
                <w:b/>
                <w:sz w:val="20"/>
              </w:rPr>
              <w:t>Valor Simples Nacional</w:t>
            </w:r>
          </w:p>
          <w:p w:rsidR="00854EA6" w:rsidRPr="00B21CC7" w:rsidRDefault="00854EA6" w:rsidP="00854EA6">
            <w:pPr>
              <w:pStyle w:val="SemEspaamento"/>
              <w:jc w:val="left"/>
              <w:rPr>
                <w:b/>
                <w:sz w:val="20"/>
              </w:rPr>
            </w:pPr>
            <w:r w:rsidRPr="00B21CC7">
              <w:rPr>
                <w:b/>
                <w:sz w:val="20"/>
              </w:rPr>
              <w:t>(</w:t>
            </w:r>
            <w:r w:rsidRPr="00B21CC7">
              <w:rPr>
                <w:b/>
                <w:color w:val="8DB3E2"/>
                <w:sz w:val="20"/>
              </w:rPr>
              <w:t>OI</w:t>
            </w:r>
            <w:r w:rsidRPr="00B21CC7">
              <w:rPr>
                <w:b/>
                <w:sz w:val="20"/>
              </w:rPr>
              <w:t>/</w:t>
            </w:r>
            <w:r w:rsidRPr="00B21CC7">
              <w:rPr>
                <w:b/>
                <w:color w:val="FF0000"/>
                <w:sz w:val="20"/>
              </w:rPr>
              <w:t>OE</w:t>
            </w:r>
            <w:r w:rsidRPr="00B21CC7">
              <w:rPr>
                <w:b/>
                <w:sz w:val="20"/>
              </w:rPr>
              <w:t>)</w:t>
            </w:r>
          </w:p>
        </w:tc>
        <w:tc>
          <w:tcPr>
            <w:tcW w:w="641" w:type="pct"/>
            <w:tcBorders>
              <w:top w:val="single" w:sz="8" w:space="0" w:color="auto"/>
              <w:left w:val="nil"/>
              <w:bottom w:val="single" w:sz="8" w:space="0" w:color="auto"/>
              <w:right w:val="single" w:sz="4" w:space="0" w:color="auto"/>
            </w:tcBorders>
            <w:shd w:val="clear" w:color="auto" w:fill="D9D9D9"/>
            <w:vAlign w:val="center"/>
          </w:tcPr>
          <w:p w:rsidR="00854EA6" w:rsidRPr="00B21CC7" w:rsidRDefault="00854EA6" w:rsidP="00854EA6">
            <w:pPr>
              <w:pStyle w:val="SemEspaamento"/>
              <w:jc w:val="left"/>
              <w:rPr>
                <w:b/>
                <w:sz w:val="20"/>
              </w:rPr>
            </w:pPr>
            <w:r w:rsidRPr="00B21CC7">
              <w:rPr>
                <w:b/>
                <w:sz w:val="20"/>
              </w:rPr>
              <w:t>Valor ST MVA integral (</w:t>
            </w:r>
            <w:r w:rsidRPr="00B21CC7">
              <w:rPr>
                <w:b/>
                <w:color w:val="8DB3E2"/>
                <w:sz w:val="20"/>
              </w:rPr>
              <w:t>OI</w:t>
            </w:r>
            <w:r w:rsidRPr="00B21CC7">
              <w:rPr>
                <w:b/>
                <w:sz w:val="20"/>
              </w:rPr>
              <w:t>/</w:t>
            </w:r>
            <w:r w:rsidRPr="00B21CC7">
              <w:rPr>
                <w:b/>
                <w:color w:val="FF0000"/>
                <w:sz w:val="20"/>
              </w:rPr>
              <w:t>OE</w:t>
            </w:r>
            <w:r w:rsidRPr="00B21CC7">
              <w:rPr>
                <w:b/>
                <w:sz w:val="20"/>
              </w:rPr>
              <w:t>)</w:t>
            </w:r>
          </w:p>
        </w:tc>
        <w:tc>
          <w:tcPr>
            <w:tcW w:w="904" w:type="pct"/>
            <w:tcBorders>
              <w:top w:val="single" w:sz="8" w:space="0" w:color="auto"/>
              <w:left w:val="nil"/>
              <w:bottom w:val="single" w:sz="8" w:space="0" w:color="auto"/>
              <w:right w:val="single" w:sz="4" w:space="0" w:color="auto"/>
            </w:tcBorders>
            <w:shd w:val="clear" w:color="auto" w:fill="D9D9D9"/>
            <w:vAlign w:val="center"/>
          </w:tcPr>
          <w:p w:rsidR="00854EA6" w:rsidRPr="00B21CC7" w:rsidRDefault="00854EA6" w:rsidP="00854EA6">
            <w:pPr>
              <w:pStyle w:val="SemEspaamento"/>
              <w:jc w:val="left"/>
              <w:rPr>
                <w:b/>
                <w:sz w:val="20"/>
              </w:rPr>
            </w:pPr>
            <w:r w:rsidRPr="00B21CC7">
              <w:rPr>
                <w:b/>
                <w:sz w:val="20"/>
              </w:rPr>
              <w:t>Variação na carga tributária (</w:t>
            </w:r>
            <w:r w:rsidRPr="00B21CC7">
              <w:rPr>
                <w:b/>
                <w:color w:val="8DB3E2"/>
                <w:sz w:val="20"/>
              </w:rPr>
              <w:t>OI</w:t>
            </w:r>
            <w:r w:rsidRPr="00B21CC7">
              <w:rPr>
                <w:b/>
                <w:sz w:val="20"/>
              </w:rPr>
              <w:t>/</w:t>
            </w:r>
            <w:r w:rsidRPr="00B21CC7">
              <w:rPr>
                <w:b/>
                <w:color w:val="FF0000"/>
                <w:sz w:val="20"/>
              </w:rPr>
              <w:t>OE</w:t>
            </w:r>
            <w:r w:rsidRPr="00B21CC7">
              <w:rPr>
                <w:b/>
                <w:sz w:val="20"/>
              </w:rPr>
              <w:t>)</w:t>
            </w:r>
          </w:p>
        </w:tc>
        <w:tc>
          <w:tcPr>
            <w:tcW w:w="573" w:type="pct"/>
            <w:tcBorders>
              <w:top w:val="single" w:sz="8" w:space="0" w:color="auto"/>
              <w:left w:val="nil"/>
              <w:bottom w:val="single" w:sz="8" w:space="0" w:color="auto"/>
              <w:right w:val="single" w:sz="4" w:space="0" w:color="auto"/>
            </w:tcBorders>
            <w:shd w:val="clear" w:color="auto" w:fill="D9D9D9"/>
            <w:vAlign w:val="center"/>
          </w:tcPr>
          <w:p w:rsidR="00854EA6" w:rsidRPr="00B21CC7" w:rsidRDefault="00854EA6" w:rsidP="00854EA6">
            <w:pPr>
              <w:pStyle w:val="SemEspaamento"/>
              <w:jc w:val="left"/>
              <w:rPr>
                <w:b/>
                <w:sz w:val="20"/>
              </w:rPr>
            </w:pPr>
            <w:r w:rsidRPr="00B21CC7">
              <w:rPr>
                <w:b/>
                <w:sz w:val="20"/>
              </w:rPr>
              <w:t>Valor ST MVA reduzida (</w:t>
            </w:r>
            <w:r w:rsidRPr="00B21CC7">
              <w:rPr>
                <w:b/>
                <w:color w:val="8DB3E2"/>
                <w:sz w:val="20"/>
              </w:rPr>
              <w:t>OI</w:t>
            </w:r>
            <w:r w:rsidRPr="00B21CC7">
              <w:rPr>
                <w:b/>
                <w:sz w:val="20"/>
              </w:rPr>
              <w:t>/</w:t>
            </w:r>
            <w:r w:rsidRPr="00B21CC7">
              <w:rPr>
                <w:b/>
                <w:color w:val="FF0000"/>
                <w:sz w:val="20"/>
              </w:rPr>
              <w:t>OE</w:t>
            </w:r>
            <w:r w:rsidRPr="00B21CC7">
              <w:rPr>
                <w:b/>
                <w:sz w:val="20"/>
              </w:rPr>
              <w:t>)</w:t>
            </w:r>
          </w:p>
        </w:tc>
        <w:tc>
          <w:tcPr>
            <w:tcW w:w="859" w:type="pct"/>
            <w:tcBorders>
              <w:top w:val="single" w:sz="8" w:space="0" w:color="auto"/>
              <w:left w:val="nil"/>
              <w:bottom w:val="single" w:sz="8" w:space="0" w:color="auto"/>
              <w:right w:val="single" w:sz="4" w:space="0" w:color="auto"/>
            </w:tcBorders>
            <w:shd w:val="clear" w:color="auto" w:fill="D9D9D9"/>
            <w:vAlign w:val="center"/>
          </w:tcPr>
          <w:p w:rsidR="00854EA6" w:rsidRPr="00B21CC7" w:rsidRDefault="00854EA6" w:rsidP="00854EA6">
            <w:pPr>
              <w:pStyle w:val="SemEspaamento"/>
              <w:jc w:val="left"/>
              <w:rPr>
                <w:b/>
                <w:sz w:val="20"/>
              </w:rPr>
            </w:pPr>
            <w:r w:rsidRPr="00B21CC7">
              <w:rPr>
                <w:b/>
                <w:sz w:val="20"/>
              </w:rPr>
              <w:t>Variação na carga tributária (</w:t>
            </w:r>
            <w:r w:rsidRPr="00B21CC7">
              <w:rPr>
                <w:b/>
                <w:color w:val="8DB3E2"/>
                <w:sz w:val="20"/>
              </w:rPr>
              <w:t>OI/</w:t>
            </w:r>
            <w:r w:rsidRPr="00B21CC7">
              <w:rPr>
                <w:b/>
                <w:color w:val="FF0000"/>
                <w:sz w:val="20"/>
              </w:rPr>
              <w:t>OE</w:t>
            </w:r>
            <w:r w:rsidRPr="00B21CC7">
              <w:rPr>
                <w:b/>
                <w:sz w:val="20"/>
              </w:rPr>
              <w:t>)</w:t>
            </w:r>
          </w:p>
        </w:tc>
      </w:tr>
      <w:tr w:rsidR="00854EA6" w:rsidRPr="00B21CC7" w:rsidTr="00676672">
        <w:trPr>
          <w:trHeight w:val="249"/>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Até 180.000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1,25%</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1,89</w:t>
            </w:r>
          </w:p>
          <w:p w:rsidR="00854EA6" w:rsidRPr="00B21CC7" w:rsidRDefault="00854EA6" w:rsidP="00854EA6">
            <w:pPr>
              <w:pStyle w:val="SemEspaamento"/>
              <w:jc w:val="left"/>
              <w:rPr>
                <w:b/>
                <w:sz w:val="20"/>
              </w:rPr>
            </w:pPr>
            <w:r w:rsidRPr="00B21CC7">
              <w:rPr>
                <w:b/>
                <w:color w:val="C00000"/>
                <w:sz w:val="20"/>
              </w:rPr>
              <w:t>2,21</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proofErr w:type="gramStart"/>
            <w:r>
              <w:rPr>
                <w:b/>
                <w:color w:val="0000FF"/>
                <w:sz w:val="20"/>
              </w:rPr>
              <w:t xml:space="preserve"> </w:t>
            </w:r>
            <w:r w:rsidRPr="00B21CC7">
              <w:rPr>
                <w:b/>
                <w:color w:val="0000FF"/>
                <w:sz w:val="20"/>
              </w:rPr>
              <w:t xml:space="preserve"> </w:t>
            </w:r>
            <w:proofErr w:type="gramEnd"/>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574,60%</w:t>
            </w:r>
            <w:r w:rsidRPr="00B21CC7">
              <w:rPr>
                <w:b/>
                <w:color w:val="0000FF"/>
                <w:sz w:val="20"/>
              </w:rPr>
              <w:t xml:space="preserve"> </w:t>
            </w:r>
            <w:r w:rsidRPr="00B21CC7">
              <w:rPr>
                <w:b/>
                <w:color w:val="C00000"/>
                <w:sz w:val="20"/>
              </w:rPr>
              <w:t>1361,08%</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00FF"/>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102,65%</w:t>
            </w:r>
            <w:r w:rsidRPr="00B21CC7">
              <w:rPr>
                <w:b/>
                <w:color w:val="0000FF"/>
                <w:sz w:val="20"/>
              </w:rPr>
              <w:t xml:space="preserve"> </w:t>
            </w:r>
            <w:r w:rsidRPr="00B21CC7">
              <w:rPr>
                <w:b/>
                <w:color w:val="C00000"/>
                <w:sz w:val="20"/>
              </w:rPr>
              <w:t>887,33%</w:t>
            </w:r>
          </w:p>
        </w:tc>
      </w:tr>
      <w:tr w:rsidR="00854EA6" w:rsidRPr="00B21CC7" w:rsidTr="00676672">
        <w:trPr>
          <w:trHeight w:val="281"/>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De 180.000,01 a 360.000,00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1,86%</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2,81</w:t>
            </w:r>
            <w:r w:rsidRPr="00B21CC7">
              <w:rPr>
                <w:b/>
                <w:color w:val="0000FF"/>
                <w:sz w:val="20"/>
              </w:rPr>
              <w:t xml:space="preserve"> </w:t>
            </w:r>
          </w:p>
          <w:p w:rsidR="00854EA6" w:rsidRPr="00B21CC7" w:rsidRDefault="00854EA6" w:rsidP="00854EA6">
            <w:pPr>
              <w:pStyle w:val="SemEspaamento"/>
              <w:jc w:val="left"/>
              <w:rPr>
                <w:b/>
                <w:sz w:val="20"/>
              </w:rPr>
            </w:pPr>
            <w:r w:rsidRPr="00B21CC7">
              <w:rPr>
                <w:b/>
                <w:color w:val="C00000"/>
                <w:sz w:val="20"/>
              </w:rPr>
              <w:t>3,30</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r w:rsidRPr="00B21CC7">
              <w:rPr>
                <w:b/>
                <w:color w:val="0000FF"/>
                <w:sz w:val="20"/>
              </w:rPr>
              <w:t xml:space="preserve"> </w:t>
            </w:r>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353,74%</w:t>
            </w:r>
            <w:r w:rsidRPr="00B21CC7">
              <w:rPr>
                <w:b/>
                <w:color w:val="0000FF"/>
                <w:sz w:val="20"/>
              </w:rPr>
              <w:t xml:space="preserve"> </w:t>
            </w:r>
            <w:r w:rsidRPr="00B21CC7">
              <w:rPr>
                <w:b/>
                <w:color w:val="C00000"/>
                <w:sz w:val="20"/>
              </w:rPr>
              <w:t>878,48%</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B050"/>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36,29%</w:t>
            </w:r>
            <w:r w:rsidRPr="00B21CC7">
              <w:rPr>
                <w:b/>
                <w:color w:val="0000FF"/>
                <w:sz w:val="20"/>
              </w:rPr>
              <w:t xml:space="preserve"> </w:t>
            </w:r>
            <w:r w:rsidRPr="00B21CC7">
              <w:rPr>
                <w:b/>
                <w:color w:val="C00000"/>
                <w:sz w:val="20"/>
              </w:rPr>
              <w:t>561,21%</w:t>
            </w:r>
          </w:p>
        </w:tc>
      </w:tr>
      <w:tr w:rsidR="00854EA6" w:rsidRPr="00B21CC7" w:rsidTr="00676672">
        <w:trPr>
          <w:trHeight w:val="258"/>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De 360.000,01 a 540.000,00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2,33%</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3,52</w:t>
            </w:r>
          </w:p>
          <w:p w:rsidR="00854EA6" w:rsidRPr="00B21CC7" w:rsidRDefault="00854EA6" w:rsidP="00854EA6">
            <w:pPr>
              <w:pStyle w:val="SemEspaamento"/>
              <w:jc w:val="left"/>
              <w:rPr>
                <w:b/>
                <w:sz w:val="20"/>
              </w:rPr>
            </w:pPr>
            <w:r w:rsidRPr="00B21CC7">
              <w:rPr>
                <w:b/>
                <w:color w:val="0000FF"/>
                <w:sz w:val="20"/>
              </w:rPr>
              <w:t xml:space="preserve"> </w:t>
            </w:r>
            <w:r w:rsidRPr="00B21CC7">
              <w:rPr>
                <w:b/>
                <w:color w:val="C00000"/>
                <w:sz w:val="20"/>
              </w:rPr>
              <w:t>4,13</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proofErr w:type="gramStart"/>
            <w:r>
              <w:rPr>
                <w:b/>
                <w:color w:val="0000FF"/>
                <w:sz w:val="20"/>
              </w:rPr>
              <w:t xml:space="preserve"> </w:t>
            </w:r>
            <w:r w:rsidRPr="00B21CC7">
              <w:rPr>
                <w:b/>
                <w:color w:val="0000FF"/>
                <w:sz w:val="20"/>
              </w:rPr>
              <w:t xml:space="preserve"> </w:t>
            </w:r>
            <w:proofErr w:type="gramEnd"/>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262,22%</w:t>
            </w:r>
            <w:r w:rsidRPr="00B21CC7">
              <w:rPr>
                <w:b/>
                <w:color w:val="0000FF"/>
                <w:sz w:val="20"/>
              </w:rPr>
              <w:t xml:space="preserve"> </w:t>
            </w:r>
            <w:r w:rsidRPr="00B21CC7">
              <w:rPr>
                <w:b/>
                <w:color w:val="C00000"/>
                <w:sz w:val="20"/>
              </w:rPr>
              <w:t>681,84%</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00FF"/>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 xml:space="preserve">  8,81%</w:t>
            </w:r>
            <w:r w:rsidRPr="00B21CC7">
              <w:rPr>
                <w:b/>
                <w:color w:val="0000FF"/>
                <w:sz w:val="20"/>
              </w:rPr>
              <w:t xml:space="preserve"> </w:t>
            </w:r>
            <w:r w:rsidRPr="00B21CC7">
              <w:rPr>
                <w:b/>
                <w:color w:val="C00000"/>
                <w:sz w:val="20"/>
              </w:rPr>
              <w:t>428,33%</w:t>
            </w:r>
          </w:p>
        </w:tc>
      </w:tr>
      <w:tr w:rsidR="00854EA6" w:rsidRPr="00B21CC7" w:rsidTr="00676672">
        <w:trPr>
          <w:trHeight w:val="218"/>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De 540.000,01 a 720.000,00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2,56%</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3,87</w:t>
            </w:r>
          </w:p>
          <w:p w:rsidR="00854EA6" w:rsidRPr="00B21CC7" w:rsidRDefault="00854EA6" w:rsidP="00854EA6">
            <w:pPr>
              <w:pStyle w:val="SemEspaamento"/>
              <w:jc w:val="left"/>
              <w:rPr>
                <w:b/>
                <w:sz w:val="20"/>
              </w:rPr>
            </w:pPr>
            <w:r w:rsidRPr="00B21CC7">
              <w:rPr>
                <w:b/>
                <w:color w:val="0000FF"/>
                <w:sz w:val="20"/>
              </w:rPr>
              <w:t xml:space="preserve"> </w:t>
            </w:r>
            <w:r w:rsidRPr="00B21CC7">
              <w:rPr>
                <w:b/>
                <w:color w:val="C00000"/>
                <w:sz w:val="20"/>
              </w:rPr>
              <w:t>4,54</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r w:rsidRPr="00B21CC7">
              <w:rPr>
                <w:b/>
                <w:color w:val="0000FF"/>
                <w:sz w:val="20"/>
              </w:rPr>
              <w:t xml:space="preserve"> </w:t>
            </w:r>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229,46%</w:t>
            </w:r>
            <w:r w:rsidRPr="00B21CC7">
              <w:rPr>
                <w:b/>
                <w:color w:val="0000FF"/>
                <w:sz w:val="20"/>
              </w:rPr>
              <w:t xml:space="preserve"> </w:t>
            </w:r>
            <w:r w:rsidRPr="00B21CC7">
              <w:rPr>
                <w:b/>
                <w:color w:val="C00000"/>
                <w:sz w:val="20"/>
              </w:rPr>
              <w:t>611,23%</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B050"/>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-1,03%</w:t>
            </w:r>
            <w:r w:rsidRPr="00B21CC7">
              <w:rPr>
                <w:b/>
                <w:color w:val="0000FF"/>
                <w:sz w:val="20"/>
              </w:rPr>
              <w:t xml:space="preserve"> </w:t>
            </w:r>
            <w:r w:rsidRPr="00B21CC7">
              <w:rPr>
                <w:b/>
                <w:color w:val="C00000"/>
                <w:sz w:val="20"/>
              </w:rPr>
              <w:t>380,62%</w:t>
            </w:r>
          </w:p>
        </w:tc>
      </w:tr>
      <w:tr w:rsidR="00854EA6" w:rsidRPr="00B21CC7" w:rsidTr="00676672">
        <w:trPr>
          <w:trHeight w:val="278"/>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De 720.000,01 a 900.000,00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2,58%</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3,90</w:t>
            </w:r>
          </w:p>
          <w:p w:rsidR="00854EA6" w:rsidRPr="00B21CC7" w:rsidRDefault="00854EA6" w:rsidP="00854EA6">
            <w:pPr>
              <w:pStyle w:val="SemEspaamento"/>
              <w:jc w:val="left"/>
              <w:rPr>
                <w:b/>
                <w:sz w:val="20"/>
              </w:rPr>
            </w:pPr>
            <w:r w:rsidRPr="00B21CC7">
              <w:rPr>
                <w:b/>
                <w:color w:val="0000FF"/>
                <w:sz w:val="20"/>
              </w:rPr>
              <w:t xml:space="preserve"> </w:t>
            </w:r>
            <w:r w:rsidRPr="00B21CC7">
              <w:rPr>
                <w:b/>
                <w:color w:val="C00000"/>
                <w:sz w:val="20"/>
              </w:rPr>
              <w:t>4,57</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r w:rsidRPr="00B21CC7">
              <w:rPr>
                <w:b/>
                <w:color w:val="0000FF"/>
                <w:sz w:val="20"/>
              </w:rPr>
              <w:t xml:space="preserve"> </w:t>
            </w:r>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226,92%</w:t>
            </w:r>
            <w:r w:rsidRPr="00B21CC7">
              <w:rPr>
                <w:b/>
                <w:color w:val="0000FF"/>
                <w:sz w:val="20"/>
              </w:rPr>
              <w:t xml:space="preserve"> </w:t>
            </w:r>
            <w:r w:rsidRPr="00B21CC7">
              <w:rPr>
                <w:b/>
                <w:color w:val="C00000"/>
                <w:sz w:val="20"/>
              </w:rPr>
              <w:t>606,56%</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B050"/>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-1,79%</w:t>
            </w:r>
            <w:r w:rsidRPr="00B21CC7">
              <w:rPr>
                <w:b/>
                <w:color w:val="0000FF"/>
                <w:sz w:val="20"/>
              </w:rPr>
              <w:t xml:space="preserve"> </w:t>
            </w:r>
            <w:r w:rsidRPr="00B21CC7">
              <w:rPr>
                <w:b/>
                <w:color w:val="C00000"/>
                <w:sz w:val="20"/>
              </w:rPr>
              <w:t>377,46%</w:t>
            </w:r>
          </w:p>
        </w:tc>
      </w:tr>
      <w:tr w:rsidR="00854EA6" w:rsidRPr="00B21CC7" w:rsidTr="00676672">
        <w:trPr>
          <w:trHeight w:val="253"/>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De 900.000,01 a 1.080.000,00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2,82%</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4,26</w:t>
            </w:r>
          </w:p>
          <w:p w:rsidR="00854EA6" w:rsidRPr="00B21CC7" w:rsidRDefault="00854EA6" w:rsidP="00854EA6">
            <w:pPr>
              <w:pStyle w:val="SemEspaamento"/>
              <w:jc w:val="left"/>
              <w:rPr>
                <w:b/>
                <w:sz w:val="20"/>
              </w:rPr>
            </w:pPr>
            <w:r w:rsidRPr="00B21CC7">
              <w:rPr>
                <w:b/>
                <w:color w:val="0000FF"/>
                <w:sz w:val="20"/>
              </w:rPr>
              <w:t xml:space="preserve"> </w:t>
            </w:r>
            <w:r w:rsidRPr="00B21CC7">
              <w:rPr>
                <w:b/>
                <w:color w:val="C00000"/>
                <w:sz w:val="20"/>
              </w:rPr>
              <w:t>5,00</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r w:rsidRPr="00B21CC7">
              <w:rPr>
                <w:b/>
                <w:color w:val="0000FF"/>
                <w:sz w:val="20"/>
              </w:rPr>
              <w:t xml:space="preserve"> </w:t>
            </w:r>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199,30%</w:t>
            </w:r>
            <w:r w:rsidRPr="00B21CC7">
              <w:rPr>
                <w:b/>
                <w:color w:val="0000FF"/>
                <w:sz w:val="20"/>
              </w:rPr>
              <w:t xml:space="preserve"> </w:t>
            </w:r>
            <w:r w:rsidRPr="00B21CC7">
              <w:rPr>
                <w:b/>
                <w:color w:val="C00000"/>
                <w:sz w:val="20"/>
              </w:rPr>
              <w:t>545,80%</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B050"/>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-10,09%</w:t>
            </w:r>
            <w:r w:rsidRPr="00B21CC7">
              <w:rPr>
                <w:b/>
                <w:color w:val="0000FF"/>
                <w:sz w:val="20"/>
              </w:rPr>
              <w:t xml:space="preserve"> </w:t>
            </w:r>
            <w:r w:rsidRPr="00B21CC7">
              <w:rPr>
                <w:b/>
                <w:color w:val="C00000"/>
                <w:sz w:val="20"/>
              </w:rPr>
              <w:t>336,40%</w:t>
            </w:r>
          </w:p>
        </w:tc>
      </w:tr>
      <w:tr w:rsidR="00854EA6" w:rsidRPr="00B21CC7" w:rsidTr="00676672">
        <w:trPr>
          <w:trHeight w:val="271"/>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De 1.080.000,01 a 1.260.000,00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2,84%</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4,29</w:t>
            </w:r>
          </w:p>
          <w:p w:rsidR="00854EA6" w:rsidRPr="00B21CC7" w:rsidRDefault="00854EA6" w:rsidP="00854EA6">
            <w:pPr>
              <w:pStyle w:val="SemEspaamento"/>
              <w:jc w:val="left"/>
              <w:rPr>
                <w:b/>
                <w:sz w:val="20"/>
              </w:rPr>
            </w:pPr>
            <w:r w:rsidRPr="00B21CC7">
              <w:rPr>
                <w:b/>
                <w:color w:val="0000FF"/>
                <w:sz w:val="20"/>
              </w:rPr>
              <w:t xml:space="preserve"> </w:t>
            </w:r>
            <w:r w:rsidRPr="00B21CC7">
              <w:rPr>
                <w:b/>
                <w:color w:val="C00000"/>
                <w:sz w:val="20"/>
              </w:rPr>
              <w:t>5,03</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r w:rsidRPr="00B21CC7">
              <w:rPr>
                <w:b/>
                <w:color w:val="0000FF"/>
                <w:sz w:val="20"/>
              </w:rPr>
              <w:t xml:space="preserve"> </w:t>
            </w:r>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197,20%</w:t>
            </w:r>
            <w:r w:rsidRPr="00B21CC7">
              <w:rPr>
                <w:b/>
                <w:color w:val="0000FF"/>
                <w:sz w:val="20"/>
              </w:rPr>
              <w:t xml:space="preserve"> </w:t>
            </w:r>
            <w:r w:rsidRPr="00B21CC7">
              <w:rPr>
                <w:b/>
                <w:color w:val="C00000"/>
                <w:sz w:val="20"/>
              </w:rPr>
              <w:t>541,95%</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B050"/>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-10,72%</w:t>
            </w:r>
            <w:r w:rsidRPr="00B21CC7">
              <w:rPr>
                <w:b/>
                <w:color w:val="0000FF"/>
                <w:sz w:val="20"/>
              </w:rPr>
              <w:t xml:space="preserve"> </w:t>
            </w:r>
            <w:r w:rsidRPr="00B21CC7">
              <w:rPr>
                <w:b/>
                <w:color w:val="C00000"/>
                <w:sz w:val="20"/>
              </w:rPr>
              <w:t>333,80%</w:t>
            </w:r>
          </w:p>
        </w:tc>
      </w:tr>
      <w:tr w:rsidR="00854EA6" w:rsidRPr="00B21CC7" w:rsidTr="00676672">
        <w:trPr>
          <w:trHeight w:val="262"/>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lastRenderedPageBreak/>
              <w:t>De 1.260.000,01 a 1.440.000,00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2,87%</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4,33</w:t>
            </w:r>
            <w:r w:rsidRPr="00B21CC7">
              <w:rPr>
                <w:b/>
                <w:color w:val="0000FF"/>
                <w:sz w:val="20"/>
              </w:rPr>
              <w:t xml:space="preserve"> </w:t>
            </w:r>
          </w:p>
          <w:p w:rsidR="00854EA6" w:rsidRPr="00B21CC7" w:rsidRDefault="00854EA6" w:rsidP="00854EA6">
            <w:pPr>
              <w:pStyle w:val="SemEspaamento"/>
              <w:jc w:val="left"/>
              <w:rPr>
                <w:b/>
                <w:sz w:val="20"/>
              </w:rPr>
            </w:pPr>
            <w:r w:rsidRPr="00B21CC7">
              <w:rPr>
                <w:b/>
                <w:color w:val="C00000"/>
                <w:sz w:val="20"/>
              </w:rPr>
              <w:t>5,08</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r w:rsidRPr="00B21CC7">
              <w:rPr>
                <w:b/>
                <w:color w:val="0000FF"/>
                <w:sz w:val="20"/>
              </w:rPr>
              <w:t xml:space="preserve"> </w:t>
            </w:r>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194,46%</w:t>
            </w:r>
            <w:r w:rsidRPr="00B21CC7">
              <w:rPr>
                <w:b/>
                <w:color w:val="0000FF"/>
                <w:sz w:val="20"/>
              </w:rPr>
              <w:t xml:space="preserve"> </w:t>
            </w:r>
            <w:r w:rsidRPr="00B21CC7">
              <w:rPr>
                <w:b/>
                <w:color w:val="C00000"/>
                <w:sz w:val="20"/>
              </w:rPr>
              <w:t>535,63%</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B050"/>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-11,55%</w:t>
            </w:r>
            <w:r w:rsidRPr="00B21CC7">
              <w:rPr>
                <w:b/>
                <w:color w:val="0000FF"/>
                <w:sz w:val="20"/>
              </w:rPr>
              <w:t xml:space="preserve"> </w:t>
            </w:r>
            <w:r w:rsidRPr="00B21CC7">
              <w:rPr>
                <w:b/>
                <w:color w:val="C00000"/>
                <w:sz w:val="20"/>
              </w:rPr>
              <w:t>329,53%</w:t>
            </w:r>
          </w:p>
        </w:tc>
      </w:tr>
      <w:tr w:rsidR="00854EA6" w:rsidRPr="00B21CC7" w:rsidTr="00676672">
        <w:trPr>
          <w:trHeight w:val="252"/>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De 1.440.000,01 a 1.620.000,00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3,07%</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4,64</w:t>
            </w:r>
            <w:r w:rsidRPr="00B21CC7">
              <w:rPr>
                <w:b/>
                <w:color w:val="0000FF"/>
                <w:sz w:val="20"/>
              </w:rPr>
              <w:t xml:space="preserve"> </w:t>
            </w:r>
          </w:p>
          <w:p w:rsidR="00854EA6" w:rsidRPr="00B21CC7" w:rsidRDefault="00854EA6" w:rsidP="00854EA6">
            <w:pPr>
              <w:pStyle w:val="SemEspaamento"/>
              <w:jc w:val="left"/>
              <w:rPr>
                <w:b/>
                <w:sz w:val="20"/>
              </w:rPr>
            </w:pPr>
            <w:r w:rsidRPr="00B21CC7">
              <w:rPr>
                <w:b/>
                <w:color w:val="C00000"/>
                <w:sz w:val="20"/>
              </w:rPr>
              <w:t>5,44</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r w:rsidRPr="00B21CC7">
              <w:rPr>
                <w:b/>
                <w:color w:val="0000FF"/>
                <w:sz w:val="20"/>
              </w:rPr>
              <w:t xml:space="preserve"> </w:t>
            </w:r>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174,78%</w:t>
            </w:r>
            <w:r w:rsidRPr="00B21CC7">
              <w:rPr>
                <w:b/>
                <w:color w:val="0000FF"/>
                <w:sz w:val="20"/>
              </w:rPr>
              <w:t xml:space="preserve"> </w:t>
            </w:r>
            <w:r w:rsidRPr="00B21CC7">
              <w:rPr>
                <w:b/>
                <w:color w:val="C00000"/>
                <w:sz w:val="20"/>
              </w:rPr>
              <w:t>493,57%</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B050"/>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-17,46%</w:t>
            </w:r>
            <w:r w:rsidRPr="00B21CC7">
              <w:rPr>
                <w:b/>
                <w:color w:val="0000FF"/>
                <w:sz w:val="20"/>
              </w:rPr>
              <w:t xml:space="preserve"> </w:t>
            </w:r>
            <w:r w:rsidRPr="00B21CC7">
              <w:rPr>
                <w:b/>
                <w:color w:val="C00000"/>
                <w:sz w:val="20"/>
              </w:rPr>
              <w:t>301,10%</w:t>
            </w:r>
          </w:p>
        </w:tc>
      </w:tr>
      <w:tr w:rsidR="00854EA6" w:rsidRPr="00B21CC7" w:rsidTr="00676672">
        <w:trPr>
          <w:trHeight w:val="270"/>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De 1.620.000,01 a 1.800.000,00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3,10%</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4,68</w:t>
            </w:r>
            <w:r w:rsidRPr="00B21CC7">
              <w:rPr>
                <w:b/>
                <w:color w:val="0000FF"/>
                <w:sz w:val="20"/>
              </w:rPr>
              <w:t xml:space="preserve"> </w:t>
            </w:r>
          </w:p>
          <w:p w:rsidR="00854EA6" w:rsidRPr="00B21CC7" w:rsidRDefault="00854EA6" w:rsidP="00854EA6">
            <w:pPr>
              <w:pStyle w:val="SemEspaamento"/>
              <w:jc w:val="left"/>
              <w:rPr>
                <w:b/>
                <w:sz w:val="20"/>
              </w:rPr>
            </w:pPr>
            <w:r w:rsidRPr="00B21CC7">
              <w:rPr>
                <w:b/>
                <w:color w:val="C00000"/>
                <w:sz w:val="20"/>
              </w:rPr>
              <w:t>5,49</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r w:rsidRPr="00B21CC7">
              <w:rPr>
                <w:b/>
                <w:color w:val="0000FF"/>
                <w:sz w:val="20"/>
              </w:rPr>
              <w:t xml:space="preserve"> </w:t>
            </w:r>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172,44%</w:t>
            </w:r>
            <w:r w:rsidRPr="00B21CC7">
              <w:rPr>
                <w:b/>
                <w:color w:val="0000FF"/>
                <w:sz w:val="20"/>
              </w:rPr>
              <w:t xml:space="preserve"> </w:t>
            </w:r>
            <w:r w:rsidRPr="00B21CC7">
              <w:rPr>
                <w:b/>
                <w:color w:val="C00000"/>
                <w:sz w:val="20"/>
              </w:rPr>
              <w:t>439,07%</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B050"/>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-18,16%</w:t>
            </w:r>
            <w:r w:rsidRPr="00B21CC7">
              <w:rPr>
                <w:b/>
                <w:color w:val="0000FF"/>
                <w:sz w:val="20"/>
              </w:rPr>
              <w:t xml:space="preserve"> </w:t>
            </w:r>
            <w:r w:rsidRPr="00B21CC7">
              <w:rPr>
                <w:b/>
                <w:color w:val="C00000"/>
                <w:sz w:val="20"/>
              </w:rPr>
              <w:t>297,45%</w:t>
            </w:r>
          </w:p>
        </w:tc>
      </w:tr>
      <w:tr w:rsidR="00854EA6" w:rsidRPr="00B21CC7" w:rsidTr="00676672">
        <w:trPr>
          <w:trHeight w:val="270"/>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rFonts w:eastAsia="Arial Unicode MS"/>
                <w:sz w:val="20"/>
              </w:rPr>
            </w:pPr>
            <w:r w:rsidRPr="00B21CC7">
              <w:rPr>
                <w:sz w:val="20"/>
              </w:rPr>
              <w:t>De 1.800.000,01 a 1.980.000,00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3,38%</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5,10</w:t>
            </w:r>
          </w:p>
          <w:p w:rsidR="00854EA6" w:rsidRPr="00B21CC7" w:rsidRDefault="00854EA6" w:rsidP="00854EA6">
            <w:pPr>
              <w:pStyle w:val="SemEspaamento"/>
              <w:jc w:val="left"/>
              <w:rPr>
                <w:b/>
                <w:sz w:val="20"/>
              </w:rPr>
            </w:pPr>
            <w:r w:rsidRPr="00B21CC7">
              <w:rPr>
                <w:b/>
                <w:color w:val="0000FF"/>
                <w:sz w:val="20"/>
              </w:rPr>
              <w:t xml:space="preserve"> </w:t>
            </w:r>
            <w:r w:rsidRPr="00B21CC7">
              <w:rPr>
                <w:b/>
                <w:color w:val="C00000"/>
                <w:sz w:val="20"/>
              </w:rPr>
              <w:t>5,99</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r w:rsidRPr="00B21CC7">
              <w:rPr>
                <w:b/>
                <w:color w:val="0000FF"/>
                <w:sz w:val="20"/>
              </w:rPr>
              <w:t xml:space="preserve"> </w:t>
            </w:r>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150,00%</w:t>
            </w:r>
            <w:r w:rsidRPr="00B21CC7">
              <w:rPr>
                <w:b/>
                <w:color w:val="0000FF"/>
                <w:sz w:val="20"/>
              </w:rPr>
              <w:t xml:space="preserve"> </w:t>
            </w:r>
            <w:r w:rsidRPr="00B21CC7">
              <w:rPr>
                <w:b/>
                <w:color w:val="C00000"/>
                <w:sz w:val="20"/>
              </w:rPr>
              <w:t>439,07%</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B050"/>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-25,90%</w:t>
            </w:r>
            <w:r w:rsidRPr="00B21CC7">
              <w:rPr>
                <w:b/>
                <w:color w:val="0000FF"/>
                <w:sz w:val="20"/>
              </w:rPr>
              <w:t xml:space="preserve"> </w:t>
            </w:r>
            <w:r w:rsidRPr="00B21CC7">
              <w:rPr>
                <w:b/>
                <w:color w:val="C00000"/>
                <w:sz w:val="20"/>
              </w:rPr>
              <w:t>264,27%</w:t>
            </w:r>
          </w:p>
        </w:tc>
      </w:tr>
      <w:tr w:rsidR="00854EA6" w:rsidRPr="00B21CC7" w:rsidTr="00676672">
        <w:trPr>
          <w:trHeight w:val="235"/>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rFonts w:eastAsia="Arial Unicode MS"/>
                <w:sz w:val="20"/>
              </w:rPr>
            </w:pPr>
            <w:r w:rsidRPr="00B21CC7">
              <w:rPr>
                <w:sz w:val="20"/>
              </w:rPr>
              <w:t>De 1.980.000,01 a 2.160.000,00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3,41%</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5,15</w:t>
            </w:r>
          </w:p>
          <w:p w:rsidR="00854EA6" w:rsidRPr="00B21CC7" w:rsidRDefault="00854EA6" w:rsidP="00854EA6">
            <w:pPr>
              <w:pStyle w:val="SemEspaamento"/>
              <w:jc w:val="left"/>
              <w:rPr>
                <w:b/>
                <w:sz w:val="20"/>
              </w:rPr>
            </w:pPr>
            <w:r w:rsidRPr="00B21CC7">
              <w:rPr>
                <w:b/>
                <w:color w:val="0000FF"/>
                <w:sz w:val="20"/>
              </w:rPr>
              <w:t xml:space="preserve"> </w:t>
            </w:r>
            <w:r w:rsidRPr="00B21CC7">
              <w:rPr>
                <w:b/>
                <w:color w:val="C00000"/>
                <w:sz w:val="20"/>
              </w:rPr>
              <w:t>6,04</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r w:rsidRPr="00B21CC7">
              <w:rPr>
                <w:b/>
                <w:color w:val="0000FF"/>
                <w:sz w:val="20"/>
              </w:rPr>
              <w:t xml:space="preserve"> </w:t>
            </w:r>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147,57%</w:t>
            </w:r>
            <w:r w:rsidRPr="00B21CC7">
              <w:rPr>
                <w:b/>
                <w:color w:val="0000FF"/>
                <w:sz w:val="20"/>
              </w:rPr>
              <w:t xml:space="preserve"> </w:t>
            </w:r>
            <w:r w:rsidRPr="00B21CC7">
              <w:rPr>
                <w:b/>
                <w:color w:val="C00000"/>
                <w:sz w:val="20"/>
              </w:rPr>
              <w:t>434,60%</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B050"/>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-25,63%</w:t>
            </w:r>
            <w:r w:rsidRPr="00B21CC7">
              <w:rPr>
                <w:b/>
                <w:color w:val="0000FF"/>
                <w:sz w:val="20"/>
              </w:rPr>
              <w:t xml:space="preserve"> </w:t>
            </w:r>
            <w:r w:rsidRPr="00B21CC7">
              <w:rPr>
                <w:b/>
                <w:color w:val="C00000"/>
                <w:sz w:val="20"/>
              </w:rPr>
              <w:t>261,26%</w:t>
            </w:r>
          </w:p>
        </w:tc>
      </w:tr>
      <w:tr w:rsidR="00854EA6" w:rsidRPr="00B21CC7" w:rsidTr="00676672">
        <w:trPr>
          <w:trHeight w:val="270"/>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rFonts w:eastAsia="Arial Unicode MS"/>
                <w:sz w:val="20"/>
              </w:rPr>
            </w:pPr>
            <w:r w:rsidRPr="00B21CC7">
              <w:rPr>
                <w:sz w:val="20"/>
              </w:rPr>
              <w:t>De 2.160.000,01 a 2.340.000,00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3,45%</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5,21</w:t>
            </w:r>
            <w:r w:rsidRPr="00B21CC7">
              <w:rPr>
                <w:b/>
                <w:color w:val="0000FF"/>
                <w:sz w:val="20"/>
              </w:rPr>
              <w:t xml:space="preserve"> </w:t>
            </w:r>
          </w:p>
          <w:p w:rsidR="00854EA6" w:rsidRPr="00B21CC7" w:rsidRDefault="00854EA6" w:rsidP="00854EA6">
            <w:pPr>
              <w:pStyle w:val="SemEspaamento"/>
              <w:jc w:val="left"/>
              <w:rPr>
                <w:b/>
                <w:sz w:val="20"/>
              </w:rPr>
            </w:pPr>
            <w:r w:rsidRPr="00B21CC7">
              <w:rPr>
                <w:b/>
                <w:color w:val="C00000"/>
                <w:sz w:val="20"/>
              </w:rPr>
              <w:t>6,11</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r w:rsidRPr="00B21CC7">
              <w:rPr>
                <w:b/>
                <w:color w:val="0000FF"/>
                <w:sz w:val="20"/>
              </w:rPr>
              <w:t xml:space="preserve"> </w:t>
            </w:r>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144,72%</w:t>
            </w:r>
            <w:r w:rsidRPr="00B21CC7">
              <w:rPr>
                <w:b/>
                <w:color w:val="0000FF"/>
                <w:sz w:val="20"/>
              </w:rPr>
              <w:t xml:space="preserve"> </w:t>
            </w:r>
            <w:r w:rsidRPr="00B21CC7">
              <w:rPr>
                <w:b/>
                <w:color w:val="C00000"/>
                <w:sz w:val="20"/>
              </w:rPr>
              <w:t>428,48%</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B050"/>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-26,49%</w:t>
            </w:r>
            <w:r w:rsidRPr="00B21CC7">
              <w:rPr>
                <w:b/>
                <w:color w:val="0000FF"/>
                <w:sz w:val="20"/>
              </w:rPr>
              <w:t xml:space="preserve"> </w:t>
            </w:r>
            <w:r w:rsidRPr="00B21CC7">
              <w:rPr>
                <w:b/>
                <w:color w:val="C00000"/>
                <w:sz w:val="20"/>
              </w:rPr>
              <w:t>257,12%</w:t>
            </w:r>
          </w:p>
        </w:tc>
      </w:tr>
      <w:tr w:rsidR="00854EA6" w:rsidRPr="00B21CC7" w:rsidTr="00676672">
        <w:trPr>
          <w:trHeight w:val="270"/>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rFonts w:eastAsia="Arial Unicode MS"/>
                <w:sz w:val="20"/>
              </w:rPr>
            </w:pPr>
            <w:r w:rsidRPr="00B21CC7">
              <w:rPr>
                <w:sz w:val="20"/>
              </w:rPr>
              <w:t>De 2.340.000,01 a 2.520.000,00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3,48%</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5,25</w:t>
            </w:r>
            <w:r w:rsidRPr="00B21CC7">
              <w:rPr>
                <w:b/>
                <w:color w:val="0000FF"/>
                <w:sz w:val="20"/>
              </w:rPr>
              <w:t xml:space="preserve"> </w:t>
            </w:r>
          </w:p>
          <w:p w:rsidR="00854EA6" w:rsidRPr="00B21CC7" w:rsidRDefault="00854EA6" w:rsidP="00854EA6">
            <w:pPr>
              <w:pStyle w:val="SemEspaamento"/>
              <w:jc w:val="left"/>
              <w:rPr>
                <w:b/>
                <w:sz w:val="20"/>
              </w:rPr>
            </w:pPr>
            <w:r w:rsidRPr="00B21CC7">
              <w:rPr>
                <w:b/>
                <w:color w:val="C00000"/>
                <w:sz w:val="20"/>
              </w:rPr>
              <w:t>6,17</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r w:rsidRPr="00B21CC7">
              <w:rPr>
                <w:b/>
                <w:color w:val="0000FF"/>
                <w:sz w:val="20"/>
              </w:rPr>
              <w:t xml:space="preserve"> </w:t>
            </w:r>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142,86%</w:t>
            </w:r>
            <w:r w:rsidRPr="00B21CC7">
              <w:rPr>
                <w:b/>
                <w:color w:val="0000FF"/>
                <w:sz w:val="20"/>
              </w:rPr>
              <w:t xml:space="preserve"> </w:t>
            </w:r>
            <w:r w:rsidRPr="00B21CC7">
              <w:rPr>
                <w:b/>
                <w:color w:val="C00000"/>
                <w:sz w:val="20"/>
              </w:rPr>
              <w:t>423,34%</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B050"/>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-27,05%</w:t>
            </w:r>
            <w:r w:rsidRPr="00B21CC7">
              <w:rPr>
                <w:b/>
                <w:color w:val="0000FF"/>
                <w:sz w:val="20"/>
              </w:rPr>
              <w:t xml:space="preserve"> </w:t>
            </w:r>
            <w:r w:rsidRPr="00B21CC7">
              <w:rPr>
                <w:b/>
                <w:color w:val="C00000"/>
                <w:sz w:val="20"/>
              </w:rPr>
              <w:t>253,65%</w:t>
            </w:r>
          </w:p>
        </w:tc>
      </w:tr>
      <w:tr w:rsidR="00854EA6" w:rsidRPr="00B21CC7" w:rsidTr="00676672">
        <w:trPr>
          <w:trHeight w:val="270"/>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rFonts w:eastAsia="Arial Unicode MS"/>
                <w:sz w:val="20"/>
              </w:rPr>
            </w:pPr>
            <w:r w:rsidRPr="00B21CC7">
              <w:rPr>
                <w:sz w:val="20"/>
              </w:rPr>
              <w:t>De 2.520.000,01 a 2.700.000,00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3,51%</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5,30</w:t>
            </w:r>
          </w:p>
          <w:p w:rsidR="00854EA6" w:rsidRPr="00B21CC7" w:rsidRDefault="00854EA6" w:rsidP="00854EA6">
            <w:pPr>
              <w:pStyle w:val="SemEspaamento"/>
              <w:jc w:val="left"/>
              <w:rPr>
                <w:b/>
                <w:sz w:val="20"/>
              </w:rPr>
            </w:pPr>
            <w:r w:rsidRPr="00B21CC7">
              <w:rPr>
                <w:b/>
                <w:color w:val="0000FF"/>
                <w:sz w:val="20"/>
              </w:rPr>
              <w:t xml:space="preserve"> </w:t>
            </w:r>
            <w:r w:rsidRPr="00B21CC7">
              <w:rPr>
                <w:b/>
                <w:color w:val="C00000"/>
                <w:sz w:val="20"/>
              </w:rPr>
              <w:t>6,22</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r w:rsidRPr="00B21CC7">
              <w:rPr>
                <w:b/>
                <w:color w:val="0000FF"/>
                <w:sz w:val="20"/>
              </w:rPr>
              <w:t xml:space="preserve"> </w:t>
            </w:r>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140,57%</w:t>
            </w:r>
            <w:r w:rsidRPr="00B21CC7">
              <w:rPr>
                <w:b/>
                <w:color w:val="0000FF"/>
                <w:sz w:val="20"/>
              </w:rPr>
              <w:t xml:space="preserve"> </w:t>
            </w:r>
            <w:r w:rsidRPr="00B21CC7">
              <w:rPr>
                <w:b/>
                <w:color w:val="C00000"/>
                <w:sz w:val="20"/>
              </w:rPr>
              <w:t>419,13%</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B050"/>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-27,74%</w:t>
            </w:r>
            <w:r w:rsidRPr="00B21CC7">
              <w:rPr>
                <w:b/>
                <w:color w:val="0000FF"/>
                <w:sz w:val="20"/>
              </w:rPr>
              <w:t xml:space="preserve"> </w:t>
            </w:r>
            <w:r w:rsidRPr="00B21CC7">
              <w:rPr>
                <w:b/>
                <w:color w:val="C00000"/>
                <w:sz w:val="20"/>
              </w:rPr>
              <w:t>250,80%</w:t>
            </w:r>
          </w:p>
        </w:tc>
      </w:tr>
      <w:tr w:rsidR="00854EA6" w:rsidRPr="00B21CC7" w:rsidTr="00676672">
        <w:trPr>
          <w:trHeight w:val="270"/>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rFonts w:eastAsia="Arial Unicode MS"/>
                <w:sz w:val="20"/>
              </w:rPr>
            </w:pPr>
            <w:r w:rsidRPr="00B21CC7">
              <w:rPr>
                <w:sz w:val="20"/>
              </w:rPr>
              <w:t>De 2.700.000,01 a 2.880.000,00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3,82%</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5,77</w:t>
            </w:r>
            <w:r w:rsidRPr="00B21CC7">
              <w:rPr>
                <w:b/>
                <w:color w:val="0000FF"/>
                <w:sz w:val="20"/>
              </w:rPr>
              <w:t xml:space="preserve"> </w:t>
            </w:r>
          </w:p>
          <w:p w:rsidR="00854EA6" w:rsidRPr="00B21CC7" w:rsidRDefault="00854EA6" w:rsidP="00854EA6">
            <w:pPr>
              <w:pStyle w:val="SemEspaamento"/>
              <w:jc w:val="left"/>
              <w:rPr>
                <w:b/>
                <w:sz w:val="20"/>
              </w:rPr>
            </w:pPr>
            <w:r w:rsidRPr="00B21CC7">
              <w:rPr>
                <w:b/>
                <w:color w:val="C00000"/>
                <w:sz w:val="20"/>
              </w:rPr>
              <w:t>6,77</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r w:rsidRPr="00B21CC7">
              <w:rPr>
                <w:b/>
                <w:color w:val="0000FF"/>
                <w:sz w:val="20"/>
              </w:rPr>
              <w:t xml:space="preserve"> </w:t>
            </w:r>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120,97%</w:t>
            </w:r>
            <w:r w:rsidRPr="00B21CC7">
              <w:rPr>
                <w:b/>
                <w:color w:val="0000FF"/>
                <w:sz w:val="20"/>
              </w:rPr>
              <w:t xml:space="preserve"> </w:t>
            </w:r>
            <w:r w:rsidRPr="00B21CC7">
              <w:rPr>
                <w:b/>
                <w:color w:val="C00000"/>
                <w:sz w:val="20"/>
              </w:rPr>
              <w:t>376,96%</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00FF"/>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-33,62%</w:t>
            </w:r>
            <w:r w:rsidRPr="00B21CC7">
              <w:rPr>
                <w:b/>
                <w:color w:val="0000FF"/>
                <w:sz w:val="20"/>
              </w:rPr>
              <w:t xml:space="preserve"> </w:t>
            </w:r>
            <w:r w:rsidRPr="00B21CC7">
              <w:rPr>
                <w:b/>
                <w:color w:val="C00000"/>
                <w:sz w:val="20"/>
              </w:rPr>
              <w:t>222,30%</w:t>
            </w:r>
          </w:p>
        </w:tc>
      </w:tr>
      <w:tr w:rsidR="00854EA6" w:rsidRPr="00B21CC7" w:rsidTr="00676672">
        <w:trPr>
          <w:trHeight w:val="270"/>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rFonts w:eastAsia="Arial Unicode MS"/>
                <w:sz w:val="20"/>
              </w:rPr>
            </w:pPr>
            <w:r w:rsidRPr="00B21CC7">
              <w:rPr>
                <w:sz w:val="20"/>
              </w:rPr>
              <w:t>De 2.880.000,01 a 3.060.000,00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3,85%</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5,81</w:t>
            </w:r>
          </w:p>
          <w:p w:rsidR="00854EA6" w:rsidRPr="00B21CC7" w:rsidRDefault="00854EA6" w:rsidP="00854EA6">
            <w:pPr>
              <w:pStyle w:val="SemEspaamento"/>
              <w:jc w:val="left"/>
              <w:rPr>
                <w:b/>
                <w:sz w:val="20"/>
              </w:rPr>
            </w:pPr>
            <w:r w:rsidRPr="00B21CC7">
              <w:rPr>
                <w:b/>
                <w:color w:val="0000FF"/>
                <w:sz w:val="20"/>
              </w:rPr>
              <w:t xml:space="preserve"> </w:t>
            </w:r>
            <w:r w:rsidRPr="00B21CC7">
              <w:rPr>
                <w:b/>
                <w:color w:val="C00000"/>
                <w:sz w:val="20"/>
              </w:rPr>
              <w:t>6,82</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r w:rsidRPr="00B21CC7">
              <w:rPr>
                <w:b/>
                <w:color w:val="0000FF"/>
                <w:sz w:val="20"/>
              </w:rPr>
              <w:t xml:space="preserve"> </w:t>
            </w:r>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119,45%</w:t>
            </w:r>
            <w:r w:rsidRPr="00B21CC7">
              <w:rPr>
                <w:b/>
                <w:color w:val="0000FF"/>
                <w:sz w:val="20"/>
              </w:rPr>
              <w:t xml:space="preserve"> </w:t>
            </w:r>
            <w:r w:rsidRPr="00B21CC7">
              <w:rPr>
                <w:b/>
                <w:color w:val="C00000"/>
                <w:sz w:val="20"/>
              </w:rPr>
              <w:t>373,46%</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B050"/>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-34,08%</w:t>
            </w:r>
            <w:r w:rsidRPr="00B21CC7">
              <w:rPr>
                <w:b/>
                <w:color w:val="0000FF"/>
                <w:sz w:val="20"/>
              </w:rPr>
              <w:t xml:space="preserve"> </w:t>
            </w:r>
            <w:r w:rsidRPr="00B21CC7">
              <w:rPr>
                <w:b/>
                <w:color w:val="C00000"/>
                <w:sz w:val="20"/>
              </w:rPr>
              <w:t>219,94%</w:t>
            </w:r>
          </w:p>
        </w:tc>
      </w:tr>
      <w:tr w:rsidR="00854EA6" w:rsidRPr="00B21CC7" w:rsidTr="00676672">
        <w:trPr>
          <w:trHeight w:val="270"/>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rFonts w:eastAsia="Arial Unicode MS"/>
                <w:sz w:val="20"/>
              </w:rPr>
            </w:pPr>
            <w:r w:rsidRPr="00B21CC7">
              <w:rPr>
                <w:sz w:val="20"/>
              </w:rPr>
              <w:t>De 3.060.000,01 a 3.240.000,00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3,88%</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5,86</w:t>
            </w:r>
            <w:r w:rsidRPr="00B21CC7">
              <w:rPr>
                <w:b/>
                <w:color w:val="0000FF"/>
                <w:sz w:val="20"/>
              </w:rPr>
              <w:t xml:space="preserve"> </w:t>
            </w:r>
          </w:p>
          <w:p w:rsidR="00854EA6" w:rsidRPr="00B21CC7" w:rsidRDefault="00854EA6" w:rsidP="00854EA6">
            <w:pPr>
              <w:pStyle w:val="SemEspaamento"/>
              <w:jc w:val="left"/>
              <w:rPr>
                <w:b/>
                <w:sz w:val="20"/>
              </w:rPr>
            </w:pPr>
            <w:r w:rsidRPr="00B21CC7">
              <w:rPr>
                <w:b/>
                <w:color w:val="C00000"/>
                <w:sz w:val="20"/>
              </w:rPr>
              <w:t>6,87</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r w:rsidRPr="00B21CC7">
              <w:rPr>
                <w:b/>
                <w:color w:val="0000FF"/>
                <w:sz w:val="20"/>
              </w:rPr>
              <w:t xml:space="preserve"> </w:t>
            </w:r>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117,58%</w:t>
            </w:r>
            <w:r w:rsidRPr="00B21CC7">
              <w:rPr>
                <w:b/>
                <w:color w:val="0000FF"/>
                <w:sz w:val="20"/>
              </w:rPr>
              <w:t xml:space="preserve"> </w:t>
            </w:r>
            <w:r w:rsidRPr="00B21CC7">
              <w:rPr>
                <w:b/>
                <w:color w:val="C00000"/>
                <w:sz w:val="20"/>
              </w:rPr>
              <w:t>370,01%</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00FF"/>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-34,64%</w:t>
            </w:r>
            <w:r w:rsidRPr="00B21CC7">
              <w:rPr>
                <w:b/>
                <w:color w:val="0000FF"/>
                <w:sz w:val="20"/>
              </w:rPr>
              <w:t xml:space="preserve"> </w:t>
            </w:r>
            <w:r w:rsidRPr="00B21CC7">
              <w:rPr>
                <w:b/>
                <w:color w:val="C00000"/>
                <w:sz w:val="20"/>
              </w:rPr>
              <w:t>217,61%</w:t>
            </w:r>
          </w:p>
        </w:tc>
      </w:tr>
      <w:tr w:rsidR="00854EA6" w:rsidRPr="00B21CC7" w:rsidTr="00676672">
        <w:trPr>
          <w:trHeight w:val="270"/>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rFonts w:eastAsia="Arial Unicode MS"/>
                <w:sz w:val="20"/>
              </w:rPr>
            </w:pPr>
            <w:r w:rsidRPr="00B21CC7">
              <w:rPr>
                <w:sz w:val="20"/>
              </w:rPr>
              <w:t>De 3.240.000,01 a 3.420.000,00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3,91%</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5,90</w:t>
            </w:r>
            <w:r w:rsidRPr="00B21CC7">
              <w:rPr>
                <w:b/>
                <w:color w:val="0000FF"/>
                <w:sz w:val="20"/>
              </w:rPr>
              <w:t xml:space="preserve"> </w:t>
            </w:r>
          </w:p>
          <w:p w:rsidR="00854EA6" w:rsidRPr="00B21CC7" w:rsidRDefault="00854EA6" w:rsidP="00854EA6">
            <w:pPr>
              <w:pStyle w:val="SemEspaamento"/>
              <w:jc w:val="left"/>
              <w:rPr>
                <w:b/>
                <w:sz w:val="20"/>
              </w:rPr>
            </w:pPr>
            <w:r w:rsidRPr="00B21CC7">
              <w:rPr>
                <w:b/>
                <w:color w:val="C00000"/>
                <w:sz w:val="20"/>
              </w:rPr>
              <w:t>6,93</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r w:rsidRPr="00B21CC7">
              <w:rPr>
                <w:b/>
                <w:color w:val="0000FF"/>
                <w:sz w:val="20"/>
              </w:rPr>
              <w:t xml:space="preserve"> </w:t>
            </w:r>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116,10%</w:t>
            </w:r>
            <w:r w:rsidRPr="00B21CC7">
              <w:rPr>
                <w:b/>
                <w:color w:val="0000FF"/>
                <w:sz w:val="20"/>
              </w:rPr>
              <w:t xml:space="preserve"> </w:t>
            </w:r>
            <w:r w:rsidRPr="00B21CC7">
              <w:rPr>
                <w:b/>
                <w:color w:val="C00000"/>
                <w:sz w:val="20"/>
              </w:rPr>
              <w:t>365,95%</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B050"/>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-35,08%</w:t>
            </w:r>
            <w:r w:rsidRPr="00B21CC7">
              <w:rPr>
                <w:b/>
                <w:color w:val="0000FF"/>
                <w:sz w:val="20"/>
              </w:rPr>
              <w:t xml:space="preserve"> </w:t>
            </w:r>
            <w:r w:rsidRPr="00B21CC7">
              <w:rPr>
                <w:b/>
                <w:color w:val="C00000"/>
                <w:sz w:val="20"/>
              </w:rPr>
              <w:t>214,86%</w:t>
            </w:r>
          </w:p>
        </w:tc>
      </w:tr>
      <w:tr w:rsidR="00854EA6" w:rsidRPr="00B21CC7" w:rsidTr="00676672">
        <w:trPr>
          <w:trHeight w:val="212"/>
          <w:jc w:val="center"/>
        </w:trPr>
        <w:tc>
          <w:tcPr>
            <w:tcW w:w="1273" w:type="pct"/>
            <w:tcBorders>
              <w:top w:val="nil"/>
              <w:left w:val="single" w:sz="8" w:space="0" w:color="auto"/>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rFonts w:eastAsia="Arial Unicode MS"/>
                <w:sz w:val="20"/>
              </w:rPr>
            </w:pPr>
            <w:r w:rsidRPr="00B21CC7">
              <w:rPr>
                <w:sz w:val="20"/>
              </w:rPr>
              <w:t>De 3.420.000,01 a 3.600.000,00</w:t>
            </w:r>
          </w:p>
        </w:tc>
        <w:tc>
          <w:tcPr>
            <w:tcW w:w="360" w:type="pct"/>
            <w:tcBorders>
              <w:top w:val="nil"/>
              <w:left w:val="nil"/>
              <w:bottom w:val="single" w:sz="8" w:space="0" w:color="auto"/>
              <w:right w:val="single" w:sz="8" w:space="0" w:color="auto"/>
            </w:tcBorders>
            <w:shd w:val="clear" w:color="000000" w:fill="FFFFFF"/>
            <w:noWrap/>
            <w:vAlign w:val="center"/>
          </w:tcPr>
          <w:p w:rsidR="00854EA6" w:rsidRPr="00B21CC7" w:rsidRDefault="00854EA6" w:rsidP="00854EA6">
            <w:pPr>
              <w:pStyle w:val="SemEspaamento"/>
              <w:jc w:val="left"/>
              <w:rPr>
                <w:sz w:val="20"/>
              </w:rPr>
            </w:pPr>
            <w:r w:rsidRPr="00B21CC7">
              <w:rPr>
                <w:sz w:val="20"/>
              </w:rPr>
              <w:t>3,95%</w:t>
            </w:r>
          </w:p>
        </w:tc>
        <w:tc>
          <w:tcPr>
            <w:tcW w:w="390"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5,96</w:t>
            </w:r>
            <w:r w:rsidRPr="00B21CC7">
              <w:rPr>
                <w:b/>
                <w:color w:val="0000FF"/>
                <w:sz w:val="20"/>
              </w:rPr>
              <w:t xml:space="preserve"> </w:t>
            </w:r>
          </w:p>
          <w:p w:rsidR="00854EA6" w:rsidRPr="00B21CC7" w:rsidRDefault="00854EA6" w:rsidP="00854EA6">
            <w:pPr>
              <w:pStyle w:val="SemEspaamento"/>
              <w:jc w:val="left"/>
              <w:rPr>
                <w:b/>
                <w:sz w:val="20"/>
              </w:rPr>
            </w:pPr>
            <w:r w:rsidRPr="00B21CC7">
              <w:rPr>
                <w:b/>
                <w:color w:val="C00000"/>
                <w:sz w:val="20"/>
              </w:rPr>
              <w:t>7,00</w:t>
            </w:r>
          </w:p>
        </w:tc>
        <w:tc>
          <w:tcPr>
            <w:tcW w:w="641"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12,75</w:t>
            </w:r>
            <w:r w:rsidRPr="00B21CC7">
              <w:rPr>
                <w:b/>
                <w:color w:val="0000FF"/>
                <w:sz w:val="20"/>
              </w:rPr>
              <w:t xml:space="preserve"> </w:t>
            </w:r>
            <w:r w:rsidRPr="00B21CC7">
              <w:rPr>
                <w:b/>
                <w:color w:val="C00000"/>
                <w:sz w:val="20"/>
              </w:rPr>
              <w:t>32,29</w:t>
            </w:r>
          </w:p>
        </w:tc>
        <w:tc>
          <w:tcPr>
            <w:tcW w:w="904"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113,93%</w:t>
            </w:r>
            <w:r w:rsidRPr="00B21CC7">
              <w:rPr>
                <w:b/>
                <w:color w:val="0000FF"/>
                <w:sz w:val="20"/>
              </w:rPr>
              <w:t xml:space="preserve"> </w:t>
            </w:r>
            <w:r w:rsidRPr="00B21CC7">
              <w:rPr>
                <w:b/>
                <w:color w:val="C00000"/>
                <w:sz w:val="20"/>
              </w:rPr>
              <w:t>361,29%</w:t>
            </w:r>
          </w:p>
        </w:tc>
        <w:tc>
          <w:tcPr>
            <w:tcW w:w="573"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3,83</w:t>
            </w:r>
            <w:r w:rsidRPr="00B21CC7">
              <w:rPr>
                <w:b/>
                <w:color w:val="00B050"/>
                <w:sz w:val="20"/>
              </w:rPr>
              <w:t xml:space="preserve"> </w:t>
            </w:r>
            <w:r w:rsidRPr="00B21CC7">
              <w:rPr>
                <w:b/>
                <w:color w:val="C00000"/>
                <w:sz w:val="20"/>
              </w:rPr>
              <w:t>21,82</w:t>
            </w:r>
          </w:p>
        </w:tc>
        <w:tc>
          <w:tcPr>
            <w:tcW w:w="859" w:type="pct"/>
            <w:tcBorders>
              <w:top w:val="nil"/>
              <w:left w:val="nil"/>
              <w:bottom w:val="single" w:sz="8" w:space="0" w:color="auto"/>
              <w:right w:val="single" w:sz="4" w:space="0" w:color="auto"/>
            </w:tcBorders>
            <w:shd w:val="clear" w:color="auto" w:fill="auto"/>
            <w:vAlign w:val="center"/>
          </w:tcPr>
          <w:p w:rsidR="00854EA6" w:rsidRPr="00B21CC7" w:rsidRDefault="00854EA6" w:rsidP="00854EA6">
            <w:pPr>
              <w:pStyle w:val="SemEspaamento"/>
              <w:jc w:val="left"/>
              <w:rPr>
                <w:b/>
                <w:sz w:val="20"/>
              </w:rPr>
            </w:pPr>
            <w:r w:rsidRPr="00B21CC7">
              <w:rPr>
                <w:b/>
                <w:color w:val="548DD4"/>
                <w:sz w:val="20"/>
              </w:rPr>
              <w:t>-35,74%</w:t>
            </w:r>
            <w:r w:rsidRPr="00B21CC7">
              <w:rPr>
                <w:b/>
                <w:color w:val="0000FF"/>
                <w:sz w:val="20"/>
              </w:rPr>
              <w:t xml:space="preserve"> </w:t>
            </w:r>
            <w:r w:rsidRPr="00B21CC7">
              <w:rPr>
                <w:b/>
                <w:color w:val="C00000"/>
                <w:sz w:val="20"/>
              </w:rPr>
              <w:t>211,71%</w:t>
            </w:r>
          </w:p>
        </w:tc>
      </w:tr>
    </w:tbl>
    <w:bookmarkEnd w:id="1"/>
    <w:p w:rsidR="00854EA6" w:rsidRPr="003471A9" w:rsidRDefault="00854EA6" w:rsidP="00854EA6">
      <w:pPr>
        <w:pStyle w:val="SemEspaamento"/>
        <w:spacing w:line="360" w:lineRule="auto"/>
        <w:rPr>
          <w:sz w:val="20"/>
        </w:rPr>
      </w:pPr>
      <w:r w:rsidRPr="00B21CC7">
        <w:rPr>
          <w:sz w:val="20"/>
        </w:rPr>
        <w:t>Fonte: Elaborado pelo autor, 2016.</w:t>
      </w:r>
    </w:p>
    <w:p w:rsidR="00854EA6" w:rsidRPr="006467C5" w:rsidRDefault="00854EA6" w:rsidP="006467C5">
      <w:pPr>
        <w:pStyle w:val="SemEspaamento"/>
        <w:ind w:firstLine="708"/>
        <w:rPr>
          <w:szCs w:val="24"/>
        </w:rPr>
      </w:pPr>
      <w:r w:rsidRPr="006467C5">
        <w:rPr>
          <w:szCs w:val="24"/>
        </w:rPr>
        <w:t xml:space="preserve">Analisando o Quadro13, verifica-se que sem o beneficio fiscal cedido pelo governo estadual, tanto as operações internas, quanto as interestaduais geram sobrecarga na tributação para essas empresas. Pode ser atingindo uma alíquota até 1361,08% maior na primeira faixa numa operação interestadual. </w:t>
      </w:r>
    </w:p>
    <w:p w:rsidR="00854EA6" w:rsidRPr="006467C5" w:rsidRDefault="00854EA6" w:rsidP="006467C5">
      <w:pPr>
        <w:pStyle w:val="SemEspaamento"/>
        <w:ind w:firstLine="708"/>
        <w:rPr>
          <w:szCs w:val="24"/>
        </w:rPr>
      </w:pPr>
      <w:r w:rsidRPr="006467C5">
        <w:rPr>
          <w:szCs w:val="24"/>
        </w:rPr>
        <w:t xml:space="preserve">Nas operações com o beneficio fiscal, a MVA é reduzida em 70%, assim como esperado, houve diminuição do ICMS/ST devido se comparado </w:t>
      </w:r>
      <w:proofErr w:type="gramStart"/>
      <w:r w:rsidRPr="006467C5">
        <w:rPr>
          <w:szCs w:val="24"/>
        </w:rPr>
        <w:t>a</w:t>
      </w:r>
      <w:proofErr w:type="gramEnd"/>
      <w:r w:rsidRPr="006467C5">
        <w:rPr>
          <w:szCs w:val="24"/>
        </w:rPr>
        <w:t xml:space="preserve"> operação sem o beneficio. Porém, comparando com o imposto pelo regime simplifica nota-se que mesmo com o beneficio a alíquota ainda é maior nas operações interestaduais, pelo fato da MVA ser ajustada, para não ocorrer uma concorrência desleal com as empresas “dentro” do estado. Nas operações internas, verificou-se que o beneficio fiscal atinge seu propósito a partir da 4º faixa do Anexo I, sendo que, a alíquota de ICMS/ST é menor em até 35,74%, se comparado </w:t>
      </w:r>
      <w:proofErr w:type="gramStart"/>
      <w:r w:rsidRPr="006467C5">
        <w:rPr>
          <w:szCs w:val="24"/>
        </w:rPr>
        <w:t>a</w:t>
      </w:r>
      <w:proofErr w:type="gramEnd"/>
      <w:r w:rsidRPr="006467C5">
        <w:rPr>
          <w:szCs w:val="24"/>
        </w:rPr>
        <w:t xml:space="preserve"> mesma última faixa do Simples Nacional.</w:t>
      </w:r>
    </w:p>
    <w:p w:rsidR="00854EA6" w:rsidRPr="006467C5" w:rsidRDefault="00854EA6" w:rsidP="006467C5">
      <w:pPr>
        <w:pStyle w:val="SemEspaamento"/>
        <w:ind w:firstLine="708"/>
        <w:rPr>
          <w:szCs w:val="24"/>
        </w:rPr>
      </w:pPr>
      <w:r w:rsidRPr="006467C5">
        <w:rPr>
          <w:szCs w:val="24"/>
        </w:rPr>
        <w:t>Nota-se que mesmo com o benefício fiscal, o ICMS/ST será maior nas primeiras faixas do regime simplificado, desfavorecendo ainda mais as empresas menores.</w:t>
      </w:r>
    </w:p>
    <w:p w:rsidR="00854EA6" w:rsidRPr="007D1361" w:rsidRDefault="00854EA6" w:rsidP="007D1361">
      <w:pPr>
        <w:pStyle w:val="SemEspaamento"/>
        <w:jc w:val="left"/>
        <w:rPr>
          <w:b/>
          <w:szCs w:val="24"/>
        </w:rPr>
      </w:pPr>
      <w:proofErr w:type="gramStart"/>
      <w:r w:rsidRPr="007D1361">
        <w:rPr>
          <w:b/>
          <w:szCs w:val="24"/>
        </w:rPr>
        <w:t>4.4 Análise</w:t>
      </w:r>
      <w:proofErr w:type="gramEnd"/>
      <w:r w:rsidRPr="007D1361">
        <w:rPr>
          <w:b/>
          <w:szCs w:val="24"/>
        </w:rPr>
        <w:t xml:space="preserve"> dos resultados</w:t>
      </w:r>
    </w:p>
    <w:p w:rsidR="00854EA6" w:rsidRPr="006467C5" w:rsidRDefault="00854EA6" w:rsidP="006467C5">
      <w:pPr>
        <w:pStyle w:val="SemEspaamento"/>
        <w:ind w:firstLine="708"/>
        <w:rPr>
          <w:szCs w:val="24"/>
        </w:rPr>
      </w:pPr>
      <w:r w:rsidRPr="006467C5">
        <w:rPr>
          <w:szCs w:val="24"/>
        </w:rPr>
        <w:lastRenderedPageBreak/>
        <w:t>Na pesquisa de Bortolon, Casagrande e Müller (2011), os autores observaram que no valor do estoque das duas empresas analisadas e calcularam o valor do imposto pelas duas formas: ICMS e ICMS/ST, o que impossibilita saber a diferença de cada produto, apenas do valor total em estoque. O enfoque da pesquisa de Biava Júnior e Oyadomari (2010) foi além do valor maior pago</w:t>
      </w:r>
      <w:proofErr w:type="gramStart"/>
      <w:r w:rsidRPr="006467C5">
        <w:rPr>
          <w:szCs w:val="24"/>
        </w:rPr>
        <w:t xml:space="preserve">  </w:t>
      </w:r>
      <w:proofErr w:type="gramEnd"/>
      <w:r w:rsidRPr="006467C5">
        <w:rPr>
          <w:szCs w:val="24"/>
        </w:rPr>
        <w:t>no imposto, pois verificaram outras desvantagens para a substituição tributária de ICMS como a retirada antecipada no caixa e como pode interferir na lucratividade da empresa.</w:t>
      </w:r>
    </w:p>
    <w:p w:rsidR="00854EA6" w:rsidRPr="006467C5" w:rsidRDefault="00854EA6" w:rsidP="006467C5">
      <w:pPr>
        <w:pStyle w:val="SemEspaamento"/>
        <w:ind w:firstLine="708"/>
        <w:rPr>
          <w:szCs w:val="24"/>
        </w:rPr>
      </w:pPr>
      <w:r w:rsidRPr="006467C5">
        <w:rPr>
          <w:szCs w:val="24"/>
        </w:rPr>
        <w:t>Barreto e Stock (2013) analisaram o custo de ICMS/ST para produtos eletrônicos. O estudo foi mais complexo, porque calcularam além dos custos as despesas, determinando um lucro mínimo. Segundo os autores, os resultados podem variar positivamente e negativamente.</w:t>
      </w:r>
    </w:p>
    <w:p w:rsidR="00854EA6" w:rsidRPr="006467C5" w:rsidRDefault="00854EA6" w:rsidP="006467C5">
      <w:pPr>
        <w:pStyle w:val="SemEspaamento"/>
        <w:ind w:firstLine="708"/>
        <w:rPr>
          <w:szCs w:val="24"/>
        </w:rPr>
      </w:pPr>
      <w:r w:rsidRPr="006467C5">
        <w:rPr>
          <w:szCs w:val="24"/>
        </w:rPr>
        <w:t>Logo, nota-se que na presente pesquisa o foco foi analisar apenas um produto, demonstrando com uma precisão maior a variação na alíquota entre os casos simulados. Assim como o estudo de Nadir e Petri (2012), diferenciando no produto analisado (colchão). O método de simulação nas duas pesquisas é semelhante, mas no estudo atual o produto analisado mostra uma sobrecarga maior do imposto, se comparado ao produto colchão.</w:t>
      </w:r>
    </w:p>
    <w:p w:rsidR="00854EA6" w:rsidRPr="006467C5" w:rsidRDefault="00854EA6" w:rsidP="006467C5">
      <w:pPr>
        <w:pStyle w:val="SemEspaamento"/>
        <w:rPr>
          <w:szCs w:val="24"/>
        </w:rPr>
      </w:pPr>
    </w:p>
    <w:p w:rsidR="00854EA6" w:rsidRPr="007D1361" w:rsidRDefault="00854EA6" w:rsidP="007D1361">
      <w:pPr>
        <w:pStyle w:val="SemEspaamento"/>
        <w:jc w:val="left"/>
        <w:rPr>
          <w:b/>
          <w:szCs w:val="24"/>
        </w:rPr>
      </w:pPr>
      <w:r w:rsidRPr="007D1361">
        <w:rPr>
          <w:b/>
          <w:szCs w:val="24"/>
        </w:rPr>
        <w:t>5. Conclusão</w:t>
      </w:r>
    </w:p>
    <w:p w:rsidR="00854EA6" w:rsidRPr="006467C5" w:rsidRDefault="00854EA6" w:rsidP="006467C5">
      <w:pPr>
        <w:pStyle w:val="SemEspaamento"/>
        <w:ind w:firstLine="708"/>
        <w:rPr>
          <w:szCs w:val="24"/>
        </w:rPr>
      </w:pPr>
      <w:r w:rsidRPr="006467C5">
        <w:rPr>
          <w:szCs w:val="24"/>
        </w:rPr>
        <w:t>Este artigo teve como principal objetivo analisar o impacto da substituição tributária de ICMS para as empresas optantes pelo Simples Nacional, no estado de Santa Catarina, através da comercialização do produto perfume e comparar com o ICMS devido numa operação, em que, a apuração do imposto é pelo regime simplificado.</w:t>
      </w:r>
    </w:p>
    <w:p w:rsidR="00854EA6" w:rsidRPr="006467C5" w:rsidRDefault="00854EA6" w:rsidP="006467C5">
      <w:pPr>
        <w:pStyle w:val="SemEspaamento"/>
        <w:ind w:firstLine="708"/>
        <w:rPr>
          <w:szCs w:val="24"/>
        </w:rPr>
      </w:pPr>
      <w:r w:rsidRPr="006467C5">
        <w:rPr>
          <w:szCs w:val="24"/>
        </w:rPr>
        <w:t>Para buscar a resposta do objetivo da pesquisa, foi preciso atingir dois objetivos específicos: (i) Simular e comparar três operações de venda interna e interestadual do produto perfume para uma empresa optante pelo simples nacional, sediada no estado de Santa Catarina e (</w:t>
      </w:r>
      <w:proofErr w:type="gramStart"/>
      <w:r w:rsidRPr="006467C5">
        <w:rPr>
          <w:szCs w:val="24"/>
        </w:rPr>
        <w:t>ii</w:t>
      </w:r>
      <w:proofErr w:type="gramEnd"/>
      <w:r w:rsidRPr="006467C5">
        <w:rPr>
          <w:szCs w:val="24"/>
        </w:rPr>
        <w:t>) Simular em um único quadro, o valor de ICMS pelo regime simplificado em todas as faixas de faturamento regulamentados pelo Simples Nacional e comparar com o valor devido ao fisco na substituição tributária nas operações interestaduais e internas em Santa Catarina.</w:t>
      </w:r>
    </w:p>
    <w:p w:rsidR="00854EA6" w:rsidRPr="006467C5" w:rsidRDefault="00854EA6" w:rsidP="006467C5">
      <w:pPr>
        <w:pStyle w:val="SemEspaamento"/>
        <w:ind w:firstLine="708"/>
        <w:rPr>
          <w:szCs w:val="24"/>
        </w:rPr>
      </w:pPr>
      <w:r w:rsidRPr="006467C5">
        <w:rPr>
          <w:szCs w:val="24"/>
        </w:rPr>
        <w:t xml:space="preserve">Em resposta ao primeiro objetivo especifico, verificou-se nas seções 4.1 e 4.2 que nas operações com ICMS/ST, o valor pago no produto estudado é maior nas operações tanto internas, quanto interestaduais, quando a MVA é integral. Destaca-se o valor aumentado em 461,28% na operação interestadual, já na operação interna, em 113,93%. Nas operações com o beneficio fiscal concedido pelo governo estadual (Decreto estadual nº 3.467/2010), houve uma redução no imposto na comercialização interna, em até 35,74%, porém na operação interestadual há um aumento em 311,71%, o que demonstra ineficaz o </w:t>
      </w:r>
      <w:proofErr w:type="gramStart"/>
      <w:r w:rsidRPr="006467C5">
        <w:rPr>
          <w:szCs w:val="24"/>
        </w:rPr>
        <w:t>beneficio</w:t>
      </w:r>
      <w:proofErr w:type="gramEnd"/>
      <w:r w:rsidRPr="006467C5">
        <w:rPr>
          <w:szCs w:val="24"/>
        </w:rPr>
        <w:t xml:space="preserve"> nesse caso.</w:t>
      </w:r>
    </w:p>
    <w:p w:rsidR="00854EA6" w:rsidRPr="006467C5" w:rsidRDefault="00854EA6" w:rsidP="006467C5">
      <w:pPr>
        <w:pStyle w:val="SemEspaamento"/>
        <w:ind w:firstLine="708"/>
        <w:rPr>
          <w:szCs w:val="24"/>
        </w:rPr>
      </w:pPr>
      <w:r w:rsidRPr="006467C5">
        <w:rPr>
          <w:szCs w:val="24"/>
        </w:rPr>
        <w:t xml:space="preserve">Em relação ao segundo objetivo especifico, foi verificado da seção 4.3, que nas operações internas o beneficio fiscal concedido pelo governo de Santa Catarina atinge sua proposta, vale ressaltar que nas primeiras três faixas o imposto ainda é maior que pelo regime simplificado, mas a partir da quarta faixa a redução do ICMS/ST vai subindo gradativamente conforme maior o faturamento da empresa nos últimos doze meses, até chegar numa redução de 35,74% na última faixa. Nota-se que o beneficio estadual não influencia numa redução significativa do imposto nas </w:t>
      </w:r>
      <w:r w:rsidRPr="006467C5">
        <w:rPr>
          <w:szCs w:val="24"/>
        </w:rPr>
        <w:lastRenderedPageBreak/>
        <w:t>operações interestaduais, principalmente nas primeiras faixas, como por exemplo, na primeira faixa, no qual a alíquota correspondente é 887,33% maior que o regime simplificado.</w:t>
      </w:r>
    </w:p>
    <w:p w:rsidR="00854EA6" w:rsidRPr="006467C5" w:rsidRDefault="00854EA6" w:rsidP="007D1361">
      <w:pPr>
        <w:pStyle w:val="SemEspaamento"/>
        <w:ind w:firstLine="708"/>
        <w:rPr>
          <w:szCs w:val="24"/>
        </w:rPr>
      </w:pPr>
      <w:r w:rsidRPr="006467C5">
        <w:rPr>
          <w:szCs w:val="24"/>
        </w:rPr>
        <w:t>Analisando o Quadro 13 da seção 4.3, constata-se que o beneficio fiscal concedido pelo estado catarinense às empresas do Simples Nacional, atinge seu propósito nas operações internas a partir da 4º faixa. Já nas operações entre os estados da Federação houve uma redução do ICMS/ST se comparado ao ICMS/ST sem o beneficio. Porém, ao comparar o imposto pelo regime simplificado, o beneficio fiscal é inexpressivo. Ressalta-se que o valor do ICMS/ST será maior nas operações entre estados pelo ajuste na MVA. A MVA ajustada foi criada no intuito de eliminar a vantagem do preço de partida do produto, assim tornando o preço dos produtos “dentro” do estado mais competitivo.</w:t>
      </w:r>
    </w:p>
    <w:p w:rsidR="00854EA6" w:rsidRPr="006467C5" w:rsidRDefault="00854EA6" w:rsidP="007D1361">
      <w:pPr>
        <w:pStyle w:val="SemEspaamento"/>
        <w:ind w:firstLine="708"/>
        <w:rPr>
          <w:szCs w:val="24"/>
        </w:rPr>
      </w:pPr>
      <w:r w:rsidRPr="006467C5">
        <w:rPr>
          <w:szCs w:val="24"/>
        </w:rPr>
        <w:t xml:space="preserve">Das dificuldades deste estudo, poder ser citado </w:t>
      </w:r>
      <w:proofErr w:type="gramStart"/>
      <w:r w:rsidRPr="006467C5">
        <w:rPr>
          <w:szCs w:val="24"/>
        </w:rPr>
        <w:t>a</w:t>
      </w:r>
      <w:proofErr w:type="gramEnd"/>
      <w:r w:rsidRPr="006467C5">
        <w:rPr>
          <w:szCs w:val="24"/>
        </w:rPr>
        <w:t xml:space="preserve"> complexidade no entendimento e na busca para as informações na legislação estadual sobre a substituição tributária de ICMS. A MVA de determinado produto pode variar dependendo de cada operação. Limita-se a pesquisa em apenas um produto, pela extensão de sua análise.</w:t>
      </w:r>
    </w:p>
    <w:p w:rsidR="00854EA6" w:rsidRPr="006467C5" w:rsidRDefault="00854EA6" w:rsidP="007D1361">
      <w:pPr>
        <w:pStyle w:val="SemEspaamento"/>
        <w:ind w:firstLine="708"/>
        <w:rPr>
          <w:szCs w:val="24"/>
        </w:rPr>
      </w:pPr>
      <w:r w:rsidRPr="006467C5">
        <w:rPr>
          <w:szCs w:val="24"/>
        </w:rPr>
        <w:t xml:space="preserve">Com o que foi analisado nessa pesquisa, sugere-se para trabalhos futuros o estudo de outro produto de uso comum pelos brasileiros, para empresas optantes pelo Simples Nacional, pois essas empresas são </w:t>
      </w:r>
      <w:proofErr w:type="gramStart"/>
      <w:r w:rsidRPr="006467C5">
        <w:rPr>
          <w:szCs w:val="24"/>
        </w:rPr>
        <w:t>de maior</w:t>
      </w:r>
      <w:proofErr w:type="gramEnd"/>
      <w:r w:rsidRPr="006467C5">
        <w:rPr>
          <w:szCs w:val="24"/>
        </w:rPr>
        <w:t xml:space="preserve"> número no Brasil, muitas vezes “familiares”. Além disso, sugere-se uma análise de operações entre estados, em que, tanto o fornecedor quanto o cliente sejam optantes pelo regime simplificado. Pois, neste estudo foram analisados apenas fornecedores do regime tributário normal.</w:t>
      </w:r>
    </w:p>
    <w:p w:rsidR="00854EA6" w:rsidRPr="007D1361" w:rsidRDefault="00854EA6" w:rsidP="006467C5">
      <w:pPr>
        <w:pStyle w:val="SemEspaamento"/>
        <w:rPr>
          <w:szCs w:val="24"/>
        </w:rPr>
      </w:pPr>
    </w:p>
    <w:p w:rsidR="00854EA6" w:rsidRPr="007D1361" w:rsidRDefault="00854EA6" w:rsidP="001838F0">
      <w:pPr>
        <w:spacing w:after="160" w:line="259" w:lineRule="auto"/>
        <w:ind w:firstLine="0"/>
        <w:jc w:val="left"/>
        <w:rPr>
          <w:b/>
          <w:szCs w:val="24"/>
        </w:rPr>
      </w:pPr>
      <w:r w:rsidRPr="007D1361">
        <w:rPr>
          <w:b/>
          <w:szCs w:val="24"/>
        </w:rPr>
        <w:t>Referências</w:t>
      </w:r>
    </w:p>
    <w:p w:rsidR="00854EA6" w:rsidRPr="007D1361" w:rsidRDefault="00854EA6" w:rsidP="001838F0">
      <w:pPr>
        <w:pStyle w:val="SemEspaamento"/>
        <w:jc w:val="left"/>
        <w:rPr>
          <w:szCs w:val="24"/>
        </w:rPr>
      </w:pPr>
      <w:r w:rsidRPr="007D1361">
        <w:rPr>
          <w:szCs w:val="24"/>
        </w:rPr>
        <w:t xml:space="preserve">AMARAL, Gilberto Luiz do. </w:t>
      </w:r>
      <w:r w:rsidRPr="007D1361">
        <w:rPr>
          <w:b/>
          <w:szCs w:val="24"/>
        </w:rPr>
        <w:t xml:space="preserve">O Peso da Caneta. </w:t>
      </w:r>
      <w:r w:rsidRPr="007D1361">
        <w:rPr>
          <w:szCs w:val="24"/>
        </w:rPr>
        <w:t xml:space="preserve">Revista do </w:t>
      </w:r>
      <w:proofErr w:type="gramStart"/>
      <w:r w:rsidRPr="007D1361">
        <w:rPr>
          <w:szCs w:val="24"/>
        </w:rPr>
        <w:t>Sescon-SP</w:t>
      </w:r>
      <w:proofErr w:type="gramEnd"/>
      <w:r w:rsidRPr="007D1361">
        <w:rPr>
          <w:szCs w:val="24"/>
        </w:rPr>
        <w:t>, São Paulo, a.26, p.20-21, Nov.2014.</w:t>
      </w:r>
    </w:p>
    <w:p w:rsidR="001838F0" w:rsidRPr="007D1361" w:rsidRDefault="001838F0"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 xml:space="preserve">AMORIM, João Luiz. </w:t>
      </w:r>
      <w:r w:rsidRPr="007D1361">
        <w:rPr>
          <w:b/>
          <w:szCs w:val="24"/>
        </w:rPr>
        <w:t>ICMS: questões controvertidas (doutrina e jurisprudência).</w:t>
      </w:r>
      <w:r w:rsidRPr="007D1361">
        <w:rPr>
          <w:szCs w:val="24"/>
        </w:rPr>
        <w:t xml:space="preserve"> Niterói, RJ: Impetus, 2007. 177 p. </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 xml:space="preserve">ANDRADE, Hugo de Castro e; NEVES, Mateus de Carvalho Reis. </w:t>
      </w:r>
      <w:r w:rsidRPr="007D1361">
        <w:rPr>
          <w:b/>
          <w:szCs w:val="24"/>
        </w:rPr>
        <w:t xml:space="preserve">Cooperativismo e Tributação: Um Estudo do Ramo Agropecuário Brasileiro. </w:t>
      </w:r>
      <w:r w:rsidRPr="007D1361">
        <w:rPr>
          <w:szCs w:val="24"/>
        </w:rPr>
        <w:t xml:space="preserve">Revista Contabilidade e Organizações, São Paulo, v. 2, p. 90 – </w:t>
      </w:r>
      <w:proofErr w:type="gramStart"/>
      <w:r w:rsidRPr="007D1361">
        <w:rPr>
          <w:szCs w:val="24"/>
        </w:rPr>
        <w:t>106, out./nov.</w:t>
      </w:r>
      <w:proofErr w:type="gramEnd"/>
      <w:r w:rsidRPr="007D1361">
        <w:rPr>
          <w:szCs w:val="24"/>
        </w:rPr>
        <w:t xml:space="preserve"> 2008. Acesso em: 10 dez. 2015. </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 xml:space="preserve">ANDRADE, Juliana Santos; RAIMUNDINI, Simone Letícia; Silva, Maria de Lurdes. </w:t>
      </w:r>
      <w:r w:rsidRPr="007D1361">
        <w:rPr>
          <w:b/>
          <w:szCs w:val="24"/>
        </w:rPr>
        <w:t>Vantagens e Desvantagens do Simples Nacional.</w:t>
      </w:r>
      <w:r w:rsidRPr="007D1361">
        <w:rPr>
          <w:szCs w:val="24"/>
        </w:rPr>
        <w:t xml:space="preserve"> </w:t>
      </w:r>
      <w:proofErr w:type="gramStart"/>
      <w:r w:rsidRPr="007D1361">
        <w:rPr>
          <w:szCs w:val="24"/>
        </w:rPr>
        <w:t>2010, Rio</w:t>
      </w:r>
      <w:proofErr w:type="gramEnd"/>
      <w:r w:rsidRPr="007D1361">
        <w:rPr>
          <w:szCs w:val="24"/>
        </w:rPr>
        <w:t xml:space="preserve"> Grande do Sul. Anais Eletrônicos... Disponível em: &lt;</w:t>
      </w:r>
      <w:proofErr w:type="gramStart"/>
      <w:r w:rsidRPr="007D1361">
        <w:rPr>
          <w:szCs w:val="24"/>
        </w:rPr>
        <w:t>https</w:t>
      </w:r>
      <w:proofErr w:type="gramEnd"/>
      <w:r w:rsidRPr="007D1361">
        <w:rPr>
          <w:szCs w:val="24"/>
        </w:rPr>
        <w:t>://www.lume.ufrgs.br/bitstream/handle/10183/25729/000751600.pdf?</w:t>
      </w:r>
      <w:proofErr w:type="gramStart"/>
      <w:r w:rsidRPr="007D1361">
        <w:rPr>
          <w:szCs w:val="24"/>
        </w:rPr>
        <w:t>sequence</w:t>
      </w:r>
      <w:proofErr w:type="gramEnd"/>
      <w:r w:rsidRPr="007D1361">
        <w:rPr>
          <w:szCs w:val="24"/>
        </w:rPr>
        <w:t xml:space="preserve">=1&gt; Acesso em: 30 set. de 2015. </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lastRenderedPageBreak/>
        <w:t>ANDRADE, Maria Margarida de</w:t>
      </w:r>
      <w:r w:rsidRPr="007D1361">
        <w:rPr>
          <w:b/>
          <w:szCs w:val="24"/>
        </w:rPr>
        <w:t xml:space="preserve">. Introdução </w:t>
      </w:r>
      <w:proofErr w:type="gramStart"/>
      <w:r w:rsidRPr="007D1361">
        <w:rPr>
          <w:b/>
          <w:szCs w:val="24"/>
        </w:rPr>
        <w:t>a</w:t>
      </w:r>
      <w:proofErr w:type="gramEnd"/>
      <w:r w:rsidRPr="007D1361">
        <w:rPr>
          <w:b/>
          <w:szCs w:val="24"/>
        </w:rPr>
        <w:t xml:space="preserve"> metodologia do trabalho científico.</w:t>
      </w:r>
      <w:r w:rsidRPr="007D1361">
        <w:rPr>
          <w:szCs w:val="24"/>
        </w:rPr>
        <w:t xml:space="preserve"> 7. </w:t>
      </w:r>
      <w:proofErr w:type="gramStart"/>
      <w:r w:rsidRPr="007D1361">
        <w:rPr>
          <w:szCs w:val="24"/>
        </w:rPr>
        <w:t>ed.</w:t>
      </w:r>
      <w:proofErr w:type="gramEnd"/>
      <w:r w:rsidRPr="007D1361">
        <w:rPr>
          <w:szCs w:val="24"/>
        </w:rPr>
        <w:t xml:space="preserve"> São Paulo: Atlas, 2005. 174 p. </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 xml:space="preserve">ANGE, Ana Carolina; PETRI, Sérgio Murilo. </w:t>
      </w:r>
      <w:r w:rsidRPr="007D1361">
        <w:rPr>
          <w:b/>
          <w:szCs w:val="24"/>
        </w:rPr>
        <w:t xml:space="preserve">Substituição Tributária do ICMS em Santa Catarina: uma </w:t>
      </w:r>
      <w:proofErr w:type="gramStart"/>
      <w:r w:rsidRPr="007D1361">
        <w:rPr>
          <w:b/>
          <w:szCs w:val="24"/>
        </w:rPr>
        <w:t>ana</w:t>
      </w:r>
      <w:proofErr w:type="gramEnd"/>
      <w:r w:rsidRPr="007D1361">
        <w:rPr>
          <w:b/>
          <w:szCs w:val="24"/>
        </w:rPr>
        <w:t>́lise das mudanças que ocorreram com a ampliação da Substituição Tributária e seus impactos na arrecadação do Estado.</w:t>
      </w:r>
      <w:r w:rsidRPr="007D1361">
        <w:rPr>
          <w:szCs w:val="24"/>
        </w:rPr>
        <w:t xml:space="preserve"> In: 4º CONGRESSO UFSC DE INICIAÇÃO CIENTÍFICA EM CONTABILIDADE, 2011, Santa Catarina. Anais eletrônicos... Disponível em: &lt;http://dvl.ccn.ufsc.br/congresso/arquivos_artigos/artigos/784/20110112155330.pdf&gt;. Acesso em: 02 mai. 2016. </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 xml:space="preserve">BARRETO, Monica; STOCK, Tiago. </w:t>
      </w:r>
      <w:r w:rsidRPr="007D1361">
        <w:rPr>
          <w:b/>
          <w:szCs w:val="24"/>
        </w:rPr>
        <w:t>O impacto da substituição tributária progressiva do ICMS no preço de venda de produtos de informática do setor varejista no estado de Santa Catarina.</w:t>
      </w:r>
      <w:r w:rsidRPr="007D1361">
        <w:rPr>
          <w:szCs w:val="24"/>
        </w:rPr>
        <w:t xml:space="preserve"> Anais eletrônicos... Disponivel em: &lt; http://repositorio.unesc.net/bitstream/1/2156/1/Monica%</w:t>
      </w:r>
      <w:proofErr w:type="gramStart"/>
      <w:r w:rsidRPr="007D1361">
        <w:rPr>
          <w:szCs w:val="24"/>
        </w:rPr>
        <w:t>20Barreto</w:t>
      </w:r>
      <w:proofErr w:type="gramEnd"/>
      <w:r w:rsidRPr="007D1361">
        <w:rPr>
          <w:szCs w:val="24"/>
        </w:rPr>
        <w:t xml:space="preserve">.pdf&gt;. Acesso em: 10 mai. 2016. </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 xml:space="preserve">BIAVA JÚNIOR, Roberto; OYADOMARI, José Carlos Tiomatsu. </w:t>
      </w:r>
      <w:r w:rsidRPr="007D1361">
        <w:rPr>
          <w:b/>
          <w:szCs w:val="24"/>
        </w:rPr>
        <w:t>Impactos da Substituição Tributária do ICMS na Lucratividade e nos Custos Empresariais.</w:t>
      </w:r>
      <w:r w:rsidRPr="007D1361">
        <w:rPr>
          <w:szCs w:val="24"/>
        </w:rPr>
        <w:t xml:space="preserve"> Revista de Contabilidade da UFBA, Salvador, v. 4, p.71-91, mai/ago. 2010. Disponível em: &lt;</w:t>
      </w:r>
      <w:proofErr w:type="gramStart"/>
      <w:r w:rsidRPr="007D1361">
        <w:rPr>
          <w:szCs w:val="24"/>
        </w:rPr>
        <w:t>http://www.portalseer.ufba.br/index.</w:t>
      </w:r>
      <w:proofErr w:type="gramEnd"/>
      <w:r w:rsidRPr="007D1361">
        <w:rPr>
          <w:szCs w:val="24"/>
        </w:rPr>
        <w:t xml:space="preserve">php/rcontabilidade/article/view/4456/3368&gt; Acesso em: 02 jun. de 2016. </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 xml:space="preserve">BORTOLON, Bruna Raulino; CASAGRANDE, Maria Denize Henrique; MÜLLER, Neri. </w:t>
      </w:r>
      <w:r w:rsidRPr="007D1361">
        <w:rPr>
          <w:b/>
          <w:szCs w:val="24"/>
        </w:rPr>
        <w:t>Impactos da Substituição Tributária do ICMS sobre a carga tributária das empresas optantes pelo SIMPLES NACIONAL: um estudo multicasos em duas empresas de Santa Catarina.</w:t>
      </w:r>
      <w:r w:rsidRPr="007D1361">
        <w:rPr>
          <w:szCs w:val="24"/>
        </w:rPr>
        <w:t xml:space="preserve"> In: 4º Congresso UFSC de Controladoria e Finanças &amp; Iniciação Cientifica em Contabilidade, 2011, Santa Catarina. Anais eletrônicos... Disponível em: &lt; http://dvl.ccn.ufsc.br/congresso/anais/4CCF/20110114201609.pdf&gt;. Acesso em: 04 mar. 2016. </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 xml:space="preserve">BRASIL. </w:t>
      </w:r>
      <w:r w:rsidRPr="007D1361">
        <w:rPr>
          <w:b/>
          <w:szCs w:val="24"/>
        </w:rPr>
        <w:t>Constituição (1988).</w:t>
      </w:r>
      <w:r w:rsidRPr="007D1361">
        <w:rPr>
          <w:szCs w:val="24"/>
        </w:rPr>
        <w:t xml:space="preserve"> Constituição [da] Republica Federativa do Brasil. Brasília, DF: Senado Federal. </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 xml:space="preserve">BRASIL. </w:t>
      </w:r>
      <w:r w:rsidRPr="007D1361">
        <w:rPr>
          <w:b/>
          <w:szCs w:val="24"/>
        </w:rPr>
        <w:t>Lei n.º 123, de 14 de dezembro de 2006.</w:t>
      </w:r>
      <w:r w:rsidRPr="007D1361">
        <w:rPr>
          <w:szCs w:val="24"/>
        </w:rPr>
        <w:t xml:space="preserve"> Institui o Estatuto Nacional da Microempresa e da Empresa de Pequeno Porte; altera dispositivos das Leis n.ºs 8.212 e 8.213, ambas de 24 de julho de 1991, da Consolidação das Leis do Trabalho – CLT, aprovada pelo Decreto-Lei nº 5.452, de 1º de maio de 1943, da Lei nº 10.189, de 14 de fevereiro de 2001, da Lei Complementar nº 63, de 11 de janeiro de 1990; e </w:t>
      </w:r>
      <w:proofErr w:type="gramStart"/>
      <w:r w:rsidRPr="007D1361">
        <w:rPr>
          <w:szCs w:val="24"/>
        </w:rPr>
        <w:t>revoga</w:t>
      </w:r>
      <w:proofErr w:type="gramEnd"/>
      <w:r w:rsidRPr="007D1361">
        <w:rPr>
          <w:szCs w:val="24"/>
        </w:rPr>
        <w:t xml:space="preserve"> as 16 Leis n.ºs 9.317, de 5 de dezembro </w:t>
      </w:r>
      <w:r w:rsidRPr="007D1361">
        <w:rPr>
          <w:szCs w:val="24"/>
        </w:rPr>
        <w:lastRenderedPageBreak/>
        <w:t xml:space="preserve">de 1996, e 9.841, de 5 de outubro de 1999. Diário Oficial [da] República Federativa do Brasil, Brasília, DF, 2006. </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BRASIL.</w:t>
      </w:r>
      <w:r w:rsidRPr="007D1361">
        <w:rPr>
          <w:b/>
          <w:szCs w:val="24"/>
        </w:rPr>
        <w:t xml:space="preserve"> Lei n.° 87, de 13 de setembro de 1996.</w:t>
      </w:r>
      <w:r w:rsidRPr="007D1361">
        <w:rPr>
          <w:szCs w:val="24"/>
        </w:rPr>
        <w:t xml:space="preserve"> Dispõe sobre o imposto dos Estados e do Distrito Federal sobre operações relativas à circulação de mercadorias e sobre prestações de serviços de transporte interestadual e intermunicipal e de comunicação, e dá outras providências. (LEI KANDIR) Diário Oficial [da] Republica Federativa do Brasil, Brasília, DF, 1996. </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BRASIL,</w:t>
      </w:r>
      <w:r w:rsidRPr="007D1361">
        <w:rPr>
          <w:b/>
          <w:szCs w:val="24"/>
        </w:rPr>
        <w:t xml:space="preserve"> Lei Complementar nº101, de </w:t>
      </w:r>
      <w:proofErr w:type="gramStart"/>
      <w:r w:rsidRPr="007D1361">
        <w:rPr>
          <w:b/>
          <w:szCs w:val="24"/>
        </w:rPr>
        <w:t>4</w:t>
      </w:r>
      <w:proofErr w:type="gramEnd"/>
      <w:r w:rsidRPr="007D1361">
        <w:rPr>
          <w:b/>
          <w:szCs w:val="24"/>
        </w:rPr>
        <w:t xml:space="preserve"> de maio de 2000.</w:t>
      </w:r>
      <w:r w:rsidRPr="007D1361">
        <w:rPr>
          <w:szCs w:val="24"/>
        </w:rPr>
        <w:t xml:space="preserve"> Estabelece normas de finanças públicas voltadas para a responsabilidade na gestão fiscal e dá outras providências. Diário Oficial [da] Republica Federativa do Brasil, Brasília, DF, 2000. </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 xml:space="preserve">BRASIL, </w:t>
      </w:r>
      <w:r w:rsidRPr="007D1361">
        <w:rPr>
          <w:b/>
          <w:szCs w:val="24"/>
        </w:rPr>
        <w:t>Lei Complementar nº 63, de 11 de janeiro de 1990.</w:t>
      </w:r>
      <w:r w:rsidRPr="007D1361">
        <w:rPr>
          <w:szCs w:val="24"/>
        </w:rPr>
        <w:t xml:space="preserve"> Dispõe sobre critérios e prazos de crédito das parcelas do produto da arrecadação de impostos de competência dos Estados e de transferências por estes recebidos, pertencentes aos Municípios, e dá outras providências. Diário Oficial [da] Republica Federativa do Brasil, Brasília, DF, 1990. </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BRASIL</w:t>
      </w:r>
      <w:r w:rsidRPr="007D1361">
        <w:rPr>
          <w:b/>
          <w:szCs w:val="24"/>
        </w:rPr>
        <w:t>, LEI COMPLEMENTAR Nº 139, DE 10 DE NOVEMBRO DE 2011.</w:t>
      </w:r>
      <w:r w:rsidRPr="007D1361">
        <w:rPr>
          <w:szCs w:val="24"/>
        </w:rPr>
        <w:t xml:space="preserve"> Altera dispositivos da Lei Complementar </w:t>
      </w:r>
      <w:proofErr w:type="gramStart"/>
      <w:r w:rsidRPr="007D1361">
        <w:rPr>
          <w:szCs w:val="24"/>
        </w:rPr>
        <w:t>no 123</w:t>
      </w:r>
      <w:proofErr w:type="gramEnd"/>
      <w:r w:rsidRPr="007D1361">
        <w:rPr>
          <w:szCs w:val="24"/>
        </w:rPr>
        <w:t xml:space="preserve">, de 14 de dezembro de 2006, e dá outras providências. Diário Oficial [da] Republica Federativa do Brasil, Brasília, DF, 2011. </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 xml:space="preserve">CARRAZA, Roque Antonio. </w:t>
      </w:r>
      <w:r w:rsidRPr="007D1361">
        <w:rPr>
          <w:b/>
          <w:szCs w:val="24"/>
        </w:rPr>
        <w:t>ICMS.</w:t>
      </w:r>
      <w:r w:rsidRPr="007D1361">
        <w:rPr>
          <w:szCs w:val="24"/>
        </w:rPr>
        <w:t xml:space="preserve"> 10. Ed. São Paulo: Malheiros Editores, 2008. </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 xml:space="preserve">ESTADO DE SANTA CATARINA. </w:t>
      </w:r>
      <w:r w:rsidRPr="007D1361">
        <w:rPr>
          <w:b/>
          <w:bCs/>
          <w:szCs w:val="24"/>
        </w:rPr>
        <w:t>Decreto nº 3.467, de 19 de agosto de 2010</w:t>
      </w:r>
      <w:r w:rsidRPr="007D1361">
        <w:rPr>
          <w:szCs w:val="24"/>
        </w:rPr>
        <w:t>. Introduz as Alterações 2.420 a 2.434 no RICMS/SC</w:t>
      </w:r>
      <w:r w:rsidRPr="007D1361">
        <w:rPr>
          <w:b/>
          <w:bCs/>
          <w:szCs w:val="24"/>
        </w:rPr>
        <w:t>.</w:t>
      </w:r>
      <w:r w:rsidRPr="007D1361">
        <w:rPr>
          <w:szCs w:val="24"/>
        </w:rPr>
        <w:t xml:space="preserve"> Disponível em: &lt; http://legislacao.sef.sc.gov.br/html/decretos/2010/dec_10_3467.htm&gt;. Acesso em: 08 abr. 2016.</w:t>
      </w:r>
    </w:p>
    <w:p w:rsidR="00854EA6" w:rsidRPr="007D1361" w:rsidRDefault="00854EA6" w:rsidP="001838F0">
      <w:pPr>
        <w:pStyle w:val="SemEspaamento"/>
        <w:jc w:val="left"/>
        <w:rPr>
          <w:color w:val="000000"/>
          <w:szCs w:val="24"/>
        </w:rPr>
      </w:pPr>
    </w:p>
    <w:p w:rsidR="00854EA6" w:rsidRPr="007D1361" w:rsidRDefault="00854EA6" w:rsidP="001838F0">
      <w:pPr>
        <w:pStyle w:val="SemEspaamento"/>
        <w:jc w:val="left"/>
        <w:rPr>
          <w:color w:val="000000"/>
          <w:szCs w:val="24"/>
        </w:rPr>
      </w:pPr>
      <w:r w:rsidRPr="007D1361">
        <w:rPr>
          <w:color w:val="000000"/>
          <w:szCs w:val="24"/>
        </w:rPr>
        <w:t xml:space="preserve">ESTADO DE SANTA CATARINA. </w:t>
      </w:r>
      <w:r w:rsidRPr="007D1361">
        <w:rPr>
          <w:b/>
          <w:bCs/>
          <w:color w:val="000000"/>
          <w:szCs w:val="24"/>
        </w:rPr>
        <w:t>Protocolo ICMS nº 190, de 11 de dezembro de 2009</w:t>
      </w:r>
      <w:r w:rsidRPr="007D1361">
        <w:rPr>
          <w:color w:val="000000"/>
          <w:szCs w:val="24"/>
        </w:rPr>
        <w:t xml:space="preserve">. Dispõe sobre a substituição tributária nas operações com colchoaria. Disponível em: </w:t>
      </w:r>
      <w:proofErr w:type="gramStart"/>
      <w:r w:rsidRPr="007D1361">
        <w:rPr>
          <w:color w:val="000000"/>
          <w:szCs w:val="24"/>
        </w:rPr>
        <w:t>https</w:t>
      </w:r>
      <w:proofErr w:type="gramEnd"/>
      <w:r w:rsidRPr="007D1361">
        <w:rPr>
          <w:color w:val="000000"/>
          <w:szCs w:val="24"/>
        </w:rPr>
        <w:t>://www.confaz.fazenda.gov.br/legislacao/protocolos/2009/pt190_09&gt;. Acesso em: 08 mai. 2016.</w:t>
      </w:r>
    </w:p>
    <w:p w:rsidR="00854EA6" w:rsidRPr="007D1361" w:rsidRDefault="00854EA6" w:rsidP="001838F0">
      <w:pPr>
        <w:pStyle w:val="SemEspaamento"/>
        <w:jc w:val="left"/>
        <w:rPr>
          <w:color w:val="000000"/>
          <w:szCs w:val="24"/>
        </w:rPr>
      </w:pPr>
    </w:p>
    <w:p w:rsidR="00854EA6" w:rsidRPr="007D1361" w:rsidRDefault="00854EA6" w:rsidP="001838F0">
      <w:pPr>
        <w:pStyle w:val="SemEspaamento"/>
        <w:jc w:val="left"/>
        <w:rPr>
          <w:szCs w:val="24"/>
        </w:rPr>
      </w:pPr>
      <w:r w:rsidRPr="007D1361">
        <w:rPr>
          <w:color w:val="000000"/>
          <w:szCs w:val="24"/>
        </w:rPr>
        <w:t xml:space="preserve">ESTADO DE SANTA CATARINA. </w:t>
      </w:r>
      <w:r w:rsidRPr="007D1361">
        <w:rPr>
          <w:b/>
          <w:bCs/>
          <w:color w:val="000000"/>
          <w:szCs w:val="24"/>
        </w:rPr>
        <w:t>Decreto nº 2.870, de 27 de agosto de 2001</w:t>
      </w:r>
      <w:r w:rsidRPr="007D1361">
        <w:rPr>
          <w:color w:val="000000"/>
          <w:szCs w:val="24"/>
        </w:rPr>
        <w:t>. Aprova o regulamento do Imposto sobre Operações Relativas à Circulação de Mercadorias e sobre Prestações de Serviços de Transportes Interestadual e Intermunicipal e de Comunicação do Estado de Santa Catarina. Disponível em: &lt;</w:t>
      </w:r>
      <w:r w:rsidRPr="007D1361">
        <w:rPr>
          <w:szCs w:val="24"/>
        </w:rPr>
        <w:t xml:space="preserve"> </w:t>
      </w:r>
      <w:r w:rsidRPr="007D1361">
        <w:rPr>
          <w:color w:val="000000"/>
          <w:szCs w:val="24"/>
        </w:rPr>
        <w:t>http://legislacao.sef.sc.gov.br/html/decretos/2001/dec_01_2870.htm&gt;. Acesso em: 04 mai. 2016.</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 xml:space="preserve">GIL, Antonio Carlos. </w:t>
      </w:r>
      <w:r w:rsidRPr="007D1361">
        <w:rPr>
          <w:b/>
          <w:szCs w:val="24"/>
        </w:rPr>
        <w:t>Como elaborar projetos de pesquisa.</w:t>
      </w:r>
      <w:r w:rsidRPr="007D1361">
        <w:rPr>
          <w:szCs w:val="24"/>
        </w:rPr>
        <w:t xml:space="preserve"> 4. </w:t>
      </w:r>
      <w:proofErr w:type="gramStart"/>
      <w:r w:rsidRPr="007D1361">
        <w:rPr>
          <w:szCs w:val="24"/>
        </w:rPr>
        <w:t>ed.</w:t>
      </w:r>
      <w:proofErr w:type="gramEnd"/>
      <w:r w:rsidRPr="007D1361">
        <w:rPr>
          <w:szCs w:val="24"/>
        </w:rPr>
        <w:t xml:space="preserve"> São Paulo: Atlas, 2008. </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MARTINS FILHO, Luiz Nestor; SANTOS, Reginaldo Souza</w:t>
      </w:r>
      <w:r w:rsidRPr="007D1361">
        <w:rPr>
          <w:b/>
          <w:szCs w:val="24"/>
        </w:rPr>
        <w:t>. A Politica Fiscal para Micro e Pequenos Empreendimentos e o Imposto sobre a Circulação de Mercadorias e Serviços: Aspectos Dicotômicos entre o Discurso e a Prática em um Estudo de Caso sobre o Simples Nacional.</w:t>
      </w:r>
      <w:r w:rsidRPr="007D1361">
        <w:rPr>
          <w:szCs w:val="24"/>
        </w:rPr>
        <w:t xml:space="preserve"> 2012, Bahia. Anais Eletrônicos... Disponível em: &lt;http://www.adm.ufba.br/sites/default/files/publicacao/arquivo/tese_luiz_nestor_martins_filho_-_versao_final.pdf&gt;. Acesso em: 01 out. 2015. </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 xml:space="preserve">NADIR, Marco Aurélio Moisés; PETRI, Sérgio Murilo. </w:t>
      </w:r>
      <w:r w:rsidRPr="007D1361">
        <w:rPr>
          <w:b/>
          <w:szCs w:val="24"/>
        </w:rPr>
        <w:t>Substituição tributária progressiva no ICMS em Santa Catarina: análise do benefício fiscal de redução da margem de valor agregado e seus impactos na carga tributária das empresas optantes do simples nacional.</w:t>
      </w:r>
      <w:r w:rsidRPr="007D1361">
        <w:rPr>
          <w:szCs w:val="24"/>
        </w:rPr>
        <w:t xml:space="preserve"> In: XIX Congresso Brasileiro de Custos, 2012, Rio Grande do Sul. Anais eletrônicos... Disponível em: &lt;http://www.abcustos.org.br/texto/viewpublic?ID_TEXTO=3792&gt;. Acesso em: 11 dez. 2015. </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 xml:space="preserve">REZENDE, Amaury José; PEREIRA, Carlos Alberto; ALENCAR, Roberta Carvalho de. </w:t>
      </w:r>
      <w:r w:rsidRPr="007D1361">
        <w:rPr>
          <w:b/>
          <w:szCs w:val="24"/>
        </w:rPr>
        <w:t xml:space="preserve">Contabilidade Tributária: Entendendo a lógica dos tributos e seus reflexos sobre os resultados das empresas. </w:t>
      </w:r>
      <w:r w:rsidRPr="007D1361">
        <w:rPr>
          <w:szCs w:val="24"/>
        </w:rPr>
        <w:t xml:space="preserve">São Paulo: Atlas, 2010. </w:t>
      </w:r>
    </w:p>
    <w:p w:rsidR="00854EA6" w:rsidRPr="007D1361" w:rsidRDefault="00854EA6" w:rsidP="001838F0">
      <w:pPr>
        <w:pStyle w:val="SemEspaamento"/>
        <w:jc w:val="left"/>
        <w:rPr>
          <w:szCs w:val="24"/>
        </w:rPr>
      </w:pPr>
      <w:r w:rsidRPr="007D1361">
        <w:rPr>
          <w:szCs w:val="24"/>
        </w:rPr>
        <w:t xml:space="preserve">RICHARDSON, Roberto Jarry. </w:t>
      </w:r>
      <w:r w:rsidRPr="007D1361">
        <w:rPr>
          <w:b/>
          <w:szCs w:val="24"/>
        </w:rPr>
        <w:t>Pesquisa social: métodos e técnicas.</w:t>
      </w:r>
      <w:r w:rsidRPr="007D1361">
        <w:rPr>
          <w:szCs w:val="24"/>
        </w:rPr>
        <w:t xml:space="preserve"> 3. </w:t>
      </w:r>
      <w:proofErr w:type="gramStart"/>
      <w:r w:rsidRPr="007D1361">
        <w:rPr>
          <w:szCs w:val="24"/>
        </w:rPr>
        <w:t>ed.</w:t>
      </w:r>
      <w:proofErr w:type="gramEnd"/>
      <w:r w:rsidRPr="007D1361">
        <w:rPr>
          <w:szCs w:val="24"/>
        </w:rPr>
        <w:t xml:space="preserve"> rev. E ampl São Paulo: Atlas, 1999. 334p. </w:t>
      </w:r>
    </w:p>
    <w:p w:rsidR="00854EA6" w:rsidRPr="007D1361" w:rsidRDefault="00854EA6" w:rsidP="001838F0">
      <w:pPr>
        <w:pStyle w:val="SemEspaamento"/>
        <w:jc w:val="left"/>
        <w:rPr>
          <w:szCs w:val="24"/>
        </w:rPr>
      </w:pPr>
    </w:p>
    <w:p w:rsidR="00854EA6" w:rsidRPr="007D1361" w:rsidRDefault="00854EA6" w:rsidP="001838F0">
      <w:pPr>
        <w:pStyle w:val="SemEspaamento"/>
        <w:jc w:val="left"/>
        <w:rPr>
          <w:szCs w:val="24"/>
        </w:rPr>
      </w:pPr>
      <w:r w:rsidRPr="007D1361">
        <w:rPr>
          <w:szCs w:val="24"/>
        </w:rPr>
        <w:t xml:space="preserve">SECRETARIA DO ESTADO DE SANTA CATARINA. </w:t>
      </w:r>
      <w:r w:rsidRPr="007D1361">
        <w:rPr>
          <w:b/>
          <w:bCs/>
          <w:szCs w:val="24"/>
        </w:rPr>
        <w:t xml:space="preserve">Substituição Tributária: Cartilha </w:t>
      </w:r>
    </w:p>
    <w:p w:rsidR="00AB302E" w:rsidRPr="007D1361" w:rsidRDefault="00854EA6" w:rsidP="001838F0">
      <w:pPr>
        <w:pStyle w:val="SemEspaamento"/>
        <w:jc w:val="left"/>
        <w:rPr>
          <w:szCs w:val="24"/>
        </w:rPr>
      </w:pPr>
      <w:proofErr w:type="gramStart"/>
      <w:r w:rsidRPr="007D1361">
        <w:rPr>
          <w:b/>
          <w:bCs/>
          <w:szCs w:val="24"/>
        </w:rPr>
        <w:t>e</w:t>
      </w:r>
      <w:proofErr w:type="gramEnd"/>
      <w:r w:rsidRPr="007D1361">
        <w:rPr>
          <w:b/>
          <w:bCs/>
          <w:szCs w:val="24"/>
        </w:rPr>
        <w:t xml:space="preserve"> cálculo de ICMS Devido. </w:t>
      </w:r>
      <w:r w:rsidRPr="007D1361">
        <w:rPr>
          <w:szCs w:val="24"/>
        </w:rPr>
        <w:t xml:space="preserve">Disponível em: &lt; </w:t>
      </w:r>
      <w:r w:rsidRPr="007D1361">
        <w:rPr>
          <w:szCs w:val="24"/>
          <w:shd w:val="clear" w:color="auto" w:fill="FFFFFF"/>
        </w:rPr>
        <w:t xml:space="preserve">http://www.sef.sc.gov.br/servicos-orientacoes/diat/substitui%C3%A7%C3%A3o-tribut%C3%A1ria-aplicativo-de-c%C3%A1lculo-e-orienta%C3%A7%C3%B5es </w:t>
      </w:r>
      <w:r w:rsidRPr="007D1361">
        <w:rPr>
          <w:szCs w:val="24"/>
        </w:rPr>
        <w:t>&gt;. Acesso em: 08 abr. 2016.</w:t>
      </w:r>
    </w:p>
    <w:p w:rsidR="00EC6EDB" w:rsidRPr="00EC6EDB" w:rsidRDefault="00EC6EDB" w:rsidP="001838F0">
      <w:pPr>
        <w:ind w:firstLine="0"/>
        <w:jc w:val="left"/>
      </w:pPr>
    </w:p>
    <w:sectPr w:rsidR="00EC6EDB" w:rsidRPr="00EC6EDB" w:rsidSect="004251EF">
      <w:pgSz w:w="12240" w:h="15840" w:code="119"/>
      <w:pgMar w:top="1701" w:right="1134" w:bottom="1134" w:left="1701" w:header="142" w:footer="11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91A" w:rsidRDefault="00B1391A" w:rsidP="005840EF">
      <w:r>
        <w:separator/>
      </w:r>
    </w:p>
  </w:endnote>
  <w:endnote w:type="continuationSeparator" w:id="0">
    <w:p w:rsidR="00B1391A" w:rsidRDefault="00B1391A" w:rsidP="005840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02E" w:rsidRPr="00F05FBB" w:rsidRDefault="00AB302E"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167CFC">
      <w:rPr>
        <w:noProof/>
        <w:sz w:val="20"/>
      </w:rPr>
      <w:t>1</w:t>
    </w:r>
    <w:r w:rsidRPr="00F05FBB">
      <w:rPr>
        <w:sz w:val="20"/>
      </w:rPr>
      <w:fldChar w:fldCharType="end"/>
    </w:r>
  </w:p>
  <w:p w:rsidR="00AB302E" w:rsidRPr="00862FD2" w:rsidRDefault="00AB302E" w:rsidP="00A80641">
    <w:pPr>
      <w:pStyle w:val="Rodap"/>
      <w:ind w:firstLine="0"/>
    </w:pPr>
    <w:r w:rsidRPr="000406C1">
      <w:rPr>
        <w:sz w:val="20"/>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8" type="#_x0000_t75" style="width:442.5pt;height:97.5pt;visibility:visible">
          <v:imagedata r:id="rId1" o:title="Agende-se" cropbottom="6372f"/>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91A" w:rsidRDefault="00B1391A" w:rsidP="005840EF">
      <w:r>
        <w:separator/>
      </w:r>
    </w:p>
  </w:footnote>
  <w:footnote w:type="continuationSeparator" w:id="0">
    <w:p w:rsidR="00B1391A" w:rsidRDefault="00B1391A" w:rsidP="005840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02E" w:rsidRPr="004251EF" w:rsidRDefault="00AB302E" w:rsidP="00A80641">
    <w:pPr>
      <w:pStyle w:val="Cabealho"/>
      <w:ind w:firstLine="0"/>
    </w:pPr>
    <w:r>
      <w:rPr>
        <w:noProof/>
      </w:rPr>
      <w:pict>
        <v:shapetype id="_x0000_t32" coordsize="21600,21600" o:spt="32" o:oned="t" path="m,l21600,21600e" filled="f">
          <v:path arrowok="t" fillok="f" o:connecttype="none"/>
          <o:lock v:ext="edit" shapetype="t"/>
        </v:shapetype>
        <v:shape id="_x0000_s2050" type="#_x0000_t32" style="position:absolute;left:0;text-align:left;margin-left:-15.3pt;margin-top:126.4pt;width:508.5pt;height:0;z-index:1" o:connectortype="straight">
          <v:shadow type="perspective" color="#7f7f7f" opacity=".5" offset="1pt" offset2="-1pt"/>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9.5pt;height:126.75pt">
          <v:imagedata r:id="rId1" o:title="capa facebook"/>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72917D1D"/>
    <w:multiLevelType w:val="hybridMultilevel"/>
    <w:tmpl w:val="F0EC33BA"/>
    <w:lvl w:ilvl="0">
      <w:start w:val="1"/>
      <w:numFmt w:val="lowerLetter"/>
      <w:lvlText w:val="%1)"/>
      <w:lvlJc w:val="left"/>
      <w:pPr>
        <w:tabs>
          <w:tab w:val="num" w:pos="360"/>
        </w:tabs>
        <w:ind w:left="360" w:hanging="360"/>
      </w:pPr>
      <w:rPr>
        <w:rFonts w:hint="default"/>
        <w:b/>
        <w:i w:val="0"/>
        <w:color w:val="000000"/>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0"/>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fill="f" fillcolor="white" stroke="f">
      <v:fill color="white" on="f"/>
      <v:stroke on="f"/>
    </o:shapedefaults>
    <o:shapelayout v:ext="edit">
      <o:idmap v:ext="edit" data="2"/>
      <o:rules v:ext="edit">
        <o:r id="V:Rule1" type="connector" idref="#_x0000_s2050"/>
      </o:rules>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340F"/>
    <w:rsid w:val="000011A2"/>
    <w:rsid w:val="00021054"/>
    <w:rsid w:val="0006261D"/>
    <w:rsid w:val="000720BF"/>
    <w:rsid w:val="000F0530"/>
    <w:rsid w:val="001457BE"/>
    <w:rsid w:val="00167CFC"/>
    <w:rsid w:val="001838F0"/>
    <w:rsid w:val="0020354A"/>
    <w:rsid w:val="002056D7"/>
    <w:rsid w:val="00236A64"/>
    <w:rsid w:val="00244401"/>
    <w:rsid w:val="00244C0A"/>
    <w:rsid w:val="00263CEF"/>
    <w:rsid w:val="002826C0"/>
    <w:rsid w:val="002B78FC"/>
    <w:rsid w:val="002C7235"/>
    <w:rsid w:val="00303C6F"/>
    <w:rsid w:val="00342DC6"/>
    <w:rsid w:val="00371DFF"/>
    <w:rsid w:val="00376757"/>
    <w:rsid w:val="003923C3"/>
    <w:rsid w:val="00395244"/>
    <w:rsid w:val="003A3639"/>
    <w:rsid w:val="00406C08"/>
    <w:rsid w:val="00423365"/>
    <w:rsid w:val="004251EF"/>
    <w:rsid w:val="00472EE1"/>
    <w:rsid w:val="0048579A"/>
    <w:rsid w:val="0049262F"/>
    <w:rsid w:val="004D6E8B"/>
    <w:rsid w:val="00512B12"/>
    <w:rsid w:val="00523BAB"/>
    <w:rsid w:val="00531A76"/>
    <w:rsid w:val="0055088A"/>
    <w:rsid w:val="00550BF4"/>
    <w:rsid w:val="005840EF"/>
    <w:rsid w:val="005D0785"/>
    <w:rsid w:val="005D711E"/>
    <w:rsid w:val="00606F36"/>
    <w:rsid w:val="006467C5"/>
    <w:rsid w:val="006750E6"/>
    <w:rsid w:val="00676672"/>
    <w:rsid w:val="00683BE5"/>
    <w:rsid w:val="00694312"/>
    <w:rsid w:val="006C284A"/>
    <w:rsid w:val="006D02CA"/>
    <w:rsid w:val="006D340F"/>
    <w:rsid w:val="00710D8D"/>
    <w:rsid w:val="00714245"/>
    <w:rsid w:val="007700CA"/>
    <w:rsid w:val="007C0C2C"/>
    <w:rsid w:val="007D1361"/>
    <w:rsid w:val="007F1447"/>
    <w:rsid w:val="00854EA6"/>
    <w:rsid w:val="00862FD2"/>
    <w:rsid w:val="00865A23"/>
    <w:rsid w:val="00866591"/>
    <w:rsid w:val="008902BE"/>
    <w:rsid w:val="008B21BE"/>
    <w:rsid w:val="008F0FC5"/>
    <w:rsid w:val="008F1B7C"/>
    <w:rsid w:val="008F67F7"/>
    <w:rsid w:val="0092413C"/>
    <w:rsid w:val="00943459"/>
    <w:rsid w:val="00952306"/>
    <w:rsid w:val="009724D8"/>
    <w:rsid w:val="009976D2"/>
    <w:rsid w:val="009B11E7"/>
    <w:rsid w:val="009B3488"/>
    <w:rsid w:val="009C7DFA"/>
    <w:rsid w:val="009D68AF"/>
    <w:rsid w:val="00A01395"/>
    <w:rsid w:val="00A16D53"/>
    <w:rsid w:val="00A80641"/>
    <w:rsid w:val="00AB302E"/>
    <w:rsid w:val="00AB5527"/>
    <w:rsid w:val="00AC7E25"/>
    <w:rsid w:val="00B12485"/>
    <w:rsid w:val="00B1391A"/>
    <w:rsid w:val="00B169EE"/>
    <w:rsid w:val="00B25FFE"/>
    <w:rsid w:val="00B801AB"/>
    <w:rsid w:val="00BD63BB"/>
    <w:rsid w:val="00C01F1F"/>
    <w:rsid w:val="00C22A7A"/>
    <w:rsid w:val="00C671EC"/>
    <w:rsid w:val="00C84F71"/>
    <w:rsid w:val="00CD5E29"/>
    <w:rsid w:val="00CF0D35"/>
    <w:rsid w:val="00D2342D"/>
    <w:rsid w:val="00D86B5F"/>
    <w:rsid w:val="00D94E67"/>
    <w:rsid w:val="00DA5E5B"/>
    <w:rsid w:val="00DE1E14"/>
    <w:rsid w:val="00DE631D"/>
    <w:rsid w:val="00DE75F7"/>
    <w:rsid w:val="00E1786F"/>
    <w:rsid w:val="00E24E18"/>
    <w:rsid w:val="00E360BF"/>
    <w:rsid w:val="00E858DF"/>
    <w:rsid w:val="00E94A5E"/>
    <w:rsid w:val="00EC6EDB"/>
    <w:rsid w:val="00ED6578"/>
    <w:rsid w:val="00EF213A"/>
    <w:rsid w:val="00F05FBB"/>
    <w:rsid w:val="00F70D09"/>
    <w:rsid w:val="00FC1C75"/>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rPr>
  </w:style>
  <w:style w:type="paragraph" w:styleId="Ttulo2">
    <w:name w:val="heading 2"/>
    <w:basedOn w:val="Normal"/>
    <w:next w:val="Normal"/>
    <w:link w:val="Ttulo2Char"/>
    <w:uiPriority w:val="9"/>
    <w:qFormat/>
    <w:rsid w:val="002056D7"/>
    <w:pPr>
      <w:keepNext/>
      <w:numPr>
        <w:ilvl w:val="1"/>
        <w:numId w:val="8"/>
      </w:numPr>
      <w:outlineLvl w:val="1"/>
    </w:pPr>
    <w:rPr>
      <w:caps/>
      <w:lang/>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eastAsia="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customStyle="1" w:styleId="allowtextselection">
    <w:name w:val="allowtextselection"/>
    <w:basedOn w:val="Fontepargpadro"/>
    <w:rsid w:val="00342DC6"/>
  </w:style>
  <w:style w:type="character" w:customStyle="1" w:styleId="normaltextrun">
    <w:name w:val="normaltextrun"/>
    <w:basedOn w:val="Fontepargpadro"/>
    <w:rsid w:val="00AB302E"/>
  </w:style>
  <w:style w:type="character" w:customStyle="1" w:styleId="eop">
    <w:name w:val="eop"/>
    <w:basedOn w:val="Fontepargpadro"/>
    <w:rsid w:val="00AB302E"/>
  </w:style>
  <w:style w:type="paragraph" w:customStyle="1" w:styleId="paragraph">
    <w:name w:val="paragraph"/>
    <w:basedOn w:val="Normal"/>
    <w:rsid w:val="00AB302E"/>
    <w:pPr>
      <w:widowControl/>
      <w:suppressLineNumbers w:val="0"/>
      <w:suppressAutoHyphens w:val="0"/>
      <w:spacing w:before="100" w:beforeAutospacing="1" w:after="100" w:afterAutospacing="1"/>
      <w:ind w:firstLine="0"/>
      <w:jc w:val="left"/>
    </w:pPr>
    <w:rPr>
      <w:szCs w:val="24"/>
    </w:rPr>
  </w:style>
</w:styles>
</file>

<file path=word/webSettings.xml><?xml version="1.0" encoding="utf-8"?>
<w:webSettings xmlns:r="http://schemas.openxmlformats.org/officeDocument/2006/relationships" xmlns:w="http://schemas.openxmlformats.org/wordprocessingml/2006/main">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ormaslegais.com.br/legislacao/tributario/lc87.htm" TargetMode="External"/><Relationship Id="rId13" Type="http://schemas.openxmlformats.org/officeDocument/2006/relationships/hyperlink" Target="http://www.itcnet.com.br/anexos/protocolo_icms191_200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egislacao.planalto.gov.br/legisla/legislacao.nsf/Viw_Identificacao/lcp%20139-2011?OpenDocu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alto.gov.br/ccivil_03/leis/L8212con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CC8C3-5489-459E-A1A6-01E85DE3E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8027</Words>
  <Characters>43351</Characters>
  <Application>Microsoft Office Word</Application>
  <DocSecurity>0</DocSecurity>
  <Lines>361</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51276</CharactersWithSpaces>
  <SharedDoc>false</SharedDoc>
  <HLinks>
    <vt:vector size="24" baseType="variant">
      <vt:variant>
        <vt:i4>3211316</vt:i4>
      </vt:variant>
      <vt:variant>
        <vt:i4>9</vt:i4>
      </vt:variant>
      <vt:variant>
        <vt:i4>0</vt:i4>
      </vt:variant>
      <vt:variant>
        <vt:i4>5</vt:i4>
      </vt:variant>
      <vt:variant>
        <vt:lpwstr>http://www.itcnet.com.br/anexos/protocolo_icms191_2009.html</vt:lpwstr>
      </vt:variant>
      <vt:variant>
        <vt:lpwstr/>
      </vt:variant>
      <vt:variant>
        <vt:i4>4587566</vt:i4>
      </vt:variant>
      <vt:variant>
        <vt:i4>6</vt:i4>
      </vt:variant>
      <vt:variant>
        <vt:i4>0</vt:i4>
      </vt:variant>
      <vt:variant>
        <vt:i4>5</vt:i4>
      </vt:variant>
      <vt:variant>
        <vt:lpwstr>http://legislacao.planalto.gov.br/legisla/legislacao.nsf/Viw_Identificacao/lcp 139-2011?OpenDocument</vt:lpwstr>
      </vt:variant>
      <vt:variant>
        <vt:lpwstr/>
      </vt:variant>
      <vt:variant>
        <vt:i4>4784229</vt:i4>
      </vt:variant>
      <vt:variant>
        <vt:i4>3</vt:i4>
      </vt:variant>
      <vt:variant>
        <vt:i4>0</vt:i4>
      </vt:variant>
      <vt:variant>
        <vt:i4>5</vt:i4>
      </vt:variant>
      <vt:variant>
        <vt:lpwstr>http://www.planalto.gov.br/ccivil_03/leis/L8212cons.htm</vt:lpwstr>
      </vt:variant>
      <vt:variant>
        <vt:lpwstr/>
      </vt:variant>
      <vt:variant>
        <vt:i4>589834</vt:i4>
      </vt:variant>
      <vt:variant>
        <vt:i4>0</vt:i4>
      </vt:variant>
      <vt:variant>
        <vt:i4>0</vt:i4>
      </vt:variant>
      <vt:variant>
        <vt:i4>5</vt:i4>
      </vt:variant>
      <vt:variant>
        <vt:lpwstr>http://www.normaslegais.com.br/legislacao/tributario/lc87.htm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Luiz Eduardo</cp:lastModifiedBy>
  <cp:revision>2</cp:revision>
  <cp:lastPrinted>2016-08-30T16:57:00Z</cp:lastPrinted>
  <dcterms:created xsi:type="dcterms:W3CDTF">2016-09-11T16:39:00Z</dcterms:created>
  <dcterms:modified xsi:type="dcterms:W3CDTF">2016-09-11T16:39:00Z</dcterms:modified>
</cp:coreProperties>
</file>