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A41A2" w14:textId="0590EA32" w:rsidR="002153E2" w:rsidRDefault="002153E2" w:rsidP="002153E2">
      <w:pPr>
        <w:pStyle w:val="Ttulo1"/>
        <w:ind w:firstLine="0"/>
        <w:jc w:val="center"/>
        <w:rPr>
          <w:sz w:val="24"/>
          <w:szCs w:val="24"/>
        </w:rPr>
      </w:pPr>
      <w:r w:rsidRPr="00C232B7">
        <w:rPr>
          <w:sz w:val="24"/>
          <w:szCs w:val="24"/>
        </w:rPr>
        <w:t>A</w:t>
      </w:r>
      <w:r w:rsidR="00C232B7" w:rsidRPr="00C232B7">
        <w:rPr>
          <w:sz w:val="24"/>
          <w:szCs w:val="24"/>
        </w:rPr>
        <w:t xml:space="preserve">NÁLISE DOS PRINCIPAIS TIPOS E CARACTERÍSTICAS DOS </w:t>
      </w:r>
      <w:r w:rsidR="00C232B7" w:rsidRPr="00C232B7">
        <w:rPr>
          <w:i/>
          <w:sz w:val="24"/>
          <w:szCs w:val="24"/>
        </w:rPr>
        <w:t>COVENANTS</w:t>
      </w:r>
      <w:r w:rsidR="00C232B7" w:rsidRPr="00C232B7">
        <w:rPr>
          <w:sz w:val="24"/>
          <w:szCs w:val="24"/>
        </w:rPr>
        <w:t xml:space="preserve"> NAS EMPRESAS DO NOVO MERCADO</w:t>
      </w:r>
    </w:p>
    <w:p w14:paraId="378E37BD" w14:textId="77777777" w:rsidR="00C232B7" w:rsidRDefault="00C232B7" w:rsidP="00C232B7"/>
    <w:p w14:paraId="07151895"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b/>
          <w:sz w:val="24"/>
          <w:szCs w:val="24"/>
          <w:lang w:eastAsia="pt-BR"/>
        </w:rPr>
      </w:pPr>
      <w:r w:rsidRPr="00C232B7">
        <w:rPr>
          <w:rFonts w:ascii="Times New Roman" w:eastAsia="Times New Roman" w:hAnsi="Times New Roman" w:cs="Times New Roman"/>
          <w:b/>
          <w:sz w:val="24"/>
          <w:szCs w:val="24"/>
          <w:lang w:eastAsia="pt-BR"/>
        </w:rPr>
        <w:t xml:space="preserve">Daniela Will </w:t>
      </w:r>
      <w:proofErr w:type="spellStart"/>
      <w:r w:rsidRPr="00C232B7">
        <w:rPr>
          <w:rFonts w:ascii="Times New Roman" w:eastAsia="Times New Roman" w:hAnsi="Times New Roman" w:cs="Times New Roman"/>
          <w:b/>
          <w:sz w:val="24"/>
          <w:szCs w:val="24"/>
          <w:lang w:eastAsia="pt-BR"/>
        </w:rPr>
        <w:t>Neis</w:t>
      </w:r>
      <w:proofErr w:type="spellEnd"/>
    </w:p>
    <w:p w14:paraId="4F5CB8A3"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sz w:val="24"/>
          <w:szCs w:val="24"/>
          <w:lang w:eastAsia="pt-BR"/>
        </w:rPr>
      </w:pPr>
      <w:r w:rsidRPr="00C232B7">
        <w:rPr>
          <w:rFonts w:ascii="Times New Roman" w:eastAsia="Times New Roman" w:hAnsi="Times New Roman" w:cs="Times New Roman"/>
          <w:sz w:val="24"/>
          <w:szCs w:val="24"/>
          <w:lang w:eastAsia="pt-BR"/>
        </w:rPr>
        <w:t>Universidade Federal de Santa Catarina (UFSC)</w:t>
      </w:r>
    </w:p>
    <w:p w14:paraId="33241B02" w14:textId="2BE2B1CB" w:rsidR="00C232B7" w:rsidRPr="00C232B7" w:rsidRDefault="001250B4" w:rsidP="00C232B7">
      <w:pPr>
        <w:widowControl w:val="0"/>
        <w:suppressLineNumbers/>
        <w:suppressAutoHyphens/>
        <w:spacing w:line="240" w:lineRule="auto"/>
        <w:jc w:val="center"/>
        <w:rPr>
          <w:rFonts w:ascii="Times New Roman" w:eastAsia="Times New Roman" w:hAnsi="Times New Roman" w:cs="Times New Roman"/>
          <w:i/>
          <w:sz w:val="24"/>
          <w:szCs w:val="24"/>
          <w:lang w:eastAsia="pt-BR"/>
        </w:rPr>
      </w:pPr>
      <w:r>
        <w:rPr>
          <w:rFonts w:ascii="Times New Roman" w:eastAsia="Times New Roman" w:hAnsi="Times New Roman" w:cs="Times New Roman"/>
          <w:i/>
          <w:sz w:val="24"/>
          <w:szCs w:val="24"/>
          <w:lang w:eastAsia="pt-BR"/>
        </w:rPr>
        <w:t>d</w:t>
      </w:r>
      <w:r w:rsidR="00C232B7" w:rsidRPr="00C232B7">
        <w:rPr>
          <w:rFonts w:ascii="Times New Roman" w:eastAsia="Times New Roman" w:hAnsi="Times New Roman" w:cs="Times New Roman"/>
          <w:i/>
          <w:sz w:val="24"/>
          <w:szCs w:val="24"/>
          <w:lang w:eastAsia="pt-BR"/>
        </w:rPr>
        <w:t>aniela_wn@hotmail.com</w:t>
      </w:r>
    </w:p>
    <w:p w14:paraId="0B2CF4BF"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b/>
          <w:sz w:val="24"/>
          <w:szCs w:val="24"/>
          <w:lang w:eastAsia="pt-BR"/>
        </w:rPr>
      </w:pPr>
    </w:p>
    <w:p w14:paraId="56B5EEC5"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b/>
          <w:sz w:val="24"/>
          <w:szCs w:val="24"/>
          <w:lang w:eastAsia="pt-BR"/>
        </w:rPr>
      </w:pPr>
      <w:r w:rsidRPr="00C232B7">
        <w:rPr>
          <w:rFonts w:ascii="Times New Roman" w:eastAsia="Times New Roman" w:hAnsi="Times New Roman" w:cs="Times New Roman"/>
          <w:b/>
          <w:sz w:val="24"/>
          <w:szCs w:val="24"/>
          <w:lang w:eastAsia="pt-BR"/>
        </w:rPr>
        <w:t xml:space="preserve">Lucas </w:t>
      </w:r>
      <w:bookmarkStart w:id="0" w:name="_GoBack"/>
      <w:bookmarkEnd w:id="0"/>
      <w:r w:rsidRPr="00C232B7">
        <w:rPr>
          <w:rFonts w:ascii="Times New Roman" w:eastAsia="Times New Roman" w:hAnsi="Times New Roman" w:cs="Times New Roman"/>
          <w:b/>
          <w:sz w:val="24"/>
          <w:szCs w:val="24"/>
          <w:lang w:eastAsia="pt-BR"/>
        </w:rPr>
        <w:t xml:space="preserve">Martins Dias </w:t>
      </w:r>
      <w:proofErr w:type="spellStart"/>
      <w:r w:rsidRPr="00C232B7">
        <w:rPr>
          <w:rFonts w:ascii="Times New Roman" w:eastAsia="Times New Roman" w:hAnsi="Times New Roman" w:cs="Times New Roman"/>
          <w:b/>
          <w:sz w:val="24"/>
          <w:szCs w:val="24"/>
          <w:lang w:eastAsia="pt-BR"/>
        </w:rPr>
        <w:t>Maragno</w:t>
      </w:r>
      <w:proofErr w:type="spellEnd"/>
    </w:p>
    <w:p w14:paraId="1C95DBED"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sz w:val="24"/>
          <w:szCs w:val="24"/>
          <w:lang w:eastAsia="pt-BR"/>
        </w:rPr>
      </w:pPr>
      <w:r w:rsidRPr="00C232B7">
        <w:rPr>
          <w:rFonts w:ascii="Times New Roman" w:eastAsia="Times New Roman" w:hAnsi="Times New Roman" w:cs="Times New Roman"/>
          <w:sz w:val="24"/>
          <w:szCs w:val="24"/>
          <w:lang w:eastAsia="pt-BR"/>
        </w:rPr>
        <w:t>Universidade Federal de Santa Catarina (UFSC)</w:t>
      </w:r>
    </w:p>
    <w:p w14:paraId="3C22DD34" w14:textId="1CDD6F97" w:rsidR="00C232B7" w:rsidRPr="00C232B7" w:rsidRDefault="001250B4" w:rsidP="00C232B7">
      <w:pPr>
        <w:widowControl w:val="0"/>
        <w:suppressLineNumbers/>
        <w:suppressAutoHyphens/>
        <w:spacing w:line="240" w:lineRule="auto"/>
        <w:jc w:val="center"/>
        <w:rPr>
          <w:rFonts w:ascii="Times New Roman" w:eastAsia="Times New Roman" w:hAnsi="Times New Roman" w:cs="Times New Roman"/>
          <w:i/>
          <w:sz w:val="24"/>
          <w:szCs w:val="24"/>
          <w:lang w:val="en-US" w:eastAsia="pt-BR"/>
        </w:rPr>
      </w:pPr>
      <w:r>
        <w:rPr>
          <w:rFonts w:ascii="Times New Roman" w:eastAsia="Times New Roman" w:hAnsi="Times New Roman" w:cs="Times New Roman"/>
          <w:i/>
          <w:sz w:val="24"/>
          <w:szCs w:val="24"/>
          <w:lang w:val="en-US" w:eastAsia="pt-BR"/>
        </w:rPr>
        <w:t>lucas</w:t>
      </w:r>
      <w:r w:rsidR="00C232B7" w:rsidRPr="00C232B7">
        <w:rPr>
          <w:rFonts w:ascii="Times New Roman" w:eastAsia="Times New Roman" w:hAnsi="Times New Roman" w:cs="Times New Roman"/>
          <w:i/>
          <w:sz w:val="24"/>
          <w:szCs w:val="24"/>
          <w:lang w:val="en-US" w:eastAsia="pt-BR"/>
        </w:rPr>
        <w:t>maragno@hotmail.com</w:t>
      </w:r>
    </w:p>
    <w:p w14:paraId="208CE005"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b/>
          <w:sz w:val="24"/>
          <w:szCs w:val="24"/>
          <w:lang w:val="en-US" w:eastAsia="pt-BR"/>
        </w:rPr>
      </w:pPr>
    </w:p>
    <w:p w14:paraId="577AE845"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b/>
          <w:sz w:val="24"/>
          <w:szCs w:val="24"/>
          <w:lang w:val="en-US" w:eastAsia="pt-BR"/>
        </w:rPr>
      </w:pPr>
      <w:r w:rsidRPr="00C232B7">
        <w:rPr>
          <w:rFonts w:ascii="Times New Roman" w:eastAsia="Times New Roman" w:hAnsi="Times New Roman" w:cs="Times New Roman"/>
          <w:b/>
          <w:sz w:val="24"/>
          <w:szCs w:val="24"/>
          <w:lang w:val="en-US" w:eastAsia="pt-BR"/>
        </w:rPr>
        <w:t xml:space="preserve">José Alonso </w:t>
      </w:r>
      <w:proofErr w:type="spellStart"/>
      <w:r w:rsidRPr="00C232B7">
        <w:rPr>
          <w:rFonts w:ascii="Times New Roman" w:eastAsia="Times New Roman" w:hAnsi="Times New Roman" w:cs="Times New Roman"/>
          <w:b/>
          <w:sz w:val="24"/>
          <w:szCs w:val="24"/>
          <w:lang w:val="en-US" w:eastAsia="pt-BR"/>
        </w:rPr>
        <w:t>Borba</w:t>
      </w:r>
      <w:proofErr w:type="spellEnd"/>
    </w:p>
    <w:p w14:paraId="212D91B5" w14:textId="77777777" w:rsidR="00C232B7" w:rsidRPr="00C232B7" w:rsidRDefault="00C232B7" w:rsidP="00C232B7">
      <w:pPr>
        <w:widowControl w:val="0"/>
        <w:suppressLineNumbers/>
        <w:suppressAutoHyphens/>
        <w:spacing w:line="240" w:lineRule="auto"/>
        <w:jc w:val="center"/>
        <w:rPr>
          <w:rFonts w:ascii="Times New Roman" w:eastAsia="Times New Roman" w:hAnsi="Times New Roman" w:cs="Times New Roman"/>
          <w:sz w:val="24"/>
          <w:szCs w:val="24"/>
          <w:lang w:eastAsia="pt-BR"/>
        </w:rPr>
      </w:pPr>
      <w:r w:rsidRPr="00C232B7">
        <w:rPr>
          <w:rFonts w:ascii="Times New Roman" w:eastAsia="Times New Roman" w:hAnsi="Times New Roman" w:cs="Times New Roman"/>
          <w:sz w:val="24"/>
          <w:szCs w:val="24"/>
          <w:lang w:eastAsia="pt-BR"/>
        </w:rPr>
        <w:t>Universidade Federal de Santa Catarina (UFSC)</w:t>
      </w:r>
    </w:p>
    <w:p w14:paraId="65FD26AC" w14:textId="32CB810E" w:rsidR="00C232B7" w:rsidRPr="00C232B7" w:rsidRDefault="001250B4" w:rsidP="001250B4">
      <w:pPr>
        <w:jc w:val="center"/>
      </w:pPr>
      <w:r>
        <w:rPr>
          <w:rFonts w:ascii="Times New Roman" w:eastAsia="Times New Roman" w:hAnsi="Times New Roman" w:cs="Times New Roman"/>
          <w:i/>
          <w:sz w:val="24"/>
          <w:szCs w:val="24"/>
          <w:lang w:eastAsia="pt-BR"/>
        </w:rPr>
        <w:t>j.alonso@ufsc.br</w:t>
      </w:r>
    </w:p>
    <w:p w14:paraId="45409A61" w14:textId="0512A69B" w:rsidR="002153E2" w:rsidRPr="002153E2" w:rsidRDefault="002153E2" w:rsidP="002153E2">
      <w:pPr>
        <w:pStyle w:val="Ttulo1"/>
        <w:spacing w:line="240" w:lineRule="auto"/>
        <w:ind w:firstLine="0"/>
        <w:jc w:val="both"/>
        <w:rPr>
          <w:b w:val="0"/>
          <w:sz w:val="24"/>
          <w:szCs w:val="24"/>
        </w:rPr>
      </w:pPr>
      <w:r w:rsidRPr="002153E2">
        <w:rPr>
          <w:color w:val="000000"/>
          <w:sz w:val="24"/>
          <w:szCs w:val="24"/>
        </w:rPr>
        <w:t>R</w:t>
      </w:r>
      <w:r w:rsidR="00C232B7" w:rsidRPr="002153E2">
        <w:rPr>
          <w:color w:val="000000"/>
          <w:sz w:val="24"/>
          <w:szCs w:val="24"/>
        </w:rPr>
        <w:t>esumo</w:t>
      </w:r>
      <w:r w:rsidR="00C232B7">
        <w:rPr>
          <w:color w:val="000000"/>
          <w:sz w:val="24"/>
          <w:szCs w:val="24"/>
        </w:rPr>
        <w:br/>
      </w:r>
      <w:r w:rsidRPr="002153E2">
        <w:rPr>
          <w:b w:val="0"/>
          <w:color w:val="000000"/>
          <w:sz w:val="24"/>
          <w:szCs w:val="24"/>
        </w:rPr>
        <w:t xml:space="preserve">No mercado de crédito são comuns operações de empréstimos e/ou financiamentos e emissões de debêntures. Tais operações estão sujeitas a riscos e com o intuito de minimizá-los os credores estabelecem nos contratos </w:t>
      </w:r>
      <w:proofErr w:type="spellStart"/>
      <w:r w:rsidRPr="002153E2">
        <w:rPr>
          <w:b w:val="0"/>
          <w:i/>
          <w:color w:val="000000"/>
          <w:sz w:val="24"/>
          <w:szCs w:val="24"/>
        </w:rPr>
        <w:t>covenants</w:t>
      </w:r>
      <w:proofErr w:type="spellEnd"/>
      <w:r w:rsidRPr="002153E2">
        <w:rPr>
          <w:b w:val="0"/>
          <w:color w:val="000000"/>
          <w:sz w:val="24"/>
          <w:szCs w:val="24"/>
        </w:rPr>
        <w:t xml:space="preserve">, cláusulas que impõem restrições e obrigações aos devedores. Esses </w:t>
      </w:r>
      <w:proofErr w:type="spellStart"/>
      <w:r w:rsidRPr="002153E2">
        <w:rPr>
          <w:b w:val="0"/>
          <w:i/>
          <w:color w:val="000000"/>
          <w:sz w:val="24"/>
          <w:szCs w:val="24"/>
        </w:rPr>
        <w:t>covenants</w:t>
      </w:r>
      <w:proofErr w:type="spellEnd"/>
      <w:r w:rsidRPr="002153E2">
        <w:rPr>
          <w:b w:val="0"/>
          <w:color w:val="000000"/>
          <w:sz w:val="24"/>
          <w:szCs w:val="24"/>
        </w:rPr>
        <w:t xml:space="preserve"> são frequentemente apresentados por meio de indicadores contábeis. Diante disso, buscou-se identificar as características dos </w:t>
      </w:r>
      <w:proofErr w:type="spellStart"/>
      <w:r w:rsidRPr="002153E2">
        <w:rPr>
          <w:b w:val="0"/>
          <w:i/>
          <w:color w:val="000000"/>
          <w:sz w:val="24"/>
          <w:szCs w:val="24"/>
        </w:rPr>
        <w:t>covenants</w:t>
      </w:r>
      <w:proofErr w:type="spellEnd"/>
      <w:r w:rsidRPr="002153E2">
        <w:rPr>
          <w:b w:val="0"/>
          <w:color w:val="000000"/>
          <w:sz w:val="24"/>
          <w:szCs w:val="24"/>
        </w:rPr>
        <w:t xml:space="preserve"> evidenciados pelas 134 empresas listadas no segmento Novo Mercado de Governança Corporativa da BM&amp;FBOVESPA. A pesquisa apresentou caráter descritivo e a coleta de dados foi secundária devido aos dados serem extraídos dos Formulários de Referência e/ou Notas Explicativas das companhias. Constatou-se que apenas 55% das empresas empregaram a terminologia </w:t>
      </w:r>
      <w:proofErr w:type="spellStart"/>
      <w:r w:rsidRPr="002153E2">
        <w:rPr>
          <w:b w:val="0"/>
          <w:i/>
          <w:color w:val="000000"/>
          <w:sz w:val="24"/>
          <w:szCs w:val="24"/>
        </w:rPr>
        <w:t>covenant</w:t>
      </w:r>
      <w:proofErr w:type="spellEnd"/>
      <w:r w:rsidRPr="002153E2">
        <w:rPr>
          <w:b w:val="0"/>
          <w:color w:val="000000"/>
          <w:sz w:val="24"/>
          <w:szCs w:val="24"/>
        </w:rPr>
        <w:t xml:space="preserve"> para relatar as cláusulas contratuais. Os resultados mostram que os credores ao estabelecerem cláusulas restritivas, optam pelas que impõem restrições e limites por meio de indicadores financeiros que utilizam em seu cálculo, contas </w:t>
      </w:r>
      <w:r w:rsidR="009B4FC0">
        <w:rPr>
          <w:b w:val="0"/>
          <w:color w:val="000000"/>
          <w:sz w:val="24"/>
          <w:szCs w:val="24"/>
        </w:rPr>
        <w:t xml:space="preserve">contábeis </w:t>
      </w:r>
      <w:r w:rsidRPr="002153E2">
        <w:rPr>
          <w:b w:val="0"/>
          <w:color w:val="000000"/>
          <w:sz w:val="24"/>
          <w:szCs w:val="24"/>
        </w:rPr>
        <w:t xml:space="preserve">relacionadas ao Balanço Patrimonial </w:t>
      </w:r>
      <w:r w:rsidR="009B4FC0">
        <w:rPr>
          <w:b w:val="0"/>
          <w:color w:val="000000"/>
          <w:sz w:val="24"/>
          <w:szCs w:val="24"/>
        </w:rPr>
        <w:t>e</w:t>
      </w:r>
      <w:r w:rsidRPr="002153E2">
        <w:rPr>
          <w:b w:val="0"/>
          <w:color w:val="000000"/>
          <w:sz w:val="24"/>
          <w:szCs w:val="24"/>
        </w:rPr>
        <w:t xml:space="preserve"> a Demonstração do Resultado. Dentre os </w:t>
      </w:r>
      <w:proofErr w:type="spellStart"/>
      <w:r w:rsidRPr="002153E2">
        <w:rPr>
          <w:b w:val="0"/>
          <w:i/>
          <w:color w:val="000000"/>
          <w:sz w:val="24"/>
          <w:szCs w:val="24"/>
        </w:rPr>
        <w:t>covenants</w:t>
      </w:r>
      <w:proofErr w:type="spellEnd"/>
      <w:r w:rsidRPr="002153E2">
        <w:rPr>
          <w:b w:val="0"/>
          <w:color w:val="000000"/>
          <w:sz w:val="24"/>
          <w:szCs w:val="24"/>
        </w:rPr>
        <w:t xml:space="preserve"> relatados nos formulários, os mais utilizados pelos credores são o de cobertura da dívida, cobertura de juros e índice de liquidez.</w:t>
      </w:r>
    </w:p>
    <w:p w14:paraId="5A6F4245" w14:textId="77777777" w:rsidR="005228DE" w:rsidRPr="005228DE" w:rsidRDefault="005228DE" w:rsidP="005228DE">
      <w:pPr>
        <w:rPr>
          <w:rFonts w:ascii="Times New Roman" w:hAnsi="Times New Roman" w:cs="Times New Roman"/>
          <w:sz w:val="24"/>
          <w:szCs w:val="24"/>
        </w:rPr>
      </w:pPr>
    </w:p>
    <w:p w14:paraId="794E3265" w14:textId="77777777" w:rsidR="005228DE" w:rsidRDefault="005228DE" w:rsidP="005228DE">
      <w:pPr>
        <w:rPr>
          <w:rFonts w:ascii="Times New Roman" w:hAnsi="Times New Roman" w:cs="Times New Roman"/>
          <w:sz w:val="24"/>
          <w:szCs w:val="24"/>
        </w:rPr>
      </w:pPr>
      <w:r w:rsidRPr="005228DE">
        <w:rPr>
          <w:rFonts w:ascii="Times New Roman" w:hAnsi="Times New Roman" w:cs="Times New Roman"/>
          <w:b/>
          <w:sz w:val="24"/>
          <w:szCs w:val="24"/>
        </w:rPr>
        <w:t>Palavras-chave:</w:t>
      </w:r>
      <w:r w:rsidRPr="005228DE">
        <w:rPr>
          <w:rFonts w:ascii="Times New Roman" w:hAnsi="Times New Roman" w:cs="Times New Roman"/>
          <w:sz w:val="24"/>
          <w:szCs w:val="24"/>
        </w:rPr>
        <w:t xml:space="preserve"> </w:t>
      </w:r>
      <w:proofErr w:type="spellStart"/>
      <w:r w:rsidRPr="005228DE">
        <w:rPr>
          <w:rFonts w:ascii="Times New Roman" w:hAnsi="Times New Roman" w:cs="Times New Roman"/>
          <w:i/>
          <w:sz w:val="24"/>
          <w:szCs w:val="24"/>
        </w:rPr>
        <w:t>Covenants</w:t>
      </w:r>
      <w:proofErr w:type="spellEnd"/>
      <w:r>
        <w:rPr>
          <w:rFonts w:ascii="Times New Roman" w:hAnsi="Times New Roman" w:cs="Times New Roman"/>
          <w:sz w:val="24"/>
          <w:szCs w:val="24"/>
        </w:rPr>
        <w:t>,</w:t>
      </w:r>
      <w:r w:rsidRPr="005228DE">
        <w:rPr>
          <w:rFonts w:ascii="Times New Roman" w:hAnsi="Times New Roman" w:cs="Times New Roman"/>
          <w:sz w:val="24"/>
          <w:szCs w:val="24"/>
        </w:rPr>
        <w:t xml:space="preserve"> Indicadores</w:t>
      </w:r>
      <w:r>
        <w:rPr>
          <w:rFonts w:ascii="Times New Roman" w:hAnsi="Times New Roman" w:cs="Times New Roman"/>
          <w:sz w:val="24"/>
          <w:szCs w:val="24"/>
        </w:rPr>
        <w:t>,</w:t>
      </w:r>
      <w:r w:rsidRPr="005228DE">
        <w:rPr>
          <w:rFonts w:ascii="Times New Roman" w:hAnsi="Times New Roman" w:cs="Times New Roman"/>
          <w:sz w:val="24"/>
          <w:szCs w:val="24"/>
        </w:rPr>
        <w:t xml:space="preserve"> Novo Mercado.</w:t>
      </w:r>
    </w:p>
    <w:p w14:paraId="47F04B05" w14:textId="77777777" w:rsidR="005228DE" w:rsidRDefault="005228DE" w:rsidP="005228DE">
      <w:pPr>
        <w:rPr>
          <w:rFonts w:ascii="Times New Roman" w:hAnsi="Times New Roman" w:cs="Times New Roman"/>
          <w:sz w:val="24"/>
          <w:szCs w:val="24"/>
        </w:rPr>
      </w:pPr>
    </w:p>
    <w:p w14:paraId="0CB2D4BC" w14:textId="77777777" w:rsidR="005228DE" w:rsidRDefault="005228DE" w:rsidP="005228DE">
      <w:pPr>
        <w:rPr>
          <w:rFonts w:ascii="Times New Roman" w:hAnsi="Times New Roman" w:cs="Times New Roman"/>
          <w:sz w:val="24"/>
          <w:szCs w:val="24"/>
        </w:rPr>
      </w:pPr>
    </w:p>
    <w:p w14:paraId="4397D78F" w14:textId="77777777" w:rsidR="00AB1617" w:rsidRPr="005228DE" w:rsidRDefault="005228DE" w:rsidP="005228DE">
      <w:pPr>
        <w:pStyle w:val="Ttulo1"/>
        <w:ind w:firstLine="0"/>
        <w:rPr>
          <w:sz w:val="24"/>
          <w:szCs w:val="24"/>
        </w:rPr>
      </w:pPr>
      <w:r w:rsidRPr="005228DE">
        <w:rPr>
          <w:sz w:val="24"/>
          <w:szCs w:val="24"/>
        </w:rPr>
        <w:lastRenderedPageBreak/>
        <w:t>1</w:t>
      </w:r>
      <w:r w:rsidR="00D3499E" w:rsidRPr="005228DE">
        <w:rPr>
          <w:sz w:val="24"/>
          <w:szCs w:val="24"/>
        </w:rPr>
        <w:t xml:space="preserve"> </w:t>
      </w:r>
      <w:r w:rsidR="00A8754A" w:rsidRPr="005228DE">
        <w:rPr>
          <w:sz w:val="24"/>
          <w:szCs w:val="24"/>
        </w:rPr>
        <w:t>INTRODUÇÃO</w:t>
      </w:r>
    </w:p>
    <w:p w14:paraId="333569AF" w14:textId="77777777" w:rsidR="00AB1617" w:rsidRDefault="00AB1617" w:rsidP="00AB1617">
      <w:pPr>
        <w:pStyle w:val="PargrafodaLista"/>
        <w:ind w:left="0" w:firstLine="567"/>
        <w:jc w:val="both"/>
        <w:rPr>
          <w:rFonts w:ascii="Times New Roman" w:hAnsi="Times New Roman" w:cs="Times New Roman"/>
          <w:sz w:val="24"/>
          <w:szCs w:val="24"/>
        </w:rPr>
      </w:pPr>
    </w:p>
    <w:p w14:paraId="23242529" w14:textId="77777777" w:rsidR="00AB1617" w:rsidRPr="008B18FA" w:rsidRDefault="008312DB" w:rsidP="008B18FA">
      <w:pPr>
        <w:pStyle w:val="PargrafodaLista"/>
        <w:spacing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Contrair</w:t>
      </w:r>
      <w:r w:rsidR="00AB1617" w:rsidRPr="008B18FA">
        <w:rPr>
          <w:rFonts w:ascii="Times New Roman" w:hAnsi="Times New Roman" w:cs="Times New Roman"/>
          <w:sz w:val="24"/>
          <w:szCs w:val="24"/>
        </w:rPr>
        <w:t xml:space="preserve"> empréstimos, financiamentos e debêntures </w:t>
      </w:r>
      <w:r>
        <w:rPr>
          <w:rFonts w:ascii="Times New Roman" w:hAnsi="Times New Roman" w:cs="Times New Roman"/>
          <w:sz w:val="24"/>
          <w:szCs w:val="24"/>
        </w:rPr>
        <w:t>é importante</w:t>
      </w:r>
      <w:r w:rsidR="00AB1617" w:rsidRPr="008B18FA">
        <w:rPr>
          <w:rFonts w:ascii="Times New Roman" w:hAnsi="Times New Roman" w:cs="Times New Roman"/>
          <w:sz w:val="24"/>
          <w:szCs w:val="24"/>
        </w:rPr>
        <w:t xml:space="preserve"> para o desenvolvimento das empresas, do mercado financeiro, do mercado de crédito e, consequentemente, do país</w:t>
      </w:r>
      <w:r w:rsidR="00D3499E" w:rsidRPr="008B18FA">
        <w:rPr>
          <w:rFonts w:ascii="Times New Roman" w:hAnsi="Times New Roman" w:cs="Times New Roman"/>
          <w:sz w:val="24"/>
          <w:szCs w:val="24"/>
        </w:rPr>
        <w:t xml:space="preserve">. </w:t>
      </w:r>
      <w:r w:rsidR="00AB1617" w:rsidRPr="008B18FA">
        <w:rPr>
          <w:rFonts w:ascii="Times New Roman" w:hAnsi="Times New Roman" w:cs="Times New Roman"/>
          <w:sz w:val="24"/>
          <w:szCs w:val="24"/>
        </w:rPr>
        <w:t>As operações de crédito estão sujeitas a uma avaliação dos riscos presentes nos interesses do credor e do devedor, visto que, o objetivo do credor é garantir o recebimento dos recursos emprestados e do devedor, obter o capital necessário para seus investimentos.</w:t>
      </w:r>
    </w:p>
    <w:p w14:paraId="3CB24D6B" w14:textId="77777777" w:rsidR="00AB1617" w:rsidRPr="008B18FA" w:rsidRDefault="00AB1617" w:rsidP="008B18FA">
      <w:pPr>
        <w:pStyle w:val="PargrafodaLista"/>
        <w:spacing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 xml:space="preserve"> De acordo com Silva (2000) "o crédito, no sentido restrito, consiste na entrega de um bem ou de um valor presente mediante a promessa de pagamento em data futura. Enquanto promessa de pagamento, há o risco de a mesma não ser cumprida". Ainda segundo o autor, a formalização de um acordo de crédito através de um contrato elaborado entre o credor e o devedor, é uma segurança ao credor no direito de receber, independente da vontade do devedor pagar.</w:t>
      </w:r>
    </w:p>
    <w:p w14:paraId="1F50CC34" w14:textId="77777777" w:rsidR="00AB1617" w:rsidRPr="008B18FA" w:rsidRDefault="00AB1617" w:rsidP="008B18FA">
      <w:pPr>
        <w:pStyle w:val="PargrafodaLista"/>
        <w:spacing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Já em relação ao risco nessas operações de crédito, Borges e Junior</w:t>
      </w:r>
      <w:r w:rsidRPr="008B18FA">
        <w:rPr>
          <w:rStyle w:val="Refdecomentrio"/>
          <w:rFonts w:ascii="Times New Roman" w:hAnsi="Times New Roman" w:cs="Times New Roman"/>
          <w:sz w:val="24"/>
          <w:szCs w:val="24"/>
        </w:rPr>
        <w:t xml:space="preserve"> (</w:t>
      </w:r>
      <w:r w:rsidRPr="008B18FA">
        <w:rPr>
          <w:rFonts w:ascii="Times New Roman" w:hAnsi="Times New Roman" w:cs="Times New Roman"/>
          <w:sz w:val="24"/>
          <w:szCs w:val="24"/>
        </w:rPr>
        <w:t>2001) definem como “ocorrência de qualquer fato adverso para uma dada situação esperada”. De acordo com os autores, o risco nas operações de crédito está relacionado à possibilidade de ocorrência de perdas por inadimplência e ao descumprimento dos instrumentos contratuais por parte do devedor. O risco na operação da concessão de crédito deve ser mitigado, reduzido, ou simplesmente evitado, buscando uma adequada relação entre retorno e risco.</w:t>
      </w:r>
    </w:p>
    <w:p w14:paraId="79B6A18E" w14:textId="77777777" w:rsidR="00AB1617" w:rsidRPr="008B18FA" w:rsidRDefault="00AB1617" w:rsidP="008B18FA">
      <w:pPr>
        <w:pStyle w:val="PargrafodaLista"/>
        <w:spacing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 xml:space="preserve">Com o objetivo de mitigar os riscos identificados na operação e minimizar a possibilidade do não recebimento da dívida, os credores podem impor deveres e restrições aos devedores na forma de </w:t>
      </w:r>
      <w:proofErr w:type="spellStart"/>
      <w:r w:rsidRPr="008B18FA">
        <w:rPr>
          <w:rFonts w:ascii="Times New Roman" w:hAnsi="Times New Roman" w:cs="Times New Roman"/>
          <w:i/>
          <w:sz w:val="24"/>
          <w:szCs w:val="24"/>
        </w:rPr>
        <w:t>covenants</w:t>
      </w:r>
      <w:proofErr w:type="spellEnd"/>
      <w:r w:rsidRPr="008B18FA">
        <w:rPr>
          <w:rFonts w:ascii="Times New Roman" w:hAnsi="Times New Roman" w:cs="Times New Roman"/>
          <w:sz w:val="24"/>
          <w:szCs w:val="24"/>
        </w:rPr>
        <w:t xml:space="preserve"> nos contratos de dívidas.</w:t>
      </w:r>
      <w:r w:rsidR="00D3499E" w:rsidRPr="008B18FA">
        <w:rPr>
          <w:rFonts w:ascii="Times New Roman" w:hAnsi="Times New Roman" w:cs="Times New Roman"/>
          <w:sz w:val="24"/>
          <w:szCs w:val="24"/>
        </w:rPr>
        <w:t xml:space="preserve"> </w:t>
      </w:r>
      <w:proofErr w:type="spellStart"/>
      <w:r w:rsidRPr="008B18FA">
        <w:rPr>
          <w:rFonts w:ascii="Times New Roman" w:hAnsi="Times New Roman" w:cs="Times New Roman"/>
          <w:i/>
          <w:sz w:val="24"/>
          <w:szCs w:val="24"/>
        </w:rPr>
        <w:t>Covenants</w:t>
      </w:r>
      <w:proofErr w:type="spellEnd"/>
      <w:r w:rsidR="00D3499E" w:rsidRPr="008B18FA">
        <w:rPr>
          <w:rFonts w:ascii="Times New Roman" w:hAnsi="Times New Roman" w:cs="Times New Roman"/>
          <w:sz w:val="24"/>
          <w:szCs w:val="24"/>
        </w:rPr>
        <w:t xml:space="preserve"> </w:t>
      </w:r>
      <w:r w:rsidRPr="008B18FA">
        <w:rPr>
          <w:rFonts w:ascii="Times New Roman" w:hAnsi="Times New Roman" w:cs="Times New Roman"/>
          <w:sz w:val="24"/>
          <w:szCs w:val="24"/>
        </w:rPr>
        <w:t>são cláusulas que servem como uma espécie de garantia, estabelecendo compromissos e limites à empresa tomadora de recursos para assegurar a capacidade de pagamento</w:t>
      </w:r>
      <w:r w:rsidR="00D3499E" w:rsidRPr="008B18FA">
        <w:rPr>
          <w:rFonts w:ascii="Times New Roman" w:hAnsi="Times New Roman" w:cs="Times New Roman"/>
          <w:sz w:val="24"/>
          <w:szCs w:val="24"/>
        </w:rPr>
        <w:t xml:space="preserve"> (BORGES, 1999)</w:t>
      </w:r>
      <w:r w:rsidRPr="008B18FA">
        <w:rPr>
          <w:rFonts w:ascii="Times New Roman" w:hAnsi="Times New Roman" w:cs="Times New Roman"/>
          <w:sz w:val="24"/>
          <w:szCs w:val="24"/>
        </w:rPr>
        <w:t xml:space="preserve">. </w:t>
      </w:r>
    </w:p>
    <w:p w14:paraId="6E60CD67" w14:textId="77777777" w:rsidR="00AB1617" w:rsidRPr="008B18FA" w:rsidRDefault="00AB1617" w:rsidP="008B18FA">
      <w:pPr>
        <w:pStyle w:val="PargrafodaLista"/>
        <w:spacing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 xml:space="preserve"> O não cumprimento das cláusulas contratuais ocasiona na antecipação do pagamento da dívida pelo devedor ou, segundo Perin e </w:t>
      </w:r>
      <w:proofErr w:type="spellStart"/>
      <w:r w:rsidRPr="008B18FA">
        <w:rPr>
          <w:rFonts w:ascii="Times New Roman" w:hAnsi="Times New Roman" w:cs="Times New Roman"/>
          <w:sz w:val="24"/>
          <w:szCs w:val="24"/>
        </w:rPr>
        <w:t>Glitz</w:t>
      </w:r>
      <w:proofErr w:type="spellEnd"/>
      <w:r w:rsidRPr="008B18FA">
        <w:rPr>
          <w:rFonts w:ascii="Times New Roman" w:hAnsi="Times New Roman" w:cs="Times New Roman"/>
          <w:sz w:val="24"/>
          <w:szCs w:val="24"/>
        </w:rPr>
        <w:t xml:space="preserve"> (2015, p.1378) “ao invés de se invocar o vencimento antecipado de toda a dívida que certamente seria extremamente onerosa para o devedor, é a cobrança de uma “</w:t>
      </w:r>
      <w:proofErr w:type="spellStart"/>
      <w:r w:rsidRPr="008B18FA">
        <w:rPr>
          <w:rFonts w:ascii="Times New Roman" w:hAnsi="Times New Roman" w:cs="Times New Roman"/>
          <w:i/>
          <w:sz w:val="24"/>
          <w:szCs w:val="24"/>
        </w:rPr>
        <w:t>fee</w:t>
      </w:r>
      <w:proofErr w:type="spellEnd"/>
      <w:r w:rsidRPr="008B18FA">
        <w:rPr>
          <w:rFonts w:ascii="Times New Roman" w:hAnsi="Times New Roman" w:cs="Times New Roman"/>
          <w:sz w:val="24"/>
          <w:szCs w:val="24"/>
        </w:rPr>
        <w:t>” (taxa) ou “</w:t>
      </w:r>
      <w:proofErr w:type="spellStart"/>
      <w:r w:rsidRPr="008B18FA">
        <w:rPr>
          <w:rFonts w:ascii="Times New Roman" w:hAnsi="Times New Roman" w:cs="Times New Roman"/>
          <w:i/>
          <w:sz w:val="24"/>
          <w:szCs w:val="24"/>
        </w:rPr>
        <w:t>waiver</w:t>
      </w:r>
      <w:proofErr w:type="spellEnd"/>
      <w:r w:rsidRPr="008B18FA">
        <w:rPr>
          <w:rFonts w:ascii="Times New Roman" w:hAnsi="Times New Roman" w:cs="Times New Roman"/>
          <w:i/>
          <w:sz w:val="24"/>
          <w:szCs w:val="24"/>
        </w:rPr>
        <w:t xml:space="preserve"> </w:t>
      </w:r>
      <w:proofErr w:type="spellStart"/>
      <w:r w:rsidRPr="008B18FA">
        <w:rPr>
          <w:rFonts w:ascii="Times New Roman" w:hAnsi="Times New Roman" w:cs="Times New Roman"/>
          <w:i/>
          <w:sz w:val="24"/>
          <w:szCs w:val="24"/>
        </w:rPr>
        <w:t>fee</w:t>
      </w:r>
      <w:proofErr w:type="spellEnd"/>
      <w:r w:rsidRPr="008B18FA">
        <w:rPr>
          <w:rFonts w:ascii="Times New Roman" w:hAnsi="Times New Roman" w:cs="Times New Roman"/>
          <w:sz w:val="24"/>
          <w:szCs w:val="24"/>
        </w:rPr>
        <w:t>” (taxa de renúncia) ”. Conforme o</w:t>
      </w:r>
      <w:r w:rsidR="00630C93">
        <w:rPr>
          <w:rFonts w:ascii="Times New Roman" w:hAnsi="Times New Roman" w:cs="Times New Roman"/>
          <w:sz w:val="24"/>
          <w:szCs w:val="24"/>
        </w:rPr>
        <w:t>s</w:t>
      </w:r>
      <w:r w:rsidRPr="008B18FA">
        <w:rPr>
          <w:rFonts w:ascii="Times New Roman" w:hAnsi="Times New Roman" w:cs="Times New Roman"/>
          <w:sz w:val="24"/>
          <w:szCs w:val="24"/>
        </w:rPr>
        <w:t xml:space="preserve"> autor</w:t>
      </w:r>
      <w:r w:rsidR="00630C93">
        <w:rPr>
          <w:rFonts w:ascii="Times New Roman" w:hAnsi="Times New Roman" w:cs="Times New Roman"/>
          <w:sz w:val="24"/>
          <w:szCs w:val="24"/>
        </w:rPr>
        <w:t>es</w:t>
      </w:r>
      <w:r w:rsidRPr="008B18FA">
        <w:rPr>
          <w:rFonts w:ascii="Times New Roman" w:hAnsi="Times New Roman" w:cs="Times New Roman"/>
          <w:sz w:val="24"/>
          <w:szCs w:val="24"/>
        </w:rPr>
        <w:t>, enquanto o primeiro implica em uma “multa” pelo descumprimento da obrigação, o segundo posterga a dívida num prazo específico através de pagamento de “taxa”.</w:t>
      </w:r>
    </w:p>
    <w:p w14:paraId="12B4DC56" w14:textId="77777777" w:rsidR="00AB1617" w:rsidRPr="008B18FA" w:rsidRDefault="00AB1617" w:rsidP="008B18FA">
      <w:pPr>
        <w:pStyle w:val="PargrafodaLista"/>
        <w:spacing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Além de reduzir o risco de inadimplência da dívida, as cláusulas contratuais minimizam os conflitos de agência entre a empresa e o credor. De acordo com Smith e Warner (1979,</w:t>
      </w:r>
      <w:r w:rsidRPr="008B18FA">
        <w:rPr>
          <w:rFonts w:ascii="Times New Roman" w:hAnsi="Times New Roman" w:cs="Times New Roman"/>
          <w:i/>
          <w:sz w:val="24"/>
          <w:szCs w:val="24"/>
        </w:rPr>
        <w:t xml:space="preserve"> apud</w:t>
      </w:r>
      <w:r w:rsidRPr="008B18FA">
        <w:rPr>
          <w:rFonts w:ascii="Times New Roman" w:hAnsi="Times New Roman" w:cs="Times New Roman"/>
          <w:sz w:val="24"/>
          <w:szCs w:val="24"/>
        </w:rPr>
        <w:t xml:space="preserve"> BEIRUTH, 2015), é possível utilizar dados contábeis para restringir ações dos administradores e acionistas que são contra aos interesses dos credores, assim como os autores </w:t>
      </w:r>
      <w:proofErr w:type="spellStart"/>
      <w:r w:rsidRPr="008B18FA">
        <w:rPr>
          <w:rFonts w:ascii="Times New Roman" w:hAnsi="Times New Roman" w:cs="Times New Roman"/>
          <w:sz w:val="24"/>
          <w:szCs w:val="24"/>
        </w:rPr>
        <w:t>Christensen</w:t>
      </w:r>
      <w:proofErr w:type="spellEnd"/>
      <w:r w:rsidRPr="008B18FA">
        <w:rPr>
          <w:rFonts w:ascii="Times New Roman" w:hAnsi="Times New Roman" w:cs="Times New Roman"/>
          <w:sz w:val="24"/>
          <w:szCs w:val="24"/>
        </w:rPr>
        <w:t xml:space="preserve"> e </w:t>
      </w:r>
      <w:proofErr w:type="spellStart"/>
      <w:r w:rsidRPr="008B18FA">
        <w:rPr>
          <w:rFonts w:ascii="Times New Roman" w:hAnsi="Times New Roman" w:cs="Times New Roman"/>
          <w:sz w:val="24"/>
          <w:szCs w:val="24"/>
        </w:rPr>
        <w:t>Nikolaev</w:t>
      </w:r>
      <w:proofErr w:type="spellEnd"/>
      <w:r w:rsidRPr="008B18FA">
        <w:rPr>
          <w:rFonts w:ascii="Times New Roman" w:hAnsi="Times New Roman" w:cs="Times New Roman"/>
          <w:sz w:val="24"/>
          <w:szCs w:val="24"/>
        </w:rPr>
        <w:t xml:space="preserve"> (2012) que, a partir disso, afirmam que os </w:t>
      </w:r>
      <w:proofErr w:type="spellStart"/>
      <w:r w:rsidRPr="008B18FA">
        <w:rPr>
          <w:rFonts w:ascii="Times New Roman" w:hAnsi="Times New Roman" w:cs="Times New Roman"/>
          <w:i/>
          <w:sz w:val="24"/>
          <w:szCs w:val="24"/>
        </w:rPr>
        <w:t>covenants</w:t>
      </w:r>
      <w:proofErr w:type="spellEnd"/>
      <w:r w:rsidRPr="008B18FA">
        <w:rPr>
          <w:rFonts w:ascii="Times New Roman" w:hAnsi="Times New Roman" w:cs="Times New Roman"/>
          <w:sz w:val="24"/>
          <w:szCs w:val="24"/>
        </w:rPr>
        <w:t xml:space="preserve"> são instrumentos importantes nos contratos de crédito. </w:t>
      </w:r>
    </w:p>
    <w:p w14:paraId="3F7582B8" w14:textId="77777777" w:rsidR="00D3499E" w:rsidRPr="008B18FA" w:rsidRDefault="00D3499E" w:rsidP="008B18FA">
      <w:pPr>
        <w:spacing w:line="240" w:lineRule="auto"/>
        <w:ind w:firstLine="709"/>
        <w:jc w:val="both"/>
        <w:rPr>
          <w:rFonts w:ascii="Times New Roman" w:hAnsi="Times New Roman" w:cs="Times New Roman"/>
          <w:b/>
          <w:color w:val="000000"/>
          <w:sz w:val="24"/>
          <w:szCs w:val="24"/>
          <w:lang w:eastAsia="pt-BR"/>
        </w:rPr>
      </w:pPr>
      <w:r w:rsidRPr="008B18FA">
        <w:rPr>
          <w:rFonts w:ascii="Times New Roman" w:hAnsi="Times New Roman" w:cs="Times New Roman"/>
          <w:sz w:val="24"/>
          <w:szCs w:val="24"/>
        </w:rPr>
        <w:t xml:space="preserve">Considerando os inúmeros contratos de crédito, suas cláusulas restritivas e sua importância, formulou-se a seguinte pergunta de pesquisa: </w:t>
      </w:r>
      <w:r w:rsidRPr="008B18FA">
        <w:rPr>
          <w:rFonts w:ascii="Times New Roman" w:hAnsi="Times New Roman" w:cs="Times New Roman"/>
          <w:b/>
          <w:color w:val="000000"/>
          <w:sz w:val="24"/>
          <w:szCs w:val="24"/>
          <w:lang w:eastAsia="pt-BR"/>
        </w:rPr>
        <w:t xml:space="preserve">quais as características dos principais </w:t>
      </w:r>
      <w:proofErr w:type="spellStart"/>
      <w:r w:rsidRPr="008B18FA">
        <w:rPr>
          <w:rFonts w:ascii="Times New Roman" w:hAnsi="Times New Roman" w:cs="Times New Roman"/>
          <w:b/>
          <w:i/>
          <w:color w:val="000000"/>
          <w:sz w:val="24"/>
          <w:szCs w:val="24"/>
          <w:lang w:eastAsia="pt-BR"/>
        </w:rPr>
        <w:t>covenants</w:t>
      </w:r>
      <w:proofErr w:type="spellEnd"/>
      <w:r w:rsidRPr="008B18FA">
        <w:rPr>
          <w:rFonts w:ascii="Times New Roman" w:hAnsi="Times New Roman" w:cs="Times New Roman"/>
          <w:b/>
          <w:color w:val="000000"/>
          <w:sz w:val="24"/>
          <w:szCs w:val="24"/>
          <w:lang w:eastAsia="pt-BR"/>
        </w:rPr>
        <w:t xml:space="preserve"> evidenciados pelas empresas do Novo Mercado?</w:t>
      </w:r>
    </w:p>
    <w:p w14:paraId="1A249E85" w14:textId="77777777" w:rsidR="008B18FA" w:rsidRPr="008B18FA" w:rsidRDefault="00D3499E" w:rsidP="008B18FA">
      <w:pPr>
        <w:pStyle w:val="PargrafodaLista"/>
        <w:spacing w:after="240"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lastRenderedPageBreak/>
        <w:t xml:space="preserve">Para responder tal questionamento, o presente trabalho tem como objetivo geral identificar as características dos </w:t>
      </w:r>
      <w:proofErr w:type="spellStart"/>
      <w:r w:rsidRPr="008B18FA">
        <w:rPr>
          <w:rFonts w:ascii="Times New Roman" w:hAnsi="Times New Roman" w:cs="Times New Roman"/>
          <w:i/>
          <w:sz w:val="24"/>
          <w:szCs w:val="24"/>
        </w:rPr>
        <w:t>covenants</w:t>
      </w:r>
      <w:proofErr w:type="spellEnd"/>
      <w:r w:rsidRPr="008B18FA">
        <w:rPr>
          <w:rFonts w:ascii="Times New Roman" w:hAnsi="Times New Roman" w:cs="Times New Roman"/>
          <w:sz w:val="24"/>
          <w:szCs w:val="24"/>
        </w:rPr>
        <w:t xml:space="preserve"> evidenciados pelas empresas que fazem parte do Novo Mercado da BM&amp;FBOVESPA. </w:t>
      </w:r>
    </w:p>
    <w:p w14:paraId="09E20759" w14:textId="77777777" w:rsidR="00A8754A" w:rsidRDefault="00AB1617" w:rsidP="00A8754A">
      <w:pPr>
        <w:pStyle w:val="PargrafodaLista"/>
        <w:spacing w:after="240" w:line="240" w:lineRule="auto"/>
        <w:ind w:left="0" w:firstLine="567"/>
        <w:jc w:val="both"/>
        <w:rPr>
          <w:rFonts w:ascii="Times New Roman" w:hAnsi="Times New Roman" w:cs="Times New Roman"/>
          <w:sz w:val="24"/>
          <w:szCs w:val="24"/>
        </w:rPr>
      </w:pPr>
      <w:r w:rsidRPr="008B18FA">
        <w:rPr>
          <w:rFonts w:ascii="Times New Roman" w:hAnsi="Times New Roman" w:cs="Times New Roman"/>
          <w:sz w:val="24"/>
          <w:szCs w:val="24"/>
        </w:rPr>
        <w:t xml:space="preserve"> Pesquisas anteriores mostram que os </w:t>
      </w:r>
      <w:proofErr w:type="spellStart"/>
      <w:r w:rsidRPr="008B18FA">
        <w:rPr>
          <w:rFonts w:ascii="Times New Roman" w:hAnsi="Times New Roman" w:cs="Times New Roman"/>
          <w:i/>
          <w:sz w:val="24"/>
          <w:szCs w:val="24"/>
        </w:rPr>
        <w:t>covenants</w:t>
      </w:r>
      <w:proofErr w:type="spellEnd"/>
      <w:r w:rsidRPr="008B18FA">
        <w:rPr>
          <w:rFonts w:ascii="Times New Roman" w:hAnsi="Times New Roman" w:cs="Times New Roman"/>
          <w:sz w:val="24"/>
          <w:szCs w:val="24"/>
        </w:rPr>
        <w:t xml:space="preserve"> mais utilizados são os indicadores que medem a cobertura de juros, de despesas financeiras, do serviço de dívida, nível de endividamento, liquidez, pagamento de dividendos e manutenção de capital de giro mínimo. (COTTER, 1998; RAMSAY; SIDHU 1999; FINNERTY,1999; BORGES, 1999, MATHER; PEIRSON, 2006; XAVIER, 2014).</w:t>
      </w:r>
    </w:p>
    <w:p w14:paraId="3F408932" w14:textId="77777777" w:rsidR="002153E2" w:rsidRDefault="00AB1617" w:rsidP="002153E2">
      <w:pPr>
        <w:pStyle w:val="PargrafodaLista"/>
        <w:spacing w:after="240" w:line="240" w:lineRule="auto"/>
        <w:ind w:left="0" w:firstLine="567"/>
        <w:jc w:val="both"/>
        <w:rPr>
          <w:rFonts w:ascii="Times New Roman" w:hAnsi="Times New Roman" w:cs="Times New Roman"/>
          <w:color w:val="000000" w:themeColor="text1"/>
          <w:sz w:val="24"/>
          <w:szCs w:val="24"/>
        </w:rPr>
      </w:pPr>
      <w:r w:rsidRPr="008B18FA">
        <w:rPr>
          <w:rFonts w:ascii="Times New Roman" w:hAnsi="Times New Roman" w:cs="Times New Roman"/>
          <w:sz w:val="24"/>
          <w:szCs w:val="24"/>
        </w:rPr>
        <w:t xml:space="preserve">Diante do exposto, percebe-se que os principais </w:t>
      </w:r>
      <w:proofErr w:type="spellStart"/>
      <w:r w:rsidRPr="008B18FA">
        <w:rPr>
          <w:rFonts w:ascii="Times New Roman" w:hAnsi="Times New Roman" w:cs="Times New Roman"/>
          <w:i/>
          <w:sz w:val="24"/>
          <w:szCs w:val="24"/>
        </w:rPr>
        <w:t>covenants</w:t>
      </w:r>
      <w:proofErr w:type="spellEnd"/>
      <w:r w:rsidRPr="008B18FA">
        <w:rPr>
          <w:rFonts w:ascii="Times New Roman" w:hAnsi="Times New Roman" w:cs="Times New Roman"/>
          <w:sz w:val="24"/>
          <w:szCs w:val="24"/>
        </w:rPr>
        <w:t xml:space="preserve"> estão relacionados aos indicadores que avaliam a situação financeira e econômica da empresa, através dos dados evidenciados no Balanço Patrimonial e na Demonstração do Resultado da companhia.</w:t>
      </w:r>
      <w:r w:rsidR="008F7B0E">
        <w:rPr>
          <w:rFonts w:ascii="Times New Roman" w:hAnsi="Times New Roman" w:cs="Times New Roman"/>
          <w:sz w:val="24"/>
          <w:szCs w:val="24"/>
        </w:rPr>
        <w:t xml:space="preserve"> </w:t>
      </w:r>
      <w:r w:rsidR="008B18FA" w:rsidRPr="008B18FA">
        <w:rPr>
          <w:rFonts w:ascii="Times New Roman" w:hAnsi="Times New Roman" w:cs="Times New Roman"/>
          <w:color w:val="000000" w:themeColor="text1"/>
          <w:sz w:val="24"/>
          <w:szCs w:val="24"/>
        </w:rPr>
        <w:t xml:space="preserve">Segundo </w:t>
      </w:r>
      <w:proofErr w:type="spellStart"/>
      <w:r w:rsidR="008B18FA" w:rsidRPr="008B18FA">
        <w:rPr>
          <w:rFonts w:ascii="Times New Roman" w:hAnsi="Times New Roman" w:cs="Times New Roman"/>
          <w:color w:val="000000" w:themeColor="text1"/>
          <w:sz w:val="24"/>
          <w:szCs w:val="24"/>
        </w:rPr>
        <w:t>Beiruth</w:t>
      </w:r>
      <w:proofErr w:type="spellEnd"/>
      <w:r w:rsidR="008B18FA" w:rsidRPr="008B18FA">
        <w:rPr>
          <w:rFonts w:ascii="Times New Roman" w:hAnsi="Times New Roman" w:cs="Times New Roman"/>
          <w:color w:val="000000" w:themeColor="text1"/>
          <w:sz w:val="24"/>
          <w:szCs w:val="24"/>
        </w:rPr>
        <w:t xml:space="preserve"> (2015, p.23) “a escassez de estudos relativos a </w:t>
      </w:r>
      <w:proofErr w:type="spellStart"/>
      <w:r w:rsidR="008B18FA" w:rsidRPr="008B18FA">
        <w:rPr>
          <w:rFonts w:ascii="Times New Roman" w:hAnsi="Times New Roman" w:cs="Times New Roman"/>
          <w:i/>
          <w:color w:val="000000" w:themeColor="text1"/>
          <w:sz w:val="24"/>
          <w:szCs w:val="24"/>
        </w:rPr>
        <w:t>covenants</w:t>
      </w:r>
      <w:proofErr w:type="spellEnd"/>
      <w:r w:rsidR="008B18FA" w:rsidRPr="008B18FA">
        <w:rPr>
          <w:rFonts w:ascii="Times New Roman" w:hAnsi="Times New Roman" w:cs="Times New Roman"/>
          <w:color w:val="000000" w:themeColor="text1"/>
          <w:sz w:val="24"/>
          <w:szCs w:val="24"/>
        </w:rPr>
        <w:t xml:space="preserve"> no Brasil, mesmo com a relevância do mercado de crédito frente ao mercado de capitais é o fator preponderante para a realização do estudo”. Conforme o autor, os contratos de créditos ajudam as empresas a financiar suas operações e funcionamento e, ao estudar as cláusulas restritivas têm-se uma interdisciplinaridade do estudo, abrangendo aspectos das Ciências Contábeis, das Ciências Econômicas e do Direito. </w:t>
      </w:r>
    </w:p>
    <w:p w14:paraId="29DC0EEB" w14:textId="77777777" w:rsidR="008F7B0E" w:rsidRDefault="00AB1617" w:rsidP="008F7B0E">
      <w:pPr>
        <w:pStyle w:val="PargrafodaLista"/>
        <w:spacing w:after="240" w:line="240" w:lineRule="auto"/>
        <w:ind w:left="0" w:firstLine="567"/>
        <w:jc w:val="both"/>
        <w:rPr>
          <w:rFonts w:ascii="Times New Roman" w:hAnsi="Times New Roman" w:cs="Times New Roman"/>
          <w:color w:val="000000" w:themeColor="text1"/>
          <w:sz w:val="24"/>
          <w:szCs w:val="24"/>
        </w:rPr>
      </w:pPr>
      <w:r w:rsidRPr="00C338A0">
        <w:rPr>
          <w:rFonts w:ascii="Times New Roman" w:hAnsi="Times New Roman" w:cs="Times New Roman"/>
          <w:color w:val="000000" w:themeColor="text1"/>
          <w:sz w:val="24"/>
          <w:szCs w:val="24"/>
        </w:rPr>
        <w:t xml:space="preserve">Os </w:t>
      </w:r>
      <w:proofErr w:type="spellStart"/>
      <w:r w:rsidRPr="00E8331B">
        <w:rPr>
          <w:rFonts w:ascii="Times New Roman" w:hAnsi="Times New Roman" w:cs="Times New Roman"/>
          <w:i/>
          <w:color w:val="000000" w:themeColor="text1"/>
          <w:sz w:val="24"/>
          <w:szCs w:val="24"/>
        </w:rPr>
        <w:t>covenants</w:t>
      </w:r>
      <w:proofErr w:type="spellEnd"/>
      <w:r w:rsidRPr="00C338A0">
        <w:rPr>
          <w:rFonts w:ascii="Times New Roman" w:hAnsi="Times New Roman" w:cs="Times New Roman"/>
          <w:color w:val="000000" w:themeColor="text1"/>
          <w:sz w:val="24"/>
          <w:szCs w:val="24"/>
        </w:rPr>
        <w:t xml:space="preserve"> são importantes, pois protegem os interesses do credor, possibilitam a redução do risco de não recebimento do valor emprestado, e também uma taxa de juros menor ao devedor, reduzindo dessa forma, o custo da dívid</w:t>
      </w:r>
      <w:r>
        <w:rPr>
          <w:rFonts w:ascii="Times New Roman" w:hAnsi="Times New Roman" w:cs="Times New Roman"/>
          <w:color w:val="000000" w:themeColor="text1"/>
          <w:sz w:val="24"/>
          <w:szCs w:val="24"/>
        </w:rPr>
        <w:t xml:space="preserve">a. Conforme relatado pela empresa </w:t>
      </w:r>
      <w:proofErr w:type="spellStart"/>
      <w:r>
        <w:rPr>
          <w:rFonts w:ascii="Times New Roman" w:hAnsi="Times New Roman" w:cs="Times New Roman"/>
          <w:color w:val="000000" w:themeColor="text1"/>
          <w:sz w:val="24"/>
          <w:szCs w:val="24"/>
        </w:rPr>
        <w:t>Even</w:t>
      </w:r>
      <w:proofErr w:type="spellEnd"/>
      <w:r>
        <w:rPr>
          <w:rFonts w:ascii="Times New Roman" w:hAnsi="Times New Roman" w:cs="Times New Roman"/>
          <w:color w:val="000000" w:themeColor="text1"/>
          <w:sz w:val="24"/>
          <w:szCs w:val="24"/>
        </w:rPr>
        <w:t xml:space="preserve"> (2015) em seu formulário de referência</w:t>
      </w:r>
      <w:r w:rsidRPr="009F7926">
        <w:rPr>
          <w:rFonts w:ascii="Times New Roman" w:hAnsi="Times New Roman" w:cs="Times New Roman"/>
          <w:color w:val="000000" w:themeColor="text1"/>
          <w:sz w:val="24"/>
          <w:szCs w:val="24"/>
        </w:rPr>
        <w:t>,</w:t>
      </w:r>
      <w:r w:rsidR="009F7926" w:rsidRPr="009F7926">
        <w:rPr>
          <w:rFonts w:ascii="Times New Roman" w:hAnsi="Times New Roman" w:cs="Times New Roman"/>
          <w:color w:val="000000" w:themeColor="text1"/>
          <w:sz w:val="24"/>
          <w:szCs w:val="24"/>
        </w:rPr>
        <w:t xml:space="preserve"> </w:t>
      </w:r>
      <w:r w:rsidR="009F7926">
        <w:rPr>
          <w:rFonts w:ascii="Times New Roman" w:hAnsi="Times New Roman" w:cs="Times New Roman"/>
          <w:color w:val="000000" w:themeColor="text1"/>
          <w:sz w:val="24"/>
          <w:szCs w:val="24"/>
        </w:rPr>
        <w:t>"</w:t>
      </w:r>
      <w:r w:rsidRPr="009F7926">
        <w:rPr>
          <w:rFonts w:ascii="Times New Roman" w:hAnsi="Times New Roman" w:cs="Times New Roman"/>
          <w:color w:val="000000" w:themeColor="text1"/>
          <w:sz w:val="24"/>
          <w:szCs w:val="24"/>
        </w:rPr>
        <w:t xml:space="preserve">Caso um </w:t>
      </w:r>
      <w:proofErr w:type="spellStart"/>
      <w:r w:rsidRPr="009F7926">
        <w:rPr>
          <w:rFonts w:ascii="Times New Roman" w:hAnsi="Times New Roman" w:cs="Times New Roman"/>
          <w:i/>
          <w:color w:val="000000" w:themeColor="text1"/>
          <w:sz w:val="24"/>
          <w:szCs w:val="24"/>
        </w:rPr>
        <w:t>covenant</w:t>
      </w:r>
      <w:proofErr w:type="spellEnd"/>
      <w:r w:rsidRPr="009F7926">
        <w:rPr>
          <w:rFonts w:ascii="Times New Roman" w:hAnsi="Times New Roman" w:cs="Times New Roman"/>
          <w:color w:val="000000" w:themeColor="text1"/>
          <w:sz w:val="24"/>
          <w:szCs w:val="24"/>
        </w:rPr>
        <w:t xml:space="preserve"> seja quebrado, o credor tem o direito de requerer o vencimento antecipado da dívida. Estas condições têm por objetivo reduzir o risco de não recebimento por parte do credor e, também reduzir o cus</w:t>
      </w:r>
      <w:r w:rsidR="009F7926">
        <w:rPr>
          <w:rFonts w:ascii="Times New Roman" w:hAnsi="Times New Roman" w:cs="Times New Roman"/>
          <w:color w:val="000000" w:themeColor="text1"/>
          <w:sz w:val="24"/>
          <w:szCs w:val="24"/>
        </w:rPr>
        <w:t>to da dívida".</w:t>
      </w:r>
    </w:p>
    <w:p w14:paraId="7A351958" w14:textId="77777777" w:rsidR="008F7B0E" w:rsidRDefault="00AB1617" w:rsidP="008F7B0E">
      <w:pPr>
        <w:pStyle w:val="PargrafodaLista"/>
        <w:spacing w:after="240" w:line="240" w:lineRule="auto"/>
        <w:ind w:left="0" w:firstLine="567"/>
        <w:jc w:val="both"/>
        <w:rPr>
          <w:rFonts w:ascii="Times New Roman" w:hAnsi="Times New Roman" w:cs="Times New Roman"/>
          <w:color w:val="000000" w:themeColor="text1"/>
          <w:sz w:val="24"/>
          <w:szCs w:val="24"/>
        </w:rPr>
      </w:pPr>
      <w:r w:rsidRPr="00E8331B">
        <w:rPr>
          <w:rFonts w:ascii="Times New Roman" w:hAnsi="Times New Roman" w:cs="Times New Roman"/>
          <w:color w:val="000000" w:themeColor="text1"/>
          <w:sz w:val="24"/>
          <w:szCs w:val="24"/>
        </w:rPr>
        <w:t xml:space="preserve">Watts e </w:t>
      </w:r>
      <w:proofErr w:type="spellStart"/>
      <w:r w:rsidRPr="00E8331B">
        <w:rPr>
          <w:rFonts w:ascii="Times New Roman" w:hAnsi="Times New Roman" w:cs="Times New Roman"/>
          <w:color w:val="000000" w:themeColor="text1"/>
          <w:sz w:val="24"/>
          <w:szCs w:val="24"/>
        </w:rPr>
        <w:t>Zimmerman</w:t>
      </w:r>
      <w:proofErr w:type="spellEnd"/>
      <w:r w:rsidRPr="00E8331B">
        <w:rPr>
          <w:rFonts w:ascii="Times New Roman" w:hAnsi="Times New Roman" w:cs="Times New Roman"/>
          <w:color w:val="000000" w:themeColor="text1"/>
          <w:sz w:val="24"/>
          <w:szCs w:val="24"/>
        </w:rPr>
        <w:t xml:space="preserve"> (1986) </w:t>
      </w:r>
      <w:r w:rsidRPr="00031D28">
        <w:rPr>
          <w:rFonts w:ascii="Times New Roman" w:hAnsi="Times New Roman" w:cs="Times New Roman"/>
          <w:i/>
          <w:color w:val="000000" w:themeColor="text1"/>
          <w:sz w:val="24"/>
          <w:szCs w:val="24"/>
        </w:rPr>
        <w:t>apud</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Beiruth</w:t>
      </w:r>
      <w:proofErr w:type="spellEnd"/>
      <w:r>
        <w:rPr>
          <w:rFonts w:ascii="Times New Roman" w:hAnsi="Times New Roman" w:cs="Times New Roman"/>
          <w:color w:val="000000" w:themeColor="text1"/>
          <w:sz w:val="24"/>
          <w:szCs w:val="24"/>
        </w:rPr>
        <w:t xml:space="preserve"> (2015) relatam</w:t>
      </w:r>
      <w:r w:rsidRPr="00E8331B">
        <w:rPr>
          <w:rFonts w:ascii="Times New Roman" w:hAnsi="Times New Roman" w:cs="Times New Roman"/>
          <w:color w:val="000000" w:themeColor="text1"/>
          <w:sz w:val="24"/>
          <w:szCs w:val="24"/>
        </w:rPr>
        <w:t xml:space="preserve"> que os </w:t>
      </w:r>
      <w:proofErr w:type="spellStart"/>
      <w:r w:rsidRPr="00E8331B">
        <w:rPr>
          <w:rFonts w:ascii="Times New Roman" w:hAnsi="Times New Roman" w:cs="Times New Roman"/>
          <w:i/>
          <w:color w:val="000000" w:themeColor="text1"/>
          <w:sz w:val="24"/>
          <w:szCs w:val="24"/>
        </w:rPr>
        <w:t>covenants</w:t>
      </w:r>
      <w:proofErr w:type="spellEnd"/>
      <w:r w:rsidRPr="00E8331B">
        <w:rPr>
          <w:rFonts w:ascii="Times New Roman" w:hAnsi="Times New Roman" w:cs="Times New Roman"/>
          <w:color w:val="000000" w:themeColor="text1"/>
          <w:sz w:val="24"/>
          <w:szCs w:val="24"/>
        </w:rPr>
        <w:t xml:space="preserve"> s</w:t>
      </w:r>
      <w:r>
        <w:rPr>
          <w:rFonts w:ascii="Times New Roman" w:hAnsi="Times New Roman" w:cs="Times New Roman"/>
          <w:color w:val="000000" w:themeColor="text1"/>
          <w:sz w:val="24"/>
          <w:szCs w:val="24"/>
        </w:rPr>
        <w:t>ão frequentemente apresentados por meio</w:t>
      </w:r>
      <w:r w:rsidRPr="00E8331B">
        <w:rPr>
          <w:rFonts w:ascii="Times New Roman" w:hAnsi="Times New Roman" w:cs="Times New Roman"/>
          <w:color w:val="000000" w:themeColor="text1"/>
          <w:sz w:val="24"/>
          <w:szCs w:val="24"/>
        </w:rPr>
        <w:t xml:space="preserve"> de indicadores contábeis, </w:t>
      </w:r>
      <w:r>
        <w:rPr>
          <w:rFonts w:ascii="Times New Roman" w:hAnsi="Times New Roman" w:cs="Times New Roman"/>
          <w:color w:val="000000" w:themeColor="text1"/>
          <w:sz w:val="24"/>
          <w:szCs w:val="24"/>
        </w:rPr>
        <w:t xml:space="preserve">e que há uma </w:t>
      </w:r>
      <w:r w:rsidRPr="00E8331B">
        <w:rPr>
          <w:rFonts w:ascii="Times New Roman" w:hAnsi="Times New Roman" w:cs="Times New Roman"/>
          <w:color w:val="000000" w:themeColor="text1"/>
          <w:sz w:val="24"/>
          <w:szCs w:val="24"/>
        </w:rPr>
        <w:t xml:space="preserve">forte relação entre </w:t>
      </w:r>
      <w:proofErr w:type="spellStart"/>
      <w:r w:rsidRPr="00E8331B">
        <w:rPr>
          <w:rFonts w:ascii="Times New Roman" w:hAnsi="Times New Roman" w:cs="Times New Roman"/>
          <w:i/>
          <w:color w:val="000000" w:themeColor="text1"/>
          <w:sz w:val="24"/>
          <w:szCs w:val="24"/>
        </w:rPr>
        <w:t>covenants</w:t>
      </w:r>
      <w:proofErr w:type="spellEnd"/>
      <w:r w:rsidRPr="00E8331B">
        <w:rPr>
          <w:rFonts w:ascii="Times New Roman" w:hAnsi="Times New Roman" w:cs="Times New Roman"/>
          <w:color w:val="000000" w:themeColor="text1"/>
          <w:sz w:val="24"/>
          <w:szCs w:val="24"/>
        </w:rPr>
        <w:t xml:space="preserve"> e as informações contábeis. A partir disso, este estudo torna-se relevante </w:t>
      </w:r>
      <w:r>
        <w:rPr>
          <w:rFonts w:ascii="Times New Roman" w:hAnsi="Times New Roman" w:cs="Times New Roman"/>
          <w:color w:val="000000" w:themeColor="text1"/>
          <w:sz w:val="24"/>
          <w:szCs w:val="24"/>
        </w:rPr>
        <w:t xml:space="preserve">por ter como um de seus objetivos específicos, classificar os indicadores contábeis evidenciados como </w:t>
      </w:r>
      <w:proofErr w:type="spellStart"/>
      <w:r>
        <w:rPr>
          <w:rFonts w:ascii="Times New Roman" w:hAnsi="Times New Roman" w:cs="Times New Roman"/>
          <w:i/>
          <w:color w:val="000000" w:themeColor="text1"/>
          <w:sz w:val="24"/>
          <w:szCs w:val="24"/>
        </w:rPr>
        <w:t>covenants</w:t>
      </w:r>
      <w:proofErr w:type="spellEnd"/>
      <w:r>
        <w:rPr>
          <w:rFonts w:ascii="Times New Roman" w:hAnsi="Times New Roman" w:cs="Times New Roman"/>
          <w:color w:val="000000" w:themeColor="text1"/>
          <w:sz w:val="24"/>
          <w:szCs w:val="24"/>
        </w:rPr>
        <w:t>, em relação ao Balanço Patrimonial e Demonstração do Resultado.</w:t>
      </w:r>
    </w:p>
    <w:p w14:paraId="621A4C36" w14:textId="77777777" w:rsidR="00AB1617" w:rsidRPr="00C338A0" w:rsidRDefault="00AB1617" w:rsidP="008F7B0E">
      <w:pPr>
        <w:pStyle w:val="PargrafodaLista"/>
        <w:spacing w:after="240" w:line="240" w:lineRule="auto"/>
        <w:ind w:left="0" w:firstLine="567"/>
        <w:jc w:val="both"/>
        <w:rPr>
          <w:rFonts w:ascii="Times New Roman" w:hAnsi="Times New Roman" w:cs="Times New Roman"/>
          <w:color w:val="000000" w:themeColor="text1"/>
          <w:sz w:val="24"/>
          <w:szCs w:val="24"/>
        </w:rPr>
      </w:pPr>
      <w:r w:rsidRPr="00C338A0">
        <w:rPr>
          <w:rFonts w:ascii="Times New Roman" w:hAnsi="Times New Roman" w:cs="Times New Roman"/>
          <w:color w:val="000000" w:themeColor="text1"/>
          <w:sz w:val="24"/>
          <w:szCs w:val="24"/>
        </w:rPr>
        <w:t xml:space="preserve">De acordo com Perin e </w:t>
      </w:r>
      <w:proofErr w:type="spellStart"/>
      <w:r w:rsidRPr="00C338A0">
        <w:rPr>
          <w:rFonts w:ascii="Times New Roman" w:hAnsi="Times New Roman" w:cs="Times New Roman"/>
          <w:color w:val="000000" w:themeColor="text1"/>
          <w:sz w:val="24"/>
          <w:szCs w:val="24"/>
        </w:rPr>
        <w:t>Glitz</w:t>
      </w:r>
      <w:proofErr w:type="spellEnd"/>
      <w:r w:rsidRPr="00C338A0">
        <w:rPr>
          <w:rFonts w:ascii="Times New Roman" w:hAnsi="Times New Roman" w:cs="Times New Roman"/>
          <w:color w:val="000000" w:themeColor="text1"/>
          <w:sz w:val="24"/>
          <w:szCs w:val="24"/>
        </w:rPr>
        <w:t xml:space="preserve"> (2015</w:t>
      </w:r>
      <w:r>
        <w:rPr>
          <w:rFonts w:ascii="Times New Roman" w:hAnsi="Times New Roman" w:cs="Times New Roman"/>
          <w:color w:val="000000" w:themeColor="text1"/>
          <w:sz w:val="24"/>
          <w:szCs w:val="24"/>
        </w:rPr>
        <w:t>, p. 1379</w:t>
      </w:r>
      <w:r w:rsidRPr="00C338A0">
        <w:rPr>
          <w:rFonts w:ascii="Times New Roman" w:hAnsi="Times New Roman" w:cs="Times New Roman"/>
          <w:color w:val="000000" w:themeColor="text1"/>
          <w:sz w:val="24"/>
          <w:szCs w:val="24"/>
        </w:rPr>
        <w:t>) “c</w:t>
      </w:r>
      <w:r w:rsidRPr="00E8331B">
        <w:rPr>
          <w:rFonts w:ascii="Times New Roman" w:hAnsi="Times New Roman" w:cs="Times New Roman"/>
          <w:color w:val="000000" w:themeColor="text1"/>
          <w:sz w:val="24"/>
          <w:szCs w:val="24"/>
        </w:rPr>
        <w:t xml:space="preserve">omo mecanismo financeiro, o </w:t>
      </w:r>
      <w:proofErr w:type="spellStart"/>
      <w:r w:rsidRPr="00E8331B">
        <w:rPr>
          <w:rFonts w:ascii="Times New Roman" w:hAnsi="Times New Roman" w:cs="Times New Roman"/>
          <w:i/>
          <w:iCs/>
          <w:color w:val="000000" w:themeColor="text1"/>
          <w:sz w:val="24"/>
          <w:szCs w:val="24"/>
        </w:rPr>
        <w:t>covenant</w:t>
      </w:r>
      <w:proofErr w:type="spellEnd"/>
      <w:r w:rsidRPr="00E8331B">
        <w:rPr>
          <w:rFonts w:ascii="Times New Roman" w:hAnsi="Times New Roman" w:cs="Times New Roman"/>
          <w:i/>
          <w:iCs/>
          <w:color w:val="000000" w:themeColor="text1"/>
          <w:sz w:val="24"/>
          <w:szCs w:val="24"/>
        </w:rPr>
        <w:t xml:space="preserve"> </w:t>
      </w:r>
      <w:r w:rsidRPr="00E8331B">
        <w:rPr>
          <w:rFonts w:ascii="Times New Roman" w:hAnsi="Times New Roman" w:cs="Times New Roman"/>
          <w:color w:val="000000" w:themeColor="text1"/>
          <w:sz w:val="24"/>
          <w:szCs w:val="24"/>
        </w:rPr>
        <w:t>tem-se mostrado útil não só do ponto de vista de permitir a avaliação (e minoração) dos riscos creditícios, como, em alguma medida, a ingerência do credor bancá</w:t>
      </w:r>
      <w:r>
        <w:rPr>
          <w:rFonts w:ascii="Times New Roman" w:hAnsi="Times New Roman" w:cs="Times New Roman"/>
          <w:color w:val="000000" w:themeColor="text1"/>
          <w:sz w:val="24"/>
          <w:szCs w:val="24"/>
        </w:rPr>
        <w:t xml:space="preserve">rio na atividade empresarial”. </w:t>
      </w:r>
      <w:r w:rsidRPr="00E8331B">
        <w:rPr>
          <w:rFonts w:ascii="Times New Roman" w:hAnsi="Times New Roman" w:cs="Times New Roman"/>
          <w:color w:val="000000" w:themeColor="text1"/>
          <w:sz w:val="24"/>
          <w:szCs w:val="24"/>
        </w:rPr>
        <w:t xml:space="preserve">Portanto, </w:t>
      </w:r>
      <w:r w:rsidR="008F7B0E">
        <w:rPr>
          <w:rFonts w:ascii="Times New Roman" w:hAnsi="Times New Roman" w:cs="Times New Roman"/>
          <w:color w:val="000000" w:themeColor="text1"/>
          <w:sz w:val="24"/>
          <w:szCs w:val="24"/>
        </w:rPr>
        <w:t>se mostra</w:t>
      </w:r>
      <w:r w:rsidRPr="00C338A0">
        <w:rPr>
          <w:rFonts w:ascii="Times New Roman" w:hAnsi="Times New Roman" w:cs="Times New Roman"/>
          <w:color w:val="000000" w:themeColor="text1"/>
          <w:sz w:val="24"/>
          <w:szCs w:val="24"/>
        </w:rPr>
        <w:t xml:space="preserve"> essencial que o profissional contábil conheça os </w:t>
      </w:r>
      <w:proofErr w:type="spellStart"/>
      <w:r w:rsidRPr="00E8331B">
        <w:rPr>
          <w:rFonts w:ascii="Times New Roman" w:hAnsi="Times New Roman" w:cs="Times New Roman"/>
          <w:i/>
          <w:color w:val="000000" w:themeColor="text1"/>
          <w:sz w:val="24"/>
          <w:szCs w:val="24"/>
        </w:rPr>
        <w:t>covenants</w:t>
      </w:r>
      <w:proofErr w:type="spellEnd"/>
      <w:r w:rsidRPr="00C338A0">
        <w:rPr>
          <w:rFonts w:ascii="Times New Roman" w:hAnsi="Times New Roman" w:cs="Times New Roman"/>
          <w:color w:val="000000" w:themeColor="text1"/>
          <w:sz w:val="24"/>
          <w:szCs w:val="24"/>
        </w:rPr>
        <w:t xml:space="preserve"> presentes nos contratos de crédito realizados por</w:t>
      </w:r>
      <w:r w:rsidR="008F7B0E">
        <w:rPr>
          <w:rFonts w:ascii="Times New Roman" w:hAnsi="Times New Roman" w:cs="Times New Roman"/>
          <w:color w:val="000000" w:themeColor="text1"/>
          <w:sz w:val="24"/>
          <w:szCs w:val="24"/>
        </w:rPr>
        <w:t xml:space="preserve"> suas empresas ou </w:t>
      </w:r>
      <w:r w:rsidRPr="00C338A0">
        <w:rPr>
          <w:rFonts w:ascii="Times New Roman" w:hAnsi="Times New Roman" w:cs="Times New Roman"/>
          <w:color w:val="000000" w:themeColor="text1"/>
          <w:sz w:val="24"/>
          <w:szCs w:val="24"/>
        </w:rPr>
        <w:t>seus clientes, e realize as melhores práti</w:t>
      </w:r>
      <w:r>
        <w:rPr>
          <w:rFonts w:ascii="Times New Roman" w:hAnsi="Times New Roman" w:cs="Times New Roman"/>
          <w:color w:val="000000" w:themeColor="text1"/>
          <w:sz w:val="24"/>
          <w:szCs w:val="24"/>
        </w:rPr>
        <w:t xml:space="preserve">cas contábeis a fim de evitar </w:t>
      </w:r>
      <w:r w:rsidR="008F7B0E">
        <w:rPr>
          <w:rFonts w:ascii="Times New Roman" w:hAnsi="Times New Roman" w:cs="Times New Roman"/>
          <w:color w:val="000000" w:themeColor="text1"/>
          <w:sz w:val="24"/>
          <w:szCs w:val="24"/>
        </w:rPr>
        <w:t>a sua violação</w:t>
      </w:r>
      <w:r w:rsidRPr="00C338A0">
        <w:rPr>
          <w:rFonts w:ascii="Times New Roman" w:hAnsi="Times New Roman" w:cs="Times New Roman"/>
          <w:color w:val="000000" w:themeColor="text1"/>
          <w:sz w:val="24"/>
          <w:szCs w:val="24"/>
        </w:rPr>
        <w:t>.</w:t>
      </w:r>
    </w:p>
    <w:p w14:paraId="25EAAE94" w14:textId="77777777" w:rsidR="00FB7AA3" w:rsidRPr="00456B7A" w:rsidRDefault="00FB7AA3" w:rsidP="008B18FA">
      <w:pPr>
        <w:pStyle w:val="Ttulo1"/>
        <w:spacing w:line="240" w:lineRule="auto"/>
        <w:ind w:firstLine="0"/>
        <w:rPr>
          <w:color w:val="auto"/>
          <w:sz w:val="24"/>
          <w:szCs w:val="24"/>
        </w:rPr>
      </w:pPr>
      <w:bookmarkStart w:id="1" w:name="_Toc455057029"/>
      <w:r w:rsidRPr="00456B7A">
        <w:rPr>
          <w:rFonts w:eastAsiaTheme="minorHAnsi"/>
          <w:bCs w:val="0"/>
          <w:color w:val="auto"/>
          <w:sz w:val="24"/>
          <w:szCs w:val="24"/>
        </w:rPr>
        <w:t>2</w:t>
      </w:r>
      <w:bookmarkEnd w:id="1"/>
      <w:r w:rsidRPr="00456B7A">
        <w:rPr>
          <w:color w:val="auto"/>
          <w:sz w:val="24"/>
          <w:szCs w:val="24"/>
        </w:rPr>
        <w:t xml:space="preserve"> </w:t>
      </w:r>
      <w:bookmarkStart w:id="2" w:name="_Toc454969515"/>
      <w:bookmarkStart w:id="3" w:name="_Toc454970689"/>
      <w:bookmarkStart w:id="4" w:name="_Toc454969516"/>
      <w:bookmarkStart w:id="5" w:name="_Toc454970690"/>
      <w:bookmarkStart w:id="6" w:name="_Toc454969517"/>
      <w:bookmarkStart w:id="7" w:name="_Toc454970691"/>
      <w:bookmarkStart w:id="8" w:name="_Toc454969518"/>
      <w:bookmarkStart w:id="9" w:name="_Toc454970692"/>
      <w:bookmarkStart w:id="10" w:name="_Toc454969519"/>
      <w:bookmarkStart w:id="11" w:name="_Toc454970693"/>
      <w:bookmarkStart w:id="12" w:name="_Toc454969520"/>
      <w:bookmarkStart w:id="13" w:name="_Toc454970694"/>
      <w:bookmarkStart w:id="14" w:name="_Toc454969521"/>
      <w:bookmarkStart w:id="15" w:name="_Toc454970695"/>
      <w:bookmarkStart w:id="16" w:name="_Toc454969522"/>
      <w:bookmarkStart w:id="17" w:name="_Toc454970696"/>
      <w:bookmarkStart w:id="18" w:name="_Toc454969523"/>
      <w:bookmarkStart w:id="19" w:name="_Toc454970697"/>
      <w:bookmarkStart w:id="20" w:name="_Toc454969524"/>
      <w:bookmarkStart w:id="21" w:name="_Toc454970698"/>
      <w:bookmarkStart w:id="22" w:name="_Toc454969525"/>
      <w:bookmarkStart w:id="23" w:name="_Toc454970699"/>
      <w:bookmarkStart w:id="24" w:name="_Toc454969526"/>
      <w:bookmarkStart w:id="25" w:name="_Toc454970700"/>
      <w:bookmarkStart w:id="26" w:name="_Toc454969527"/>
      <w:bookmarkStart w:id="27" w:name="_Toc454970701"/>
      <w:bookmarkStart w:id="28" w:name="_Toc454969528"/>
      <w:bookmarkStart w:id="29" w:name="_Toc454970702"/>
      <w:bookmarkStart w:id="30" w:name="_Toc454969529"/>
      <w:bookmarkStart w:id="31" w:name="_Toc454970703"/>
      <w:bookmarkStart w:id="32" w:name="_Toc454969530"/>
      <w:bookmarkStart w:id="33" w:name="_Toc454970704"/>
      <w:bookmarkStart w:id="34" w:name="_Toc452903753"/>
      <w:bookmarkStart w:id="35" w:name="_Toc453351010"/>
      <w:bookmarkStart w:id="36" w:name="_Toc453351495"/>
      <w:bookmarkStart w:id="37" w:name="_Toc453412865"/>
      <w:bookmarkStart w:id="38" w:name="_Toc453515911"/>
      <w:bookmarkStart w:id="39" w:name="_Toc45505703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456B7A">
        <w:rPr>
          <w:color w:val="auto"/>
          <w:sz w:val="24"/>
          <w:szCs w:val="24"/>
        </w:rPr>
        <w:t>FUNDAMENTAÇÃO TEÓRICA</w:t>
      </w:r>
      <w:bookmarkStart w:id="40" w:name="_Toc452903754"/>
      <w:bookmarkStart w:id="41" w:name="_Toc453351011"/>
      <w:bookmarkStart w:id="42" w:name="_Toc453351496"/>
      <w:bookmarkStart w:id="43" w:name="_Toc453412866"/>
      <w:bookmarkStart w:id="44" w:name="_Toc453515912"/>
      <w:bookmarkEnd w:id="34"/>
      <w:bookmarkEnd w:id="35"/>
      <w:bookmarkEnd w:id="36"/>
      <w:bookmarkEnd w:id="37"/>
      <w:bookmarkEnd w:id="38"/>
      <w:bookmarkEnd w:id="39"/>
    </w:p>
    <w:p w14:paraId="37381A04" w14:textId="77777777" w:rsidR="00FB7AA3" w:rsidRDefault="00FB7AA3" w:rsidP="008B18FA">
      <w:pPr>
        <w:pStyle w:val="Ttulo2"/>
        <w:spacing w:line="240" w:lineRule="auto"/>
        <w:rPr>
          <w:rFonts w:ascii="Times New Roman" w:hAnsi="Times New Roman" w:cs="Times New Roman"/>
          <w:sz w:val="24"/>
          <w:szCs w:val="24"/>
        </w:rPr>
      </w:pPr>
      <w:bookmarkStart w:id="45" w:name="_Toc455057031"/>
      <w:r w:rsidRPr="00456B7A">
        <w:rPr>
          <w:rFonts w:ascii="Times New Roman" w:hAnsi="Times New Roman" w:cs="Times New Roman"/>
          <w:b w:val="0"/>
          <w:color w:val="auto"/>
          <w:sz w:val="24"/>
          <w:szCs w:val="24"/>
        </w:rPr>
        <w:t>2.1</w:t>
      </w:r>
      <w:r w:rsidRPr="00456B7A">
        <w:rPr>
          <w:rFonts w:ascii="Times New Roman" w:hAnsi="Times New Roman" w:cs="Times New Roman"/>
          <w:b w:val="0"/>
          <w:i/>
          <w:color w:val="auto"/>
          <w:sz w:val="24"/>
          <w:szCs w:val="24"/>
        </w:rPr>
        <w:t xml:space="preserve"> </w:t>
      </w:r>
      <w:r w:rsidR="00A8754A" w:rsidRPr="00A8754A">
        <w:rPr>
          <w:rFonts w:ascii="Times New Roman" w:hAnsi="Times New Roman" w:cs="Times New Roman"/>
          <w:b w:val="0"/>
          <w:color w:val="auto"/>
          <w:sz w:val="24"/>
          <w:szCs w:val="24"/>
        </w:rPr>
        <w:t>Conceito de</w:t>
      </w:r>
      <w:r w:rsidR="00A8754A">
        <w:rPr>
          <w:rFonts w:ascii="Times New Roman" w:hAnsi="Times New Roman" w:cs="Times New Roman"/>
          <w:b w:val="0"/>
          <w:i/>
          <w:color w:val="auto"/>
          <w:sz w:val="24"/>
          <w:szCs w:val="24"/>
        </w:rPr>
        <w:t xml:space="preserve"> </w:t>
      </w:r>
      <w:proofErr w:type="spellStart"/>
      <w:r w:rsidR="00A8754A" w:rsidRPr="00456B7A">
        <w:rPr>
          <w:rFonts w:ascii="Times New Roman" w:hAnsi="Times New Roman" w:cs="Times New Roman"/>
          <w:b w:val="0"/>
          <w:i/>
          <w:color w:val="auto"/>
          <w:sz w:val="24"/>
          <w:szCs w:val="24"/>
        </w:rPr>
        <w:t>covenants</w:t>
      </w:r>
      <w:bookmarkEnd w:id="45"/>
      <w:proofErr w:type="spellEnd"/>
      <w:r w:rsidRPr="00456B7A">
        <w:rPr>
          <w:rFonts w:ascii="Times New Roman" w:hAnsi="Times New Roman" w:cs="Times New Roman"/>
          <w:sz w:val="24"/>
          <w:szCs w:val="24"/>
        </w:rPr>
        <w:br/>
      </w:r>
      <w:bookmarkEnd w:id="40"/>
      <w:bookmarkEnd w:id="41"/>
      <w:bookmarkEnd w:id="42"/>
      <w:bookmarkEnd w:id="43"/>
      <w:bookmarkEnd w:id="44"/>
    </w:p>
    <w:p w14:paraId="7E4AD268" w14:textId="77777777" w:rsidR="00FB7AA3" w:rsidRPr="008D21FB" w:rsidRDefault="00FB7AA3" w:rsidP="008B18FA">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As empresas e instituições financeiras ao gerenciar um financiamento ou emitir debêntures impõem no contrato cláusulas de deveres e obrigações ao tomador de recursos como uma espécie de garantia a fim de mitigar os riscos, principalmente no que se refere ao recebimento da dívida. Estas cláusulas de restrições são chamadas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w:t>
      </w:r>
    </w:p>
    <w:p w14:paraId="1776E083" w14:textId="77777777" w:rsidR="00FB7AA3" w:rsidRPr="002153E2" w:rsidRDefault="00FB7AA3" w:rsidP="002153E2">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Segundo Perin e </w:t>
      </w:r>
      <w:proofErr w:type="spellStart"/>
      <w:r w:rsidRPr="008D21FB">
        <w:rPr>
          <w:rFonts w:ascii="Times New Roman" w:hAnsi="Times New Roman" w:cs="Times New Roman"/>
          <w:sz w:val="24"/>
          <w:szCs w:val="24"/>
        </w:rPr>
        <w:t>Glitz</w:t>
      </w:r>
      <w:proofErr w:type="spellEnd"/>
      <w:r w:rsidRPr="008D21FB">
        <w:rPr>
          <w:rFonts w:ascii="Times New Roman" w:hAnsi="Times New Roman" w:cs="Times New Roman"/>
          <w:sz w:val="24"/>
          <w:szCs w:val="24"/>
        </w:rPr>
        <w:t xml:space="preserve"> (2015</w:t>
      </w:r>
      <w:r>
        <w:rPr>
          <w:rFonts w:ascii="Times New Roman" w:hAnsi="Times New Roman" w:cs="Times New Roman"/>
          <w:sz w:val="24"/>
          <w:szCs w:val="24"/>
        </w:rPr>
        <w:t>, p.1377</w:t>
      </w:r>
      <w:r w:rsidRPr="008D21FB">
        <w:rPr>
          <w:rFonts w:ascii="Times New Roman" w:hAnsi="Times New Roman" w:cs="Times New Roman"/>
          <w:sz w:val="24"/>
          <w:szCs w:val="24"/>
        </w:rPr>
        <w:t xml:space="preserve">),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são bastante utilizados nos Estados Unidos, e no inglês, o vocábulo significa algo próximo às noções de convenção, pacto, convênio, cláusula d</w:t>
      </w:r>
      <w:r>
        <w:rPr>
          <w:rFonts w:ascii="Times New Roman" w:hAnsi="Times New Roman" w:cs="Times New Roman"/>
          <w:sz w:val="24"/>
          <w:szCs w:val="24"/>
        </w:rPr>
        <w:t>e contrato. Os autores definem</w:t>
      </w:r>
      <w:r w:rsidRPr="008D21FB">
        <w:rPr>
          <w:rFonts w:ascii="Times New Roman" w:hAnsi="Times New Roman" w:cs="Times New Roman"/>
          <w:sz w:val="24"/>
          <w:szCs w:val="24"/>
        </w:rPr>
        <w:t xml:space="preserve"> </w:t>
      </w:r>
      <w:proofErr w:type="spellStart"/>
      <w:r w:rsidRPr="008D21FB">
        <w:rPr>
          <w:rFonts w:ascii="Times New Roman" w:hAnsi="Times New Roman" w:cs="Times New Roman"/>
          <w:i/>
          <w:iCs/>
          <w:sz w:val="24"/>
          <w:szCs w:val="24"/>
        </w:rPr>
        <w:t>covenant</w:t>
      </w:r>
      <w:proofErr w:type="spellEnd"/>
      <w:r w:rsidR="002153E2">
        <w:rPr>
          <w:rFonts w:ascii="Times New Roman" w:hAnsi="Times New Roman" w:cs="Times New Roman"/>
          <w:sz w:val="24"/>
          <w:szCs w:val="24"/>
        </w:rPr>
        <w:t xml:space="preserve"> como </w:t>
      </w:r>
      <w:r w:rsidR="002153E2" w:rsidRPr="002153E2">
        <w:rPr>
          <w:rFonts w:ascii="Times New Roman" w:hAnsi="Times New Roman" w:cs="Times New Roman"/>
          <w:sz w:val="24"/>
          <w:szCs w:val="24"/>
        </w:rPr>
        <w:t>"</w:t>
      </w:r>
      <w:r w:rsidRPr="002153E2">
        <w:rPr>
          <w:rFonts w:ascii="Times New Roman" w:hAnsi="Times New Roman" w:cs="Times New Roman"/>
          <w:sz w:val="24"/>
          <w:szCs w:val="24"/>
        </w:rPr>
        <w:t xml:space="preserve">uma cláusula pactuada entre o agente financiador e o tomador de crédito, de modo a se resguardar o credor em situações de possível inadimplemento ou de eventuais modificações estruturais por </w:t>
      </w:r>
      <w:r w:rsidR="002153E2">
        <w:rPr>
          <w:rFonts w:ascii="Times New Roman" w:hAnsi="Times New Roman" w:cs="Times New Roman"/>
          <w:sz w:val="24"/>
          <w:szCs w:val="24"/>
        </w:rPr>
        <w:t>parte da tomadora dos recursos</w:t>
      </w:r>
      <w:r w:rsidR="002153E2" w:rsidRPr="002153E2">
        <w:rPr>
          <w:rFonts w:ascii="Times New Roman" w:hAnsi="Times New Roman" w:cs="Times New Roman"/>
          <w:sz w:val="24"/>
          <w:szCs w:val="24"/>
        </w:rPr>
        <w:t>"</w:t>
      </w:r>
      <w:r w:rsidR="002153E2">
        <w:rPr>
          <w:rFonts w:ascii="Times New Roman" w:hAnsi="Times New Roman" w:cs="Times New Roman"/>
          <w:sz w:val="24"/>
          <w:szCs w:val="24"/>
        </w:rPr>
        <w:t>.</w:t>
      </w:r>
    </w:p>
    <w:p w14:paraId="468FB777" w14:textId="77777777" w:rsidR="00FB7AA3" w:rsidRPr="008D21FB"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Borges (1999</w:t>
      </w:r>
      <w:r>
        <w:rPr>
          <w:rFonts w:ascii="Times New Roman" w:hAnsi="Times New Roman" w:cs="Times New Roman"/>
          <w:sz w:val="24"/>
          <w:szCs w:val="24"/>
        </w:rPr>
        <w:t>, p.13</w:t>
      </w:r>
      <w:r w:rsidRPr="008D21FB">
        <w:rPr>
          <w:rFonts w:ascii="Times New Roman" w:hAnsi="Times New Roman" w:cs="Times New Roman"/>
          <w:sz w:val="24"/>
          <w:szCs w:val="24"/>
        </w:rPr>
        <w:t>) complementa a definição como “</w:t>
      </w:r>
      <w:r w:rsidRPr="008D21FB">
        <w:rPr>
          <w:rFonts w:ascii="Times New Roman" w:hAnsi="Times New Roman" w:cs="Times New Roman"/>
          <w:color w:val="000000"/>
          <w:sz w:val="24"/>
          <w:szCs w:val="24"/>
        </w:rPr>
        <w:t>um sistema de garantia indireta, próprio de financiamentos, representado por um conjunto de obrigações contratuais acessórias, positivas ou negativas, objetivando o pagamento da dívida”. Segundo o autor, e</w:t>
      </w:r>
      <w:r w:rsidRPr="008D21FB">
        <w:rPr>
          <w:rFonts w:ascii="Times New Roman" w:hAnsi="Times New Roman" w:cs="Times New Roman"/>
          <w:sz w:val="24"/>
          <w:szCs w:val="24"/>
        </w:rPr>
        <w:t xml:space="preserve">quiparam-se as obrigações de fazer e </w:t>
      </w:r>
      <w:r>
        <w:rPr>
          <w:rFonts w:ascii="Times New Roman" w:hAnsi="Times New Roman" w:cs="Times New Roman"/>
          <w:sz w:val="24"/>
          <w:szCs w:val="24"/>
        </w:rPr>
        <w:t>não fazer, presentes no Código C</w:t>
      </w:r>
      <w:r w:rsidRPr="008D21FB">
        <w:rPr>
          <w:rFonts w:ascii="Times New Roman" w:hAnsi="Times New Roman" w:cs="Times New Roman"/>
          <w:sz w:val="24"/>
          <w:szCs w:val="24"/>
        </w:rPr>
        <w:t xml:space="preserve">ivil como obrigações civis ou comerciais acessórias. As obrigações de fazer, positivas, estariam relacionadas às práticas de gestão indispensáveis a empresa, como por exemplos: manter escrituração adequada, ceder cópias das demonstrações financeiras auditadas, informar fatos relevantes e suas prevenções. Enquanto as obrigações de não fazer, negativas, são limitações impostas aos administradores, exemplos: não assumir ou garantir obrigações de terceiros, exceto as ordinárias, não permitir privilégios e prioridades. </w:t>
      </w:r>
    </w:p>
    <w:p w14:paraId="127E1AB6" w14:textId="77777777" w:rsidR="00FB7AA3" w:rsidRPr="008D21FB"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 A principal função do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portanto, é controlar as atividades da empresa, limitando ou requerendo certas ações do devedor. A partir disso, evita-se que o devedor não efetue o pagamento da dívida ou gere um pedido de recuperação judicial. Segundo Silva (2008) os contratos de títulos de dívidas geralmente possuem uma cláusula de vencimento antecipado da dívida em casos de inadimplemento das obrigações. Dessa forma os credores podem exigir</w:t>
      </w:r>
      <w:r>
        <w:rPr>
          <w:rFonts w:ascii="Times New Roman" w:hAnsi="Times New Roman" w:cs="Times New Roman"/>
          <w:sz w:val="24"/>
          <w:szCs w:val="24"/>
        </w:rPr>
        <w:t>,</w:t>
      </w:r>
      <w:r w:rsidRPr="008D21FB">
        <w:rPr>
          <w:rFonts w:ascii="Times New Roman" w:hAnsi="Times New Roman" w:cs="Times New Roman"/>
          <w:sz w:val="24"/>
          <w:szCs w:val="24"/>
        </w:rPr>
        <w:t xml:space="preserve"> se estabelecido no contrato, o pagamento antecipado da dívida.</w:t>
      </w:r>
    </w:p>
    <w:p w14:paraId="0AD380BA" w14:textId="77777777" w:rsidR="00FB7AA3" w:rsidRPr="008D21FB"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 Silva (2008</w:t>
      </w:r>
      <w:r>
        <w:rPr>
          <w:rFonts w:ascii="Times New Roman" w:hAnsi="Times New Roman" w:cs="Times New Roman"/>
          <w:sz w:val="24"/>
          <w:szCs w:val="24"/>
        </w:rPr>
        <w:t>, p.43</w:t>
      </w:r>
      <w:r w:rsidRPr="008D21FB">
        <w:rPr>
          <w:rFonts w:ascii="Times New Roman" w:hAnsi="Times New Roman" w:cs="Times New Roman"/>
          <w:sz w:val="24"/>
          <w:szCs w:val="24"/>
        </w:rPr>
        <w:t>) descreve sobre as vantagens e desvantagens do</w:t>
      </w:r>
      <w:r>
        <w:rPr>
          <w:rFonts w:ascii="Times New Roman" w:hAnsi="Times New Roman" w:cs="Times New Roman"/>
          <w:sz w:val="24"/>
          <w:szCs w:val="24"/>
        </w:rPr>
        <w:t>s</w:t>
      </w:r>
      <w:r w:rsidRPr="008D21FB">
        <w:rPr>
          <w:rFonts w:ascii="Times New Roman" w:hAnsi="Times New Roman" w:cs="Times New Roman"/>
          <w:sz w:val="24"/>
          <w:szCs w:val="24"/>
        </w:rPr>
        <w:t xml:space="preserv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da seguinte forma:</w:t>
      </w:r>
    </w:p>
    <w:p w14:paraId="6EFE136B" w14:textId="77777777" w:rsidR="00FB7AA3" w:rsidRPr="008D21FB" w:rsidRDefault="00FB7AA3" w:rsidP="002153E2">
      <w:pPr>
        <w:spacing w:after="120" w:line="240" w:lineRule="auto"/>
        <w:ind w:left="2268"/>
        <w:jc w:val="both"/>
        <w:rPr>
          <w:rFonts w:ascii="Times New Roman" w:hAnsi="Times New Roman" w:cs="Times New Roman"/>
          <w:sz w:val="23"/>
          <w:szCs w:val="23"/>
        </w:rPr>
      </w:pPr>
      <w:r w:rsidRPr="008D21FB">
        <w:rPr>
          <w:rFonts w:ascii="Times New Roman" w:hAnsi="Times New Roman" w:cs="Times New Roman"/>
          <w:sz w:val="20"/>
          <w:szCs w:val="20"/>
        </w:rPr>
        <w:t xml:space="preserve">A inclusão de </w:t>
      </w:r>
      <w:proofErr w:type="spellStart"/>
      <w:r w:rsidRPr="008D21FB">
        <w:rPr>
          <w:rFonts w:ascii="Times New Roman" w:hAnsi="Times New Roman" w:cs="Times New Roman"/>
          <w:i/>
          <w:sz w:val="20"/>
          <w:szCs w:val="20"/>
        </w:rPr>
        <w:t>covenants</w:t>
      </w:r>
      <w:proofErr w:type="spellEnd"/>
      <w:r w:rsidRPr="008D21FB">
        <w:rPr>
          <w:rFonts w:ascii="Times New Roman" w:hAnsi="Times New Roman" w:cs="Times New Roman"/>
          <w:sz w:val="20"/>
          <w:szCs w:val="20"/>
        </w:rPr>
        <w:t xml:space="preserve"> em títulos de dívida pode apresentar custos e benefícios para o acionista. Os custos são incorridos se os </w:t>
      </w:r>
      <w:proofErr w:type="spellStart"/>
      <w:r w:rsidRPr="008D21FB">
        <w:rPr>
          <w:rFonts w:ascii="Times New Roman" w:hAnsi="Times New Roman" w:cs="Times New Roman"/>
          <w:i/>
          <w:sz w:val="20"/>
          <w:szCs w:val="20"/>
        </w:rPr>
        <w:t>covenants</w:t>
      </w:r>
      <w:proofErr w:type="spellEnd"/>
      <w:r w:rsidRPr="008D21FB">
        <w:rPr>
          <w:rFonts w:ascii="Times New Roman" w:hAnsi="Times New Roman" w:cs="Times New Roman"/>
          <w:sz w:val="20"/>
          <w:szCs w:val="20"/>
        </w:rPr>
        <w:t xml:space="preserve"> proibirem os administradores de tomar ações que maximizem o valor da empresa ou induzi-los a escolher ações que não maximizam o valor da empresa. Os benefícios surgem se os </w:t>
      </w:r>
      <w:proofErr w:type="spellStart"/>
      <w:r w:rsidRPr="008D21FB">
        <w:rPr>
          <w:rFonts w:ascii="Times New Roman" w:hAnsi="Times New Roman" w:cs="Times New Roman"/>
          <w:i/>
          <w:sz w:val="20"/>
          <w:szCs w:val="20"/>
        </w:rPr>
        <w:t>covenants</w:t>
      </w:r>
      <w:proofErr w:type="spellEnd"/>
      <w:r w:rsidRPr="008D21FB">
        <w:rPr>
          <w:rFonts w:ascii="Times New Roman" w:hAnsi="Times New Roman" w:cs="Times New Roman"/>
          <w:sz w:val="20"/>
          <w:szCs w:val="20"/>
        </w:rPr>
        <w:t xml:space="preserve"> proibirem o administrador de tomar ações oportunistas que reduzam o valor da empresa e induzam os administradores a não tomarem essas ações.</w:t>
      </w:r>
    </w:p>
    <w:p w14:paraId="243BE463" w14:textId="77777777" w:rsidR="00FB7AA3" w:rsidRPr="008D21FB" w:rsidRDefault="00FB7AA3" w:rsidP="008B18FA">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podem funcionar como uma forma de incentivo aos administradores, para que busquem as melhores práticas contábeis a fim de cumprir as cláusulas contratuais. São instrumentos importantes do mercado financeiro, pois, visam garantir o cum</w:t>
      </w:r>
      <w:r>
        <w:rPr>
          <w:rFonts w:ascii="Times New Roman" w:hAnsi="Times New Roman" w:cs="Times New Roman"/>
          <w:sz w:val="24"/>
          <w:szCs w:val="24"/>
        </w:rPr>
        <w:t xml:space="preserve">primento do contrato ou punir a empresa devedora </w:t>
      </w:r>
      <w:r w:rsidRPr="008D21FB">
        <w:rPr>
          <w:rFonts w:ascii="Times New Roman" w:hAnsi="Times New Roman" w:cs="Times New Roman"/>
          <w:sz w:val="24"/>
          <w:szCs w:val="24"/>
        </w:rPr>
        <w:t xml:space="preserve">em caso de descumprimento das cláusulas ou inadimplência da obrigação. </w:t>
      </w:r>
    </w:p>
    <w:p w14:paraId="28B56ED3" w14:textId="77777777" w:rsidR="00FB7AA3" w:rsidRPr="008D21FB" w:rsidRDefault="00FB7AA3" w:rsidP="008B18FA">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 São importantes redutores de risco de crédito nas operações, pois impõem limites às atividades da empresa, impedindo o uso inadequado do capital de terceiros por parte da administração, que teria como consequência indireta o aumento no recebimento dos recursos fornecidos por parte dos credores (BEIRUTH, 2015).</w:t>
      </w:r>
    </w:p>
    <w:p w14:paraId="53696BB8" w14:textId="77777777" w:rsidR="00FB7AA3" w:rsidRPr="008D21FB"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 Outra fundamental importância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nas operações de crédito, é que estes reduzem os conflitos de interesses entre o credor e o devedor. </w:t>
      </w:r>
      <w:proofErr w:type="spellStart"/>
      <w:r w:rsidRPr="008D21FB">
        <w:rPr>
          <w:rFonts w:ascii="Times New Roman" w:hAnsi="Times New Roman" w:cs="Times New Roman"/>
          <w:sz w:val="24"/>
          <w:szCs w:val="24"/>
        </w:rPr>
        <w:t>Beiruth</w:t>
      </w:r>
      <w:proofErr w:type="spellEnd"/>
      <w:r w:rsidRPr="008D21FB">
        <w:rPr>
          <w:rFonts w:ascii="Times New Roman" w:hAnsi="Times New Roman" w:cs="Times New Roman"/>
          <w:sz w:val="24"/>
          <w:szCs w:val="24"/>
        </w:rPr>
        <w:t xml:space="preserve"> (2015) </w:t>
      </w:r>
      <w:r>
        <w:rPr>
          <w:rFonts w:ascii="Times New Roman" w:hAnsi="Times New Roman" w:cs="Times New Roman"/>
          <w:sz w:val="24"/>
          <w:szCs w:val="24"/>
        </w:rPr>
        <w:t>j</w:t>
      </w:r>
      <w:r w:rsidRPr="008D21FB">
        <w:rPr>
          <w:rFonts w:ascii="Times New Roman" w:hAnsi="Times New Roman" w:cs="Times New Roman"/>
          <w:sz w:val="24"/>
          <w:szCs w:val="24"/>
        </w:rPr>
        <w:t>ustifica essa importância afirmando que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são utilizados como meios de proteção por parte dos credores a fim de reduzir os conflitos existentes entre empresas e credores, e com isso garantir a realização de um maior número de transações no mercado financeiro".</w:t>
      </w:r>
    </w:p>
    <w:p w14:paraId="0E564E3C" w14:textId="77777777" w:rsidR="00FB7AA3" w:rsidRPr="008D21FB" w:rsidRDefault="00FB7AA3" w:rsidP="008B18FA">
      <w:pPr>
        <w:tabs>
          <w:tab w:val="left" w:pos="226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8D21FB">
        <w:rPr>
          <w:rFonts w:ascii="Times New Roman" w:hAnsi="Times New Roman" w:cs="Times New Roman"/>
          <w:sz w:val="24"/>
          <w:szCs w:val="24"/>
        </w:rPr>
        <w:t xml:space="preserve"> </w:t>
      </w:r>
      <w:r>
        <w:rPr>
          <w:rFonts w:ascii="Times New Roman" w:hAnsi="Times New Roman" w:cs="Times New Roman"/>
          <w:sz w:val="24"/>
          <w:szCs w:val="24"/>
        </w:rPr>
        <w:t>Os</w:t>
      </w:r>
      <w:r w:rsidRPr="008D21FB">
        <w:rPr>
          <w:rFonts w:ascii="Times New Roman" w:hAnsi="Times New Roman" w:cs="Times New Roman"/>
          <w:sz w:val="24"/>
          <w:szCs w:val="24"/>
        </w:rPr>
        <w:t xml:space="preserve"> </w:t>
      </w:r>
      <w:proofErr w:type="spellStart"/>
      <w:r w:rsidRPr="008D21FB">
        <w:rPr>
          <w:rFonts w:ascii="Times New Roman" w:hAnsi="Times New Roman" w:cs="Times New Roman"/>
          <w:i/>
          <w:sz w:val="24"/>
          <w:szCs w:val="24"/>
        </w:rPr>
        <w:t>covenants</w:t>
      </w:r>
      <w:proofErr w:type="spellEnd"/>
      <w:r w:rsidRPr="00E8331B">
        <w:rPr>
          <w:rFonts w:ascii="Times New Roman" w:hAnsi="Times New Roman" w:cs="Times New Roman"/>
          <w:i/>
          <w:sz w:val="24"/>
          <w:szCs w:val="24"/>
        </w:rPr>
        <w:t xml:space="preserve"> </w:t>
      </w:r>
      <w:r w:rsidRPr="008D21FB">
        <w:rPr>
          <w:rFonts w:ascii="Times New Roman" w:hAnsi="Times New Roman" w:cs="Times New Roman"/>
          <w:sz w:val="24"/>
          <w:szCs w:val="24"/>
        </w:rPr>
        <w:t>estabelecem limites e condutas voltadas à postura, finanças e credibilidade da empresa, asseguram um maior controle referente ao cumprimento das cláusulas contratuais e às condutas do devedor. Para Mello (2015</w:t>
      </w:r>
      <w:r>
        <w:rPr>
          <w:rFonts w:ascii="Times New Roman" w:hAnsi="Times New Roman" w:cs="Times New Roman"/>
          <w:sz w:val="24"/>
          <w:szCs w:val="24"/>
        </w:rPr>
        <w:t xml:space="preserve">) </w:t>
      </w: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são importantes, pois</w:t>
      </w:r>
    </w:p>
    <w:p w14:paraId="200405DA" w14:textId="77777777" w:rsidR="00FB7AA3" w:rsidRPr="008D21FB" w:rsidRDefault="00FB7AA3" w:rsidP="002153E2">
      <w:pPr>
        <w:spacing w:after="120" w:line="240" w:lineRule="auto"/>
        <w:ind w:left="2268"/>
        <w:jc w:val="both"/>
        <w:rPr>
          <w:rFonts w:ascii="Times New Roman" w:hAnsi="Times New Roman" w:cs="Times New Roman"/>
          <w:sz w:val="20"/>
          <w:szCs w:val="20"/>
        </w:rPr>
      </w:pPr>
      <w:proofErr w:type="gramStart"/>
      <w:r w:rsidRPr="008D21FB">
        <w:rPr>
          <w:rFonts w:ascii="Times New Roman" w:hAnsi="Times New Roman" w:cs="Times New Roman"/>
          <w:sz w:val="20"/>
          <w:szCs w:val="20"/>
        </w:rPr>
        <w:t>por</w:t>
      </w:r>
      <w:proofErr w:type="gramEnd"/>
      <w:r w:rsidRPr="008D21FB">
        <w:rPr>
          <w:rFonts w:ascii="Times New Roman" w:hAnsi="Times New Roman" w:cs="Times New Roman"/>
          <w:sz w:val="20"/>
          <w:szCs w:val="20"/>
        </w:rPr>
        <w:t xml:space="preserve"> se apresentarem como obrigações livremente pactuadas e no âmbito da racionalidade negocial, harmonizam-se perfeitamente ao direito brasileiro. Perfeitos, pois, para situações em que garantias típicas não são suficientes para promover negócios</w:t>
      </w:r>
      <w:r w:rsidR="003E709B">
        <w:rPr>
          <w:rFonts w:ascii="Times New Roman" w:hAnsi="Times New Roman" w:cs="Times New Roman"/>
          <w:sz w:val="20"/>
          <w:szCs w:val="20"/>
        </w:rPr>
        <w:t xml:space="preserve"> e viabilizar o desenvolvimento</w:t>
      </w:r>
      <w:r w:rsidR="002153E2">
        <w:rPr>
          <w:rFonts w:ascii="Times New Roman" w:hAnsi="Times New Roman" w:cs="Times New Roman"/>
          <w:sz w:val="20"/>
          <w:szCs w:val="20"/>
        </w:rPr>
        <w:t>.</w:t>
      </w:r>
    </w:p>
    <w:p w14:paraId="55613C8F" w14:textId="77777777" w:rsidR="00FB7AA3" w:rsidRPr="008D21FB" w:rsidRDefault="00FB7AA3" w:rsidP="008B18FA">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portanto, são garantia</w:t>
      </w:r>
      <w:r w:rsidR="009F7926">
        <w:rPr>
          <w:rFonts w:ascii="Times New Roman" w:hAnsi="Times New Roman" w:cs="Times New Roman"/>
          <w:sz w:val="24"/>
          <w:szCs w:val="24"/>
        </w:rPr>
        <w:t>s</w:t>
      </w:r>
      <w:r w:rsidRPr="008D21FB">
        <w:rPr>
          <w:rFonts w:ascii="Times New Roman" w:hAnsi="Times New Roman" w:cs="Times New Roman"/>
          <w:sz w:val="24"/>
          <w:szCs w:val="24"/>
        </w:rPr>
        <w:t xml:space="preserve"> que </w:t>
      </w:r>
      <w:r w:rsidR="00075CC5">
        <w:rPr>
          <w:rFonts w:ascii="Times New Roman" w:hAnsi="Times New Roman" w:cs="Times New Roman"/>
          <w:sz w:val="24"/>
          <w:szCs w:val="24"/>
        </w:rPr>
        <w:t xml:space="preserve">possuem como foco </w:t>
      </w:r>
      <w:r w:rsidRPr="008D21FB">
        <w:rPr>
          <w:rFonts w:ascii="Times New Roman" w:hAnsi="Times New Roman" w:cs="Times New Roman"/>
          <w:sz w:val="24"/>
          <w:szCs w:val="24"/>
        </w:rPr>
        <w:t xml:space="preserve">a boa administração e integridade do patrimônio. São importantes, pois buscam muito mais a credibilidade do devedor diferente das garantias reais ou pessoais disponíveis no mercado, caso das garantias hipotecárias, pignoratícias ou fidejussórias (BORGES, </w:t>
      </w:r>
      <w:r w:rsidR="00736EC3">
        <w:rPr>
          <w:rFonts w:ascii="Times New Roman" w:hAnsi="Times New Roman" w:cs="Times New Roman"/>
          <w:sz w:val="24"/>
          <w:szCs w:val="24"/>
        </w:rPr>
        <w:t>1999</w:t>
      </w:r>
      <w:r w:rsidRPr="008D21FB">
        <w:rPr>
          <w:rFonts w:ascii="Times New Roman" w:hAnsi="Times New Roman" w:cs="Times New Roman"/>
          <w:sz w:val="24"/>
          <w:szCs w:val="24"/>
        </w:rPr>
        <w:t xml:space="preserve">). </w:t>
      </w:r>
    </w:p>
    <w:p w14:paraId="0E5D14EA" w14:textId="77777777" w:rsidR="00FB7AA3"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Assaf Neto (1997) amplia essa ideia afirmando que a qualidade das decisões tomadas é fundamental para a continuidade de qualquer negócio, independentemente do nível organizacional. A contabilidade, por sua vez, auxilia estas decisões disponibilizando dados e informações retiradas através do comportamento do mercado e desempenho da organização, podendo ser analisados através dos indicadores financeiros. </w:t>
      </w:r>
    </w:p>
    <w:p w14:paraId="23F81C1E" w14:textId="77777777" w:rsidR="00FB7AA3"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Os indicadores contábeis, presentes nas cláusulas contratuais, são essenciais para que seja possível analisar de forma mais específica um determinado ponto dentro do desempenho econômico, financeiro ou patrimonial da empresa. </w:t>
      </w:r>
      <w:bookmarkStart w:id="46" w:name="_Toc452903755"/>
      <w:bookmarkStart w:id="47" w:name="_Toc453351012"/>
      <w:bookmarkStart w:id="48" w:name="_Toc453351497"/>
      <w:bookmarkStart w:id="49" w:name="_Toc453412867"/>
      <w:bookmarkStart w:id="50" w:name="_Toc453515913"/>
    </w:p>
    <w:p w14:paraId="005B6CD7" w14:textId="77777777" w:rsidR="00FB7AA3" w:rsidRPr="00A8754A" w:rsidRDefault="00A8754A" w:rsidP="00A8754A">
      <w:pPr>
        <w:pStyle w:val="Ttulo2"/>
        <w:rPr>
          <w:rFonts w:ascii="Times New Roman" w:hAnsi="Times New Roman" w:cs="Times New Roman"/>
          <w:b w:val="0"/>
          <w:color w:val="auto"/>
          <w:sz w:val="24"/>
          <w:szCs w:val="24"/>
        </w:rPr>
      </w:pPr>
      <w:bookmarkStart w:id="51" w:name="_Toc455057032"/>
      <w:r w:rsidRPr="00A8754A">
        <w:rPr>
          <w:rFonts w:ascii="Times New Roman" w:hAnsi="Times New Roman" w:cs="Times New Roman"/>
          <w:b w:val="0"/>
          <w:color w:val="auto"/>
          <w:sz w:val="24"/>
          <w:szCs w:val="24"/>
        </w:rPr>
        <w:t>2.2</w:t>
      </w:r>
      <w:r w:rsidR="00FB7AA3" w:rsidRPr="00A8754A">
        <w:rPr>
          <w:rFonts w:ascii="Times New Roman" w:hAnsi="Times New Roman" w:cs="Times New Roman"/>
          <w:b w:val="0"/>
          <w:color w:val="auto"/>
          <w:sz w:val="24"/>
          <w:szCs w:val="24"/>
        </w:rPr>
        <w:t xml:space="preserve"> Classificação dos </w:t>
      </w:r>
      <w:proofErr w:type="spellStart"/>
      <w:r w:rsidR="00FB7AA3" w:rsidRPr="00A8754A">
        <w:rPr>
          <w:rFonts w:ascii="Times New Roman" w:hAnsi="Times New Roman" w:cs="Times New Roman"/>
          <w:b w:val="0"/>
          <w:i/>
          <w:color w:val="auto"/>
          <w:sz w:val="24"/>
          <w:szCs w:val="24"/>
        </w:rPr>
        <w:t>covenants</w:t>
      </w:r>
      <w:bookmarkEnd w:id="46"/>
      <w:bookmarkEnd w:id="47"/>
      <w:bookmarkEnd w:id="48"/>
      <w:bookmarkEnd w:id="49"/>
      <w:bookmarkEnd w:id="50"/>
      <w:bookmarkEnd w:id="51"/>
      <w:proofErr w:type="spellEnd"/>
    </w:p>
    <w:p w14:paraId="4E6B2196" w14:textId="77777777" w:rsidR="00FB7AA3" w:rsidRPr="003D5B2D" w:rsidRDefault="00FB7AA3" w:rsidP="008B18FA">
      <w:pPr>
        <w:spacing w:line="240" w:lineRule="auto"/>
      </w:pPr>
    </w:p>
    <w:p w14:paraId="7EF45B25" w14:textId="77777777" w:rsidR="00FB7AA3" w:rsidRPr="00992F97" w:rsidRDefault="00FB7AA3" w:rsidP="00992F97">
      <w:pPr>
        <w:spacing w:line="240" w:lineRule="auto"/>
        <w:ind w:firstLine="709"/>
        <w:jc w:val="both"/>
        <w:rPr>
          <w:rFonts w:ascii="Times New Roman" w:hAnsi="Times New Roman" w:cs="Times New Roman"/>
          <w:sz w:val="23"/>
          <w:szCs w:val="23"/>
        </w:rPr>
      </w:pPr>
      <w:r w:rsidRPr="008D21FB">
        <w:rPr>
          <w:rFonts w:ascii="Times New Roman" w:hAnsi="Times New Roman" w:cs="Times New Roman"/>
          <w:sz w:val="24"/>
          <w:szCs w:val="24"/>
        </w:rPr>
        <w:t xml:space="preserve">Nas pesquisas sobre </w:t>
      </w:r>
      <w:proofErr w:type="spellStart"/>
      <w:r w:rsidRPr="008D21FB">
        <w:rPr>
          <w:rFonts w:ascii="Times New Roman" w:hAnsi="Times New Roman" w:cs="Times New Roman"/>
          <w:i/>
          <w:sz w:val="24"/>
          <w:szCs w:val="24"/>
        </w:rPr>
        <w:t>covenants</w:t>
      </w:r>
      <w:proofErr w:type="spellEnd"/>
      <w:r>
        <w:rPr>
          <w:rFonts w:ascii="Times New Roman" w:hAnsi="Times New Roman" w:cs="Times New Roman"/>
          <w:sz w:val="24"/>
          <w:szCs w:val="24"/>
        </w:rPr>
        <w:t>, há vá</w:t>
      </w:r>
      <w:r w:rsidRPr="008D21FB">
        <w:rPr>
          <w:rFonts w:ascii="Times New Roman" w:hAnsi="Times New Roman" w:cs="Times New Roman"/>
          <w:sz w:val="24"/>
          <w:szCs w:val="24"/>
        </w:rPr>
        <w:t xml:space="preserve">rias terminologias para classificá-los. Para melhor explorá-las, o Quadro 1 apresenta as principais classificações e suas nomenclaturas, </w:t>
      </w:r>
      <w:r w:rsidR="009F7926">
        <w:rPr>
          <w:rFonts w:ascii="Times New Roman" w:hAnsi="Times New Roman" w:cs="Times New Roman"/>
          <w:sz w:val="24"/>
          <w:szCs w:val="24"/>
        </w:rPr>
        <w:t xml:space="preserve">conforme </w:t>
      </w:r>
      <w:proofErr w:type="spellStart"/>
      <w:r w:rsidR="009F7926">
        <w:rPr>
          <w:rFonts w:ascii="Times New Roman" w:hAnsi="Times New Roman" w:cs="Times New Roman"/>
          <w:sz w:val="24"/>
          <w:szCs w:val="24"/>
        </w:rPr>
        <w:t>Frost</w:t>
      </w:r>
      <w:proofErr w:type="spellEnd"/>
      <w:r w:rsidR="009F7926">
        <w:rPr>
          <w:rFonts w:ascii="Times New Roman" w:hAnsi="Times New Roman" w:cs="Times New Roman"/>
          <w:sz w:val="24"/>
          <w:szCs w:val="24"/>
        </w:rPr>
        <w:t xml:space="preserve"> e Bernard (1989),</w:t>
      </w:r>
      <w:r w:rsidRPr="008D21FB">
        <w:rPr>
          <w:rFonts w:ascii="Times New Roman" w:hAnsi="Times New Roman" w:cs="Times New Roman"/>
          <w:sz w:val="24"/>
          <w:szCs w:val="24"/>
        </w:rPr>
        <w:t xml:space="preserve"> </w:t>
      </w:r>
      <w:proofErr w:type="spellStart"/>
      <w:r w:rsidRPr="008D21FB">
        <w:rPr>
          <w:rFonts w:ascii="Times New Roman" w:hAnsi="Times New Roman" w:cs="Times New Roman"/>
          <w:sz w:val="24"/>
          <w:szCs w:val="24"/>
        </w:rPr>
        <w:t>Ramsay</w:t>
      </w:r>
      <w:proofErr w:type="spellEnd"/>
      <w:r w:rsidRPr="008D21FB">
        <w:rPr>
          <w:rFonts w:ascii="Times New Roman" w:hAnsi="Times New Roman" w:cs="Times New Roman"/>
          <w:sz w:val="24"/>
          <w:szCs w:val="24"/>
        </w:rPr>
        <w:t xml:space="preserve"> e </w:t>
      </w:r>
      <w:proofErr w:type="spellStart"/>
      <w:r w:rsidRPr="008D21FB">
        <w:rPr>
          <w:rFonts w:ascii="Times New Roman" w:hAnsi="Times New Roman" w:cs="Times New Roman"/>
          <w:sz w:val="24"/>
          <w:szCs w:val="24"/>
        </w:rPr>
        <w:t>Sidhu</w:t>
      </w:r>
      <w:proofErr w:type="spellEnd"/>
      <w:r w:rsidRPr="008D21FB">
        <w:rPr>
          <w:rFonts w:ascii="Times New Roman" w:hAnsi="Times New Roman" w:cs="Times New Roman"/>
          <w:sz w:val="24"/>
          <w:szCs w:val="24"/>
        </w:rPr>
        <w:t xml:space="preserve"> (1998)</w:t>
      </w:r>
      <w:r w:rsidR="009F7926">
        <w:rPr>
          <w:rFonts w:ascii="Times New Roman" w:hAnsi="Times New Roman" w:cs="Times New Roman"/>
          <w:sz w:val="24"/>
          <w:szCs w:val="24"/>
        </w:rPr>
        <w:t>,</w:t>
      </w:r>
      <w:r w:rsidRPr="008D21FB">
        <w:rPr>
          <w:rFonts w:ascii="Times New Roman" w:hAnsi="Times New Roman" w:cs="Times New Roman"/>
          <w:sz w:val="24"/>
          <w:szCs w:val="24"/>
        </w:rPr>
        <w:t xml:space="preserve"> </w:t>
      </w:r>
      <w:proofErr w:type="spellStart"/>
      <w:r w:rsidRPr="008D21FB">
        <w:rPr>
          <w:rFonts w:ascii="Times New Roman" w:hAnsi="Times New Roman" w:cs="Times New Roman"/>
          <w:sz w:val="24"/>
          <w:szCs w:val="24"/>
        </w:rPr>
        <w:t>Mather</w:t>
      </w:r>
      <w:proofErr w:type="spellEnd"/>
      <w:r w:rsidRPr="008D21FB">
        <w:rPr>
          <w:rFonts w:ascii="Times New Roman" w:hAnsi="Times New Roman" w:cs="Times New Roman"/>
          <w:sz w:val="24"/>
          <w:szCs w:val="24"/>
        </w:rPr>
        <w:t xml:space="preserve"> e </w:t>
      </w:r>
      <w:proofErr w:type="spellStart"/>
      <w:r w:rsidRPr="008D21FB">
        <w:rPr>
          <w:rFonts w:ascii="Times New Roman" w:hAnsi="Times New Roman" w:cs="Times New Roman"/>
          <w:sz w:val="24"/>
          <w:szCs w:val="24"/>
        </w:rPr>
        <w:t>Peirson</w:t>
      </w:r>
      <w:proofErr w:type="spellEnd"/>
      <w:r w:rsidRPr="008D21FB">
        <w:rPr>
          <w:rFonts w:ascii="Times New Roman" w:hAnsi="Times New Roman" w:cs="Times New Roman"/>
          <w:sz w:val="24"/>
          <w:szCs w:val="24"/>
        </w:rPr>
        <w:t xml:space="preserve"> (2006)</w:t>
      </w:r>
      <w:r w:rsidR="009F7926">
        <w:rPr>
          <w:rFonts w:ascii="Times New Roman" w:hAnsi="Times New Roman" w:cs="Times New Roman"/>
          <w:sz w:val="24"/>
          <w:szCs w:val="24"/>
        </w:rPr>
        <w:t xml:space="preserve"> e</w:t>
      </w:r>
      <w:r w:rsidRPr="008D21FB">
        <w:rPr>
          <w:rFonts w:ascii="Times New Roman" w:hAnsi="Times New Roman" w:cs="Times New Roman"/>
          <w:sz w:val="24"/>
          <w:szCs w:val="24"/>
        </w:rPr>
        <w:t xml:space="preserve"> </w:t>
      </w:r>
      <w:r>
        <w:rPr>
          <w:rFonts w:ascii="Times New Roman" w:hAnsi="Times New Roman" w:cs="Times New Roman"/>
          <w:sz w:val="24"/>
          <w:szCs w:val="24"/>
        </w:rPr>
        <w:t xml:space="preserve">Ross, </w:t>
      </w:r>
      <w:proofErr w:type="spellStart"/>
      <w:r w:rsidRPr="008D21FB">
        <w:rPr>
          <w:rFonts w:ascii="Times New Roman" w:hAnsi="Times New Roman" w:cs="Times New Roman"/>
          <w:sz w:val="24"/>
          <w:szCs w:val="24"/>
        </w:rPr>
        <w:t>Westerfield</w:t>
      </w:r>
      <w:proofErr w:type="spellEnd"/>
      <w:r w:rsidRPr="008D21FB">
        <w:rPr>
          <w:rFonts w:ascii="Times New Roman" w:hAnsi="Times New Roman" w:cs="Times New Roman"/>
          <w:sz w:val="24"/>
          <w:szCs w:val="24"/>
        </w:rPr>
        <w:t xml:space="preserve"> e </w:t>
      </w:r>
      <w:proofErr w:type="spellStart"/>
      <w:r w:rsidRPr="008D21FB">
        <w:rPr>
          <w:rFonts w:ascii="Times New Roman" w:hAnsi="Times New Roman" w:cs="Times New Roman"/>
          <w:sz w:val="24"/>
          <w:szCs w:val="24"/>
        </w:rPr>
        <w:t>Jaffe</w:t>
      </w:r>
      <w:proofErr w:type="spellEnd"/>
      <w:r w:rsidRPr="008D21FB">
        <w:rPr>
          <w:rFonts w:ascii="Times New Roman" w:hAnsi="Times New Roman" w:cs="Times New Roman"/>
          <w:sz w:val="24"/>
          <w:szCs w:val="24"/>
        </w:rPr>
        <w:t xml:space="preserve"> (2009).</w:t>
      </w:r>
    </w:p>
    <w:p w14:paraId="7F5998FE" w14:textId="77777777" w:rsidR="00992F97" w:rsidRPr="00992F97" w:rsidRDefault="00992F97" w:rsidP="00992F97">
      <w:pPr>
        <w:pStyle w:val="Legenda"/>
        <w:keepNext/>
        <w:spacing w:before="120" w:after="120"/>
        <w:jc w:val="center"/>
        <w:rPr>
          <w:rFonts w:ascii="Times New Roman" w:hAnsi="Times New Roman" w:cs="Times New Roman"/>
          <w:b w:val="0"/>
          <w:color w:val="auto"/>
          <w:sz w:val="24"/>
          <w:szCs w:val="24"/>
        </w:rPr>
      </w:pPr>
      <w:r w:rsidRPr="00992F97">
        <w:rPr>
          <w:rFonts w:ascii="Times New Roman" w:hAnsi="Times New Roman" w:cs="Times New Roman"/>
          <w:b w:val="0"/>
          <w:color w:val="auto"/>
          <w:sz w:val="24"/>
          <w:szCs w:val="24"/>
        </w:rPr>
        <w:t xml:space="preserve">Quadro </w:t>
      </w:r>
      <w:r w:rsidR="00744BBF" w:rsidRPr="00992F97">
        <w:rPr>
          <w:rFonts w:ascii="Times New Roman" w:hAnsi="Times New Roman" w:cs="Times New Roman"/>
          <w:b w:val="0"/>
          <w:color w:val="auto"/>
          <w:sz w:val="24"/>
          <w:szCs w:val="24"/>
        </w:rPr>
        <w:fldChar w:fldCharType="begin"/>
      </w:r>
      <w:r w:rsidRPr="00992F97">
        <w:rPr>
          <w:rFonts w:ascii="Times New Roman" w:hAnsi="Times New Roman" w:cs="Times New Roman"/>
          <w:b w:val="0"/>
          <w:color w:val="auto"/>
          <w:sz w:val="24"/>
          <w:szCs w:val="24"/>
        </w:rPr>
        <w:instrText xml:space="preserve"> SEQ Quadro \* ARABIC </w:instrText>
      </w:r>
      <w:r w:rsidR="00744BBF" w:rsidRPr="00992F97">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1</w:t>
      </w:r>
      <w:r w:rsidR="00744BBF" w:rsidRPr="00992F97">
        <w:rPr>
          <w:rFonts w:ascii="Times New Roman" w:hAnsi="Times New Roman" w:cs="Times New Roman"/>
          <w:b w:val="0"/>
          <w:color w:val="auto"/>
          <w:sz w:val="24"/>
          <w:szCs w:val="24"/>
        </w:rPr>
        <w:fldChar w:fldCharType="end"/>
      </w:r>
      <w:r w:rsidRPr="00992F97">
        <w:rPr>
          <w:rFonts w:ascii="Times New Roman" w:hAnsi="Times New Roman" w:cs="Times New Roman"/>
          <w:b w:val="0"/>
          <w:color w:val="auto"/>
          <w:sz w:val="24"/>
          <w:szCs w:val="24"/>
        </w:rPr>
        <w:t xml:space="preserve"> - Classificações dos </w:t>
      </w:r>
      <w:proofErr w:type="spellStart"/>
      <w:r w:rsidRPr="00992F97">
        <w:rPr>
          <w:rFonts w:ascii="Times New Roman" w:hAnsi="Times New Roman" w:cs="Times New Roman"/>
          <w:b w:val="0"/>
          <w:i/>
          <w:color w:val="auto"/>
          <w:sz w:val="24"/>
          <w:szCs w:val="24"/>
        </w:rPr>
        <w:t>covenants</w:t>
      </w:r>
      <w:proofErr w:type="spellEnd"/>
    </w:p>
    <w:tbl>
      <w:tblPr>
        <w:tblW w:w="5000" w:type="pct"/>
        <w:jc w:val="center"/>
        <w:tblCellMar>
          <w:left w:w="70" w:type="dxa"/>
          <w:right w:w="70" w:type="dxa"/>
        </w:tblCellMar>
        <w:tblLook w:val="04A0" w:firstRow="1" w:lastRow="0" w:firstColumn="1" w:lastColumn="0" w:noHBand="0" w:noVBand="1"/>
      </w:tblPr>
      <w:tblGrid>
        <w:gridCol w:w="4039"/>
        <w:gridCol w:w="6589"/>
      </w:tblGrid>
      <w:tr w:rsidR="00FB7AA3" w:rsidRPr="008D21FB" w14:paraId="2B778E20" w14:textId="77777777" w:rsidTr="00A90266">
        <w:trPr>
          <w:jc w:val="center"/>
        </w:trPr>
        <w:tc>
          <w:tcPr>
            <w:tcW w:w="19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F4089" w14:textId="77777777" w:rsidR="00FB7AA3" w:rsidRPr="008D21FB" w:rsidRDefault="00FB7AA3" w:rsidP="00A90266">
            <w:pPr>
              <w:spacing w:line="240" w:lineRule="auto"/>
              <w:ind w:firstLine="567"/>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Autores</w:t>
            </w:r>
          </w:p>
        </w:tc>
        <w:tc>
          <w:tcPr>
            <w:tcW w:w="3100" w:type="pct"/>
            <w:tcBorders>
              <w:top w:val="single" w:sz="4" w:space="0" w:color="auto"/>
              <w:left w:val="nil"/>
              <w:bottom w:val="single" w:sz="4" w:space="0" w:color="auto"/>
              <w:right w:val="single" w:sz="4" w:space="0" w:color="auto"/>
            </w:tcBorders>
            <w:shd w:val="clear" w:color="auto" w:fill="auto"/>
            <w:noWrap/>
            <w:vAlign w:val="center"/>
            <w:hideMark/>
          </w:tcPr>
          <w:p w14:paraId="1A6B8FC7" w14:textId="77777777" w:rsidR="00FB7AA3" w:rsidRPr="008D21FB" w:rsidRDefault="00FB7AA3" w:rsidP="00A90266">
            <w:pPr>
              <w:spacing w:line="240" w:lineRule="auto"/>
              <w:ind w:firstLine="567"/>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Classificação</w:t>
            </w:r>
          </w:p>
        </w:tc>
      </w:tr>
      <w:tr w:rsidR="00FB7AA3" w:rsidRPr="008D21FB" w14:paraId="7830C93C" w14:textId="77777777" w:rsidTr="00A90266">
        <w:trPr>
          <w:jc w:val="center"/>
        </w:trPr>
        <w:tc>
          <w:tcPr>
            <w:tcW w:w="190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942A62" w14:textId="77777777" w:rsidR="00FB7AA3" w:rsidRPr="008D21FB" w:rsidRDefault="00FB7AA3" w:rsidP="00A90266">
            <w:pPr>
              <w:spacing w:line="240" w:lineRule="auto"/>
              <w:jc w:val="center"/>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color w:val="000000"/>
                <w:sz w:val="20"/>
                <w:szCs w:val="20"/>
                <w:lang w:eastAsia="pt-BR"/>
              </w:rPr>
              <w:t>Frost</w:t>
            </w:r>
            <w:proofErr w:type="spellEnd"/>
            <w:r w:rsidRPr="008D21FB">
              <w:rPr>
                <w:rFonts w:ascii="Times New Roman" w:eastAsia="Times New Roman" w:hAnsi="Times New Roman" w:cs="Times New Roman"/>
                <w:color w:val="000000"/>
                <w:sz w:val="20"/>
                <w:szCs w:val="20"/>
                <w:lang w:eastAsia="pt-BR"/>
              </w:rPr>
              <w:t xml:space="preserve"> e Bernard</w:t>
            </w:r>
            <w:r w:rsidR="00A90266">
              <w:rPr>
                <w:rFonts w:ascii="Times New Roman" w:eastAsia="Times New Roman" w:hAnsi="Times New Roman" w:cs="Times New Roman"/>
                <w:color w:val="000000"/>
                <w:sz w:val="20"/>
                <w:szCs w:val="20"/>
                <w:lang w:eastAsia="pt-BR"/>
              </w:rPr>
              <w:t xml:space="preserve"> (1989)</w:t>
            </w:r>
          </w:p>
        </w:tc>
        <w:tc>
          <w:tcPr>
            <w:tcW w:w="3100" w:type="pct"/>
            <w:tcBorders>
              <w:top w:val="nil"/>
              <w:left w:val="nil"/>
              <w:bottom w:val="single" w:sz="4" w:space="0" w:color="auto"/>
              <w:right w:val="single" w:sz="4" w:space="0" w:color="auto"/>
            </w:tcBorders>
            <w:shd w:val="clear" w:color="auto" w:fill="auto"/>
            <w:noWrap/>
            <w:vAlign w:val="center"/>
            <w:hideMark/>
          </w:tcPr>
          <w:p w14:paraId="632AB363"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contábeis afirmativos</w:t>
            </w:r>
          </w:p>
        </w:tc>
      </w:tr>
      <w:tr w:rsidR="00FB7AA3" w:rsidRPr="008D21FB" w14:paraId="3D10CF82" w14:textId="77777777" w:rsidTr="00A90266">
        <w:trPr>
          <w:jc w:val="center"/>
        </w:trPr>
        <w:tc>
          <w:tcPr>
            <w:tcW w:w="1900" w:type="pct"/>
            <w:vMerge/>
            <w:tcBorders>
              <w:top w:val="nil"/>
              <w:left w:val="single" w:sz="4" w:space="0" w:color="auto"/>
              <w:bottom w:val="single" w:sz="4" w:space="0" w:color="auto"/>
              <w:right w:val="single" w:sz="4" w:space="0" w:color="auto"/>
            </w:tcBorders>
            <w:vAlign w:val="center"/>
            <w:hideMark/>
          </w:tcPr>
          <w:p w14:paraId="02A4EEB3" w14:textId="77777777" w:rsidR="00FB7AA3" w:rsidRPr="008D21FB" w:rsidRDefault="00FB7AA3" w:rsidP="00A90266">
            <w:pPr>
              <w:spacing w:line="240" w:lineRule="auto"/>
              <w:ind w:firstLine="567"/>
              <w:jc w:val="center"/>
              <w:rPr>
                <w:rFonts w:ascii="Times New Roman" w:eastAsia="Times New Roman" w:hAnsi="Times New Roman" w:cs="Times New Roman"/>
                <w:color w:val="000000"/>
                <w:sz w:val="20"/>
                <w:szCs w:val="20"/>
                <w:lang w:eastAsia="pt-BR"/>
              </w:rPr>
            </w:pPr>
          </w:p>
        </w:tc>
        <w:tc>
          <w:tcPr>
            <w:tcW w:w="3100" w:type="pct"/>
            <w:tcBorders>
              <w:top w:val="nil"/>
              <w:left w:val="nil"/>
              <w:bottom w:val="single" w:sz="4" w:space="0" w:color="auto"/>
              <w:right w:val="single" w:sz="4" w:space="0" w:color="auto"/>
            </w:tcBorders>
            <w:shd w:val="clear" w:color="auto" w:fill="auto"/>
            <w:noWrap/>
            <w:vAlign w:val="center"/>
            <w:hideMark/>
          </w:tcPr>
          <w:p w14:paraId="0C65EBB9"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contábeis negativos</w:t>
            </w:r>
          </w:p>
        </w:tc>
      </w:tr>
      <w:tr w:rsidR="00FB7AA3" w:rsidRPr="008D21FB" w14:paraId="14BA039C" w14:textId="77777777" w:rsidTr="00A90266">
        <w:trPr>
          <w:jc w:val="center"/>
        </w:trPr>
        <w:tc>
          <w:tcPr>
            <w:tcW w:w="190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F57AA5" w14:textId="77777777" w:rsidR="00FB7AA3" w:rsidRPr="008D21FB" w:rsidRDefault="00FB7AA3" w:rsidP="00A90266">
            <w:pPr>
              <w:spacing w:line="240" w:lineRule="auto"/>
              <w:jc w:val="center"/>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color w:val="000000"/>
                <w:sz w:val="20"/>
                <w:szCs w:val="20"/>
                <w:lang w:eastAsia="pt-BR"/>
              </w:rPr>
              <w:t>Ramsay</w:t>
            </w:r>
            <w:proofErr w:type="spellEnd"/>
            <w:r w:rsidRPr="008D21FB">
              <w:rPr>
                <w:rFonts w:ascii="Times New Roman" w:eastAsia="Times New Roman" w:hAnsi="Times New Roman" w:cs="Times New Roman"/>
                <w:color w:val="000000"/>
                <w:sz w:val="20"/>
                <w:szCs w:val="20"/>
                <w:lang w:eastAsia="pt-BR"/>
              </w:rPr>
              <w:t xml:space="preserve"> e </w:t>
            </w:r>
            <w:proofErr w:type="spellStart"/>
            <w:r w:rsidRPr="008D21FB">
              <w:rPr>
                <w:rFonts w:ascii="Times New Roman" w:eastAsia="Times New Roman" w:hAnsi="Times New Roman" w:cs="Times New Roman"/>
                <w:color w:val="000000"/>
                <w:sz w:val="20"/>
                <w:szCs w:val="20"/>
                <w:lang w:eastAsia="pt-BR"/>
              </w:rPr>
              <w:t>Sidhu</w:t>
            </w:r>
            <w:proofErr w:type="spellEnd"/>
            <w:r w:rsidR="00A90266">
              <w:rPr>
                <w:rFonts w:ascii="Times New Roman" w:eastAsia="Times New Roman" w:hAnsi="Times New Roman" w:cs="Times New Roman"/>
                <w:color w:val="000000"/>
                <w:sz w:val="20"/>
                <w:szCs w:val="20"/>
                <w:lang w:eastAsia="pt-BR"/>
              </w:rPr>
              <w:t xml:space="preserve"> (1998)</w:t>
            </w:r>
          </w:p>
        </w:tc>
        <w:tc>
          <w:tcPr>
            <w:tcW w:w="3100" w:type="pct"/>
            <w:tcBorders>
              <w:top w:val="nil"/>
              <w:left w:val="nil"/>
              <w:bottom w:val="single" w:sz="4" w:space="0" w:color="auto"/>
              <w:right w:val="single" w:sz="4" w:space="0" w:color="auto"/>
            </w:tcBorders>
            <w:shd w:val="clear" w:color="auto" w:fill="auto"/>
            <w:noWrap/>
            <w:vAlign w:val="center"/>
            <w:hideMark/>
          </w:tcPr>
          <w:p w14:paraId="0C6EE0FD"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segurança</w:t>
            </w:r>
          </w:p>
        </w:tc>
      </w:tr>
      <w:tr w:rsidR="00FB7AA3" w:rsidRPr="008D21FB" w14:paraId="1A1B875E" w14:textId="77777777" w:rsidTr="00A90266">
        <w:trPr>
          <w:jc w:val="center"/>
        </w:trPr>
        <w:tc>
          <w:tcPr>
            <w:tcW w:w="1900" w:type="pct"/>
            <w:vMerge/>
            <w:tcBorders>
              <w:top w:val="nil"/>
              <w:left w:val="single" w:sz="4" w:space="0" w:color="auto"/>
              <w:bottom w:val="single" w:sz="4" w:space="0" w:color="auto"/>
              <w:right w:val="single" w:sz="4" w:space="0" w:color="auto"/>
            </w:tcBorders>
            <w:vAlign w:val="center"/>
            <w:hideMark/>
          </w:tcPr>
          <w:p w14:paraId="3F2925E7" w14:textId="77777777" w:rsidR="00FB7AA3" w:rsidRPr="008D21FB" w:rsidRDefault="00FB7AA3" w:rsidP="00A90266">
            <w:pPr>
              <w:spacing w:line="240" w:lineRule="auto"/>
              <w:ind w:firstLine="567"/>
              <w:jc w:val="center"/>
              <w:rPr>
                <w:rFonts w:ascii="Times New Roman" w:eastAsia="Times New Roman" w:hAnsi="Times New Roman" w:cs="Times New Roman"/>
                <w:color w:val="000000"/>
                <w:sz w:val="20"/>
                <w:szCs w:val="20"/>
                <w:lang w:eastAsia="pt-BR"/>
              </w:rPr>
            </w:pPr>
          </w:p>
        </w:tc>
        <w:tc>
          <w:tcPr>
            <w:tcW w:w="3100" w:type="pct"/>
            <w:tcBorders>
              <w:top w:val="nil"/>
              <w:left w:val="nil"/>
              <w:bottom w:val="single" w:sz="4" w:space="0" w:color="auto"/>
              <w:right w:val="single" w:sz="4" w:space="0" w:color="auto"/>
            </w:tcBorders>
            <w:shd w:val="clear" w:color="auto" w:fill="auto"/>
            <w:noWrap/>
            <w:vAlign w:val="center"/>
            <w:hideMark/>
          </w:tcPr>
          <w:p w14:paraId="289FEB88"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baseados em dados contábeis</w:t>
            </w:r>
          </w:p>
        </w:tc>
      </w:tr>
      <w:tr w:rsidR="00FB7AA3" w:rsidRPr="008D21FB" w14:paraId="400683BC" w14:textId="77777777" w:rsidTr="00A90266">
        <w:trPr>
          <w:jc w:val="center"/>
        </w:trPr>
        <w:tc>
          <w:tcPr>
            <w:tcW w:w="1900" w:type="pct"/>
            <w:vMerge/>
            <w:tcBorders>
              <w:top w:val="nil"/>
              <w:left w:val="single" w:sz="4" w:space="0" w:color="auto"/>
              <w:bottom w:val="single" w:sz="4" w:space="0" w:color="auto"/>
              <w:right w:val="single" w:sz="4" w:space="0" w:color="auto"/>
            </w:tcBorders>
            <w:vAlign w:val="center"/>
            <w:hideMark/>
          </w:tcPr>
          <w:p w14:paraId="2D24D526" w14:textId="77777777" w:rsidR="00FB7AA3" w:rsidRPr="008D21FB" w:rsidRDefault="00FB7AA3" w:rsidP="00A90266">
            <w:pPr>
              <w:spacing w:line="240" w:lineRule="auto"/>
              <w:ind w:firstLine="567"/>
              <w:jc w:val="center"/>
              <w:rPr>
                <w:rFonts w:ascii="Times New Roman" w:eastAsia="Times New Roman" w:hAnsi="Times New Roman" w:cs="Times New Roman"/>
                <w:color w:val="000000"/>
                <w:sz w:val="20"/>
                <w:szCs w:val="20"/>
                <w:lang w:eastAsia="pt-BR"/>
              </w:rPr>
            </w:pPr>
          </w:p>
        </w:tc>
        <w:tc>
          <w:tcPr>
            <w:tcW w:w="3100" w:type="pct"/>
            <w:tcBorders>
              <w:top w:val="nil"/>
              <w:left w:val="nil"/>
              <w:bottom w:val="single" w:sz="4" w:space="0" w:color="auto"/>
              <w:right w:val="single" w:sz="4" w:space="0" w:color="auto"/>
            </w:tcBorders>
            <w:shd w:val="clear" w:color="auto" w:fill="auto"/>
            <w:noWrap/>
            <w:vAlign w:val="center"/>
            <w:hideMark/>
          </w:tcPr>
          <w:p w14:paraId="7911EEE3"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baseados em dados não contábeis</w:t>
            </w:r>
          </w:p>
        </w:tc>
      </w:tr>
      <w:tr w:rsidR="00FB7AA3" w:rsidRPr="008D21FB" w14:paraId="54262179" w14:textId="77777777" w:rsidTr="00A90266">
        <w:trPr>
          <w:jc w:val="center"/>
        </w:trPr>
        <w:tc>
          <w:tcPr>
            <w:tcW w:w="190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F89425" w14:textId="77777777" w:rsidR="00FB7AA3" w:rsidRPr="008D21FB" w:rsidRDefault="00FB7AA3" w:rsidP="00A90266">
            <w:pPr>
              <w:spacing w:line="240" w:lineRule="auto"/>
              <w:jc w:val="center"/>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color w:val="000000"/>
                <w:sz w:val="20"/>
                <w:szCs w:val="20"/>
                <w:lang w:eastAsia="pt-BR"/>
              </w:rPr>
              <w:t>Mather</w:t>
            </w:r>
            <w:proofErr w:type="spellEnd"/>
            <w:r w:rsidRPr="008D21FB">
              <w:rPr>
                <w:rFonts w:ascii="Times New Roman" w:eastAsia="Times New Roman" w:hAnsi="Times New Roman" w:cs="Times New Roman"/>
                <w:color w:val="000000"/>
                <w:sz w:val="20"/>
                <w:szCs w:val="20"/>
                <w:lang w:eastAsia="pt-BR"/>
              </w:rPr>
              <w:t xml:space="preserve"> e </w:t>
            </w:r>
            <w:proofErr w:type="spellStart"/>
            <w:r w:rsidRPr="008D21FB">
              <w:rPr>
                <w:rFonts w:ascii="Times New Roman" w:eastAsia="Times New Roman" w:hAnsi="Times New Roman" w:cs="Times New Roman"/>
                <w:color w:val="000000"/>
                <w:sz w:val="20"/>
                <w:szCs w:val="20"/>
                <w:lang w:eastAsia="pt-BR"/>
              </w:rPr>
              <w:t>Peirson</w:t>
            </w:r>
            <w:proofErr w:type="spellEnd"/>
            <w:r w:rsidR="00A90266">
              <w:rPr>
                <w:rFonts w:ascii="Times New Roman" w:eastAsia="Times New Roman" w:hAnsi="Times New Roman" w:cs="Times New Roman"/>
                <w:color w:val="000000"/>
                <w:sz w:val="20"/>
                <w:szCs w:val="20"/>
                <w:lang w:eastAsia="pt-BR"/>
              </w:rPr>
              <w:t xml:space="preserve"> (2006)</w:t>
            </w:r>
          </w:p>
        </w:tc>
        <w:tc>
          <w:tcPr>
            <w:tcW w:w="3100" w:type="pct"/>
            <w:tcBorders>
              <w:top w:val="nil"/>
              <w:left w:val="nil"/>
              <w:bottom w:val="single" w:sz="4" w:space="0" w:color="auto"/>
              <w:right w:val="single" w:sz="4" w:space="0" w:color="auto"/>
            </w:tcBorders>
            <w:shd w:val="clear" w:color="auto" w:fill="auto"/>
            <w:noWrap/>
            <w:vAlign w:val="center"/>
            <w:hideMark/>
          </w:tcPr>
          <w:p w14:paraId="5F5828E7"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Contábeis (financeiros)</w:t>
            </w:r>
          </w:p>
        </w:tc>
      </w:tr>
      <w:tr w:rsidR="00FB7AA3" w:rsidRPr="008D21FB" w14:paraId="5BC5C5A2" w14:textId="77777777" w:rsidTr="00A90266">
        <w:trPr>
          <w:jc w:val="center"/>
        </w:trPr>
        <w:tc>
          <w:tcPr>
            <w:tcW w:w="1900" w:type="pct"/>
            <w:vMerge/>
            <w:tcBorders>
              <w:top w:val="nil"/>
              <w:left w:val="single" w:sz="4" w:space="0" w:color="auto"/>
              <w:bottom w:val="single" w:sz="4" w:space="0" w:color="auto"/>
              <w:right w:val="single" w:sz="4" w:space="0" w:color="auto"/>
            </w:tcBorders>
            <w:vAlign w:val="center"/>
            <w:hideMark/>
          </w:tcPr>
          <w:p w14:paraId="55DF0CF3" w14:textId="77777777" w:rsidR="00FB7AA3" w:rsidRPr="008D21FB" w:rsidRDefault="00FB7AA3" w:rsidP="00A90266">
            <w:pPr>
              <w:spacing w:line="240" w:lineRule="auto"/>
              <w:ind w:firstLine="567"/>
              <w:jc w:val="center"/>
              <w:rPr>
                <w:rFonts w:ascii="Times New Roman" w:eastAsia="Times New Roman" w:hAnsi="Times New Roman" w:cs="Times New Roman"/>
                <w:color w:val="000000"/>
                <w:sz w:val="20"/>
                <w:szCs w:val="20"/>
                <w:lang w:eastAsia="pt-BR"/>
              </w:rPr>
            </w:pPr>
          </w:p>
        </w:tc>
        <w:tc>
          <w:tcPr>
            <w:tcW w:w="3100" w:type="pct"/>
            <w:tcBorders>
              <w:top w:val="nil"/>
              <w:left w:val="nil"/>
              <w:bottom w:val="single" w:sz="4" w:space="0" w:color="auto"/>
              <w:right w:val="single" w:sz="4" w:space="0" w:color="auto"/>
            </w:tcBorders>
            <w:shd w:val="clear" w:color="auto" w:fill="auto"/>
            <w:noWrap/>
            <w:vAlign w:val="center"/>
            <w:hideMark/>
          </w:tcPr>
          <w:p w14:paraId="6900B8FE"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Não contábeis (não financeiros)</w:t>
            </w:r>
          </w:p>
        </w:tc>
      </w:tr>
      <w:tr w:rsidR="00FB7AA3" w:rsidRPr="008D21FB" w14:paraId="159A67B3" w14:textId="77777777" w:rsidTr="00A90266">
        <w:trPr>
          <w:jc w:val="center"/>
        </w:trPr>
        <w:tc>
          <w:tcPr>
            <w:tcW w:w="190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D3BBE21" w14:textId="77777777" w:rsidR="00FB7AA3" w:rsidRPr="008D21FB" w:rsidRDefault="00FB7AA3" w:rsidP="00A90266">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xml:space="preserve">Ross, </w:t>
            </w:r>
            <w:proofErr w:type="spellStart"/>
            <w:r w:rsidRPr="008D21FB">
              <w:rPr>
                <w:rFonts w:ascii="Times New Roman" w:eastAsia="Times New Roman" w:hAnsi="Times New Roman" w:cs="Times New Roman"/>
                <w:color w:val="000000"/>
                <w:sz w:val="20"/>
                <w:szCs w:val="20"/>
                <w:lang w:eastAsia="pt-BR"/>
              </w:rPr>
              <w:t>Westerfield</w:t>
            </w:r>
            <w:proofErr w:type="spellEnd"/>
            <w:r w:rsidRPr="008D21FB">
              <w:rPr>
                <w:rFonts w:ascii="Times New Roman" w:eastAsia="Times New Roman" w:hAnsi="Times New Roman" w:cs="Times New Roman"/>
                <w:color w:val="000000"/>
                <w:sz w:val="20"/>
                <w:szCs w:val="20"/>
                <w:lang w:eastAsia="pt-BR"/>
              </w:rPr>
              <w:t xml:space="preserve"> e </w:t>
            </w:r>
            <w:proofErr w:type="spellStart"/>
            <w:r w:rsidRPr="008D21FB">
              <w:rPr>
                <w:rFonts w:ascii="Times New Roman" w:eastAsia="Times New Roman" w:hAnsi="Times New Roman" w:cs="Times New Roman"/>
                <w:color w:val="000000"/>
                <w:sz w:val="20"/>
                <w:szCs w:val="20"/>
                <w:lang w:eastAsia="pt-BR"/>
              </w:rPr>
              <w:t>Jaffe</w:t>
            </w:r>
            <w:proofErr w:type="spellEnd"/>
            <w:r w:rsidR="00A90266">
              <w:rPr>
                <w:rFonts w:ascii="Times New Roman" w:eastAsia="Times New Roman" w:hAnsi="Times New Roman" w:cs="Times New Roman"/>
                <w:color w:val="000000"/>
                <w:sz w:val="20"/>
                <w:szCs w:val="20"/>
                <w:lang w:eastAsia="pt-BR"/>
              </w:rPr>
              <w:t xml:space="preserve"> (2009)</w:t>
            </w:r>
          </w:p>
        </w:tc>
        <w:tc>
          <w:tcPr>
            <w:tcW w:w="3100" w:type="pct"/>
            <w:tcBorders>
              <w:top w:val="nil"/>
              <w:left w:val="nil"/>
              <w:bottom w:val="single" w:sz="4" w:space="0" w:color="auto"/>
              <w:right w:val="single" w:sz="4" w:space="0" w:color="auto"/>
            </w:tcBorders>
            <w:shd w:val="clear" w:color="auto" w:fill="auto"/>
            <w:noWrap/>
            <w:vAlign w:val="center"/>
            <w:hideMark/>
          </w:tcPr>
          <w:p w14:paraId="07F9CF82"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positivas</w:t>
            </w:r>
          </w:p>
        </w:tc>
      </w:tr>
      <w:tr w:rsidR="00FB7AA3" w:rsidRPr="008D21FB" w14:paraId="5DBAD456" w14:textId="77777777" w:rsidTr="00A90266">
        <w:trPr>
          <w:jc w:val="center"/>
        </w:trPr>
        <w:tc>
          <w:tcPr>
            <w:tcW w:w="1900" w:type="pct"/>
            <w:vMerge/>
            <w:tcBorders>
              <w:top w:val="nil"/>
              <w:left w:val="single" w:sz="4" w:space="0" w:color="auto"/>
              <w:bottom w:val="single" w:sz="4" w:space="0" w:color="auto"/>
              <w:right w:val="single" w:sz="4" w:space="0" w:color="auto"/>
            </w:tcBorders>
            <w:vAlign w:val="center"/>
            <w:hideMark/>
          </w:tcPr>
          <w:p w14:paraId="5F88FDB7" w14:textId="77777777" w:rsidR="00FB7AA3" w:rsidRPr="008D21FB" w:rsidRDefault="00FB7AA3" w:rsidP="008B18FA">
            <w:pPr>
              <w:spacing w:line="240" w:lineRule="auto"/>
              <w:ind w:firstLine="567"/>
              <w:rPr>
                <w:rFonts w:ascii="Times New Roman" w:eastAsia="Times New Roman" w:hAnsi="Times New Roman" w:cs="Times New Roman"/>
                <w:color w:val="000000"/>
                <w:sz w:val="20"/>
                <w:szCs w:val="20"/>
                <w:lang w:eastAsia="pt-BR"/>
              </w:rPr>
            </w:pPr>
          </w:p>
        </w:tc>
        <w:tc>
          <w:tcPr>
            <w:tcW w:w="3100" w:type="pct"/>
            <w:tcBorders>
              <w:top w:val="nil"/>
              <w:left w:val="nil"/>
              <w:bottom w:val="single" w:sz="4" w:space="0" w:color="auto"/>
              <w:right w:val="single" w:sz="4" w:space="0" w:color="auto"/>
            </w:tcBorders>
            <w:shd w:val="clear" w:color="auto" w:fill="auto"/>
            <w:noWrap/>
            <w:vAlign w:val="center"/>
            <w:hideMark/>
          </w:tcPr>
          <w:p w14:paraId="257A3E75" w14:textId="77777777" w:rsidR="00FB7AA3" w:rsidRPr="008D21FB" w:rsidRDefault="00FB7AA3" w:rsidP="00A90266">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negativas</w:t>
            </w:r>
          </w:p>
        </w:tc>
      </w:tr>
    </w:tbl>
    <w:p w14:paraId="6370CC2B" w14:textId="77777777" w:rsidR="00FB7AA3" w:rsidRPr="002153E2" w:rsidRDefault="00FB7AA3" w:rsidP="002153E2">
      <w:pPr>
        <w:spacing w:after="120" w:line="240" w:lineRule="auto"/>
        <w:jc w:val="center"/>
        <w:rPr>
          <w:rFonts w:ascii="Times New Roman" w:hAnsi="Times New Roman" w:cs="Times New Roman"/>
          <w:sz w:val="20"/>
          <w:szCs w:val="20"/>
          <w:lang w:val="en-US"/>
        </w:rPr>
      </w:pPr>
      <w:r w:rsidRPr="008B18FA">
        <w:rPr>
          <w:rFonts w:ascii="Times New Roman" w:hAnsi="Times New Roman" w:cs="Times New Roman"/>
          <w:b/>
          <w:sz w:val="20"/>
          <w:szCs w:val="20"/>
        </w:rPr>
        <w:t>Fonte:</w:t>
      </w:r>
      <w:r w:rsidRPr="008D21FB">
        <w:rPr>
          <w:rFonts w:ascii="Times New Roman" w:hAnsi="Times New Roman" w:cs="Times New Roman"/>
          <w:sz w:val="20"/>
          <w:szCs w:val="20"/>
        </w:rPr>
        <w:t xml:space="preserve"> </w:t>
      </w:r>
      <w:r w:rsidRPr="008D21FB">
        <w:rPr>
          <w:rFonts w:ascii="Times New Roman" w:hAnsi="Times New Roman" w:cs="Times New Roman"/>
          <w:sz w:val="20"/>
          <w:szCs w:val="20"/>
          <w:lang w:val="en-US"/>
        </w:rPr>
        <w:t xml:space="preserve">Frost e Bernard (1989); Ramsay e Sidhu (1998); Mather e </w:t>
      </w:r>
      <w:proofErr w:type="spellStart"/>
      <w:r w:rsidRPr="008D21FB">
        <w:rPr>
          <w:rFonts w:ascii="Times New Roman" w:hAnsi="Times New Roman" w:cs="Times New Roman"/>
          <w:sz w:val="20"/>
          <w:szCs w:val="20"/>
          <w:lang w:val="en-US"/>
        </w:rPr>
        <w:t>Peirson</w:t>
      </w:r>
      <w:proofErr w:type="spellEnd"/>
      <w:r w:rsidRPr="008D21FB">
        <w:rPr>
          <w:rFonts w:ascii="Times New Roman" w:hAnsi="Times New Roman" w:cs="Times New Roman"/>
          <w:sz w:val="20"/>
          <w:szCs w:val="20"/>
          <w:lang w:val="en-US"/>
        </w:rPr>
        <w:t xml:space="preserve"> (2006); </w:t>
      </w:r>
      <w:r>
        <w:rPr>
          <w:rFonts w:ascii="Times New Roman" w:hAnsi="Times New Roman" w:cs="Times New Roman"/>
          <w:sz w:val="20"/>
          <w:szCs w:val="20"/>
          <w:lang w:val="en-US"/>
        </w:rPr>
        <w:t xml:space="preserve">Ross, </w:t>
      </w:r>
      <w:proofErr w:type="spellStart"/>
      <w:r w:rsidRPr="008D21FB">
        <w:rPr>
          <w:rFonts w:ascii="Times New Roman" w:hAnsi="Times New Roman" w:cs="Times New Roman"/>
          <w:sz w:val="20"/>
          <w:szCs w:val="20"/>
          <w:lang w:val="en-US"/>
        </w:rPr>
        <w:t>Westerfield</w:t>
      </w:r>
      <w:proofErr w:type="spellEnd"/>
      <w:r w:rsidRPr="008D21FB">
        <w:rPr>
          <w:rFonts w:ascii="Times New Roman" w:hAnsi="Times New Roman" w:cs="Times New Roman"/>
          <w:sz w:val="20"/>
          <w:szCs w:val="20"/>
          <w:lang w:val="en-US"/>
        </w:rPr>
        <w:t xml:space="preserve"> e Jaffe (200</w:t>
      </w:r>
      <w:r>
        <w:rPr>
          <w:rFonts w:ascii="Times New Roman" w:hAnsi="Times New Roman" w:cs="Times New Roman"/>
          <w:sz w:val="20"/>
          <w:szCs w:val="20"/>
          <w:lang w:val="en-US"/>
        </w:rPr>
        <w:t>9).</w:t>
      </w:r>
    </w:p>
    <w:p w14:paraId="79558128" w14:textId="77777777" w:rsidR="00FB7AA3" w:rsidRPr="008D21FB" w:rsidRDefault="00FB7AA3" w:rsidP="008B18FA">
      <w:pPr>
        <w:spacing w:line="240" w:lineRule="auto"/>
        <w:ind w:firstLine="709"/>
        <w:contextualSpacing/>
        <w:jc w:val="both"/>
        <w:rPr>
          <w:rFonts w:ascii="Times New Roman" w:hAnsi="Times New Roman" w:cs="Times New Roman"/>
          <w:sz w:val="24"/>
          <w:szCs w:val="24"/>
        </w:rPr>
      </w:pP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baseados em dados contábeis, financeiros, positivos e afirmativos, apresentam em suas cláusulas obrigações baseadas em dados ou indicadores contábeis, à empresa devedora. São atividades ou ações impostas aos administradores</w:t>
      </w:r>
      <w:r>
        <w:rPr>
          <w:rFonts w:ascii="Times New Roman" w:hAnsi="Times New Roman" w:cs="Times New Roman"/>
          <w:sz w:val="24"/>
          <w:szCs w:val="24"/>
        </w:rPr>
        <w:t xml:space="preserve">, por exemplo, </w:t>
      </w:r>
      <w:r w:rsidRPr="008D21FB">
        <w:rPr>
          <w:rFonts w:ascii="Times New Roman" w:hAnsi="Times New Roman" w:cs="Times New Roman"/>
          <w:sz w:val="24"/>
          <w:szCs w:val="24"/>
        </w:rPr>
        <w:t>manter a margem líquida ou índice de liquidez em certo nível.</w:t>
      </w:r>
    </w:p>
    <w:p w14:paraId="6048DF2E" w14:textId="77777777" w:rsidR="00FB7AA3" w:rsidRPr="008D21FB" w:rsidRDefault="00FB7AA3" w:rsidP="008B18FA">
      <w:pPr>
        <w:spacing w:line="240" w:lineRule="auto"/>
        <w:ind w:firstLine="709"/>
        <w:contextualSpacing/>
        <w:jc w:val="both"/>
        <w:rPr>
          <w:rFonts w:ascii="Times New Roman" w:hAnsi="Times New Roman" w:cs="Times New Roman"/>
          <w:sz w:val="24"/>
          <w:szCs w:val="24"/>
        </w:rPr>
      </w:pP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baseados em dados não contábeis, não financeiros ou negativos, apresentam em suas cláusulas limitações ou proibições às atividades e ações dos administradores. Exemplo: não poder pagar dividendos, proibir a venda de ativos.</w:t>
      </w:r>
    </w:p>
    <w:p w14:paraId="66A6C718" w14:textId="77777777" w:rsidR="00FB7AA3" w:rsidRDefault="00FB7AA3" w:rsidP="008B18FA">
      <w:pPr>
        <w:spacing w:line="240" w:lineRule="auto"/>
        <w:ind w:firstLine="709"/>
        <w:contextualSpacing/>
        <w:jc w:val="both"/>
        <w:rPr>
          <w:rFonts w:ascii="Times New Roman" w:hAnsi="Times New Roman" w:cs="Times New Roman"/>
          <w:sz w:val="24"/>
          <w:szCs w:val="24"/>
        </w:rPr>
      </w:pPr>
      <w:r w:rsidRPr="008D21FB">
        <w:rPr>
          <w:rFonts w:ascii="Times New Roman" w:hAnsi="Times New Roman" w:cs="Times New Roman"/>
          <w:sz w:val="24"/>
          <w:szCs w:val="24"/>
        </w:rPr>
        <w:t xml:space="preserve">Enquanto isso,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de segurança sugerido por </w:t>
      </w:r>
      <w:proofErr w:type="spellStart"/>
      <w:r w:rsidRPr="008D21FB">
        <w:rPr>
          <w:rFonts w:ascii="Times New Roman" w:hAnsi="Times New Roman" w:cs="Times New Roman"/>
          <w:sz w:val="24"/>
          <w:szCs w:val="24"/>
        </w:rPr>
        <w:t>Ramsay</w:t>
      </w:r>
      <w:proofErr w:type="spellEnd"/>
      <w:r w:rsidRPr="008D21FB">
        <w:rPr>
          <w:rFonts w:ascii="Times New Roman" w:hAnsi="Times New Roman" w:cs="Times New Roman"/>
          <w:sz w:val="24"/>
          <w:szCs w:val="24"/>
        </w:rPr>
        <w:t xml:space="preserve"> e </w:t>
      </w:r>
      <w:proofErr w:type="spellStart"/>
      <w:r w:rsidRPr="008D21FB">
        <w:rPr>
          <w:rFonts w:ascii="Times New Roman" w:hAnsi="Times New Roman" w:cs="Times New Roman"/>
          <w:sz w:val="24"/>
          <w:szCs w:val="24"/>
        </w:rPr>
        <w:t>Sidhu</w:t>
      </w:r>
      <w:proofErr w:type="spellEnd"/>
      <w:r w:rsidRPr="008D21FB">
        <w:rPr>
          <w:rFonts w:ascii="Times New Roman" w:hAnsi="Times New Roman" w:cs="Times New Roman"/>
          <w:sz w:val="24"/>
          <w:szCs w:val="24"/>
        </w:rPr>
        <w:t xml:space="preserve"> (1998) buscam garantir o pagamento do principal da dívida em casos de liquidação da empresa ou falência, por exemplo</w:t>
      </w:r>
      <w:r>
        <w:rPr>
          <w:rFonts w:ascii="Times New Roman" w:hAnsi="Times New Roman" w:cs="Times New Roman"/>
          <w:sz w:val="24"/>
          <w:szCs w:val="24"/>
        </w:rPr>
        <w:t xml:space="preserve">, que surgem principalmente a partir do descumprimento dos </w:t>
      </w:r>
      <w:proofErr w:type="spellStart"/>
      <w:r w:rsidRPr="00031D28">
        <w:rPr>
          <w:rFonts w:ascii="Times New Roman" w:hAnsi="Times New Roman" w:cs="Times New Roman"/>
          <w:i/>
          <w:sz w:val="24"/>
          <w:szCs w:val="24"/>
        </w:rPr>
        <w:t>coventans</w:t>
      </w:r>
      <w:proofErr w:type="spellEnd"/>
      <w:r>
        <w:rPr>
          <w:rFonts w:ascii="Times New Roman" w:hAnsi="Times New Roman" w:cs="Times New Roman"/>
          <w:sz w:val="24"/>
          <w:szCs w:val="24"/>
        </w:rPr>
        <w:t xml:space="preserve">. </w:t>
      </w:r>
    </w:p>
    <w:p w14:paraId="2730C654" w14:textId="77777777" w:rsidR="00FB7AA3" w:rsidRPr="00A8754A" w:rsidRDefault="00A8754A" w:rsidP="00A8754A">
      <w:pPr>
        <w:pStyle w:val="Ttulo2"/>
        <w:rPr>
          <w:rFonts w:ascii="Times New Roman" w:hAnsi="Times New Roman" w:cs="Times New Roman"/>
          <w:b w:val="0"/>
          <w:color w:val="auto"/>
          <w:sz w:val="24"/>
          <w:szCs w:val="24"/>
        </w:rPr>
      </w:pPr>
      <w:bookmarkStart w:id="52" w:name="_Toc452903756"/>
      <w:bookmarkStart w:id="53" w:name="_Toc453351013"/>
      <w:bookmarkStart w:id="54" w:name="_Toc453351498"/>
      <w:bookmarkStart w:id="55" w:name="_Toc453412868"/>
      <w:bookmarkStart w:id="56" w:name="_Toc453515914"/>
      <w:bookmarkStart w:id="57" w:name="_Toc455057033"/>
      <w:r w:rsidRPr="00A8754A">
        <w:rPr>
          <w:rFonts w:ascii="Times New Roman" w:hAnsi="Times New Roman" w:cs="Times New Roman"/>
          <w:b w:val="0"/>
          <w:color w:val="auto"/>
          <w:sz w:val="24"/>
          <w:szCs w:val="24"/>
        </w:rPr>
        <w:t>2.3</w:t>
      </w:r>
      <w:r>
        <w:rPr>
          <w:rFonts w:ascii="Times New Roman" w:hAnsi="Times New Roman" w:cs="Times New Roman"/>
          <w:b w:val="0"/>
          <w:color w:val="auto"/>
          <w:sz w:val="24"/>
          <w:szCs w:val="24"/>
        </w:rPr>
        <w:t xml:space="preserve"> </w:t>
      </w:r>
      <w:r w:rsidR="00FB7AA3" w:rsidRPr="00A8754A">
        <w:rPr>
          <w:rFonts w:ascii="Times New Roman" w:hAnsi="Times New Roman" w:cs="Times New Roman"/>
          <w:b w:val="0"/>
          <w:color w:val="auto"/>
          <w:sz w:val="24"/>
          <w:szCs w:val="24"/>
        </w:rPr>
        <w:t xml:space="preserve">Violação dos </w:t>
      </w:r>
      <w:proofErr w:type="spellStart"/>
      <w:r w:rsidR="00FB7AA3" w:rsidRPr="00A8754A">
        <w:rPr>
          <w:rFonts w:ascii="Times New Roman" w:hAnsi="Times New Roman" w:cs="Times New Roman"/>
          <w:b w:val="0"/>
          <w:i/>
          <w:color w:val="auto"/>
          <w:sz w:val="24"/>
          <w:szCs w:val="24"/>
        </w:rPr>
        <w:t>covenants</w:t>
      </w:r>
      <w:bookmarkEnd w:id="52"/>
      <w:bookmarkEnd w:id="53"/>
      <w:bookmarkEnd w:id="54"/>
      <w:bookmarkEnd w:id="55"/>
      <w:bookmarkEnd w:id="56"/>
      <w:bookmarkEnd w:id="57"/>
      <w:proofErr w:type="spellEnd"/>
    </w:p>
    <w:p w14:paraId="1535397E" w14:textId="77777777" w:rsidR="00FB7AA3" w:rsidRDefault="00FB7AA3" w:rsidP="008B18FA">
      <w:pPr>
        <w:tabs>
          <w:tab w:val="left" w:pos="2268"/>
        </w:tabs>
        <w:spacing w:line="240" w:lineRule="auto"/>
        <w:ind w:firstLine="567"/>
        <w:jc w:val="both"/>
        <w:rPr>
          <w:rFonts w:ascii="Times New Roman" w:hAnsi="Times New Roman" w:cs="Times New Roman"/>
          <w:sz w:val="24"/>
          <w:szCs w:val="24"/>
        </w:rPr>
      </w:pPr>
    </w:p>
    <w:p w14:paraId="35EB5A5C" w14:textId="77777777" w:rsidR="00FB7AA3" w:rsidRPr="000E3254" w:rsidRDefault="00FB7AA3" w:rsidP="008B18FA">
      <w:pPr>
        <w:tabs>
          <w:tab w:val="left" w:pos="2268"/>
        </w:tabs>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 violação de um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sobretudo, ocorre quando uma empresa não consegue atender aos deveres e obrigações exigidas nas clausulas pactuadas nos títulos de dívidas. A quebra de um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pode estar diretamente ligada às dificuldades financeiras, como a probabilidade de falência da empresa, não ocorrendo dessa forma, o pagamento dos juros e do principal da dívida. Segundo Silva (2008</w:t>
      </w:r>
      <w:r>
        <w:rPr>
          <w:rFonts w:ascii="Times New Roman" w:hAnsi="Times New Roman" w:cs="Times New Roman"/>
          <w:sz w:val="24"/>
          <w:szCs w:val="24"/>
        </w:rPr>
        <w:t>, p.54</w:t>
      </w:r>
      <w:r w:rsidRPr="008D21FB">
        <w:rPr>
          <w:rFonts w:ascii="Times New Roman" w:hAnsi="Times New Roman" w:cs="Times New Roman"/>
          <w:sz w:val="24"/>
          <w:szCs w:val="24"/>
        </w:rPr>
        <w:t xml:space="preserve">) a principal consequência da violação “é que os credores passam a ter a opção de exercer o direito contratual de impor custos de reestruturação, refinanciamento ou renegociação das dívidas”. O autor destaca algumas consequências pela quebra de </w:t>
      </w:r>
      <w:proofErr w:type="spellStart"/>
      <w:r w:rsidRPr="008D21FB">
        <w:rPr>
          <w:rFonts w:ascii="Times New Roman" w:hAnsi="Times New Roman" w:cs="Times New Roman"/>
          <w:i/>
          <w:sz w:val="24"/>
          <w:szCs w:val="24"/>
        </w:rPr>
        <w:t>covenant</w:t>
      </w:r>
      <w:r>
        <w:rPr>
          <w:rFonts w:ascii="Times New Roman" w:hAnsi="Times New Roman" w:cs="Times New Roman"/>
          <w:i/>
          <w:sz w:val="24"/>
          <w:szCs w:val="24"/>
        </w:rPr>
        <w:t>s</w:t>
      </w:r>
      <w:proofErr w:type="spellEnd"/>
      <w:r>
        <w:rPr>
          <w:rFonts w:ascii="Times New Roman" w:hAnsi="Times New Roman" w:cs="Times New Roman"/>
          <w:i/>
          <w:sz w:val="24"/>
          <w:szCs w:val="24"/>
        </w:rPr>
        <w:t>:</w:t>
      </w:r>
    </w:p>
    <w:p w14:paraId="20F64F1E" w14:textId="77777777" w:rsidR="00FB7AA3" w:rsidRPr="008D21FB" w:rsidRDefault="00FB7AA3" w:rsidP="008B18FA">
      <w:pPr>
        <w:tabs>
          <w:tab w:val="left" w:pos="2268"/>
        </w:tabs>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w:t>
      </w:r>
      <w:r w:rsidRPr="008D21FB">
        <w:rPr>
          <w:rFonts w:ascii="Times New Roman" w:hAnsi="Times New Roman" w:cs="Times New Roman"/>
          <w:sz w:val="20"/>
          <w:szCs w:val="20"/>
        </w:rPr>
        <w:t>a) exigir o pagamento imediato da dívida ou a venda de ativos para pagar a dívida; (b) exigir a aceleração do prazo de pagamento da dívida;</w:t>
      </w:r>
      <w:r>
        <w:rPr>
          <w:rFonts w:ascii="Times New Roman" w:hAnsi="Times New Roman" w:cs="Times New Roman"/>
          <w:sz w:val="20"/>
          <w:szCs w:val="20"/>
        </w:rPr>
        <w:t xml:space="preserve"> </w:t>
      </w:r>
      <w:r w:rsidRPr="008D21FB">
        <w:rPr>
          <w:rFonts w:ascii="Times New Roman" w:hAnsi="Times New Roman" w:cs="Times New Roman"/>
          <w:sz w:val="20"/>
          <w:szCs w:val="20"/>
        </w:rPr>
        <w:t>(c) transformar a dívida em participação acionária;(d) aumentar a taxa de juros;</w:t>
      </w:r>
      <w:r>
        <w:rPr>
          <w:rFonts w:ascii="Times New Roman" w:hAnsi="Times New Roman" w:cs="Times New Roman"/>
          <w:sz w:val="20"/>
          <w:szCs w:val="20"/>
        </w:rPr>
        <w:t xml:space="preserve"> </w:t>
      </w:r>
      <w:r w:rsidRPr="008D21FB">
        <w:rPr>
          <w:rFonts w:ascii="Times New Roman" w:hAnsi="Times New Roman" w:cs="Times New Roman"/>
          <w:sz w:val="20"/>
          <w:szCs w:val="20"/>
        </w:rPr>
        <w:t>(e) exigir aumento de garantias;</w:t>
      </w:r>
      <w:r>
        <w:rPr>
          <w:rFonts w:ascii="Times New Roman" w:hAnsi="Times New Roman" w:cs="Times New Roman"/>
          <w:sz w:val="20"/>
          <w:szCs w:val="20"/>
        </w:rPr>
        <w:t xml:space="preserve"> </w:t>
      </w:r>
      <w:r w:rsidRPr="008D21FB">
        <w:rPr>
          <w:rFonts w:ascii="Times New Roman" w:hAnsi="Times New Roman" w:cs="Times New Roman"/>
          <w:sz w:val="20"/>
          <w:szCs w:val="20"/>
        </w:rPr>
        <w:t>(f) restringir a contratação de novos empréstimos;</w:t>
      </w:r>
      <w:r>
        <w:rPr>
          <w:rFonts w:ascii="Times New Roman" w:hAnsi="Times New Roman" w:cs="Times New Roman"/>
          <w:sz w:val="20"/>
          <w:szCs w:val="20"/>
        </w:rPr>
        <w:t xml:space="preserve"> </w:t>
      </w:r>
      <w:r w:rsidRPr="008D21FB">
        <w:rPr>
          <w:rFonts w:ascii="Times New Roman" w:hAnsi="Times New Roman" w:cs="Times New Roman"/>
          <w:sz w:val="20"/>
          <w:szCs w:val="20"/>
        </w:rPr>
        <w:t xml:space="preserve">(g) impor </w:t>
      </w:r>
      <w:proofErr w:type="spellStart"/>
      <w:r w:rsidRPr="008D21FB">
        <w:rPr>
          <w:rFonts w:ascii="Times New Roman" w:hAnsi="Times New Roman" w:cs="Times New Roman"/>
          <w:i/>
          <w:sz w:val="20"/>
          <w:szCs w:val="20"/>
        </w:rPr>
        <w:t>covenants</w:t>
      </w:r>
      <w:proofErr w:type="spellEnd"/>
      <w:r w:rsidRPr="008D21FB">
        <w:rPr>
          <w:rFonts w:ascii="Times New Roman" w:hAnsi="Times New Roman" w:cs="Times New Roman"/>
          <w:sz w:val="20"/>
          <w:szCs w:val="20"/>
        </w:rPr>
        <w:t xml:space="preserve"> adicionais;</w:t>
      </w:r>
      <w:r>
        <w:rPr>
          <w:rFonts w:ascii="Times New Roman" w:hAnsi="Times New Roman" w:cs="Times New Roman"/>
          <w:sz w:val="20"/>
          <w:szCs w:val="20"/>
        </w:rPr>
        <w:t xml:space="preserve"> </w:t>
      </w:r>
      <w:r w:rsidRPr="008D21FB">
        <w:rPr>
          <w:rFonts w:ascii="Times New Roman" w:hAnsi="Times New Roman" w:cs="Times New Roman"/>
          <w:sz w:val="20"/>
          <w:szCs w:val="20"/>
        </w:rPr>
        <w:t>(h) suspender o pagamento de dívidas sem preferência;</w:t>
      </w:r>
      <w:r>
        <w:rPr>
          <w:rFonts w:ascii="Times New Roman" w:hAnsi="Times New Roman" w:cs="Times New Roman"/>
          <w:sz w:val="20"/>
          <w:szCs w:val="20"/>
        </w:rPr>
        <w:t xml:space="preserve"> </w:t>
      </w:r>
      <w:r w:rsidRPr="008D21FB">
        <w:rPr>
          <w:rFonts w:ascii="Times New Roman" w:hAnsi="Times New Roman" w:cs="Times New Roman"/>
          <w:sz w:val="20"/>
          <w:szCs w:val="20"/>
        </w:rPr>
        <w:t>(i) co</w:t>
      </w:r>
      <w:r>
        <w:rPr>
          <w:rFonts w:ascii="Times New Roman" w:hAnsi="Times New Roman" w:cs="Times New Roman"/>
          <w:sz w:val="20"/>
          <w:szCs w:val="20"/>
        </w:rPr>
        <w:t>b</w:t>
      </w:r>
      <w:r w:rsidRPr="008D21FB">
        <w:rPr>
          <w:rFonts w:ascii="Times New Roman" w:hAnsi="Times New Roman" w:cs="Times New Roman"/>
          <w:sz w:val="20"/>
          <w:szCs w:val="20"/>
        </w:rPr>
        <w:t>rar taxas para reestruturar a dívida.</w:t>
      </w:r>
    </w:p>
    <w:p w14:paraId="2446079E" w14:textId="77777777" w:rsidR="00FB7AA3" w:rsidRPr="008D21FB" w:rsidRDefault="00FB7AA3" w:rsidP="008B18FA">
      <w:pPr>
        <w:spacing w:line="240" w:lineRule="auto"/>
        <w:ind w:left="2268"/>
        <w:jc w:val="both"/>
        <w:rPr>
          <w:rFonts w:ascii="Times New Roman" w:hAnsi="Times New Roman" w:cs="Times New Roman"/>
          <w:sz w:val="20"/>
          <w:szCs w:val="20"/>
        </w:rPr>
      </w:pPr>
    </w:p>
    <w:p w14:paraId="2D9F0A72" w14:textId="77777777" w:rsidR="00FB7AA3" w:rsidRPr="008D21FB" w:rsidRDefault="00FB7AA3" w:rsidP="008B18FA">
      <w:pPr>
        <w:spacing w:line="240" w:lineRule="auto"/>
        <w:ind w:firstLine="709"/>
        <w:jc w:val="both"/>
        <w:rPr>
          <w:rFonts w:ascii="Times New Roman" w:hAnsi="Times New Roman" w:cs="Times New Roman"/>
          <w:sz w:val="23"/>
          <w:szCs w:val="23"/>
        </w:rPr>
      </w:pPr>
      <w:r w:rsidRPr="008D21FB">
        <w:rPr>
          <w:rFonts w:ascii="Times New Roman" w:hAnsi="Times New Roman" w:cs="Times New Roman"/>
          <w:sz w:val="23"/>
          <w:szCs w:val="23"/>
        </w:rPr>
        <w:t xml:space="preserve"> Percebe-se que a violação dos </w:t>
      </w:r>
      <w:proofErr w:type="spellStart"/>
      <w:r w:rsidRPr="008D21FB">
        <w:rPr>
          <w:rFonts w:ascii="Times New Roman" w:hAnsi="Times New Roman" w:cs="Times New Roman"/>
          <w:i/>
          <w:sz w:val="23"/>
          <w:szCs w:val="23"/>
        </w:rPr>
        <w:t>covenants</w:t>
      </w:r>
      <w:proofErr w:type="spellEnd"/>
      <w:r>
        <w:rPr>
          <w:rFonts w:ascii="Times New Roman" w:hAnsi="Times New Roman" w:cs="Times New Roman"/>
          <w:sz w:val="23"/>
          <w:szCs w:val="23"/>
        </w:rPr>
        <w:t xml:space="preserve"> contábeis pode</w:t>
      </w:r>
      <w:r w:rsidRPr="008D21FB">
        <w:rPr>
          <w:rFonts w:ascii="Times New Roman" w:hAnsi="Times New Roman" w:cs="Times New Roman"/>
          <w:sz w:val="23"/>
          <w:szCs w:val="23"/>
        </w:rPr>
        <w:t xml:space="preserve"> causar diversas consequências econômicas ao devedor, estando sujeito a condições menos favoráveis. Conforme </w:t>
      </w:r>
      <w:proofErr w:type="spellStart"/>
      <w:r w:rsidRPr="008D21FB">
        <w:rPr>
          <w:rFonts w:ascii="Times New Roman" w:hAnsi="Times New Roman" w:cs="Times New Roman"/>
          <w:sz w:val="23"/>
          <w:szCs w:val="23"/>
        </w:rPr>
        <w:t>Beiruth</w:t>
      </w:r>
      <w:proofErr w:type="spellEnd"/>
      <w:r w:rsidRPr="008D21FB">
        <w:rPr>
          <w:rFonts w:ascii="Times New Roman" w:hAnsi="Times New Roman" w:cs="Times New Roman"/>
          <w:sz w:val="23"/>
          <w:szCs w:val="23"/>
        </w:rPr>
        <w:t xml:space="preserve"> (2015</w:t>
      </w:r>
      <w:r>
        <w:rPr>
          <w:rFonts w:ascii="Times New Roman" w:hAnsi="Times New Roman" w:cs="Times New Roman"/>
          <w:sz w:val="23"/>
          <w:szCs w:val="23"/>
        </w:rPr>
        <w:t>, p.40</w:t>
      </w:r>
      <w:r w:rsidRPr="008D21FB">
        <w:rPr>
          <w:rFonts w:ascii="Times New Roman" w:hAnsi="Times New Roman" w:cs="Times New Roman"/>
          <w:sz w:val="23"/>
          <w:szCs w:val="23"/>
        </w:rPr>
        <w:t xml:space="preserve">) os </w:t>
      </w:r>
      <w:proofErr w:type="spellStart"/>
      <w:r w:rsidRPr="008D21FB">
        <w:rPr>
          <w:rFonts w:ascii="Times New Roman" w:hAnsi="Times New Roman" w:cs="Times New Roman"/>
          <w:i/>
          <w:sz w:val="23"/>
          <w:szCs w:val="23"/>
        </w:rPr>
        <w:t>covenants</w:t>
      </w:r>
      <w:proofErr w:type="spellEnd"/>
      <w:r w:rsidRPr="008D21FB">
        <w:rPr>
          <w:rFonts w:ascii="Times New Roman" w:hAnsi="Times New Roman" w:cs="Times New Roman"/>
          <w:sz w:val="23"/>
          <w:szCs w:val="23"/>
        </w:rPr>
        <w:t xml:space="preserve"> baseados em indicadores contábeis nesse caso são importantes, pois “facilitam o controle por parte dos credores, sem a necessidade de participarem do cotidiano da </w:t>
      </w:r>
      <w:r w:rsidRPr="004947DA">
        <w:rPr>
          <w:rFonts w:ascii="Times New Roman" w:hAnsi="Times New Roman" w:cs="Times New Roman"/>
          <w:sz w:val="23"/>
          <w:szCs w:val="23"/>
        </w:rPr>
        <w:t>empresa, mas analisando os demonstrativos financeiros da empresa”.</w:t>
      </w:r>
    </w:p>
    <w:p w14:paraId="49608D48" w14:textId="77777777" w:rsidR="00FB7AA3" w:rsidRPr="008D21FB" w:rsidRDefault="00FB7AA3" w:rsidP="008B18FA">
      <w:pPr>
        <w:spacing w:line="240" w:lineRule="auto"/>
        <w:ind w:firstLine="567"/>
        <w:jc w:val="both"/>
        <w:rPr>
          <w:rFonts w:ascii="Times New Roman" w:hAnsi="Times New Roman" w:cs="Times New Roman"/>
          <w:sz w:val="23"/>
          <w:szCs w:val="23"/>
        </w:rPr>
      </w:pPr>
      <w:r w:rsidRPr="008D21FB">
        <w:rPr>
          <w:rFonts w:ascii="Times New Roman" w:hAnsi="Times New Roman" w:cs="Times New Roman"/>
          <w:sz w:val="23"/>
          <w:szCs w:val="23"/>
        </w:rPr>
        <w:t xml:space="preserve"> </w:t>
      </w:r>
      <w:r>
        <w:rPr>
          <w:rFonts w:ascii="Times New Roman" w:hAnsi="Times New Roman" w:cs="Times New Roman"/>
          <w:sz w:val="23"/>
          <w:szCs w:val="23"/>
        </w:rPr>
        <w:tab/>
      </w:r>
      <w:r w:rsidRPr="008D21FB">
        <w:rPr>
          <w:rFonts w:ascii="Times New Roman" w:hAnsi="Times New Roman" w:cs="Times New Roman"/>
          <w:sz w:val="23"/>
          <w:szCs w:val="23"/>
        </w:rPr>
        <w:t xml:space="preserve">Segundo </w:t>
      </w:r>
      <w:r w:rsidRPr="008D21FB">
        <w:rPr>
          <w:rFonts w:ascii="Times New Roman" w:hAnsi="Times New Roman" w:cs="Times New Roman"/>
        </w:rPr>
        <w:t xml:space="preserve">Perin e </w:t>
      </w:r>
      <w:proofErr w:type="spellStart"/>
      <w:r w:rsidRPr="008D21FB">
        <w:rPr>
          <w:rFonts w:ascii="Times New Roman" w:hAnsi="Times New Roman" w:cs="Times New Roman"/>
        </w:rPr>
        <w:t>Glitz</w:t>
      </w:r>
      <w:proofErr w:type="spellEnd"/>
      <w:r w:rsidRPr="008D21FB">
        <w:rPr>
          <w:rFonts w:ascii="Times New Roman" w:hAnsi="Times New Roman" w:cs="Times New Roman"/>
        </w:rPr>
        <w:t xml:space="preserve"> (2015), uma p</w:t>
      </w:r>
      <w:r w:rsidRPr="008D21FB">
        <w:rPr>
          <w:rFonts w:ascii="Times New Roman" w:hAnsi="Times New Roman" w:cs="Times New Roman"/>
          <w:sz w:val="23"/>
          <w:szCs w:val="23"/>
        </w:rPr>
        <w:t xml:space="preserve">rática bastante usual do mercado bancário e que pode ser utilizada nos casos de violação aos </w:t>
      </w:r>
      <w:proofErr w:type="spellStart"/>
      <w:r w:rsidRPr="008D21FB">
        <w:rPr>
          <w:rFonts w:ascii="Times New Roman" w:hAnsi="Times New Roman" w:cs="Times New Roman"/>
          <w:i/>
          <w:sz w:val="23"/>
          <w:szCs w:val="23"/>
        </w:rPr>
        <w:t>covenants</w:t>
      </w:r>
      <w:proofErr w:type="spellEnd"/>
      <w:r w:rsidRPr="008D21FB">
        <w:rPr>
          <w:rFonts w:ascii="Times New Roman" w:hAnsi="Times New Roman" w:cs="Times New Roman"/>
          <w:sz w:val="23"/>
          <w:szCs w:val="23"/>
        </w:rPr>
        <w:t>, é requerer uma taxa (</w:t>
      </w:r>
      <w:proofErr w:type="spellStart"/>
      <w:r w:rsidRPr="00E8331B">
        <w:rPr>
          <w:rFonts w:ascii="Times New Roman" w:hAnsi="Times New Roman" w:cs="Times New Roman"/>
          <w:i/>
          <w:sz w:val="23"/>
          <w:szCs w:val="23"/>
        </w:rPr>
        <w:t>fee</w:t>
      </w:r>
      <w:proofErr w:type="spellEnd"/>
      <w:r w:rsidRPr="008D21FB">
        <w:rPr>
          <w:rFonts w:ascii="Times New Roman" w:hAnsi="Times New Roman" w:cs="Times New Roman"/>
          <w:sz w:val="23"/>
          <w:szCs w:val="23"/>
        </w:rPr>
        <w:t>), uma espécie de multa pelo descumprimento da cláusula, ou uma taxa de renúncia (</w:t>
      </w:r>
      <w:proofErr w:type="spellStart"/>
      <w:r w:rsidRPr="00E8331B">
        <w:rPr>
          <w:rFonts w:ascii="Times New Roman" w:hAnsi="Times New Roman" w:cs="Times New Roman"/>
          <w:i/>
          <w:sz w:val="23"/>
          <w:szCs w:val="23"/>
        </w:rPr>
        <w:t>waiver</w:t>
      </w:r>
      <w:proofErr w:type="spellEnd"/>
      <w:r w:rsidRPr="00E8331B">
        <w:rPr>
          <w:rFonts w:ascii="Times New Roman" w:hAnsi="Times New Roman" w:cs="Times New Roman"/>
          <w:i/>
          <w:sz w:val="23"/>
          <w:szCs w:val="23"/>
        </w:rPr>
        <w:t xml:space="preserve"> </w:t>
      </w:r>
      <w:proofErr w:type="spellStart"/>
      <w:r w:rsidRPr="00E8331B">
        <w:rPr>
          <w:rFonts w:ascii="Times New Roman" w:hAnsi="Times New Roman" w:cs="Times New Roman"/>
          <w:i/>
          <w:sz w:val="23"/>
          <w:szCs w:val="23"/>
        </w:rPr>
        <w:t>fee</w:t>
      </w:r>
      <w:proofErr w:type="spellEnd"/>
      <w:r w:rsidRPr="008D21FB">
        <w:rPr>
          <w:rFonts w:ascii="Times New Roman" w:hAnsi="Times New Roman" w:cs="Times New Roman"/>
          <w:sz w:val="23"/>
          <w:szCs w:val="23"/>
        </w:rPr>
        <w:t>), onde o devedor recebe um prazo para cumprir com a condição, sujeito ao pagamento da tax</w:t>
      </w:r>
      <w:r>
        <w:rPr>
          <w:rFonts w:ascii="Times New Roman" w:hAnsi="Times New Roman" w:cs="Times New Roman"/>
          <w:sz w:val="23"/>
          <w:szCs w:val="23"/>
        </w:rPr>
        <w:t>a.</w:t>
      </w:r>
      <w:r w:rsidRPr="008D21FB">
        <w:rPr>
          <w:rFonts w:ascii="Times New Roman" w:hAnsi="Times New Roman" w:cs="Times New Roman"/>
          <w:sz w:val="23"/>
          <w:szCs w:val="23"/>
        </w:rPr>
        <w:tab/>
      </w:r>
    </w:p>
    <w:p w14:paraId="1818E324" w14:textId="77777777" w:rsidR="00FB7AA3" w:rsidRDefault="00FB7AA3" w:rsidP="008B18FA">
      <w:pPr>
        <w:spacing w:line="240" w:lineRule="auto"/>
        <w:ind w:firstLine="709"/>
        <w:jc w:val="both"/>
        <w:rPr>
          <w:rFonts w:ascii="Times New Roman" w:hAnsi="Times New Roman" w:cs="Times New Roman"/>
          <w:sz w:val="23"/>
          <w:szCs w:val="23"/>
        </w:rPr>
      </w:pPr>
      <w:r w:rsidRPr="008D21FB">
        <w:rPr>
          <w:rFonts w:ascii="Times New Roman" w:hAnsi="Times New Roman" w:cs="Times New Roman"/>
          <w:sz w:val="23"/>
          <w:szCs w:val="23"/>
        </w:rPr>
        <w:t xml:space="preserve">Já para Silva (2008) há dois tipos de perdão: temporário ou permanente. O perdão temporário é estabelecido durante um curto período de tempo, para que a empresa possa se adequar os limites impostos nos </w:t>
      </w:r>
      <w:proofErr w:type="spellStart"/>
      <w:r w:rsidRPr="008D21FB">
        <w:rPr>
          <w:rFonts w:ascii="Times New Roman" w:hAnsi="Times New Roman" w:cs="Times New Roman"/>
          <w:i/>
          <w:sz w:val="23"/>
          <w:szCs w:val="23"/>
        </w:rPr>
        <w:t>covenants</w:t>
      </w:r>
      <w:proofErr w:type="spellEnd"/>
      <w:r w:rsidRPr="008D21FB">
        <w:rPr>
          <w:rFonts w:ascii="Times New Roman" w:hAnsi="Times New Roman" w:cs="Times New Roman"/>
          <w:sz w:val="23"/>
          <w:szCs w:val="23"/>
        </w:rPr>
        <w:t xml:space="preserve"> contábeis presentes no contrato de dívida. No perdão permanente a empresa é dispensada de cumprir os </w:t>
      </w:r>
      <w:proofErr w:type="spellStart"/>
      <w:r w:rsidRPr="008D21FB">
        <w:rPr>
          <w:rFonts w:ascii="Times New Roman" w:hAnsi="Times New Roman" w:cs="Times New Roman"/>
          <w:i/>
          <w:sz w:val="23"/>
          <w:szCs w:val="23"/>
        </w:rPr>
        <w:t>covenants</w:t>
      </w:r>
      <w:proofErr w:type="spellEnd"/>
      <w:r w:rsidRPr="008D21FB">
        <w:rPr>
          <w:rFonts w:ascii="Times New Roman" w:hAnsi="Times New Roman" w:cs="Times New Roman"/>
          <w:sz w:val="23"/>
          <w:szCs w:val="23"/>
        </w:rPr>
        <w:t xml:space="preserve"> acordados durante um longo período ou até mesmo isentar-se do pagamento da dívida.</w:t>
      </w:r>
      <w:r w:rsidRPr="008D21FB">
        <w:rPr>
          <w:rFonts w:ascii="Times New Roman" w:hAnsi="Times New Roman" w:cs="Times New Roman"/>
          <w:sz w:val="23"/>
          <w:szCs w:val="23"/>
        </w:rPr>
        <w:tab/>
      </w:r>
    </w:p>
    <w:p w14:paraId="0DCEA9B5" w14:textId="77777777" w:rsidR="00FB7AA3" w:rsidRPr="00A8754A" w:rsidRDefault="00A8754A" w:rsidP="00A8754A">
      <w:pPr>
        <w:pStyle w:val="Ttulo2"/>
        <w:rPr>
          <w:rFonts w:ascii="Times New Roman" w:hAnsi="Times New Roman" w:cs="Times New Roman"/>
          <w:b w:val="0"/>
          <w:color w:val="auto"/>
          <w:sz w:val="24"/>
          <w:szCs w:val="24"/>
        </w:rPr>
      </w:pPr>
      <w:bookmarkStart w:id="58" w:name="_Toc452903757"/>
      <w:bookmarkStart w:id="59" w:name="_Toc453351014"/>
      <w:bookmarkStart w:id="60" w:name="_Toc453351499"/>
      <w:bookmarkStart w:id="61" w:name="_Toc453412869"/>
      <w:bookmarkStart w:id="62" w:name="_Toc453515915"/>
      <w:bookmarkStart w:id="63" w:name="_Toc455057034"/>
      <w:r w:rsidRPr="00A8754A">
        <w:rPr>
          <w:rFonts w:ascii="Times New Roman" w:hAnsi="Times New Roman" w:cs="Times New Roman"/>
          <w:b w:val="0"/>
          <w:color w:val="auto"/>
          <w:sz w:val="24"/>
          <w:szCs w:val="24"/>
        </w:rPr>
        <w:t>2.4</w:t>
      </w:r>
      <w:r w:rsidR="00FB7AA3" w:rsidRPr="00A8754A">
        <w:rPr>
          <w:rFonts w:ascii="Times New Roman" w:hAnsi="Times New Roman" w:cs="Times New Roman"/>
          <w:b w:val="0"/>
          <w:color w:val="auto"/>
          <w:sz w:val="24"/>
          <w:szCs w:val="24"/>
        </w:rPr>
        <w:t xml:space="preserve"> </w:t>
      </w:r>
      <w:proofErr w:type="spellStart"/>
      <w:r w:rsidR="00FB7AA3" w:rsidRPr="00A8754A">
        <w:rPr>
          <w:rFonts w:ascii="Times New Roman" w:hAnsi="Times New Roman" w:cs="Times New Roman"/>
          <w:b w:val="0"/>
          <w:i/>
          <w:color w:val="auto"/>
          <w:sz w:val="24"/>
          <w:szCs w:val="24"/>
        </w:rPr>
        <w:t>Covenants</w:t>
      </w:r>
      <w:proofErr w:type="spellEnd"/>
      <w:r>
        <w:rPr>
          <w:rFonts w:ascii="Times New Roman" w:hAnsi="Times New Roman" w:cs="Times New Roman"/>
          <w:b w:val="0"/>
          <w:color w:val="auto"/>
          <w:sz w:val="24"/>
          <w:szCs w:val="24"/>
        </w:rPr>
        <w:t xml:space="preserve"> e o Conflito de A</w:t>
      </w:r>
      <w:r w:rsidR="00FB7AA3" w:rsidRPr="00A8754A">
        <w:rPr>
          <w:rFonts w:ascii="Times New Roman" w:hAnsi="Times New Roman" w:cs="Times New Roman"/>
          <w:b w:val="0"/>
          <w:color w:val="auto"/>
          <w:sz w:val="24"/>
          <w:szCs w:val="24"/>
        </w:rPr>
        <w:t>gência</w:t>
      </w:r>
      <w:bookmarkEnd w:id="58"/>
      <w:bookmarkEnd w:id="59"/>
      <w:bookmarkEnd w:id="60"/>
      <w:bookmarkEnd w:id="61"/>
      <w:bookmarkEnd w:id="62"/>
      <w:bookmarkEnd w:id="63"/>
    </w:p>
    <w:p w14:paraId="4C513F1F" w14:textId="77777777" w:rsidR="00FB7AA3" w:rsidRDefault="00FB7AA3" w:rsidP="008B18FA">
      <w:pPr>
        <w:spacing w:line="240" w:lineRule="auto"/>
        <w:ind w:firstLine="567"/>
      </w:pPr>
    </w:p>
    <w:p w14:paraId="63EF7535" w14:textId="77777777" w:rsidR="00FB7AA3" w:rsidRPr="008D21FB" w:rsidRDefault="00FB7AA3" w:rsidP="008B18FA">
      <w:pPr>
        <w:pStyle w:val="NormalWeb"/>
        <w:spacing w:before="0" w:beforeAutospacing="0" w:after="0" w:afterAutospacing="0"/>
        <w:ind w:firstLine="709"/>
        <w:jc w:val="both"/>
      </w:pPr>
      <w:r w:rsidRPr="008D21FB">
        <w:rPr>
          <w:color w:val="222222"/>
        </w:rPr>
        <w:t xml:space="preserve">Jensen </w:t>
      </w:r>
      <w:r w:rsidRPr="008D21FB">
        <w:t xml:space="preserve">e </w:t>
      </w:r>
      <w:proofErr w:type="spellStart"/>
      <w:r w:rsidRPr="008D21FB">
        <w:t>Meckling</w:t>
      </w:r>
      <w:proofErr w:type="spellEnd"/>
      <w:r>
        <w:t>, em 1976,</w:t>
      </w:r>
      <w:r w:rsidRPr="008D21FB">
        <w:t xml:space="preserve"> foram os precursores nos estudos sobre os problemas de agência, publicando pesquisas realizadas em empresas norte americanas e britânicas, originando o conceito de teoria da firma ou teoria do agente-principal. As pesquisas desenvolvidas mostravam os principais problemas enfrentados numa organização entre os diversos participantes, investidores, acionistas, gestores, credores e outros. Segundo os pesquisadores, o problema de agência ocorria quando o sócio (principal) contratava um agente para administrar a empresa em seu lugar. A partir disso, observou-se que cada parte agia conforme seus interesses individuais e não em benefício da organização (IBGC, 201</w:t>
      </w:r>
      <w:r>
        <w:t>6).</w:t>
      </w:r>
      <w:r w:rsidRPr="008D21FB">
        <w:t xml:space="preserve"> </w:t>
      </w:r>
      <w:r w:rsidRPr="008D21FB">
        <w:tab/>
      </w:r>
    </w:p>
    <w:p w14:paraId="74705023" w14:textId="77777777" w:rsidR="00FB7AA3" w:rsidRDefault="00FB7AA3" w:rsidP="008B18FA">
      <w:pPr>
        <w:pStyle w:val="NormalWeb"/>
        <w:spacing w:before="0" w:beforeAutospacing="0" w:after="0" w:afterAutospacing="0"/>
        <w:ind w:firstLine="709"/>
        <w:jc w:val="both"/>
      </w:pPr>
      <w:r w:rsidRPr="008D21FB">
        <w:t>O conflito de agência acontece devido a divergência de interesses entre as partes interessadas na empresa. Enquanto os credores buscam informações que assegurem o retorno e a viabilidade das garantias dos empréstimos, os acionistas agem em busca de informações sobre a saúde financeira e rentabilidade da empresa, por exemplo.</w:t>
      </w:r>
    </w:p>
    <w:p w14:paraId="13BF3F69" w14:textId="77777777" w:rsidR="00FB7AA3" w:rsidRPr="008D21FB" w:rsidRDefault="00FB7AA3" w:rsidP="008B18FA">
      <w:pPr>
        <w:pStyle w:val="NormalWeb"/>
        <w:spacing w:before="0" w:beforeAutospacing="0" w:after="0" w:afterAutospacing="0"/>
        <w:ind w:firstLine="709"/>
        <w:jc w:val="both"/>
      </w:pPr>
      <w:r w:rsidRPr="008D21FB">
        <w:t>Teixeira e Freire (2009) definem o conflito de agência da seguinte forma:</w:t>
      </w:r>
    </w:p>
    <w:p w14:paraId="2AF059D1" w14:textId="77777777" w:rsidR="00FB7AA3" w:rsidRDefault="00FB7AA3" w:rsidP="008B18FA">
      <w:pPr>
        <w:spacing w:line="240" w:lineRule="auto"/>
        <w:ind w:left="2268"/>
        <w:jc w:val="both"/>
        <w:rPr>
          <w:rFonts w:ascii="Times New Roman" w:hAnsi="Times New Roman" w:cs="Times New Roman"/>
          <w:sz w:val="20"/>
          <w:szCs w:val="20"/>
        </w:rPr>
      </w:pPr>
      <w:proofErr w:type="gramStart"/>
      <w:r w:rsidRPr="008D21FB">
        <w:rPr>
          <w:rFonts w:ascii="Times New Roman" w:hAnsi="Times New Roman" w:cs="Times New Roman"/>
          <w:sz w:val="20"/>
          <w:szCs w:val="20"/>
        </w:rPr>
        <w:t>caracteriza</w:t>
      </w:r>
      <w:proofErr w:type="gramEnd"/>
      <w:r w:rsidRPr="008D21FB">
        <w:rPr>
          <w:rFonts w:ascii="Times New Roman" w:hAnsi="Times New Roman" w:cs="Times New Roman"/>
          <w:sz w:val="20"/>
          <w:szCs w:val="20"/>
        </w:rPr>
        <w:t>-se por uma situação em que alguém, potencialmente ou aparentemente, se vê confrontado com uma determinada situação que poderá originar uma quebra na sua confiança enquanto profissional, podendo comprometer de forma irreversível um negócio, uma relação jurídica ou uma simples decisão.</w:t>
      </w:r>
    </w:p>
    <w:p w14:paraId="61B26304" w14:textId="77777777" w:rsidR="00FB7AA3" w:rsidRPr="008F7B0E" w:rsidRDefault="00FB7AA3"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No mercado financeiro é comum operações de financiamentos e empréstimos entre credores e empresas. Numa operação de crédito, a principal preocupação do credor é que o devedor devolva o capital acrescido dos juros.  Os contratos de dívida firmados entre o credor e o devedor buscam garantir o </w:t>
      </w:r>
      <w:r w:rsidRPr="008F7B0E">
        <w:rPr>
          <w:rFonts w:ascii="Times New Roman" w:hAnsi="Times New Roman" w:cs="Times New Roman"/>
          <w:sz w:val="24"/>
          <w:szCs w:val="24"/>
        </w:rPr>
        <w:t>pagamento da dívida. Se os gestores de empresas administrassem em benefício dos interesses dos credores, não seria necessária a existência de contrato de dívidas repleto de cláusulas com condições, bastaria um acompanhamento por parte dos credores, pois os gestores agiriam conforme os interesses dos credores (GUAY, 2006).  Entretanto, não é o que acontece.  Dessa forma, os contratos de dívida servem para minimizar os conflitos de interesses entre o credor e o devedor e, nesse contexto, as cláusulas restritivas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reforçam a segurança dos contratos.</w:t>
      </w:r>
    </w:p>
    <w:p w14:paraId="138D8438" w14:textId="77777777" w:rsidR="00FB7AA3" w:rsidRPr="008F7B0E" w:rsidRDefault="00FB7AA3" w:rsidP="008B18FA">
      <w:pPr>
        <w:spacing w:line="240" w:lineRule="auto"/>
        <w:ind w:firstLine="709"/>
        <w:jc w:val="both"/>
        <w:rPr>
          <w:rFonts w:ascii="Times New Roman" w:hAnsi="Times New Roman" w:cs="Times New Roman"/>
          <w:sz w:val="24"/>
          <w:szCs w:val="24"/>
        </w:rPr>
      </w:pPr>
      <w:r w:rsidRPr="008F7B0E">
        <w:rPr>
          <w:rFonts w:ascii="Times New Roman" w:hAnsi="Times New Roman" w:cs="Times New Roman"/>
          <w:sz w:val="24"/>
          <w:szCs w:val="24"/>
        </w:rPr>
        <w:t xml:space="preserve">Segundo </w:t>
      </w:r>
      <w:proofErr w:type="spellStart"/>
      <w:r w:rsidRPr="008F7B0E">
        <w:rPr>
          <w:rFonts w:ascii="Times New Roman" w:hAnsi="Times New Roman" w:cs="Times New Roman"/>
          <w:sz w:val="24"/>
          <w:szCs w:val="24"/>
        </w:rPr>
        <w:t>Beiruth</w:t>
      </w:r>
      <w:proofErr w:type="spellEnd"/>
      <w:r w:rsidRPr="008F7B0E">
        <w:rPr>
          <w:rFonts w:ascii="Times New Roman" w:hAnsi="Times New Roman" w:cs="Times New Roman"/>
          <w:sz w:val="24"/>
          <w:szCs w:val="24"/>
        </w:rPr>
        <w:t xml:space="preserve"> (2015, p.31) “a relação existente entre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xml:space="preserve"> e conflito de agência advém do fato de os credores buscarem nos</w:t>
      </w:r>
      <w:r w:rsidRPr="008F7B0E">
        <w:rPr>
          <w:rFonts w:ascii="Times New Roman" w:hAnsi="Times New Roman" w:cs="Times New Roman"/>
          <w:i/>
          <w:sz w:val="24"/>
          <w:szCs w:val="24"/>
        </w:rPr>
        <w:t xml:space="preserve">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xml:space="preserve"> um mecanismo para evitar o não recebimento dos empréstimos realizados”. Os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quando bem elaborados, aumentam a garantia de recebimento da dívida e a segurança dos credores, pois, podem ser projetados para alertar os credores sobre a situação e desempenho da empresa devedora, o que colabora no controle da capacidade de pagamento da dívida.</w:t>
      </w:r>
    </w:p>
    <w:p w14:paraId="3716242C" w14:textId="77777777" w:rsidR="00FB7AA3" w:rsidRPr="008F7B0E" w:rsidRDefault="00FB7AA3" w:rsidP="008B18FA">
      <w:pPr>
        <w:spacing w:line="240" w:lineRule="auto"/>
        <w:ind w:firstLine="709"/>
        <w:jc w:val="both"/>
        <w:rPr>
          <w:rFonts w:ascii="Times New Roman" w:hAnsi="Times New Roman" w:cs="Times New Roman"/>
          <w:sz w:val="24"/>
          <w:szCs w:val="24"/>
        </w:rPr>
      </w:pPr>
      <w:r w:rsidRPr="008F7B0E">
        <w:rPr>
          <w:rFonts w:ascii="Times New Roman" w:hAnsi="Times New Roman" w:cs="Times New Roman"/>
          <w:sz w:val="24"/>
          <w:szCs w:val="24"/>
        </w:rPr>
        <w:t xml:space="preserve">Ainda segundo o autor, os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xml:space="preserve"> também são causadores dos problemas de agência, aumentando as chances de fraudes gerenciais e maquiagem de informações. Os gestores quando administram os negócios buscando os melhores resultados para a empresa, sem levar em consideração os interesses do credor, podem vir a descumprir algumas cláusulas restritivas e para que isso não ocorra, os dados e informações acabam sofrendo alterações pelos gestores, mais conhecida como maquiagem de informações. </w:t>
      </w:r>
    </w:p>
    <w:p w14:paraId="67767EEE" w14:textId="77777777" w:rsidR="00FB7AA3" w:rsidRPr="008F7B0E" w:rsidRDefault="00FB7AA3" w:rsidP="008B18FA">
      <w:pPr>
        <w:spacing w:line="240" w:lineRule="auto"/>
        <w:ind w:firstLine="709"/>
        <w:jc w:val="both"/>
        <w:rPr>
          <w:rFonts w:ascii="Times New Roman" w:hAnsi="Times New Roman" w:cs="Times New Roman"/>
          <w:sz w:val="24"/>
          <w:szCs w:val="24"/>
        </w:rPr>
      </w:pPr>
      <w:r w:rsidRPr="008F7B0E">
        <w:rPr>
          <w:rFonts w:ascii="Times New Roman" w:hAnsi="Times New Roman" w:cs="Times New Roman"/>
          <w:sz w:val="24"/>
          <w:szCs w:val="24"/>
        </w:rPr>
        <w:t xml:space="preserve">Os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xml:space="preserve"> também podem fazer com que os gestores tomem decisões diferentes das que tomariam normalmente, podendo ocasionar em conflito de interesses. Silva (2008) afirma que alterar as práticas contábeis pode ocorrer em consequências econômicas sobre os benefícios das partes interessadas. Com base nessa conjuntura, o autor descreve:</w:t>
      </w:r>
    </w:p>
    <w:p w14:paraId="47F04D39" w14:textId="77777777" w:rsidR="00FB7AA3" w:rsidRPr="008F7B0E" w:rsidRDefault="003E709B" w:rsidP="008B18FA">
      <w:pPr>
        <w:spacing w:line="240" w:lineRule="auto"/>
        <w:ind w:left="2268"/>
        <w:jc w:val="both"/>
        <w:rPr>
          <w:rFonts w:ascii="Times New Roman" w:hAnsi="Times New Roman" w:cs="Times New Roman"/>
          <w:sz w:val="20"/>
          <w:szCs w:val="20"/>
        </w:rPr>
      </w:pPr>
      <w:proofErr w:type="gramStart"/>
      <w:r w:rsidRPr="003E709B">
        <w:rPr>
          <w:rFonts w:ascii="Times New Roman" w:hAnsi="Times New Roman" w:cs="Times New Roman"/>
          <w:sz w:val="20"/>
          <w:szCs w:val="20"/>
        </w:rPr>
        <w:t>os</w:t>
      </w:r>
      <w:proofErr w:type="gramEnd"/>
      <w:r w:rsidR="00FB7AA3" w:rsidRPr="003E709B">
        <w:rPr>
          <w:rFonts w:ascii="Times New Roman" w:hAnsi="Times New Roman" w:cs="Times New Roman"/>
          <w:sz w:val="20"/>
          <w:szCs w:val="20"/>
        </w:rPr>
        <w:t xml:space="preserve"> </w:t>
      </w:r>
      <w:r w:rsidR="00FB7AA3" w:rsidRPr="008F7B0E">
        <w:rPr>
          <w:rFonts w:ascii="Times New Roman" w:hAnsi="Times New Roman" w:cs="Times New Roman"/>
          <w:sz w:val="20"/>
          <w:szCs w:val="20"/>
        </w:rPr>
        <w:t>contratos de dívida não podem e não especificam (</w:t>
      </w:r>
      <w:proofErr w:type="spellStart"/>
      <w:r w:rsidR="00FB7AA3" w:rsidRPr="008F7B0E">
        <w:rPr>
          <w:rFonts w:ascii="Times New Roman" w:hAnsi="Times New Roman" w:cs="Times New Roman"/>
          <w:sz w:val="20"/>
          <w:szCs w:val="20"/>
        </w:rPr>
        <w:t>ex</w:t>
      </w:r>
      <w:proofErr w:type="spellEnd"/>
      <w:r w:rsidR="00FB7AA3" w:rsidRPr="008F7B0E">
        <w:rPr>
          <w:rFonts w:ascii="Times New Roman" w:hAnsi="Times New Roman" w:cs="Times New Roman"/>
          <w:sz w:val="20"/>
          <w:szCs w:val="20"/>
        </w:rPr>
        <w:t xml:space="preserve"> antes) detalhadamente as práticas contábeis utilizadas em todas as circunstâncias, assim, os administradores, quando confrontados com a possibilidade de violação de um ou mais </w:t>
      </w:r>
      <w:proofErr w:type="spellStart"/>
      <w:r w:rsidR="00FB7AA3" w:rsidRPr="008F7B0E">
        <w:rPr>
          <w:rFonts w:ascii="Times New Roman" w:hAnsi="Times New Roman" w:cs="Times New Roman"/>
          <w:i/>
          <w:sz w:val="20"/>
          <w:szCs w:val="20"/>
        </w:rPr>
        <w:t>covenants</w:t>
      </w:r>
      <w:proofErr w:type="spellEnd"/>
      <w:r w:rsidR="00FB7AA3" w:rsidRPr="008F7B0E">
        <w:rPr>
          <w:rFonts w:ascii="Times New Roman" w:hAnsi="Times New Roman" w:cs="Times New Roman"/>
          <w:sz w:val="20"/>
          <w:szCs w:val="20"/>
        </w:rPr>
        <w:t>, podem ser estimulados a adotar uma técnica contábil que aumente o lucro, patrimôni</w:t>
      </w:r>
      <w:r>
        <w:rPr>
          <w:rFonts w:ascii="Times New Roman" w:hAnsi="Times New Roman" w:cs="Times New Roman"/>
          <w:sz w:val="20"/>
          <w:szCs w:val="20"/>
        </w:rPr>
        <w:t>o líquido e/ou valor dos ativos</w:t>
      </w:r>
      <w:r w:rsidR="008F7B0E">
        <w:rPr>
          <w:rFonts w:ascii="Times New Roman" w:hAnsi="Times New Roman" w:cs="Times New Roman"/>
          <w:sz w:val="20"/>
          <w:szCs w:val="20"/>
        </w:rPr>
        <w:t>.</w:t>
      </w:r>
    </w:p>
    <w:p w14:paraId="68CF5899" w14:textId="77777777" w:rsidR="00FB7AA3" w:rsidRPr="008F7B0E" w:rsidRDefault="00FB7AA3" w:rsidP="008B18FA">
      <w:pPr>
        <w:spacing w:line="240" w:lineRule="auto"/>
        <w:ind w:left="2268"/>
        <w:jc w:val="both"/>
        <w:rPr>
          <w:rFonts w:ascii="Times New Roman" w:hAnsi="Times New Roman" w:cs="Times New Roman"/>
          <w:sz w:val="20"/>
          <w:szCs w:val="20"/>
        </w:rPr>
      </w:pPr>
    </w:p>
    <w:p w14:paraId="7586DE10" w14:textId="77777777" w:rsidR="00FB7AA3" w:rsidRPr="008F7B0E" w:rsidRDefault="00FB7AA3" w:rsidP="008B18FA">
      <w:pPr>
        <w:spacing w:line="240" w:lineRule="auto"/>
        <w:ind w:firstLine="709"/>
        <w:jc w:val="both"/>
        <w:rPr>
          <w:rFonts w:ascii="Times New Roman" w:hAnsi="Times New Roman" w:cs="Times New Roman"/>
          <w:sz w:val="24"/>
          <w:szCs w:val="24"/>
        </w:rPr>
      </w:pPr>
      <w:r w:rsidRPr="008F7B0E">
        <w:rPr>
          <w:rFonts w:ascii="Times New Roman" w:hAnsi="Times New Roman" w:cs="Times New Roman"/>
          <w:sz w:val="24"/>
          <w:szCs w:val="24"/>
        </w:rPr>
        <w:t xml:space="preserve">Nesse sentido, os </w:t>
      </w:r>
      <w:proofErr w:type="spellStart"/>
      <w:r w:rsidRPr="008F7B0E">
        <w:rPr>
          <w:rFonts w:ascii="Times New Roman" w:hAnsi="Times New Roman" w:cs="Times New Roman"/>
          <w:i/>
          <w:sz w:val="24"/>
          <w:szCs w:val="24"/>
        </w:rPr>
        <w:t>covenants</w:t>
      </w:r>
      <w:proofErr w:type="spellEnd"/>
      <w:r w:rsidRPr="008F7B0E">
        <w:rPr>
          <w:rFonts w:ascii="Times New Roman" w:hAnsi="Times New Roman" w:cs="Times New Roman"/>
          <w:sz w:val="24"/>
          <w:szCs w:val="24"/>
        </w:rPr>
        <w:t xml:space="preserve"> tanto podem ajudar a dar mais seguranças às operações quanto podem ocasionar conflitos de interesses. É necessário, portanto, que os gestores sejam responsáveis durante a gestão da empresa e, diante disso, tem-se a Governança Corporativa que oferece boas práticas corporativas visando mitigar a ocorrência dos conflitos de agência.</w:t>
      </w:r>
    </w:p>
    <w:p w14:paraId="52020F03" w14:textId="77777777" w:rsidR="00D3499E" w:rsidRPr="008F7B0E" w:rsidRDefault="00D3499E" w:rsidP="00D3499E">
      <w:pPr>
        <w:pStyle w:val="Ttulo1"/>
        <w:ind w:firstLine="0"/>
        <w:rPr>
          <w:color w:val="auto"/>
          <w:sz w:val="24"/>
          <w:szCs w:val="24"/>
        </w:rPr>
      </w:pPr>
      <w:bookmarkStart w:id="64" w:name="_Toc453412872"/>
      <w:bookmarkStart w:id="65" w:name="_Toc453515918"/>
      <w:bookmarkStart w:id="66" w:name="_Toc455057037"/>
      <w:r w:rsidRPr="008F7B0E">
        <w:rPr>
          <w:color w:val="auto"/>
          <w:sz w:val="24"/>
          <w:szCs w:val="24"/>
        </w:rPr>
        <w:t>3 METODOLOGIA</w:t>
      </w:r>
      <w:bookmarkEnd w:id="64"/>
      <w:bookmarkEnd w:id="65"/>
      <w:bookmarkEnd w:id="66"/>
    </w:p>
    <w:p w14:paraId="3406C207" w14:textId="77777777" w:rsidR="00D3499E" w:rsidRPr="008F7B0E" w:rsidRDefault="00D3499E" w:rsidP="00D3499E">
      <w:pPr>
        <w:pStyle w:val="Ttulo2"/>
        <w:jc w:val="both"/>
        <w:rPr>
          <w:rFonts w:ascii="Times New Roman" w:hAnsi="Times New Roman" w:cs="Times New Roman"/>
          <w:b w:val="0"/>
          <w:color w:val="auto"/>
          <w:sz w:val="24"/>
          <w:szCs w:val="24"/>
        </w:rPr>
      </w:pPr>
      <w:bookmarkStart w:id="67" w:name="_Toc232223947"/>
      <w:bookmarkStart w:id="68" w:name="_Toc243744280"/>
      <w:bookmarkStart w:id="69" w:name="_Toc244331551"/>
      <w:bookmarkStart w:id="70" w:name="_Toc392801008"/>
      <w:bookmarkStart w:id="71" w:name="_Toc453412873"/>
      <w:bookmarkStart w:id="72" w:name="_Toc453515919"/>
      <w:bookmarkStart w:id="73" w:name="_Toc455057038"/>
      <w:r w:rsidRPr="008F7B0E">
        <w:rPr>
          <w:rFonts w:ascii="Times New Roman" w:hAnsi="Times New Roman" w:cs="Times New Roman"/>
          <w:b w:val="0"/>
          <w:color w:val="auto"/>
          <w:sz w:val="24"/>
          <w:szCs w:val="24"/>
        </w:rPr>
        <w:t xml:space="preserve">3.1 </w:t>
      </w:r>
      <w:bookmarkEnd w:id="67"/>
      <w:bookmarkEnd w:id="68"/>
      <w:bookmarkEnd w:id="69"/>
      <w:bookmarkEnd w:id="70"/>
      <w:r w:rsidR="008B18FA" w:rsidRPr="008F7B0E">
        <w:rPr>
          <w:rFonts w:ascii="Times New Roman" w:hAnsi="Times New Roman" w:cs="Times New Roman"/>
          <w:b w:val="0"/>
          <w:color w:val="auto"/>
          <w:sz w:val="24"/>
          <w:szCs w:val="24"/>
        </w:rPr>
        <w:t xml:space="preserve">Amostra e </w:t>
      </w:r>
      <w:r w:rsidRPr="008F7B0E">
        <w:rPr>
          <w:rFonts w:ascii="Times New Roman" w:hAnsi="Times New Roman" w:cs="Times New Roman"/>
          <w:b w:val="0"/>
          <w:color w:val="auto"/>
          <w:sz w:val="24"/>
          <w:szCs w:val="24"/>
        </w:rPr>
        <w:t>C</w:t>
      </w:r>
      <w:r w:rsidR="008B18FA" w:rsidRPr="008F7B0E">
        <w:rPr>
          <w:rFonts w:ascii="Times New Roman" w:hAnsi="Times New Roman" w:cs="Times New Roman"/>
          <w:b w:val="0"/>
          <w:color w:val="auto"/>
          <w:sz w:val="24"/>
          <w:szCs w:val="24"/>
        </w:rPr>
        <w:t xml:space="preserve">oleta de </w:t>
      </w:r>
      <w:bookmarkEnd w:id="71"/>
      <w:bookmarkEnd w:id="72"/>
      <w:bookmarkEnd w:id="73"/>
      <w:r w:rsidR="008B18FA" w:rsidRPr="008F7B0E">
        <w:rPr>
          <w:rFonts w:ascii="Times New Roman" w:hAnsi="Times New Roman" w:cs="Times New Roman"/>
          <w:b w:val="0"/>
          <w:color w:val="auto"/>
          <w:sz w:val="24"/>
          <w:szCs w:val="24"/>
        </w:rPr>
        <w:t>dados</w:t>
      </w:r>
    </w:p>
    <w:p w14:paraId="024E5B84" w14:textId="77777777" w:rsidR="00D3499E" w:rsidRPr="008D21FB" w:rsidRDefault="00D3499E" w:rsidP="008B18FA">
      <w:pPr>
        <w:spacing w:line="240" w:lineRule="auto"/>
        <w:ind w:firstLine="709"/>
        <w:jc w:val="both"/>
        <w:rPr>
          <w:rFonts w:ascii="Times New Roman" w:hAnsi="Times New Roman" w:cs="Times New Roman"/>
          <w:sz w:val="24"/>
          <w:szCs w:val="24"/>
        </w:rPr>
      </w:pPr>
      <w:r w:rsidRPr="008F7B0E">
        <w:rPr>
          <w:rFonts w:ascii="Times New Roman" w:hAnsi="Times New Roman" w:cs="Times New Roman"/>
          <w:sz w:val="24"/>
          <w:szCs w:val="24"/>
        </w:rPr>
        <w:t xml:space="preserve"> Inicialmente realizou-se o levantamento das 134 companhias</w:t>
      </w:r>
      <w:r w:rsidRPr="008D21FB">
        <w:rPr>
          <w:rFonts w:ascii="Times New Roman" w:hAnsi="Times New Roman" w:cs="Times New Roman"/>
          <w:sz w:val="24"/>
          <w:szCs w:val="24"/>
        </w:rPr>
        <w:t xml:space="preserve"> listadas na BM&amp;FBOVESPA, no segmento Novo Mercado de Governança Corporativa, no ano exercício de 2014. Os dados foram coletados no site da BM&amp;FBOVESPA e, quando indisponível nesse, nos sítios eletrônicos das companhias. A coleta de dados ocorreu em 201 relatórios, sendo 131 </w:t>
      </w:r>
      <w:r>
        <w:rPr>
          <w:rFonts w:ascii="Times New Roman" w:hAnsi="Times New Roman" w:cs="Times New Roman"/>
          <w:sz w:val="24"/>
          <w:szCs w:val="24"/>
        </w:rPr>
        <w:t>FR</w:t>
      </w:r>
      <w:r w:rsidRPr="008D21FB">
        <w:rPr>
          <w:rFonts w:ascii="Times New Roman" w:hAnsi="Times New Roman" w:cs="Times New Roman"/>
          <w:sz w:val="24"/>
          <w:szCs w:val="24"/>
        </w:rPr>
        <w:t xml:space="preserve"> e cerca de 70 </w:t>
      </w:r>
      <w:r>
        <w:rPr>
          <w:rFonts w:ascii="Times New Roman" w:hAnsi="Times New Roman" w:cs="Times New Roman"/>
          <w:sz w:val="24"/>
          <w:szCs w:val="24"/>
        </w:rPr>
        <w:t>NE</w:t>
      </w:r>
      <w:r w:rsidRPr="008D21FB">
        <w:rPr>
          <w:rFonts w:ascii="Times New Roman" w:hAnsi="Times New Roman" w:cs="Times New Roman"/>
          <w:sz w:val="24"/>
          <w:szCs w:val="24"/>
        </w:rPr>
        <w:t>.</w:t>
      </w:r>
    </w:p>
    <w:p w14:paraId="131989AF" w14:textId="77777777" w:rsidR="00D3499E" w:rsidRPr="008D21FB" w:rsidRDefault="00D3499E"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Algumas companhias reapresentam periodicamente seu </w:t>
      </w:r>
      <w:r>
        <w:rPr>
          <w:rFonts w:ascii="Times New Roman" w:hAnsi="Times New Roman" w:cs="Times New Roman"/>
          <w:sz w:val="24"/>
          <w:szCs w:val="24"/>
        </w:rPr>
        <w:t>FR</w:t>
      </w:r>
      <w:r w:rsidRPr="008D21FB">
        <w:rPr>
          <w:rFonts w:ascii="Times New Roman" w:hAnsi="Times New Roman" w:cs="Times New Roman"/>
          <w:sz w:val="24"/>
          <w:szCs w:val="24"/>
        </w:rPr>
        <w:t xml:space="preserve">, divulgando várias versões, como exemplo, a companhia BR </w:t>
      </w:r>
      <w:proofErr w:type="spellStart"/>
      <w:r w:rsidRPr="008D21FB">
        <w:rPr>
          <w:rFonts w:ascii="Times New Roman" w:hAnsi="Times New Roman" w:cs="Times New Roman"/>
          <w:sz w:val="24"/>
          <w:szCs w:val="24"/>
        </w:rPr>
        <w:t>Insurance</w:t>
      </w:r>
      <w:proofErr w:type="spellEnd"/>
      <w:r w:rsidRPr="008D21FB">
        <w:rPr>
          <w:rFonts w:ascii="Times New Roman" w:hAnsi="Times New Roman" w:cs="Times New Roman"/>
          <w:sz w:val="24"/>
          <w:szCs w:val="24"/>
        </w:rPr>
        <w:t xml:space="preserve"> Corretora de Seguros S.A. que em 18/05/2016 apresentou a 21ª versão do </w:t>
      </w:r>
      <w:r>
        <w:rPr>
          <w:rFonts w:ascii="Times New Roman" w:hAnsi="Times New Roman" w:cs="Times New Roman"/>
          <w:sz w:val="24"/>
          <w:szCs w:val="24"/>
        </w:rPr>
        <w:t>FR</w:t>
      </w:r>
      <w:r w:rsidRPr="008D21FB">
        <w:rPr>
          <w:rFonts w:ascii="Times New Roman" w:hAnsi="Times New Roman" w:cs="Times New Roman"/>
          <w:sz w:val="24"/>
          <w:szCs w:val="24"/>
        </w:rPr>
        <w:t xml:space="preserve"> de 2014. À vista disso, adotou-se como base para a coleta os últimos </w:t>
      </w:r>
      <w:r>
        <w:rPr>
          <w:rFonts w:ascii="Times New Roman" w:hAnsi="Times New Roman" w:cs="Times New Roman"/>
          <w:sz w:val="24"/>
          <w:szCs w:val="24"/>
        </w:rPr>
        <w:t>FR</w:t>
      </w:r>
      <w:r w:rsidRPr="008D21FB">
        <w:rPr>
          <w:rFonts w:ascii="Times New Roman" w:hAnsi="Times New Roman" w:cs="Times New Roman"/>
          <w:sz w:val="24"/>
          <w:szCs w:val="24"/>
        </w:rPr>
        <w:t xml:space="preserve"> divulgados pelas companhias, referente ao ano exercício de 2014, no período compreendido de 21/05/2016 a 04/06/2016, onde se realizou o levantamento dos dados desta pesquisa. </w:t>
      </w:r>
    </w:p>
    <w:p w14:paraId="55C3B0ED" w14:textId="77777777" w:rsidR="00D3499E" w:rsidRPr="008D21FB" w:rsidRDefault="00D3499E"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No </w:t>
      </w:r>
      <w:r>
        <w:rPr>
          <w:rFonts w:ascii="Times New Roman" w:hAnsi="Times New Roman" w:cs="Times New Roman"/>
          <w:sz w:val="24"/>
          <w:szCs w:val="24"/>
        </w:rPr>
        <w:t>FR</w:t>
      </w:r>
      <w:r w:rsidRPr="008D21FB">
        <w:rPr>
          <w:rFonts w:ascii="Times New Roman" w:hAnsi="Times New Roman" w:cs="Times New Roman"/>
          <w:sz w:val="24"/>
          <w:szCs w:val="24"/>
        </w:rPr>
        <w:t xml:space="preserve">, as informações foram coletadas no item "10. Comentários dos diretores", subitem "10.1 – Condições financeiras/patrimoniais". Nesse subitem há um tópico (f) onde as companhias devem descrever sobre os níveis de endividamento e as características das dívidas, informando os contratos de empréstimos e financiamentos relevantes e eventuais restrições impostas, em especial, em relação a limites de endividamento e contratação de novas dívidas, à distribuição de dividendos, alienação de ativos, emissão de novos valores mobiliários e alienação de controle societário. </w:t>
      </w:r>
    </w:p>
    <w:p w14:paraId="4F676756" w14:textId="77777777" w:rsidR="00D3499E" w:rsidRPr="008D21FB" w:rsidRDefault="00D3499E"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Outros itens apenas foram consultados quando a companhia informava que as restrições se encontravam em outro local, como no caso da empresa JBS S.A. (2015) a qual informou que "as principais restrições contratuais das obrigações tomadas pela Companhia estão descritas na seção 7.8 deste Formulário de Referência".</w:t>
      </w:r>
    </w:p>
    <w:p w14:paraId="4CF43604" w14:textId="77777777" w:rsidR="00D3499E" w:rsidRPr="008D21FB" w:rsidRDefault="00D3499E" w:rsidP="00327171">
      <w:pPr>
        <w:spacing w:line="240" w:lineRule="auto"/>
        <w:ind w:firstLine="567"/>
        <w:jc w:val="both"/>
        <w:rPr>
          <w:rFonts w:ascii="Times New Roman" w:hAnsi="Times New Roman" w:cs="Times New Roman"/>
        </w:rPr>
      </w:pPr>
      <w:r w:rsidRPr="008D21FB">
        <w:rPr>
          <w:rFonts w:ascii="Times New Roman" w:hAnsi="Times New Roman" w:cs="Times New Roman"/>
          <w:sz w:val="24"/>
          <w:szCs w:val="24"/>
        </w:rPr>
        <w:t xml:space="preserve"> </w:t>
      </w:r>
      <w:r>
        <w:rPr>
          <w:rFonts w:ascii="Times New Roman" w:hAnsi="Times New Roman" w:cs="Times New Roman"/>
          <w:sz w:val="24"/>
          <w:szCs w:val="24"/>
        </w:rPr>
        <w:tab/>
        <w:t xml:space="preserve">Os dados </w:t>
      </w:r>
      <w:r w:rsidRPr="008D21FB">
        <w:rPr>
          <w:rFonts w:ascii="Times New Roman" w:hAnsi="Times New Roman" w:cs="Times New Roman"/>
          <w:sz w:val="24"/>
          <w:szCs w:val="24"/>
        </w:rPr>
        <w:t xml:space="preserve">coletados </w:t>
      </w:r>
      <w:r>
        <w:rPr>
          <w:rFonts w:ascii="Times New Roman" w:hAnsi="Times New Roman" w:cs="Times New Roman"/>
          <w:sz w:val="24"/>
          <w:szCs w:val="24"/>
        </w:rPr>
        <w:t>delimitaram-se as</w:t>
      </w:r>
      <w:r w:rsidRPr="008D21FB">
        <w:rPr>
          <w:rFonts w:ascii="Times New Roman" w:hAnsi="Times New Roman" w:cs="Times New Roman"/>
          <w:sz w:val="24"/>
          <w:szCs w:val="24"/>
        </w:rPr>
        <w:t xml:space="preserve"> informações sobre empréstimos e/ou financiamento e relacionadas às debêntures, que se encontravam em operação no ano de 2014. Na insuficiência de algum dado necessário para alcançar os objetivos desta pesquisa, buscou-o nas </w:t>
      </w:r>
      <w:r>
        <w:rPr>
          <w:rFonts w:ascii="Times New Roman" w:hAnsi="Times New Roman" w:cs="Times New Roman"/>
          <w:sz w:val="24"/>
          <w:szCs w:val="24"/>
        </w:rPr>
        <w:t>NE</w:t>
      </w:r>
      <w:r w:rsidRPr="008D21FB">
        <w:rPr>
          <w:rFonts w:ascii="Times New Roman" w:hAnsi="Times New Roman" w:cs="Times New Roman"/>
          <w:sz w:val="24"/>
          <w:szCs w:val="24"/>
        </w:rPr>
        <w:t xml:space="preserve"> das demonstrações financeiras do referido exercício, nas informações sobre empréstimo e/ou financiamentos e debêntures.</w:t>
      </w:r>
      <w:r w:rsidR="00327171">
        <w:rPr>
          <w:rFonts w:ascii="Times New Roman" w:hAnsi="Times New Roman" w:cs="Times New Roman"/>
          <w:sz w:val="24"/>
          <w:szCs w:val="24"/>
        </w:rPr>
        <w:t xml:space="preserve"> </w:t>
      </w:r>
      <w:r w:rsidRPr="008D21FB">
        <w:rPr>
          <w:rFonts w:ascii="Times New Roman" w:hAnsi="Times New Roman" w:cs="Times New Roman"/>
          <w:sz w:val="24"/>
          <w:szCs w:val="24"/>
        </w:rPr>
        <w:t>Para a organização dos dados, o primeiro passo foi compor a</w:t>
      </w:r>
      <w:r>
        <w:rPr>
          <w:rFonts w:ascii="Times New Roman" w:hAnsi="Times New Roman" w:cs="Times New Roman"/>
          <w:sz w:val="24"/>
          <w:szCs w:val="24"/>
        </w:rPr>
        <w:t xml:space="preserve"> amostra da pesquisa, conforme T</w:t>
      </w:r>
      <w:r w:rsidRPr="008D21FB">
        <w:rPr>
          <w:rFonts w:ascii="Times New Roman" w:hAnsi="Times New Roman" w:cs="Times New Roman"/>
          <w:sz w:val="24"/>
          <w:szCs w:val="24"/>
        </w:rPr>
        <w:t>abela</w:t>
      </w:r>
      <w:r>
        <w:rPr>
          <w:rFonts w:ascii="Times New Roman" w:hAnsi="Times New Roman" w:cs="Times New Roman"/>
          <w:sz w:val="24"/>
          <w:szCs w:val="24"/>
        </w:rPr>
        <w:t xml:space="preserve"> 1</w:t>
      </w:r>
      <w:r w:rsidRPr="008D21FB">
        <w:rPr>
          <w:rFonts w:ascii="Times New Roman" w:hAnsi="Times New Roman" w:cs="Times New Roman"/>
          <w:sz w:val="24"/>
          <w:szCs w:val="24"/>
        </w:rPr>
        <w:t xml:space="preserve">. </w:t>
      </w:r>
    </w:p>
    <w:p w14:paraId="4FC9273F" w14:textId="77777777" w:rsidR="00992F97" w:rsidRPr="00992F97" w:rsidRDefault="00992F97" w:rsidP="00327171">
      <w:pPr>
        <w:pStyle w:val="Legenda"/>
        <w:keepNext/>
        <w:spacing w:before="120" w:after="120"/>
        <w:jc w:val="center"/>
        <w:rPr>
          <w:rFonts w:ascii="Times New Roman" w:hAnsi="Times New Roman" w:cs="Times New Roman"/>
          <w:b w:val="0"/>
          <w:color w:val="auto"/>
          <w:sz w:val="24"/>
          <w:szCs w:val="24"/>
        </w:rPr>
      </w:pPr>
      <w:r w:rsidRPr="00992F97">
        <w:rPr>
          <w:rFonts w:ascii="Times New Roman" w:hAnsi="Times New Roman" w:cs="Times New Roman"/>
          <w:b w:val="0"/>
          <w:color w:val="auto"/>
          <w:sz w:val="24"/>
          <w:szCs w:val="24"/>
        </w:rPr>
        <w:t xml:space="preserve">Tabela </w:t>
      </w:r>
      <w:r w:rsidR="00744BBF" w:rsidRPr="00992F97">
        <w:rPr>
          <w:rFonts w:ascii="Times New Roman" w:hAnsi="Times New Roman" w:cs="Times New Roman"/>
          <w:b w:val="0"/>
          <w:color w:val="auto"/>
          <w:sz w:val="24"/>
          <w:szCs w:val="24"/>
        </w:rPr>
        <w:fldChar w:fldCharType="begin"/>
      </w:r>
      <w:r w:rsidRPr="00992F97">
        <w:rPr>
          <w:rFonts w:ascii="Times New Roman" w:hAnsi="Times New Roman" w:cs="Times New Roman"/>
          <w:b w:val="0"/>
          <w:color w:val="auto"/>
          <w:sz w:val="24"/>
          <w:szCs w:val="24"/>
        </w:rPr>
        <w:instrText xml:space="preserve"> SEQ Tabela \* ARABIC </w:instrText>
      </w:r>
      <w:r w:rsidR="00744BBF" w:rsidRPr="00992F97">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1</w:t>
      </w:r>
      <w:r w:rsidR="00744BBF" w:rsidRPr="00992F97">
        <w:rPr>
          <w:rFonts w:ascii="Times New Roman" w:hAnsi="Times New Roman" w:cs="Times New Roman"/>
          <w:b w:val="0"/>
          <w:color w:val="auto"/>
          <w:sz w:val="24"/>
          <w:szCs w:val="24"/>
        </w:rPr>
        <w:fldChar w:fldCharType="end"/>
      </w:r>
      <w:r w:rsidRPr="00992F97">
        <w:rPr>
          <w:rFonts w:ascii="Times New Roman" w:hAnsi="Times New Roman" w:cs="Times New Roman"/>
          <w:b w:val="0"/>
          <w:color w:val="auto"/>
          <w:sz w:val="24"/>
          <w:szCs w:val="24"/>
        </w:rPr>
        <w:t xml:space="preserve"> - </w:t>
      </w:r>
      <w:r w:rsidRPr="00992F97">
        <w:rPr>
          <w:rFonts w:ascii="Times New Roman" w:eastAsia="Times New Roman" w:hAnsi="Times New Roman" w:cs="Times New Roman"/>
          <w:b w:val="0"/>
          <w:color w:val="auto"/>
          <w:sz w:val="24"/>
          <w:szCs w:val="24"/>
          <w:lang w:eastAsia="pt-BR"/>
        </w:rPr>
        <w:t xml:space="preserve">Empresas que relatam </w:t>
      </w:r>
      <w:proofErr w:type="spellStart"/>
      <w:r w:rsidRPr="00992F97">
        <w:rPr>
          <w:rFonts w:ascii="Times New Roman" w:eastAsia="Times New Roman" w:hAnsi="Times New Roman" w:cs="Times New Roman"/>
          <w:b w:val="0"/>
          <w:i/>
          <w:color w:val="auto"/>
          <w:sz w:val="24"/>
          <w:szCs w:val="24"/>
          <w:lang w:eastAsia="pt-BR"/>
        </w:rPr>
        <w:t>covenants</w:t>
      </w:r>
      <w:proofErr w:type="spellEnd"/>
    </w:p>
    <w:tbl>
      <w:tblPr>
        <w:tblStyle w:val="Tabelacomgrade"/>
        <w:tblW w:w="5000" w:type="pct"/>
        <w:tblLook w:val="06A0" w:firstRow="1" w:lastRow="0" w:firstColumn="1" w:lastColumn="0" w:noHBand="1" w:noVBand="1"/>
      </w:tblPr>
      <w:tblGrid>
        <w:gridCol w:w="7195"/>
        <w:gridCol w:w="3509"/>
      </w:tblGrid>
      <w:tr w:rsidR="00D3499E" w:rsidRPr="008D21FB" w14:paraId="05C5F5A1" w14:textId="77777777" w:rsidTr="00A34149">
        <w:tc>
          <w:tcPr>
            <w:tcW w:w="3361" w:type="pct"/>
            <w:tcBorders>
              <w:left w:val="nil"/>
            </w:tcBorders>
            <w:noWrap/>
            <w:vAlign w:val="center"/>
            <w:hideMark/>
          </w:tcPr>
          <w:p w14:paraId="72F37606" w14:textId="77777777" w:rsidR="00D3499E" w:rsidRPr="008D21FB" w:rsidRDefault="00D3499E"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Objeto de estudo</w:t>
            </w:r>
          </w:p>
        </w:tc>
        <w:tc>
          <w:tcPr>
            <w:tcW w:w="1639" w:type="pct"/>
            <w:tcBorders>
              <w:right w:val="nil"/>
            </w:tcBorders>
            <w:noWrap/>
            <w:vAlign w:val="center"/>
            <w:hideMark/>
          </w:tcPr>
          <w:p w14:paraId="0103B1BB" w14:textId="77777777" w:rsidR="00D3499E" w:rsidRPr="008D21FB" w:rsidRDefault="00D3499E" w:rsidP="00A34149">
            <w:pPr>
              <w:spacing w:line="240" w:lineRule="auto"/>
              <w:jc w:val="center"/>
              <w:rPr>
                <w:rFonts w:ascii="Times New Roman" w:eastAsia="Times New Roman" w:hAnsi="Times New Roman" w:cs="Times New Roman"/>
                <w:b/>
                <w:bCs/>
                <w:color w:val="000000"/>
                <w:sz w:val="20"/>
                <w:szCs w:val="20"/>
                <w:lang w:eastAsia="pt-BR"/>
              </w:rPr>
            </w:pPr>
            <w:proofErr w:type="spellStart"/>
            <w:r w:rsidRPr="008D21FB">
              <w:rPr>
                <w:rFonts w:ascii="Times New Roman" w:eastAsia="Times New Roman" w:hAnsi="Times New Roman" w:cs="Times New Roman"/>
                <w:b/>
                <w:bCs/>
                <w:color w:val="000000"/>
                <w:sz w:val="20"/>
                <w:szCs w:val="20"/>
                <w:lang w:eastAsia="pt-BR"/>
              </w:rPr>
              <w:t>Qtd</w:t>
            </w:r>
            <w:proofErr w:type="spellEnd"/>
          </w:p>
        </w:tc>
      </w:tr>
      <w:tr w:rsidR="00D3499E" w:rsidRPr="008D21FB" w14:paraId="7B8B4464" w14:textId="77777777" w:rsidTr="00A34149">
        <w:tc>
          <w:tcPr>
            <w:tcW w:w="3361" w:type="pct"/>
            <w:tcBorders>
              <w:left w:val="nil"/>
            </w:tcBorders>
            <w:noWrap/>
            <w:vAlign w:val="center"/>
            <w:hideMark/>
          </w:tcPr>
          <w:p w14:paraId="166CD8CA" w14:textId="77777777" w:rsidR="00D3499E" w:rsidRPr="008D21FB" w:rsidRDefault="00D3499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Empresas da pesquisa</w:t>
            </w:r>
          </w:p>
        </w:tc>
        <w:tc>
          <w:tcPr>
            <w:tcW w:w="1639" w:type="pct"/>
            <w:tcBorders>
              <w:right w:val="nil"/>
            </w:tcBorders>
            <w:noWrap/>
            <w:vAlign w:val="center"/>
            <w:hideMark/>
          </w:tcPr>
          <w:p w14:paraId="68C57E4D"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134</w:t>
            </w:r>
          </w:p>
        </w:tc>
      </w:tr>
      <w:tr w:rsidR="00D3499E" w:rsidRPr="008D21FB" w14:paraId="3C970ACF" w14:textId="77777777" w:rsidTr="00A34149">
        <w:tc>
          <w:tcPr>
            <w:tcW w:w="3361" w:type="pct"/>
            <w:tcBorders>
              <w:left w:val="nil"/>
              <w:bottom w:val="nil"/>
            </w:tcBorders>
            <w:noWrap/>
            <w:vAlign w:val="center"/>
            <w:hideMark/>
          </w:tcPr>
          <w:p w14:paraId="28CB9C60" w14:textId="77777777" w:rsidR="00D3499E" w:rsidRPr="008D21FB" w:rsidRDefault="00A34149" w:rsidP="00A34149">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00327171">
              <w:rPr>
                <w:rFonts w:ascii="Times New Roman" w:eastAsia="Times New Roman" w:hAnsi="Times New Roman" w:cs="Times New Roman"/>
                <w:color w:val="000000"/>
                <w:sz w:val="20"/>
                <w:szCs w:val="20"/>
                <w:lang w:eastAsia="pt-BR"/>
              </w:rPr>
              <w:t xml:space="preserve">(-) </w:t>
            </w:r>
            <w:r w:rsidR="00D3499E" w:rsidRPr="008D21FB">
              <w:rPr>
                <w:rFonts w:ascii="Times New Roman" w:eastAsia="Times New Roman" w:hAnsi="Times New Roman" w:cs="Times New Roman"/>
                <w:color w:val="000000"/>
                <w:sz w:val="20"/>
                <w:szCs w:val="20"/>
                <w:lang w:eastAsia="pt-BR"/>
              </w:rPr>
              <w:t>Bancos</w:t>
            </w:r>
          </w:p>
        </w:tc>
        <w:tc>
          <w:tcPr>
            <w:tcW w:w="1639" w:type="pct"/>
            <w:tcBorders>
              <w:bottom w:val="nil"/>
              <w:right w:val="nil"/>
            </w:tcBorders>
            <w:noWrap/>
            <w:vAlign w:val="center"/>
            <w:hideMark/>
          </w:tcPr>
          <w:p w14:paraId="263AE605"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w:t>
            </w:r>
          </w:p>
        </w:tc>
      </w:tr>
      <w:tr w:rsidR="00D3499E" w:rsidRPr="008D21FB" w14:paraId="35CFA3D1" w14:textId="77777777" w:rsidTr="00A34149">
        <w:tc>
          <w:tcPr>
            <w:tcW w:w="3361" w:type="pct"/>
            <w:tcBorders>
              <w:top w:val="nil"/>
              <w:left w:val="nil"/>
              <w:bottom w:val="nil"/>
            </w:tcBorders>
            <w:noWrap/>
            <w:vAlign w:val="center"/>
            <w:hideMark/>
          </w:tcPr>
          <w:p w14:paraId="09867B7F" w14:textId="77777777" w:rsidR="00D3499E" w:rsidRPr="008D21FB" w:rsidRDefault="00A34149" w:rsidP="00327171">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00D3499E" w:rsidRPr="008D21FB">
              <w:rPr>
                <w:rFonts w:ascii="Times New Roman" w:eastAsia="Times New Roman" w:hAnsi="Times New Roman" w:cs="Times New Roman"/>
                <w:color w:val="000000"/>
                <w:sz w:val="20"/>
                <w:szCs w:val="20"/>
                <w:lang w:eastAsia="pt-BR"/>
              </w:rPr>
              <w:t>(-) Em recuperação judicial</w:t>
            </w:r>
          </w:p>
        </w:tc>
        <w:tc>
          <w:tcPr>
            <w:tcW w:w="1639" w:type="pct"/>
            <w:tcBorders>
              <w:top w:val="nil"/>
              <w:bottom w:val="nil"/>
              <w:right w:val="nil"/>
            </w:tcBorders>
            <w:noWrap/>
            <w:vAlign w:val="center"/>
            <w:hideMark/>
          </w:tcPr>
          <w:p w14:paraId="073C77E1"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r>
      <w:tr w:rsidR="00D3499E" w:rsidRPr="008D21FB" w14:paraId="46E16C43" w14:textId="77777777" w:rsidTr="00A34149">
        <w:tc>
          <w:tcPr>
            <w:tcW w:w="3361" w:type="pct"/>
            <w:tcBorders>
              <w:top w:val="nil"/>
              <w:left w:val="nil"/>
              <w:bottom w:val="nil"/>
            </w:tcBorders>
            <w:noWrap/>
            <w:vAlign w:val="center"/>
            <w:hideMark/>
          </w:tcPr>
          <w:p w14:paraId="79CC61CA" w14:textId="77777777" w:rsidR="00D3499E" w:rsidRPr="008D21FB" w:rsidRDefault="00A34149" w:rsidP="00327171">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00D3499E" w:rsidRPr="008D21FB">
              <w:rPr>
                <w:rFonts w:ascii="Times New Roman" w:eastAsia="Times New Roman" w:hAnsi="Times New Roman" w:cs="Times New Roman"/>
                <w:color w:val="000000"/>
                <w:sz w:val="20"/>
                <w:szCs w:val="20"/>
                <w:lang w:eastAsia="pt-BR"/>
              </w:rPr>
              <w:t>(-) Não disponibilizaram FR e/ou NE de 2014</w:t>
            </w:r>
          </w:p>
        </w:tc>
        <w:tc>
          <w:tcPr>
            <w:tcW w:w="1639" w:type="pct"/>
            <w:tcBorders>
              <w:top w:val="nil"/>
              <w:bottom w:val="nil"/>
              <w:right w:val="nil"/>
            </w:tcBorders>
            <w:noWrap/>
            <w:vAlign w:val="center"/>
            <w:hideMark/>
          </w:tcPr>
          <w:p w14:paraId="30D06C8F"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r>
      <w:tr w:rsidR="00D3499E" w:rsidRPr="008D21FB" w14:paraId="736E3EE0" w14:textId="77777777" w:rsidTr="00A34149">
        <w:tc>
          <w:tcPr>
            <w:tcW w:w="3361" w:type="pct"/>
            <w:tcBorders>
              <w:top w:val="nil"/>
              <w:left w:val="nil"/>
            </w:tcBorders>
            <w:vAlign w:val="center"/>
            <w:hideMark/>
          </w:tcPr>
          <w:p w14:paraId="510316AA" w14:textId="77777777" w:rsidR="00D3499E" w:rsidRPr="008D21FB" w:rsidRDefault="00A34149" w:rsidP="00327171">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00D3499E" w:rsidRPr="008D21FB">
              <w:rPr>
                <w:rFonts w:ascii="Times New Roman" w:eastAsia="Times New Roman" w:hAnsi="Times New Roman" w:cs="Times New Roman"/>
                <w:color w:val="000000"/>
                <w:sz w:val="20"/>
                <w:szCs w:val="20"/>
                <w:lang w:eastAsia="pt-BR"/>
              </w:rPr>
              <w:t xml:space="preserve">(-) Não relatam a existência </w:t>
            </w:r>
            <w:proofErr w:type="spellStart"/>
            <w:r w:rsidR="00D3499E" w:rsidRPr="008D21FB">
              <w:rPr>
                <w:rFonts w:ascii="Times New Roman" w:eastAsia="Times New Roman" w:hAnsi="Times New Roman" w:cs="Times New Roman"/>
                <w:i/>
                <w:iCs/>
                <w:color w:val="000000"/>
                <w:sz w:val="20"/>
                <w:szCs w:val="20"/>
                <w:lang w:eastAsia="pt-BR"/>
              </w:rPr>
              <w:t>covenants</w:t>
            </w:r>
            <w:proofErr w:type="spellEnd"/>
            <w:r w:rsidR="00D3499E" w:rsidRPr="008D21FB">
              <w:rPr>
                <w:rFonts w:ascii="Times New Roman" w:eastAsia="Times New Roman" w:hAnsi="Times New Roman" w:cs="Times New Roman"/>
                <w:color w:val="000000"/>
                <w:sz w:val="20"/>
                <w:szCs w:val="20"/>
                <w:lang w:eastAsia="pt-BR"/>
              </w:rPr>
              <w:t xml:space="preserve"> </w:t>
            </w:r>
          </w:p>
        </w:tc>
        <w:tc>
          <w:tcPr>
            <w:tcW w:w="1639" w:type="pct"/>
            <w:tcBorders>
              <w:top w:val="nil"/>
              <w:right w:val="nil"/>
            </w:tcBorders>
            <w:noWrap/>
            <w:vAlign w:val="center"/>
            <w:hideMark/>
          </w:tcPr>
          <w:p w14:paraId="7E8946CE"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17</w:t>
            </w:r>
          </w:p>
        </w:tc>
      </w:tr>
      <w:tr w:rsidR="00D3499E" w:rsidRPr="008D21FB" w14:paraId="27FB0A20" w14:textId="77777777" w:rsidTr="00A34149">
        <w:tc>
          <w:tcPr>
            <w:tcW w:w="3361" w:type="pct"/>
            <w:tcBorders>
              <w:left w:val="nil"/>
            </w:tcBorders>
            <w:vAlign w:val="center"/>
            <w:hideMark/>
          </w:tcPr>
          <w:p w14:paraId="676F02E5" w14:textId="77777777" w:rsidR="00D3499E" w:rsidRPr="008D21FB" w:rsidRDefault="00D3499E" w:rsidP="00630C93">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Empresas que relatam</w:t>
            </w:r>
            <w:r w:rsidRPr="008D21FB">
              <w:rPr>
                <w:rFonts w:ascii="Times New Roman" w:eastAsia="Times New Roman" w:hAnsi="Times New Roman" w:cs="Times New Roman"/>
                <w:i/>
                <w:iCs/>
                <w:color w:val="000000"/>
                <w:sz w:val="20"/>
                <w:szCs w:val="20"/>
                <w:lang w:eastAsia="pt-BR"/>
              </w:rPr>
              <w:t xml:space="preserve"> </w:t>
            </w:r>
            <w:proofErr w:type="spellStart"/>
            <w:r w:rsidRPr="008D21FB">
              <w:rPr>
                <w:rFonts w:ascii="Times New Roman" w:eastAsia="Times New Roman" w:hAnsi="Times New Roman" w:cs="Times New Roman"/>
                <w:i/>
                <w:iCs/>
                <w:color w:val="000000"/>
                <w:sz w:val="20"/>
                <w:szCs w:val="20"/>
                <w:lang w:eastAsia="pt-BR"/>
              </w:rPr>
              <w:t>covenants</w:t>
            </w:r>
            <w:proofErr w:type="spellEnd"/>
          </w:p>
        </w:tc>
        <w:tc>
          <w:tcPr>
            <w:tcW w:w="1639" w:type="pct"/>
            <w:tcBorders>
              <w:right w:val="nil"/>
            </w:tcBorders>
            <w:noWrap/>
            <w:vAlign w:val="center"/>
            <w:hideMark/>
          </w:tcPr>
          <w:p w14:paraId="28CEFE35" w14:textId="77777777" w:rsidR="00D3499E" w:rsidRPr="008D21FB" w:rsidRDefault="00D3499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112</w:t>
            </w:r>
          </w:p>
        </w:tc>
      </w:tr>
      <w:tr w:rsidR="00D3499E" w:rsidRPr="008D21FB" w14:paraId="477E2E36" w14:textId="77777777" w:rsidTr="00A34149">
        <w:tc>
          <w:tcPr>
            <w:tcW w:w="3361" w:type="pct"/>
            <w:tcBorders>
              <w:bottom w:val="nil"/>
            </w:tcBorders>
            <w:hideMark/>
          </w:tcPr>
          <w:p w14:paraId="64C0436A" w14:textId="77777777" w:rsidR="00D3499E" w:rsidRPr="008D21FB" w:rsidRDefault="00D3499E" w:rsidP="008B18FA">
            <w:pPr>
              <w:spacing w:line="240" w:lineRule="auto"/>
              <w:jc w:val="center"/>
              <w:rPr>
                <w:rFonts w:ascii="Times New Roman" w:eastAsia="Times New Roman" w:hAnsi="Times New Roman" w:cs="Times New Roman"/>
                <w:color w:val="000000"/>
                <w:sz w:val="20"/>
                <w:szCs w:val="20"/>
                <w:lang w:eastAsia="pt-BR"/>
              </w:rPr>
            </w:pPr>
          </w:p>
        </w:tc>
        <w:tc>
          <w:tcPr>
            <w:tcW w:w="1639" w:type="pct"/>
            <w:tcBorders>
              <w:bottom w:val="nil"/>
            </w:tcBorders>
            <w:noWrap/>
            <w:hideMark/>
          </w:tcPr>
          <w:p w14:paraId="3EE738E3" w14:textId="77777777" w:rsidR="00D3499E" w:rsidRPr="008D21FB" w:rsidRDefault="00D3499E" w:rsidP="008B18FA">
            <w:pPr>
              <w:spacing w:line="240" w:lineRule="auto"/>
              <w:rPr>
                <w:rFonts w:ascii="Times New Roman" w:eastAsia="Times New Roman" w:hAnsi="Times New Roman" w:cs="Times New Roman"/>
                <w:color w:val="000000"/>
                <w:sz w:val="20"/>
                <w:szCs w:val="20"/>
                <w:lang w:eastAsia="pt-BR"/>
              </w:rPr>
            </w:pPr>
          </w:p>
        </w:tc>
      </w:tr>
    </w:tbl>
    <w:p w14:paraId="4EBFADF9" w14:textId="77777777" w:rsidR="00992F97" w:rsidRPr="00992F97" w:rsidRDefault="00992F97" w:rsidP="00992F97">
      <w:pPr>
        <w:pStyle w:val="Legenda"/>
        <w:jc w:val="center"/>
        <w:rPr>
          <w:rFonts w:ascii="Times New Roman" w:hAnsi="Times New Roman" w:cs="Times New Roman"/>
          <w:b w:val="0"/>
          <w:color w:val="auto"/>
          <w:sz w:val="20"/>
          <w:szCs w:val="20"/>
        </w:rPr>
      </w:pPr>
      <w:r w:rsidRPr="00992F97">
        <w:rPr>
          <w:rFonts w:ascii="Times New Roman" w:hAnsi="Times New Roman" w:cs="Times New Roman"/>
          <w:color w:val="auto"/>
          <w:sz w:val="20"/>
          <w:szCs w:val="20"/>
        </w:rPr>
        <w:t>Fonte:</w:t>
      </w:r>
      <w:r w:rsidRPr="00992F97">
        <w:rPr>
          <w:rFonts w:ascii="Times New Roman" w:hAnsi="Times New Roman" w:cs="Times New Roman"/>
          <w:b w:val="0"/>
          <w:color w:val="auto"/>
          <w:sz w:val="20"/>
          <w:szCs w:val="20"/>
        </w:rPr>
        <w:t xml:space="preserve"> </w:t>
      </w:r>
      <w:r w:rsidRPr="00992F97">
        <w:rPr>
          <w:rFonts w:ascii="Times New Roman" w:eastAsia="Times New Roman" w:hAnsi="Times New Roman" w:cs="Times New Roman"/>
          <w:b w:val="0"/>
          <w:color w:val="auto"/>
          <w:sz w:val="20"/>
          <w:szCs w:val="20"/>
          <w:lang w:eastAsia="pt-BR"/>
        </w:rPr>
        <w:t>Elaborado pelos autores a partir dos dados da pesquisa (2016)</w:t>
      </w:r>
    </w:p>
    <w:p w14:paraId="2A8219ED" w14:textId="77777777" w:rsidR="00D3499E" w:rsidRDefault="00D3499E" w:rsidP="008B18FA">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Conforme dados da tabela, em 2014 o Novo Mercad</w:t>
      </w:r>
      <w:r>
        <w:rPr>
          <w:rFonts w:ascii="Times New Roman" w:hAnsi="Times New Roman" w:cs="Times New Roman"/>
          <w:sz w:val="24"/>
          <w:szCs w:val="24"/>
        </w:rPr>
        <w:t>o</w:t>
      </w:r>
      <w:r w:rsidRPr="008D21FB">
        <w:rPr>
          <w:rFonts w:ascii="Times New Roman" w:hAnsi="Times New Roman" w:cs="Times New Roman"/>
          <w:sz w:val="24"/>
          <w:szCs w:val="24"/>
        </w:rPr>
        <w:t xml:space="preserve"> era composto por 134 companhias. Dessas </w:t>
      </w:r>
      <w:r>
        <w:rPr>
          <w:rFonts w:ascii="Times New Roman" w:hAnsi="Times New Roman" w:cs="Times New Roman"/>
          <w:sz w:val="24"/>
          <w:szCs w:val="24"/>
        </w:rPr>
        <w:t>companhias, eliminou-se</w:t>
      </w:r>
      <w:r w:rsidRPr="008D21FB">
        <w:rPr>
          <w:rFonts w:ascii="Times New Roman" w:hAnsi="Times New Roman" w:cs="Times New Roman"/>
          <w:sz w:val="24"/>
          <w:szCs w:val="24"/>
        </w:rPr>
        <w:t xml:space="preserve"> um banco, duas companhias que se encontravam em recuperação judicial, duas empresas que não divulgaram o formulário de referência e notas explicativas de 2014, e por fim, 17 empresas que não relataram alguma restrição ou obrigação por meio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Após essas eliminações, chegou-se a amostra de pesquisa formada por 112 empresas do Novo Mercado. </w:t>
      </w:r>
    </w:p>
    <w:p w14:paraId="5C296539" w14:textId="77777777" w:rsidR="00D3499E" w:rsidRPr="005616A1" w:rsidRDefault="00D3499E" w:rsidP="00992F97">
      <w:pPr>
        <w:spacing w:after="120" w:line="240" w:lineRule="auto"/>
        <w:ind w:firstLine="567"/>
        <w:contextualSpacing/>
        <w:jc w:val="both"/>
        <w:rPr>
          <w:rFonts w:ascii="Times New Roman" w:hAnsi="Times New Roman" w:cs="Times New Roman"/>
          <w:sz w:val="20"/>
          <w:szCs w:val="20"/>
        </w:rPr>
      </w:pPr>
      <w:r w:rsidRPr="008D21FB">
        <w:rPr>
          <w:rFonts w:ascii="Times New Roman" w:hAnsi="Times New Roman" w:cs="Times New Roman"/>
          <w:sz w:val="24"/>
          <w:szCs w:val="24"/>
        </w:rPr>
        <w:t xml:space="preserve">No segundo momento, realizou-se a tabulação do termo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i/>
          <w:sz w:val="24"/>
          <w:szCs w:val="24"/>
        </w:rPr>
        <w:t xml:space="preserve"> </w:t>
      </w:r>
      <w:r w:rsidRPr="008D21FB">
        <w:rPr>
          <w:rFonts w:ascii="Times New Roman" w:hAnsi="Times New Roman" w:cs="Times New Roman"/>
          <w:sz w:val="24"/>
          <w:szCs w:val="24"/>
        </w:rPr>
        <w:t xml:space="preserve">e outras terminologias relatadas pelas companhias, considerando o tipo dos termos relatados e a frequência dentre as companhias, a fim de saber quantas terminologias uma empresa pode usar para relatar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w:t>
      </w:r>
    </w:p>
    <w:p w14:paraId="3B1D2A87" w14:textId="77777777" w:rsidR="00D3499E" w:rsidRPr="008D21FB" w:rsidRDefault="00D3499E" w:rsidP="008B18FA">
      <w:pPr>
        <w:spacing w:line="240" w:lineRule="auto"/>
        <w:ind w:firstLine="709"/>
        <w:contextualSpacing/>
        <w:jc w:val="both"/>
        <w:rPr>
          <w:rFonts w:ascii="Times New Roman" w:hAnsi="Times New Roman" w:cs="Times New Roman"/>
          <w:sz w:val="24"/>
          <w:szCs w:val="24"/>
        </w:rPr>
      </w:pPr>
      <w:r w:rsidRPr="008D21FB">
        <w:rPr>
          <w:rFonts w:ascii="Times New Roman" w:hAnsi="Times New Roman" w:cs="Times New Roman"/>
          <w:sz w:val="24"/>
          <w:szCs w:val="24"/>
        </w:rPr>
        <w:t xml:space="preserve">Durante a coleta de dados, foram observadas empresas que não possuem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mas utilizam o termo ou similares para informar aos acionistas, como exemplo a empresa BRF (2015) que informa em seu formulário de referência "em 2014, a Companhia não possuía nenhum contrato de financiamento com cláusulas restritivas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financeiros)". Os termos evidenciados em empresas que não possuíam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não foram considerados.</w:t>
      </w:r>
    </w:p>
    <w:p w14:paraId="68F54951" w14:textId="77777777" w:rsidR="00D3499E" w:rsidRPr="008D21FB" w:rsidRDefault="00D3499E" w:rsidP="008B18FA">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Por fim, ocorreu a organização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coletados, classificando-os e</w:t>
      </w:r>
      <w:r>
        <w:rPr>
          <w:rFonts w:ascii="Times New Roman" w:hAnsi="Times New Roman" w:cs="Times New Roman"/>
          <w:sz w:val="24"/>
          <w:szCs w:val="24"/>
        </w:rPr>
        <w:t>m financeiros e não financeiros.</w:t>
      </w:r>
      <w:r w:rsidRPr="008D21FB">
        <w:rPr>
          <w:rFonts w:ascii="Times New Roman" w:hAnsi="Times New Roman" w:cs="Times New Roman"/>
          <w:sz w:val="24"/>
          <w:szCs w:val="24"/>
        </w:rPr>
        <w:t xml:space="preserve"> Sabendo que algumas companhias detêm mais de um empréstimo e/ou financiamento e operações de debêntures, e que dessa forma um tipo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pode aparecer dete</w:t>
      </w:r>
      <w:r>
        <w:rPr>
          <w:rFonts w:ascii="Times New Roman" w:hAnsi="Times New Roman" w:cs="Times New Roman"/>
          <w:sz w:val="24"/>
          <w:szCs w:val="24"/>
        </w:rPr>
        <w:t>rminadas vezes a uma companhia,</w:t>
      </w:r>
      <w:r w:rsidRPr="008D21FB">
        <w:rPr>
          <w:rFonts w:ascii="Times New Roman" w:hAnsi="Times New Roman" w:cs="Times New Roman"/>
          <w:sz w:val="24"/>
          <w:szCs w:val="24"/>
        </w:rPr>
        <w:t xml:space="preserve"> eliminou-se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em duplicidade, considerando uma ocorrência por companhia.</w:t>
      </w:r>
      <w:r>
        <w:rPr>
          <w:rFonts w:ascii="Times New Roman" w:hAnsi="Times New Roman" w:cs="Times New Roman"/>
          <w:sz w:val="24"/>
          <w:szCs w:val="24"/>
        </w:rPr>
        <w:t xml:space="preserve"> Os </w:t>
      </w:r>
      <w:proofErr w:type="spellStart"/>
      <w:r w:rsidRPr="008B18FA">
        <w:rPr>
          <w:rFonts w:ascii="Times New Roman" w:hAnsi="Times New Roman" w:cs="Times New Roman"/>
          <w:i/>
          <w:sz w:val="24"/>
          <w:szCs w:val="24"/>
        </w:rPr>
        <w:t>covenants</w:t>
      </w:r>
      <w:proofErr w:type="spellEnd"/>
      <w:r>
        <w:rPr>
          <w:rFonts w:ascii="Times New Roman" w:hAnsi="Times New Roman" w:cs="Times New Roman"/>
          <w:sz w:val="24"/>
          <w:szCs w:val="24"/>
        </w:rPr>
        <w:t xml:space="preserve"> financeiros foram reclassificados conforme a demonstração financeira, Balanço Patrimonial ou Demonstração do Resultado.</w:t>
      </w:r>
    </w:p>
    <w:p w14:paraId="250AA52F" w14:textId="77777777" w:rsidR="00D91DBB" w:rsidRDefault="00D91DBB" w:rsidP="00146956">
      <w:pPr>
        <w:pStyle w:val="Ttulo1"/>
        <w:spacing w:line="240" w:lineRule="auto"/>
        <w:ind w:firstLine="0"/>
        <w:rPr>
          <w:color w:val="auto"/>
          <w:sz w:val="24"/>
          <w:szCs w:val="24"/>
        </w:rPr>
      </w:pPr>
      <w:bookmarkStart w:id="74" w:name="_Toc455057040"/>
      <w:r w:rsidRPr="00FD4571">
        <w:rPr>
          <w:color w:val="auto"/>
          <w:sz w:val="24"/>
          <w:szCs w:val="24"/>
        </w:rPr>
        <w:t>4 ANÁLISE DOS RESULTADOS</w:t>
      </w:r>
      <w:bookmarkEnd w:id="74"/>
    </w:p>
    <w:p w14:paraId="246FC01C" w14:textId="77777777" w:rsidR="00D91DBB" w:rsidRDefault="00D91DBB" w:rsidP="00146956">
      <w:pPr>
        <w:pStyle w:val="Ttulo2"/>
        <w:spacing w:line="240" w:lineRule="auto"/>
        <w:rPr>
          <w:rFonts w:ascii="Times New Roman" w:hAnsi="Times New Roman" w:cs="Times New Roman"/>
          <w:sz w:val="24"/>
          <w:szCs w:val="24"/>
        </w:rPr>
      </w:pPr>
      <w:bookmarkStart w:id="75" w:name="_Toc455057041"/>
      <w:r w:rsidRPr="00CA1F82">
        <w:rPr>
          <w:rFonts w:ascii="Times New Roman" w:hAnsi="Times New Roman" w:cs="Times New Roman"/>
          <w:b w:val="0"/>
          <w:color w:val="auto"/>
          <w:sz w:val="24"/>
          <w:szCs w:val="24"/>
        </w:rPr>
        <w:t xml:space="preserve">4.1 </w:t>
      </w:r>
      <w:r w:rsidR="00146956" w:rsidRPr="00CA1F82">
        <w:rPr>
          <w:rFonts w:ascii="Times New Roman" w:hAnsi="Times New Roman" w:cs="Times New Roman"/>
          <w:b w:val="0"/>
          <w:color w:val="auto"/>
          <w:sz w:val="24"/>
          <w:szCs w:val="24"/>
        </w:rPr>
        <w:t xml:space="preserve">Evidenciação </w:t>
      </w:r>
      <w:r w:rsidR="00146956">
        <w:rPr>
          <w:rFonts w:ascii="Times New Roman" w:hAnsi="Times New Roman" w:cs="Times New Roman"/>
          <w:b w:val="0"/>
          <w:color w:val="auto"/>
          <w:sz w:val="24"/>
          <w:szCs w:val="24"/>
        </w:rPr>
        <w:t>dos</w:t>
      </w:r>
      <w:r w:rsidR="00146956" w:rsidRPr="00CA1F82">
        <w:rPr>
          <w:rFonts w:ascii="Times New Roman" w:hAnsi="Times New Roman" w:cs="Times New Roman"/>
          <w:b w:val="0"/>
          <w:color w:val="auto"/>
          <w:sz w:val="24"/>
          <w:szCs w:val="24"/>
        </w:rPr>
        <w:t xml:space="preserve"> </w:t>
      </w:r>
      <w:proofErr w:type="spellStart"/>
      <w:r w:rsidR="00146956" w:rsidRPr="00CA1F82">
        <w:rPr>
          <w:rFonts w:ascii="Times New Roman" w:hAnsi="Times New Roman" w:cs="Times New Roman"/>
          <w:b w:val="0"/>
          <w:i/>
          <w:color w:val="auto"/>
          <w:sz w:val="24"/>
          <w:szCs w:val="24"/>
        </w:rPr>
        <w:t>Covenant</w:t>
      </w:r>
      <w:r w:rsidR="00146956">
        <w:rPr>
          <w:rFonts w:ascii="Times New Roman" w:hAnsi="Times New Roman" w:cs="Times New Roman"/>
          <w:b w:val="0"/>
          <w:i/>
          <w:color w:val="auto"/>
          <w:sz w:val="24"/>
          <w:szCs w:val="24"/>
        </w:rPr>
        <w:t>s</w:t>
      </w:r>
      <w:bookmarkEnd w:id="75"/>
      <w:proofErr w:type="spellEnd"/>
      <w:r w:rsidR="00146956">
        <w:rPr>
          <w:rFonts w:ascii="Times New Roman" w:hAnsi="Times New Roman" w:cs="Times New Roman"/>
          <w:sz w:val="24"/>
          <w:szCs w:val="24"/>
        </w:rPr>
        <w:t xml:space="preserve">  </w:t>
      </w:r>
    </w:p>
    <w:p w14:paraId="6E29C950" w14:textId="77777777" w:rsidR="00A34149" w:rsidRDefault="00A34149" w:rsidP="00A34149">
      <w:pPr>
        <w:spacing w:line="240" w:lineRule="auto"/>
        <w:jc w:val="both"/>
      </w:pPr>
      <w:r>
        <w:t xml:space="preserve">            </w:t>
      </w:r>
    </w:p>
    <w:p w14:paraId="541CE56B" w14:textId="77777777" w:rsidR="00D91DBB" w:rsidRPr="00A34149" w:rsidRDefault="00D91DBB" w:rsidP="00A34149">
      <w:pPr>
        <w:spacing w:line="240" w:lineRule="auto"/>
        <w:ind w:firstLine="567"/>
        <w:jc w:val="both"/>
        <w:rPr>
          <w:rFonts w:ascii="Times New Roman" w:hAnsi="Times New Roman" w:cs="Times New Roman"/>
          <w:sz w:val="24"/>
          <w:szCs w:val="24"/>
        </w:rPr>
      </w:pPr>
      <w:r w:rsidRPr="00A34149">
        <w:rPr>
          <w:rFonts w:ascii="Times New Roman" w:hAnsi="Times New Roman" w:cs="Times New Roman"/>
          <w:sz w:val="24"/>
          <w:szCs w:val="24"/>
        </w:rPr>
        <w:t xml:space="preserve">As companhias ao relatarem os </w:t>
      </w:r>
      <w:proofErr w:type="spellStart"/>
      <w:r w:rsidRPr="00A34149">
        <w:rPr>
          <w:rFonts w:ascii="Times New Roman" w:hAnsi="Times New Roman" w:cs="Times New Roman"/>
          <w:i/>
          <w:sz w:val="24"/>
          <w:szCs w:val="24"/>
        </w:rPr>
        <w:t>covenants</w:t>
      </w:r>
      <w:proofErr w:type="spellEnd"/>
      <w:r w:rsidRPr="00A34149">
        <w:rPr>
          <w:rFonts w:ascii="Times New Roman" w:hAnsi="Times New Roman" w:cs="Times New Roman"/>
          <w:sz w:val="24"/>
          <w:szCs w:val="24"/>
        </w:rPr>
        <w:t xml:space="preserve"> presentes nos contratos de dívida, por vezes, optam por alguma outra terminologia que seja de melhor compreensão aos seus </w:t>
      </w:r>
      <w:r w:rsidR="008312DB">
        <w:rPr>
          <w:rFonts w:ascii="Times New Roman" w:hAnsi="Times New Roman" w:cs="Times New Roman"/>
          <w:i/>
          <w:sz w:val="24"/>
          <w:szCs w:val="24"/>
        </w:rPr>
        <w:t>st</w:t>
      </w:r>
      <w:r w:rsidRPr="00A34149">
        <w:rPr>
          <w:rFonts w:ascii="Times New Roman" w:hAnsi="Times New Roman" w:cs="Times New Roman"/>
          <w:i/>
          <w:sz w:val="24"/>
          <w:szCs w:val="24"/>
        </w:rPr>
        <w:t>akeholders</w:t>
      </w:r>
      <w:r w:rsidRPr="00A34149">
        <w:rPr>
          <w:rFonts w:ascii="Times New Roman" w:hAnsi="Times New Roman" w:cs="Times New Roman"/>
          <w:sz w:val="24"/>
          <w:szCs w:val="24"/>
        </w:rPr>
        <w:t xml:space="preserve">. Em alguns casos, a palavra </w:t>
      </w:r>
      <w:proofErr w:type="spellStart"/>
      <w:r w:rsidRPr="00A34149">
        <w:rPr>
          <w:rFonts w:ascii="Times New Roman" w:hAnsi="Times New Roman" w:cs="Times New Roman"/>
          <w:i/>
          <w:sz w:val="24"/>
          <w:szCs w:val="24"/>
        </w:rPr>
        <w:t>covenant</w:t>
      </w:r>
      <w:proofErr w:type="spellEnd"/>
      <w:r w:rsidRPr="00A34149">
        <w:rPr>
          <w:rFonts w:ascii="Times New Roman" w:hAnsi="Times New Roman" w:cs="Times New Roman"/>
          <w:sz w:val="24"/>
          <w:szCs w:val="24"/>
        </w:rPr>
        <w:t xml:space="preserve"> pode vir associada a alguma palavra sinônima de modo a explicar seu significado, como informado pela empresa </w:t>
      </w:r>
      <w:proofErr w:type="spellStart"/>
      <w:r w:rsidRPr="00A34149">
        <w:rPr>
          <w:rFonts w:ascii="Times New Roman" w:hAnsi="Times New Roman" w:cs="Times New Roman"/>
          <w:sz w:val="24"/>
          <w:szCs w:val="24"/>
        </w:rPr>
        <w:t>All</w:t>
      </w:r>
      <w:proofErr w:type="spellEnd"/>
      <w:r w:rsidRPr="00A34149">
        <w:rPr>
          <w:rFonts w:ascii="Times New Roman" w:hAnsi="Times New Roman" w:cs="Times New Roman"/>
          <w:sz w:val="24"/>
          <w:szCs w:val="24"/>
        </w:rPr>
        <w:t xml:space="preserve"> </w:t>
      </w:r>
      <w:proofErr w:type="spellStart"/>
      <w:r w:rsidRPr="00A34149">
        <w:rPr>
          <w:rFonts w:ascii="Times New Roman" w:hAnsi="Times New Roman" w:cs="Times New Roman"/>
          <w:sz w:val="24"/>
          <w:szCs w:val="24"/>
        </w:rPr>
        <w:t>America</w:t>
      </w:r>
      <w:proofErr w:type="spellEnd"/>
      <w:r w:rsidRPr="00A34149">
        <w:rPr>
          <w:rFonts w:ascii="Times New Roman" w:hAnsi="Times New Roman" w:cs="Times New Roman"/>
          <w:sz w:val="24"/>
          <w:szCs w:val="24"/>
        </w:rPr>
        <w:t xml:space="preserve"> Latina (2015) "Alguns contratos de empréstimos e financiamentos possuem cláusulas restritivas (</w:t>
      </w:r>
      <w:proofErr w:type="spellStart"/>
      <w:r w:rsidRPr="00A34149">
        <w:rPr>
          <w:rFonts w:ascii="Times New Roman" w:hAnsi="Times New Roman" w:cs="Times New Roman"/>
          <w:i/>
          <w:sz w:val="24"/>
          <w:szCs w:val="24"/>
        </w:rPr>
        <w:t>covenants</w:t>
      </w:r>
      <w:proofErr w:type="spellEnd"/>
      <w:r w:rsidRPr="00A34149">
        <w:rPr>
          <w:rFonts w:ascii="Times New Roman" w:hAnsi="Times New Roman" w:cs="Times New Roman"/>
          <w:sz w:val="24"/>
          <w:szCs w:val="24"/>
        </w:rPr>
        <w:t>) que estabelecem limites (…)".</w:t>
      </w:r>
      <w:r w:rsidR="00A34149">
        <w:rPr>
          <w:rFonts w:ascii="Times New Roman" w:hAnsi="Times New Roman" w:cs="Times New Roman"/>
          <w:sz w:val="24"/>
          <w:szCs w:val="24"/>
        </w:rPr>
        <w:t xml:space="preserve"> </w:t>
      </w:r>
      <w:r w:rsidRPr="00A34149">
        <w:rPr>
          <w:rFonts w:ascii="Times New Roman" w:hAnsi="Times New Roman" w:cs="Times New Roman"/>
          <w:sz w:val="24"/>
          <w:szCs w:val="24"/>
        </w:rPr>
        <w:t xml:space="preserve">A partir das informações disponibilizadas pelas companhias em seus relatórios, foram encontradas 35 variações para a terminologia </w:t>
      </w:r>
      <w:proofErr w:type="spellStart"/>
      <w:r w:rsidRPr="00A34149">
        <w:rPr>
          <w:rFonts w:ascii="Times New Roman" w:hAnsi="Times New Roman" w:cs="Times New Roman"/>
          <w:i/>
          <w:sz w:val="24"/>
          <w:szCs w:val="24"/>
        </w:rPr>
        <w:t>covenant</w:t>
      </w:r>
      <w:proofErr w:type="spellEnd"/>
      <w:r w:rsidRPr="00A34149">
        <w:rPr>
          <w:rFonts w:ascii="Times New Roman" w:hAnsi="Times New Roman" w:cs="Times New Roman"/>
          <w:sz w:val="24"/>
          <w:szCs w:val="24"/>
        </w:rPr>
        <w:t xml:space="preserve">, conforme Tabela 2. </w:t>
      </w:r>
    </w:p>
    <w:p w14:paraId="739A0E50" w14:textId="77777777" w:rsidR="00A34149" w:rsidRPr="00A34149" w:rsidRDefault="00A34149" w:rsidP="00A34149">
      <w:pPr>
        <w:pStyle w:val="Legenda"/>
        <w:keepNext/>
        <w:spacing w:before="120" w:after="120"/>
        <w:jc w:val="center"/>
        <w:rPr>
          <w:rFonts w:ascii="Times New Roman" w:hAnsi="Times New Roman" w:cs="Times New Roman"/>
          <w:b w:val="0"/>
          <w:color w:val="auto"/>
          <w:sz w:val="24"/>
          <w:szCs w:val="24"/>
        </w:rPr>
      </w:pPr>
      <w:commentRangeStart w:id="76"/>
      <w:r w:rsidRPr="00A34149">
        <w:rPr>
          <w:rFonts w:ascii="Times New Roman" w:hAnsi="Times New Roman" w:cs="Times New Roman"/>
          <w:b w:val="0"/>
          <w:color w:val="auto"/>
          <w:sz w:val="24"/>
          <w:szCs w:val="24"/>
        </w:rPr>
        <w:t xml:space="preserve">Tabela </w:t>
      </w:r>
      <w:r w:rsidR="00744BBF" w:rsidRPr="00A34149">
        <w:rPr>
          <w:rFonts w:ascii="Times New Roman" w:hAnsi="Times New Roman" w:cs="Times New Roman"/>
          <w:b w:val="0"/>
          <w:color w:val="auto"/>
          <w:sz w:val="24"/>
          <w:szCs w:val="24"/>
        </w:rPr>
        <w:fldChar w:fldCharType="begin"/>
      </w:r>
      <w:r w:rsidRPr="00A34149">
        <w:rPr>
          <w:rFonts w:ascii="Times New Roman" w:hAnsi="Times New Roman" w:cs="Times New Roman"/>
          <w:b w:val="0"/>
          <w:color w:val="auto"/>
          <w:sz w:val="24"/>
          <w:szCs w:val="24"/>
        </w:rPr>
        <w:instrText xml:space="preserve"> SEQ Tabela \* ARABIC </w:instrText>
      </w:r>
      <w:r w:rsidR="00744BBF" w:rsidRPr="00A34149">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2</w:t>
      </w:r>
      <w:r w:rsidR="00744BBF" w:rsidRPr="00A34149">
        <w:rPr>
          <w:rFonts w:ascii="Times New Roman" w:hAnsi="Times New Roman" w:cs="Times New Roman"/>
          <w:b w:val="0"/>
          <w:color w:val="auto"/>
          <w:sz w:val="24"/>
          <w:szCs w:val="24"/>
        </w:rPr>
        <w:fldChar w:fldCharType="end"/>
      </w:r>
      <w:r w:rsidRPr="00A34149">
        <w:rPr>
          <w:rFonts w:ascii="Times New Roman" w:hAnsi="Times New Roman" w:cs="Times New Roman"/>
          <w:b w:val="0"/>
          <w:color w:val="auto"/>
          <w:sz w:val="24"/>
          <w:szCs w:val="24"/>
        </w:rPr>
        <w:t xml:space="preserve"> - </w:t>
      </w:r>
      <w:r w:rsidRPr="00A34149">
        <w:rPr>
          <w:rFonts w:ascii="Times New Roman" w:eastAsia="Times New Roman" w:hAnsi="Times New Roman" w:cs="Times New Roman"/>
          <w:b w:val="0"/>
          <w:bCs w:val="0"/>
          <w:color w:val="auto"/>
          <w:sz w:val="24"/>
          <w:szCs w:val="24"/>
          <w:lang w:eastAsia="pt-BR"/>
        </w:rPr>
        <w:t xml:space="preserve">Evidenciação das terminologias relacionadas aos </w:t>
      </w:r>
      <w:proofErr w:type="spellStart"/>
      <w:r w:rsidRPr="00A34149">
        <w:rPr>
          <w:rFonts w:ascii="Times New Roman" w:eastAsia="Times New Roman" w:hAnsi="Times New Roman" w:cs="Times New Roman"/>
          <w:b w:val="0"/>
          <w:bCs w:val="0"/>
          <w:i/>
          <w:color w:val="auto"/>
          <w:sz w:val="24"/>
          <w:szCs w:val="24"/>
          <w:lang w:eastAsia="pt-BR"/>
        </w:rPr>
        <w:t>covenants</w:t>
      </w:r>
      <w:proofErr w:type="spellEnd"/>
    </w:p>
    <w:tbl>
      <w:tblPr>
        <w:tblStyle w:val="Tabelacomgrade"/>
        <w:tblW w:w="5000" w:type="pct"/>
        <w:tblLook w:val="04A0" w:firstRow="1" w:lastRow="0" w:firstColumn="1" w:lastColumn="0" w:noHBand="0" w:noVBand="1"/>
      </w:tblPr>
      <w:tblGrid>
        <w:gridCol w:w="6345"/>
        <w:gridCol w:w="2126"/>
        <w:gridCol w:w="2233"/>
      </w:tblGrid>
      <w:tr w:rsidR="00D91DBB" w:rsidRPr="008D21FB" w14:paraId="601FC15E" w14:textId="77777777" w:rsidTr="00A34149">
        <w:tc>
          <w:tcPr>
            <w:tcW w:w="2964" w:type="pct"/>
            <w:tcBorders>
              <w:left w:val="nil"/>
              <w:right w:val="nil"/>
            </w:tcBorders>
            <w:noWrap/>
            <w:vAlign w:val="center"/>
            <w:hideMark/>
          </w:tcPr>
          <w:p w14:paraId="78240819"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Terminologia</w:t>
            </w:r>
          </w:p>
        </w:tc>
        <w:tc>
          <w:tcPr>
            <w:tcW w:w="993" w:type="pct"/>
            <w:tcBorders>
              <w:left w:val="nil"/>
              <w:right w:val="nil"/>
            </w:tcBorders>
            <w:noWrap/>
            <w:vAlign w:val="center"/>
            <w:hideMark/>
          </w:tcPr>
          <w:p w14:paraId="19579CCC"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proofErr w:type="spellStart"/>
            <w:r w:rsidRPr="008D21FB">
              <w:rPr>
                <w:rFonts w:ascii="Times New Roman" w:eastAsia="Times New Roman" w:hAnsi="Times New Roman" w:cs="Times New Roman"/>
                <w:b/>
                <w:bCs/>
                <w:color w:val="000000"/>
                <w:sz w:val="20"/>
                <w:szCs w:val="20"/>
                <w:lang w:eastAsia="pt-BR"/>
              </w:rPr>
              <w:t>Qtde</w:t>
            </w:r>
            <w:proofErr w:type="spellEnd"/>
          </w:p>
        </w:tc>
        <w:tc>
          <w:tcPr>
            <w:tcW w:w="1043" w:type="pct"/>
            <w:tcBorders>
              <w:left w:val="nil"/>
              <w:right w:val="nil"/>
            </w:tcBorders>
            <w:noWrap/>
            <w:vAlign w:val="center"/>
            <w:hideMark/>
          </w:tcPr>
          <w:p w14:paraId="5126FF5F" w14:textId="77777777" w:rsidR="00D91DBB" w:rsidRPr="008D21FB" w:rsidRDefault="00A34149" w:rsidP="00A34149">
            <w:pPr>
              <w:spacing w:line="240" w:lineRule="auto"/>
              <w:jc w:val="center"/>
              <w:rPr>
                <w:rFonts w:ascii="Times New Roman" w:eastAsia="Times New Roman" w:hAnsi="Times New Roman" w:cs="Times New Roman"/>
                <w:b/>
                <w:bCs/>
                <w:color w:val="000000"/>
                <w:sz w:val="20"/>
                <w:szCs w:val="20"/>
                <w:lang w:eastAsia="pt-BR"/>
              </w:rPr>
            </w:pPr>
            <w:proofErr w:type="spellStart"/>
            <w:r>
              <w:rPr>
                <w:rFonts w:ascii="Times New Roman" w:eastAsia="Times New Roman" w:hAnsi="Times New Roman" w:cs="Times New Roman"/>
                <w:b/>
                <w:bCs/>
                <w:color w:val="000000"/>
                <w:sz w:val="20"/>
                <w:szCs w:val="20"/>
                <w:lang w:eastAsia="pt-BR"/>
              </w:rPr>
              <w:t>Qtde</w:t>
            </w:r>
            <w:proofErr w:type="spellEnd"/>
            <w:r>
              <w:rPr>
                <w:rFonts w:ascii="Times New Roman" w:eastAsia="Times New Roman" w:hAnsi="Times New Roman" w:cs="Times New Roman"/>
                <w:b/>
                <w:bCs/>
                <w:color w:val="000000"/>
                <w:sz w:val="20"/>
                <w:szCs w:val="20"/>
                <w:lang w:eastAsia="pt-BR"/>
              </w:rPr>
              <w:t xml:space="preserve"> (</w:t>
            </w:r>
            <w:r w:rsidR="00D91DBB" w:rsidRPr="008D21FB">
              <w:rPr>
                <w:rFonts w:ascii="Times New Roman" w:eastAsia="Times New Roman" w:hAnsi="Times New Roman" w:cs="Times New Roman"/>
                <w:b/>
                <w:bCs/>
                <w:color w:val="000000"/>
                <w:sz w:val="20"/>
                <w:szCs w:val="20"/>
                <w:lang w:eastAsia="pt-BR"/>
              </w:rPr>
              <w:t>%</w:t>
            </w:r>
            <w:r>
              <w:rPr>
                <w:rFonts w:ascii="Times New Roman" w:eastAsia="Times New Roman" w:hAnsi="Times New Roman" w:cs="Times New Roman"/>
                <w:b/>
                <w:bCs/>
                <w:color w:val="000000"/>
                <w:sz w:val="20"/>
                <w:szCs w:val="20"/>
                <w:lang w:eastAsia="pt-BR"/>
              </w:rPr>
              <w:t>)</w:t>
            </w:r>
          </w:p>
        </w:tc>
      </w:tr>
      <w:tr w:rsidR="00C13CAE" w:rsidRPr="008D21FB" w14:paraId="08D59176" w14:textId="77777777" w:rsidTr="00A34149">
        <w:tc>
          <w:tcPr>
            <w:tcW w:w="2964" w:type="pct"/>
            <w:tcBorders>
              <w:top w:val="nil"/>
              <w:left w:val="nil"/>
              <w:bottom w:val="nil"/>
              <w:right w:val="nil"/>
            </w:tcBorders>
            <w:noWrap/>
            <w:vAlign w:val="center"/>
            <w:hideMark/>
          </w:tcPr>
          <w:p w14:paraId="350B46E7"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proofErr w:type="spellStart"/>
            <w:r w:rsidRPr="008D21FB">
              <w:rPr>
                <w:rFonts w:ascii="Times New Roman" w:eastAsia="Times New Roman" w:hAnsi="Times New Roman" w:cs="Times New Roman"/>
                <w:i/>
                <w:color w:val="000000"/>
                <w:sz w:val="20"/>
                <w:szCs w:val="20"/>
                <w:lang w:eastAsia="pt-BR"/>
              </w:rPr>
              <w:t>Covenants</w:t>
            </w:r>
            <w:proofErr w:type="spellEnd"/>
          </w:p>
        </w:tc>
        <w:tc>
          <w:tcPr>
            <w:tcW w:w="993" w:type="pct"/>
            <w:tcBorders>
              <w:top w:val="nil"/>
              <w:left w:val="nil"/>
              <w:bottom w:val="nil"/>
              <w:right w:val="nil"/>
            </w:tcBorders>
            <w:noWrap/>
            <w:vAlign w:val="center"/>
            <w:hideMark/>
          </w:tcPr>
          <w:p w14:paraId="0CABDE0B"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62</w:t>
            </w:r>
          </w:p>
        </w:tc>
        <w:tc>
          <w:tcPr>
            <w:tcW w:w="1043" w:type="pct"/>
            <w:tcBorders>
              <w:top w:val="nil"/>
              <w:left w:val="nil"/>
              <w:bottom w:val="nil"/>
              <w:right w:val="nil"/>
            </w:tcBorders>
            <w:noWrap/>
            <w:vAlign w:val="center"/>
            <w:hideMark/>
          </w:tcPr>
          <w:p w14:paraId="38720278"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35,84%</w:t>
            </w:r>
          </w:p>
        </w:tc>
      </w:tr>
      <w:tr w:rsidR="00C13CAE" w:rsidRPr="008D21FB" w14:paraId="03BAC849" w14:textId="77777777" w:rsidTr="00A34149">
        <w:tc>
          <w:tcPr>
            <w:tcW w:w="2964" w:type="pct"/>
            <w:tcBorders>
              <w:top w:val="nil"/>
              <w:left w:val="nil"/>
              <w:bottom w:val="nil"/>
              <w:right w:val="nil"/>
            </w:tcBorders>
            <w:noWrap/>
            <w:vAlign w:val="center"/>
            <w:hideMark/>
          </w:tcPr>
          <w:p w14:paraId="043A0382"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restritivas</w:t>
            </w:r>
          </w:p>
        </w:tc>
        <w:tc>
          <w:tcPr>
            <w:tcW w:w="993" w:type="pct"/>
            <w:tcBorders>
              <w:top w:val="nil"/>
              <w:left w:val="nil"/>
              <w:bottom w:val="nil"/>
              <w:right w:val="nil"/>
            </w:tcBorders>
            <w:noWrap/>
            <w:vAlign w:val="center"/>
            <w:hideMark/>
          </w:tcPr>
          <w:p w14:paraId="40A54913"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35</w:t>
            </w:r>
          </w:p>
        </w:tc>
        <w:tc>
          <w:tcPr>
            <w:tcW w:w="1043" w:type="pct"/>
            <w:tcBorders>
              <w:top w:val="nil"/>
              <w:left w:val="nil"/>
              <w:bottom w:val="nil"/>
              <w:right w:val="nil"/>
            </w:tcBorders>
            <w:noWrap/>
            <w:vAlign w:val="center"/>
            <w:hideMark/>
          </w:tcPr>
          <w:p w14:paraId="1FF1363F"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20,23%</w:t>
            </w:r>
          </w:p>
        </w:tc>
      </w:tr>
      <w:tr w:rsidR="00C13CAE" w:rsidRPr="008D21FB" w14:paraId="0DC2DDC7" w14:textId="77777777" w:rsidTr="00A34149">
        <w:tc>
          <w:tcPr>
            <w:tcW w:w="2964" w:type="pct"/>
            <w:tcBorders>
              <w:top w:val="nil"/>
              <w:left w:val="nil"/>
              <w:bottom w:val="nil"/>
              <w:right w:val="nil"/>
            </w:tcBorders>
            <w:noWrap/>
            <w:vAlign w:val="center"/>
            <w:hideMark/>
          </w:tcPr>
          <w:p w14:paraId="2FA2513E"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Outros</w:t>
            </w:r>
            <w:r w:rsidRPr="008D21FB">
              <w:rPr>
                <w:rFonts w:ascii="Times New Roman" w:eastAsia="Times New Roman" w:hAnsi="Times New Roman" w:cs="Times New Roman"/>
                <w:i/>
                <w:iCs/>
                <w:color w:val="000000"/>
                <w:sz w:val="20"/>
                <w:szCs w:val="20"/>
                <w:lang w:eastAsia="pt-BR"/>
              </w:rPr>
              <w:t xml:space="preserve"> </w:t>
            </w:r>
            <w:proofErr w:type="spellStart"/>
            <w:r w:rsidRPr="008D21FB">
              <w:rPr>
                <w:rFonts w:ascii="Times New Roman" w:eastAsia="Times New Roman" w:hAnsi="Times New Roman" w:cs="Times New Roman"/>
                <w:i/>
                <w:iCs/>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relatados uma única vez</w:t>
            </w:r>
          </w:p>
        </w:tc>
        <w:tc>
          <w:tcPr>
            <w:tcW w:w="993" w:type="pct"/>
            <w:tcBorders>
              <w:top w:val="nil"/>
              <w:left w:val="nil"/>
              <w:bottom w:val="nil"/>
              <w:right w:val="nil"/>
            </w:tcBorders>
            <w:noWrap/>
            <w:vAlign w:val="center"/>
            <w:hideMark/>
          </w:tcPr>
          <w:p w14:paraId="01137E43"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20</w:t>
            </w:r>
          </w:p>
        </w:tc>
        <w:tc>
          <w:tcPr>
            <w:tcW w:w="1043" w:type="pct"/>
            <w:tcBorders>
              <w:top w:val="nil"/>
              <w:left w:val="nil"/>
              <w:bottom w:val="nil"/>
              <w:right w:val="nil"/>
            </w:tcBorders>
            <w:noWrap/>
            <w:vAlign w:val="center"/>
            <w:hideMark/>
          </w:tcPr>
          <w:p w14:paraId="63DF6F6F"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11,56%</w:t>
            </w:r>
          </w:p>
        </w:tc>
      </w:tr>
      <w:tr w:rsidR="00C13CAE" w:rsidRPr="008D21FB" w14:paraId="2D1951F7" w14:textId="77777777" w:rsidTr="00A34149">
        <w:tc>
          <w:tcPr>
            <w:tcW w:w="2964" w:type="pct"/>
            <w:tcBorders>
              <w:top w:val="nil"/>
              <w:left w:val="nil"/>
              <w:bottom w:val="nil"/>
              <w:right w:val="nil"/>
            </w:tcBorders>
            <w:noWrap/>
            <w:vAlign w:val="center"/>
            <w:hideMark/>
          </w:tcPr>
          <w:p w14:paraId="07C2E22E"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Obrigação (</w:t>
            </w:r>
            <w:proofErr w:type="spellStart"/>
            <w:r w:rsidRPr="008D21FB">
              <w:rPr>
                <w:rFonts w:ascii="Times New Roman" w:eastAsia="Times New Roman" w:hAnsi="Times New Roman" w:cs="Times New Roman"/>
                <w:color w:val="000000"/>
                <w:sz w:val="20"/>
                <w:szCs w:val="20"/>
                <w:lang w:eastAsia="pt-BR"/>
              </w:rPr>
              <w:t>ões</w:t>
            </w:r>
            <w:proofErr w:type="spellEnd"/>
            <w:r w:rsidRPr="008D21FB">
              <w:rPr>
                <w:rFonts w:ascii="Times New Roman" w:eastAsia="Times New Roman" w:hAnsi="Times New Roman" w:cs="Times New Roman"/>
                <w:color w:val="000000"/>
                <w:sz w:val="20"/>
                <w:szCs w:val="20"/>
                <w:lang w:eastAsia="pt-BR"/>
              </w:rPr>
              <w:t>)</w:t>
            </w:r>
          </w:p>
        </w:tc>
        <w:tc>
          <w:tcPr>
            <w:tcW w:w="993" w:type="pct"/>
            <w:tcBorders>
              <w:top w:val="nil"/>
              <w:left w:val="nil"/>
              <w:bottom w:val="nil"/>
              <w:right w:val="nil"/>
            </w:tcBorders>
            <w:noWrap/>
            <w:vAlign w:val="center"/>
            <w:hideMark/>
          </w:tcPr>
          <w:p w14:paraId="5A6BABBE"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8</w:t>
            </w:r>
          </w:p>
        </w:tc>
        <w:tc>
          <w:tcPr>
            <w:tcW w:w="1043" w:type="pct"/>
            <w:tcBorders>
              <w:top w:val="nil"/>
              <w:left w:val="nil"/>
              <w:bottom w:val="nil"/>
              <w:right w:val="nil"/>
            </w:tcBorders>
            <w:noWrap/>
            <w:vAlign w:val="center"/>
            <w:hideMark/>
          </w:tcPr>
          <w:p w14:paraId="6FA8783B"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4,62%</w:t>
            </w:r>
          </w:p>
        </w:tc>
      </w:tr>
      <w:tr w:rsidR="00C13CAE" w:rsidRPr="008D21FB" w14:paraId="7E6231ED" w14:textId="77777777" w:rsidTr="00A34149">
        <w:tc>
          <w:tcPr>
            <w:tcW w:w="2964" w:type="pct"/>
            <w:tcBorders>
              <w:top w:val="nil"/>
              <w:left w:val="nil"/>
              <w:right w:val="nil"/>
            </w:tcBorders>
            <w:noWrap/>
            <w:vAlign w:val="center"/>
            <w:hideMark/>
          </w:tcPr>
          <w:p w14:paraId="3F6A452D"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Restrições</w:t>
            </w:r>
          </w:p>
        </w:tc>
        <w:tc>
          <w:tcPr>
            <w:tcW w:w="993" w:type="pct"/>
            <w:tcBorders>
              <w:top w:val="nil"/>
              <w:left w:val="nil"/>
              <w:right w:val="nil"/>
            </w:tcBorders>
            <w:noWrap/>
            <w:vAlign w:val="center"/>
            <w:hideMark/>
          </w:tcPr>
          <w:p w14:paraId="6AEC9E05"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8</w:t>
            </w:r>
          </w:p>
        </w:tc>
        <w:tc>
          <w:tcPr>
            <w:tcW w:w="1043" w:type="pct"/>
            <w:tcBorders>
              <w:top w:val="nil"/>
              <w:left w:val="nil"/>
              <w:right w:val="nil"/>
            </w:tcBorders>
            <w:noWrap/>
            <w:vAlign w:val="center"/>
            <w:hideMark/>
          </w:tcPr>
          <w:p w14:paraId="12771B62"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4,62%</w:t>
            </w:r>
          </w:p>
        </w:tc>
      </w:tr>
      <w:tr w:rsidR="00C13CAE" w:rsidRPr="008D21FB" w14:paraId="6FE38E6F" w14:textId="77777777" w:rsidTr="00A34149">
        <w:tc>
          <w:tcPr>
            <w:tcW w:w="2964" w:type="pct"/>
            <w:tcBorders>
              <w:top w:val="nil"/>
              <w:left w:val="nil"/>
              <w:bottom w:val="nil"/>
              <w:right w:val="nil"/>
            </w:tcBorders>
            <w:vAlign w:val="center"/>
            <w:hideMark/>
          </w:tcPr>
          <w:p w14:paraId="18223B33"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de vencimento antecipado</w:t>
            </w:r>
          </w:p>
        </w:tc>
        <w:tc>
          <w:tcPr>
            <w:tcW w:w="993" w:type="pct"/>
            <w:tcBorders>
              <w:top w:val="nil"/>
              <w:left w:val="nil"/>
              <w:bottom w:val="nil"/>
              <w:right w:val="nil"/>
            </w:tcBorders>
            <w:noWrap/>
            <w:vAlign w:val="center"/>
            <w:hideMark/>
          </w:tcPr>
          <w:p w14:paraId="7445CECB"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7</w:t>
            </w:r>
          </w:p>
        </w:tc>
        <w:tc>
          <w:tcPr>
            <w:tcW w:w="1043" w:type="pct"/>
            <w:tcBorders>
              <w:top w:val="nil"/>
              <w:left w:val="nil"/>
              <w:bottom w:val="nil"/>
              <w:right w:val="nil"/>
            </w:tcBorders>
            <w:noWrap/>
            <w:vAlign w:val="center"/>
            <w:hideMark/>
          </w:tcPr>
          <w:p w14:paraId="351B3596"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4,05%</w:t>
            </w:r>
          </w:p>
        </w:tc>
      </w:tr>
      <w:tr w:rsidR="00C13CAE" w:rsidRPr="008D21FB" w14:paraId="5215D9ED" w14:textId="77777777" w:rsidTr="00A34149">
        <w:tc>
          <w:tcPr>
            <w:tcW w:w="2964" w:type="pct"/>
            <w:tcBorders>
              <w:top w:val="nil"/>
              <w:left w:val="nil"/>
              <w:bottom w:val="nil"/>
              <w:right w:val="nil"/>
            </w:tcBorders>
            <w:noWrap/>
            <w:vAlign w:val="center"/>
            <w:hideMark/>
          </w:tcPr>
          <w:p w14:paraId="07DC3B74"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contratuais</w:t>
            </w:r>
          </w:p>
        </w:tc>
        <w:tc>
          <w:tcPr>
            <w:tcW w:w="993" w:type="pct"/>
            <w:tcBorders>
              <w:top w:val="nil"/>
              <w:left w:val="nil"/>
              <w:bottom w:val="nil"/>
              <w:right w:val="nil"/>
            </w:tcBorders>
            <w:noWrap/>
            <w:vAlign w:val="center"/>
            <w:hideMark/>
          </w:tcPr>
          <w:p w14:paraId="26E17FD3"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6</w:t>
            </w:r>
          </w:p>
        </w:tc>
        <w:tc>
          <w:tcPr>
            <w:tcW w:w="1043" w:type="pct"/>
            <w:tcBorders>
              <w:top w:val="nil"/>
              <w:left w:val="nil"/>
              <w:bottom w:val="nil"/>
              <w:right w:val="nil"/>
            </w:tcBorders>
            <w:noWrap/>
            <w:vAlign w:val="center"/>
            <w:hideMark/>
          </w:tcPr>
          <w:p w14:paraId="33F17B59"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3,47%</w:t>
            </w:r>
          </w:p>
        </w:tc>
      </w:tr>
      <w:tr w:rsidR="00C13CAE" w:rsidRPr="008D21FB" w14:paraId="3C7F51CA" w14:textId="77777777" w:rsidTr="00A34149">
        <w:tc>
          <w:tcPr>
            <w:tcW w:w="2964" w:type="pct"/>
            <w:tcBorders>
              <w:top w:val="nil"/>
              <w:left w:val="nil"/>
              <w:bottom w:val="nil"/>
              <w:right w:val="nil"/>
            </w:tcBorders>
            <w:noWrap/>
            <w:vAlign w:val="center"/>
            <w:hideMark/>
          </w:tcPr>
          <w:p w14:paraId="2B5635B6"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Índices financeiros</w:t>
            </w:r>
          </w:p>
        </w:tc>
        <w:tc>
          <w:tcPr>
            <w:tcW w:w="993" w:type="pct"/>
            <w:tcBorders>
              <w:top w:val="nil"/>
              <w:left w:val="nil"/>
              <w:bottom w:val="nil"/>
              <w:right w:val="nil"/>
            </w:tcBorders>
            <w:noWrap/>
            <w:vAlign w:val="center"/>
            <w:hideMark/>
          </w:tcPr>
          <w:p w14:paraId="25574E14"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5</w:t>
            </w:r>
          </w:p>
        </w:tc>
        <w:tc>
          <w:tcPr>
            <w:tcW w:w="1043" w:type="pct"/>
            <w:tcBorders>
              <w:top w:val="nil"/>
              <w:left w:val="nil"/>
              <w:bottom w:val="nil"/>
              <w:right w:val="nil"/>
            </w:tcBorders>
            <w:noWrap/>
            <w:vAlign w:val="center"/>
            <w:hideMark/>
          </w:tcPr>
          <w:p w14:paraId="215B0945"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2,89%</w:t>
            </w:r>
          </w:p>
        </w:tc>
      </w:tr>
      <w:tr w:rsidR="00C13CAE" w:rsidRPr="008D21FB" w14:paraId="4301491E" w14:textId="77777777" w:rsidTr="00A34149">
        <w:tc>
          <w:tcPr>
            <w:tcW w:w="2964" w:type="pct"/>
            <w:tcBorders>
              <w:left w:val="nil"/>
              <w:bottom w:val="nil"/>
              <w:right w:val="nil"/>
            </w:tcBorders>
            <w:noWrap/>
            <w:vAlign w:val="center"/>
            <w:hideMark/>
          </w:tcPr>
          <w:p w14:paraId="7B719549"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w:t>
            </w:r>
          </w:p>
        </w:tc>
        <w:tc>
          <w:tcPr>
            <w:tcW w:w="993" w:type="pct"/>
            <w:tcBorders>
              <w:left w:val="nil"/>
              <w:bottom w:val="nil"/>
              <w:right w:val="nil"/>
            </w:tcBorders>
            <w:noWrap/>
            <w:vAlign w:val="center"/>
            <w:hideMark/>
          </w:tcPr>
          <w:p w14:paraId="4F7908BB"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4</w:t>
            </w:r>
          </w:p>
        </w:tc>
        <w:tc>
          <w:tcPr>
            <w:tcW w:w="1043" w:type="pct"/>
            <w:tcBorders>
              <w:left w:val="nil"/>
              <w:bottom w:val="nil"/>
              <w:right w:val="nil"/>
            </w:tcBorders>
            <w:noWrap/>
            <w:vAlign w:val="center"/>
            <w:hideMark/>
          </w:tcPr>
          <w:p w14:paraId="7150C778"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2,31%</w:t>
            </w:r>
          </w:p>
        </w:tc>
      </w:tr>
      <w:tr w:rsidR="00C13CAE" w:rsidRPr="008D21FB" w14:paraId="0B6DE418" w14:textId="77777777" w:rsidTr="00A34149">
        <w:tc>
          <w:tcPr>
            <w:tcW w:w="2964" w:type="pct"/>
            <w:tcBorders>
              <w:top w:val="nil"/>
              <w:left w:val="nil"/>
              <w:bottom w:val="nil"/>
              <w:right w:val="nil"/>
            </w:tcBorders>
            <w:noWrap/>
            <w:vAlign w:val="center"/>
            <w:hideMark/>
          </w:tcPr>
          <w:p w14:paraId="235EEDED"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Condições restritivas</w:t>
            </w:r>
          </w:p>
        </w:tc>
        <w:tc>
          <w:tcPr>
            <w:tcW w:w="993" w:type="pct"/>
            <w:tcBorders>
              <w:top w:val="nil"/>
              <w:left w:val="nil"/>
              <w:bottom w:val="nil"/>
              <w:right w:val="nil"/>
            </w:tcBorders>
            <w:noWrap/>
            <w:vAlign w:val="center"/>
            <w:hideMark/>
          </w:tcPr>
          <w:p w14:paraId="0BDA5167"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4</w:t>
            </w:r>
          </w:p>
        </w:tc>
        <w:tc>
          <w:tcPr>
            <w:tcW w:w="1043" w:type="pct"/>
            <w:tcBorders>
              <w:top w:val="nil"/>
              <w:left w:val="nil"/>
              <w:bottom w:val="nil"/>
              <w:right w:val="nil"/>
            </w:tcBorders>
            <w:noWrap/>
            <w:vAlign w:val="center"/>
            <w:hideMark/>
          </w:tcPr>
          <w:p w14:paraId="517187A7"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2,31%</w:t>
            </w:r>
          </w:p>
        </w:tc>
      </w:tr>
      <w:tr w:rsidR="00C13CAE" w:rsidRPr="008D21FB" w14:paraId="7FDF984C" w14:textId="77777777" w:rsidTr="00A34149">
        <w:tc>
          <w:tcPr>
            <w:tcW w:w="2964" w:type="pct"/>
            <w:tcBorders>
              <w:top w:val="nil"/>
              <w:left w:val="nil"/>
              <w:bottom w:val="nil"/>
              <w:right w:val="nil"/>
            </w:tcBorders>
            <w:noWrap/>
            <w:vAlign w:val="center"/>
            <w:hideMark/>
          </w:tcPr>
          <w:p w14:paraId="11D418B4"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xml:space="preserve">Cláusulas de </w:t>
            </w:r>
            <w:proofErr w:type="spellStart"/>
            <w:r w:rsidRPr="008D21FB">
              <w:rPr>
                <w:rFonts w:ascii="Times New Roman" w:eastAsia="Times New Roman" w:hAnsi="Times New Roman" w:cs="Times New Roman"/>
                <w:i/>
                <w:color w:val="000000"/>
                <w:sz w:val="20"/>
                <w:szCs w:val="20"/>
                <w:lang w:eastAsia="pt-BR"/>
              </w:rPr>
              <w:t>covenants</w:t>
            </w:r>
            <w:proofErr w:type="spellEnd"/>
          </w:p>
        </w:tc>
        <w:tc>
          <w:tcPr>
            <w:tcW w:w="993" w:type="pct"/>
            <w:tcBorders>
              <w:top w:val="nil"/>
              <w:left w:val="nil"/>
              <w:bottom w:val="nil"/>
              <w:right w:val="nil"/>
            </w:tcBorders>
            <w:noWrap/>
            <w:vAlign w:val="center"/>
            <w:hideMark/>
          </w:tcPr>
          <w:p w14:paraId="10C47CC6"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3</w:t>
            </w:r>
          </w:p>
        </w:tc>
        <w:tc>
          <w:tcPr>
            <w:tcW w:w="1043" w:type="pct"/>
            <w:tcBorders>
              <w:top w:val="nil"/>
              <w:left w:val="nil"/>
              <w:bottom w:val="nil"/>
              <w:right w:val="nil"/>
            </w:tcBorders>
            <w:noWrap/>
            <w:vAlign w:val="center"/>
            <w:hideMark/>
          </w:tcPr>
          <w:p w14:paraId="5CF36110"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1,73%</w:t>
            </w:r>
          </w:p>
        </w:tc>
      </w:tr>
      <w:tr w:rsidR="00C13CAE" w:rsidRPr="008D21FB" w14:paraId="7D6D1D3C" w14:textId="77777777" w:rsidTr="00A34149">
        <w:tc>
          <w:tcPr>
            <w:tcW w:w="2964" w:type="pct"/>
            <w:tcBorders>
              <w:top w:val="nil"/>
              <w:left w:val="nil"/>
              <w:bottom w:val="nil"/>
              <w:right w:val="nil"/>
            </w:tcBorders>
            <w:noWrap/>
            <w:vAlign w:val="center"/>
            <w:hideMark/>
          </w:tcPr>
          <w:p w14:paraId="3FE2949E"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Obrigações e Restrições</w:t>
            </w:r>
          </w:p>
        </w:tc>
        <w:tc>
          <w:tcPr>
            <w:tcW w:w="993" w:type="pct"/>
            <w:tcBorders>
              <w:top w:val="nil"/>
              <w:left w:val="nil"/>
              <w:bottom w:val="nil"/>
              <w:right w:val="nil"/>
            </w:tcBorders>
            <w:noWrap/>
            <w:vAlign w:val="center"/>
            <w:hideMark/>
          </w:tcPr>
          <w:p w14:paraId="726C58B9"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3</w:t>
            </w:r>
          </w:p>
        </w:tc>
        <w:tc>
          <w:tcPr>
            <w:tcW w:w="1043" w:type="pct"/>
            <w:tcBorders>
              <w:top w:val="nil"/>
              <w:left w:val="nil"/>
              <w:bottom w:val="nil"/>
              <w:right w:val="nil"/>
            </w:tcBorders>
            <w:noWrap/>
            <w:vAlign w:val="center"/>
            <w:hideMark/>
          </w:tcPr>
          <w:p w14:paraId="41949D8E"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1,73%</w:t>
            </w:r>
          </w:p>
        </w:tc>
      </w:tr>
      <w:tr w:rsidR="00C13CAE" w:rsidRPr="008D21FB" w14:paraId="7C9E8F85" w14:textId="77777777" w:rsidTr="00A34149">
        <w:tc>
          <w:tcPr>
            <w:tcW w:w="2964" w:type="pct"/>
            <w:tcBorders>
              <w:top w:val="nil"/>
              <w:left w:val="nil"/>
              <w:bottom w:val="nil"/>
              <w:right w:val="nil"/>
            </w:tcBorders>
            <w:noWrap/>
            <w:vAlign w:val="center"/>
            <w:hideMark/>
          </w:tcPr>
          <w:p w14:paraId="5E078008"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contratuais restritivas</w:t>
            </w:r>
          </w:p>
        </w:tc>
        <w:tc>
          <w:tcPr>
            <w:tcW w:w="993" w:type="pct"/>
            <w:tcBorders>
              <w:top w:val="nil"/>
              <w:left w:val="nil"/>
              <w:bottom w:val="nil"/>
              <w:right w:val="nil"/>
            </w:tcBorders>
            <w:noWrap/>
            <w:vAlign w:val="center"/>
            <w:hideMark/>
          </w:tcPr>
          <w:p w14:paraId="60C788D9"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c>
          <w:tcPr>
            <w:tcW w:w="1043" w:type="pct"/>
            <w:tcBorders>
              <w:top w:val="nil"/>
              <w:left w:val="nil"/>
              <w:bottom w:val="nil"/>
              <w:right w:val="nil"/>
            </w:tcBorders>
            <w:noWrap/>
            <w:vAlign w:val="center"/>
            <w:hideMark/>
          </w:tcPr>
          <w:p w14:paraId="61D9D3C8"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1,16%</w:t>
            </w:r>
          </w:p>
        </w:tc>
      </w:tr>
      <w:tr w:rsidR="00C13CAE" w:rsidRPr="008D21FB" w14:paraId="14AEEF05" w14:textId="77777777" w:rsidTr="00A34149">
        <w:tc>
          <w:tcPr>
            <w:tcW w:w="2964" w:type="pct"/>
            <w:tcBorders>
              <w:top w:val="nil"/>
              <w:left w:val="nil"/>
              <w:bottom w:val="nil"/>
              <w:right w:val="nil"/>
            </w:tcBorders>
            <w:noWrap/>
            <w:vAlign w:val="center"/>
            <w:hideMark/>
          </w:tcPr>
          <w:p w14:paraId="69F4E8C9"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financeiras restritivas</w:t>
            </w:r>
          </w:p>
        </w:tc>
        <w:tc>
          <w:tcPr>
            <w:tcW w:w="993" w:type="pct"/>
            <w:tcBorders>
              <w:top w:val="nil"/>
              <w:left w:val="nil"/>
              <w:bottom w:val="nil"/>
              <w:right w:val="nil"/>
            </w:tcBorders>
            <w:noWrap/>
            <w:vAlign w:val="center"/>
            <w:hideMark/>
          </w:tcPr>
          <w:p w14:paraId="73935071"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c>
          <w:tcPr>
            <w:tcW w:w="1043" w:type="pct"/>
            <w:tcBorders>
              <w:top w:val="nil"/>
              <w:left w:val="nil"/>
              <w:bottom w:val="nil"/>
              <w:right w:val="nil"/>
            </w:tcBorders>
            <w:noWrap/>
            <w:vAlign w:val="center"/>
            <w:hideMark/>
          </w:tcPr>
          <w:p w14:paraId="7581EEB1"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1,16%</w:t>
            </w:r>
          </w:p>
        </w:tc>
      </w:tr>
      <w:tr w:rsidR="00C13CAE" w:rsidRPr="008D21FB" w14:paraId="2D9D3CCD" w14:textId="77777777" w:rsidTr="00A34149">
        <w:tc>
          <w:tcPr>
            <w:tcW w:w="2964" w:type="pct"/>
            <w:tcBorders>
              <w:top w:val="nil"/>
              <w:left w:val="nil"/>
              <w:bottom w:val="nil"/>
              <w:right w:val="nil"/>
            </w:tcBorders>
            <w:noWrap/>
            <w:vAlign w:val="center"/>
            <w:hideMark/>
          </w:tcPr>
          <w:p w14:paraId="161449E4"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xml:space="preserve">Compromissos financeiros </w:t>
            </w:r>
          </w:p>
        </w:tc>
        <w:tc>
          <w:tcPr>
            <w:tcW w:w="993" w:type="pct"/>
            <w:tcBorders>
              <w:top w:val="nil"/>
              <w:left w:val="nil"/>
              <w:bottom w:val="nil"/>
              <w:right w:val="nil"/>
            </w:tcBorders>
            <w:noWrap/>
            <w:vAlign w:val="center"/>
            <w:hideMark/>
          </w:tcPr>
          <w:p w14:paraId="236376B6"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c>
          <w:tcPr>
            <w:tcW w:w="1043" w:type="pct"/>
            <w:tcBorders>
              <w:top w:val="nil"/>
              <w:left w:val="nil"/>
              <w:bottom w:val="nil"/>
              <w:right w:val="nil"/>
            </w:tcBorders>
            <w:noWrap/>
            <w:vAlign w:val="center"/>
            <w:hideMark/>
          </w:tcPr>
          <w:p w14:paraId="39CDF783"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1,16%</w:t>
            </w:r>
          </w:p>
        </w:tc>
      </w:tr>
      <w:tr w:rsidR="00C13CAE" w:rsidRPr="008D21FB" w14:paraId="26BB82DE" w14:textId="77777777" w:rsidTr="00A34149">
        <w:tc>
          <w:tcPr>
            <w:tcW w:w="2964" w:type="pct"/>
            <w:tcBorders>
              <w:top w:val="nil"/>
              <w:left w:val="nil"/>
              <w:bottom w:val="nil"/>
              <w:right w:val="nil"/>
            </w:tcBorders>
            <w:noWrap/>
            <w:vAlign w:val="center"/>
            <w:hideMark/>
          </w:tcPr>
          <w:p w14:paraId="043240A5" w14:textId="77777777" w:rsidR="00C13CAE" w:rsidRPr="008D21FB" w:rsidRDefault="00C13CAE" w:rsidP="00A34149">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xml:space="preserve">Condições </w:t>
            </w:r>
          </w:p>
        </w:tc>
        <w:tc>
          <w:tcPr>
            <w:tcW w:w="993" w:type="pct"/>
            <w:tcBorders>
              <w:top w:val="nil"/>
              <w:left w:val="nil"/>
              <w:bottom w:val="nil"/>
              <w:right w:val="nil"/>
            </w:tcBorders>
            <w:noWrap/>
            <w:vAlign w:val="center"/>
            <w:hideMark/>
          </w:tcPr>
          <w:p w14:paraId="16E6A7F3"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2</w:t>
            </w:r>
          </w:p>
        </w:tc>
        <w:tc>
          <w:tcPr>
            <w:tcW w:w="1043" w:type="pct"/>
            <w:tcBorders>
              <w:top w:val="nil"/>
              <w:left w:val="nil"/>
              <w:bottom w:val="nil"/>
              <w:right w:val="nil"/>
            </w:tcBorders>
            <w:noWrap/>
            <w:vAlign w:val="center"/>
            <w:hideMark/>
          </w:tcPr>
          <w:p w14:paraId="29C5DCFC" w14:textId="77777777" w:rsidR="00C13CAE" w:rsidRPr="008D21FB" w:rsidRDefault="00C13CAE"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1,16%</w:t>
            </w:r>
          </w:p>
        </w:tc>
      </w:tr>
      <w:tr w:rsidR="00D91DBB" w:rsidRPr="008D21FB" w14:paraId="2069E59A" w14:textId="77777777" w:rsidTr="00A34149">
        <w:tc>
          <w:tcPr>
            <w:tcW w:w="2964" w:type="pct"/>
            <w:tcBorders>
              <w:left w:val="nil"/>
              <w:right w:val="nil"/>
            </w:tcBorders>
            <w:noWrap/>
            <w:vAlign w:val="center"/>
            <w:hideMark/>
          </w:tcPr>
          <w:p w14:paraId="7A693413"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Total</w:t>
            </w:r>
          </w:p>
        </w:tc>
        <w:tc>
          <w:tcPr>
            <w:tcW w:w="993" w:type="pct"/>
            <w:tcBorders>
              <w:left w:val="nil"/>
              <w:right w:val="nil"/>
            </w:tcBorders>
            <w:noWrap/>
            <w:vAlign w:val="center"/>
            <w:hideMark/>
          </w:tcPr>
          <w:p w14:paraId="30FFA5F4"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173</w:t>
            </w:r>
          </w:p>
        </w:tc>
        <w:tc>
          <w:tcPr>
            <w:tcW w:w="1043" w:type="pct"/>
            <w:tcBorders>
              <w:left w:val="nil"/>
              <w:right w:val="nil"/>
            </w:tcBorders>
            <w:noWrap/>
            <w:vAlign w:val="center"/>
            <w:hideMark/>
          </w:tcPr>
          <w:p w14:paraId="5A8E4E97"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100%</w:t>
            </w:r>
          </w:p>
        </w:tc>
      </w:tr>
    </w:tbl>
    <w:p w14:paraId="199A0A42" w14:textId="77777777" w:rsidR="00D91DBB" w:rsidRPr="008D21FB" w:rsidRDefault="00D91DBB" w:rsidP="00A34149">
      <w:pPr>
        <w:spacing w:after="120" w:line="240" w:lineRule="auto"/>
        <w:ind w:firstLine="567"/>
        <w:jc w:val="center"/>
        <w:rPr>
          <w:rFonts w:ascii="Times New Roman" w:eastAsia="Times New Roman" w:hAnsi="Times New Roman" w:cs="Times New Roman"/>
          <w:color w:val="000000"/>
          <w:sz w:val="20"/>
          <w:szCs w:val="20"/>
          <w:lang w:eastAsia="pt-BR"/>
        </w:rPr>
      </w:pPr>
      <w:r w:rsidRPr="00A34149">
        <w:rPr>
          <w:rFonts w:ascii="Times New Roman" w:eastAsia="Times New Roman" w:hAnsi="Times New Roman" w:cs="Times New Roman"/>
          <w:b/>
          <w:color w:val="000000"/>
          <w:sz w:val="20"/>
          <w:szCs w:val="20"/>
          <w:lang w:eastAsia="pt-BR"/>
        </w:rPr>
        <w:t>Fonte:</w:t>
      </w:r>
      <w:r w:rsidRPr="008D21FB">
        <w:rPr>
          <w:rFonts w:ascii="Times New Roman" w:eastAsia="Times New Roman" w:hAnsi="Times New Roman" w:cs="Times New Roman"/>
          <w:color w:val="000000"/>
          <w:sz w:val="20"/>
          <w:szCs w:val="20"/>
          <w:lang w:eastAsia="pt-BR"/>
        </w:rPr>
        <w:t xml:space="preserve"> </w:t>
      </w:r>
      <w:r w:rsidR="002153E2"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dos dados da pesquisa (2016)</w:t>
      </w:r>
      <w:commentRangeEnd w:id="76"/>
      <w:r w:rsidR="009B4FC0">
        <w:rPr>
          <w:rStyle w:val="Refdecomentrio"/>
        </w:rPr>
        <w:commentReference w:id="76"/>
      </w:r>
    </w:p>
    <w:p w14:paraId="45883A20" w14:textId="77777777" w:rsidR="00D91DBB" w:rsidRPr="008D21FB" w:rsidRDefault="00D91DBB" w:rsidP="00146956">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Percebe-se que os outros termos que são utilizados para se referir aos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são semelhantes entre si e implicam na ideia de obrigação e restrição, que são características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i/>
          <w:sz w:val="24"/>
          <w:szCs w:val="24"/>
        </w:rPr>
        <w:t>.</w:t>
      </w:r>
      <w:r>
        <w:rPr>
          <w:rFonts w:ascii="Times New Roman" w:hAnsi="Times New Roman" w:cs="Times New Roman"/>
          <w:sz w:val="24"/>
          <w:szCs w:val="24"/>
        </w:rPr>
        <w:t xml:space="preserve"> </w:t>
      </w:r>
      <w:r w:rsidRPr="008D21FB">
        <w:rPr>
          <w:rFonts w:ascii="Times New Roman" w:hAnsi="Times New Roman" w:cs="Times New Roman"/>
          <w:sz w:val="24"/>
          <w:szCs w:val="24"/>
        </w:rPr>
        <w:t>As terminologias iniciadas com "cláusulas" são as mais relatadas e evidenciadas</w:t>
      </w:r>
      <w:r w:rsidR="008F7B0E">
        <w:rPr>
          <w:rFonts w:ascii="Times New Roman" w:hAnsi="Times New Roman" w:cs="Times New Roman"/>
          <w:sz w:val="24"/>
          <w:szCs w:val="24"/>
        </w:rPr>
        <w:t>, como demonstra a Tabela 2 em 65 vezes.</w:t>
      </w:r>
    </w:p>
    <w:p w14:paraId="162AC7A7" w14:textId="77777777" w:rsidR="00D91DBB" w:rsidRPr="008D21FB" w:rsidRDefault="00D91DBB" w:rsidP="00146956">
      <w:pPr>
        <w:spacing w:line="240" w:lineRule="auto"/>
        <w:ind w:firstLine="567"/>
        <w:jc w:val="both"/>
        <w:rPr>
          <w:rFonts w:ascii="Times New Roman" w:hAnsi="Times New Roman" w:cs="Times New Roman"/>
          <w:sz w:val="24"/>
          <w:szCs w:val="24"/>
        </w:rPr>
      </w:pPr>
      <w:r w:rsidRPr="008D21FB">
        <w:rPr>
          <w:rFonts w:ascii="Times New Roman" w:hAnsi="Times New Roman" w:cs="Times New Roman"/>
          <w:sz w:val="24"/>
          <w:szCs w:val="24"/>
        </w:rPr>
        <w:t xml:space="preserve">O termo </w:t>
      </w:r>
      <w:proofErr w:type="spellStart"/>
      <w:r w:rsidRPr="008D21FB">
        <w:rPr>
          <w:rFonts w:ascii="Times New Roman" w:hAnsi="Times New Roman" w:cs="Times New Roman"/>
          <w:i/>
          <w:sz w:val="24"/>
          <w:szCs w:val="24"/>
        </w:rPr>
        <w:t>covenant</w:t>
      </w:r>
      <w:proofErr w:type="spellEnd"/>
      <w:r w:rsidR="008F7B0E">
        <w:rPr>
          <w:rFonts w:ascii="Times New Roman" w:hAnsi="Times New Roman" w:cs="Times New Roman"/>
          <w:sz w:val="24"/>
          <w:szCs w:val="24"/>
        </w:rPr>
        <w:t xml:space="preserve"> foi</w:t>
      </w:r>
      <w:r w:rsidRPr="008D21FB">
        <w:rPr>
          <w:rFonts w:ascii="Times New Roman" w:hAnsi="Times New Roman" w:cs="Times New Roman"/>
          <w:sz w:val="24"/>
          <w:szCs w:val="24"/>
        </w:rPr>
        <w:t xml:space="preserve"> o mais relatado dentre as empresas e o qu</w:t>
      </w:r>
      <w:r w:rsidR="00627A71">
        <w:rPr>
          <w:rFonts w:ascii="Times New Roman" w:hAnsi="Times New Roman" w:cs="Times New Roman"/>
          <w:sz w:val="24"/>
          <w:szCs w:val="24"/>
        </w:rPr>
        <w:t>e apresentou</w:t>
      </w:r>
      <w:r w:rsidRPr="008D21FB">
        <w:rPr>
          <w:rFonts w:ascii="Times New Roman" w:hAnsi="Times New Roman" w:cs="Times New Roman"/>
          <w:sz w:val="24"/>
          <w:szCs w:val="24"/>
        </w:rPr>
        <w:t xml:space="preserve"> maior frequência </w:t>
      </w:r>
      <w:r>
        <w:rPr>
          <w:rFonts w:ascii="Times New Roman" w:hAnsi="Times New Roman" w:cs="Times New Roman"/>
          <w:sz w:val="24"/>
          <w:szCs w:val="24"/>
        </w:rPr>
        <w:t xml:space="preserve">(aproximadamente 36%) </w:t>
      </w:r>
      <w:r w:rsidRPr="008D21FB">
        <w:rPr>
          <w:rFonts w:ascii="Times New Roman" w:hAnsi="Times New Roman" w:cs="Times New Roman"/>
          <w:sz w:val="24"/>
          <w:szCs w:val="24"/>
        </w:rPr>
        <w:t>entre as outras t</w:t>
      </w:r>
      <w:r>
        <w:rPr>
          <w:rFonts w:ascii="Times New Roman" w:hAnsi="Times New Roman" w:cs="Times New Roman"/>
          <w:sz w:val="24"/>
          <w:szCs w:val="24"/>
        </w:rPr>
        <w:t xml:space="preserve">erminologias. </w:t>
      </w:r>
      <w:r w:rsidRPr="008D21FB">
        <w:rPr>
          <w:rFonts w:ascii="Times New Roman" w:hAnsi="Times New Roman" w:cs="Times New Roman"/>
          <w:sz w:val="24"/>
          <w:szCs w:val="24"/>
        </w:rPr>
        <w:t>A proporção entre as empresas que relata</w:t>
      </w:r>
      <w:r>
        <w:rPr>
          <w:rFonts w:ascii="Times New Roman" w:hAnsi="Times New Roman" w:cs="Times New Roman"/>
          <w:sz w:val="24"/>
          <w:szCs w:val="24"/>
        </w:rPr>
        <w:t xml:space="preserve">ram ou não é demonstrada no </w:t>
      </w:r>
      <w:r w:rsidR="00627A71">
        <w:rPr>
          <w:rFonts w:ascii="Times New Roman" w:hAnsi="Times New Roman" w:cs="Times New Roman"/>
          <w:sz w:val="24"/>
          <w:szCs w:val="24"/>
        </w:rPr>
        <w:t>na Figura 1</w:t>
      </w:r>
      <w:r w:rsidRPr="008D21FB">
        <w:rPr>
          <w:rFonts w:ascii="Times New Roman" w:hAnsi="Times New Roman" w:cs="Times New Roman"/>
          <w:sz w:val="24"/>
          <w:szCs w:val="24"/>
        </w:rPr>
        <w:t>.</w:t>
      </w:r>
    </w:p>
    <w:p w14:paraId="023A05F9" w14:textId="06CC8D84" w:rsidR="00627A71" w:rsidRPr="009B4FC0" w:rsidRDefault="009B4FC0" w:rsidP="00627A71">
      <w:pPr>
        <w:keepNext/>
        <w:spacing w:line="240" w:lineRule="auto"/>
        <w:jc w:val="center"/>
        <w:rPr>
          <w:highlight w:val="yellow"/>
        </w:rPr>
      </w:pPr>
      <w:r>
        <w:rPr>
          <w:rStyle w:val="Refdecomentrio"/>
        </w:rPr>
        <w:commentReference w:id="77"/>
      </w:r>
      <w:r w:rsidR="001250B4">
        <w:rPr>
          <w:noProof/>
          <w:lang w:eastAsia="pt-BR"/>
        </w:rPr>
        <w:drawing>
          <wp:inline distT="0" distB="0" distL="0" distR="0" wp14:anchorId="4DD69092" wp14:editId="492A43C4">
            <wp:extent cx="6638923" cy="18383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03" cy="1840064"/>
                    </a:xfrm>
                    <a:prstGeom prst="rect">
                      <a:avLst/>
                    </a:prstGeom>
                    <a:noFill/>
                  </pic:spPr>
                </pic:pic>
              </a:graphicData>
            </a:graphic>
          </wp:inline>
        </w:drawing>
      </w:r>
    </w:p>
    <w:p w14:paraId="0703CCB2" w14:textId="77777777" w:rsidR="00627A71" w:rsidRPr="001250B4" w:rsidRDefault="00627A71" w:rsidP="00627A71">
      <w:pPr>
        <w:spacing w:line="240" w:lineRule="auto"/>
        <w:jc w:val="center"/>
        <w:rPr>
          <w:rFonts w:ascii="Times New Roman" w:eastAsia="Times New Roman" w:hAnsi="Times New Roman" w:cs="Times New Roman"/>
          <w:color w:val="000000"/>
          <w:sz w:val="20"/>
          <w:szCs w:val="20"/>
          <w:lang w:eastAsia="pt-BR"/>
        </w:rPr>
      </w:pPr>
      <w:r w:rsidRPr="001250B4">
        <w:rPr>
          <w:rFonts w:ascii="Times New Roman" w:hAnsi="Times New Roman" w:cs="Times New Roman"/>
        </w:rPr>
        <w:t>Fonte:</w:t>
      </w:r>
      <w:r w:rsidRPr="001250B4">
        <w:t xml:space="preserve"> </w:t>
      </w:r>
      <w:r w:rsidRPr="001250B4">
        <w:rPr>
          <w:rFonts w:ascii="Times New Roman" w:hAnsi="Times New Roman" w:cs="Times New Roman"/>
          <w:sz w:val="20"/>
          <w:szCs w:val="20"/>
        </w:rPr>
        <w:t xml:space="preserve">Elaborado pelos autores </w:t>
      </w:r>
      <w:r w:rsidRPr="001250B4">
        <w:rPr>
          <w:rFonts w:ascii="Times New Roman" w:eastAsia="Times New Roman" w:hAnsi="Times New Roman" w:cs="Times New Roman"/>
          <w:color w:val="000000"/>
          <w:sz w:val="20"/>
          <w:szCs w:val="20"/>
          <w:lang w:eastAsia="pt-BR"/>
        </w:rPr>
        <w:t>a partir de dados da pesquisa (2016)</w:t>
      </w:r>
    </w:p>
    <w:p w14:paraId="37D074BA" w14:textId="77777777" w:rsidR="00D91DBB" w:rsidRPr="00627A71" w:rsidRDefault="00627A71" w:rsidP="00627A71">
      <w:pPr>
        <w:pStyle w:val="Legenda"/>
        <w:jc w:val="center"/>
        <w:rPr>
          <w:rFonts w:ascii="Times New Roman" w:hAnsi="Times New Roman" w:cs="Times New Roman"/>
          <w:b w:val="0"/>
          <w:noProof/>
          <w:color w:val="auto"/>
          <w:sz w:val="24"/>
          <w:szCs w:val="24"/>
          <w:lang w:eastAsia="pt-BR"/>
        </w:rPr>
      </w:pPr>
      <w:r w:rsidRPr="001250B4">
        <w:rPr>
          <w:rFonts w:ascii="Times New Roman" w:hAnsi="Times New Roman" w:cs="Times New Roman"/>
          <w:b w:val="0"/>
          <w:color w:val="auto"/>
          <w:sz w:val="24"/>
          <w:szCs w:val="24"/>
        </w:rPr>
        <w:t xml:space="preserve">Figura </w:t>
      </w:r>
      <w:r w:rsidR="00744BBF" w:rsidRPr="001250B4">
        <w:rPr>
          <w:rFonts w:ascii="Times New Roman" w:hAnsi="Times New Roman" w:cs="Times New Roman"/>
          <w:b w:val="0"/>
          <w:color w:val="auto"/>
          <w:sz w:val="24"/>
          <w:szCs w:val="24"/>
        </w:rPr>
        <w:fldChar w:fldCharType="begin"/>
      </w:r>
      <w:r w:rsidRPr="001250B4">
        <w:rPr>
          <w:rFonts w:ascii="Times New Roman" w:hAnsi="Times New Roman" w:cs="Times New Roman"/>
          <w:b w:val="0"/>
          <w:color w:val="auto"/>
          <w:sz w:val="24"/>
          <w:szCs w:val="24"/>
        </w:rPr>
        <w:instrText xml:space="preserve"> SEQ Figura \* ARABIC </w:instrText>
      </w:r>
      <w:r w:rsidR="00744BBF" w:rsidRPr="001250B4">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1</w:t>
      </w:r>
      <w:r w:rsidR="00744BBF" w:rsidRPr="001250B4">
        <w:rPr>
          <w:rFonts w:ascii="Times New Roman" w:hAnsi="Times New Roman" w:cs="Times New Roman"/>
          <w:b w:val="0"/>
          <w:color w:val="auto"/>
          <w:sz w:val="24"/>
          <w:szCs w:val="24"/>
        </w:rPr>
        <w:fldChar w:fldCharType="end"/>
      </w:r>
      <w:r w:rsidRPr="001250B4">
        <w:rPr>
          <w:rFonts w:ascii="Times New Roman" w:hAnsi="Times New Roman" w:cs="Times New Roman"/>
          <w:b w:val="0"/>
          <w:color w:val="auto"/>
          <w:sz w:val="24"/>
          <w:szCs w:val="24"/>
        </w:rPr>
        <w:t xml:space="preserve"> - Evidenciação do termo</w:t>
      </w:r>
      <w:r w:rsidRPr="001250B4">
        <w:rPr>
          <w:rFonts w:ascii="Times New Roman" w:hAnsi="Times New Roman" w:cs="Times New Roman"/>
          <w:b w:val="0"/>
          <w:i/>
          <w:color w:val="auto"/>
          <w:sz w:val="24"/>
          <w:szCs w:val="24"/>
        </w:rPr>
        <w:t xml:space="preserve"> </w:t>
      </w:r>
      <w:proofErr w:type="spellStart"/>
      <w:r w:rsidRPr="001250B4">
        <w:rPr>
          <w:rFonts w:ascii="Times New Roman" w:hAnsi="Times New Roman" w:cs="Times New Roman"/>
          <w:b w:val="0"/>
          <w:i/>
          <w:color w:val="auto"/>
          <w:sz w:val="24"/>
          <w:szCs w:val="24"/>
        </w:rPr>
        <w:t>covenants</w:t>
      </w:r>
      <w:proofErr w:type="spellEnd"/>
    </w:p>
    <w:p w14:paraId="531AC68C" w14:textId="77777777" w:rsidR="00D91DBB" w:rsidRPr="008D21FB" w:rsidRDefault="00D91DBB" w:rsidP="00146956">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Conf</w:t>
      </w:r>
      <w:r w:rsidR="00627A71">
        <w:rPr>
          <w:rFonts w:ascii="Times New Roman" w:hAnsi="Times New Roman" w:cs="Times New Roman"/>
          <w:sz w:val="24"/>
          <w:szCs w:val="24"/>
        </w:rPr>
        <w:t>orme a</w:t>
      </w:r>
      <w:r>
        <w:rPr>
          <w:rFonts w:ascii="Times New Roman" w:hAnsi="Times New Roman" w:cs="Times New Roman"/>
          <w:sz w:val="24"/>
          <w:szCs w:val="24"/>
        </w:rPr>
        <w:t xml:space="preserve"> </w:t>
      </w:r>
      <w:r w:rsidR="00A14296">
        <w:rPr>
          <w:rFonts w:ascii="Times New Roman" w:hAnsi="Times New Roman" w:cs="Times New Roman"/>
          <w:sz w:val="24"/>
          <w:szCs w:val="24"/>
        </w:rPr>
        <w:t>Figura</w:t>
      </w:r>
      <w:r>
        <w:rPr>
          <w:rFonts w:ascii="Times New Roman" w:hAnsi="Times New Roman" w:cs="Times New Roman"/>
          <w:sz w:val="24"/>
          <w:szCs w:val="24"/>
        </w:rPr>
        <w:t xml:space="preserve"> 1, d</w:t>
      </w:r>
      <w:r w:rsidRPr="008D21FB">
        <w:rPr>
          <w:rFonts w:ascii="Times New Roman" w:hAnsi="Times New Roman" w:cs="Times New Roman"/>
          <w:sz w:val="24"/>
          <w:szCs w:val="24"/>
        </w:rPr>
        <w:t>as 112</w:t>
      </w:r>
      <w:r>
        <w:rPr>
          <w:rFonts w:ascii="Times New Roman" w:hAnsi="Times New Roman" w:cs="Times New Roman"/>
          <w:sz w:val="24"/>
          <w:szCs w:val="24"/>
        </w:rPr>
        <w:t xml:space="preserve"> empresas, aproximadamente 55</w:t>
      </w:r>
      <w:r w:rsidRPr="008D21FB">
        <w:rPr>
          <w:rFonts w:ascii="Times New Roman" w:hAnsi="Times New Roman" w:cs="Times New Roman"/>
          <w:sz w:val="24"/>
          <w:szCs w:val="24"/>
        </w:rPr>
        <w:t xml:space="preserve">% </w:t>
      </w:r>
      <w:r>
        <w:rPr>
          <w:rFonts w:ascii="Times New Roman" w:hAnsi="Times New Roman" w:cs="Times New Roman"/>
          <w:sz w:val="24"/>
          <w:szCs w:val="24"/>
        </w:rPr>
        <w:t>(62 empresas)</w:t>
      </w:r>
      <w:r w:rsidRPr="008D21FB">
        <w:rPr>
          <w:rFonts w:ascii="Times New Roman" w:hAnsi="Times New Roman" w:cs="Times New Roman"/>
          <w:sz w:val="24"/>
          <w:szCs w:val="24"/>
        </w:rPr>
        <w:t xml:space="preserve"> </w:t>
      </w:r>
      <w:r w:rsidR="00627A71">
        <w:rPr>
          <w:rFonts w:ascii="Times New Roman" w:hAnsi="Times New Roman" w:cs="Times New Roman"/>
          <w:sz w:val="24"/>
          <w:szCs w:val="24"/>
        </w:rPr>
        <w:t>divulgou</w:t>
      </w:r>
      <w:r w:rsidRPr="008D21FB">
        <w:rPr>
          <w:rFonts w:ascii="Times New Roman" w:hAnsi="Times New Roman" w:cs="Times New Roman"/>
          <w:sz w:val="24"/>
          <w:szCs w:val="24"/>
        </w:rPr>
        <w:t xml:space="preserve"> </w:t>
      </w:r>
      <w:r>
        <w:rPr>
          <w:rFonts w:ascii="Times New Roman" w:hAnsi="Times New Roman" w:cs="Times New Roman"/>
          <w:sz w:val="24"/>
          <w:szCs w:val="24"/>
        </w:rPr>
        <w:t xml:space="preserve">o </w:t>
      </w:r>
      <w:r w:rsidRPr="008D21FB">
        <w:rPr>
          <w:rFonts w:ascii="Times New Roman" w:hAnsi="Times New Roman" w:cs="Times New Roman"/>
          <w:sz w:val="24"/>
          <w:szCs w:val="24"/>
        </w:rPr>
        <w:t xml:space="preserve">termo </w:t>
      </w:r>
      <w:proofErr w:type="spellStart"/>
      <w:r w:rsidRPr="00F37A8F">
        <w:rPr>
          <w:rFonts w:ascii="Times New Roman" w:hAnsi="Times New Roman" w:cs="Times New Roman"/>
          <w:i/>
          <w:sz w:val="24"/>
          <w:szCs w:val="24"/>
        </w:rPr>
        <w:t>covenant</w:t>
      </w:r>
      <w:proofErr w:type="spellEnd"/>
      <w:r>
        <w:rPr>
          <w:rFonts w:ascii="Times New Roman" w:hAnsi="Times New Roman" w:cs="Times New Roman"/>
          <w:sz w:val="24"/>
          <w:szCs w:val="24"/>
        </w:rPr>
        <w:t xml:space="preserve"> </w:t>
      </w:r>
      <w:r w:rsidRPr="008D21FB">
        <w:rPr>
          <w:rFonts w:ascii="Times New Roman" w:hAnsi="Times New Roman" w:cs="Times New Roman"/>
          <w:sz w:val="24"/>
          <w:szCs w:val="24"/>
        </w:rPr>
        <w:t>para descrever</w:t>
      </w:r>
      <w:r>
        <w:rPr>
          <w:rFonts w:ascii="Times New Roman" w:hAnsi="Times New Roman" w:cs="Times New Roman"/>
          <w:sz w:val="24"/>
          <w:szCs w:val="24"/>
        </w:rPr>
        <w:t>em</w:t>
      </w:r>
      <w:r w:rsidRPr="008D21FB">
        <w:rPr>
          <w:rFonts w:ascii="Times New Roman" w:hAnsi="Times New Roman" w:cs="Times New Roman"/>
          <w:sz w:val="24"/>
          <w:szCs w:val="24"/>
        </w:rPr>
        <w:t xml:space="preserve"> as obrigações e/ou restrições que estão sujeitas </w:t>
      </w:r>
      <w:r>
        <w:rPr>
          <w:rFonts w:ascii="Times New Roman" w:hAnsi="Times New Roman" w:cs="Times New Roman"/>
          <w:sz w:val="24"/>
          <w:szCs w:val="24"/>
        </w:rPr>
        <w:t>a cumprir no contrato de dívida</w:t>
      </w:r>
      <w:r w:rsidRPr="008D21FB">
        <w:rPr>
          <w:rFonts w:ascii="Times New Roman" w:hAnsi="Times New Roman" w:cs="Times New Roman"/>
          <w:sz w:val="24"/>
          <w:szCs w:val="24"/>
        </w:rPr>
        <w:t xml:space="preserve">. Índice baixo se considerarmos esse termo como o mais </w:t>
      </w:r>
      <w:r w:rsidR="00627A71">
        <w:rPr>
          <w:rFonts w:ascii="Times New Roman" w:hAnsi="Times New Roman" w:cs="Times New Roman"/>
          <w:sz w:val="24"/>
          <w:szCs w:val="24"/>
        </w:rPr>
        <w:t>adequado</w:t>
      </w:r>
      <w:r w:rsidRPr="008D21FB">
        <w:rPr>
          <w:rFonts w:ascii="Times New Roman" w:hAnsi="Times New Roman" w:cs="Times New Roman"/>
          <w:sz w:val="24"/>
          <w:szCs w:val="24"/>
        </w:rPr>
        <w:t xml:space="preserve"> para descrever as obrigações e/ou restrições presentes nas cláusulas do contrato.  Ao usar o termo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a cláusula não corre o risco de ser interpretada como uma cláusula normal de mercado e em consequência disso, o </w:t>
      </w:r>
      <w:r w:rsidR="007D5DD5">
        <w:rPr>
          <w:rFonts w:ascii="Times New Roman" w:hAnsi="Times New Roman" w:cs="Times New Roman"/>
          <w:sz w:val="24"/>
          <w:szCs w:val="24"/>
        </w:rPr>
        <w:t xml:space="preserve">seu </w:t>
      </w:r>
      <w:r w:rsidRPr="008D21FB">
        <w:rPr>
          <w:rFonts w:ascii="Times New Roman" w:hAnsi="Times New Roman" w:cs="Times New Roman"/>
          <w:sz w:val="24"/>
          <w:szCs w:val="24"/>
        </w:rPr>
        <w:t xml:space="preserve">não cumprimento, </w:t>
      </w:r>
      <w:r w:rsidR="007D5DD5">
        <w:rPr>
          <w:rFonts w:ascii="Times New Roman" w:hAnsi="Times New Roman" w:cs="Times New Roman"/>
          <w:sz w:val="24"/>
          <w:szCs w:val="24"/>
        </w:rPr>
        <w:t xml:space="preserve">vir a ocasionar, por exemplo, </w:t>
      </w:r>
      <w:r w:rsidRPr="008D21FB">
        <w:rPr>
          <w:rFonts w:ascii="Times New Roman" w:hAnsi="Times New Roman" w:cs="Times New Roman"/>
          <w:sz w:val="24"/>
          <w:szCs w:val="24"/>
        </w:rPr>
        <w:t>o ve</w:t>
      </w:r>
      <w:r w:rsidR="007D5DD5">
        <w:rPr>
          <w:rFonts w:ascii="Times New Roman" w:hAnsi="Times New Roman" w:cs="Times New Roman"/>
          <w:sz w:val="24"/>
          <w:szCs w:val="24"/>
        </w:rPr>
        <w:t xml:space="preserve">ncimento antecipado da dívida. A empresa </w:t>
      </w:r>
      <w:proofErr w:type="spellStart"/>
      <w:r w:rsidR="007D5DD5">
        <w:rPr>
          <w:rFonts w:ascii="Times New Roman" w:hAnsi="Times New Roman" w:cs="Times New Roman"/>
          <w:sz w:val="24"/>
          <w:szCs w:val="24"/>
        </w:rPr>
        <w:t>Even</w:t>
      </w:r>
      <w:proofErr w:type="spellEnd"/>
      <w:r w:rsidR="007D5DD5">
        <w:rPr>
          <w:rFonts w:ascii="Times New Roman" w:hAnsi="Times New Roman" w:cs="Times New Roman"/>
          <w:sz w:val="24"/>
          <w:szCs w:val="24"/>
        </w:rPr>
        <w:t xml:space="preserve"> (2015) relatou</w:t>
      </w:r>
      <w:r w:rsidRPr="008D21FB">
        <w:rPr>
          <w:rFonts w:ascii="Times New Roman" w:hAnsi="Times New Roman" w:cs="Times New Roman"/>
          <w:sz w:val="24"/>
          <w:szCs w:val="24"/>
        </w:rPr>
        <w:t xml:space="preserve"> o termo para informar que "as debê</w:t>
      </w:r>
      <w:r w:rsidR="007D5DD5">
        <w:rPr>
          <w:rFonts w:ascii="Times New Roman" w:hAnsi="Times New Roman" w:cs="Times New Roman"/>
          <w:sz w:val="24"/>
          <w:szCs w:val="24"/>
        </w:rPr>
        <w:t>ntures apresentam determinados '</w:t>
      </w:r>
      <w:proofErr w:type="spellStart"/>
      <w:r w:rsidR="007D5DD5">
        <w:rPr>
          <w:rFonts w:ascii="Times New Roman" w:hAnsi="Times New Roman" w:cs="Times New Roman"/>
          <w:sz w:val="24"/>
          <w:szCs w:val="24"/>
        </w:rPr>
        <w:t>covenants</w:t>
      </w:r>
      <w:proofErr w:type="spellEnd"/>
      <w:r w:rsidR="007D5DD5">
        <w:rPr>
          <w:rFonts w:ascii="Times New Roman" w:hAnsi="Times New Roman" w:cs="Times New Roman"/>
          <w:sz w:val="24"/>
          <w:szCs w:val="24"/>
        </w:rPr>
        <w:t>'</w:t>
      </w:r>
      <w:r w:rsidRPr="008D21FB">
        <w:rPr>
          <w:rFonts w:ascii="Times New Roman" w:hAnsi="Times New Roman" w:cs="Times New Roman"/>
          <w:sz w:val="24"/>
          <w:szCs w:val="24"/>
        </w:rPr>
        <w:t xml:space="preserve"> que são monitorados periodicamente pela Administração", a partir dessa declaração pode-se verificar que os gestores devem </w:t>
      </w:r>
      <w:r w:rsidR="007D5DD5">
        <w:rPr>
          <w:rFonts w:ascii="Times New Roman" w:hAnsi="Times New Roman" w:cs="Times New Roman"/>
          <w:sz w:val="24"/>
          <w:szCs w:val="24"/>
        </w:rPr>
        <w:t>monitorar</w:t>
      </w:r>
      <w:r w:rsidRPr="008D21FB">
        <w:rPr>
          <w:rFonts w:ascii="Times New Roman" w:hAnsi="Times New Roman" w:cs="Times New Roman"/>
          <w:sz w:val="24"/>
          <w:szCs w:val="24"/>
        </w:rPr>
        <w:t xml:space="preserve"> com frequência se os </w:t>
      </w:r>
      <w:proofErr w:type="spellStart"/>
      <w:r w:rsidRPr="008D21FB">
        <w:rPr>
          <w:rFonts w:ascii="Times New Roman" w:hAnsi="Times New Roman" w:cs="Times New Roman"/>
          <w:i/>
          <w:sz w:val="24"/>
          <w:szCs w:val="24"/>
        </w:rPr>
        <w:t>covenants</w:t>
      </w:r>
      <w:proofErr w:type="spellEnd"/>
      <w:r w:rsidR="007D5DD5">
        <w:rPr>
          <w:rFonts w:ascii="Times New Roman" w:hAnsi="Times New Roman" w:cs="Times New Roman"/>
          <w:sz w:val="24"/>
          <w:szCs w:val="24"/>
        </w:rPr>
        <w:t xml:space="preserve"> estão sendo cumpridos.</w:t>
      </w:r>
    </w:p>
    <w:p w14:paraId="453FC240" w14:textId="77777777" w:rsidR="00A14296" w:rsidRDefault="007D5DD5" w:rsidP="00A14296">
      <w:pPr>
        <w:spacing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Como visto, algumas empresas utilizaram</w:t>
      </w:r>
      <w:r w:rsidR="00A14296" w:rsidRPr="008D21FB">
        <w:rPr>
          <w:rFonts w:ascii="Times New Roman" w:hAnsi="Times New Roman" w:cs="Times New Roman"/>
          <w:sz w:val="24"/>
          <w:szCs w:val="24"/>
        </w:rPr>
        <w:t xml:space="preserve"> mais de um termo para relatar os </w:t>
      </w:r>
      <w:proofErr w:type="spellStart"/>
      <w:r w:rsidR="00A14296" w:rsidRPr="008D21FB">
        <w:rPr>
          <w:rFonts w:ascii="Times New Roman" w:hAnsi="Times New Roman" w:cs="Times New Roman"/>
          <w:i/>
          <w:sz w:val="24"/>
          <w:szCs w:val="24"/>
        </w:rPr>
        <w:t>covenants</w:t>
      </w:r>
      <w:proofErr w:type="spellEnd"/>
      <w:r w:rsidR="00A14296" w:rsidRPr="008D21FB">
        <w:rPr>
          <w:rFonts w:ascii="Times New Roman" w:hAnsi="Times New Roman" w:cs="Times New Roman"/>
          <w:sz w:val="24"/>
          <w:szCs w:val="24"/>
        </w:rPr>
        <w:t xml:space="preserve">. A quantidade de termos por empresa </w:t>
      </w:r>
      <w:r w:rsidR="00A14296">
        <w:rPr>
          <w:rFonts w:ascii="Times New Roman" w:hAnsi="Times New Roman" w:cs="Times New Roman"/>
          <w:sz w:val="24"/>
          <w:szCs w:val="24"/>
        </w:rPr>
        <w:t xml:space="preserve">pode ser verificada na Figura 1. </w:t>
      </w:r>
      <w:r w:rsidR="00A14296" w:rsidRPr="008D21FB">
        <w:rPr>
          <w:rFonts w:ascii="Times New Roman" w:hAnsi="Times New Roman" w:cs="Times New Roman"/>
          <w:color w:val="000000" w:themeColor="text1"/>
          <w:sz w:val="24"/>
          <w:szCs w:val="24"/>
        </w:rPr>
        <w:t>Das 112 empresas dessa amostra, 59 empresas usa</w:t>
      </w:r>
      <w:r>
        <w:rPr>
          <w:rFonts w:ascii="Times New Roman" w:hAnsi="Times New Roman" w:cs="Times New Roman"/>
          <w:color w:val="000000" w:themeColor="text1"/>
          <w:sz w:val="24"/>
          <w:szCs w:val="24"/>
        </w:rPr>
        <w:t>ra</w:t>
      </w:r>
      <w:r w:rsidR="00A14296" w:rsidRPr="008D21FB">
        <w:rPr>
          <w:rFonts w:ascii="Times New Roman" w:hAnsi="Times New Roman" w:cs="Times New Roman"/>
          <w:color w:val="000000" w:themeColor="text1"/>
          <w:sz w:val="24"/>
          <w:szCs w:val="24"/>
        </w:rPr>
        <w:t>m apenas um termo, dentre essas, aproxi</w:t>
      </w:r>
      <w:r>
        <w:rPr>
          <w:rFonts w:ascii="Times New Roman" w:hAnsi="Times New Roman" w:cs="Times New Roman"/>
          <w:color w:val="000000" w:themeColor="text1"/>
          <w:sz w:val="24"/>
          <w:szCs w:val="24"/>
        </w:rPr>
        <w:t>madamente 29% (17 empresas) divulgaram</w:t>
      </w:r>
      <w:r w:rsidR="00A14296" w:rsidRPr="008D21FB">
        <w:rPr>
          <w:rFonts w:ascii="Times New Roman" w:hAnsi="Times New Roman" w:cs="Times New Roman"/>
          <w:color w:val="000000" w:themeColor="text1"/>
          <w:sz w:val="24"/>
          <w:szCs w:val="24"/>
        </w:rPr>
        <w:t xml:space="preserve"> o termo </w:t>
      </w:r>
      <w:proofErr w:type="spellStart"/>
      <w:r w:rsidR="00A14296" w:rsidRPr="008D21FB">
        <w:rPr>
          <w:rFonts w:ascii="Times New Roman" w:hAnsi="Times New Roman" w:cs="Times New Roman"/>
          <w:i/>
          <w:color w:val="000000" w:themeColor="text1"/>
          <w:sz w:val="24"/>
          <w:szCs w:val="24"/>
        </w:rPr>
        <w:t>covenant</w:t>
      </w:r>
      <w:proofErr w:type="spellEnd"/>
      <w:r w:rsidR="00A14296" w:rsidRPr="008D21FB">
        <w:rPr>
          <w:rFonts w:ascii="Times New Roman" w:hAnsi="Times New Roman" w:cs="Times New Roman"/>
          <w:color w:val="000000" w:themeColor="text1"/>
          <w:sz w:val="24"/>
          <w:szCs w:val="24"/>
        </w:rPr>
        <w:t>. Cerca de 37% (42 empresas) usa</w:t>
      </w:r>
      <w:r>
        <w:rPr>
          <w:rFonts w:ascii="Times New Roman" w:hAnsi="Times New Roman" w:cs="Times New Roman"/>
          <w:color w:val="000000" w:themeColor="text1"/>
          <w:sz w:val="24"/>
          <w:szCs w:val="24"/>
        </w:rPr>
        <w:t>ra</w:t>
      </w:r>
      <w:r w:rsidR="00A14296" w:rsidRPr="008D21FB">
        <w:rPr>
          <w:rFonts w:ascii="Times New Roman" w:hAnsi="Times New Roman" w:cs="Times New Roman"/>
          <w:color w:val="000000" w:themeColor="text1"/>
          <w:sz w:val="24"/>
          <w:szCs w:val="24"/>
        </w:rPr>
        <w:t>m duas terminologias, e 9% (10 empresas) relata</w:t>
      </w:r>
      <w:r>
        <w:rPr>
          <w:rFonts w:ascii="Times New Roman" w:hAnsi="Times New Roman" w:cs="Times New Roman"/>
          <w:color w:val="000000" w:themeColor="text1"/>
          <w:sz w:val="24"/>
          <w:szCs w:val="24"/>
        </w:rPr>
        <w:t>ra</w:t>
      </w:r>
      <w:r w:rsidR="00A14296" w:rsidRPr="008D21FB">
        <w:rPr>
          <w:rFonts w:ascii="Times New Roman" w:hAnsi="Times New Roman" w:cs="Times New Roman"/>
          <w:color w:val="000000" w:themeColor="text1"/>
          <w:sz w:val="24"/>
          <w:szCs w:val="24"/>
        </w:rPr>
        <w:t xml:space="preserve">m três termos distintos. Apenas a empresa CPFL Energia usou quatro terminologias, </w:t>
      </w:r>
      <w:r>
        <w:rPr>
          <w:rFonts w:ascii="Times New Roman" w:hAnsi="Times New Roman" w:cs="Times New Roman"/>
          <w:color w:val="000000" w:themeColor="text1"/>
          <w:sz w:val="24"/>
          <w:szCs w:val="24"/>
        </w:rPr>
        <w:t>foram</w:t>
      </w:r>
      <w:r w:rsidR="00A14296" w:rsidRPr="008D21FB">
        <w:rPr>
          <w:rFonts w:ascii="Times New Roman" w:hAnsi="Times New Roman" w:cs="Times New Roman"/>
          <w:color w:val="000000" w:themeColor="text1"/>
          <w:sz w:val="24"/>
          <w:szCs w:val="24"/>
        </w:rPr>
        <w:t xml:space="preserve"> elas: </w:t>
      </w:r>
      <w:proofErr w:type="spellStart"/>
      <w:r w:rsidR="00A14296" w:rsidRPr="008D21FB">
        <w:rPr>
          <w:rFonts w:ascii="Times New Roman" w:hAnsi="Times New Roman" w:cs="Times New Roman"/>
          <w:i/>
          <w:color w:val="000000" w:themeColor="text1"/>
          <w:sz w:val="24"/>
          <w:szCs w:val="24"/>
        </w:rPr>
        <w:t>covenants</w:t>
      </w:r>
      <w:proofErr w:type="spellEnd"/>
      <w:r w:rsidR="00A14296" w:rsidRPr="008D21FB">
        <w:rPr>
          <w:rFonts w:ascii="Times New Roman" w:hAnsi="Times New Roman" w:cs="Times New Roman"/>
          <w:color w:val="000000" w:themeColor="text1"/>
          <w:sz w:val="24"/>
          <w:szCs w:val="24"/>
        </w:rPr>
        <w:t xml:space="preserve">, condições restritivas, cláusulas financeiras e operacionais e obrigações contratuais. </w:t>
      </w:r>
    </w:p>
    <w:p w14:paraId="3A0BDF7A"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 segunda terminologia mais relatada </w:t>
      </w:r>
      <w:r w:rsidR="007D5DD5">
        <w:rPr>
          <w:rFonts w:ascii="Times New Roman" w:hAnsi="Times New Roman" w:cs="Times New Roman"/>
          <w:sz w:val="24"/>
          <w:szCs w:val="24"/>
        </w:rPr>
        <w:t>foram</w:t>
      </w:r>
      <w:r w:rsidRPr="008D21FB">
        <w:rPr>
          <w:rFonts w:ascii="Times New Roman" w:hAnsi="Times New Roman" w:cs="Times New Roman"/>
          <w:sz w:val="24"/>
          <w:szCs w:val="24"/>
        </w:rPr>
        <w:t xml:space="preserve"> cláusulas restrit</w:t>
      </w:r>
      <w:r w:rsidR="007D5DD5">
        <w:rPr>
          <w:rFonts w:ascii="Times New Roman" w:hAnsi="Times New Roman" w:cs="Times New Roman"/>
          <w:sz w:val="24"/>
          <w:szCs w:val="24"/>
        </w:rPr>
        <w:t xml:space="preserve">ivas, descrita por cerca de 31% (35 empresas). </w:t>
      </w:r>
      <w:r w:rsidRPr="008D21FB">
        <w:rPr>
          <w:rFonts w:ascii="Times New Roman" w:hAnsi="Times New Roman" w:cs="Times New Roman"/>
          <w:sz w:val="24"/>
          <w:szCs w:val="24"/>
        </w:rPr>
        <w:t xml:space="preserve">A </w:t>
      </w:r>
      <w:proofErr w:type="spellStart"/>
      <w:r w:rsidRPr="008D21FB">
        <w:rPr>
          <w:rFonts w:ascii="Times New Roman" w:hAnsi="Times New Roman" w:cs="Times New Roman"/>
          <w:sz w:val="24"/>
          <w:szCs w:val="24"/>
        </w:rPr>
        <w:t>Cosan</w:t>
      </w:r>
      <w:proofErr w:type="spellEnd"/>
      <w:r w:rsidRPr="008D21FB">
        <w:rPr>
          <w:rFonts w:ascii="Times New Roman" w:hAnsi="Times New Roman" w:cs="Times New Roman"/>
          <w:sz w:val="24"/>
          <w:szCs w:val="24"/>
        </w:rPr>
        <w:t xml:space="preserve"> (2015) </w:t>
      </w:r>
      <w:r w:rsidR="007D5DD5">
        <w:rPr>
          <w:rFonts w:ascii="Times New Roman" w:hAnsi="Times New Roman" w:cs="Times New Roman"/>
          <w:sz w:val="24"/>
          <w:szCs w:val="24"/>
        </w:rPr>
        <w:t>foi uma das empresas que utilizaram</w:t>
      </w:r>
      <w:r w:rsidRPr="008D21FB">
        <w:rPr>
          <w:rFonts w:ascii="Times New Roman" w:hAnsi="Times New Roman" w:cs="Times New Roman"/>
          <w:sz w:val="24"/>
          <w:szCs w:val="24"/>
        </w:rPr>
        <w:t xml:space="preserve"> o termo para relatar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descrevendo-o da seguinte maneira: "A Companhia e suas controladas estão sujeitas a determinadas cláusulas restritivas existentes nos contratos de empréstimos e financiamentos".  </w:t>
      </w:r>
    </w:p>
    <w:p w14:paraId="74891712"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O vencimento antecipado da dívida é umas das consequências econômicas caso exista a violação de um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No entanto, </w:t>
      </w:r>
      <w:r w:rsidR="007D5DD5">
        <w:rPr>
          <w:rFonts w:ascii="Times New Roman" w:hAnsi="Times New Roman" w:cs="Times New Roman"/>
          <w:sz w:val="24"/>
          <w:szCs w:val="24"/>
        </w:rPr>
        <w:t>sete</w:t>
      </w:r>
      <w:r w:rsidRPr="008D21FB">
        <w:rPr>
          <w:rFonts w:ascii="Times New Roman" w:hAnsi="Times New Roman" w:cs="Times New Roman"/>
          <w:sz w:val="24"/>
          <w:szCs w:val="24"/>
        </w:rPr>
        <w:t xml:space="preserve"> empresas usa</w:t>
      </w:r>
      <w:r w:rsidR="007D5DD5">
        <w:rPr>
          <w:rFonts w:ascii="Times New Roman" w:hAnsi="Times New Roman" w:cs="Times New Roman"/>
          <w:sz w:val="24"/>
          <w:szCs w:val="24"/>
        </w:rPr>
        <w:t>ra</w:t>
      </w:r>
      <w:r w:rsidRPr="008D21FB">
        <w:rPr>
          <w:rFonts w:ascii="Times New Roman" w:hAnsi="Times New Roman" w:cs="Times New Roman"/>
          <w:sz w:val="24"/>
          <w:szCs w:val="24"/>
        </w:rPr>
        <w:t>m essa terminologia para se referir</w:t>
      </w:r>
      <w:r w:rsidR="007D5DD5">
        <w:rPr>
          <w:rFonts w:ascii="Times New Roman" w:hAnsi="Times New Roman" w:cs="Times New Roman"/>
          <w:sz w:val="24"/>
          <w:szCs w:val="24"/>
        </w:rPr>
        <w:t>em</w:t>
      </w:r>
      <w:r w:rsidRPr="008D21FB">
        <w:rPr>
          <w:rFonts w:ascii="Times New Roman" w:hAnsi="Times New Roman" w:cs="Times New Roman"/>
          <w:sz w:val="24"/>
          <w:szCs w:val="24"/>
        </w:rPr>
        <w:t xml:space="preserve"> ao </w:t>
      </w:r>
      <w:proofErr w:type="spellStart"/>
      <w:r w:rsidRPr="008D21FB">
        <w:rPr>
          <w:rFonts w:ascii="Times New Roman" w:hAnsi="Times New Roman" w:cs="Times New Roman"/>
          <w:i/>
          <w:sz w:val="24"/>
          <w:szCs w:val="24"/>
        </w:rPr>
        <w:t>covenant</w:t>
      </w:r>
      <w:proofErr w:type="spellEnd"/>
      <w:r w:rsidR="007D5DD5">
        <w:rPr>
          <w:rFonts w:ascii="Times New Roman" w:hAnsi="Times New Roman" w:cs="Times New Roman"/>
          <w:sz w:val="24"/>
          <w:szCs w:val="24"/>
        </w:rPr>
        <w:t xml:space="preserve"> </w:t>
      </w:r>
      <w:r w:rsidR="007C1176">
        <w:rPr>
          <w:rFonts w:ascii="Times New Roman" w:hAnsi="Times New Roman" w:cs="Times New Roman"/>
          <w:sz w:val="24"/>
          <w:szCs w:val="24"/>
        </w:rPr>
        <w:t>(ex.</w:t>
      </w:r>
      <w:r w:rsidRPr="008D21FB">
        <w:rPr>
          <w:rFonts w:ascii="Times New Roman" w:hAnsi="Times New Roman" w:cs="Times New Roman"/>
          <w:sz w:val="24"/>
          <w:szCs w:val="24"/>
        </w:rPr>
        <w:t xml:space="preserve"> </w:t>
      </w:r>
      <w:proofErr w:type="spellStart"/>
      <w:r w:rsidR="007D5DD5">
        <w:rPr>
          <w:rFonts w:ascii="Times New Roman" w:hAnsi="Times New Roman" w:cs="Times New Roman"/>
          <w:sz w:val="24"/>
          <w:szCs w:val="24"/>
        </w:rPr>
        <w:t>Ez</w:t>
      </w:r>
      <w:proofErr w:type="spellEnd"/>
      <w:r w:rsidR="007D5DD5">
        <w:rPr>
          <w:rFonts w:ascii="Times New Roman" w:hAnsi="Times New Roman" w:cs="Times New Roman"/>
          <w:sz w:val="24"/>
          <w:szCs w:val="24"/>
        </w:rPr>
        <w:t xml:space="preserve"> </w:t>
      </w:r>
      <w:proofErr w:type="spellStart"/>
      <w:r w:rsidR="007D5DD5">
        <w:rPr>
          <w:rFonts w:ascii="Times New Roman" w:hAnsi="Times New Roman" w:cs="Times New Roman"/>
          <w:sz w:val="24"/>
          <w:szCs w:val="24"/>
        </w:rPr>
        <w:t>Tec</w:t>
      </w:r>
      <w:proofErr w:type="spellEnd"/>
      <w:r w:rsidR="007D5DD5">
        <w:rPr>
          <w:rFonts w:ascii="Times New Roman" w:hAnsi="Times New Roman" w:cs="Times New Roman"/>
          <w:sz w:val="24"/>
          <w:szCs w:val="24"/>
        </w:rPr>
        <w:t xml:space="preserve"> (2015) "</w:t>
      </w:r>
      <w:r w:rsidRPr="008D21FB">
        <w:rPr>
          <w:rFonts w:ascii="Times New Roman" w:hAnsi="Times New Roman" w:cs="Times New Roman"/>
          <w:sz w:val="24"/>
          <w:szCs w:val="24"/>
        </w:rPr>
        <w:t>cláusulas de vencimento antecipado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atreladas com índices financeiros da Companhia"</w:t>
      </w:r>
      <w:r w:rsidR="007D5DD5">
        <w:rPr>
          <w:rFonts w:ascii="Times New Roman" w:hAnsi="Times New Roman" w:cs="Times New Roman"/>
          <w:sz w:val="24"/>
          <w:szCs w:val="24"/>
        </w:rPr>
        <w:t>).</w:t>
      </w:r>
    </w:p>
    <w:p w14:paraId="4A46FFE1"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Alguns outros relatos das terminologias pelas empresas: (i) índices financeiros conforme a empresa </w:t>
      </w:r>
      <w:proofErr w:type="spellStart"/>
      <w:r w:rsidRPr="008D21FB">
        <w:rPr>
          <w:rFonts w:ascii="Times New Roman" w:hAnsi="Times New Roman" w:cs="Times New Roman"/>
          <w:sz w:val="24"/>
          <w:szCs w:val="24"/>
        </w:rPr>
        <w:t>Valid</w:t>
      </w:r>
      <w:proofErr w:type="spellEnd"/>
      <w:r w:rsidRPr="008D21FB">
        <w:rPr>
          <w:rFonts w:ascii="Times New Roman" w:hAnsi="Times New Roman" w:cs="Times New Roman"/>
          <w:sz w:val="24"/>
          <w:szCs w:val="24"/>
        </w:rPr>
        <w:t xml:space="preserve"> (2015) "nos contratos financeiros, estamos sujeitos à observância de determinados índices financeiros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w:t>
      </w:r>
      <w:proofErr w:type="spellStart"/>
      <w:r w:rsidRPr="008D21FB">
        <w:rPr>
          <w:rFonts w:ascii="Times New Roman" w:hAnsi="Times New Roman" w:cs="Times New Roman"/>
          <w:sz w:val="24"/>
          <w:szCs w:val="24"/>
        </w:rPr>
        <w:t>ii</w:t>
      </w:r>
      <w:proofErr w:type="spellEnd"/>
      <w:r w:rsidRPr="008D21FB">
        <w:rPr>
          <w:rFonts w:ascii="Times New Roman" w:hAnsi="Times New Roman" w:cs="Times New Roman"/>
          <w:sz w:val="24"/>
          <w:szCs w:val="24"/>
        </w:rPr>
        <w:t>) obrigações e restrições pela empresa CSU (2015) "Alguns de nossos contratos (…) incluem obrigações e restrições usuais de mercado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w:t>
      </w:r>
      <w:proofErr w:type="spellStart"/>
      <w:r w:rsidRPr="008D21FB">
        <w:rPr>
          <w:rFonts w:ascii="Times New Roman" w:hAnsi="Times New Roman" w:cs="Times New Roman"/>
          <w:sz w:val="24"/>
          <w:szCs w:val="24"/>
        </w:rPr>
        <w:t>iii</w:t>
      </w:r>
      <w:proofErr w:type="spellEnd"/>
      <w:r w:rsidRPr="008D21FB">
        <w:rPr>
          <w:rFonts w:ascii="Times New Roman" w:hAnsi="Times New Roman" w:cs="Times New Roman"/>
          <w:sz w:val="24"/>
          <w:szCs w:val="24"/>
        </w:rPr>
        <w:t xml:space="preserve">) O termo cláusulas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segundo a empresa Diagnóstico das Américas (2015) "estão inseridas cláusulas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(obrigação)".</w:t>
      </w:r>
      <w:r w:rsidR="007D5DD5">
        <w:rPr>
          <w:rFonts w:ascii="Times New Roman" w:hAnsi="Times New Roman" w:cs="Times New Roman"/>
          <w:sz w:val="24"/>
          <w:szCs w:val="24"/>
        </w:rPr>
        <w:t xml:space="preserve"> </w:t>
      </w:r>
      <w:r>
        <w:rPr>
          <w:rFonts w:ascii="Times New Roman" w:hAnsi="Times New Roman" w:cs="Times New Roman"/>
          <w:sz w:val="24"/>
          <w:szCs w:val="24"/>
        </w:rPr>
        <w:t>Das 35</w:t>
      </w:r>
      <w:r w:rsidRPr="00F37A8F">
        <w:rPr>
          <w:rFonts w:ascii="Times New Roman" w:hAnsi="Times New Roman" w:cs="Times New Roman"/>
          <w:sz w:val="24"/>
          <w:szCs w:val="24"/>
        </w:rPr>
        <w:t xml:space="preserve"> terminologias</w:t>
      </w:r>
      <w:r>
        <w:rPr>
          <w:rFonts w:ascii="Times New Roman" w:hAnsi="Times New Roman" w:cs="Times New Roman"/>
          <w:sz w:val="24"/>
          <w:szCs w:val="24"/>
        </w:rPr>
        <w:t xml:space="preserve"> encontradas, 20 </w:t>
      </w:r>
      <w:r w:rsidRPr="00F37A8F">
        <w:rPr>
          <w:rFonts w:ascii="Times New Roman" w:hAnsi="Times New Roman" w:cs="Times New Roman"/>
          <w:sz w:val="24"/>
          <w:szCs w:val="24"/>
        </w:rPr>
        <w:t>foram relatadas apenas uma úni</w:t>
      </w:r>
      <w:r>
        <w:rPr>
          <w:rFonts w:ascii="Times New Roman" w:hAnsi="Times New Roman" w:cs="Times New Roman"/>
          <w:sz w:val="24"/>
          <w:szCs w:val="24"/>
        </w:rPr>
        <w:t>ca vez, conforme</w:t>
      </w:r>
      <w:r w:rsidRPr="008D21FB">
        <w:rPr>
          <w:rFonts w:ascii="Times New Roman" w:hAnsi="Times New Roman" w:cs="Times New Roman"/>
          <w:sz w:val="24"/>
          <w:szCs w:val="24"/>
        </w:rPr>
        <w:t xml:space="preserve"> Quadro 3.</w:t>
      </w:r>
    </w:p>
    <w:p w14:paraId="20D33BC6" w14:textId="77777777" w:rsidR="00A34149" w:rsidRPr="00A34149" w:rsidRDefault="00A34149" w:rsidP="00A34149">
      <w:pPr>
        <w:pStyle w:val="Legenda"/>
        <w:keepNext/>
        <w:spacing w:before="120" w:after="120"/>
        <w:jc w:val="center"/>
        <w:rPr>
          <w:rFonts w:ascii="Times New Roman" w:hAnsi="Times New Roman" w:cs="Times New Roman"/>
          <w:b w:val="0"/>
          <w:color w:val="auto"/>
          <w:sz w:val="24"/>
          <w:szCs w:val="24"/>
        </w:rPr>
      </w:pPr>
      <w:r w:rsidRPr="00A34149">
        <w:rPr>
          <w:rFonts w:ascii="Times New Roman" w:hAnsi="Times New Roman" w:cs="Times New Roman"/>
          <w:b w:val="0"/>
          <w:color w:val="auto"/>
          <w:sz w:val="24"/>
          <w:szCs w:val="24"/>
        </w:rPr>
        <w:t xml:space="preserve">Quadro </w:t>
      </w:r>
      <w:r w:rsidR="00744BBF" w:rsidRPr="00A34149">
        <w:rPr>
          <w:rFonts w:ascii="Times New Roman" w:hAnsi="Times New Roman" w:cs="Times New Roman"/>
          <w:b w:val="0"/>
          <w:color w:val="auto"/>
          <w:sz w:val="24"/>
          <w:szCs w:val="24"/>
        </w:rPr>
        <w:fldChar w:fldCharType="begin"/>
      </w:r>
      <w:r w:rsidRPr="00A34149">
        <w:rPr>
          <w:rFonts w:ascii="Times New Roman" w:hAnsi="Times New Roman" w:cs="Times New Roman"/>
          <w:b w:val="0"/>
          <w:color w:val="auto"/>
          <w:sz w:val="24"/>
          <w:szCs w:val="24"/>
        </w:rPr>
        <w:instrText xml:space="preserve"> SEQ Quadro \* ARABIC </w:instrText>
      </w:r>
      <w:r w:rsidR="00744BBF" w:rsidRPr="00A34149">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2</w:t>
      </w:r>
      <w:r w:rsidR="00744BBF" w:rsidRPr="00A34149">
        <w:rPr>
          <w:rFonts w:ascii="Times New Roman" w:hAnsi="Times New Roman" w:cs="Times New Roman"/>
          <w:b w:val="0"/>
          <w:color w:val="auto"/>
          <w:sz w:val="24"/>
          <w:szCs w:val="24"/>
        </w:rPr>
        <w:fldChar w:fldCharType="end"/>
      </w:r>
      <w:r w:rsidRPr="00A34149">
        <w:rPr>
          <w:rFonts w:ascii="Times New Roman" w:hAnsi="Times New Roman" w:cs="Times New Roman"/>
          <w:b w:val="0"/>
          <w:color w:val="auto"/>
          <w:sz w:val="24"/>
          <w:szCs w:val="24"/>
        </w:rPr>
        <w:t xml:space="preserve"> - </w:t>
      </w:r>
      <w:r w:rsidRPr="00A34149">
        <w:rPr>
          <w:rFonts w:ascii="Times New Roman" w:eastAsia="Times New Roman" w:hAnsi="Times New Roman" w:cs="Times New Roman"/>
          <w:b w:val="0"/>
          <w:bCs w:val="0"/>
          <w:color w:val="auto"/>
          <w:sz w:val="24"/>
          <w:szCs w:val="24"/>
          <w:lang w:eastAsia="pt-BR"/>
        </w:rPr>
        <w:t>Outras terminologias relatadas uma única vez</w:t>
      </w:r>
    </w:p>
    <w:tbl>
      <w:tblPr>
        <w:tblStyle w:val="Tabelacomgrade"/>
        <w:tblW w:w="5000" w:type="pct"/>
        <w:tblLook w:val="04A0" w:firstRow="1" w:lastRow="0" w:firstColumn="1" w:lastColumn="0" w:noHBand="0" w:noVBand="1"/>
      </w:tblPr>
      <w:tblGrid>
        <w:gridCol w:w="5352"/>
        <w:gridCol w:w="5352"/>
      </w:tblGrid>
      <w:tr w:rsidR="00D91DBB" w:rsidRPr="008D21FB" w14:paraId="024DCE96" w14:textId="77777777" w:rsidTr="00A34149">
        <w:tc>
          <w:tcPr>
            <w:tcW w:w="5000" w:type="pct"/>
            <w:gridSpan w:val="2"/>
            <w:noWrap/>
            <w:vAlign w:val="center"/>
            <w:hideMark/>
          </w:tcPr>
          <w:p w14:paraId="62A8D705" w14:textId="77777777" w:rsidR="00D91DBB" w:rsidRPr="008D21FB" w:rsidRDefault="00D91DBB" w:rsidP="00A34149">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Terminologias</w:t>
            </w:r>
          </w:p>
        </w:tc>
      </w:tr>
      <w:tr w:rsidR="00D91DBB" w:rsidRPr="008D21FB" w14:paraId="5271800A" w14:textId="77777777" w:rsidTr="00A34149">
        <w:tc>
          <w:tcPr>
            <w:tcW w:w="2500" w:type="pct"/>
            <w:noWrap/>
            <w:vAlign w:val="center"/>
            <w:hideMark/>
          </w:tcPr>
          <w:p w14:paraId="7DFAF5F4"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afirmativas</w:t>
            </w:r>
          </w:p>
        </w:tc>
        <w:tc>
          <w:tcPr>
            <w:tcW w:w="2500" w:type="pct"/>
            <w:noWrap/>
            <w:vAlign w:val="center"/>
            <w:hideMark/>
          </w:tcPr>
          <w:p w14:paraId="1FBA8AF4"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Condições mínimas</w:t>
            </w:r>
          </w:p>
        </w:tc>
      </w:tr>
      <w:tr w:rsidR="00D91DBB" w:rsidRPr="008D21FB" w14:paraId="120A1059" w14:textId="77777777" w:rsidTr="00A34149">
        <w:tc>
          <w:tcPr>
            <w:tcW w:w="2500" w:type="pct"/>
            <w:noWrap/>
            <w:vAlign w:val="center"/>
            <w:hideMark/>
          </w:tcPr>
          <w:p w14:paraId="6749F1D2"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com restrições</w:t>
            </w:r>
          </w:p>
        </w:tc>
        <w:tc>
          <w:tcPr>
            <w:tcW w:w="2500" w:type="pct"/>
            <w:noWrap/>
            <w:vAlign w:val="center"/>
            <w:hideMark/>
          </w:tcPr>
          <w:p w14:paraId="1ACEFE9A"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Disposições</w:t>
            </w:r>
          </w:p>
        </w:tc>
      </w:tr>
      <w:tr w:rsidR="00D91DBB" w:rsidRPr="008D21FB" w14:paraId="2B80169E" w14:textId="77777777" w:rsidTr="00A34149">
        <w:tc>
          <w:tcPr>
            <w:tcW w:w="2500" w:type="pct"/>
            <w:vAlign w:val="center"/>
            <w:hideMark/>
          </w:tcPr>
          <w:p w14:paraId="2721D4DD"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de cumprimento de índices financeiros</w:t>
            </w:r>
          </w:p>
        </w:tc>
        <w:tc>
          <w:tcPr>
            <w:tcW w:w="2500" w:type="pct"/>
            <w:noWrap/>
            <w:vAlign w:val="center"/>
            <w:hideMark/>
          </w:tcPr>
          <w:p w14:paraId="57EFF468" w14:textId="77777777" w:rsidR="00D91DBB" w:rsidRPr="008D21FB" w:rsidRDefault="00D91DBB" w:rsidP="00A34149">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Eventos</w:t>
            </w:r>
          </w:p>
        </w:tc>
      </w:tr>
      <w:tr w:rsidR="00D91DBB" w:rsidRPr="008D21FB" w14:paraId="62FB5DE4" w14:textId="77777777" w:rsidTr="00A34149">
        <w:tc>
          <w:tcPr>
            <w:tcW w:w="2500" w:type="pct"/>
            <w:noWrap/>
            <w:vAlign w:val="center"/>
            <w:hideMark/>
          </w:tcPr>
          <w:p w14:paraId="6BF08742"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de obrigações especiais</w:t>
            </w:r>
          </w:p>
        </w:tc>
        <w:tc>
          <w:tcPr>
            <w:tcW w:w="2500" w:type="pct"/>
            <w:noWrap/>
            <w:vAlign w:val="center"/>
            <w:hideMark/>
          </w:tcPr>
          <w:p w14:paraId="0581E358"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Limitações</w:t>
            </w:r>
          </w:p>
        </w:tc>
      </w:tr>
      <w:tr w:rsidR="00D91DBB" w:rsidRPr="008D21FB" w14:paraId="1F6B7928" w14:textId="77777777" w:rsidTr="00A34149">
        <w:tc>
          <w:tcPr>
            <w:tcW w:w="2500" w:type="pct"/>
            <w:noWrap/>
            <w:vAlign w:val="center"/>
            <w:hideMark/>
          </w:tcPr>
          <w:p w14:paraId="604DD323"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de proteção</w:t>
            </w:r>
          </w:p>
        </w:tc>
        <w:tc>
          <w:tcPr>
            <w:tcW w:w="2500" w:type="pct"/>
            <w:noWrap/>
            <w:vAlign w:val="center"/>
            <w:hideMark/>
          </w:tcPr>
          <w:p w14:paraId="24A9C15B"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L</w:t>
            </w:r>
            <w:r w:rsidRPr="008D21FB">
              <w:rPr>
                <w:rFonts w:ascii="Times New Roman" w:eastAsia="Times New Roman" w:hAnsi="Times New Roman" w:cs="Times New Roman"/>
                <w:color w:val="000000"/>
                <w:sz w:val="20"/>
                <w:szCs w:val="20"/>
                <w:lang w:eastAsia="pt-BR"/>
              </w:rPr>
              <w:t>imites mínimos e máximos</w:t>
            </w:r>
          </w:p>
        </w:tc>
      </w:tr>
      <w:tr w:rsidR="00D91DBB" w:rsidRPr="008D21FB" w14:paraId="02D0047D" w14:textId="77777777" w:rsidTr="00A34149">
        <w:tc>
          <w:tcPr>
            <w:tcW w:w="2500" w:type="pct"/>
            <w:noWrap/>
            <w:vAlign w:val="center"/>
            <w:hideMark/>
          </w:tcPr>
          <w:p w14:paraId="7913B6BD"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Cláusulas financeiras e operacionais</w:t>
            </w:r>
          </w:p>
        </w:tc>
        <w:tc>
          <w:tcPr>
            <w:tcW w:w="2500" w:type="pct"/>
            <w:noWrap/>
            <w:vAlign w:val="center"/>
            <w:hideMark/>
          </w:tcPr>
          <w:p w14:paraId="04566E3E"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Obrigações Acessórias</w:t>
            </w:r>
          </w:p>
        </w:tc>
      </w:tr>
      <w:tr w:rsidR="00D91DBB" w:rsidRPr="008D21FB" w14:paraId="4C720335" w14:textId="77777777" w:rsidTr="00A34149">
        <w:tc>
          <w:tcPr>
            <w:tcW w:w="2500" w:type="pct"/>
            <w:noWrap/>
            <w:vAlign w:val="center"/>
            <w:hideMark/>
          </w:tcPr>
          <w:p w14:paraId="0148D939"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Compromissos assumidos</w:t>
            </w:r>
          </w:p>
        </w:tc>
        <w:tc>
          <w:tcPr>
            <w:tcW w:w="2500" w:type="pct"/>
            <w:noWrap/>
            <w:vAlign w:val="center"/>
            <w:hideMark/>
          </w:tcPr>
          <w:p w14:paraId="62C220D2"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Obrigações Contratuais</w:t>
            </w:r>
          </w:p>
        </w:tc>
      </w:tr>
      <w:tr w:rsidR="00D91DBB" w:rsidRPr="008D21FB" w14:paraId="01C3EA57" w14:textId="77777777" w:rsidTr="00A34149">
        <w:tc>
          <w:tcPr>
            <w:tcW w:w="2500" w:type="pct"/>
            <w:noWrap/>
            <w:vAlign w:val="center"/>
            <w:hideMark/>
          </w:tcPr>
          <w:p w14:paraId="4CF1D6B4"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Compromissos Contratuais</w:t>
            </w:r>
          </w:p>
        </w:tc>
        <w:tc>
          <w:tcPr>
            <w:tcW w:w="2500" w:type="pct"/>
            <w:noWrap/>
            <w:vAlign w:val="center"/>
            <w:hideMark/>
          </w:tcPr>
          <w:p w14:paraId="74C6980C"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Obrigações especiais</w:t>
            </w:r>
          </w:p>
        </w:tc>
      </w:tr>
      <w:tr w:rsidR="00D91DBB" w:rsidRPr="008D21FB" w14:paraId="7132AC56" w14:textId="77777777" w:rsidTr="00A34149">
        <w:tc>
          <w:tcPr>
            <w:tcW w:w="2500" w:type="pct"/>
            <w:noWrap/>
            <w:vAlign w:val="center"/>
            <w:hideMark/>
          </w:tcPr>
          <w:p w14:paraId="5401C753"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Compromissos Restritivos</w:t>
            </w:r>
          </w:p>
        </w:tc>
        <w:tc>
          <w:tcPr>
            <w:tcW w:w="2500" w:type="pct"/>
            <w:noWrap/>
            <w:vAlign w:val="center"/>
            <w:hideMark/>
          </w:tcPr>
          <w:p w14:paraId="63488C13"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Regras Contratuais</w:t>
            </w:r>
          </w:p>
        </w:tc>
      </w:tr>
      <w:tr w:rsidR="00D91DBB" w:rsidRPr="008D21FB" w14:paraId="310B1547" w14:textId="77777777" w:rsidTr="00A34149">
        <w:tc>
          <w:tcPr>
            <w:tcW w:w="2500" w:type="pct"/>
            <w:noWrap/>
            <w:vAlign w:val="center"/>
            <w:hideMark/>
          </w:tcPr>
          <w:p w14:paraId="400A4D9D"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Condições contratuais</w:t>
            </w:r>
          </w:p>
        </w:tc>
        <w:tc>
          <w:tcPr>
            <w:tcW w:w="2500" w:type="pct"/>
            <w:noWrap/>
            <w:vAlign w:val="center"/>
            <w:hideMark/>
          </w:tcPr>
          <w:p w14:paraId="665048F0" w14:textId="77777777" w:rsidR="00D91DBB" w:rsidRPr="008D21FB" w:rsidRDefault="00D91DBB" w:rsidP="00A34149">
            <w:pPr>
              <w:spacing w:line="240" w:lineRule="auto"/>
              <w:jc w:val="center"/>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Termos Restritivos</w:t>
            </w:r>
          </w:p>
        </w:tc>
      </w:tr>
    </w:tbl>
    <w:p w14:paraId="113C0276" w14:textId="77777777" w:rsidR="00D91DBB" w:rsidRPr="008D21FB" w:rsidRDefault="00D91DBB" w:rsidP="00A866F9">
      <w:pPr>
        <w:spacing w:after="120" w:line="240" w:lineRule="auto"/>
        <w:jc w:val="center"/>
        <w:rPr>
          <w:rFonts w:ascii="Times New Roman" w:eastAsia="Times New Roman" w:hAnsi="Times New Roman" w:cs="Times New Roman"/>
          <w:color w:val="000000"/>
          <w:sz w:val="20"/>
          <w:szCs w:val="20"/>
          <w:lang w:eastAsia="pt-BR"/>
        </w:rPr>
      </w:pPr>
      <w:r w:rsidRPr="00A34149">
        <w:rPr>
          <w:rFonts w:ascii="Times New Roman" w:eastAsia="Times New Roman" w:hAnsi="Times New Roman" w:cs="Times New Roman"/>
          <w:b/>
          <w:color w:val="000000"/>
          <w:sz w:val="20"/>
          <w:szCs w:val="20"/>
          <w:lang w:eastAsia="pt-BR"/>
        </w:rPr>
        <w:t>Fonte:</w:t>
      </w:r>
      <w:r w:rsidRPr="008D21FB">
        <w:rPr>
          <w:rFonts w:ascii="Times New Roman" w:eastAsia="Times New Roman" w:hAnsi="Times New Roman" w:cs="Times New Roman"/>
          <w:color w:val="000000"/>
          <w:sz w:val="20"/>
          <w:szCs w:val="20"/>
          <w:lang w:eastAsia="pt-BR"/>
        </w:rPr>
        <w:t xml:space="preserve"> </w:t>
      </w:r>
      <w:r w:rsidR="002153E2"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de dados da pesquisa (2016)</w:t>
      </w:r>
    </w:p>
    <w:p w14:paraId="46372F26"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Dentr</w:t>
      </w:r>
      <w:r>
        <w:rPr>
          <w:rFonts w:ascii="Times New Roman" w:hAnsi="Times New Roman" w:cs="Times New Roman"/>
          <w:sz w:val="24"/>
          <w:szCs w:val="24"/>
        </w:rPr>
        <w:t>e os termos relacionados no Q</w:t>
      </w:r>
      <w:r w:rsidRPr="008D21FB">
        <w:rPr>
          <w:rFonts w:ascii="Times New Roman" w:hAnsi="Times New Roman" w:cs="Times New Roman"/>
          <w:sz w:val="24"/>
          <w:szCs w:val="24"/>
        </w:rPr>
        <w:t>uadro</w:t>
      </w:r>
      <w:r>
        <w:rPr>
          <w:rFonts w:ascii="Times New Roman" w:hAnsi="Times New Roman" w:cs="Times New Roman"/>
          <w:sz w:val="24"/>
          <w:szCs w:val="24"/>
        </w:rPr>
        <w:t xml:space="preserve"> 3</w:t>
      </w:r>
      <w:r w:rsidRPr="008D21FB">
        <w:rPr>
          <w:rFonts w:ascii="Times New Roman" w:hAnsi="Times New Roman" w:cs="Times New Roman"/>
          <w:sz w:val="24"/>
          <w:szCs w:val="24"/>
        </w:rPr>
        <w:t xml:space="preserve">, os termos </w:t>
      </w:r>
      <w:r>
        <w:rPr>
          <w:rFonts w:ascii="Times New Roman" w:hAnsi="Times New Roman" w:cs="Times New Roman"/>
          <w:sz w:val="24"/>
          <w:szCs w:val="24"/>
        </w:rPr>
        <w:t>“</w:t>
      </w:r>
      <w:r w:rsidRPr="008D21FB">
        <w:rPr>
          <w:rFonts w:ascii="Times New Roman" w:hAnsi="Times New Roman" w:cs="Times New Roman"/>
          <w:sz w:val="24"/>
          <w:szCs w:val="24"/>
        </w:rPr>
        <w:t>eventos</w:t>
      </w:r>
      <w:r>
        <w:rPr>
          <w:rFonts w:ascii="Times New Roman" w:hAnsi="Times New Roman" w:cs="Times New Roman"/>
          <w:sz w:val="24"/>
          <w:szCs w:val="24"/>
        </w:rPr>
        <w:t>”</w:t>
      </w:r>
      <w:r w:rsidRPr="008D21FB">
        <w:rPr>
          <w:rFonts w:ascii="Times New Roman" w:hAnsi="Times New Roman" w:cs="Times New Roman"/>
          <w:sz w:val="24"/>
          <w:szCs w:val="24"/>
        </w:rPr>
        <w:t xml:space="preserve"> e </w:t>
      </w:r>
      <w:r>
        <w:rPr>
          <w:rFonts w:ascii="Times New Roman" w:hAnsi="Times New Roman" w:cs="Times New Roman"/>
          <w:sz w:val="24"/>
          <w:szCs w:val="24"/>
        </w:rPr>
        <w:t>“</w:t>
      </w:r>
      <w:r w:rsidRPr="008D21FB">
        <w:rPr>
          <w:rFonts w:ascii="Times New Roman" w:hAnsi="Times New Roman" w:cs="Times New Roman"/>
          <w:sz w:val="24"/>
          <w:szCs w:val="24"/>
        </w:rPr>
        <w:t>disposições</w:t>
      </w:r>
      <w:r>
        <w:rPr>
          <w:rFonts w:ascii="Times New Roman" w:hAnsi="Times New Roman" w:cs="Times New Roman"/>
          <w:sz w:val="24"/>
          <w:szCs w:val="24"/>
        </w:rPr>
        <w:t>”</w:t>
      </w:r>
      <w:r w:rsidRPr="008D21FB">
        <w:rPr>
          <w:rFonts w:ascii="Times New Roman" w:hAnsi="Times New Roman" w:cs="Times New Roman"/>
          <w:sz w:val="24"/>
          <w:szCs w:val="24"/>
        </w:rPr>
        <w:t xml:space="preserve"> </w:t>
      </w:r>
      <w:r w:rsidR="007D5DD5">
        <w:rPr>
          <w:rFonts w:ascii="Times New Roman" w:hAnsi="Times New Roman" w:cs="Times New Roman"/>
          <w:sz w:val="24"/>
          <w:szCs w:val="24"/>
        </w:rPr>
        <w:t>foram</w:t>
      </w:r>
      <w:r w:rsidRPr="008D21FB">
        <w:rPr>
          <w:rFonts w:ascii="Times New Roman" w:hAnsi="Times New Roman" w:cs="Times New Roman"/>
          <w:sz w:val="24"/>
          <w:szCs w:val="24"/>
        </w:rPr>
        <w:t xml:space="preserve"> os que mais chamam atenção por não serem semelhantes às outras terminologias. A empresa </w:t>
      </w:r>
      <w:proofErr w:type="spellStart"/>
      <w:r w:rsidRPr="008D21FB">
        <w:rPr>
          <w:rFonts w:ascii="Times New Roman" w:hAnsi="Times New Roman" w:cs="Times New Roman"/>
          <w:sz w:val="24"/>
          <w:szCs w:val="24"/>
        </w:rPr>
        <w:t>Hypermarcas</w:t>
      </w:r>
      <w:proofErr w:type="spellEnd"/>
      <w:r w:rsidRPr="008D21FB">
        <w:rPr>
          <w:rFonts w:ascii="Times New Roman" w:hAnsi="Times New Roman" w:cs="Times New Roman"/>
          <w:sz w:val="24"/>
          <w:szCs w:val="24"/>
        </w:rPr>
        <w:t xml:space="preserve"> (2015) fez uso de uma dessas terminologias para indicar que a quebra dos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não financeiros implicariam em condição de vencimento antecipado, relatando "A ocorrência dos eventos indicados a seguir facultará ao credor considerar a cédula antecipadamente vencida". Já o termo disposições foi relatado pela MMX </w:t>
      </w:r>
      <w:r w:rsidR="007C1176" w:rsidRPr="008D21FB">
        <w:rPr>
          <w:rFonts w:ascii="Times New Roman" w:hAnsi="Times New Roman" w:cs="Times New Roman"/>
          <w:sz w:val="24"/>
          <w:szCs w:val="24"/>
        </w:rPr>
        <w:t>Mineração</w:t>
      </w:r>
      <w:r w:rsidRPr="008D21FB">
        <w:rPr>
          <w:rFonts w:ascii="Times New Roman" w:hAnsi="Times New Roman" w:cs="Times New Roman"/>
          <w:sz w:val="24"/>
          <w:szCs w:val="24"/>
        </w:rPr>
        <w:t xml:space="preserve"> e </w:t>
      </w:r>
      <w:r w:rsidR="007C1176" w:rsidRPr="008D21FB">
        <w:rPr>
          <w:rFonts w:ascii="Times New Roman" w:hAnsi="Times New Roman" w:cs="Times New Roman"/>
          <w:sz w:val="24"/>
          <w:szCs w:val="24"/>
        </w:rPr>
        <w:t>Metálicos</w:t>
      </w:r>
      <w:r w:rsidRPr="008D21FB">
        <w:rPr>
          <w:rFonts w:ascii="Times New Roman" w:hAnsi="Times New Roman" w:cs="Times New Roman"/>
          <w:sz w:val="24"/>
          <w:szCs w:val="24"/>
        </w:rPr>
        <w:t xml:space="preserve"> (2015) para informar "contratos financeiros nos quais estão inseridas disposições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usualmente praticadas no mercado"</w:t>
      </w:r>
    </w:p>
    <w:p w14:paraId="4E18AD2E" w14:textId="77777777" w:rsidR="00A866F9" w:rsidRDefault="00D91DBB" w:rsidP="00A866F9">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A palavra termos restritivos foi evidenciada pela empresa Cielo (2015), relatando que "estabeleceu termos restritivos (i) à contratação de novas dívidas".  Já a empresa </w:t>
      </w:r>
      <w:proofErr w:type="spellStart"/>
      <w:r w:rsidRPr="008D21FB">
        <w:rPr>
          <w:rFonts w:ascii="Times New Roman" w:hAnsi="Times New Roman" w:cs="Times New Roman"/>
          <w:sz w:val="24"/>
          <w:szCs w:val="24"/>
        </w:rPr>
        <w:t>Cyrela</w:t>
      </w:r>
      <w:proofErr w:type="spellEnd"/>
      <w:r w:rsidRPr="008D21FB">
        <w:rPr>
          <w:rFonts w:ascii="Times New Roman" w:hAnsi="Times New Roman" w:cs="Times New Roman"/>
          <w:sz w:val="24"/>
          <w:szCs w:val="24"/>
        </w:rPr>
        <w:t xml:space="preserve"> </w:t>
      </w:r>
      <w:proofErr w:type="spellStart"/>
      <w:r w:rsidRPr="008D21FB">
        <w:rPr>
          <w:rFonts w:ascii="Times New Roman" w:hAnsi="Times New Roman" w:cs="Times New Roman"/>
          <w:sz w:val="24"/>
          <w:szCs w:val="24"/>
        </w:rPr>
        <w:t>Commercial</w:t>
      </w:r>
      <w:proofErr w:type="spellEnd"/>
      <w:r w:rsidRPr="008D21FB">
        <w:rPr>
          <w:rFonts w:ascii="Times New Roman" w:hAnsi="Times New Roman" w:cs="Times New Roman"/>
          <w:sz w:val="24"/>
          <w:szCs w:val="24"/>
        </w:rPr>
        <w:t xml:space="preserve"> (2015) relatou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financeiros e não </w:t>
      </w:r>
      <w:r w:rsidR="007C1176" w:rsidRPr="008D21FB">
        <w:rPr>
          <w:rFonts w:ascii="Times New Roman" w:hAnsi="Times New Roman" w:cs="Times New Roman"/>
          <w:sz w:val="24"/>
          <w:szCs w:val="24"/>
        </w:rPr>
        <w:t>financeiros</w:t>
      </w:r>
      <w:r w:rsidRPr="008D21FB">
        <w:rPr>
          <w:rFonts w:ascii="Times New Roman" w:hAnsi="Times New Roman" w:cs="Times New Roman"/>
          <w:sz w:val="24"/>
          <w:szCs w:val="24"/>
        </w:rPr>
        <w:t xml:space="preserve"> da seguinte forma: "além desses compromissos financeiros, existem outros compromissos assumidos, entre os quais, relacionados aos eventos: (i) Alterações na estrutura societária, tais como fusões, cisões e incorporações".</w:t>
      </w:r>
      <w:bookmarkStart w:id="78" w:name="_Toc453515923"/>
    </w:p>
    <w:p w14:paraId="23B89887" w14:textId="77777777" w:rsidR="00D91DBB" w:rsidRPr="00A866F9" w:rsidRDefault="00D91DBB" w:rsidP="00A866F9">
      <w:pPr>
        <w:pStyle w:val="Ttulo2"/>
        <w:rPr>
          <w:rFonts w:ascii="Times New Roman" w:hAnsi="Times New Roman" w:cs="Times New Roman"/>
          <w:b w:val="0"/>
          <w:color w:val="auto"/>
          <w:sz w:val="24"/>
          <w:szCs w:val="24"/>
        </w:rPr>
      </w:pPr>
      <w:bookmarkStart w:id="79" w:name="_Toc455057042"/>
      <w:r w:rsidRPr="00A866F9">
        <w:rPr>
          <w:rFonts w:ascii="Times New Roman" w:hAnsi="Times New Roman" w:cs="Times New Roman"/>
          <w:b w:val="0"/>
          <w:color w:val="auto"/>
          <w:kern w:val="1"/>
          <w:sz w:val="24"/>
          <w:szCs w:val="24"/>
        </w:rPr>
        <w:t xml:space="preserve">4.2 </w:t>
      </w:r>
      <w:r w:rsidR="00F24312" w:rsidRPr="00A866F9">
        <w:rPr>
          <w:rFonts w:ascii="Times New Roman" w:hAnsi="Times New Roman" w:cs="Times New Roman"/>
          <w:b w:val="0"/>
          <w:color w:val="auto"/>
          <w:kern w:val="1"/>
          <w:sz w:val="24"/>
          <w:szCs w:val="24"/>
        </w:rPr>
        <w:t xml:space="preserve">Classificação dos </w:t>
      </w:r>
      <w:proofErr w:type="spellStart"/>
      <w:r w:rsidR="00F24312" w:rsidRPr="00A866F9">
        <w:rPr>
          <w:rFonts w:ascii="Times New Roman" w:hAnsi="Times New Roman" w:cs="Times New Roman"/>
          <w:b w:val="0"/>
          <w:i/>
          <w:color w:val="auto"/>
          <w:kern w:val="1"/>
          <w:sz w:val="24"/>
          <w:szCs w:val="24"/>
        </w:rPr>
        <w:t>Covenants</w:t>
      </w:r>
      <w:proofErr w:type="spellEnd"/>
      <w:r w:rsidR="007C1176">
        <w:rPr>
          <w:rFonts w:ascii="Times New Roman" w:hAnsi="Times New Roman" w:cs="Times New Roman"/>
          <w:b w:val="0"/>
          <w:color w:val="auto"/>
          <w:kern w:val="1"/>
          <w:sz w:val="24"/>
          <w:szCs w:val="24"/>
        </w:rPr>
        <w:t xml:space="preserve"> f</w:t>
      </w:r>
      <w:r w:rsidR="00F24312" w:rsidRPr="00A866F9">
        <w:rPr>
          <w:rFonts w:ascii="Times New Roman" w:hAnsi="Times New Roman" w:cs="Times New Roman"/>
          <w:b w:val="0"/>
          <w:color w:val="auto"/>
          <w:kern w:val="1"/>
          <w:sz w:val="24"/>
          <w:szCs w:val="24"/>
        </w:rPr>
        <w:t xml:space="preserve">inanceiros e </w:t>
      </w:r>
      <w:bookmarkEnd w:id="78"/>
      <w:bookmarkEnd w:id="79"/>
      <w:r w:rsidR="007C1176" w:rsidRPr="00A866F9">
        <w:rPr>
          <w:rFonts w:ascii="Times New Roman" w:hAnsi="Times New Roman" w:cs="Times New Roman"/>
          <w:b w:val="0"/>
          <w:color w:val="auto"/>
          <w:kern w:val="1"/>
          <w:sz w:val="24"/>
          <w:szCs w:val="24"/>
        </w:rPr>
        <w:t>não financeiros</w:t>
      </w:r>
      <w:r w:rsidR="00F24312" w:rsidRPr="00A866F9">
        <w:rPr>
          <w:rFonts w:ascii="Times New Roman" w:hAnsi="Times New Roman" w:cs="Times New Roman"/>
          <w:b w:val="0"/>
          <w:i/>
          <w:color w:val="auto"/>
          <w:kern w:val="1"/>
          <w:sz w:val="24"/>
          <w:szCs w:val="24"/>
        </w:rPr>
        <w:t xml:space="preserve"> </w:t>
      </w:r>
    </w:p>
    <w:p w14:paraId="7BC02C36" w14:textId="77777777" w:rsidR="00D91DBB" w:rsidRPr="008D21FB" w:rsidRDefault="00D91DBB" w:rsidP="00146956">
      <w:pPr>
        <w:pStyle w:val="Estilo2"/>
        <w:spacing w:line="240" w:lineRule="auto"/>
        <w:outlineLvl w:val="1"/>
        <w:rPr>
          <w:rFonts w:ascii="Times New Roman" w:hAnsi="Times New Roman" w:cs="Times New Roman"/>
          <w:kern w:val="1"/>
          <w:sz w:val="24"/>
          <w:szCs w:val="24"/>
        </w:rPr>
      </w:pPr>
    </w:p>
    <w:p w14:paraId="166D042A" w14:textId="77777777" w:rsidR="00D91DBB" w:rsidRPr="008D21FB" w:rsidRDefault="00D91DBB" w:rsidP="00146956">
      <w:pPr>
        <w:spacing w:line="240" w:lineRule="auto"/>
        <w:ind w:firstLine="709"/>
        <w:jc w:val="both"/>
        <w:rPr>
          <w:rFonts w:ascii="Times New Roman" w:hAnsi="Times New Roman" w:cs="Times New Roman"/>
          <w:sz w:val="24"/>
          <w:szCs w:val="24"/>
          <w:lang w:eastAsia="ar-SA"/>
        </w:rPr>
      </w:pPr>
      <w:r w:rsidRPr="008D21FB">
        <w:rPr>
          <w:rFonts w:ascii="Times New Roman" w:hAnsi="Times New Roman" w:cs="Times New Roman"/>
          <w:sz w:val="24"/>
          <w:szCs w:val="24"/>
          <w:lang w:eastAsia="ar-SA"/>
        </w:rPr>
        <w:t xml:space="preserve">No ano de 2014, dentre as empresas da amostra dessa pesquisa, há empresas que possuem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financeiros e não possuem outras cláusulas restritivas, como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não financeiros ou restrições contratuais que não estabelecem em suas cláusulas índices contábeis, e vice-versa.</w:t>
      </w:r>
    </w:p>
    <w:p w14:paraId="6F456C23" w14:textId="77777777" w:rsidR="00D91DBB" w:rsidRPr="008D21FB" w:rsidRDefault="00D91DBB" w:rsidP="00146956">
      <w:pPr>
        <w:spacing w:line="240" w:lineRule="auto"/>
        <w:ind w:firstLine="567"/>
        <w:jc w:val="both"/>
        <w:rPr>
          <w:rFonts w:ascii="Times New Roman" w:hAnsi="Times New Roman" w:cs="Times New Roman"/>
          <w:sz w:val="24"/>
          <w:szCs w:val="24"/>
          <w:lang w:eastAsia="ar-SA"/>
        </w:rPr>
      </w:pPr>
      <w:r w:rsidRPr="008D21FB">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ab/>
      </w:r>
      <w:r w:rsidRPr="008D21FB">
        <w:rPr>
          <w:rFonts w:ascii="Times New Roman" w:hAnsi="Times New Roman" w:cs="Times New Roman"/>
          <w:sz w:val="24"/>
          <w:szCs w:val="24"/>
          <w:lang w:eastAsia="ar-SA"/>
        </w:rPr>
        <w:t>Conforme declaração da empresa Raia Drogasil (2015) em seu formulário de referência "A mensuração dos "</w:t>
      </w:r>
      <w:proofErr w:type="spellStart"/>
      <w:r w:rsidRPr="008D21FB">
        <w:rPr>
          <w:rFonts w:ascii="Times New Roman" w:hAnsi="Times New Roman" w:cs="Times New Roman"/>
          <w:sz w:val="24"/>
          <w:szCs w:val="24"/>
          <w:lang w:eastAsia="ar-SA"/>
        </w:rPr>
        <w:t>covenants</w:t>
      </w:r>
      <w:proofErr w:type="spellEnd"/>
      <w:r w:rsidRPr="008D21FB">
        <w:rPr>
          <w:rFonts w:ascii="Times New Roman" w:hAnsi="Times New Roman" w:cs="Times New Roman"/>
          <w:sz w:val="24"/>
          <w:szCs w:val="24"/>
          <w:lang w:eastAsia="ar-SA"/>
        </w:rPr>
        <w:t xml:space="preserve">" é anual e, em 31 de dezembro de 2014, 2013 e 2012 não houve descumprimento às referidas exigências. (…) A Companhia não possui contratos condicionados ao cumprimento de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não financeiros.". Percebe-se, portanto, que as empresas podem estar sujeitas apenas a um tipo de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w:t>
      </w:r>
    </w:p>
    <w:p w14:paraId="55527359" w14:textId="77777777" w:rsidR="00F24312" w:rsidRDefault="00D91DBB" w:rsidP="00F24312">
      <w:pPr>
        <w:spacing w:line="240" w:lineRule="auto"/>
        <w:ind w:firstLine="709"/>
        <w:jc w:val="both"/>
        <w:rPr>
          <w:rFonts w:ascii="Times New Roman" w:hAnsi="Times New Roman" w:cs="Times New Roman"/>
          <w:sz w:val="24"/>
          <w:szCs w:val="24"/>
          <w:lang w:eastAsia="ar-SA"/>
        </w:rPr>
      </w:pPr>
      <w:r w:rsidRPr="008D21FB">
        <w:rPr>
          <w:rFonts w:ascii="Times New Roman" w:hAnsi="Times New Roman" w:cs="Times New Roman"/>
          <w:sz w:val="24"/>
          <w:szCs w:val="24"/>
          <w:lang w:eastAsia="ar-SA"/>
        </w:rPr>
        <w:t xml:space="preserve">Em razão disso, buscando responder os objetivos à que se propõe este estudo, a análise das características dos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financeiros e outras cláusulas restritivas não financeiras, ocorreu conform</w:t>
      </w:r>
      <w:r>
        <w:rPr>
          <w:rFonts w:ascii="Times New Roman" w:hAnsi="Times New Roman" w:cs="Times New Roman"/>
          <w:sz w:val="24"/>
          <w:szCs w:val="24"/>
          <w:lang w:eastAsia="ar-SA"/>
        </w:rPr>
        <w:t xml:space="preserve">e dados da amostra indicado </w:t>
      </w:r>
      <w:r w:rsidRPr="001F1687">
        <w:rPr>
          <w:rFonts w:ascii="Times New Roman" w:hAnsi="Times New Roman" w:cs="Times New Roman"/>
          <w:sz w:val="24"/>
          <w:szCs w:val="24"/>
          <w:lang w:eastAsia="ar-SA"/>
        </w:rPr>
        <w:t>na Tabela 3</w:t>
      </w:r>
      <w:r>
        <w:rPr>
          <w:rFonts w:ascii="Times New Roman" w:hAnsi="Times New Roman" w:cs="Times New Roman"/>
          <w:sz w:val="24"/>
          <w:szCs w:val="24"/>
          <w:lang w:eastAsia="ar-SA"/>
        </w:rPr>
        <w:t>.</w:t>
      </w:r>
      <w:r w:rsidR="00F24312">
        <w:rPr>
          <w:rFonts w:ascii="Times New Roman" w:hAnsi="Times New Roman" w:cs="Times New Roman"/>
          <w:sz w:val="24"/>
          <w:szCs w:val="24"/>
          <w:lang w:eastAsia="ar-SA"/>
        </w:rPr>
        <w:t xml:space="preserve"> </w:t>
      </w:r>
    </w:p>
    <w:p w14:paraId="57200841" w14:textId="77777777" w:rsidR="00D91DBB" w:rsidRPr="008D21FB" w:rsidRDefault="00F24312" w:rsidP="00146956">
      <w:pPr>
        <w:spacing w:line="240" w:lineRule="auto"/>
        <w:ind w:firstLine="709"/>
        <w:jc w:val="both"/>
        <w:rPr>
          <w:rFonts w:ascii="Times New Roman" w:hAnsi="Times New Roman" w:cs="Times New Roman"/>
          <w:sz w:val="24"/>
          <w:szCs w:val="24"/>
          <w:lang w:eastAsia="ar-SA"/>
        </w:rPr>
      </w:pPr>
      <w:r w:rsidRPr="008D21FB">
        <w:rPr>
          <w:rFonts w:ascii="Times New Roman" w:hAnsi="Times New Roman" w:cs="Times New Roman"/>
          <w:sz w:val="24"/>
          <w:szCs w:val="24"/>
          <w:lang w:eastAsia="ar-SA"/>
        </w:rPr>
        <w:t xml:space="preserve">A tabela apresenta a quantidade de empresas que informaram algum tipo de cláusula restritiva e a separação conforme a classificação dessas restrições.  Das 112 empresas da análise, em média 24% (27 empresas) não informaram se havia algum tipo de restrição não financeira, enquanto cerca de 13% (14 empresas) não apresentaram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financeiros. A partir disso, pode-se afirmar que os contratos de dívida estabelecem, preferencialmente, cláusulas de </w:t>
      </w:r>
      <w:proofErr w:type="spellStart"/>
      <w:r w:rsidRPr="008D21FB">
        <w:rPr>
          <w:rFonts w:ascii="Times New Roman" w:hAnsi="Times New Roman" w:cs="Times New Roman"/>
          <w:i/>
          <w:sz w:val="24"/>
          <w:szCs w:val="24"/>
          <w:lang w:eastAsia="ar-SA"/>
        </w:rPr>
        <w:t>covenants</w:t>
      </w:r>
      <w:proofErr w:type="spellEnd"/>
      <w:r w:rsidRPr="008D21FB">
        <w:rPr>
          <w:rFonts w:ascii="Times New Roman" w:hAnsi="Times New Roman" w:cs="Times New Roman"/>
          <w:sz w:val="24"/>
          <w:szCs w:val="24"/>
          <w:lang w:eastAsia="ar-SA"/>
        </w:rPr>
        <w:t xml:space="preserve"> financeiros.</w:t>
      </w:r>
    </w:p>
    <w:p w14:paraId="02E9872D" w14:textId="77777777" w:rsidR="00A866F9" w:rsidRPr="00A866F9" w:rsidRDefault="00A866F9" w:rsidP="00A866F9">
      <w:pPr>
        <w:pStyle w:val="Legenda"/>
        <w:keepNext/>
        <w:jc w:val="center"/>
        <w:rPr>
          <w:rFonts w:ascii="Times New Roman" w:hAnsi="Times New Roman" w:cs="Times New Roman"/>
          <w:b w:val="0"/>
          <w:color w:val="auto"/>
          <w:sz w:val="24"/>
          <w:szCs w:val="24"/>
        </w:rPr>
      </w:pPr>
      <w:r w:rsidRPr="00A866F9">
        <w:rPr>
          <w:rFonts w:ascii="Times New Roman" w:hAnsi="Times New Roman" w:cs="Times New Roman"/>
          <w:b w:val="0"/>
          <w:color w:val="auto"/>
          <w:sz w:val="24"/>
          <w:szCs w:val="24"/>
        </w:rPr>
        <w:t xml:space="preserve">Tabela </w:t>
      </w:r>
      <w:r w:rsidR="00744BBF" w:rsidRPr="00A866F9">
        <w:rPr>
          <w:rFonts w:ascii="Times New Roman" w:hAnsi="Times New Roman" w:cs="Times New Roman"/>
          <w:b w:val="0"/>
          <w:color w:val="auto"/>
          <w:sz w:val="24"/>
          <w:szCs w:val="24"/>
        </w:rPr>
        <w:fldChar w:fldCharType="begin"/>
      </w:r>
      <w:r w:rsidRPr="00A866F9">
        <w:rPr>
          <w:rFonts w:ascii="Times New Roman" w:hAnsi="Times New Roman" w:cs="Times New Roman"/>
          <w:b w:val="0"/>
          <w:color w:val="auto"/>
          <w:sz w:val="24"/>
          <w:szCs w:val="24"/>
        </w:rPr>
        <w:instrText xml:space="preserve"> SEQ Tabela \* ARABIC </w:instrText>
      </w:r>
      <w:r w:rsidR="00744BBF" w:rsidRPr="00A866F9">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3</w:t>
      </w:r>
      <w:r w:rsidR="00744BBF" w:rsidRPr="00A866F9">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proofErr w:type="spellStart"/>
      <w:r w:rsidR="001F1687" w:rsidRPr="001F1687">
        <w:rPr>
          <w:rFonts w:ascii="Times New Roman" w:hAnsi="Times New Roman" w:cs="Times New Roman"/>
          <w:b w:val="0"/>
          <w:i/>
          <w:color w:val="auto"/>
          <w:sz w:val="24"/>
          <w:szCs w:val="24"/>
        </w:rPr>
        <w:t>Covenants</w:t>
      </w:r>
      <w:proofErr w:type="spellEnd"/>
      <w:r w:rsidR="001F1687">
        <w:rPr>
          <w:rFonts w:ascii="Times New Roman" w:hAnsi="Times New Roman" w:cs="Times New Roman"/>
          <w:b w:val="0"/>
          <w:color w:val="auto"/>
          <w:sz w:val="24"/>
          <w:szCs w:val="24"/>
        </w:rPr>
        <w:t xml:space="preserve"> financeiros e não financeiros</w:t>
      </w:r>
    </w:p>
    <w:tbl>
      <w:tblPr>
        <w:tblStyle w:val="Tabelacomgrade"/>
        <w:tblW w:w="5000" w:type="pct"/>
        <w:jc w:val="center"/>
        <w:tblLook w:val="04A0" w:firstRow="1" w:lastRow="0" w:firstColumn="1" w:lastColumn="0" w:noHBand="0" w:noVBand="1"/>
      </w:tblPr>
      <w:tblGrid>
        <w:gridCol w:w="7195"/>
        <w:gridCol w:w="3509"/>
      </w:tblGrid>
      <w:tr w:rsidR="00F24312" w:rsidRPr="00F24312" w14:paraId="3C22DDB1" w14:textId="77777777" w:rsidTr="00A34149">
        <w:trPr>
          <w:trHeight w:val="300"/>
          <w:jc w:val="center"/>
        </w:trPr>
        <w:tc>
          <w:tcPr>
            <w:tcW w:w="5000" w:type="pct"/>
            <w:gridSpan w:val="2"/>
            <w:tcBorders>
              <w:left w:val="nil"/>
              <w:right w:val="nil"/>
            </w:tcBorders>
            <w:vAlign w:val="center"/>
            <w:hideMark/>
          </w:tcPr>
          <w:p w14:paraId="53F3697E" w14:textId="77777777" w:rsidR="00F24312" w:rsidRPr="00F24312" w:rsidRDefault="00F24312" w:rsidP="00F24312">
            <w:pPr>
              <w:spacing w:line="240" w:lineRule="auto"/>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 xml:space="preserve">Painel A: Quantidade de empresas com </w:t>
            </w:r>
            <w:proofErr w:type="spellStart"/>
            <w:r w:rsidRPr="00F24312">
              <w:rPr>
                <w:rFonts w:ascii="Times New Roman" w:eastAsia="Times New Roman" w:hAnsi="Times New Roman" w:cs="Times New Roman"/>
                <w:b/>
                <w:bCs/>
                <w:i/>
                <w:iCs/>
                <w:color w:val="000000"/>
                <w:sz w:val="20"/>
                <w:szCs w:val="20"/>
                <w:lang w:eastAsia="pt-BR"/>
              </w:rPr>
              <w:t>covenants</w:t>
            </w:r>
            <w:proofErr w:type="spellEnd"/>
            <w:r w:rsidRPr="00F24312">
              <w:rPr>
                <w:rFonts w:ascii="Times New Roman" w:eastAsia="Times New Roman" w:hAnsi="Times New Roman" w:cs="Times New Roman"/>
                <w:b/>
                <w:bCs/>
                <w:color w:val="000000"/>
                <w:sz w:val="20"/>
                <w:szCs w:val="20"/>
                <w:lang w:eastAsia="pt-BR"/>
              </w:rPr>
              <w:t xml:space="preserve"> financeiros e não financeiros</w:t>
            </w:r>
          </w:p>
        </w:tc>
      </w:tr>
      <w:tr w:rsidR="00F24312" w:rsidRPr="00F24312" w14:paraId="7D8E0B30" w14:textId="77777777" w:rsidTr="00365242">
        <w:trPr>
          <w:trHeight w:val="300"/>
          <w:jc w:val="center"/>
        </w:trPr>
        <w:tc>
          <w:tcPr>
            <w:tcW w:w="3361" w:type="pct"/>
            <w:tcBorders>
              <w:left w:val="nil"/>
              <w:right w:val="nil"/>
            </w:tcBorders>
            <w:noWrap/>
            <w:vAlign w:val="center"/>
            <w:hideMark/>
          </w:tcPr>
          <w:p w14:paraId="209FB4C2"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Objeto de estudo</w:t>
            </w:r>
          </w:p>
        </w:tc>
        <w:tc>
          <w:tcPr>
            <w:tcW w:w="1639" w:type="pct"/>
            <w:tcBorders>
              <w:left w:val="nil"/>
              <w:right w:val="nil"/>
            </w:tcBorders>
            <w:noWrap/>
            <w:vAlign w:val="center"/>
            <w:hideMark/>
          </w:tcPr>
          <w:p w14:paraId="29E627B5"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proofErr w:type="spellStart"/>
            <w:r w:rsidRPr="00F24312">
              <w:rPr>
                <w:rFonts w:ascii="Times New Roman" w:eastAsia="Times New Roman" w:hAnsi="Times New Roman" w:cs="Times New Roman"/>
                <w:b/>
                <w:bCs/>
                <w:color w:val="000000"/>
                <w:sz w:val="20"/>
                <w:szCs w:val="20"/>
                <w:lang w:eastAsia="pt-BR"/>
              </w:rPr>
              <w:t>Qtd</w:t>
            </w:r>
            <w:proofErr w:type="spellEnd"/>
          </w:p>
        </w:tc>
      </w:tr>
      <w:tr w:rsidR="00F24312" w:rsidRPr="00F24312" w14:paraId="41C75DB4" w14:textId="77777777" w:rsidTr="00365242">
        <w:trPr>
          <w:trHeight w:val="288"/>
          <w:jc w:val="center"/>
        </w:trPr>
        <w:tc>
          <w:tcPr>
            <w:tcW w:w="3361" w:type="pct"/>
            <w:tcBorders>
              <w:left w:val="nil"/>
              <w:bottom w:val="nil"/>
              <w:right w:val="nil"/>
            </w:tcBorders>
            <w:noWrap/>
            <w:vAlign w:val="center"/>
            <w:hideMark/>
          </w:tcPr>
          <w:p w14:paraId="4D5038BB"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 xml:space="preserve">Empresas com </w:t>
            </w:r>
            <w:proofErr w:type="spellStart"/>
            <w:r w:rsidRPr="00F24312">
              <w:rPr>
                <w:rFonts w:ascii="Times New Roman" w:eastAsia="Times New Roman" w:hAnsi="Times New Roman" w:cs="Times New Roman"/>
                <w:i/>
                <w:iCs/>
                <w:color w:val="000000"/>
                <w:sz w:val="20"/>
                <w:szCs w:val="20"/>
                <w:lang w:eastAsia="pt-BR"/>
              </w:rPr>
              <w:t>covenants</w:t>
            </w:r>
            <w:proofErr w:type="spellEnd"/>
          </w:p>
        </w:tc>
        <w:tc>
          <w:tcPr>
            <w:tcW w:w="1639" w:type="pct"/>
            <w:tcBorders>
              <w:left w:val="nil"/>
              <w:bottom w:val="nil"/>
              <w:right w:val="nil"/>
            </w:tcBorders>
            <w:noWrap/>
            <w:vAlign w:val="center"/>
            <w:hideMark/>
          </w:tcPr>
          <w:p w14:paraId="199D475C"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112</w:t>
            </w:r>
          </w:p>
        </w:tc>
      </w:tr>
      <w:tr w:rsidR="00F24312" w:rsidRPr="00F24312" w14:paraId="198E7E1A" w14:textId="77777777" w:rsidTr="00365242">
        <w:trPr>
          <w:trHeight w:val="288"/>
          <w:jc w:val="center"/>
        </w:trPr>
        <w:tc>
          <w:tcPr>
            <w:tcW w:w="3361" w:type="pct"/>
            <w:tcBorders>
              <w:top w:val="nil"/>
              <w:left w:val="nil"/>
              <w:bottom w:val="nil"/>
              <w:right w:val="nil"/>
            </w:tcBorders>
            <w:noWrap/>
            <w:vAlign w:val="center"/>
            <w:hideMark/>
          </w:tcPr>
          <w:p w14:paraId="18628E98"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 xml:space="preserve">i. </w:t>
            </w:r>
            <w:r>
              <w:rPr>
                <w:rFonts w:ascii="Times New Roman" w:eastAsia="Times New Roman" w:hAnsi="Times New Roman" w:cs="Times New Roman"/>
                <w:color w:val="000000"/>
                <w:sz w:val="20"/>
                <w:szCs w:val="20"/>
                <w:lang w:eastAsia="pt-BR"/>
              </w:rPr>
              <w:t xml:space="preserve"> </w:t>
            </w:r>
            <w:r w:rsidRPr="00F24312">
              <w:rPr>
                <w:rFonts w:ascii="Times New Roman" w:eastAsia="Times New Roman" w:hAnsi="Times New Roman" w:cs="Times New Roman"/>
                <w:color w:val="000000"/>
                <w:sz w:val="20"/>
                <w:szCs w:val="20"/>
                <w:lang w:eastAsia="pt-BR"/>
              </w:rPr>
              <w:t xml:space="preserve">(-) Não divulgaram </w:t>
            </w:r>
            <w:proofErr w:type="spellStart"/>
            <w:r w:rsidRPr="00F24312">
              <w:rPr>
                <w:rFonts w:ascii="Times New Roman" w:eastAsia="Times New Roman" w:hAnsi="Times New Roman" w:cs="Times New Roman"/>
                <w:i/>
                <w:iCs/>
                <w:color w:val="000000"/>
                <w:sz w:val="20"/>
                <w:szCs w:val="20"/>
                <w:lang w:eastAsia="pt-BR"/>
              </w:rPr>
              <w:t>covenants</w:t>
            </w:r>
            <w:proofErr w:type="spellEnd"/>
            <w:r w:rsidRPr="00F24312">
              <w:rPr>
                <w:rFonts w:ascii="Times New Roman" w:eastAsia="Times New Roman" w:hAnsi="Times New Roman" w:cs="Times New Roman"/>
                <w:color w:val="000000"/>
                <w:sz w:val="20"/>
                <w:szCs w:val="20"/>
                <w:lang w:eastAsia="pt-BR"/>
              </w:rPr>
              <w:t xml:space="preserve"> financeiros</w:t>
            </w:r>
          </w:p>
        </w:tc>
        <w:tc>
          <w:tcPr>
            <w:tcW w:w="1639" w:type="pct"/>
            <w:tcBorders>
              <w:top w:val="nil"/>
              <w:left w:val="nil"/>
              <w:bottom w:val="nil"/>
              <w:right w:val="nil"/>
            </w:tcBorders>
            <w:noWrap/>
            <w:vAlign w:val="center"/>
            <w:hideMark/>
          </w:tcPr>
          <w:p w14:paraId="18052CA5"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-14</w:t>
            </w:r>
          </w:p>
        </w:tc>
      </w:tr>
      <w:tr w:rsidR="00F24312" w:rsidRPr="00F24312" w14:paraId="0DC85AA8" w14:textId="77777777" w:rsidTr="00365242">
        <w:trPr>
          <w:trHeight w:val="288"/>
          <w:jc w:val="center"/>
        </w:trPr>
        <w:tc>
          <w:tcPr>
            <w:tcW w:w="3361" w:type="pct"/>
            <w:tcBorders>
              <w:top w:val="nil"/>
              <w:left w:val="nil"/>
              <w:bottom w:val="nil"/>
              <w:right w:val="nil"/>
            </w:tcBorders>
            <w:noWrap/>
            <w:vAlign w:val="center"/>
            <w:hideMark/>
          </w:tcPr>
          <w:p w14:paraId="0A885BDA"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F24312">
              <w:rPr>
                <w:rFonts w:ascii="Times New Roman" w:eastAsia="Times New Roman" w:hAnsi="Times New Roman" w:cs="Times New Roman"/>
                <w:color w:val="000000"/>
                <w:sz w:val="20"/>
                <w:szCs w:val="20"/>
                <w:lang w:eastAsia="pt-BR"/>
              </w:rPr>
              <w:t>(=) Empresas da análise financeira</w:t>
            </w:r>
          </w:p>
        </w:tc>
        <w:tc>
          <w:tcPr>
            <w:tcW w:w="1639" w:type="pct"/>
            <w:tcBorders>
              <w:top w:val="nil"/>
              <w:left w:val="nil"/>
              <w:bottom w:val="nil"/>
              <w:right w:val="nil"/>
            </w:tcBorders>
            <w:noWrap/>
            <w:vAlign w:val="center"/>
            <w:hideMark/>
          </w:tcPr>
          <w:p w14:paraId="2C387AB6"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98</w:t>
            </w:r>
          </w:p>
        </w:tc>
      </w:tr>
      <w:tr w:rsidR="00F24312" w:rsidRPr="00F24312" w14:paraId="1B586E54" w14:textId="77777777" w:rsidTr="00365242">
        <w:trPr>
          <w:trHeight w:val="288"/>
          <w:jc w:val="center"/>
        </w:trPr>
        <w:tc>
          <w:tcPr>
            <w:tcW w:w="3361" w:type="pct"/>
            <w:tcBorders>
              <w:top w:val="nil"/>
              <w:left w:val="nil"/>
              <w:bottom w:val="nil"/>
              <w:right w:val="nil"/>
            </w:tcBorders>
            <w:noWrap/>
            <w:vAlign w:val="center"/>
            <w:hideMark/>
          </w:tcPr>
          <w:p w14:paraId="5A4A9DE5"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proofErr w:type="spellStart"/>
            <w:r w:rsidRPr="00F24312">
              <w:rPr>
                <w:rFonts w:ascii="Times New Roman" w:eastAsia="Times New Roman" w:hAnsi="Times New Roman" w:cs="Times New Roman"/>
                <w:color w:val="000000"/>
                <w:sz w:val="20"/>
                <w:szCs w:val="20"/>
                <w:lang w:eastAsia="pt-BR"/>
              </w:rPr>
              <w:t>ii</w:t>
            </w:r>
            <w:proofErr w:type="spellEnd"/>
            <w:r w:rsidRPr="00F24312">
              <w:rPr>
                <w:rFonts w:ascii="Times New Roman" w:eastAsia="Times New Roman" w:hAnsi="Times New Roman" w:cs="Times New Roman"/>
                <w:color w:val="000000"/>
                <w:sz w:val="20"/>
                <w:szCs w:val="20"/>
                <w:lang w:eastAsia="pt-BR"/>
              </w:rPr>
              <w:t xml:space="preserve">. (-) Não divulgaram </w:t>
            </w:r>
            <w:proofErr w:type="spellStart"/>
            <w:r w:rsidRPr="00F24312">
              <w:rPr>
                <w:rFonts w:ascii="Times New Roman" w:eastAsia="Times New Roman" w:hAnsi="Times New Roman" w:cs="Times New Roman"/>
                <w:i/>
                <w:iCs/>
                <w:color w:val="000000"/>
                <w:sz w:val="20"/>
                <w:szCs w:val="20"/>
                <w:lang w:eastAsia="pt-BR"/>
              </w:rPr>
              <w:t>covenants</w:t>
            </w:r>
            <w:proofErr w:type="spellEnd"/>
            <w:r w:rsidRPr="00F24312">
              <w:rPr>
                <w:rFonts w:ascii="Times New Roman" w:eastAsia="Times New Roman" w:hAnsi="Times New Roman" w:cs="Times New Roman"/>
                <w:color w:val="000000"/>
                <w:sz w:val="20"/>
                <w:szCs w:val="20"/>
                <w:lang w:eastAsia="pt-BR"/>
              </w:rPr>
              <w:t xml:space="preserve"> não financeiros</w:t>
            </w:r>
          </w:p>
        </w:tc>
        <w:tc>
          <w:tcPr>
            <w:tcW w:w="1639" w:type="pct"/>
            <w:tcBorders>
              <w:top w:val="nil"/>
              <w:left w:val="nil"/>
              <w:bottom w:val="nil"/>
              <w:right w:val="nil"/>
            </w:tcBorders>
            <w:noWrap/>
            <w:vAlign w:val="center"/>
            <w:hideMark/>
          </w:tcPr>
          <w:p w14:paraId="7B98433D"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-27</w:t>
            </w:r>
          </w:p>
        </w:tc>
      </w:tr>
      <w:tr w:rsidR="00F24312" w:rsidRPr="00F24312" w14:paraId="39573307" w14:textId="77777777" w:rsidTr="00365242">
        <w:trPr>
          <w:trHeight w:val="300"/>
          <w:jc w:val="center"/>
        </w:trPr>
        <w:tc>
          <w:tcPr>
            <w:tcW w:w="3361" w:type="pct"/>
            <w:tcBorders>
              <w:top w:val="nil"/>
              <w:left w:val="nil"/>
              <w:right w:val="nil"/>
            </w:tcBorders>
            <w:noWrap/>
            <w:vAlign w:val="center"/>
            <w:hideMark/>
          </w:tcPr>
          <w:p w14:paraId="2A8D4709"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F24312">
              <w:rPr>
                <w:rFonts w:ascii="Times New Roman" w:eastAsia="Times New Roman" w:hAnsi="Times New Roman" w:cs="Times New Roman"/>
                <w:color w:val="000000"/>
                <w:sz w:val="20"/>
                <w:szCs w:val="20"/>
                <w:lang w:eastAsia="pt-BR"/>
              </w:rPr>
              <w:t>(=) Empresas da análise não financeira</w:t>
            </w:r>
          </w:p>
        </w:tc>
        <w:tc>
          <w:tcPr>
            <w:tcW w:w="1639" w:type="pct"/>
            <w:tcBorders>
              <w:top w:val="nil"/>
              <w:left w:val="nil"/>
              <w:right w:val="nil"/>
            </w:tcBorders>
            <w:noWrap/>
            <w:vAlign w:val="center"/>
            <w:hideMark/>
          </w:tcPr>
          <w:p w14:paraId="08EAF8CB"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85</w:t>
            </w:r>
          </w:p>
        </w:tc>
      </w:tr>
      <w:tr w:rsidR="00F24312" w:rsidRPr="00F24312" w14:paraId="7033D3BF" w14:textId="77777777" w:rsidTr="00A34149">
        <w:trPr>
          <w:trHeight w:val="300"/>
          <w:jc w:val="center"/>
        </w:trPr>
        <w:tc>
          <w:tcPr>
            <w:tcW w:w="5000" w:type="pct"/>
            <w:gridSpan w:val="2"/>
            <w:tcBorders>
              <w:left w:val="nil"/>
              <w:right w:val="nil"/>
            </w:tcBorders>
            <w:noWrap/>
            <w:vAlign w:val="center"/>
            <w:hideMark/>
          </w:tcPr>
          <w:p w14:paraId="614D5E9F" w14:textId="77777777" w:rsidR="00F24312" w:rsidRPr="00F24312" w:rsidRDefault="00F24312" w:rsidP="00F24312">
            <w:pPr>
              <w:spacing w:line="240" w:lineRule="auto"/>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 xml:space="preserve">Painel B: Tipos de </w:t>
            </w:r>
            <w:proofErr w:type="spellStart"/>
            <w:r w:rsidRPr="00F24312">
              <w:rPr>
                <w:rFonts w:ascii="Times New Roman" w:eastAsia="Times New Roman" w:hAnsi="Times New Roman" w:cs="Times New Roman"/>
                <w:b/>
                <w:bCs/>
                <w:i/>
                <w:iCs/>
                <w:color w:val="000000"/>
                <w:sz w:val="20"/>
                <w:szCs w:val="20"/>
                <w:lang w:eastAsia="pt-BR"/>
              </w:rPr>
              <w:t>covenants</w:t>
            </w:r>
            <w:proofErr w:type="spellEnd"/>
            <w:r w:rsidRPr="00F24312">
              <w:rPr>
                <w:rFonts w:ascii="Times New Roman" w:eastAsia="Times New Roman" w:hAnsi="Times New Roman" w:cs="Times New Roman"/>
                <w:b/>
                <w:bCs/>
                <w:color w:val="000000"/>
                <w:sz w:val="20"/>
                <w:szCs w:val="20"/>
                <w:lang w:eastAsia="pt-BR"/>
              </w:rPr>
              <w:t xml:space="preserve"> financeiros relacionados às demonstrações contábeis</w:t>
            </w:r>
          </w:p>
        </w:tc>
      </w:tr>
      <w:tr w:rsidR="00F24312" w:rsidRPr="00F24312" w14:paraId="2B074E04" w14:textId="77777777" w:rsidTr="00365242">
        <w:trPr>
          <w:trHeight w:val="300"/>
          <w:jc w:val="center"/>
        </w:trPr>
        <w:tc>
          <w:tcPr>
            <w:tcW w:w="3361" w:type="pct"/>
            <w:tcBorders>
              <w:left w:val="nil"/>
              <w:right w:val="nil"/>
            </w:tcBorders>
            <w:noWrap/>
            <w:vAlign w:val="center"/>
            <w:hideMark/>
          </w:tcPr>
          <w:p w14:paraId="0F4F4C5D"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Demonstração Contábil</w:t>
            </w:r>
          </w:p>
        </w:tc>
        <w:tc>
          <w:tcPr>
            <w:tcW w:w="1639" w:type="pct"/>
            <w:tcBorders>
              <w:left w:val="nil"/>
              <w:right w:val="nil"/>
            </w:tcBorders>
            <w:noWrap/>
            <w:vAlign w:val="center"/>
            <w:hideMark/>
          </w:tcPr>
          <w:p w14:paraId="70313691"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proofErr w:type="spellStart"/>
            <w:r w:rsidRPr="00F24312">
              <w:rPr>
                <w:rFonts w:ascii="Times New Roman" w:eastAsia="Times New Roman" w:hAnsi="Times New Roman" w:cs="Times New Roman"/>
                <w:b/>
                <w:bCs/>
                <w:color w:val="000000"/>
                <w:sz w:val="20"/>
                <w:szCs w:val="20"/>
                <w:lang w:eastAsia="pt-BR"/>
              </w:rPr>
              <w:t>Qtde</w:t>
            </w:r>
            <w:proofErr w:type="spellEnd"/>
          </w:p>
        </w:tc>
      </w:tr>
      <w:tr w:rsidR="00F24312" w:rsidRPr="00F24312" w14:paraId="36882660" w14:textId="77777777" w:rsidTr="00365242">
        <w:trPr>
          <w:trHeight w:val="288"/>
          <w:jc w:val="center"/>
        </w:trPr>
        <w:tc>
          <w:tcPr>
            <w:tcW w:w="3361" w:type="pct"/>
            <w:tcBorders>
              <w:left w:val="nil"/>
              <w:bottom w:val="nil"/>
              <w:right w:val="nil"/>
            </w:tcBorders>
            <w:noWrap/>
            <w:vAlign w:val="center"/>
            <w:hideMark/>
          </w:tcPr>
          <w:p w14:paraId="5248B450"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Balanço Patrimonial</w:t>
            </w:r>
          </w:p>
        </w:tc>
        <w:tc>
          <w:tcPr>
            <w:tcW w:w="1639" w:type="pct"/>
            <w:tcBorders>
              <w:left w:val="nil"/>
              <w:bottom w:val="nil"/>
              <w:right w:val="nil"/>
            </w:tcBorders>
            <w:noWrap/>
            <w:vAlign w:val="center"/>
            <w:hideMark/>
          </w:tcPr>
          <w:p w14:paraId="4A3A3821"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77</w:t>
            </w:r>
          </w:p>
        </w:tc>
      </w:tr>
      <w:tr w:rsidR="00F24312" w:rsidRPr="00F24312" w14:paraId="2AB235A3" w14:textId="77777777" w:rsidTr="00365242">
        <w:trPr>
          <w:trHeight w:val="288"/>
          <w:jc w:val="center"/>
        </w:trPr>
        <w:tc>
          <w:tcPr>
            <w:tcW w:w="3361" w:type="pct"/>
            <w:tcBorders>
              <w:top w:val="nil"/>
              <w:left w:val="nil"/>
              <w:bottom w:val="nil"/>
              <w:right w:val="nil"/>
            </w:tcBorders>
            <w:noWrap/>
            <w:vAlign w:val="center"/>
            <w:hideMark/>
          </w:tcPr>
          <w:p w14:paraId="2035094B"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Demonstração do Resultado</w:t>
            </w:r>
          </w:p>
        </w:tc>
        <w:tc>
          <w:tcPr>
            <w:tcW w:w="1639" w:type="pct"/>
            <w:tcBorders>
              <w:top w:val="nil"/>
              <w:left w:val="nil"/>
              <w:bottom w:val="nil"/>
              <w:right w:val="nil"/>
            </w:tcBorders>
            <w:noWrap/>
            <w:vAlign w:val="center"/>
            <w:hideMark/>
          </w:tcPr>
          <w:p w14:paraId="2DB2429C"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19</w:t>
            </w:r>
          </w:p>
        </w:tc>
      </w:tr>
      <w:tr w:rsidR="00F24312" w:rsidRPr="00F24312" w14:paraId="02204D34" w14:textId="77777777" w:rsidTr="00365242">
        <w:trPr>
          <w:trHeight w:val="300"/>
          <w:jc w:val="center"/>
        </w:trPr>
        <w:tc>
          <w:tcPr>
            <w:tcW w:w="3361" w:type="pct"/>
            <w:tcBorders>
              <w:top w:val="nil"/>
              <w:left w:val="nil"/>
              <w:right w:val="nil"/>
            </w:tcBorders>
            <w:noWrap/>
            <w:vAlign w:val="center"/>
            <w:hideMark/>
          </w:tcPr>
          <w:p w14:paraId="11C07553" w14:textId="77777777" w:rsidR="00F24312" w:rsidRPr="00F24312" w:rsidRDefault="00F24312" w:rsidP="00F24312">
            <w:pPr>
              <w:spacing w:line="240" w:lineRule="auto"/>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Híbridos</w:t>
            </w:r>
          </w:p>
        </w:tc>
        <w:tc>
          <w:tcPr>
            <w:tcW w:w="1639" w:type="pct"/>
            <w:tcBorders>
              <w:top w:val="nil"/>
              <w:left w:val="nil"/>
              <w:right w:val="nil"/>
            </w:tcBorders>
            <w:noWrap/>
            <w:vAlign w:val="center"/>
            <w:hideMark/>
          </w:tcPr>
          <w:p w14:paraId="1F61B317" w14:textId="77777777" w:rsidR="00F24312" w:rsidRPr="00F24312" w:rsidRDefault="00F24312" w:rsidP="00F24312">
            <w:pPr>
              <w:spacing w:line="240" w:lineRule="auto"/>
              <w:jc w:val="center"/>
              <w:rPr>
                <w:rFonts w:ascii="Times New Roman" w:eastAsia="Times New Roman" w:hAnsi="Times New Roman" w:cs="Times New Roman"/>
                <w:color w:val="000000"/>
                <w:sz w:val="20"/>
                <w:szCs w:val="20"/>
                <w:lang w:eastAsia="pt-BR"/>
              </w:rPr>
            </w:pPr>
            <w:r w:rsidRPr="00F24312">
              <w:rPr>
                <w:rFonts w:ascii="Times New Roman" w:eastAsia="Times New Roman" w:hAnsi="Times New Roman" w:cs="Times New Roman"/>
                <w:color w:val="000000"/>
                <w:sz w:val="20"/>
                <w:szCs w:val="20"/>
                <w:lang w:eastAsia="pt-BR"/>
              </w:rPr>
              <w:t>43</w:t>
            </w:r>
          </w:p>
        </w:tc>
      </w:tr>
      <w:tr w:rsidR="00F24312" w:rsidRPr="00F24312" w14:paraId="042AF25D" w14:textId="77777777" w:rsidTr="00365242">
        <w:trPr>
          <w:trHeight w:val="300"/>
          <w:jc w:val="center"/>
        </w:trPr>
        <w:tc>
          <w:tcPr>
            <w:tcW w:w="3361" w:type="pct"/>
            <w:tcBorders>
              <w:left w:val="nil"/>
              <w:right w:val="nil"/>
            </w:tcBorders>
            <w:noWrap/>
            <w:vAlign w:val="center"/>
            <w:hideMark/>
          </w:tcPr>
          <w:p w14:paraId="2C3E812F"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Total</w:t>
            </w:r>
          </w:p>
        </w:tc>
        <w:tc>
          <w:tcPr>
            <w:tcW w:w="1639" w:type="pct"/>
            <w:tcBorders>
              <w:left w:val="nil"/>
              <w:right w:val="nil"/>
            </w:tcBorders>
            <w:noWrap/>
            <w:vAlign w:val="center"/>
            <w:hideMark/>
          </w:tcPr>
          <w:p w14:paraId="74EEB1E1" w14:textId="77777777" w:rsidR="00F24312" w:rsidRPr="00F24312" w:rsidRDefault="00F24312" w:rsidP="00F24312">
            <w:pPr>
              <w:spacing w:line="240" w:lineRule="auto"/>
              <w:jc w:val="center"/>
              <w:rPr>
                <w:rFonts w:ascii="Times New Roman" w:eastAsia="Times New Roman" w:hAnsi="Times New Roman" w:cs="Times New Roman"/>
                <w:b/>
                <w:bCs/>
                <w:color w:val="000000"/>
                <w:sz w:val="20"/>
                <w:szCs w:val="20"/>
                <w:lang w:eastAsia="pt-BR"/>
              </w:rPr>
            </w:pPr>
            <w:r w:rsidRPr="00F24312">
              <w:rPr>
                <w:rFonts w:ascii="Times New Roman" w:eastAsia="Times New Roman" w:hAnsi="Times New Roman" w:cs="Times New Roman"/>
                <w:b/>
                <w:bCs/>
                <w:color w:val="000000"/>
                <w:sz w:val="20"/>
                <w:szCs w:val="20"/>
                <w:lang w:eastAsia="pt-BR"/>
              </w:rPr>
              <w:t>139</w:t>
            </w:r>
          </w:p>
        </w:tc>
      </w:tr>
    </w:tbl>
    <w:p w14:paraId="7EA0835E" w14:textId="77777777" w:rsidR="00A34149" w:rsidRDefault="00A34149" w:rsidP="00A34149">
      <w:pPr>
        <w:spacing w:after="120" w:line="240" w:lineRule="auto"/>
        <w:jc w:val="center"/>
        <w:rPr>
          <w:rFonts w:ascii="Times New Roman" w:eastAsia="Times New Roman" w:hAnsi="Times New Roman" w:cs="Times New Roman"/>
          <w:color w:val="000000"/>
          <w:sz w:val="20"/>
          <w:szCs w:val="20"/>
          <w:lang w:eastAsia="pt-BR"/>
        </w:rPr>
      </w:pPr>
      <w:r w:rsidRPr="00A34149">
        <w:rPr>
          <w:rFonts w:ascii="Times New Roman" w:eastAsia="Times New Roman" w:hAnsi="Times New Roman" w:cs="Times New Roman"/>
          <w:b/>
          <w:color w:val="000000"/>
          <w:sz w:val="20"/>
          <w:szCs w:val="20"/>
          <w:lang w:eastAsia="pt-BR"/>
        </w:rPr>
        <w:t>Fonte:</w:t>
      </w:r>
      <w:r w:rsidRPr="008D21FB">
        <w:rPr>
          <w:rFonts w:ascii="Times New Roman" w:eastAsia="Times New Roman" w:hAnsi="Times New Roman" w:cs="Times New Roman"/>
          <w:color w:val="000000"/>
          <w:sz w:val="20"/>
          <w:szCs w:val="20"/>
          <w:lang w:eastAsia="pt-BR"/>
        </w:rPr>
        <w:t xml:space="preserve"> </w:t>
      </w:r>
      <w:r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dos dados da pesquisa (2016)</w:t>
      </w:r>
    </w:p>
    <w:p w14:paraId="6EDCA615" w14:textId="77777777" w:rsidR="00F24312" w:rsidRPr="008D21FB" w:rsidRDefault="001F1687" w:rsidP="00FB205E">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lang w:eastAsia="ar-SA"/>
        </w:rPr>
        <w:t>Buscou-se</w:t>
      </w:r>
      <w:r w:rsidR="00F24312" w:rsidRPr="008D21FB">
        <w:rPr>
          <w:rFonts w:ascii="Times New Roman" w:hAnsi="Times New Roman" w:cs="Times New Roman"/>
          <w:sz w:val="24"/>
          <w:szCs w:val="24"/>
          <w:lang w:eastAsia="ar-SA"/>
        </w:rPr>
        <w:t xml:space="preserve"> analisar quai</w:t>
      </w:r>
      <w:r>
        <w:rPr>
          <w:rFonts w:ascii="Times New Roman" w:hAnsi="Times New Roman" w:cs="Times New Roman"/>
          <w:sz w:val="24"/>
          <w:szCs w:val="24"/>
          <w:lang w:eastAsia="ar-SA"/>
        </w:rPr>
        <w:t xml:space="preserve">s os tipos, características, e </w:t>
      </w:r>
      <w:r w:rsidR="00F24312" w:rsidRPr="008D21FB">
        <w:rPr>
          <w:rFonts w:ascii="Times New Roman" w:hAnsi="Times New Roman" w:cs="Times New Roman"/>
          <w:sz w:val="24"/>
          <w:szCs w:val="24"/>
          <w:lang w:eastAsia="ar-SA"/>
        </w:rPr>
        <w:t>a importância</w:t>
      </w:r>
      <w:r>
        <w:rPr>
          <w:rFonts w:ascii="Times New Roman" w:hAnsi="Times New Roman" w:cs="Times New Roman"/>
          <w:sz w:val="24"/>
          <w:szCs w:val="24"/>
          <w:lang w:eastAsia="ar-SA"/>
        </w:rPr>
        <w:t xml:space="preserve"> dos </w:t>
      </w:r>
      <w:proofErr w:type="spellStart"/>
      <w:r w:rsidRPr="001F1687">
        <w:rPr>
          <w:rFonts w:ascii="Times New Roman" w:hAnsi="Times New Roman" w:cs="Times New Roman"/>
          <w:i/>
          <w:sz w:val="24"/>
          <w:szCs w:val="24"/>
          <w:lang w:eastAsia="ar-SA"/>
        </w:rPr>
        <w:t>covenants</w:t>
      </w:r>
      <w:proofErr w:type="spellEnd"/>
      <w:r>
        <w:rPr>
          <w:rFonts w:ascii="Times New Roman" w:hAnsi="Times New Roman" w:cs="Times New Roman"/>
          <w:sz w:val="24"/>
          <w:szCs w:val="24"/>
          <w:lang w:eastAsia="ar-SA"/>
        </w:rPr>
        <w:t xml:space="preserve"> nos contratos de dívida. O</w:t>
      </w:r>
      <w:r w:rsidR="00F24312" w:rsidRPr="008D21FB">
        <w:rPr>
          <w:rFonts w:ascii="Times New Roman" w:hAnsi="Times New Roman" w:cs="Times New Roman"/>
          <w:sz w:val="24"/>
          <w:szCs w:val="24"/>
          <w:lang w:eastAsia="ar-SA"/>
        </w:rPr>
        <w:t xml:space="preserve">s </w:t>
      </w:r>
      <w:proofErr w:type="spellStart"/>
      <w:r w:rsidR="00F24312" w:rsidRPr="008D21FB">
        <w:rPr>
          <w:rFonts w:ascii="Times New Roman" w:hAnsi="Times New Roman" w:cs="Times New Roman"/>
          <w:i/>
          <w:sz w:val="24"/>
          <w:szCs w:val="24"/>
          <w:lang w:eastAsia="ar-SA"/>
        </w:rPr>
        <w:t>covenants</w:t>
      </w:r>
      <w:proofErr w:type="spellEnd"/>
      <w:r w:rsidR="00F24312" w:rsidRPr="008D21FB">
        <w:rPr>
          <w:rFonts w:ascii="Times New Roman" w:hAnsi="Times New Roman" w:cs="Times New Roman"/>
          <w:sz w:val="24"/>
          <w:szCs w:val="24"/>
          <w:lang w:eastAsia="ar-SA"/>
        </w:rPr>
        <w:t xml:space="preserve"> financeiros foram separados em três grupos, relacionando-os com a demonstração contá</w:t>
      </w:r>
      <w:r w:rsidR="00F24312">
        <w:rPr>
          <w:rFonts w:ascii="Times New Roman" w:hAnsi="Times New Roman" w:cs="Times New Roman"/>
          <w:sz w:val="24"/>
          <w:szCs w:val="24"/>
          <w:lang w:eastAsia="ar-SA"/>
        </w:rPr>
        <w:t>bil a que se referem, conforme T</w:t>
      </w:r>
      <w:r w:rsidR="00F24312" w:rsidRPr="008D21FB">
        <w:rPr>
          <w:rFonts w:ascii="Times New Roman" w:hAnsi="Times New Roman" w:cs="Times New Roman"/>
          <w:sz w:val="24"/>
          <w:szCs w:val="24"/>
          <w:lang w:eastAsia="ar-SA"/>
        </w:rPr>
        <w:t>abela</w:t>
      </w:r>
      <w:r>
        <w:rPr>
          <w:rFonts w:ascii="Times New Roman" w:hAnsi="Times New Roman" w:cs="Times New Roman"/>
          <w:sz w:val="24"/>
          <w:szCs w:val="24"/>
          <w:lang w:eastAsia="ar-SA"/>
        </w:rPr>
        <w:t xml:space="preserve"> 3.</w:t>
      </w:r>
      <w:r w:rsidR="00FB205E">
        <w:rPr>
          <w:rFonts w:ascii="Times New Roman" w:hAnsi="Times New Roman" w:cs="Times New Roman"/>
          <w:sz w:val="24"/>
          <w:szCs w:val="24"/>
          <w:lang w:eastAsia="ar-SA"/>
        </w:rPr>
        <w:t xml:space="preserve"> </w:t>
      </w:r>
      <w:r w:rsidR="00F24312" w:rsidRPr="008D21FB">
        <w:rPr>
          <w:rFonts w:ascii="Times New Roman" w:hAnsi="Times New Roman" w:cs="Times New Roman"/>
          <w:sz w:val="24"/>
          <w:szCs w:val="24"/>
        </w:rPr>
        <w:t xml:space="preserve">Dos 139 tipos de </w:t>
      </w:r>
      <w:proofErr w:type="spellStart"/>
      <w:r w:rsidR="00F24312" w:rsidRPr="008D21FB">
        <w:rPr>
          <w:rFonts w:ascii="Times New Roman" w:hAnsi="Times New Roman" w:cs="Times New Roman"/>
          <w:i/>
          <w:sz w:val="24"/>
          <w:szCs w:val="24"/>
        </w:rPr>
        <w:t>covenants</w:t>
      </w:r>
      <w:proofErr w:type="spellEnd"/>
      <w:r w:rsidR="00F24312" w:rsidRPr="008D21FB">
        <w:rPr>
          <w:rFonts w:ascii="Times New Roman" w:hAnsi="Times New Roman" w:cs="Times New Roman"/>
          <w:sz w:val="24"/>
          <w:szCs w:val="24"/>
        </w:rPr>
        <w:t xml:space="preserve"> financeiros relatados, conforme a classificação proposta na tabela,</w:t>
      </w:r>
      <w:r w:rsidR="00F24312">
        <w:rPr>
          <w:rFonts w:ascii="Times New Roman" w:hAnsi="Times New Roman" w:cs="Times New Roman"/>
          <w:sz w:val="24"/>
          <w:szCs w:val="24"/>
        </w:rPr>
        <w:t xml:space="preserve"> </w:t>
      </w:r>
      <w:r w:rsidR="00F24312" w:rsidRPr="008D21FB">
        <w:rPr>
          <w:rFonts w:ascii="Times New Roman" w:hAnsi="Times New Roman" w:cs="Times New Roman"/>
          <w:sz w:val="24"/>
          <w:szCs w:val="24"/>
        </w:rPr>
        <w:t>percebe</w:t>
      </w:r>
      <w:r w:rsidR="00FB205E">
        <w:rPr>
          <w:rFonts w:ascii="Times New Roman" w:hAnsi="Times New Roman" w:cs="Times New Roman"/>
          <w:sz w:val="24"/>
          <w:szCs w:val="24"/>
        </w:rPr>
        <w:t>u</w:t>
      </w:r>
      <w:r w:rsidR="00F24312" w:rsidRPr="008D21FB">
        <w:rPr>
          <w:rFonts w:ascii="Times New Roman" w:hAnsi="Times New Roman" w:cs="Times New Roman"/>
          <w:sz w:val="24"/>
          <w:szCs w:val="24"/>
        </w:rPr>
        <w:t xml:space="preserve">-se </w:t>
      </w:r>
      <w:r w:rsidR="00FB205E">
        <w:rPr>
          <w:rFonts w:ascii="Times New Roman" w:hAnsi="Times New Roman" w:cs="Times New Roman"/>
          <w:sz w:val="24"/>
          <w:szCs w:val="24"/>
        </w:rPr>
        <w:t xml:space="preserve">que </w:t>
      </w:r>
      <w:r w:rsidR="00F24312" w:rsidRPr="008D21FB">
        <w:rPr>
          <w:rFonts w:ascii="Times New Roman" w:hAnsi="Times New Roman" w:cs="Times New Roman"/>
          <w:sz w:val="24"/>
          <w:szCs w:val="24"/>
        </w:rPr>
        <w:t xml:space="preserve">56% </w:t>
      </w:r>
      <w:r w:rsidR="00FB205E">
        <w:rPr>
          <w:rFonts w:ascii="Times New Roman" w:hAnsi="Times New Roman" w:cs="Times New Roman"/>
          <w:sz w:val="24"/>
          <w:szCs w:val="24"/>
        </w:rPr>
        <w:t>foram</w:t>
      </w:r>
      <w:r w:rsidR="00F24312" w:rsidRPr="008D21FB">
        <w:rPr>
          <w:rFonts w:ascii="Times New Roman" w:hAnsi="Times New Roman" w:cs="Times New Roman"/>
          <w:sz w:val="24"/>
          <w:szCs w:val="24"/>
        </w:rPr>
        <w:t xml:space="preserve"> </w:t>
      </w:r>
      <w:proofErr w:type="spellStart"/>
      <w:r w:rsidR="00F24312" w:rsidRPr="008D21FB">
        <w:rPr>
          <w:rFonts w:ascii="Times New Roman" w:hAnsi="Times New Roman" w:cs="Times New Roman"/>
          <w:i/>
          <w:sz w:val="24"/>
          <w:szCs w:val="24"/>
        </w:rPr>
        <w:t>covenants</w:t>
      </w:r>
      <w:proofErr w:type="spellEnd"/>
      <w:r w:rsidR="00F24312" w:rsidRPr="008D21FB">
        <w:rPr>
          <w:rFonts w:ascii="Times New Roman" w:hAnsi="Times New Roman" w:cs="Times New Roman"/>
          <w:sz w:val="24"/>
          <w:szCs w:val="24"/>
        </w:rPr>
        <w:t xml:space="preserve"> relacionados às contas do Balanço Patrimonial, apresentando 77 tipos de indicadores financeiros. Cerca de 14% dos </w:t>
      </w:r>
      <w:proofErr w:type="spellStart"/>
      <w:r w:rsidR="00F24312" w:rsidRPr="008D21FB">
        <w:rPr>
          <w:rFonts w:ascii="Times New Roman" w:hAnsi="Times New Roman" w:cs="Times New Roman"/>
          <w:i/>
          <w:sz w:val="24"/>
          <w:szCs w:val="24"/>
        </w:rPr>
        <w:t>covenants</w:t>
      </w:r>
      <w:proofErr w:type="spellEnd"/>
      <w:r w:rsidR="00F24312" w:rsidRPr="008D21FB">
        <w:rPr>
          <w:rFonts w:ascii="Times New Roman" w:hAnsi="Times New Roman" w:cs="Times New Roman"/>
          <w:sz w:val="24"/>
          <w:szCs w:val="24"/>
        </w:rPr>
        <w:t xml:space="preserve"> financeiros encontrados estão rela</w:t>
      </w:r>
      <w:r w:rsidR="00F24312">
        <w:rPr>
          <w:rFonts w:ascii="Times New Roman" w:hAnsi="Times New Roman" w:cs="Times New Roman"/>
          <w:sz w:val="24"/>
          <w:szCs w:val="24"/>
        </w:rPr>
        <w:t>cionado</w:t>
      </w:r>
      <w:r w:rsidR="00F24312" w:rsidRPr="008D21FB">
        <w:rPr>
          <w:rFonts w:ascii="Times New Roman" w:hAnsi="Times New Roman" w:cs="Times New Roman"/>
          <w:sz w:val="24"/>
          <w:szCs w:val="24"/>
        </w:rPr>
        <w:t xml:space="preserve">s </w:t>
      </w:r>
      <w:r w:rsidR="00F24312">
        <w:rPr>
          <w:rFonts w:ascii="Times New Roman" w:hAnsi="Times New Roman" w:cs="Times New Roman"/>
          <w:sz w:val="24"/>
          <w:szCs w:val="24"/>
        </w:rPr>
        <w:t xml:space="preserve">com </w:t>
      </w:r>
      <w:r w:rsidR="00F24312" w:rsidRPr="008D21FB">
        <w:rPr>
          <w:rFonts w:ascii="Times New Roman" w:hAnsi="Times New Roman" w:cs="Times New Roman"/>
          <w:sz w:val="24"/>
          <w:szCs w:val="24"/>
        </w:rPr>
        <w:t xml:space="preserve">as contas da Demonstração do Resultado, com 19 índices distintos. E quanto aos </w:t>
      </w:r>
      <w:proofErr w:type="spellStart"/>
      <w:r w:rsidR="00F24312" w:rsidRPr="008D21FB">
        <w:rPr>
          <w:rFonts w:ascii="Times New Roman" w:hAnsi="Times New Roman" w:cs="Times New Roman"/>
          <w:i/>
          <w:sz w:val="24"/>
          <w:szCs w:val="24"/>
        </w:rPr>
        <w:t>covenants</w:t>
      </w:r>
      <w:proofErr w:type="spellEnd"/>
      <w:r w:rsidR="00F24312" w:rsidRPr="008D21FB">
        <w:rPr>
          <w:rFonts w:ascii="Times New Roman" w:hAnsi="Times New Roman" w:cs="Times New Roman"/>
          <w:sz w:val="24"/>
          <w:szCs w:val="24"/>
        </w:rPr>
        <w:t xml:space="preserve"> híbridos, considerados aqui aqueles que em sua forma de cálculo relacionam contas de pelo menos duas demonstrações contábeis, foram encontrados 43 indicadores, aproximadamente 31% do total da amostra. </w:t>
      </w:r>
    </w:p>
    <w:p w14:paraId="21DC5410" w14:textId="77777777" w:rsidR="00A866F9" w:rsidRDefault="00A866F9" w:rsidP="00F24312">
      <w:pPr>
        <w:spacing w:line="240" w:lineRule="auto"/>
        <w:ind w:firstLine="709"/>
        <w:jc w:val="both"/>
        <w:rPr>
          <w:rFonts w:ascii="Times New Roman" w:hAnsi="Times New Roman" w:cs="Times New Roman"/>
          <w:sz w:val="24"/>
          <w:szCs w:val="24"/>
          <w:lang w:eastAsia="ar-SA"/>
        </w:rPr>
      </w:pPr>
      <w:r w:rsidRPr="00652459">
        <w:rPr>
          <w:rFonts w:ascii="Times New Roman" w:hAnsi="Times New Roman" w:cs="Times New Roman"/>
          <w:sz w:val="24"/>
          <w:szCs w:val="24"/>
          <w:lang w:eastAsia="ar-SA"/>
        </w:rPr>
        <w:t>Conforme</w:t>
      </w:r>
      <w:r>
        <w:rPr>
          <w:rFonts w:ascii="Times New Roman" w:hAnsi="Times New Roman" w:cs="Times New Roman"/>
          <w:sz w:val="24"/>
          <w:szCs w:val="24"/>
          <w:lang w:eastAsia="ar-SA"/>
        </w:rPr>
        <w:t xml:space="preserve"> Figura 2</w:t>
      </w:r>
      <w:r w:rsidRPr="00652459">
        <w:rPr>
          <w:rFonts w:ascii="Times New Roman" w:hAnsi="Times New Roman" w:cs="Times New Roman"/>
          <w:sz w:val="24"/>
          <w:szCs w:val="24"/>
          <w:lang w:eastAsia="ar-SA"/>
        </w:rPr>
        <w:t xml:space="preserve">, a empresa </w:t>
      </w:r>
      <w:proofErr w:type="spellStart"/>
      <w:r w:rsidRPr="00652459">
        <w:rPr>
          <w:rFonts w:ascii="Times New Roman" w:hAnsi="Times New Roman" w:cs="Times New Roman"/>
          <w:sz w:val="24"/>
          <w:szCs w:val="24"/>
          <w:lang w:eastAsia="ar-SA"/>
        </w:rPr>
        <w:t>Biosev</w:t>
      </w:r>
      <w:proofErr w:type="spellEnd"/>
      <w:r w:rsidRPr="00652459">
        <w:rPr>
          <w:rFonts w:ascii="Times New Roman" w:hAnsi="Times New Roman" w:cs="Times New Roman"/>
          <w:sz w:val="24"/>
          <w:szCs w:val="24"/>
          <w:lang w:eastAsia="ar-SA"/>
        </w:rPr>
        <w:t xml:space="preserve"> divulgou em seu formulário de referência (2014) os </w:t>
      </w:r>
      <w:proofErr w:type="spellStart"/>
      <w:r w:rsidRPr="00FF5A0C">
        <w:rPr>
          <w:rFonts w:ascii="Times New Roman" w:hAnsi="Times New Roman" w:cs="Times New Roman"/>
          <w:i/>
          <w:sz w:val="24"/>
          <w:szCs w:val="24"/>
          <w:lang w:eastAsia="ar-SA"/>
        </w:rPr>
        <w:t>covenants</w:t>
      </w:r>
      <w:proofErr w:type="spellEnd"/>
      <w:r w:rsidRPr="00652459">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de liquidez corrente, o qual mostra a capacidade de pagamento da empresa no curto prazo, a partir da divisão entre as contas do Balanço Patrimonial, ativo circulante e o passivo circulante. O segundo </w:t>
      </w:r>
      <w:proofErr w:type="spellStart"/>
      <w:r w:rsidRPr="00FF5A0C">
        <w:rPr>
          <w:rFonts w:ascii="Times New Roman" w:hAnsi="Times New Roman" w:cs="Times New Roman"/>
          <w:i/>
          <w:sz w:val="24"/>
          <w:szCs w:val="24"/>
          <w:lang w:eastAsia="ar-SA"/>
        </w:rPr>
        <w:t>covenant</w:t>
      </w:r>
      <w:proofErr w:type="spellEnd"/>
      <w:r>
        <w:rPr>
          <w:rFonts w:ascii="Times New Roman" w:hAnsi="Times New Roman" w:cs="Times New Roman"/>
          <w:sz w:val="24"/>
          <w:szCs w:val="24"/>
          <w:lang w:eastAsia="ar-SA"/>
        </w:rPr>
        <w:t xml:space="preserve"> é o EBITDA sobre despesa financeira líquida, que estão relacionados à Demonstração do Resultado. E a última cláusula, dívida líquida sobre o EBITDA, relaciona uma conta do Balanço Patrimonial (dívida líquida), com o EBITDA, que está relacionado à Demonstração do Resultado.</w:t>
      </w:r>
    </w:p>
    <w:p w14:paraId="1C91BAF6" w14:textId="77777777" w:rsidR="00D91DBB" w:rsidRDefault="00D91DBB" w:rsidP="00146956">
      <w:pPr>
        <w:spacing w:line="240" w:lineRule="auto"/>
        <w:jc w:val="center"/>
        <w:rPr>
          <w:rFonts w:ascii="Times New Roman" w:hAnsi="Times New Roman" w:cs="Times New Roman"/>
          <w:sz w:val="24"/>
          <w:szCs w:val="24"/>
          <w:lang w:eastAsia="ar-SA"/>
        </w:rPr>
      </w:pPr>
      <w:r w:rsidRPr="0045391B">
        <w:rPr>
          <w:rFonts w:ascii="Times New Roman" w:hAnsi="Times New Roman" w:cs="Times New Roman"/>
          <w:noProof/>
          <w:sz w:val="24"/>
          <w:szCs w:val="24"/>
          <w:lang w:eastAsia="pt-BR"/>
        </w:rPr>
        <w:drawing>
          <wp:inline distT="0" distB="0" distL="0" distR="0" wp14:anchorId="13330E96" wp14:editId="28C343DB">
            <wp:extent cx="3978594" cy="897147"/>
            <wp:effectExtent l="19050" t="0" r="2856"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8687" t="39386" r="23346" b="39594"/>
                    <a:stretch>
                      <a:fillRect/>
                    </a:stretch>
                  </pic:blipFill>
                  <pic:spPr bwMode="auto">
                    <a:xfrm>
                      <a:off x="0" y="0"/>
                      <a:ext cx="3978594" cy="897147"/>
                    </a:xfrm>
                    <a:prstGeom prst="rect">
                      <a:avLst/>
                    </a:prstGeom>
                    <a:noFill/>
                    <a:ln w="9525">
                      <a:noFill/>
                      <a:miter lim="800000"/>
                      <a:headEnd/>
                      <a:tailEnd/>
                    </a:ln>
                  </pic:spPr>
                </pic:pic>
              </a:graphicData>
            </a:graphic>
          </wp:inline>
        </w:drawing>
      </w:r>
    </w:p>
    <w:p w14:paraId="1DBE3E58" w14:textId="77777777" w:rsidR="00D91DBB" w:rsidRPr="00903C9C" w:rsidRDefault="00A14296" w:rsidP="00146956">
      <w:pPr>
        <w:spacing w:line="240" w:lineRule="auto"/>
        <w:jc w:val="center"/>
        <w:rPr>
          <w:rFonts w:ascii="Times New Roman" w:hAnsi="Times New Roman" w:cs="Times New Roman"/>
          <w:sz w:val="20"/>
          <w:szCs w:val="20"/>
          <w:lang w:eastAsia="ar-SA"/>
        </w:rPr>
      </w:pPr>
      <w:r>
        <w:rPr>
          <w:rFonts w:ascii="Times New Roman" w:hAnsi="Times New Roman" w:cs="Times New Roman"/>
          <w:sz w:val="20"/>
          <w:szCs w:val="20"/>
          <w:lang w:eastAsia="ar-SA"/>
        </w:rPr>
        <w:t>Figura 2</w:t>
      </w:r>
      <w:r w:rsidR="00D91DBB" w:rsidRPr="00903C9C">
        <w:rPr>
          <w:rFonts w:ascii="Times New Roman" w:hAnsi="Times New Roman" w:cs="Times New Roman"/>
          <w:sz w:val="20"/>
          <w:szCs w:val="20"/>
          <w:lang w:eastAsia="ar-SA"/>
        </w:rPr>
        <w:t xml:space="preserve"> – </w:t>
      </w:r>
      <w:proofErr w:type="spellStart"/>
      <w:r w:rsidR="00D91DBB" w:rsidRPr="00903C9C">
        <w:rPr>
          <w:rFonts w:ascii="Times New Roman" w:hAnsi="Times New Roman" w:cs="Times New Roman"/>
          <w:i/>
          <w:sz w:val="20"/>
          <w:szCs w:val="20"/>
          <w:lang w:eastAsia="ar-SA"/>
        </w:rPr>
        <w:t>Covenants</w:t>
      </w:r>
      <w:proofErr w:type="spellEnd"/>
      <w:r w:rsidR="00D91DBB" w:rsidRPr="00903C9C">
        <w:rPr>
          <w:rFonts w:ascii="Times New Roman" w:hAnsi="Times New Roman" w:cs="Times New Roman"/>
          <w:sz w:val="20"/>
          <w:szCs w:val="20"/>
          <w:lang w:eastAsia="ar-SA"/>
        </w:rPr>
        <w:t xml:space="preserve"> da empresa </w:t>
      </w:r>
      <w:proofErr w:type="spellStart"/>
      <w:r w:rsidR="00D91DBB" w:rsidRPr="00903C9C">
        <w:rPr>
          <w:rFonts w:ascii="Times New Roman" w:hAnsi="Times New Roman" w:cs="Times New Roman"/>
          <w:sz w:val="20"/>
          <w:szCs w:val="20"/>
          <w:lang w:eastAsia="ar-SA"/>
        </w:rPr>
        <w:t>Biosev</w:t>
      </w:r>
      <w:proofErr w:type="spellEnd"/>
      <w:r w:rsidR="00D91DBB" w:rsidRPr="00903C9C">
        <w:rPr>
          <w:rFonts w:ascii="Times New Roman" w:hAnsi="Times New Roman" w:cs="Times New Roman"/>
          <w:sz w:val="20"/>
          <w:szCs w:val="20"/>
          <w:lang w:eastAsia="ar-SA"/>
        </w:rPr>
        <w:t xml:space="preserve"> </w:t>
      </w:r>
    </w:p>
    <w:p w14:paraId="266A7AAE" w14:textId="77777777" w:rsidR="00D91DBB" w:rsidRDefault="00D91DBB" w:rsidP="00146956">
      <w:pPr>
        <w:spacing w:line="240" w:lineRule="auto"/>
        <w:ind w:firstLine="567"/>
        <w:jc w:val="center"/>
        <w:rPr>
          <w:rFonts w:ascii="Times New Roman" w:hAnsi="Times New Roman" w:cs="Times New Roman"/>
          <w:sz w:val="20"/>
          <w:szCs w:val="20"/>
          <w:lang w:eastAsia="ar-SA"/>
        </w:rPr>
      </w:pPr>
      <w:r w:rsidRPr="00C103B4">
        <w:rPr>
          <w:rFonts w:ascii="Times New Roman" w:hAnsi="Times New Roman" w:cs="Times New Roman"/>
          <w:sz w:val="20"/>
          <w:szCs w:val="20"/>
          <w:lang w:eastAsia="ar-SA"/>
        </w:rPr>
        <w:t>Fonte: BM&amp;FBOVESPA</w:t>
      </w:r>
      <w:r>
        <w:rPr>
          <w:rFonts w:ascii="Times New Roman" w:hAnsi="Times New Roman" w:cs="Times New Roman"/>
          <w:sz w:val="20"/>
          <w:szCs w:val="20"/>
          <w:lang w:eastAsia="ar-SA"/>
        </w:rPr>
        <w:t xml:space="preserve"> (2016)</w:t>
      </w:r>
    </w:p>
    <w:p w14:paraId="5DF12E57" w14:textId="77777777" w:rsidR="00D91DBB" w:rsidRPr="00A866F9" w:rsidRDefault="00D91DBB" w:rsidP="00A866F9">
      <w:pPr>
        <w:pStyle w:val="Ttulo2"/>
        <w:rPr>
          <w:rFonts w:ascii="Times New Roman" w:hAnsi="Times New Roman" w:cs="Times New Roman"/>
          <w:b w:val="0"/>
          <w:color w:val="auto"/>
          <w:sz w:val="24"/>
          <w:szCs w:val="24"/>
        </w:rPr>
      </w:pPr>
      <w:r>
        <w:rPr>
          <w:sz w:val="20"/>
          <w:szCs w:val="20"/>
          <w:lang w:eastAsia="ar-SA"/>
        </w:rPr>
        <w:t xml:space="preserve"> </w:t>
      </w:r>
      <w:bookmarkStart w:id="80" w:name="_Toc453412879"/>
      <w:bookmarkStart w:id="81" w:name="_Toc453515925"/>
      <w:bookmarkStart w:id="82" w:name="_Toc455057044"/>
      <w:r w:rsidR="00A866F9" w:rsidRPr="00A866F9">
        <w:rPr>
          <w:rFonts w:ascii="Times New Roman" w:hAnsi="Times New Roman" w:cs="Times New Roman"/>
          <w:b w:val="0"/>
          <w:color w:val="auto"/>
          <w:sz w:val="24"/>
          <w:szCs w:val="24"/>
        </w:rPr>
        <w:t>4.3</w:t>
      </w:r>
      <w:r w:rsidRPr="00A866F9">
        <w:rPr>
          <w:rFonts w:ascii="Times New Roman" w:hAnsi="Times New Roman" w:cs="Times New Roman"/>
          <w:b w:val="0"/>
          <w:color w:val="auto"/>
          <w:sz w:val="24"/>
          <w:szCs w:val="24"/>
        </w:rPr>
        <w:t xml:space="preserve"> </w:t>
      </w:r>
      <w:proofErr w:type="spellStart"/>
      <w:r w:rsidRPr="00A866F9">
        <w:rPr>
          <w:rFonts w:ascii="Times New Roman" w:hAnsi="Times New Roman" w:cs="Times New Roman"/>
          <w:b w:val="0"/>
          <w:i/>
          <w:color w:val="auto"/>
          <w:sz w:val="24"/>
          <w:szCs w:val="24"/>
        </w:rPr>
        <w:t>Covenants</w:t>
      </w:r>
      <w:proofErr w:type="spellEnd"/>
      <w:r w:rsidRPr="00A866F9">
        <w:rPr>
          <w:rFonts w:ascii="Times New Roman" w:hAnsi="Times New Roman" w:cs="Times New Roman"/>
          <w:b w:val="0"/>
          <w:color w:val="auto"/>
          <w:sz w:val="24"/>
          <w:szCs w:val="24"/>
        </w:rPr>
        <w:t xml:space="preserve"> relacionados ao Balanço Patrimonial</w:t>
      </w:r>
      <w:bookmarkEnd w:id="80"/>
      <w:bookmarkEnd w:id="81"/>
      <w:bookmarkEnd w:id="82"/>
      <w:r w:rsidR="00A866F9">
        <w:rPr>
          <w:rFonts w:ascii="Times New Roman" w:hAnsi="Times New Roman" w:cs="Times New Roman"/>
          <w:b w:val="0"/>
          <w:color w:val="auto"/>
          <w:sz w:val="24"/>
          <w:szCs w:val="24"/>
        </w:rPr>
        <w:t xml:space="preserve"> e à DRE</w:t>
      </w:r>
    </w:p>
    <w:p w14:paraId="088BA43D" w14:textId="77777777" w:rsidR="00D91DBB" w:rsidRDefault="00D91DBB" w:rsidP="00146956">
      <w:pPr>
        <w:spacing w:line="240" w:lineRule="auto"/>
        <w:ind w:firstLine="567"/>
        <w:jc w:val="both"/>
        <w:rPr>
          <w:rFonts w:ascii="Times New Roman" w:hAnsi="Times New Roman" w:cs="Times New Roman"/>
          <w:sz w:val="24"/>
          <w:szCs w:val="24"/>
        </w:rPr>
      </w:pPr>
      <w:bookmarkStart w:id="83" w:name="_Toc453374695"/>
      <w:bookmarkStart w:id="84" w:name="_Toc453412880"/>
    </w:p>
    <w:p w14:paraId="70286976" w14:textId="77777777" w:rsidR="00D91DBB" w:rsidRDefault="00D91DBB" w:rsidP="00146956">
      <w:pPr>
        <w:spacing w:line="240" w:lineRule="auto"/>
        <w:ind w:firstLine="1134"/>
        <w:jc w:val="both"/>
        <w:rPr>
          <w:rFonts w:ascii="Times New Roman" w:hAnsi="Times New Roman" w:cs="Times New Roman"/>
          <w:sz w:val="24"/>
          <w:szCs w:val="24"/>
        </w:rPr>
      </w:pP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financeiros relacionados ao Balanço Patrimonial representa</w:t>
      </w:r>
      <w:r>
        <w:rPr>
          <w:rFonts w:ascii="Times New Roman" w:hAnsi="Times New Roman" w:cs="Times New Roman"/>
          <w:sz w:val="24"/>
          <w:szCs w:val="24"/>
        </w:rPr>
        <w:t>ra</w:t>
      </w:r>
      <w:r w:rsidRPr="008D21FB">
        <w:rPr>
          <w:rFonts w:ascii="Times New Roman" w:hAnsi="Times New Roman" w:cs="Times New Roman"/>
          <w:sz w:val="24"/>
          <w:szCs w:val="24"/>
        </w:rPr>
        <w:t xml:space="preserve">m cerca de 42% das 279 vezes que algum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i/>
          <w:sz w:val="24"/>
          <w:szCs w:val="24"/>
        </w:rPr>
        <w:t xml:space="preserve"> </w:t>
      </w:r>
      <w:r w:rsidRPr="008D21FB">
        <w:rPr>
          <w:rFonts w:ascii="Times New Roman" w:hAnsi="Times New Roman" w:cs="Times New Roman"/>
          <w:sz w:val="24"/>
          <w:szCs w:val="24"/>
        </w:rPr>
        <w:t xml:space="preserve">financeiro foi evidenciado. </w:t>
      </w:r>
      <w:r w:rsidR="00FB205E">
        <w:rPr>
          <w:rFonts w:ascii="Times New Roman" w:hAnsi="Times New Roman" w:cs="Times New Roman"/>
          <w:sz w:val="24"/>
          <w:szCs w:val="24"/>
        </w:rPr>
        <w:t>A Tabela 4</w:t>
      </w:r>
      <w:r w:rsidRPr="008D21FB">
        <w:rPr>
          <w:rFonts w:ascii="Times New Roman" w:hAnsi="Times New Roman" w:cs="Times New Roman"/>
          <w:sz w:val="24"/>
          <w:szCs w:val="24"/>
        </w:rPr>
        <w:t xml:space="preserve"> relaciona os tipos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com maior evidenciação dentre as empresas, e ainda há outros 62 que </w:t>
      </w:r>
      <w:r w:rsidR="00FB205E">
        <w:rPr>
          <w:rFonts w:ascii="Times New Roman" w:hAnsi="Times New Roman" w:cs="Times New Roman"/>
          <w:sz w:val="24"/>
          <w:szCs w:val="24"/>
        </w:rPr>
        <w:t xml:space="preserve">foram </w:t>
      </w:r>
      <w:r w:rsidRPr="008D21FB">
        <w:rPr>
          <w:rFonts w:ascii="Times New Roman" w:hAnsi="Times New Roman" w:cs="Times New Roman"/>
          <w:sz w:val="24"/>
          <w:szCs w:val="24"/>
        </w:rPr>
        <w:t>relatados apenas uma vez.</w:t>
      </w:r>
      <w:bookmarkEnd w:id="83"/>
      <w:bookmarkEnd w:id="84"/>
      <w:r w:rsidRPr="008D21FB">
        <w:rPr>
          <w:rFonts w:ascii="Times New Roman" w:hAnsi="Times New Roman" w:cs="Times New Roman"/>
          <w:sz w:val="24"/>
          <w:szCs w:val="24"/>
        </w:rPr>
        <w:t xml:space="preserve"> </w:t>
      </w:r>
    </w:p>
    <w:p w14:paraId="5962C1A3" w14:textId="77777777" w:rsidR="00A866F9" w:rsidRPr="00DD4E68" w:rsidRDefault="00A866F9" w:rsidP="00A866F9">
      <w:pPr>
        <w:spacing w:line="240" w:lineRule="auto"/>
        <w:ind w:firstLine="709"/>
        <w:jc w:val="both"/>
        <w:rPr>
          <w:rFonts w:ascii="Times New Roman" w:eastAsia="Times New Roman" w:hAnsi="Times New Roman" w:cs="Times New Roman"/>
          <w:color w:val="000000"/>
          <w:sz w:val="20"/>
          <w:szCs w:val="20"/>
          <w:lang w:eastAsia="pt-BR"/>
        </w:rPr>
      </w:pPr>
      <w:r w:rsidRPr="008D21FB">
        <w:rPr>
          <w:rFonts w:ascii="Times New Roman" w:hAnsi="Times New Roman" w:cs="Times New Roman"/>
          <w:sz w:val="24"/>
          <w:szCs w:val="24"/>
        </w:rPr>
        <w:t xml:space="preserve">Dentre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relacionados ao balanço, o índice de liquidez corrente é o mais</w:t>
      </w:r>
      <w:r w:rsidR="00FB205E">
        <w:rPr>
          <w:rFonts w:ascii="Times New Roman" w:hAnsi="Times New Roman" w:cs="Times New Roman"/>
          <w:sz w:val="24"/>
          <w:szCs w:val="24"/>
        </w:rPr>
        <w:t xml:space="preserve"> relatado, em aproximadamente 13</w:t>
      </w:r>
      <w:r w:rsidRPr="008D21FB">
        <w:rPr>
          <w:rFonts w:ascii="Times New Roman" w:hAnsi="Times New Roman" w:cs="Times New Roman"/>
          <w:sz w:val="24"/>
          <w:szCs w:val="24"/>
        </w:rPr>
        <w:t xml:space="preserve">% (11 empresas). Diante disso, percebe-se o interesse do credor em saber se os bens e direitos da companhia serão suficientes para sanar dívidas no curto prazo. Este indicador é muito importante para o controle financeiro da empresa, pois caso a empresa não consiga cumprir suas obrigações deverá tentar renegociar suas dívidas ou obter crédito adicional.  </w:t>
      </w:r>
    </w:p>
    <w:p w14:paraId="3CAB681A" w14:textId="77777777" w:rsidR="00A866F9" w:rsidRDefault="00A866F9" w:rsidP="00A866F9">
      <w:pPr>
        <w:spacing w:line="240" w:lineRule="auto"/>
        <w:ind w:firstLine="709"/>
        <w:jc w:val="both"/>
        <w:rPr>
          <w:rFonts w:ascii="Times New Roman" w:hAnsi="Times New Roman" w:cs="Times New Roman"/>
          <w:sz w:val="24"/>
          <w:szCs w:val="24"/>
        </w:rPr>
      </w:pPr>
      <w:bookmarkStart w:id="85" w:name="_Toc453374698"/>
      <w:bookmarkStart w:id="86" w:name="_Toc453412883"/>
      <w:r w:rsidRPr="008D21FB">
        <w:rPr>
          <w:rFonts w:ascii="Times New Roman" w:hAnsi="Times New Roman" w:cs="Times New Roman"/>
          <w:sz w:val="24"/>
          <w:szCs w:val="24"/>
        </w:rPr>
        <w:t xml:space="preserve">A dívida líquida sobre o patrimônio líquido é o segundo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mais evidenciado, relatado por cerca de 9% das empresas. Este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protege os interesses dos acionistas em relação insolvência e a capacidade da empresa em adquirir novos financiamentos na qualidade de investimentos oportunos.</w:t>
      </w:r>
      <w:bookmarkEnd w:id="85"/>
      <w:bookmarkEnd w:id="86"/>
      <w:r w:rsidRPr="008D21FB">
        <w:rPr>
          <w:rFonts w:ascii="Times New Roman" w:hAnsi="Times New Roman" w:cs="Times New Roman"/>
          <w:sz w:val="24"/>
          <w:szCs w:val="24"/>
        </w:rPr>
        <w:t xml:space="preserve"> </w:t>
      </w:r>
      <w:r>
        <w:rPr>
          <w:rFonts w:ascii="Times New Roman" w:hAnsi="Times New Roman" w:cs="Times New Roman"/>
          <w:sz w:val="24"/>
          <w:szCs w:val="24"/>
        </w:rPr>
        <w:t xml:space="preserve">A Figura 3 mostra um exemplo de </w:t>
      </w:r>
      <w:proofErr w:type="spellStart"/>
      <w:r w:rsidRPr="00FB205E">
        <w:rPr>
          <w:rFonts w:ascii="Times New Roman" w:hAnsi="Times New Roman" w:cs="Times New Roman"/>
          <w:i/>
          <w:sz w:val="24"/>
          <w:szCs w:val="24"/>
        </w:rPr>
        <w:t>covenant</w:t>
      </w:r>
      <w:proofErr w:type="spellEnd"/>
      <w:r>
        <w:rPr>
          <w:rFonts w:ascii="Times New Roman" w:hAnsi="Times New Roman" w:cs="Times New Roman"/>
          <w:sz w:val="24"/>
          <w:szCs w:val="24"/>
        </w:rPr>
        <w:t xml:space="preserve"> relacionado ao Balanço Patrimonial divulgado no formulário de referência.</w:t>
      </w:r>
    </w:p>
    <w:p w14:paraId="16C577C7" w14:textId="77777777" w:rsidR="00A866F9" w:rsidRPr="00B67012" w:rsidRDefault="00A866F9" w:rsidP="00A866F9">
      <w:pPr>
        <w:spacing w:line="240" w:lineRule="auto"/>
        <w:ind w:firstLine="567"/>
        <w:jc w:val="center"/>
        <w:rPr>
          <w:rFonts w:ascii="Times New Roman" w:hAnsi="Times New Roman" w:cs="Times New Roman"/>
          <w:sz w:val="20"/>
          <w:szCs w:val="20"/>
        </w:rPr>
      </w:pPr>
      <w:r w:rsidRPr="00B67012">
        <w:rPr>
          <w:rFonts w:ascii="Times New Roman" w:hAnsi="Times New Roman" w:cs="Times New Roman"/>
          <w:noProof/>
          <w:sz w:val="20"/>
          <w:szCs w:val="20"/>
          <w:lang w:eastAsia="pt-BR"/>
        </w:rPr>
        <w:drawing>
          <wp:inline distT="0" distB="0" distL="0" distR="0" wp14:anchorId="660F02F5" wp14:editId="68F163C1">
            <wp:extent cx="4480560" cy="355469"/>
            <wp:effectExtent l="19050" t="19050" r="15240" b="25531"/>
            <wp:docPr id="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21153" t="44817" r="41357" b="50106"/>
                    <a:stretch>
                      <a:fillRect/>
                    </a:stretch>
                  </pic:blipFill>
                  <pic:spPr bwMode="auto">
                    <a:xfrm>
                      <a:off x="0" y="0"/>
                      <a:ext cx="4480560" cy="355469"/>
                    </a:xfrm>
                    <a:prstGeom prst="rect">
                      <a:avLst/>
                    </a:prstGeom>
                    <a:noFill/>
                    <a:ln w="9525">
                      <a:solidFill>
                        <a:schemeClr val="tx1">
                          <a:lumMod val="95000"/>
                          <a:lumOff val="5000"/>
                        </a:schemeClr>
                      </a:solidFill>
                      <a:miter lim="800000"/>
                      <a:headEnd/>
                      <a:tailEnd/>
                    </a:ln>
                  </pic:spPr>
                </pic:pic>
              </a:graphicData>
            </a:graphic>
          </wp:inline>
        </w:drawing>
      </w:r>
    </w:p>
    <w:p w14:paraId="3090C7F7" w14:textId="77777777" w:rsidR="00A866F9" w:rsidRPr="00903C9C" w:rsidRDefault="00A866F9" w:rsidP="00A866F9">
      <w:pPr>
        <w:spacing w:line="240" w:lineRule="auto"/>
        <w:jc w:val="center"/>
        <w:rPr>
          <w:rFonts w:ascii="Times New Roman" w:hAnsi="Times New Roman" w:cs="Times New Roman"/>
          <w:sz w:val="20"/>
          <w:szCs w:val="20"/>
        </w:rPr>
      </w:pPr>
      <w:r>
        <w:rPr>
          <w:rFonts w:ascii="Times New Roman" w:hAnsi="Times New Roman" w:cs="Times New Roman"/>
          <w:sz w:val="20"/>
          <w:szCs w:val="20"/>
        </w:rPr>
        <w:t>Figura 3</w:t>
      </w:r>
      <w:r w:rsidRPr="00903C9C">
        <w:rPr>
          <w:rFonts w:ascii="Times New Roman" w:hAnsi="Times New Roman" w:cs="Times New Roman"/>
          <w:sz w:val="20"/>
          <w:szCs w:val="20"/>
        </w:rPr>
        <w:t xml:space="preserve"> – </w:t>
      </w:r>
      <w:proofErr w:type="spellStart"/>
      <w:r w:rsidRPr="00903C9C">
        <w:rPr>
          <w:rFonts w:ascii="Times New Roman" w:hAnsi="Times New Roman" w:cs="Times New Roman"/>
          <w:i/>
          <w:sz w:val="20"/>
          <w:szCs w:val="20"/>
        </w:rPr>
        <w:t>Covenant</w:t>
      </w:r>
      <w:proofErr w:type="spellEnd"/>
      <w:r w:rsidRPr="00903C9C">
        <w:rPr>
          <w:rFonts w:ascii="Times New Roman" w:hAnsi="Times New Roman" w:cs="Times New Roman"/>
          <w:sz w:val="20"/>
          <w:szCs w:val="20"/>
        </w:rPr>
        <w:t xml:space="preserve"> da empresa Linux</w:t>
      </w:r>
    </w:p>
    <w:p w14:paraId="3D540AD3" w14:textId="77777777" w:rsidR="00A866F9" w:rsidRDefault="00A866F9" w:rsidP="00A866F9">
      <w:pPr>
        <w:spacing w:line="240" w:lineRule="auto"/>
        <w:jc w:val="center"/>
        <w:rPr>
          <w:rFonts w:ascii="Times New Roman" w:hAnsi="Times New Roman" w:cs="Times New Roman"/>
          <w:sz w:val="20"/>
          <w:szCs w:val="20"/>
        </w:rPr>
      </w:pPr>
      <w:r w:rsidRPr="00903C9C">
        <w:rPr>
          <w:rFonts w:ascii="Times New Roman" w:hAnsi="Times New Roman" w:cs="Times New Roman"/>
          <w:sz w:val="20"/>
          <w:szCs w:val="20"/>
        </w:rPr>
        <w:t>Fonte: BM&amp;</w:t>
      </w:r>
      <w:r w:rsidRPr="00B67012">
        <w:rPr>
          <w:rFonts w:ascii="Times New Roman" w:hAnsi="Times New Roman" w:cs="Times New Roman"/>
          <w:sz w:val="20"/>
          <w:szCs w:val="20"/>
        </w:rPr>
        <w:t>FBOVESPA (2016)</w:t>
      </w:r>
    </w:p>
    <w:p w14:paraId="5C300E0D" w14:textId="77777777" w:rsidR="00A866F9" w:rsidRPr="00B67012" w:rsidRDefault="00A866F9" w:rsidP="00A866F9">
      <w:pPr>
        <w:spacing w:line="240" w:lineRule="auto"/>
        <w:ind w:firstLine="567"/>
        <w:jc w:val="center"/>
        <w:rPr>
          <w:rFonts w:ascii="Times New Roman" w:hAnsi="Times New Roman" w:cs="Times New Roman"/>
          <w:sz w:val="20"/>
          <w:szCs w:val="20"/>
        </w:rPr>
      </w:pPr>
    </w:p>
    <w:p w14:paraId="3A97FAEA" w14:textId="77777777" w:rsidR="00A866F9" w:rsidRDefault="00A866F9" w:rsidP="00FB205E">
      <w:pPr>
        <w:spacing w:after="120" w:line="240" w:lineRule="auto"/>
        <w:ind w:firstLine="709"/>
        <w:jc w:val="both"/>
        <w:rPr>
          <w:rFonts w:ascii="Times New Roman" w:hAnsi="Times New Roman" w:cs="Times New Roman"/>
          <w:sz w:val="24"/>
          <w:szCs w:val="24"/>
        </w:rPr>
      </w:pPr>
      <w:bookmarkStart w:id="87" w:name="_Toc453374699"/>
      <w:bookmarkStart w:id="88" w:name="_Toc453412884"/>
      <w:r w:rsidRPr="008D21FB">
        <w:rPr>
          <w:rFonts w:ascii="Times New Roman" w:hAnsi="Times New Roman" w:cs="Times New Roman"/>
          <w:sz w:val="24"/>
          <w:szCs w:val="24"/>
        </w:rPr>
        <w:t xml:space="preserve">Aproximadamente 42%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relacionados ao balanço indicam a dívida, seja ela líquida, onerosa, bruta ou total, e são relatados 63 vezes pelas empresas. Destes, há 14 indicadores que, dentre suas variações de cálculo, relacionam o valor dos recebíveis com a dívida líquida, como exemplo o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recebíveis + receita a apropriar + estoques / dívida líquida + imóveis a pagar + custo a apropriar, que ajudam os credores a analisar se a empresa conseguirá cumprir com suas obrigações.</w:t>
      </w:r>
      <w:bookmarkEnd w:id="87"/>
      <w:bookmarkEnd w:id="88"/>
      <w:r>
        <w:rPr>
          <w:rFonts w:ascii="Times New Roman" w:hAnsi="Times New Roman" w:cs="Times New Roman"/>
          <w:sz w:val="24"/>
          <w:szCs w:val="24"/>
        </w:rPr>
        <w:t xml:space="preserve"> </w:t>
      </w:r>
    </w:p>
    <w:p w14:paraId="7381B5F3" w14:textId="77777777" w:rsidR="00A866F9" w:rsidRPr="00A866F9" w:rsidRDefault="00A866F9" w:rsidP="00A866F9">
      <w:pPr>
        <w:pStyle w:val="Legenda"/>
        <w:keepNext/>
        <w:spacing w:before="120" w:after="120"/>
        <w:jc w:val="center"/>
        <w:rPr>
          <w:rFonts w:ascii="Times New Roman" w:hAnsi="Times New Roman" w:cs="Times New Roman"/>
          <w:b w:val="0"/>
          <w:color w:val="auto"/>
          <w:sz w:val="24"/>
          <w:szCs w:val="24"/>
        </w:rPr>
      </w:pPr>
      <w:r w:rsidRPr="00A866F9">
        <w:rPr>
          <w:rFonts w:ascii="Times New Roman" w:hAnsi="Times New Roman" w:cs="Times New Roman"/>
          <w:b w:val="0"/>
          <w:color w:val="auto"/>
          <w:sz w:val="24"/>
          <w:szCs w:val="24"/>
        </w:rPr>
        <w:t xml:space="preserve">Tabela </w:t>
      </w:r>
      <w:r w:rsidR="00744BBF" w:rsidRPr="00A866F9">
        <w:rPr>
          <w:rFonts w:ascii="Times New Roman" w:hAnsi="Times New Roman" w:cs="Times New Roman"/>
          <w:b w:val="0"/>
          <w:color w:val="auto"/>
          <w:sz w:val="24"/>
          <w:szCs w:val="24"/>
        </w:rPr>
        <w:fldChar w:fldCharType="begin"/>
      </w:r>
      <w:r w:rsidRPr="00A866F9">
        <w:rPr>
          <w:rFonts w:ascii="Times New Roman" w:hAnsi="Times New Roman" w:cs="Times New Roman"/>
          <w:b w:val="0"/>
          <w:color w:val="auto"/>
          <w:sz w:val="24"/>
          <w:szCs w:val="24"/>
        </w:rPr>
        <w:instrText xml:space="preserve"> SEQ Tabela \* ARABIC </w:instrText>
      </w:r>
      <w:r w:rsidR="00744BBF" w:rsidRPr="00A866F9">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4</w:t>
      </w:r>
      <w:r w:rsidR="00744BBF" w:rsidRPr="00A866F9">
        <w:rPr>
          <w:rFonts w:ascii="Times New Roman" w:hAnsi="Times New Roman" w:cs="Times New Roman"/>
          <w:b w:val="0"/>
          <w:color w:val="auto"/>
          <w:sz w:val="24"/>
          <w:szCs w:val="24"/>
        </w:rPr>
        <w:fldChar w:fldCharType="end"/>
      </w:r>
      <w:r w:rsidR="00A34149">
        <w:rPr>
          <w:rFonts w:ascii="Times New Roman" w:hAnsi="Times New Roman" w:cs="Times New Roman"/>
          <w:b w:val="0"/>
          <w:color w:val="auto"/>
          <w:sz w:val="24"/>
          <w:szCs w:val="24"/>
        </w:rPr>
        <w:t xml:space="preserve"> - </w:t>
      </w:r>
      <w:proofErr w:type="spellStart"/>
      <w:r w:rsidR="00FB205E" w:rsidRPr="00FB205E">
        <w:rPr>
          <w:rFonts w:ascii="Times New Roman" w:hAnsi="Times New Roman" w:cs="Times New Roman"/>
          <w:b w:val="0"/>
          <w:i/>
          <w:color w:val="auto"/>
          <w:sz w:val="24"/>
          <w:szCs w:val="24"/>
        </w:rPr>
        <w:t>Covenants</w:t>
      </w:r>
      <w:proofErr w:type="spellEnd"/>
      <w:r w:rsidR="00FB205E">
        <w:rPr>
          <w:rFonts w:ascii="Times New Roman" w:hAnsi="Times New Roman" w:cs="Times New Roman"/>
          <w:b w:val="0"/>
          <w:color w:val="auto"/>
          <w:sz w:val="24"/>
          <w:szCs w:val="24"/>
        </w:rPr>
        <w:t xml:space="preserve"> de Balanço Patrimonial e de DRE</w:t>
      </w:r>
    </w:p>
    <w:tbl>
      <w:tblPr>
        <w:tblStyle w:val="Tabelacomgrade"/>
        <w:tblW w:w="5000" w:type="pct"/>
        <w:tblLook w:val="04A0" w:firstRow="1" w:lastRow="0" w:firstColumn="1" w:lastColumn="0" w:noHBand="0" w:noVBand="1"/>
      </w:tblPr>
      <w:tblGrid>
        <w:gridCol w:w="6848"/>
        <w:gridCol w:w="3856"/>
      </w:tblGrid>
      <w:tr w:rsidR="00A866F9" w:rsidRPr="00A866F9" w14:paraId="50B6FA76" w14:textId="77777777" w:rsidTr="00A866F9">
        <w:tc>
          <w:tcPr>
            <w:tcW w:w="5000" w:type="pct"/>
            <w:gridSpan w:val="2"/>
            <w:tcBorders>
              <w:left w:val="nil"/>
              <w:right w:val="nil"/>
            </w:tcBorders>
            <w:vAlign w:val="center"/>
            <w:hideMark/>
          </w:tcPr>
          <w:p w14:paraId="522E2E67" w14:textId="77777777" w:rsidR="00A866F9" w:rsidRPr="00A866F9" w:rsidRDefault="00A866F9" w:rsidP="00A866F9">
            <w:pPr>
              <w:spacing w:line="240" w:lineRule="auto"/>
              <w:rPr>
                <w:rFonts w:ascii="Times New Roman" w:eastAsia="Times New Roman" w:hAnsi="Times New Roman" w:cs="Times New Roman"/>
                <w:b/>
                <w:bCs/>
                <w:color w:val="000000"/>
                <w:sz w:val="20"/>
                <w:szCs w:val="20"/>
                <w:lang w:eastAsia="pt-BR"/>
              </w:rPr>
            </w:pPr>
            <w:bookmarkStart w:id="89" w:name="_Toc453374696"/>
            <w:bookmarkStart w:id="90" w:name="_Toc453412881"/>
            <w:r w:rsidRPr="00A866F9">
              <w:rPr>
                <w:rFonts w:ascii="Times New Roman" w:eastAsia="Times New Roman" w:hAnsi="Times New Roman" w:cs="Times New Roman"/>
                <w:b/>
                <w:bCs/>
                <w:color w:val="000000"/>
                <w:sz w:val="20"/>
                <w:szCs w:val="20"/>
                <w:lang w:eastAsia="pt-BR"/>
              </w:rPr>
              <w:t xml:space="preserve">Painel C: </w:t>
            </w:r>
            <w:proofErr w:type="spellStart"/>
            <w:r w:rsidRPr="00A866F9">
              <w:rPr>
                <w:rFonts w:ascii="Times New Roman" w:eastAsia="Times New Roman" w:hAnsi="Times New Roman" w:cs="Times New Roman"/>
                <w:b/>
                <w:bCs/>
                <w:i/>
                <w:iCs/>
                <w:color w:val="000000"/>
                <w:sz w:val="20"/>
                <w:szCs w:val="20"/>
                <w:lang w:eastAsia="pt-BR"/>
              </w:rPr>
              <w:t>Covenants</w:t>
            </w:r>
            <w:proofErr w:type="spellEnd"/>
            <w:r w:rsidRPr="00A866F9">
              <w:rPr>
                <w:rFonts w:ascii="Times New Roman" w:eastAsia="Times New Roman" w:hAnsi="Times New Roman" w:cs="Times New Roman"/>
                <w:b/>
                <w:bCs/>
                <w:color w:val="000000"/>
                <w:sz w:val="20"/>
                <w:szCs w:val="20"/>
                <w:lang w:eastAsia="pt-BR"/>
              </w:rPr>
              <w:t xml:space="preserve"> relacionados ao Balanço Patrimonial por empresa</w:t>
            </w:r>
          </w:p>
        </w:tc>
      </w:tr>
      <w:tr w:rsidR="00A866F9" w:rsidRPr="00A866F9" w14:paraId="097DBAEA" w14:textId="77777777" w:rsidTr="00A866F9">
        <w:tc>
          <w:tcPr>
            <w:tcW w:w="3199" w:type="pct"/>
            <w:tcBorders>
              <w:left w:val="nil"/>
              <w:right w:val="nil"/>
            </w:tcBorders>
            <w:vAlign w:val="center"/>
            <w:hideMark/>
          </w:tcPr>
          <w:p w14:paraId="16B360EE" w14:textId="77777777" w:rsidR="00A866F9" w:rsidRPr="00A866F9" w:rsidRDefault="00A866F9" w:rsidP="00A866F9">
            <w:pPr>
              <w:spacing w:line="240" w:lineRule="auto"/>
              <w:jc w:val="center"/>
              <w:rPr>
                <w:rFonts w:ascii="Times New Roman" w:eastAsia="Times New Roman" w:hAnsi="Times New Roman" w:cs="Times New Roman"/>
                <w:b/>
                <w:bCs/>
                <w:i/>
                <w:iCs/>
                <w:color w:val="000000"/>
                <w:sz w:val="20"/>
                <w:szCs w:val="20"/>
                <w:lang w:eastAsia="pt-BR"/>
              </w:rPr>
            </w:pPr>
            <w:proofErr w:type="spellStart"/>
            <w:r w:rsidRPr="00A866F9">
              <w:rPr>
                <w:rFonts w:ascii="Times New Roman" w:eastAsia="Times New Roman" w:hAnsi="Times New Roman" w:cs="Times New Roman"/>
                <w:b/>
                <w:bCs/>
                <w:i/>
                <w:iCs/>
                <w:color w:val="000000"/>
                <w:sz w:val="20"/>
                <w:szCs w:val="20"/>
                <w:lang w:eastAsia="pt-BR"/>
              </w:rPr>
              <w:t>Covenants</w:t>
            </w:r>
            <w:proofErr w:type="spellEnd"/>
            <w:r w:rsidRPr="00A866F9">
              <w:rPr>
                <w:rFonts w:ascii="Times New Roman" w:eastAsia="Times New Roman" w:hAnsi="Times New Roman" w:cs="Times New Roman"/>
                <w:b/>
                <w:bCs/>
                <w:i/>
                <w:iCs/>
                <w:color w:val="000000"/>
                <w:sz w:val="20"/>
                <w:szCs w:val="20"/>
                <w:lang w:eastAsia="pt-BR"/>
              </w:rPr>
              <w:t xml:space="preserve"> </w:t>
            </w:r>
            <w:r w:rsidRPr="00A866F9">
              <w:rPr>
                <w:rFonts w:ascii="Times New Roman" w:eastAsia="Times New Roman" w:hAnsi="Times New Roman" w:cs="Times New Roman"/>
                <w:b/>
                <w:bCs/>
                <w:color w:val="000000"/>
                <w:sz w:val="20"/>
                <w:szCs w:val="20"/>
                <w:lang w:eastAsia="pt-BR"/>
              </w:rPr>
              <w:t>financeiros</w:t>
            </w:r>
          </w:p>
        </w:tc>
        <w:tc>
          <w:tcPr>
            <w:tcW w:w="1801" w:type="pct"/>
            <w:tcBorders>
              <w:left w:val="nil"/>
              <w:right w:val="nil"/>
            </w:tcBorders>
            <w:noWrap/>
            <w:vAlign w:val="center"/>
            <w:hideMark/>
          </w:tcPr>
          <w:p w14:paraId="7A9A38B0"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proofErr w:type="spellStart"/>
            <w:r w:rsidRPr="00A866F9">
              <w:rPr>
                <w:rFonts w:ascii="Times New Roman" w:eastAsia="Times New Roman" w:hAnsi="Times New Roman" w:cs="Times New Roman"/>
                <w:b/>
                <w:bCs/>
                <w:color w:val="000000"/>
                <w:sz w:val="20"/>
                <w:szCs w:val="20"/>
                <w:lang w:eastAsia="pt-BR"/>
              </w:rPr>
              <w:t>Qtde</w:t>
            </w:r>
            <w:proofErr w:type="spellEnd"/>
          </w:p>
        </w:tc>
      </w:tr>
      <w:tr w:rsidR="00A866F9" w:rsidRPr="00A866F9" w14:paraId="2D318BCF" w14:textId="77777777" w:rsidTr="00A866F9">
        <w:tc>
          <w:tcPr>
            <w:tcW w:w="3199" w:type="pct"/>
            <w:tcBorders>
              <w:left w:val="nil"/>
              <w:bottom w:val="nil"/>
              <w:right w:val="nil"/>
            </w:tcBorders>
            <w:vAlign w:val="center"/>
            <w:hideMark/>
          </w:tcPr>
          <w:p w14:paraId="377869F7"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Ativo circulante / passivo circulante</w:t>
            </w:r>
          </w:p>
        </w:tc>
        <w:tc>
          <w:tcPr>
            <w:tcW w:w="1801" w:type="pct"/>
            <w:tcBorders>
              <w:left w:val="nil"/>
              <w:bottom w:val="nil"/>
              <w:right w:val="nil"/>
            </w:tcBorders>
            <w:noWrap/>
            <w:vAlign w:val="center"/>
            <w:hideMark/>
          </w:tcPr>
          <w:p w14:paraId="21860319"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11</w:t>
            </w:r>
          </w:p>
        </w:tc>
      </w:tr>
      <w:tr w:rsidR="00A866F9" w:rsidRPr="00A866F9" w14:paraId="636B0979" w14:textId="77777777" w:rsidTr="00A866F9">
        <w:tc>
          <w:tcPr>
            <w:tcW w:w="3199" w:type="pct"/>
            <w:tcBorders>
              <w:top w:val="nil"/>
              <w:left w:val="nil"/>
              <w:bottom w:val="nil"/>
              <w:right w:val="nil"/>
            </w:tcBorders>
            <w:noWrap/>
            <w:vAlign w:val="center"/>
            <w:hideMark/>
          </w:tcPr>
          <w:p w14:paraId="60CD40BD"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Cobertura de parcelas a vencer (nível mínimo)</w:t>
            </w:r>
          </w:p>
        </w:tc>
        <w:tc>
          <w:tcPr>
            <w:tcW w:w="1801" w:type="pct"/>
            <w:tcBorders>
              <w:top w:val="nil"/>
              <w:left w:val="nil"/>
              <w:bottom w:val="nil"/>
              <w:right w:val="nil"/>
            </w:tcBorders>
            <w:noWrap/>
            <w:vAlign w:val="center"/>
            <w:hideMark/>
          </w:tcPr>
          <w:p w14:paraId="3D3989DF"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4</w:t>
            </w:r>
          </w:p>
        </w:tc>
      </w:tr>
      <w:tr w:rsidR="00A866F9" w:rsidRPr="00A866F9" w14:paraId="2D272BD8" w14:textId="77777777" w:rsidTr="00A866F9">
        <w:tc>
          <w:tcPr>
            <w:tcW w:w="3199" w:type="pct"/>
            <w:tcBorders>
              <w:top w:val="nil"/>
              <w:left w:val="nil"/>
              <w:bottom w:val="nil"/>
              <w:right w:val="nil"/>
            </w:tcBorders>
            <w:vAlign w:val="center"/>
            <w:hideMark/>
          </w:tcPr>
          <w:p w14:paraId="1C576284"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Dívida líquida / patrimônio líquido</w:t>
            </w:r>
          </w:p>
        </w:tc>
        <w:tc>
          <w:tcPr>
            <w:tcW w:w="1801" w:type="pct"/>
            <w:tcBorders>
              <w:top w:val="nil"/>
              <w:left w:val="nil"/>
              <w:bottom w:val="nil"/>
              <w:right w:val="nil"/>
            </w:tcBorders>
            <w:noWrap/>
            <w:vAlign w:val="center"/>
            <w:hideMark/>
          </w:tcPr>
          <w:p w14:paraId="5F6B2995"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9</w:t>
            </w:r>
          </w:p>
        </w:tc>
      </w:tr>
      <w:tr w:rsidR="00A866F9" w:rsidRPr="00A866F9" w14:paraId="48225DC3" w14:textId="77777777" w:rsidTr="00A866F9">
        <w:tc>
          <w:tcPr>
            <w:tcW w:w="3199" w:type="pct"/>
            <w:tcBorders>
              <w:top w:val="nil"/>
              <w:left w:val="nil"/>
              <w:bottom w:val="nil"/>
              <w:right w:val="nil"/>
            </w:tcBorders>
            <w:noWrap/>
            <w:vAlign w:val="center"/>
            <w:hideMark/>
          </w:tcPr>
          <w:p w14:paraId="52C9DAD4"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Dívida líquida / Valor Contábil</w:t>
            </w:r>
          </w:p>
        </w:tc>
        <w:tc>
          <w:tcPr>
            <w:tcW w:w="1801" w:type="pct"/>
            <w:tcBorders>
              <w:top w:val="nil"/>
              <w:left w:val="nil"/>
              <w:bottom w:val="nil"/>
              <w:right w:val="nil"/>
            </w:tcBorders>
            <w:noWrap/>
            <w:vAlign w:val="center"/>
            <w:hideMark/>
          </w:tcPr>
          <w:p w14:paraId="24DCDD4B"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6DCE95BE" w14:textId="77777777" w:rsidTr="00A866F9">
        <w:tc>
          <w:tcPr>
            <w:tcW w:w="3199" w:type="pct"/>
            <w:tcBorders>
              <w:top w:val="nil"/>
              <w:left w:val="nil"/>
              <w:bottom w:val="nil"/>
              <w:right w:val="nil"/>
            </w:tcBorders>
            <w:vAlign w:val="center"/>
            <w:hideMark/>
          </w:tcPr>
          <w:p w14:paraId="6973E1AC"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Dívida líquida + imóveis a pagar / patrimônio líquido</w:t>
            </w:r>
          </w:p>
        </w:tc>
        <w:tc>
          <w:tcPr>
            <w:tcW w:w="1801" w:type="pct"/>
            <w:tcBorders>
              <w:top w:val="nil"/>
              <w:left w:val="nil"/>
              <w:bottom w:val="nil"/>
              <w:right w:val="nil"/>
            </w:tcBorders>
            <w:noWrap/>
            <w:vAlign w:val="center"/>
            <w:hideMark/>
          </w:tcPr>
          <w:p w14:paraId="1DA5698A"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312B059B" w14:textId="77777777" w:rsidTr="00A866F9">
        <w:tc>
          <w:tcPr>
            <w:tcW w:w="3199" w:type="pct"/>
            <w:tcBorders>
              <w:top w:val="nil"/>
              <w:left w:val="nil"/>
              <w:bottom w:val="nil"/>
              <w:right w:val="nil"/>
            </w:tcBorders>
            <w:vAlign w:val="center"/>
            <w:hideMark/>
          </w:tcPr>
          <w:p w14:paraId="29538639"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Dívida total / patrimônio líquido</w:t>
            </w:r>
          </w:p>
        </w:tc>
        <w:tc>
          <w:tcPr>
            <w:tcW w:w="1801" w:type="pct"/>
            <w:tcBorders>
              <w:top w:val="nil"/>
              <w:left w:val="nil"/>
              <w:bottom w:val="nil"/>
              <w:right w:val="nil"/>
            </w:tcBorders>
            <w:noWrap/>
            <w:vAlign w:val="center"/>
            <w:hideMark/>
          </w:tcPr>
          <w:p w14:paraId="0450F747"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3</w:t>
            </w:r>
          </w:p>
        </w:tc>
      </w:tr>
      <w:tr w:rsidR="00A866F9" w:rsidRPr="00A866F9" w14:paraId="0FC88CAF" w14:textId="77777777" w:rsidTr="00A866F9">
        <w:tc>
          <w:tcPr>
            <w:tcW w:w="3199" w:type="pct"/>
            <w:tcBorders>
              <w:top w:val="nil"/>
              <w:left w:val="nil"/>
              <w:bottom w:val="nil"/>
              <w:right w:val="nil"/>
            </w:tcBorders>
            <w:vAlign w:val="center"/>
            <w:hideMark/>
          </w:tcPr>
          <w:p w14:paraId="5A82E898" w14:textId="77777777" w:rsidR="00A866F9" w:rsidRPr="00A866F9" w:rsidRDefault="003E709B" w:rsidP="00A866F9">
            <w:pPr>
              <w:spacing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Exigível total / </w:t>
            </w:r>
            <w:r w:rsidR="00A866F9" w:rsidRPr="00A866F9">
              <w:rPr>
                <w:rFonts w:ascii="Times New Roman" w:eastAsia="Times New Roman" w:hAnsi="Times New Roman" w:cs="Times New Roman"/>
                <w:color w:val="000000"/>
                <w:sz w:val="20"/>
                <w:szCs w:val="20"/>
                <w:lang w:eastAsia="pt-BR"/>
              </w:rPr>
              <w:t>patrimônio líquido - dividendos</w:t>
            </w:r>
          </w:p>
        </w:tc>
        <w:tc>
          <w:tcPr>
            <w:tcW w:w="1801" w:type="pct"/>
            <w:tcBorders>
              <w:top w:val="nil"/>
              <w:left w:val="nil"/>
              <w:bottom w:val="nil"/>
              <w:right w:val="nil"/>
            </w:tcBorders>
            <w:noWrap/>
            <w:vAlign w:val="center"/>
            <w:hideMark/>
          </w:tcPr>
          <w:p w14:paraId="6B21EE86"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1F4C70C6" w14:textId="77777777" w:rsidTr="00A866F9">
        <w:tc>
          <w:tcPr>
            <w:tcW w:w="3199" w:type="pct"/>
            <w:tcBorders>
              <w:top w:val="nil"/>
              <w:left w:val="nil"/>
              <w:bottom w:val="nil"/>
              <w:right w:val="nil"/>
            </w:tcBorders>
            <w:noWrap/>
            <w:vAlign w:val="center"/>
            <w:hideMark/>
          </w:tcPr>
          <w:p w14:paraId="1BC9CEBF"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Índice de endividamento</w:t>
            </w:r>
          </w:p>
        </w:tc>
        <w:tc>
          <w:tcPr>
            <w:tcW w:w="1801" w:type="pct"/>
            <w:tcBorders>
              <w:top w:val="nil"/>
              <w:left w:val="nil"/>
              <w:bottom w:val="nil"/>
              <w:right w:val="nil"/>
            </w:tcBorders>
            <w:noWrap/>
            <w:vAlign w:val="center"/>
            <w:hideMark/>
          </w:tcPr>
          <w:p w14:paraId="280D3F91"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4</w:t>
            </w:r>
          </w:p>
        </w:tc>
      </w:tr>
      <w:tr w:rsidR="00A866F9" w:rsidRPr="00A866F9" w14:paraId="39027EEE" w14:textId="77777777" w:rsidTr="00A866F9">
        <w:tc>
          <w:tcPr>
            <w:tcW w:w="3199" w:type="pct"/>
            <w:tcBorders>
              <w:top w:val="nil"/>
              <w:left w:val="nil"/>
              <w:bottom w:val="nil"/>
              <w:right w:val="nil"/>
            </w:tcBorders>
            <w:noWrap/>
            <w:vAlign w:val="center"/>
            <w:hideMark/>
          </w:tcPr>
          <w:p w14:paraId="528F2043"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Índice de endividamento geral</w:t>
            </w:r>
          </w:p>
        </w:tc>
        <w:tc>
          <w:tcPr>
            <w:tcW w:w="1801" w:type="pct"/>
            <w:tcBorders>
              <w:top w:val="nil"/>
              <w:left w:val="nil"/>
              <w:bottom w:val="nil"/>
              <w:right w:val="nil"/>
            </w:tcBorders>
            <w:noWrap/>
            <w:vAlign w:val="center"/>
            <w:hideMark/>
          </w:tcPr>
          <w:p w14:paraId="57D59D5B"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5DAE663C" w14:textId="77777777" w:rsidTr="00A866F9">
        <w:tc>
          <w:tcPr>
            <w:tcW w:w="3199" w:type="pct"/>
            <w:tcBorders>
              <w:top w:val="nil"/>
              <w:left w:val="nil"/>
              <w:bottom w:val="nil"/>
              <w:right w:val="nil"/>
            </w:tcBorders>
            <w:noWrap/>
            <w:vAlign w:val="center"/>
            <w:hideMark/>
          </w:tcPr>
          <w:p w14:paraId="2FCC4641"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 xml:space="preserve">Outros </w:t>
            </w:r>
            <w:proofErr w:type="spellStart"/>
            <w:r w:rsidRPr="00A866F9">
              <w:rPr>
                <w:rFonts w:ascii="Times New Roman" w:eastAsia="Times New Roman" w:hAnsi="Times New Roman" w:cs="Times New Roman"/>
                <w:i/>
                <w:iCs/>
                <w:color w:val="000000"/>
                <w:sz w:val="20"/>
                <w:szCs w:val="20"/>
                <w:lang w:eastAsia="pt-BR"/>
              </w:rPr>
              <w:t>covenants</w:t>
            </w:r>
            <w:proofErr w:type="spellEnd"/>
            <w:r w:rsidRPr="00A866F9">
              <w:rPr>
                <w:rFonts w:ascii="Times New Roman" w:eastAsia="Times New Roman" w:hAnsi="Times New Roman" w:cs="Times New Roman"/>
                <w:color w:val="000000"/>
                <w:sz w:val="20"/>
                <w:szCs w:val="20"/>
                <w:lang w:eastAsia="pt-BR"/>
              </w:rPr>
              <w:t xml:space="preserve"> que aparecem uma única vez</w:t>
            </w:r>
          </w:p>
        </w:tc>
        <w:tc>
          <w:tcPr>
            <w:tcW w:w="1801" w:type="pct"/>
            <w:tcBorders>
              <w:top w:val="nil"/>
              <w:left w:val="nil"/>
              <w:bottom w:val="nil"/>
              <w:right w:val="nil"/>
            </w:tcBorders>
            <w:noWrap/>
            <w:vAlign w:val="center"/>
            <w:hideMark/>
          </w:tcPr>
          <w:p w14:paraId="4AB004A1" w14:textId="77777777" w:rsidR="00A866F9" w:rsidRPr="00A866F9" w:rsidRDefault="00705627" w:rsidP="00A866F9">
            <w:pPr>
              <w:spacing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w:t>
            </w:r>
          </w:p>
        </w:tc>
      </w:tr>
      <w:tr w:rsidR="00A866F9" w:rsidRPr="00A866F9" w14:paraId="6BD12D57" w14:textId="77777777" w:rsidTr="00A866F9">
        <w:tc>
          <w:tcPr>
            <w:tcW w:w="3199" w:type="pct"/>
            <w:tcBorders>
              <w:top w:val="nil"/>
              <w:left w:val="nil"/>
              <w:bottom w:val="nil"/>
              <w:right w:val="nil"/>
            </w:tcBorders>
            <w:vAlign w:val="center"/>
            <w:hideMark/>
          </w:tcPr>
          <w:p w14:paraId="0694EC29"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Patrimônio líquido / ativo total</w:t>
            </w:r>
          </w:p>
        </w:tc>
        <w:tc>
          <w:tcPr>
            <w:tcW w:w="1801" w:type="pct"/>
            <w:tcBorders>
              <w:top w:val="nil"/>
              <w:left w:val="nil"/>
              <w:bottom w:val="nil"/>
              <w:right w:val="nil"/>
            </w:tcBorders>
            <w:noWrap/>
            <w:vAlign w:val="center"/>
            <w:hideMark/>
          </w:tcPr>
          <w:p w14:paraId="1A3484A3"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9</w:t>
            </w:r>
          </w:p>
        </w:tc>
      </w:tr>
      <w:tr w:rsidR="00A866F9" w:rsidRPr="00A866F9" w14:paraId="6065DDA3" w14:textId="77777777" w:rsidTr="00A866F9">
        <w:tc>
          <w:tcPr>
            <w:tcW w:w="3199" w:type="pct"/>
            <w:tcBorders>
              <w:top w:val="nil"/>
              <w:left w:val="nil"/>
              <w:bottom w:val="nil"/>
              <w:right w:val="nil"/>
            </w:tcBorders>
            <w:noWrap/>
            <w:vAlign w:val="center"/>
            <w:hideMark/>
          </w:tcPr>
          <w:p w14:paraId="52C5516C"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Patrimônio líquido / patrimônio líquido + dívidas bancárias líquidas</w:t>
            </w:r>
          </w:p>
        </w:tc>
        <w:tc>
          <w:tcPr>
            <w:tcW w:w="1801" w:type="pct"/>
            <w:tcBorders>
              <w:top w:val="nil"/>
              <w:left w:val="nil"/>
              <w:bottom w:val="nil"/>
              <w:right w:val="nil"/>
            </w:tcBorders>
            <w:noWrap/>
            <w:vAlign w:val="center"/>
            <w:hideMark/>
          </w:tcPr>
          <w:p w14:paraId="76D18EF2"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3</w:t>
            </w:r>
          </w:p>
        </w:tc>
      </w:tr>
      <w:tr w:rsidR="00A866F9" w:rsidRPr="00A866F9" w14:paraId="70DB7B7F" w14:textId="77777777" w:rsidTr="00A866F9">
        <w:tc>
          <w:tcPr>
            <w:tcW w:w="3199" w:type="pct"/>
            <w:tcBorders>
              <w:top w:val="nil"/>
              <w:left w:val="nil"/>
              <w:bottom w:val="nil"/>
              <w:right w:val="nil"/>
            </w:tcBorders>
            <w:noWrap/>
            <w:vAlign w:val="center"/>
            <w:hideMark/>
          </w:tcPr>
          <w:p w14:paraId="3EF49CA4"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Patrimônio líquido / patrimônio líquido + dívidas líquidas</w:t>
            </w:r>
          </w:p>
        </w:tc>
        <w:tc>
          <w:tcPr>
            <w:tcW w:w="1801" w:type="pct"/>
            <w:tcBorders>
              <w:top w:val="nil"/>
              <w:left w:val="nil"/>
              <w:bottom w:val="nil"/>
              <w:right w:val="nil"/>
            </w:tcBorders>
            <w:noWrap/>
            <w:vAlign w:val="center"/>
            <w:hideMark/>
          </w:tcPr>
          <w:p w14:paraId="492A2508"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3A2F8240" w14:textId="77777777" w:rsidTr="00A866F9">
        <w:tc>
          <w:tcPr>
            <w:tcW w:w="3199" w:type="pct"/>
            <w:tcBorders>
              <w:top w:val="nil"/>
              <w:left w:val="nil"/>
              <w:right w:val="nil"/>
            </w:tcBorders>
            <w:noWrap/>
            <w:vAlign w:val="center"/>
            <w:hideMark/>
          </w:tcPr>
          <w:p w14:paraId="2F1D9DF1"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Recebíveis de conta corrente (saldo mínimo)</w:t>
            </w:r>
          </w:p>
        </w:tc>
        <w:tc>
          <w:tcPr>
            <w:tcW w:w="1801" w:type="pct"/>
            <w:tcBorders>
              <w:top w:val="nil"/>
              <w:left w:val="nil"/>
              <w:right w:val="nil"/>
            </w:tcBorders>
            <w:noWrap/>
            <w:vAlign w:val="center"/>
            <w:hideMark/>
          </w:tcPr>
          <w:p w14:paraId="1E40E21F"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3</w:t>
            </w:r>
          </w:p>
        </w:tc>
      </w:tr>
      <w:tr w:rsidR="00A866F9" w:rsidRPr="00A866F9" w14:paraId="2339FB44" w14:textId="77777777" w:rsidTr="00A866F9">
        <w:tc>
          <w:tcPr>
            <w:tcW w:w="3199" w:type="pct"/>
            <w:tcBorders>
              <w:left w:val="nil"/>
              <w:right w:val="nil"/>
            </w:tcBorders>
            <w:noWrap/>
            <w:vAlign w:val="center"/>
            <w:hideMark/>
          </w:tcPr>
          <w:p w14:paraId="4BA49390"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r w:rsidRPr="00A866F9">
              <w:rPr>
                <w:rFonts w:ascii="Times New Roman" w:eastAsia="Times New Roman" w:hAnsi="Times New Roman" w:cs="Times New Roman"/>
                <w:b/>
                <w:bCs/>
                <w:color w:val="000000"/>
                <w:sz w:val="20"/>
                <w:szCs w:val="20"/>
                <w:lang w:eastAsia="pt-BR"/>
              </w:rPr>
              <w:t>Total</w:t>
            </w:r>
          </w:p>
        </w:tc>
        <w:tc>
          <w:tcPr>
            <w:tcW w:w="1801" w:type="pct"/>
            <w:tcBorders>
              <w:left w:val="nil"/>
              <w:right w:val="nil"/>
            </w:tcBorders>
            <w:noWrap/>
            <w:vAlign w:val="center"/>
            <w:hideMark/>
          </w:tcPr>
          <w:p w14:paraId="03BDCBA4"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r w:rsidRPr="00A866F9">
              <w:rPr>
                <w:rFonts w:ascii="Times New Roman" w:eastAsia="Times New Roman" w:hAnsi="Times New Roman" w:cs="Times New Roman"/>
                <w:b/>
                <w:bCs/>
                <w:color w:val="000000"/>
                <w:sz w:val="20"/>
                <w:szCs w:val="20"/>
                <w:lang w:eastAsia="pt-BR"/>
              </w:rPr>
              <w:t>118</w:t>
            </w:r>
          </w:p>
        </w:tc>
      </w:tr>
      <w:tr w:rsidR="00A866F9" w:rsidRPr="00A866F9" w14:paraId="17B2139D" w14:textId="77777777" w:rsidTr="00A866F9">
        <w:tc>
          <w:tcPr>
            <w:tcW w:w="5000" w:type="pct"/>
            <w:gridSpan w:val="2"/>
            <w:tcBorders>
              <w:left w:val="nil"/>
              <w:right w:val="nil"/>
            </w:tcBorders>
            <w:noWrap/>
            <w:vAlign w:val="center"/>
            <w:hideMark/>
          </w:tcPr>
          <w:p w14:paraId="02692B63" w14:textId="77777777" w:rsidR="00A866F9" w:rsidRPr="00A866F9" w:rsidRDefault="00A866F9" w:rsidP="00A866F9">
            <w:pPr>
              <w:spacing w:line="240" w:lineRule="auto"/>
              <w:rPr>
                <w:rFonts w:ascii="Times New Roman" w:eastAsia="Times New Roman" w:hAnsi="Times New Roman" w:cs="Times New Roman"/>
                <w:b/>
                <w:bCs/>
                <w:color w:val="000000"/>
                <w:sz w:val="20"/>
                <w:szCs w:val="20"/>
                <w:lang w:eastAsia="pt-BR"/>
              </w:rPr>
            </w:pPr>
            <w:r w:rsidRPr="00A866F9">
              <w:rPr>
                <w:rFonts w:ascii="Times New Roman" w:eastAsia="Times New Roman" w:hAnsi="Times New Roman" w:cs="Times New Roman"/>
                <w:b/>
                <w:bCs/>
                <w:color w:val="000000"/>
                <w:sz w:val="20"/>
                <w:szCs w:val="20"/>
                <w:lang w:eastAsia="pt-BR"/>
              </w:rPr>
              <w:t xml:space="preserve">Painel D: </w:t>
            </w:r>
            <w:proofErr w:type="spellStart"/>
            <w:r w:rsidRPr="00A866F9">
              <w:rPr>
                <w:rFonts w:ascii="Times New Roman" w:eastAsia="Times New Roman" w:hAnsi="Times New Roman" w:cs="Times New Roman"/>
                <w:b/>
                <w:bCs/>
                <w:i/>
                <w:iCs/>
                <w:color w:val="000000"/>
                <w:sz w:val="20"/>
                <w:szCs w:val="20"/>
                <w:lang w:eastAsia="pt-BR"/>
              </w:rPr>
              <w:t>Covenants</w:t>
            </w:r>
            <w:proofErr w:type="spellEnd"/>
            <w:r w:rsidRPr="00A866F9">
              <w:rPr>
                <w:rFonts w:ascii="Times New Roman" w:eastAsia="Times New Roman" w:hAnsi="Times New Roman" w:cs="Times New Roman"/>
                <w:b/>
                <w:bCs/>
                <w:color w:val="000000"/>
                <w:sz w:val="20"/>
                <w:szCs w:val="20"/>
                <w:lang w:eastAsia="pt-BR"/>
              </w:rPr>
              <w:t xml:space="preserve"> financeiros relacionados a DRE por empresa</w:t>
            </w:r>
          </w:p>
        </w:tc>
      </w:tr>
      <w:tr w:rsidR="00A866F9" w:rsidRPr="00A866F9" w14:paraId="0BF6ADBD" w14:textId="77777777" w:rsidTr="00A866F9">
        <w:tc>
          <w:tcPr>
            <w:tcW w:w="3199" w:type="pct"/>
            <w:tcBorders>
              <w:left w:val="nil"/>
              <w:right w:val="nil"/>
            </w:tcBorders>
            <w:vAlign w:val="center"/>
            <w:hideMark/>
          </w:tcPr>
          <w:p w14:paraId="25A72CAE" w14:textId="77777777" w:rsidR="00A866F9" w:rsidRPr="00A866F9" w:rsidRDefault="00A866F9" w:rsidP="00A866F9">
            <w:pPr>
              <w:spacing w:line="240" w:lineRule="auto"/>
              <w:jc w:val="center"/>
              <w:rPr>
                <w:rFonts w:ascii="Times New Roman" w:eastAsia="Times New Roman" w:hAnsi="Times New Roman" w:cs="Times New Roman"/>
                <w:b/>
                <w:bCs/>
                <w:i/>
                <w:iCs/>
                <w:color w:val="000000"/>
                <w:sz w:val="20"/>
                <w:szCs w:val="20"/>
                <w:lang w:eastAsia="pt-BR"/>
              </w:rPr>
            </w:pPr>
            <w:proofErr w:type="spellStart"/>
            <w:r w:rsidRPr="00A866F9">
              <w:rPr>
                <w:rFonts w:ascii="Times New Roman" w:eastAsia="Times New Roman" w:hAnsi="Times New Roman" w:cs="Times New Roman"/>
                <w:b/>
                <w:bCs/>
                <w:i/>
                <w:iCs/>
                <w:color w:val="000000"/>
                <w:sz w:val="20"/>
                <w:szCs w:val="20"/>
                <w:lang w:eastAsia="pt-BR"/>
              </w:rPr>
              <w:t>Covenants</w:t>
            </w:r>
            <w:proofErr w:type="spellEnd"/>
            <w:r w:rsidRPr="00A866F9">
              <w:rPr>
                <w:rFonts w:ascii="Times New Roman" w:eastAsia="Times New Roman" w:hAnsi="Times New Roman" w:cs="Times New Roman"/>
                <w:b/>
                <w:bCs/>
                <w:i/>
                <w:iCs/>
                <w:color w:val="000000"/>
                <w:sz w:val="20"/>
                <w:szCs w:val="20"/>
                <w:lang w:eastAsia="pt-BR"/>
              </w:rPr>
              <w:t xml:space="preserve"> </w:t>
            </w:r>
            <w:r w:rsidRPr="00A866F9">
              <w:rPr>
                <w:rFonts w:ascii="Times New Roman" w:eastAsia="Times New Roman" w:hAnsi="Times New Roman" w:cs="Times New Roman"/>
                <w:b/>
                <w:bCs/>
                <w:color w:val="000000"/>
                <w:sz w:val="20"/>
                <w:szCs w:val="20"/>
                <w:lang w:eastAsia="pt-BR"/>
              </w:rPr>
              <w:t>financeiros</w:t>
            </w:r>
          </w:p>
        </w:tc>
        <w:tc>
          <w:tcPr>
            <w:tcW w:w="1801" w:type="pct"/>
            <w:tcBorders>
              <w:left w:val="nil"/>
              <w:right w:val="nil"/>
            </w:tcBorders>
            <w:noWrap/>
            <w:vAlign w:val="center"/>
            <w:hideMark/>
          </w:tcPr>
          <w:p w14:paraId="1969D3FF"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proofErr w:type="spellStart"/>
            <w:r w:rsidRPr="00A866F9">
              <w:rPr>
                <w:rFonts w:ascii="Times New Roman" w:eastAsia="Times New Roman" w:hAnsi="Times New Roman" w:cs="Times New Roman"/>
                <w:b/>
                <w:bCs/>
                <w:color w:val="000000"/>
                <w:sz w:val="20"/>
                <w:szCs w:val="20"/>
                <w:lang w:eastAsia="pt-BR"/>
              </w:rPr>
              <w:t>Qtde</w:t>
            </w:r>
            <w:proofErr w:type="spellEnd"/>
          </w:p>
        </w:tc>
      </w:tr>
      <w:tr w:rsidR="00A866F9" w:rsidRPr="00A866F9" w14:paraId="162366A0" w14:textId="77777777" w:rsidTr="00A866F9">
        <w:tc>
          <w:tcPr>
            <w:tcW w:w="3199" w:type="pct"/>
            <w:tcBorders>
              <w:left w:val="nil"/>
              <w:bottom w:val="nil"/>
              <w:right w:val="nil"/>
            </w:tcBorders>
            <w:noWrap/>
            <w:vAlign w:val="center"/>
            <w:hideMark/>
          </w:tcPr>
          <w:p w14:paraId="1173E5CF"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Despesa financeira / EBITDA</w:t>
            </w:r>
          </w:p>
        </w:tc>
        <w:tc>
          <w:tcPr>
            <w:tcW w:w="1801" w:type="pct"/>
            <w:tcBorders>
              <w:left w:val="nil"/>
              <w:bottom w:val="nil"/>
              <w:right w:val="nil"/>
            </w:tcBorders>
            <w:noWrap/>
            <w:vAlign w:val="center"/>
            <w:hideMark/>
          </w:tcPr>
          <w:p w14:paraId="2643E7E1"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55D67F14" w14:textId="77777777" w:rsidTr="00A866F9">
        <w:tc>
          <w:tcPr>
            <w:tcW w:w="3199" w:type="pct"/>
            <w:tcBorders>
              <w:top w:val="nil"/>
              <w:left w:val="nil"/>
              <w:bottom w:val="nil"/>
              <w:right w:val="nil"/>
            </w:tcBorders>
            <w:noWrap/>
            <w:vAlign w:val="center"/>
            <w:hideMark/>
          </w:tcPr>
          <w:p w14:paraId="6724D154"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 / despesa financeira líquida</w:t>
            </w:r>
          </w:p>
        </w:tc>
        <w:tc>
          <w:tcPr>
            <w:tcW w:w="1801" w:type="pct"/>
            <w:tcBorders>
              <w:top w:val="nil"/>
              <w:left w:val="nil"/>
              <w:bottom w:val="nil"/>
              <w:right w:val="nil"/>
            </w:tcBorders>
            <w:noWrap/>
            <w:vAlign w:val="center"/>
            <w:hideMark/>
          </w:tcPr>
          <w:p w14:paraId="0A7F6F1E"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74A68571" w14:textId="77777777" w:rsidTr="00A866F9">
        <w:tc>
          <w:tcPr>
            <w:tcW w:w="3199" w:type="pct"/>
            <w:tcBorders>
              <w:top w:val="nil"/>
              <w:left w:val="nil"/>
              <w:bottom w:val="nil"/>
              <w:right w:val="nil"/>
            </w:tcBorders>
            <w:vAlign w:val="center"/>
            <w:hideMark/>
          </w:tcPr>
          <w:p w14:paraId="20D6106A"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 / despesa financeira</w:t>
            </w:r>
          </w:p>
        </w:tc>
        <w:tc>
          <w:tcPr>
            <w:tcW w:w="1801" w:type="pct"/>
            <w:tcBorders>
              <w:top w:val="nil"/>
              <w:left w:val="nil"/>
              <w:bottom w:val="nil"/>
              <w:right w:val="nil"/>
            </w:tcBorders>
            <w:noWrap/>
            <w:vAlign w:val="center"/>
            <w:hideMark/>
          </w:tcPr>
          <w:p w14:paraId="4F40666F"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4237E184" w14:textId="77777777" w:rsidTr="00A866F9">
        <w:tc>
          <w:tcPr>
            <w:tcW w:w="3199" w:type="pct"/>
            <w:tcBorders>
              <w:top w:val="nil"/>
              <w:left w:val="nil"/>
              <w:bottom w:val="nil"/>
              <w:right w:val="nil"/>
            </w:tcBorders>
            <w:noWrap/>
            <w:vAlign w:val="center"/>
            <w:hideMark/>
          </w:tcPr>
          <w:p w14:paraId="335A2714"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 xml:space="preserve">EBITDA / </w:t>
            </w:r>
            <w:r w:rsidRPr="00A866F9">
              <w:rPr>
                <w:rFonts w:ascii="Times New Roman" w:eastAsia="Times New Roman" w:hAnsi="Times New Roman" w:cs="Times New Roman"/>
                <w:i/>
                <w:iCs/>
                <w:color w:val="000000"/>
                <w:sz w:val="20"/>
                <w:szCs w:val="20"/>
                <w:lang w:eastAsia="pt-BR"/>
              </w:rPr>
              <w:t>”</w:t>
            </w:r>
            <w:proofErr w:type="spellStart"/>
            <w:r w:rsidRPr="00A866F9">
              <w:rPr>
                <w:rFonts w:ascii="Times New Roman" w:eastAsia="Times New Roman" w:hAnsi="Times New Roman" w:cs="Times New Roman"/>
                <w:i/>
                <w:iCs/>
                <w:color w:val="000000"/>
                <w:sz w:val="20"/>
                <w:szCs w:val="20"/>
                <w:lang w:eastAsia="pt-BR"/>
              </w:rPr>
              <w:t>Debt</w:t>
            </w:r>
            <w:proofErr w:type="spellEnd"/>
            <w:r w:rsidRPr="00A866F9">
              <w:rPr>
                <w:rFonts w:ascii="Times New Roman" w:eastAsia="Times New Roman" w:hAnsi="Times New Roman" w:cs="Times New Roman"/>
                <w:i/>
                <w:iCs/>
                <w:color w:val="000000"/>
                <w:sz w:val="20"/>
                <w:szCs w:val="20"/>
                <w:lang w:eastAsia="pt-BR"/>
              </w:rPr>
              <w:t xml:space="preserve"> Service”</w:t>
            </w:r>
          </w:p>
        </w:tc>
        <w:tc>
          <w:tcPr>
            <w:tcW w:w="1801" w:type="pct"/>
            <w:tcBorders>
              <w:top w:val="nil"/>
              <w:left w:val="nil"/>
              <w:bottom w:val="nil"/>
              <w:right w:val="nil"/>
            </w:tcBorders>
            <w:noWrap/>
            <w:vAlign w:val="center"/>
            <w:hideMark/>
          </w:tcPr>
          <w:p w14:paraId="2499FAD1"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5CB033FC" w14:textId="77777777" w:rsidTr="00A866F9">
        <w:tc>
          <w:tcPr>
            <w:tcW w:w="3199" w:type="pct"/>
            <w:tcBorders>
              <w:top w:val="nil"/>
              <w:left w:val="nil"/>
              <w:bottom w:val="nil"/>
              <w:right w:val="nil"/>
            </w:tcBorders>
            <w:vAlign w:val="center"/>
            <w:hideMark/>
          </w:tcPr>
          <w:p w14:paraId="74D36AA1"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despesa de juros</w:t>
            </w:r>
          </w:p>
        </w:tc>
        <w:tc>
          <w:tcPr>
            <w:tcW w:w="1801" w:type="pct"/>
            <w:tcBorders>
              <w:top w:val="nil"/>
              <w:left w:val="nil"/>
              <w:bottom w:val="nil"/>
              <w:right w:val="nil"/>
            </w:tcBorders>
            <w:noWrap/>
            <w:vAlign w:val="center"/>
            <w:hideMark/>
          </w:tcPr>
          <w:p w14:paraId="6DAE8EFB"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55058032" w14:textId="77777777" w:rsidTr="00A866F9">
        <w:tc>
          <w:tcPr>
            <w:tcW w:w="3199" w:type="pct"/>
            <w:tcBorders>
              <w:top w:val="nil"/>
              <w:left w:val="nil"/>
              <w:bottom w:val="nil"/>
              <w:right w:val="nil"/>
            </w:tcBorders>
            <w:noWrap/>
            <w:vAlign w:val="center"/>
            <w:hideMark/>
          </w:tcPr>
          <w:p w14:paraId="6EC72DAD"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despesa de juros paga</w:t>
            </w:r>
          </w:p>
        </w:tc>
        <w:tc>
          <w:tcPr>
            <w:tcW w:w="1801" w:type="pct"/>
            <w:tcBorders>
              <w:top w:val="nil"/>
              <w:left w:val="nil"/>
              <w:bottom w:val="nil"/>
              <w:right w:val="nil"/>
            </w:tcBorders>
            <w:noWrap/>
            <w:vAlign w:val="center"/>
            <w:hideMark/>
          </w:tcPr>
          <w:p w14:paraId="6A302B99"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20DC6177" w14:textId="77777777" w:rsidTr="00A866F9">
        <w:tc>
          <w:tcPr>
            <w:tcW w:w="3199" w:type="pct"/>
            <w:tcBorders>
              <w:top w:val="nil"/>
              <w:left w:val="nil"/>
              <w:bottom w:val="nil"/>
              <w:right w:val="nil"/>
            </w:tcBorders>
            <w:noWrap/>
            <w:vAlign w:val="center"/>
            <w:hideMark/>
          </w:tcPr>
          <w:p w14:paraId="4F13E26B"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despesa financeira</w:t>
            </w:r>
          </w:p>
        </w:tc>
        <w:tc>
          <w:tcPr>
            <w:tcW w:w="1801" w:type="pct"/>
            <w:tcBorders>
              <w:top w:val="nil"/>
              <w:left w:val="nil"/>
              <w:bottom w:val="nil"/>
              <w:right w:val="nil"/>
            </w:tcBorders>
            <w:noWrap/>
            <w:vAlign w:val="center"/>
            <w:hideMark/>
          </w:tcPr>
          <w:p w14:paraId="48E1FE0F"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068FFDEE" w14:textId="77777777" w:rsidTr="00A866F9">
        <w:tc>
          <w:tcPr>
            <w:tcW w:w="3199" w:type="pct"/>
            <w:tcBorders>
              <w:top w:val="nil"/>
              <w:left w:val="nil"/>
              <w:bottom w:val="nil"/>
              <w:right w:val="nil"/>
            </w:tcBorders>
            <w:noWrap/>
            <w:vAlign w:val="center"/>
            <w:hideMark/>
          </w:tcPr>
          <w:p w14:paraId="4193C7CE"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despesa financeira líquida</w:t>
            </w:r>
          </w:p>
        </w:tc>
        <w:tc>
          <w:tcPr>
            <w:tcW w:w="1801" w:type="pct"/>
            <w:tcBorders>
              <w:top w:val="nil"/>
              <w:left w:val="nil"/>
              <w:bottom w:val="nil"/>
              <w:right w:val="nil"/>
            </w:tcBorders>
            <w:noWrap/>
            <w:vAlign w:val="center"/>
            <w:hideMark/>
          </w:tcPr>
          <w:p w14:paraId="5D64FECE"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21</w:t>
            </w:r>
          </w:p>
        </w:tc>
      </w:tr>
      <w:tr w:rsidR="00A866F9" w:rsidRPr="00A866F9" w14:paraId="59903AF3" w14:textId="77777777" w:rsidTr="00A866F9">
        <w:tc>
          <w:tcPr>
            <w:tcW w:w="3199" w:type="pct"/>
            <w:tcBorders>
              <w:top w:val="nil"/>
              <w:left w:val="nil"/>
              <w:bottom w:val="nil"/>
              <w:right w:val="nil"/>
            </w:tcBorders>
            <w:noWrap/>
            <w:vAlign w:val="center"/>
            <w:hideMark/>
          </w:tcPr>
          <w:p w14:paraId="5D0D45D0"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despesas financeiras + juros</w:t>
            </w:r>
          </w:p>
        </w:tc>
        <w:tc>
          <w:tcPr>
            <w:tcW w:w="1801" w:type="pct"/>
            <w:tcBorders>
              <w:top w:val="nil"/>
              <w:left w:val="nil"/>
              <w:bottom w:val="nil"/>
              <w:right w:val="nil"/>
            </w:tcBorders>
            <w:noWrap/>
            <w:vAlign w:val="center"/>
            <w:hideMark/>
          </w:tcPr>
          <w:p w14:paraId="613C18CC"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2BE0F599" w14:textId="77777777" w:rsidTr="00A866F9">
        <w:tc>
          <w:tcPr>
            <w:tcW w:w="3199" w:type="pct"/>
            <w:tcBorders>
              <w:top w:val="nil"/>
              <w:left w:val="nil"/>
              <w:bottom w:val="nil"/>
              <w:right w:val="nil"/>
            </w:tcBorders>
            <w:noWrap/>
            <w:vAlign w:val="center"/>
            <w:hideMark/>
          </w:tcPr>
          <w:p w14:paraId="0D326B40"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receita líquida</w:t>
            </w:r>
          </w:p>
        </w:tc>
        <w:tc>
          <w:tcPr>
            <w:tcW w:w="1801" w:type="pct"/>
            <w:tcBorders>
              <w:top w:val="nil"/>
              <w:left w:val="nil"/>
              <w:bottom w:val="nil"/>
              <w:right w:val="nil"/>
            </w:tcBorders>
            <w:noWrap/>
            <w:vAlign w:val="center"/>
            <w:hideMark/>
          </w:tcPr>
          <w:p w14:paraId="62492A19"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733D6A77" w14:textId="77777777" w:rsidTr="00A866F9">
        <w:tc>
          <w:tcPr>
            <w:tcW w:w="3199" w:type="pct"/>
            <w:tcBorders>
              <w:top w:val="nil"/>
              <w:left w:val="nil"/>
              <w:bottom w:val="nil"/>
              <w:right w:val="nil"/>
            </w:tcBorders>
            <w:noWrap/>
            <w:vAlign w:val="center"/>
            <w:hideMark/>
          </w:tcPr>
          <w:p w14:paraId="703AB35D"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receita operacional líquida</w:t>
            </w:r>
          </w:p>
        </w:tc>
        <w:tc>
          <w:tcPr>
            <w:tcW w:w="1801" w:type="pct"/>
            <w:tcBorders>
              <w:top w:val="nil"/>
              <w:left w:val="nil"/>
              <w:bottom w:val="nil"/>
              <w:right w:val="nil"/>
            </w:tcBorders>
            <w:noWrap/>
            <w:vAlign w:val="center"/>
            <w:hideMark/>
          </w:tcPr>
          <w:p w14:paraId="16FFED40"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4</w:t>
            </w:r>
          </w:p>
        </w:tc>
      </w:tr>
      <w:tr w:rsidR="00A866F9" w:rsidRPr="00A866F9" w14:paraId="1F6BB07C" w14:textId="77777777" w:rsidTr="00A866F9">
        <w:tc>
          <w:tcPr>
            <w:tcW w:w="3199" w:type="pct"/>
            <w:tcBorders>
              <w:top w:val="nil"/>
              <w:left w:val="nil"/>
              <w:bottom w:val="nil"/>
              <w:right w:val="nil"/>
            </w:tcBorders>
            <w:noWrap/>
            <w:vAlign w:val="center"/>
            <w:hideMark/>
          </w:tcPr>
          <w:p w14:paraId="162A5C9B"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resultado financeiro</w:t>
            </w:r>
          </w:p>
        </w:tc>
        <w:tc>
          <w:tcPr>
            <w:tcW w:w="1801" w:type="pct"/>
            <w:tcBorders>
              <w:top w:val="nil"/>
              <w:left w:val="nil"/>
              <w:bottom w:val="nil"/>
              <w:right w:val="nil"/>
            </w:tcBorders>
            <w:noWrap/>
            <w:vAlign w:val="center"/>
            <w:hideMark/>
          </w:tcPr>
          <w:p w14:paraId="722F6612"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2</w:t>
            </w:r>
          </w:p>
        </w:tc>
      </w:tr>
      <w:tr w:rsidR="00A866F9" w:rsidRPr="00A866F9" w14:paraId="77534717" w14:textId="77777777" w:rsidTr="00A866F9">
        <w:tc>
          <w:tcPr>
            <w:tcW w:w="3199" w:type="pct"/>
            <w:tcBorders>
              <w:top w:val="nil"/>
              <w:left w:val="nil"/>
              <w:bottom w:val="nil"/>
              <w:right w:val="nil"/>
            </w:tcBorders>
            <w:vAlign w:val="center"/>
            <w:hideMark/>
          </w:tcPr>
          <w:p w14:paraId="015E46EA"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resultado financeiro líquido</w:t>
            </w:r>
          </w:p>
        </w:tc>
        <w:tc>
          <w:tcPr>
            <w:tcW w:w="1801" w:type="pct"/>
            <w:tcBorders>
              <w:top w:val="nil"/>
              <w:left w:val="nil"/>
              <w:bottom w:val="nil"/>
              <w:right w:val="nil"/>
            </w:tcBorders>
            <w:noWrap/>
            <w:vAlign w:val="center"/>
            <w:hideMark/>
          </w:tcPr>
          <w:p w14:paraId="18D32586"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3018CD40" w14:textId="77777777" w:rsidTr="00A866F9">
        <w:tc>
          <w:tcPr>
            <w:tcW w:w="3199" w:type="pct"/>
            <w:tcBorders>
              <w:top w:val="nil"/>
              <w:left w:val="nil"/>
              <w:bottom w:val="nil"/>
              <w:right w:val="nil"/>
            </w:tcBorders>
            <w:noWrap/>
            <w:vAlign w:val="center"/>
            <w:hideMark/>
          </w:tcPr>
          <w:p w14:paraId="50DB38A6"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 resultado financeiro líquido consolidado</w:t>
            </w:r>
          </w:p>
        </w:tc>
        <w:tc>
          <w:tcPr>
            <w:tcW w:w="1801" w:type="pct"/>
            <w:tcBorders>
              <w:top w:val="nil"/>
              <w:left w:val="nil"/>
              <w:bottom w:val="nil"/>
              <w:right w:val="nil"/>
            </w:tcBorders>
            <w:noWrap/>
            <w:vAlign w:val="center"/>
            <w:hideMark/>
          </w:tcPr>
          <w:p w14:paraId="05192122"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5CE143B4" w14:textId="77777777" w:rsidTr="00A866F9">
        <w:tc>
          <w:tcPr>
            <w:tcW w:w="3199" w:type="pct"/>
            <w:tcBorders>
              <w:top w:val="nil"/>
              <w:left w:val="nil"/>
              <w:bottom w:val="nil"/>
              <w:right w:val="nil"/>
            </w:tcBorders>
            <w:noWrap/>
            <w:vAlign w:val="center"/>
            <w:hideMark/>
          </w:tcPr>
          <w:p w14:paraId="4286D70F"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ajustado / despesa financeira líquida</w:t>
            </w:r>
          </w:p>
        </w:tc>
        <w:tc>
          <w:tcPr>
            <w:tcW w:w="1801" w:type="pct"/>
            <w:tcBorders>
              <w:top w:val="nil"/>
              <w:left w:val="nil"/>
              <w:bottom w:val="nil"/>
              <w:right w:val="nil"/>
            </w:tcBorders>
            <w:noWrap/>
            <w:vAlign w:val="center"/>
            <w:hideMark/>
          </w:tcPr>
          <w:p w14:paraId="49F526E0"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25572E10" w14:textId="77777777" w:rsidTr="00A866F9">
        <w:tc>
          <w:tcPr>
            <w:tcW w:w="3199" w:type="pct"/>
            <w:tcBorders>
              <w:top w:val="nil"/>
              <w:left w:val="nil"/>
              <w:bottom w:val="nil"/>
              <w:right w:val="nil"/>
            </w:tcBorders>
            <w:noWrap/>
            <w:vAlign w:val="center"/>
            <w:hideMark/>
          </w:tcPr>
          <w:p w14:paraId="48EF328C"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ajustado / resultado financeiro consolidado</w:t>
            </w:r>
          </w:p>
        </w:tc>
        <w:tc>
          <w:tcPr>
            <w:tcW w:w="1801" w:type="pct"/>
            <w:tcBorders>
              <w:top w:val="nil"/>
              <w:left w:val="nil"/>
              <w:bottom w:val="nil"/>
              <w:right w:val="nil"/>
            </w:tcBorders>
            <w:noWrap/>
            <w:vAlign w:val="center"/>
            <w:hideMark/>
          </w:tcPr>
          <w:p w14:paraId="1B72FCC1"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193A643E" w14:textId="77777777" w:rsidTr="00A866F9">
        <w:tc>
          <w:tcPr>
            <w:tcW w:w="3199" w:type="pct"/>
            <w:tcBorders>
              <w:top w:val="nil"/>
              <w:left w:val="nil"/>
              <w:bottom w:val="nil"/>
              <w:right w:val="nil"/>
            </w:tcBorders>
            <w:noWrap/>
            <w:vAlign w:val="center"/>
            <w:hideMark/>
          </w:tcPr>
          <w:p w14:paraId="1C8EED43"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EBITDA devido / custo financeiro</w:t>
            </w:r>
          </w:p>
        </w:tc>
        <w:tc>
          <w:tcPr>
            <w:tcW w:w="1801" w:type="pct"/>
            <w:tcBorders>
              <w:top w:val="nil"/>
              <w:left w:val="nil"/>
              <w:bottom w:val="nil"/>
              <w:right w:val="nil"/>
            </w:tcBorders>
            <w:noWrap/>
            <w:vAlign w:val="center"/>
            <w:hideMark/>
          </w:tcPr>
          <w:p w14:paraId="3230E7D3"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7BE0BF29" w14:textId="77777777" w:rsidTr="00A866F9">
        <w:tc>
          <w:tcPr>
            <w:tcW w:w="3199" w:type="pct"/>
            <w:tcBorders>
              <w:top w:val="nil"/>
              <w:left w:val="nil"/>
              <w:right w:val="nil"/>
            </w:tcBorders>
            <w:noWrap/>
            <w:vAlign w:val="center"/>
            <w:hideMark/>
          </w:tcPr>
          <w:p w14:paraId="70246926" w14:textId="77777777" w:rsidR="00A866F9" w:rsidRPr="00A866F9" w:rsidRDefault="00A866F9" w:rsidP="00A866F9">
            <w:pPr>
              <w:spacing w:line="240" w:lineRule="auto"/>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Fluxo de repasses / despesa financeira líquida</w:t>
            </w:r>
          </w:p>
        </w:tc>
        <w:tc>
          <w:tcPr>
            <w:tcW w:w="1801" w:type="pct"/>
            <w:tcBorders>
              <w:top w:val="nil"/>
              <w:left w:val="nil"/>
              <w:right w:val="nil"/>
            </w:tcBorders>
            <w:noWrap/>
            <w:vAlign w:val="center"/>
            <w:hideMark/>
          </w:tcPr>
          <w:p w14:paraId="3FE2D3B6" w14:textId="77777777" w:rsidR="00A866F9" w:rsidRPr="00A866F9" w:rsidRDefault="00A866F9" w:rsidP="00A866F9">
            <w:pPr>
              <w:spacing w:line="240" w:lineRule="auto"/>
              <w:jc w:val="center"/>
              <w:rPr>
                <w:rFonts w:ascii="Times New Roman" w:eastAsia="Times New Roman" w:hAnsi="Times New Roman" w:cs="Times New Roman"/>
                <w:color w:val="000000"/>
                <w:sz w:val="20"/>
                <w:szCs w:val="20"/>
                <w:lang w:eastAsia="pt-BR"/>
              </w:rPr>
            </w:pPr>
            <w:r w:rsidRPr="00A866F9">
              <w:rPr>
                <w:rFonts w:ascii="Times New Roman" w:eastAsia="Times New Roman" w:hAnsi="Times New Roman" w:cs="Times New Roman"/>
                <w:color w:val="000000"/>
                <w:sz w:val="20"/>
                <w:szCs w:val="20"/>
                <w:lang w:eastAsia="pt-BR"/>
              </w:rPr>
              <w:t>1</w:t>
            </w:r>
          </w:p>
        </w:tc>
      </w:tr>
      <w:tr w:rsidR="00A866F9" w:rsidRPr="00A866F9" w14:paraId="7DF4B11C" w14:textId="77777777" w:rsidTr="00A866F9">
        <w:tc>
          <w:tcPr>
            <w:tcW w:w="3199" w:type="pct"/>
            <w:tcBorders>
              <w:left w:val="nil"/>
              <w:right w:val="nil"/>
            </w:tcBorders>
            <w:noWrap/>
            <w:vAlign w:val="center"/>
            <w:hideMark/>
          </w:tcPr>
          <w:p w14:paraId="7812841F"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r w:rsidRPr="00A866F9">
              <w:rPr>
                <w:rFonts w:ascii="Times New Roman" w:eastAsia="Times New Roman" w:hAnsi="Times New Roman" w:cs="Times New Roman"/>
                <w:b/>
                <w:bCs/>
                <w:color w:val="000000"/>
                <w:sz w:val="20"/>
                <w:szCs w:val="20"/>
                <w:lang w:eastAsia="pt-BR"/>
              </w:rPr>
              <w:t>Total</w:t>
            </w:r>
          </w:p>
        </w:tc>
        <w:tc>
          <w:tcPr>
            <w:tcW w:w="1801" w:type="pct"/>
            <w:tcBorders>
              <w:left w:val="nil"/>
              <w:right w:val="nil"/>
            </w:tcBorders>
            <w:noWrap/>
            <w:vAlign w:val="center"/>
            <w:hideMark/>
          </w:tcPr>
          <w:p w14:paraId="79639FC1" w14:textId="77777777" w:rsidR="00A866F9" w:rsidRPr="00A866F9" w:rsidRDefault="00A866F9" w:rsidP="00A866F9">
            <w:pPr>
              <w:spacing w:line="240" w:lineRule="auto"/>
              <w:jc w:val="center"/>
              <w:rPr>
                <w:rFonts w:ascii="Times New Roman" w:eastAsia="Times New Roman" w:hAnsi="Times New Roman" w:cs="Times New Roman"/>
                <w:b/>
                <w:bCs/>
                <w:color w:val="000000"/>
                <w:sz w:val="20"/>
                <w:szCs w:val="20"/>
                <w:lang w:eastAsia="pt-BR"/>
              </w:rPr>
            </w:pPr>
            <w:r w:rsidRPr="00A866F9">
              <w:rPr>
                <w:rFonts w:ascii="Times New Roman" w:eastAsia="Times New Roman" w:hAnsi="Times New Roman" w:cs="Times New Roman"/>
                <w:b/>
                <w:bCs/>
                <w:color w:val="000000"/>
                <w:sz w:val="20"/>
                <w:szCs w:val="20"/>
                <w:lang w:eastAsia="pt-BR"/>
              </w:rPr>
              <w:t>44</w:t>
            </w:r>
          </w:p>
        </w:tc>
      </w:tr>
    </w:tbl>
    <w:p w14:paraId="2F3B8512" w14:textId="77777777" w:rsidR="00D91DBB" w:rsidRDefault="00D91DBB" w:rsidP="002153E2">
      <w:pPr>
        <w:spacing w:after="120" w:line="240" w:lineRule="auto"/>
        <w:jc w:val="center"/>
        <w:rPr>
          <w:rFonts w:ascii="Times New Roman" w:eastAsia="Times New Roman" w:hAnsi="Times New Roman" w:cs="Times New Roman"/>
          <w:color w:val="000000"/>
          <w:sz w:val="20"/>
          <w:szCs w:val="20"/>
          <w:lang w:eastAsia="pt-BR"/>
        </w:rPr>
      </w:pPr>
      <w:r w:rsidRPr="00A34149">
        <w:rPr>
          <w:rFonts w:ascii="Times New Roman" w:eastAsia="Times New Roman" w:hAnsi="Times New Roman" w:cs="Times New Roman"/>
          <w:b/>
          <w:color w:val="000000"/>
          <w:sz w:val="20"/>
          <w:szCs w:val="20"/>
          <w:lang w:eastAsia="pt-BR"/>
        </w:rPr>
        <w:t>Fonte:</w:t>
      </w:r>
      <w:r w:rsidRPr="008D21FB">
        <w:rPr>
          <w:rFonts w:ascii="Times New Roman" w:eastAsia="Times New Roman" w:hAnsi="Times New Roman" w:cs="Times New Roman"/>
          <w:color w:val="000000"/>
          <w:sz w:val="20"/>
          <w:szCs w:val="20"/>
          <w:lang w:eastAsia="pt-BR"/>
        </w:rPr>
        <w:t xml:space="preserve"> </w:t>
      </w:r>
      <w:r w:rsidR="002153E2"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dos dados da pesquisa (2016)</w:t>
      </w:r>
      <w:bookmarkStart w:id="91" w:name="_Toc453374697"/>
      <w:bookmarkStart w:id="92" w:name="_Toc453412882"/>
      <w:bookmarkEnd w:id="89"/>
      <w:bookmarkEnd w:id="90"/>
    </w:p>
    <w:p w14:paraId="196CCDCC" w14:textId="77777777" w:rsidR="00D91DBB" w:rsidRPr="00DD4E68" w:rsidRDefault="00D91DBB" w:rsidP="00FB205E">
      <w:pPr>
        <w:spacing w:line="240" w:lineRule="auto"/>
        <w:jc w:val="both"/>
        <w:rPr>
          <w:rFonts w:ascii="Times New Roman" w:eastAsia="Times New Roman" w:hAnsi="Times New Roman" w:cs="Times New Roman"/>
          <w:color w:val="000000"/>
          <w:sz w:val="20"/>
          <w:szCs w:val="20"/>
          <w:lang w:eastAsia="pt-BR"/>
        </w:rPr>
      </w:pPr>
      <w:bookmarkStart w:id="93" w:name="_Toc453374701"/>
      <w:bookmarkStart w:id="94" w:name="_Toc453412886"/>
      <w:bookmarkEnd w:id="91"/>
      <w:bookmarkEnd w:id="92"/>
      <w:r>
        <w:rPr>
          <w:rFonts w:ascii="Times New Roman" w:hAnsi="Times New Roman" w:cs="Times New Roman"/>
          <w:sz w:val="24"/>
          <w:szCs w:val="24"/>
        </w:rPr>
        <w:t xml:space="preserve"> </w:t>
      </w:r>
      <w:r>
        <w:rPr>
          <w:rFonts w:ascii="Times New Roman" w:hAnsi="Times New Roman" w:cs="Times New Roman"/>
          <w:sz w:val="24"/>
          <w:szCs w:val="24"/>
        </w:rPr>
        <w:tab/>
      </w: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relacionados à Demonstração do Resultado são evidenciados apenas cerca de 16% entre as empresas (44 vezes). Aproximadamente 76%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são evidenciados apenas uma única vez, conforme </w:t>
      </w:r>
      <w:r w:rsidRPr="00FB205E">
        <w:rPr>
          <w:rFonts w:ascii="Times New Roman" w:hAnsi="Times New Roman" w:cs="Times New Roman"/>
          <w:sz w:val="24"/>
          <w:szCs w:val="24"/>
        </w:rPr>
        <w:t>Tabela</w:t>
      </w:r>
      <w:bookmarkEnd w:id="93"/>
      <w:r w:rsidR="00FB205E">
        <w:rPr>
          <w:rFonts w:ascii="Times New Roman" w:hAnsi="Times New Roman" w:cs="Times New Roman"/>
          <w:sz w:val="24"/>
          <w:szCs w:val="24"/>
        </w:rPr>
        <w:t xml:space="preserve"> 4</w:t>
      </w:r>
      <w:r w:rsidRPr="00FB205E">
        <w:rPr>
          <w:rFonts w:ascii="Times New Roman" w:hAnsi="Times New Roman" w:cs="Times New Roman"/>
          <w:sz w:val="24"/>
          <w:szCs w:val="24"/>
        </w:rPr>
        <w:t>.</w:t>
      </w:r>
      <w:bookmarkEnd w:id="94"/>
      <w:r w:rsidR="00FB205E">
        <w:rPr>
          <w:rFonts w:ascii="Times New Roman" w:hAnsi="Times New Roman" w:cs="Times New Roman"/>
          <w:sz w:val="24"/>
          <w:szCs w:val="24"/>
        </w:rPr>
        <w:t xml:space="preserve"> </w:t>
      </w:r>
      <w:r w:rsidRPr="008D21FB">
        <w:rPr>
          <w:rFonts w:ascii="Times New Roman" w:hAnsi="Times New Roman" w:cs="Times New Roman"/>
          <w:sz w:val="24"/>
          <w:szCs w:val="24"/>
        </w:rPr>
        <w:t xml:space="preserve">Em média 91% desses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contábeis apresentam o EBITDA na fórmula dos indicadores. </w:t>
      </w:r>
      <w:r>
        <w:rPr>
          <w:rFonts w:ascii="Times New Roman" w:hAnsi="Times New Roman" w:cs="Times New Roman"/>
          <w:sz w:val="24"/>
          <w:szCs w:val="24"/>
        </w:rPr>
        <w:t xml:space="preserve">A </w:t>
      </w:r>
      <w:r w:rsidRPr="00FB205E">
        <w:rPr>
          <w:rFonts w:ascii="Times New Roman" w:hAnsi="Times New Roman" w:cs="Times New Roman"/>
          <w:sz w:val="24"/>
          <w:szCs w:val="24"/>
        </w:rPr>
        <w:t xml:space="preserve">Figura </w:t>
      </w:r>
      <w:r w:rsidR="00A14296" w:rsidRPr="00FB205E">
        <w:rPr>
          <w:rFonts w:ascii="Times New Roman" w:hAnsi="Times New Roman" w:cs="Times New Roman"/>
          <w:sz w:val="24"/>
          <w:szCs w:val="24"/>
        </w:rPr>
        <w:t>4</w:t>
      </w:r>
      <w:r>
        <w:rPr>
          <w:rFonts w:ascii="Times New Roman" w:hAnsi="Times New Roman" w:cs="Times New Roman"/>
          <w:sz w:val="24"/>
          <w:szCs w:val="24"/>
        </w:rPr>
        <w:t xml:space="preserve"> trás um exemplo de como um </w:t>
      </w:r>
      <w:proofErr w:type="spellStart"/>
      <w:r w:rsidRPr="000F5138">
        <w:rPr>
          <w:rFonts w:ascii="Times New Roman" w:hAnsi="Times New Roman" w:cs="Times New Roman"/>
          <w:i/>
          <w:sz w:val="24"/>
          <w:szCs w:val="24"/>
        </w:rPr>
        <w:t>covenant</w:t>
      </w:r>
      <w:proofErr w:type="spellEnd"/>
      <w:r>
        <w:rPr>
          <w:rFonts w:ascii="Times New Roman" w:hAnsi="Times New Roman" w:cs="Times New Roman"/>
          <w:sz w:val="24"/>
          <w:szCs w:val="24"/>
        </w:rPr>
        <w:t xml:space="preserve"> relacionado a DRE, foi relatado nos formulários de referência.</w:t>
      </w:r>
    </w:p>
    <w:p w14:paraId="7E1FBECE" w14:textId="77777777" w:rsidR="00D91DBB" w:rsidRPr="00903C9C" w:rsidRDefault="00D91DBB" w:rsidP="00146956">
      <w:pPr>
        <w:spacing w:line="240" w:lineRule="auto"/>
        <w:jc w:val="center"/>
        <w:rPr>
          <w:rFonts w:ascii="Times New Roman" w:hAnsi="Times New Roman" w:cs="Times New Roman"/>
          <w:sz w:val="20"/>
          <w:szCs w:val="20"/>
        </w:rPr>
      </w:pPr>
      <w:r w:rsidRPr="000F5138">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0F8CD71B" wp14:editId="2924E12E">
            <wp:simplePos x="0" y="0"/>
            <wp:positionH relativeFrom="column">
              <wp:posOffset>531495</wp:posOffset>
            </wp:positionH>
            <wp:positionV relativeFrom="paragraph">
              <wp:posOffset>43815</wp:posOffset>
            </wp:positionV>
            <wp:extent cx="5566410" cy="636270"/>
            <wp:effectExtent l="19050" t="19050" r="15240" b="11430"/>
            <wp:wrapSquare wrapText="bothSides"/>
            <wp:docPr id="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3446" t="40153" r="31613" b="48082"/>
                    <a:stretch>
                      <a:fillRect/>
                    </a:stretch>
                  </pic:blipFill>
                  <pic:spPr bwMode="auto">
                    <a:xfrm>
                      <a:off x="0" y="0"/>
                      <a:ext cx="5566410" cy="636270"/>
                    </a:xfrm>
                    <a:prstGeom prst="rect">
                      <a:avLst/>
                    </a:prstGeom>
                    <a:noFill/>
                    <a:ln w="9525">
                      <a:solidFill>
                        <a:schemeClr val="tx1">
                          <a:lumMod val="95000"/>
                          <a:lumOff val="5000"/>
                        </a:schemeClr>
                      </a:solidFill>
                      <a:miter lim="800000"/>
                      <a:headEnd/>
                      <a:tailEnd/>
                    </a:ln>
                  </pic:spPr>
                </pic:pic>
              </a:graphicData>
            </a:graphic>
          </wp:anchor>
        </w:drawing>
      </w:r>
      <w:r>
        <w:rPr>
          <w:rFonts w:ascii="Times New Roman" w:hAnsi="Times New Roman" w:cs="Times New Roman"/>
          <w:sz w:val="24"/>
          <w:szCs w:val="24"/>
        </w:rPr>
        <w:br w:type="textWrapping" w:clear="all"/>
      </w:r>
      <w:r w:rsidRPr="00903C9C">
        <w:rPr>
          <w:rFonts w:ascii="Times New Roman" w:hAnsi="Times New Roman" w:cs="Times New Roman"/>
          <w:sz w:val="20"/>
          <w:szCs w:val="20"/>
        </w:rPr>
        <w:t xml:space="preserve">Figura </w:t>
      </w:r>
      <w:r w:rsidR="00A14296">
        <w:rPr>
          <w:rFonts w:ascii="Times New Roman" w:hAnsi="Times New Roman" w:cs="Times New Roman"/>
          <w:sz w:val="20"/>
          <w:szCs w:val="20"/>
        </w:rPr>
        <w:t>4</w:t>
      </w:r>
      <w:r w:rsidRPr="00903C9C">
        <w:rPr>
          <w:rFonts w:ascii="Times New Roman" w:hAnsi="Times New Roman" w:cs="Times New Roman"/>
          <w:sz w:val="20"/>
          <w:szCs w:val="20"/>
        </w:rPr>
        <w:t xml:space="preserve"> –</w:t>
      </w:r>
      <w:r w:rsidRPr="00903C9C">
        <w:rPr>
          <w:rFonts w:ascii="Times New Roman" w:hAnsi="Times New Roman" w:cs="Times New Roman"/>
          <w:i/>
          <w:sz w:val="20"/>
          <w:szCs w:val="20"/>
        </w:rPr>
        <w:t xml:space="preserve"> </w:t>
      </w:r>
      <w:proofErr w:type="spellStart"/>
      <w:r w:rsidRPr="00903C9C">
        <w:rPr>
          <w:rFonts w:ascii="Times New Roman" w:hAnsi="Times New Roman" w:cs="Times New Roman"/>
          <w:i/>
          <w:sz w:val="20"/>
          <w:szCs w:val="20"/>
        </w:rPr>
        <w:t>Covenant</w:t>
      </w:r>
      <w:proofErr w:type="spellEnd"/>
      <w:r w:rsidRPr="00903C9C">
        <w:rPr>
          <w:rFonts w:ascii="Times New Roman" w:hAnsi="Times New Roman" w:cs="Times New Roman"/>
          <w:sz w:val="20"/>
          <w:szCs w:val="20"/>
        </w:rPr>
        <w:t xml:space="preserve"> da empresa </w:t>
      </w:r>
      <w:proofErr w:type="spellStart"/>
      <w:r w:rsidRPr="00903C9C">
        <w:rPr>
          <w:rFonts w:ascii="Times New Roman" w:hAnsi="Times New Roman" w:cs="Times New Roman"/>
          <w:sz w:val="20"/>
          <w:szCs w:val="20"/>
        </w:rPr>
        <w:t>Raiadrogasil</w:t>
      </w:r>
      <w:proofErr w:type="spellEnd"/>
    </w:p>
    <w:p w14:paraId="22E7F1C7" w14:textId="77777777" w:rsidR="00D91DBB" w:rsidRDefault="00D91DBB" w:rsidP="00A14296">
      <w:pPr>
        <w:spacing w:after="120" w:line="240" w:lineRule="auto"/>
        <w:jc w:val="center"/>
        <w:rPr>
          <w:rFonts w:ascii="Times New Roman" w:hAnsi="Times New Roman" w:cs="Times New Roman"/>
          <w:sz w:val="20"/>
          <w:szCs w:val="20"/>
        </w:rPr>
      </w:pPr>
      <w:r w:rsidRPr="000F5138">
        <w:rPr>
          <w:rFonts w:ascii="Times New Roman" w:hAnsi="Times New Roman" w:cs="Times New Roman"/>
          <w:sz w:val="20"/>
          <w:szCs w:val="20"/>
        </w:rPr>
        <w:t>Fonte: BM&amp;FBOVESPA (2016)</w:t>
      </w:r>
    </w:p>
    <w:p w14:paraId="37332C65" w14:textId="77777777" w:rsidR="00D91DBB" w:rsidRPr="001A0E5D" w:rsidRDefault="00D91DBB" w:rsidP="00146956">
      <w:pPr>
        <w:spacing w:line="240" w:lineRule="auto"/>
        <w:ind w:firstLine="709"/>
        <w:jc w:val="both"/>
        <w:rPr>
          <w:rFonts w:eastAsia="Times New Roman"/>
          <w:sz w:val="23"/>
          <w:szCs w:val="23"/>
          <w:lang w:eastAsia="pt-BR"/>
        </w:rPr>
      </w:pPr>
      <w:r w:rsidRPr="008D21FB">
        <w:rPr>
          <w:rFonts w:ascii="Times New Roman" w:hAnsi="Times New Roman" w:cs="Times New Roman"/>
          <w:sz w:val="24"/>
          <w:szCs w:val="24"/>
        </w:rPr>
        <w:t>Apesar do EBITDA não ser uma conta da demonstração do resultado, para classificá-lo como indicador da demonstração do resultado considerou-se o fato dele analisar o resultado final da empresa</w:t>
      </w:r>
      <w:r w:rsidRPr="003C04EF">
        <w:rPr>
          <w:rFonts w:ascii="Times New Roman" w:hAnsi="Times New Roman" w:cs="Times New Roman"/>
          <w:sz w:val="24"/>
          <w:szCs w:val="24"/>
        </w:rPr>
        <w:t xml:space="preserve">. </w:t>
      </w:r>
      <w:r w:rsidRPr="003C04EF">
        <w:rPr>
          <w:rFonts w:ascii="Times New Roman" w:eastAsia="Times New Roman" w:hAnsi="Times New Roman" w:cs="Times New Roman"/>
          <w:sz w:val="24"/>
          <w:szCs w:val="24"/>
          <w:lang w:eastAsia="pt-BR"/>
        </w:rPr>
        <w:t xml:space="preserve">Conforme </w:t>
      </w:r>
      <w:proofErr w:type="spellStart"/>
      <w:r w:rsidRPr="003C04EF">
        <w:rPr>
          <w:rFonts w:ascii="Times New Roman" w:eastAsia="Times New Roman" w:hAnsi="Times New Roman" w:cs="Times New Roman"/>
          <w:sz w:val="24"/>
          <w:szCs w:val="24"/>
          <w:lang w:eastAsia="pt-BR"/>
        </w:rPr>
        <w:t>Iudícibus</w:t>
      </w:r>
      <w:proofErr w:type="spellEnd"/>
      <w:r w:rsidRPr="003C04EF">
        <w:rPr>
          <w:rFonts w:ascii="Times New Roman" w:eastAsia="Times New Roman" w:hAnsi="Times New Roman" w:cs="Times New Roman"/>
          <w:sz w:val="24"/>
          <w:szCs w:val="24"/>
          <w:lang w:eastAsia="pt-BR"/>
        </w:rPr>
        <w:t xml:space="preserve"> (2010, p. 247),</w:t>
      </w:r>
      <w:r w:rsidRPr="001A0E5D">
        <w:rPr>
          <w:rFonts w:eastAsia="Times New Roman"/>
          <w:sz w:val="23"/>
          <w:szCs w:val="23"/>
          <w:lang w:eastAsia="pt-BR"/>
        </w:rPr>
        <w:t xml:space="preserve"> </w:t>
      </w:r>
    </w:p>
    <w:p w14:paraId="413AF502" w14:textId="77777777" w:rsidR="00D91DBB" w:rsidRPr="001A0E5D" w:rsidRDefault="00D91DBB" w:rsidP="00146956">
      <w:pPr>
        <w:autoSpaceDE w:val="0"/>
        <w:autoSpaceDN w:val="0"/>
        <w:adjustRightInd w:val="0"/>
        <w:spacing w:line="240" w:lineRule="auto"/>
        <w:ind w:left="2268"/>
        <w:jc w:val="both"/>
        <w:rPr>
          <w:rFonts w:ascii="Times New Roman" w:hAnsi="Times New Roman"/>
          <w:sz w:val="20"/>
          <w:szCs w:val="20"/>
        </w:rPr>
      </w:pPr>
      <w:r w:rsidRPr="001A0E5D">
        <w:rPr>
          <w:rFonts w:ascii="Times New Roman" w:hAnsi="Times New Roman"/>
          <w:sz w:val="20"/>
          <w:szCs w:val="20"/>
        </w:rPr>
        <w:t xml:space="preserve">(...) esse indicador não representa o valor de caixa, porém a capacidade que a empresa tem para a formação de resultado operacional. Isso porque, </w:t>
      </w:r>
      <w:r w:rsidRPr="001A0E5D">
        <w:rPr>
          <w:rFonts w:ascii="Times New Roman" w:hAnsi="Times New Roman"/>
          <w:i/>
          <w:iCs/>
          <w:sz w:val="20"/>
          <w:szCs w:val="20"/>
        </w:rPr>
        <w:t>a priori</w:t>
      </w:r>
      <w:r w:rsidRPr="001A0E5D">
        <w:rPr>
          <w:rFonts w:ascii="Times New Roman" w:hAnsi="Times New Roman"/>
          <w:sz w:val="20"/>
          <w:szCs w:val="20"/>
        </w:rPr>
        <w:t>, o cálculo está embasado nas demonstrações de resultado que é formada sob a ótica do Princípio Contábil da Competência.</w:t>
      </w:r>
    </w:p>
    <w:p w14:paraId="0DD63129" w14:textId="77777777" w:rsidR="00D91DBB" w:rsidRPr="001A0E5D" w:rsidRDefault="00D91DBB" w:rsidP="00146956">
      <w:pPr>
        <w:autoSpaceDE w:val="0"/>
        <w:autoSpaceDN w:val="0"/>
        <w:adjustRightInd w:val="0"/>
        <w:spacing w:line="240" w:lineRule="auto"/>
        <w:ind w:left="2268"/>
        <w:jc w:val="both"/>
        <w:rPr>
          <w:rFonts w:ascii="Times New Roman" w:hAnsi="Times New Roman"/>
          <w:sz w:val="20"/>
          <w:szCs w:val="20"/>
        </w:rPr>
      </w:pPr>
    </w:p>
    <w:p w14:paraId="6D28A6CB"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Mesmo que o EBITDA não seja considerado uma medida contábil, conforme as IFRS e as Práticas Contábeis</w:t>
      </w:r>
      <w:r>
        <w:rPr>
          <w:rFonts w:ascii="Times New Roman" w:hAnsi="Times New Roman" w:cs="Times New Roman"/>
          <w:sz w:val="24"/>
          <w:szCs w:val="24"/>
        </w:rPr>
        <w:t xml:space="preserve"> Adotadas no Brasil</w:t>
      </w:r>
      <w:r w:rsidRPr="008D21FB">
        <w:rPr>
          <w:rFonts w:ascii="Times New Roman" w:hAnsi="Times New Roman" w:cs="Times New Roman"/>
          <w:sz w:val="24"/>
          <w:szCs w:val="24"/>
        </w:rPr>
        <w:t xml:space="preserve">, o indicador é uma importante ferramenta para a análise financeira e econômica da empresa, para analisar a origem dos resultados e mensurar com mais precisão a produtividade e a eficiência da empresa. A companhia </w:t>
      </w:r>
      <w:proofErr w:type="spellStart"/>
      <w:r w:rsidRPr="008D21FB">
        <w:rPr>
          <w:rFonts w:ascii="Times New Roman" w:hAnsi="Times New Roman" w:cs="Times New Roman"/>
          <w:sz w:val="24"/>
          <w:szCs w:val="24"/>
        </w:rPr>
        <w:t>Ecorodovias</w:t>
      </w:r>
      <w:proofErr w:type="spellEnd"/>
      <w:r w:rsidRPr="008D21FB">
        <w:rPr>
          <w:rFonts w:ascii="Times New Roman" w:hAnsi="Times New Roman" w:cs="Times New Roman"/>
          <w:sz w:val="24"/>
          <w:szCs w:val="24"/>
        </w:rPr>
        <w:t xml:space="preserve"> (2015) acredita "que o EBITDA funciona como uma ferramenta significativa para comparar, periodicamente, o seu desempenho operacional, bem como para embasar determinadas decisõe</w:t>
      </w:r>
      <w:r>
        <w:rPr>
          <w:rFonts w:ascii="Times New Roman" w:hAnsi="Times New Roman" w:cs="Times New Roman"/>
          <w:sz w:val="24"/>
          <w:szCs w:val="24"/>
        </w:rPr>
        <w:t>s de natureza administrativa</w:t>
      </w:r>
      <w:r w:rsidRPr="008D21FB">
        <w:rPr>
          <w:rFonts w:ascii="Times New Roman" w:hAnsi="Times New Roman" w:cs="Times New Roman"/>
          <w:sz w:val="24"/>
          <w:szCs w:val="24"/>
        </w:rPr>
        <w:t>"</w:t>
      </w:r>
      <w:r>
        <w:rPr>
          <w:rFonts w:ascii="Times New Roman" w:hAnsi="Times New Roman" w:cs="Times New Roman"/>
          <w:sz w:val="24"/>
          <w:szCs w:val="24"/>
        </w:rPr>
        <w:t>.</w:t>
      </w:r>
    </w:p>
    <w:p w14:paraId="4B939CBA" w14:textId="77777777" w:rsidR="00D91DBB" w:rsidRPr="003C04EF" w:rsidRDefault="00A34149" w:rsidP="00146956">
      <w:pPr>
        <w:pStyle w:val="Ttulo3"/>
        <w:spacing w:line="240" w:lineRule="auto"/>
        <w:rPr>
          <w:rFonts w:ascii="Times New Roman" w:hAnsi="Times New Roman" w:cs="Times New Roman"/>
          <w:color w:val="auto"/>
          <w:sz w:val="24"/>
          <w:szCs w:val="24"/>
        </w:rPr>
      </w:pPr>
      <w:bookmarkStart w:id="95" w:name="_Toc453412888"/>
      <w:bookmarkStart w:id="96" w:name="_Toc453515927"/>
      <w:bookmarkStart w:id="97" w:name="_Toc455057046"/>
      <w:r>
        <w:rPr>
          <w:rFonts w:ascii="Times New Roman" w:hAnsi="Times New Roman" w:cs="Times New Roman"/>
          <w:color w:val="auto"/>
          <w:sz w:val="24"/>
          <w:szCs w:val="24"/>
        </w:rPr>
        <w:t>4.3.1</w:t>
      </w:r>
      <w:r w:rsidR="00D91DBB" w:rsidRPr="003C04EF">
        <w:rPr>
          <w:rFonts w:ascii="Times New Roman" w:hAnsi="Times New Roman" w:cs="Times New Roman"/>
          <w:color w:val="auto"/>
          <w:sz w:val="24"/>
          <w:szCs w:val="24"/>
        </w:rPr>
        <w:t xml:space="preserve"> </w:t>
      </w:r>
      <w:proofErr w:type="spellStart"/>
      <w:r w:rsidR="00D91DBB" w:rsidRPr="005D374C">
        <w:rPr>
          <w:rFonts w:ascii="Times New Roman" w:hAnsi="Times New Roman" w:cs="Times New Roman"/>
          <w:i/>
          <w:color w:val="auto"/>
          <w:sz w:val="24"/>
          <w:szCs w:val="24"/>
        </w:rPr>
        <w:t>Covenants</w:t>
      </w:r>
      <w:proofErr w:type="spellEnd"/>
      <w:r w:rsidR="00D91DBB" w:rsidRPr="003C04EF">
        <w:rPr>
          <w:rFonts w:ascii="Times New Roman" w:hAnsi="Times New Roman" w:cs="Times New Roman"/>
          <w:i/>
          <w:color w:val="auto"/>
          <w:sz w:val="24"/>
          <w:szCs w:val="24"/>
        </w:rPr>
        <w:t xml:space="preserve"> </w:t>
      </w:r>
      <w:r w:rsidR="00D91DBB" w:rsidRPr="003C04EF">
        <w:rPr>
          <w:rFonts w:ascii="Times New Roman" w:hAnsi="Times New Roman" w:cs="Times New Roman"/>
          <w:color w:val="auto"/>
          <w:sz w:val="24"/>
          <w:szCs w:val="24"/>
        </w:rPr>
        <w:t>híbridos</w:t>
      </w:r>
      <w:bookmarkEnd w:id="95"/>
      <w:bookmarkEnd w:id="96"/>
      <w:bookmarkEnd w:id="97"/>
    </w:p>
    <w:p w14:paraId="78F06375" w14:textId="77777777" w:rsidR="00D91DBB" w:rsidRPr="008D21FB" w:rsidRDefault="00D91DBB" w:rsidP="00146956">
      <w:pPr>
        <w:spacing w:line="240" w:lineRule="auto"/>
        <w:ind w:firstLine="567"/>
        <w:jc w:val="both"/>
        <w:outlineLvl w:val="0"/>
        <w:rPr>
          <w:rFonts w:ascii="Times New Roman" w:hAnsi="Times New Roman" w:cs="Times New Roman"/>
          <w:sz w:val="24"/>
          <w:szCs w:val="24"/>
        </w:rPr>
      </w:pPr>
      <w:r w:rsidRPr="008D21FB">
        <w:rPr>
          <w:rFonts w:ascii="Times New Roman" w:hAnsi="Times New Roman" w:cs="Times New Roman"/>
          <w:sz w:val="24"/>
          <w:szCs w:val="24"/>
        </w:rPr>
        <w:t xml:space="preserve">   </w:t>
      </w:r>
    </w:p>
    <w:p w14:paraId="3924822E" w14:textId="77777777" w:rsidR="00D91DBB" w:rsidRDefault="00D91DBB" w:rsidP="00146956">
      <w:pPr>
        <w:spacing w:line="240" w:lineRule="auto"/>
        <w:jc w:val="both"/>
        <w:rPr>
          <w:rFonts w:ascii="Times New Roman" w:hAnsi="Times New Roman" w:cs="Times New Roman"/>
          <w:sz w:val="24"/>
          <w:szCs w:val="24"/>
        </w:rPr>
      </w:pPr>
      <w:r w:rsidRPr="008D21FB">
        <w:rPr>
          <w:rFonts w:ascii="Times New Roman" w:hAnsi="Times New Roman" w:cs="Times New Roman"/>
          <w:sz w:val="24"/>
          <w:szCs w:val="24"/>
        </w:rPr>
        <w:tab/>
      </w:r>
      <w:bookmarkStart w:id="98" w:name="_Toc453374704"/>
      <w:bookmarkStart w:id="99" w:name="_Toc453412889"/>
      <w:r w:rsidRPr="008D21FB">
        <w:rPr>
          <w:rFonts w:ascii="Times New Roman" w:hAnsi="Times New Roman" w:cs="Times New Roman"/>
          <w:sz w:val="24"/>
          <w:szCs w:val="24"/>
        </w:rPr>
        <w:t xml:space="preserve">Para esse estudo, consideraram-se como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híbridos aqueles que apresentavam contas de diferentes demonstrações contábeis, no cálculo do indicador. Como exemplo o índice dívida líquida sobre EBITDA, relaciona a conta do Balanço Patrimonial com a do Resultado. A relação desses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pode ser verificada na Tabela</w:t>
      </w:r>
      <w:bookmarkEnd w:id="98"/>
      <w:r w:rsidRPr="008D21FB">
        <w:rPr>
          <w:rFonts w:ascii="Times New Roman" w:hAnsi="Times New Roman" w:cs="Times New Roman"/>
          <w:sz w:val="24"/>
          <w:szCs w:val="24"/>
        </w:rPr>
        <w:t xml:space="preserve"> </w:t>
      </w:r>
      <w:bookmarkEnd w:id="99"/>
      <w:r w:rsidR="00FB205E">
        <w:rPr>
          <w:rFonts w:ascii="Times New Roman" w:hAnsi="Times New Roman" w:cs="Times New Roman"/>
          <w:sz w:val="24"/>
          <w:szCs w:val="24"/>
        </w:rPr>
        <w:t>5</w:t>
      </w:r>
      <w:r w:rsidRPr="008D21FB">
        <w:rPr>
          <w:rFonts w:ascii="Times New Roman" w:hAnsi="Times New Roman" w:cs="Times New Roman"/>
          <w:sz w:val="24"/>
          <w:szCs w:val="24"/>
        </w:rPr>
        <w:t>.</w:t>
      </w:r>
    </w:p>
    <w:p w14:paraId="48A2F028" w14:textId="77777777" w:rsidR="00327171" w:rsidRPr="00327171" w:rsidRDefault="00327171" w:rsidP="00327171">
      <w:pPr>
        <w:pStyle w:val="Legenda"/>
        <w:keepNext/>
        <w:jc w:val="center"/>
        <w:rPr>
          <w:rFonts w:ascii="Times New Roman" w:hAnsi="Times New Roman" w:cs="Times New Roman"/>
          <w:b w:val="0"/>
          <w:color w:val="auto"/>
          <w:sz w:val="24"/>
          <w:szCs w:val="24"/>
        </w:rPr>
      </w:pPr>
      <w:r w:rsidRPr="00327171">
        <w:rPr>
          <w:rFonts w:ascii="Times New Roman" w:hAnsi="Times New Roman" w:cs="Times New Roman"/>
          <w:b w:val="0"/>
          <w:color w:val="auto"/>
          <w:sz w:val="24"/>
          <w:szCs w:val="24"/>
        </w:rPr>
        <w:t xml:space="preserve">Tabela </w:t>
      </w:r>
      <w:r w:rsidR="00744BBF" w:rsidRPr="00327171">
        <w:rPr>
          <w:rFonts w:ascii="Times New Roman" w:hAnsi="Times New Roman" w:cs="Times New Roman"/>
          <w:b w:val="0"/>
          <w:color w:val="auto"/>
          <w:sz w:val="24"/>
          <w:szCs w:val="24"/>
        </w:rPr>
        <w:fldChar w:fldCharType="begin"/>
      </w:r>
      <w:r w:rsidRPr="00327171">
        <w:rPr>
          <w:rFonts w:ascii="Times New Roman" w:hAnsi="Times New Roman" w:cs="Times New Roman"/>
          <w:b w:val="0"/>
          <w:color w:val="auto"/>
          <w:sz w:val="24"/>
          <w:szCs w:val="24"/>
        </w:rPr>
        <w:instrText xml:space="preserve"> SEQ Tabela \* ARABIC </w:instrText>
      </w:r>
      <w:r w:rsidR="00744BBF" w:rsidRPr="00327171">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5</w:t>
      </w:r>
      <w:r w:rsidR="00744BBF" w:rsidRPr="00327171">
        <w:rPr>
          <w:rFonts w:ascii="Times New Roman" w:hAnsi="Times New Roman" w:cs="Times New Roman"/>
          <w:b w:val="0"/>
          <w:color w:val="auto"/>
          <w:sz w:val="24"/>
          <w:szCs w:val="24"/>
        </w:rPr>
        <w:fldChar w:fldCharType="end"/>
      </w:r>
      <w:r w:rsidRPr="00327171">
        <w:rPr>
          <w:rFonts w:ascii="Times New Roman" w:hAnsi="Times New Roman" w:cs="Times New Roman"/>
          <w:b w:val="0"/>
          <w:color w:val="auto"/>
          <w:sz w:val="24"/>
          <w:szCs w:val="24"/>
        </w:rPr>
        <w:t xml:space="preserve"> - </w:t>
      </w:r>
      <w:proofErr w:type="spellStart"/>
      <w:r w:rsidRPr="00327171">
        <w:rPr>
          <w:rFonts w:ascii="Times New Roman" w:eastAsia="Times New Roman" w:hAnsi="Times New Roman" w:cs="Times New Roman"/>
          <w:b w:val="0"/>
          <w:bCs w:val="0"/>
          <w:i/>
          <w:iCs/>
          <w:color w:val="auto"/>
          <w:sz w:val="24"/>
          <w:szCs w:val="24"/>
          <w:lang w:eastAsia="pt-BR"/>
        </w:rPr>
        <w:t>Covenants</w:t>
      </w:r>
      <w:proofErr w:type="spellEnd"/>
      <w:r w:rsidRPr="00327171">
        <w:rPr>
          <w:rFonts w:ascii="Times New Roman" w:eastAsia="Times New Roman" w:hAnsi="Times New Roman" w:cs="Times New Roman"/>
          <w:b w:val="0"/>
          <w:bCs w:val="0"/>
          <w:color w:val="auto"/>
          <w:sz w:val="24"/>
          <w:szCs w:val="24"/>
          <w:lang w:eastAsia="pt-BR"/>
        </w:rPr>
        <w:t xml:space="preserve"> financeiros híbridos por empresa</w:t>
      </w:r>
    </w:p>
    <w:tbl>
      <w:tblPr>
        <w:tblStyle w:val="Tabelacomgrade"/>
        <w:tblW w:w="5000" w:type="pct"/>
        <w:tblLook w:val="04A0" w:firstRow="1" w:lastRow="0" w:firstColumn="1" w:lastColumn="0" w:noHBand="0" w:noVBand="1"/>
      </w:tblPr>
      <w:tblGrid>
        <w:gridCol w:w="7054"/>
        <w:gridCol w:w="3650"/>
      </w:tblGrid>
      <w:tr w:rsidR="00D91DBB" w:rsidRPr="008D21FB" w14:paraId="1A5E27A6" w14:textId="77777777" w:rsidTr="00365242">
        <w:tc>
          <w:tcPr>
            <w:tcW w:w="3295" w:type="pct"/>
            <w:tcBorders>
              <w:left w:val="nil"/>
              <w:right w:val="nil"/>
            </w:tcBorders>
            <w:noWrap/>
            <w:vAlign w:val="center"/>
            <w:hideMark/>
          </w:tcPr>
          <w:p w14:paraId="2DE41961" w14:textId="77777777" w:rsidR="00D91DBB" w:rsidRPr="008D21FB" w:rsidRDefault="00D91DBB" w:rsidP="00327171">
            <w:pPr>
              <w:spacing w:line="240" w:lineRule="auto"/>
              <w:jc w:val="center"/>
              <w:rPr>
                <w:rFonts w:ascii="Times New Roman" w:eastAsia="Times New Roman" w:hAnsi="Times New Roman" w:cs="Times New Roman"/>
                <w:b/>
                <w:bCs/>
                <w:color w:val="000000"/>
                <w:sz w:val="20"/>
                <w:szCs w:val="20"/>
                <w:lang w:eastAsia="pt-BR"/>
              </w:rPr>
            </w:pPr>
            <w:proofErr w:type="spellStart"/>
            <w:r w:rsidRPr="008D21FB">
              <w:rPr>
                <w:rFonts w:ascii="Times New Roman" w:eastAsia="Times New Roman" w:hAnsi="Times New Roman" w:cs="Times New Roman"/>
                <w:b/>
                <w:bCs/>
                <w:i/>
                <w:color w:val="000000"/>
                <w:sz w:val="20"/>
                <w:szCs w:val="20"/>
                <w:lang w:eastAsia="pt-BR"/>
              </w:rPr>
              <w:t>Covenants</w:t>
            </w:r>
            <w:proofErr w:type="spellEnd"/>
            <w:r w:rsidRPr="008D21FB">
              <w:rPr>
                <w:rFonts w:ascii="Times New Roman" w:eastAsia="Times New Roman" w:hAnsi="Times New Roman" w:cs="Times New Roman"/>
                <w:b/>
                <w:bCs/>
                <w:color w:val="000000"/>
                <w:sz w:val="20"/>
                <w:szCs w:val="20"/>
                <w:lang w:eastAsia="pt-BR"/>
              </w:rPr>
              <w:t xml:space="preserve"> financeiros</w:t>
            </w:r>
          </w:p>
        </w:tc>
        <w:tc>
          <w:tcPr>
            <w:tcW w:w="1705" w:type="pct"/>
            <w:tcBorders>
              <w:left w:val="nil"/>
              <w:right w:val="nil"/>
            </w:tcBorders>
            <w:noWrap/>
            <w:vAlign w:val="center"/>
            <w:hideMark/>
          </w:tcPr>
          <w:p w14:paraId="22AE78D4" w14:textId="77777777" w:rsidR="00D91DBB" w:rsidRPr="008D21FB" w:rsidRDefault="00D91DBB" w:rsidP="00327171">
            <w:pPr>
              <w:spacing w:line="240" w:lineRule="auto"/>
              <w:jc w:val="center"/>
              <w:rPr>
                <w:rFonts w:ascii="Times New Roman" w:eastAsia="Times New Roman" w:hAnsi="Times New Roman" w:cs="Times New Roman"/>
                <w:b/>
                <w:bCs/>
                <w:color w:val="000000"/>
                <w:sz w:val="20"/>
                <w:szCs w:val="20"/>
                <w:lang w:eastAsia="pt-BR"/>
              </w:rPr>
            </w:pPr>
            <w:proofErr w:type="spellStart"/>
            <w:r w:rsidRPr="008D21FB">
              <w:rPr>
                <w:rFonts w:ascii="Times New Roman" w:eastAsia="Times New Roman" w:hAnsi="Times New Roman" w:cs="Times New Roman"/>
                <w:b/>
                <w:bCs/>
                <w:color w:val="000000"/>
                <w:sz w:val="20"/>
                <w:szCs w:val="20"/>
                <w:lang w:eastAsia="pt-BR"/>
              </w:rPr>
              <w:t>Qtde</w:t>
            </w:r>
            <w:proofErr w:type="spellEnd"/>
          </w:p>
        </w:tc>
      </w:tr>
      <w:tr w:rsidR="00C13CAE" w:rsidRPr="008D21FB" w14:paraId="39C28AAB" w14:textId="77777777" w:rsidTr="00365242">
        <w:tc>
          <w:tcPr>
            <w:tcW w:w="3295" w:type="pct"/>
            <w:tcBorders>
              <w:top w:val="nil"/>
              <w:left w:val="nil"/>
              <w:bottom w:val="nil"/>
              <w:right w:val="nil"/>
            </w:tcBorders>
            <w:noWrap/>
            <w:vAlign w:val="center"/>
            <w:hideMark/>
          </w:tcPr>
          <w:p w14:paraId="412E9254" w14:textId="77777777" w:rsidR="00C13CAE" w:rsidRPr="008D21FB" w:rsidRDefault="00C13CAE" w:rsidP="00327171">
            <w:pPr>
              <w:spacing w:line="240" w:lineRule="auto"/>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Dívida líquida / EBITDA</w:t>
            </w:r>
          </w:p>
        </w:tc>
        <w:tc>
          <w:tcPr>
            <w:tcW w:w="1705" w:type="pct"/>
            <w:tcBorders>
              <w:top w:val="nil"/>
              <w:left w:val="nil"/>
              <w:bottom w:val="nil"/>
              <w:right w:val="nil"/>
            </w:tcBorders>
            <w:noWrap/>
            <w:vAlign w:val="center"/>
            <w:hideMark/>
          </w:tcPr>
          <w:p w14:paraId="32B08A9D"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48</w:t>
            </w:r>
          </w:p>
        </w:tc>
      </w:tr>
      <w:tr w:rsidR="00C13CAE" w:rsidRPr="008D21FB" w14:paraId="22D95F24" w14:textId="77777777" w:rsidTr="00C13CAE">
        <w:trPr>
          <w:trHeight w:val="2070"/>
        </w:trPr>
        <w:tc>
          <w:tcPr>
            <w:tcW w:w="3295" w:type="pct"/>
            <w:tcBorders>
              <w:top w:val="nil"/>
              <w:left w:val="nil"/>
              <w:right w:val="nil"/>
            </w:tcBorders>
            <w:noWrap/>
            <w:vAlign w:val="center"/>
            <w:hideMark/>
          </w:tcPr>
          <w:p w14:paraId="31E92EE9" w14:textId="77777777"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color w:val="000000"/>
                <w:sz w:val="20"/>
                <w:szCs w:val="20"/>
                <w:lang w:eastAsia="pt-BR"/>
              </w:rPr>
              <w:t xml:space="preserve">Outros </w:t>
            </w:r>
            <w:proofErr w:type="spellStart"/>
            <w:r w:rsidRPr="008D21FB">
              <w:rPr>
                <w:rFonts w:ascii="Times New Roman" w:eastAsia="Times New Roman" w:hAnsi="Times New Roman" w:cs="Times New Roman"/>
                <w:i/>
                <w:iCs/>
                <w:color w:val="000000"/>
                <w:sz w:val="20"/>
                <w:szCs w:val="20"/>
                <w:lang w:eastAsia="pt-BR"/>
              </w:rPr>
              <w:t>covenants</w:t>
            </w:r>
            <w:proofErr w:type="spellEnd"/>
            <w:r w:rsidRPr="008D21FB">
              <w:rPr>
                <w:rFonts w:ascii="Times New Roman" w:eastAsia="Times New Roman" w:hAnsi="Times New Roman" w:cs="Times New Roman"/>
                <w:color w:val="000000"/>
                <w:sz w:val="20"/>
                <w:szCs w:val="20"/>
                <w:lang w:eastAsia="pt-BR"/>
              </w:rPr>
              <w:t xml:space="preserve"> que aparecem uma única vez</w:t>
            </w:r>
          </w:p>
          <w:p w14:paraId="643EEF18" w14:textId="77777777"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sz w:val="20"/>
                <w:szCs w:val="20"/>
                <w:lang w:eastAsia="pt-BR"/>
              </w:rPr>
              <w:t>Dívida líquida / EBITDA Ajustado</w:t>
            </w:r>
          </w:p>
          <w:p w14:paraId="7BE5C7A5" w14:textId="77777777"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sz w:val="20"/>
                <w:szCs w:val="20"/>
                <w:lang w:eastAsia="pt-BR"/>
              </w:rPr>
              <w:t>Índice de cobertura do serviço da dívida ICSD</w:t>
            </w:r>
          </w:p>
          <w:p w14:paraId="3928F110" w14:textId="77777777" w:rsidR="00C13CAE" w:rsidRPr="008D21FB" w:rsidRDefault="00C13CAE" w:rsidP="00327171">
            <w:pPr>
              <w:spacing w:line="240" w:lineRule="auto"/>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Dívida financeira líquida / EBITDA</w:t>
            </w:r>
          </w:p>
          <w:p w14:paraId="72B4D0D8" w14:textId="77777777" w:rsidR="00C13CAE" w:rsidRPr="008D21FB" w:rsidRDefault="00C13CAE" w:rsidP="00327171">
            <w:pPr>
              <w:spacing w:line="240" w:lineRule="auto"/>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Dívida bancária líquida / EBITDA</w:t>
            </w:r>
          </w:p>
          <w:p w14:paraId="1DBCED1A" w14:textId="77777777" w:rsidR="00C13CAE" w:rsidRPr="008D21FB" w:rsidRDefault="00C13CAE" w:rsidP="00327171">
            <w:pPr>
              <w:spacing w:line="240" w:lineRule="auto"/>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Índice de cobertura da dívida</w:t>
            </w:r>
          </w:p>
          <w:p w14:paraId="28C6FCE1" w14:textId="77777777"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sz w:val="20"/>
                <w:szCs w:val="20"/>
                <w:lang w:eastAsia="pt-BR"/>
              </w:rPr>
              <w:t>Dívida bruta consolidada / EBITDA</w:t>
            </w:r>
          </w:p>
          <w:p w14:paraId="322AF77C" w14:textId="77777777"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sz w:val="20"/>
                <w:szCs w:val="20"/>
                <w:lang w:eastAsia="pt-BR"/>
              </w:rPr>
              <w:t>Dívida líquida consolidada / EBITDA</w:t>
            </w:r>
          </w:p>
          <w:p w14:paraId="774E8F98" w14:textId="35652A43" w:rsidR="00C13CAE" w:rsidRPr="008D21FB" w:rsidRDefault="00C13CAE" w:rsidP="00327171">
            <w:pPr>
              <w:spacing w:line="240" w:lineRule="auto"/>
              <w:rPr>
                <w:rFonts w:ascii="Times New Roman" w:eastAsia="Times New Roman" w:hAnsi="Times New Roman" w:cs="Times New Roman"/>
                <w:color w:val="000000"/>
                <w:sz w:val="20"/>
                <w:szCs w:val="20"/>
                <w:lang w:eastAsia="pt-BR"/>
              </w:rPr>
            </w:pPr>
            <w:r w:rsidRPr="008D21FB">
              <w:rPr>
                <w:rFonts w:ascii="Times New Roman" w:eastAsia="Times New Roman" w:hAnsi="Times New Roman" w:cs="Times New Roman"/>
                <w:sz w:val="20"/>
                <w:szCs w:val="20"/>
                <w:lang w:eastAsia="pt-BR"/>
              </w:rPr>
              <w:t>EBITDA / serviço da dívida</w:t>
            </w:r>
          </w:p>
        </w:tc>
        <w:tc>
          <w:tcPr>
            <w:tcW w:w="1705" w:type="pct"/>
            <w:tcBorders>
              <w:top w:val="nil"/>
              <w:left w:val="nil"/>
              <w:right w:val="nil"/>
            </w:tcBorders>
            <w:noWrap/>
            <w:vAlign w:val="center"/>
            <w:hideMark/>
          </w:tcPr>
          <w:p w14:paraId="0CD012E8"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34</w:t>
            </w:r>
          </w:p>
          <w:p w14:paraId="337AD793"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10</w:t>
            </w:r>
          </w:p>
          <w:p w14:paraId="329F6574"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9</w:t>
            </w:r>
          </w:p>
          <w:p w14:paraId="2803CF03"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4</w:t>
            </w:r>
          </w:p>
          <w:p w14:paraId="35295E96"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3</w:t>
            </w:r>
          </w:p>
          <w:p w14:paraId="0F1E78B0"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3</w:t>
            </w:r>
          </w:p>
          <w:p w14:paraId="2FBC6CE8"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2</w:t>
            </w:r>
          </w:p>
          <w:p w14:paraId="682F9978" w14:textId="77777777"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2</w:t>
            </w:r>
          </w:p>
          <w:p w14:paraId="1BE7B361" w14:textId="051F8B55" w:rsidR="00C13CAE" w:rsidRPr="008D21FB" w:rsidRDefault="00C13CAE" w:rsidP="00327171">
            <w:pPr>
              <w:spacing w:line="240" w:lineRule="auto"/>
              <w:jc w:val="center"/>
              <w:rPr>
                <w:rFonts w:ascii="Times New Roman" w:eastAsia="Times New Roman" w:hAnsi="Times New Roman" w:cs="Times New Roman"/>
                <w:sz w:val="20"/>
                <w:szCs w:val="20"/>
                <w:lang w:eastAsia="pt-BR"/>
              </w:rPr>
            </w:pPr>
            <w:r w:rsidRPr="008D21FB">
              <w:rPr>
                <w:rFonts w:ascii="Times New Roman" w:eastAsia="Times New Roman" w:hAnsi="Times New Roman" w:cs="Times New Roman"/>
                <w:sz w:val="20"/>
                <w:szCs w:val="20"/>
                <w:lang w:eastAsia="pt-BR"/>
              </w:rPr>
              <w:t>2</w:t>
            </w:r>
          </w:p>
        </w:tc>
      </w:tr>
      <w:tr w:rsidR="00D91DBB" w:rsidRPr="008D21FB" w14:paraId="52D116E6" w14:textId="77777777" w:rsidTr="00365242">
        <w:tc>
          <w:tcPr>
            <w:tcW w:w="3295" w:type="pct"/>
            <w:tcBorders>
              <w:left w:val="nil"/>
              <w:right w:val="nil"/>
            </w:tcBorders>
            <w:noWrap/>
            <w:vAlign w:val="center"/>
            <w:hideMark/>
          </w:tcPr>
          <w:p w14:paraId="076EC13F" w14:textId="77777777" w:rsidR="00D91DBB" w:rsidRPr="008D21FB" w:rsidRDefault="00D91DBB" w:rsidP="00327171">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Total</w:t>
            </w:r>
          </w:p>
        </w:tc>
        <w:tc>
          <w:tcPr>
            <w:tcW w:w="1705" w:type="pct"/>
            <w:tcBorders>
              <w:left w:val="nil"/>
              <w:right w:val="nil"/>
            </w:tcBorders>
            <w:noWrap/>
            <w:vAlign w:val="center"/>
            <w:hideMark/>
          </w:tcPr>
          <w:p w14:paraId="3EF83334" w14:textId="77777777" w:rsidR="00D91DBB" w:rsidRPr="008D21FB" w:rsidRDefault="00D91DBB" w:rsidP="00327171">
            <w:pPr>
              <w:spacing w:line="240" w:lineRule="auto"/>
              <w:jc w:val="center"/>
              <w:rPr>
                <w:rFonts w:ascii="Times New Roman" w:eastAsia="Times New Roman" w:hAnsi="Times New Roman" w:cs="Times New Roman"/>
                <w:b/>
                <w:bCs/>
                <w:color w:val="000000"/>
                <w:sz w:val="20"/>
                <w:szCs w:val="20"/>
                <w:lang w:eastAsia="pt-BR"/>
              </w:rPr>
            </w:pPr>
            <w:r w:rsidRPr="008D21FB">
              <w:rPr>
                <w:rFonts w:ascii="Times New Roman" w:eastAsia="Times New Roman" w:hAnsi="Times New Roman" w:cs="Times New Roman"/>
                <w:b/>
                <w:bCs/>
                <w:color w:val="000000"/>
                <w:sz w:val="20"/>
                <w:szCs w:val="20"/>
                <w:lang w:eastAsia="pt-BR"/>
              </w:rPr>
              <w:t>117</w:t>
            </w:r>
          </w:p>
        </w:tc>
      </w:tr>
    </w:tbl>
    <w:p w14:paraId="3A685A8F" w14:textId="77777777" w:rsidR="00D91DBB" w:rsidRPr="008D21FB" w:rsidRDefault="00D91DBB" w:rsidP="00A14296">
      <w:pPr>
        <w:spacing w:after="120" w:line="240" w:lineRule="auto"/>
        <w:jc w:val="center"/>
        <w:rPr>
          <w:rFonts w:ascii="Times New Roman" w:hAnsi="Times New Roman" w:cs="Times New Roman"/>
          <w:sz w:val="24"/>
          <w:szCs w:val="24"/>
        </w:rPr>
      </w:pPr>
      <w:bookmarkStart w:id="100" w:name="_Toc453374705"/>
      <w:bookmarkStart w:id="101" w:name="_Toc453412890"/>
      <w:r w:rsidRPr="008D21FB">
        <w:rPr>
          <w:rFonts w:ascii="Times New Roman" w:eastAsia="Times New Roman" w:hAnsi="Times New Roman" w:cs="Times New Roman"/>
          <w:color w:val="000000"/>
          <w:sz w:val="20"/>
          <w:szCs w:val="20"/>
          <w:lang w:eastAsia="pt-BR"/>
        </w:rPr>
        <w:t xml:space="preserve">Fonte: </w:t>
      </w:r>
      <w:r w:rsidR="002153E2"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dos dados da pesquisa (2016)</w:t>
      </w:r>
      <w:bookmarkEnd w:id="100"/>
      <w:bookmarkEnd w:id="101"/>
    </w:p>
    <w:p w14:paraId="5066F418" w14:textId="77777777" w:rsidR="00D91DBB" w:rsidRDefault="00D91DBB" w:rsidP="00146956">
      <w:pPr>
        <w:spacing w:line="240" w:lineRule="auto"/>
        <w:ind w:firstLine="567"/>
        <w:jc w:val="both"/>
        <w:outlineLvl w:val="0"/>
        <w:rPr>
          <w:rFonts w:ascii="Times New Roman" w:hAnsi="Times New Roman" w:cs="Times New Roman"/>
          <w:sz w:val="24"/>
          <w:szCs w:val="24"/>
        </w:rPr>
      </w:pPr>
      <w:r w:rsidRPr="008D21FB">
        <w:rPr>
          <w:rFonts w:ascii="Times New Roman" w:hAnsi="Times New Roman" w:cs="Times New Roman"/>
          <w:sz w:val="24"/>
          <w:szCs w:val="24"/>
        </w:rPr>
        <w:t xml:space="preserve"> </w:t>
      </w:r>
      <w:bookmarkStart w:id="102" w:name="_Toc453374706"/>
      <w:bookmarkStart w:id="103" w:name="_Toc453412891"/>
      <w:bookmarkStart w:id="104" w:name="_Toc454970721"/>
      <w:bookmarkStart w:id="105" w:name="_Toc455055470"/>
      <w:bookmarkStart w:id="106" w:name="_Toc455056995"/>
      <w:bookmarkStart w:id="107" w:name="_Toc455057047"/>
      <w:r w:rsidRPr="008D21FB">
        <w:rPr>
          <w:rFonts w:ascii="Times New Roman" w:hAnsi="Times New Roman" w:cs="Times New Roman"/>
          <w:sz w:val="24"/>
          <w:szCs w:val="24"/>
        </w:rPr>
        <w:t xml:space="preserve">Em média, 42%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evidenciados pelas empresas são híbridos. O EB</w:t>
      </w:r>
      <w:r w:rsidR="00FB205E">
        <w:rPr>
          <w:rFonts w:ascii="Times New Roman" w:hAnsi="Times New Roman" w:cs="Times New Roman"/>
          <w:sz w:val="24"/>
          <w:szCs w:val="24"/>
        </w:rPr>
        <w:t>IT</w:t>
      </w:r>
      <w:r w:rsidRPr="008D21FB">
        <w:rPr>
          <w:rFonts w:ascii="Times New Roman" w:hAnsi="Times New Roman" w:cs="Times New Roman"/>
          <w:sz w:val="24"/>
          <w:szCs w:val="24"/>
        </w:rPr>
        <w:t xml:space="preserve">DA mais uma vez ganha espaço entre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no cálculo dos indicadores.  Dos 43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híbridos demonstrados pelas empresas, cerca</w:t>
      </w:r>
      <w:r w:rsidR="00FB205E">
        <w:rPr>
          <w:rFonts w:ascii="Times New Roman" w:hAnsi="Times New Roman" w:cs="Times New Roman"/>
          <w:sz w:val="24"/>
          <w:szCs w:val="24"/>
        </w:rPr>
        <w:t xml:space="preserve"> de 82% apresentam o EBITDA, foram</w:t>
      </w:r>
      <w:r w:rsidRPr="008D21FB">
        <w:rPr>
          <w:rFonts w:ascii="Times New Roman" w:hAnsi="Times New Roman" w:cs="Times New Roman"/>
          <w:sz w:val="24"/>
          <w:szCs w:val="24"/>
        </w:rPr>
        <w:t xml:space="preserve"> evidenciados 99 vezes e em</w:t>
      </w:r>
      <w:r w:rsidR="00FB205E">
        <w:rPr>
          <w:rFonts w:ascii="Times New Roman" w:hAnsi="Times New Roman" w:cs="Times New Roman"/>
          <w:sz w:val="24"/>
          <w:szCs w:val="24"/>
        </w:rPr>
        <w:t xml:space="preserve"> todas elas o indicador encontrou</w:t>
      </w:r>
      <w:r w:rsidRPr="008D21FB">
        <w:rPr>
          <w:rFonts w:ascii="Times New Roman" w:hAnsi="Times New Roman" w:cs="Times New Roman"/>
          <w:sz w:val="24"/>
          <w:szCs w:val="24"/>
        </w:rPr>
        <w:t>-se relacionado com a dívida líquida.</w:t>
      </w:r>
      <w:bookmarkEnd w:id="102"/>
      <w:bookmarkEnd w:id="103"/>
      <w:bookmarkEnd w:id="104"/>
      <w:bookmarkEnd w:id="105"/>
      <w:bookmarkEnd w:id="106"/>
      <w:bookmarkEnd w:id="107"/>
    </w:p>
    <w:p w14:paraId="18AF15E3" w14:textId="77777777" w:rsidR="00D91DBB" w:rsidRDefault="00D91DBB" w:rsidP="00146956">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importância do indicador dívida líquida sobre EBITDA pode ser percebida conforme a declaração da empresa Tupy (2015) em seu formulário de referência, </w:t>
      </w:r>
      <w:r w:rsidRPr="0045391B">
        <w:rPr>
          <w:rFonts w:ascii="Times New Roman" w:hAnsi="Times New Roman" w:cs="Times New Roman"/>
          <w:sz w:val="24"/>
          <w:szCs w:val="24"/>
        </w:rPr>
        <w:t>"Aproximadamente 66% dos contratos de financiamentos e empréstimos estão sujeitos ao cumprimento do índice financeiro Dívida Líquida/EBITDA"</w:t>
      </w:r>
      <w:r>
        <w:rPr>
          <w:rFonts w:ascii="Times New Roman" w:hAnsi="Times New Roman" w:cs="Times New Roman"/>
          <w:sz w:val="24"/>
          <w:szCs w:val="24"/>
        </w:rPr>
        <w:t xml:space="preserve">. A Figura </w:t>
      </w:r>
      <w:r w:rsidR="00FB205E">
        <w:rPr>
          <w:rFonts w:ascii="Times New Roman" w:hAnsi="Times New Roman" w:cs="Times New Roman"/>
          <w:sz w:val="24"/>
          <w:szCs w:val="24"/>
        </w:rPr>
        <w:t>5 demonstra um</w:t>
      </w:r>
      <w:r>
        <w:rPr>
          <w:rFonts w:ascii="Times New Roman" w:hAnsi="Times New Roman" w:cs="Times New Roman"/>
          <w:sz w:val="24"/>
          <w:szCs w:val="24"/>
        </w:rPr>
        <w:t xml:space="preserve"> exemplo de como essa cláusula foi </w:t>
      </w:r>
      <w:r w:rsidR="00FB205E">
        <w:rPr>
          <w:rFonts w:ascii="Times New Roman" w:hAnsi="Times New Roman" w:cs="Times New Roman"/>
          <w:sz w:val="24"/>
          <w:szCs w:val="24"/>
        </w:rPr>
        <w:t>evidenciada</w:t>
      </w:r>
      <w:r>
        <w:rPr>
          <w:rFonts w:ascii="Times New Roman" w:hAnsi="Times New Roman" w:cs="Times New Roman"/>
          <w:sz w:val="24"/>
          <w:szCs w:val="24"/>
        </w:rPr>
        <w:t xml:space="preserve"> no formulário de referência.</w:t>
      </w:r>
    </w:p>
    <w:p w14:paraId="0FE75ECA" w14:textId="77777777" w:rsidR="00D91DBB" w:rsidRDefault="00D91DBB" w:rsidP="00146956">
      <w:pPr>
        <w:spacing w:line="240" w:lineRule="auto"/>
        <w:ind w:firstLine="709"/>
        <w:jc w:val="both"/>
        <w:rPr>
          <w:rFonts w:ascii="Times New Roman" w:hAnsi="Times New Roman" w:cs="Times New Roman"/>
          <w:sz w:val="24"/>
          <w:szCs w:val="24"/>
        </w:rPr>
      </w:pPr>
    </w:p>
    <w:p w14:paraId="3A2C1D23" w14:textId="77777777" w:rsidR="00D91DBB" w:rsidRDefault="00D91DBB" w:rsidP="00146956">
      <w:pPr>
        <w:spacing w:line="240" w:lineRule="auto"/>
        <w:jc w:val="center"/>
        <w:rPr>
          <w:rFonts w:ascii="Times New Roman" w:hAnsi="Times New Roman" w:cs="Times New Roman"/>
          <w:sz w:val="24"/>
          <w:szCs w:val="24"/>
        </w:rPr>
      </w:pPr>
      <w:r w:rsidRPr="00FF5A0C">
        <w:rPr>
          <w:rFonts w:ascii="Times New Roman" w:hAnsi="Times New Roman" w:cs="Times New Roman"/>
          <w:noProof/>
          <w:sz w:val="24"/>
          <w:szCs w:val="24"/>
          <w:lang w:eastAsia="pt-BR"/>
        </w:rPr>
        <w:drawing>
          <wp:inline distT="0" distB="0" distL="0" distR="0" wp14:anchorId="06DF684C" wp14:editId="43B0E322">
            <wp:extent cx="5012055" cy="904875"/>
            <wp:effectExtent l="19050" t="19050" r="17145" b="28575"/>
            <wp:docPr id="20"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14794" t="36829" r="19347" b="43222"/>
                    <a:stretch>
                      <a:fillRect/>
                    </a:stretch>
                  </pic:blipFill>
                  <pic:spPr bwMode="auto">
                    <a:xfrm>
                      <a:off x="0" y="0"/>
                      <a:ext cx="5016492" cy="905676"/>
                    </a:xfrm>
                    <a:prstGeom prst="rect">
                      <a:avLst/>
                    </a:prstGeom>
                    <a:noFill/>
                    <a:ln w="9525">
                      <a:solidFill>
                        <a:schemeClr val="tx1">
                          <a:lumMod val="95000"/>
                          <a:lumOff val="5000"/>
                        </a:schemeClr>
                      </a:solidFill>
                      <a:miter lim="800000"/>
                      <a:headEnd/>
                      <a:tailEnd/>
                    </a:ln>
                  </pic:spPr>
                </pic:pic>
              </a:graphicData>
            </a:graphic>
          </wp:inline>
        </w:drawing>
      </w:r>
    </w:p>
    <w:p w14:paraId="49669291" w14:textId="77777777" w:rsidR="00D91DBB" w:rsidRPr="00903C9C" w:rsidRDefault="00FB205E" w:rsidP="00146956">
      <w:pPr>
        <w:spacing w:line="240" w:lineRule="auto"/>
        <w:jc w:val="center"/>
        <w:rPr>
          <w:rFonts w:ascii="Times New Roman" w:hAnsi="Times New Roman" w:cs="Times New Roman"/>
          <w:sz w:val="20"/>
          <w:szCs w:val="20"/>
        </w:rPr>
      </w:pPr>
      <w:r>
        <w:rPr>
          <w:rFonts w:ascii="Times New Roman" w:hAnsi="Times New Roman" w:cs="Times New Roman"/>
          <w:sz w:val="20"/>
          <w:szCs w:val="20"/>
        </w:rPr>
        <w:t>Figura 5</w:t>
      </w:r>
      <w:r w:rsidR="00D91DBB" w:rsidRPr="00903C9C">
        <w:rPr>
          <w:rFonts w:ascii="Times New Roman" w:hAnsi="Times New Roman" w:cs="Times New Roman"/>
          <w:sz w:val="20"/>
          <w:szCs w:val="20"/>
        </w:rPr>
        <w:t xml:space="preserve"> – </w:t>
      </w:r>
      <w:proofErr w:type="spellStart"/>
      <w:r w:rsidR="00D91DBB" w:rsidRPr="00903C9C">
        <w:rPr>
          <w:rFonts w:ascii="Times New Roman" w:hAnsi="Times New Roman" w:cs="Times New Roman"/>
          <w:i/>
          <w:sz w:val="20"/>
          <w:szCs w:val="20"/>
        </w:rPr>
        <w:t>Covenants</w:t>
      </w:r>
      <w:proofErr w:type="spellEnd"/>
      <w:r w:rsidR="00D91DBB" w:rsidRPr="00903C9C">
        <w:rPr>
          <w:rFonts w:ascii="Times New Roman" w:hAnsi="Times New Roman" w:cs="Times New Roman"/>
          <w:sz w:val="20"/>
          <w:szCs w:val="20"/>
        </w:rPr>
        <w:t xml:space="preserve"> da empresa </w:t>
      </w:r>
      <w:proofErr w:type="spellStart"/>
      <w:r w:rsidR="00D91DBB" w:rsidRPr="00903C9C">
        <w:rPr>
          <w:rFonts w:ascii="Times New Roman" w:hAnsi="Times New Roman" w:cs="Times New Roman"/>
          <w:sz w:val="20"/>
          <w:szCs w:val="20"/>
        </w:rPr>
        <w:t>Copasa</w:t>
      </w:r>
      <w:proofErr w:type="spellEnd"/>
    </w:p>
    <w:p w14:paraId="7F11B01F" w14:textId="77777777" w:rsidR="00D91DBB" w:rsidRDefault="00D91DBB" w:rsidP="00A14296">
      <w:pPr>
        <w:spacing w:after="120" w:line="240" w:lineRule="auto"/>
        <w:jc w:val="center"/>
        <w:rPr>
          <w:rFonts w:ascii="Times New Roman" w:hAnsi="Times New Roman" w:cs="Times New Roman"/>
          <w:sz w:val="20"/>
          <w:szCs w:val="20"/>
        </w:rPr>
      </w:pPr>
      <w:r w:rsidRPr="00FF5A0C">
        <w:rPr>
          <w:rFonts w:ascii="Times New Roman" w:hAnsi="Times New Roman" w:cs="Times New Roman"/>
          <w:sz w:val="20"/>
          <w:szCs w:val="20"/>
        </w:rPr>
        <w:t>Fonte: BM&amp;FBOVESPA (2016)</w:t>
      </w:r>
    </w:p>
    <w:p w14:paraId="649E813B" w14:textId="77777777" w:rsidR="00D91DBB" w:rsidRDefault="00D91DBB" w:rsidP="00146956">
      <w:pPr>
        <w:spacing w:line="240" w:lineRule="auto"/>
        <w:ind w:firstLine="709"/>
        <w:jc w:val="both"/>
        <w:rPr>
          <w:rFonts w:ascii="Times New Roman" w:hAnsi="Times New Roman" w:cs="Times New Roman"/>
          <w:sz w:val="24"/>
          <w:szCs w:val="24"/>
        </w:rPr>
      </w:pPr>
      <w:bookmarkStart w:id="108" w:name="_Toc453374707"/>
      <w:bookmarkStart w:id="109" w:name="_Toc453412892"/>
      <w:r w:rsidRPr="008D21FB">
        <w:rPr>
          <w:rFonts w:ascii="Times New Roman" w:hAnsi="Times New Roman" w:cs="Times New Roman"/>
          <w:sz w:val="24"/>
          <w:szCs w:val="24"/>
        </w:rPr>
        <w:t>Instituir limites para o indicador da dívida líquida sobre EBITDA é importante para o credor, pois dessa forma, ele consegue assegurar a capacidade de os tomadores de recursos conseguirem sanar suas dívidas através do caixa operacional.</w:t>
      </w:r>
      <w:bookmarkEnd w:id="108"/>
      <w:bookmarkEnd w:id="109"/>
      <w:r w:rsidRPr="008D21FB">
        <w:rPr>
          <w:rFonts w:ascii="Times New Roman" w:hAnsi="Times New Roman" w:cs="Times New Roman"/>
          <w:sz w:val="24"/>
          <w:szCs w:val="24"/>
        </w:rPr>
        <w:t xml:space="preserve"> </w:t>
      </w:r>
      <w:bookmarkStart w:id="110" w:name="_Toc453515928"/>
    </w:p>
    <w:p w14:paraId="2FD0AAE6" w14:textId="77777777" w:rsidR="00D91DBB" w:rsidRPr="00456B7A" w:rsidRDefault="00A34149" w:rsidP="00146956">
      <w:pPr>
        <w:pStyle w:val="Ttulo3"/>
        <w:spacing w:line="240" w:lineRule="auto"/>
        <w:rPr>
          <w:rFonts w:ascii="Times New Roman" w:hAnsi="Times New Roman" w:cs="Times New Roman"/>
          <w:color w:val="auto"/>
          <w:sz w:val="24"/>
          <w:szCs w:val="24"/>
        </w:rPr>
      </w:pPr>
      <w:bookmarkStart w:id="111" w:name="_Toc455057048"/>
      <w:r>
        <w:rPr>
          <w:rFonts w:ascii="Times New Roman" w:hAnsi="Times New Roman" w:cs="Times New Roman"/>
          <w:color w:val="auto"/>
          <w:sz w:val="24"/>
          <w:szCs w:val="24"/>
        </w:rPr>
        <w:t>4.3.2</w:t>
      </w:r>
      <w:r w:rsidR="00D91DBB" w:rsidRPr="00456B7A">
        <w:rPr>
          <w:rFonts w:ascii="Times New Roman" w:hAnsi="Times New Roman" w:cs="Times New Roman"/>
          <w:color w:val="auto"/>
          <w:sz w:val="24"/>
          <w:szCs w:val="24"/>
        </w:rPr>
        <w:t xml:space="preserve"> Comparações entre os tipos de </w:t>
      </w:r>
      <w:proofErr w:type="spellStart"/>
      <w:r w:rsidR="00D91DBB" w:rsidRPr="00456B7A">
        <w:rPr>
          <w:rFonts w:ascii="Times New Roman" w:hAnsi="Times New Roman" w:cs="Times New Roman"/>
          <w:i/>
          <w:color w:val="auto"/>
          <w:sz w:val="24"/>
          <w:szCs w:val="24"/>
        </w:rPr>
        <w:t>covenants</w:t>
      </w:r>
      <w:bookmarkEnd w:id="110"/>
      <w:bookmarkEnd w:id="111"/>
      <w:proofErr w:type="spellEnd"/>
    </w:p>
    <w:p w14:paraId="7338F3B2" w14:textId="77777777" w:rsidR="00D91DBB" w:rsidRPr="008D21FB" w:rsidRDefault="00D91DBB" w:rsidP="00146956">
      <w:pPr>
        <w:spacing w:line="240" w:lineRule="auto"/>
        <w:ind w:firstLine="567"/>
        <w:jc w:val="both"/>
        <w:outlineLvl w:val="0"/>
        <w:rPr>
          <w:rFonts w:ascii="Times New Roman" w:hAnsi="Times New Roman" w:cs="Times New Roman"/>
          <w:sz w:val="24"/>
          <w:szCs w:val="24"/>
        </w:rPr>
      </w:pPr>
    </w:p>
    <w:p w14:paraId="6AE9F211" w14:textId="77777777" w:rsidR="00D91DBB" w:rsidRDefault="00D91DBB" w:rsidP="00146956">
      <w:pPr>
        <w:spacing w:line="240" w:lineRule="auto"/>
        <w:ind w:firstLine="709"/>
        <w:jc w:val="both"/>
        <w:rPr>
          <w:rFonts w:ascii="Times New Roman" w:hAnsi="Times New Roman" w:cs="Times New Roman"/>
          <w:sz w:val="24"/>
          <w:szCs w:val="24"/>
        </w:rPr>
      </w:pPr>
      <w:bookmarkStart w:id="112" w:name="_Toc453374709"/>
      <w:bookmarkStart w:id="113" w:name="_Toc453412893"/>
      <w:r w:rsidRPr="008D21FB">
        <w:rPr>
          <w:rFonts w:ascii="Times New Roman" w:hAnsi="Times New Roman" w:cs="Times New Roman"/>
          <w:sz w:val="24"/>
          <w:szCs w:val="24"/>
        </w:rPr>
        <w:t xml:space="preserve">Conforme visto, para análise dos resultados essa pesquisa classificou 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em três grupos: os relacionados ao Balanço Patrimonial, a Demonstração do Resultado e os considerados híbridos. O Gráfico </w:t>
      </w:r>
      <w:r w:rsidR="00D04BB6">
        <w:rPr>
          <w:rFonts w:ascii="Times New Roman" w:hAnsi="Times New Roman" w:cs="Times New Roman"/>
          <w:sz w:val="24"/>
          <w:szCs w:val="24"/>
        </w:rPr>
        <w:t>1</w:t>
      </w:r>
      <w:r w:rsidRPr="008D21FB">
        <w:rPr>
          <w:rFonts w:ascii="Times New Roman" w:hAnsi="Times New Roman" w:cs="Times New Roman"/>
          <w:sz w:val="24"/>
          <w:szCs w:val="24"/>
        </w:rPr>
        <w:t xml:space="preserve"> relaciona a quantidade dos tipos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em cada grupo, e a frequência com que foram relatados pelas companhias.</w:t>
      </w:r>
      <w:bookmarkEnd w:id="112"/>
      <w:bookmarkEnd w:id="113"/>
    </w:p>
    <w:p w14:paraId="2BF86080" w14:textId="77777777" w:rsidR="00D91DBB" w:rsidRPr="008D21FB" w:rsidRDefault="00D91DBB" w:rsidP="00146956">
      <w:pPr>
        <w:spacing w:line="240" w:lineRule="auto"/>
        <w:jc w:val="both"/>
        <w:rPr>
          <w:rFonts w:ascii="Times New Roman" w:hAnsi="Times New Roman" w:cs="Times New Roman"/>
          <w:sz w:val="24"/>
          <w:szCs w:val="24"/>
        </w:rPr>
      </w:pPr>
    </w:p>
    <w:p w14:paraId="729ADEBF" w14:textId="77777777" w:rsidR="00D04BB6" w:rsidRPr="00D04BB6" w:rsidRDefault="00D04BB6" w:rsidP="00D04BB6">
      <w:pPr>
        <w:pStyle w:val="Legenda"/>
        <w:keepNext/>
        <w:jc w:val="center"/>
        <w:rPr>
          <w:rFonts w:ascii="Times New Roman" w:hAnsi="Times New Roman" w:cs="Times New Roman"/>
          <w:b w:val="0"/>
          <w:color w:val="auto"/>
          <w:sz w:val="24"/>
          <w:szCs w:val="24"/>
        </w:rPr>
      </w:pPr>
      <w:bookmarkStart w:id="114" w:name="_Toc454969548"/>
      <w:bookmarkStart w:id="115" w:name="_Toc454970723"/>
      <w:bookmarkStart w:id="116" w:name="_Toc455055471"/>
      <w:bookmarkStart w:id="117" w:name="_Toc455057049"/>
      <w:r w:rsidRPr="00D04BB6">
        <w:rPr>
          <w:rFonts w:ascii="Times New Roman" w:hAnsi="Times New Roman" w:cs="Times New Roman"/>
          <w:b w:val="0"/>
          <w:color w:val="auto"/>
          <w:sz w:val="24"/>
          <w:szCs w:val="24"/>
        </w:rPr>
        <w:t xml:space="preserve">Gráfico </w:t>
      </w:r>
      <w:r w:rsidRPr="00D04BB6">
        <w:rPr>
          <w:rFonts w:ascii="Times New Roman" w:hAnsi="Times New Roman" w:cs="Times New Roman"/>
          <w:b w:val="0"/>
          <w:color w:val="auto"/>
          <w:sz w:val="24"/>
          <w:szCs w:val="24"/>
        </w:rPr>
        <w:fldChar w:fldCharType="begin"/>
      </w:r>
      <w:r w:rsidRPr="00D04BB6">
        <w:rPr>
          <w:rFonts w:ascii="Times New Roman" w:hAnsi="Times New Roman" w:cs="Times New Roman"/>
          <w:b w:val="0"/>
          <w:color w:val="auto"/>
          <w:sz w:val="24"/>
          <w:szCs w:val="24"/>
        </w:rPr>
        <w:instrText xml:space="preserve"> SEQ Gráfico \* ARABIC </w:instrText>
      </w:r>
      <w:r w:rsidRPr="00D04BB6">
        <w:rPr>
          <w:rFonts w:ascii="Times New Roman" w:hAnsi="Times New Roman" w:cs="Times New Roman"/>
          <w:b w:val="0"/>
          <w:color w:val="auto"/>
          <w:sz w:val="24"/>
          <w:szCs w:val="24"/>
        </w:rPr>
        <w:fldChar w:fldCharType="separate"/>
      </w:r>
      <w:r w:rsidR="008C6FCD">
        <w:rPr>
          <w:rFonts w:ascii="Times New Roman" w:hAnsi="Times New Roman" w:cs="Times New Roman"/>
          <w:b w:val="0"/>
          <w:noProof/>
          <w:color w:val="auto"/>
          <w:sz w:val="24"/>
          <w:szCs w:val="24"/>
        </w:rPr>
        <w:t>1</w:t>
      </w:r>
      <w:r w:rsidRPr="00D04BB6">
        <w:rPr>
          <w:rFonts w:ascii="Times New Roman" w:hAnsi="Times New Roman" w:cs="Times New Roman"/>
          <w:b w:val="0"/>
          <w:color w:val="auto"/>
          <w:sz w:val="24"/>
          <w:szCs w:val="24"/>
        </w:rPr>
        <w:fldChar w:fldCharType="end"/>
      </w:r>
      <w:r w:rsidRPr="00D04BB6">
        <w:rPr>
          <w:rFonts w:ascii="Times New Roman" w:hAnsi="Times New Roman" w:cs="Times New Roman"/>
          <w:b w:val="0"/>
          <w:color w:val="auto"/>
          <w:sz w:val="24"/>
          <w:szCs w:val="24"/>
        </w:rPr>
        <w:t xml:space="preserve"> - Comparação entre tipos de </w:t>
      </w:r>
      <w:proofErr w:type="spellStart"/>
      <w:r w:rsidRPr="00D04BB6">
        <w:rPr>
          <w:rFonts w:ascii="Times New Roman" w:hAnsi="Times New Roman" w:cs="Times New Roman"/>
          <w:b w:val="0"/>
          <w:i/>
          <w:color w:val="auto"/>
          <w:sz w:val="24"/>
          <w:szCs w:val="24"/>
        </w:rPr>
        <w:t>covenants</w:t>
      </w:r>
      <w:proofErr w:type="spellEnd"/>
      <w:r w:rsidRPr="00D04BB6">
        <w:rPr>
          <w:rFonts w:ascii="Times New Roman" w:hAnsi="Times New Roman" w:cs="Times New Roman"/>
          <w:b w:val="0"/>
          <w:color w:val="auto"/>
          <w:sz w:val="24"/>
          <w:szCs w:val="24"/>
        </w:rPr>
        <w:t xml:space="preserve"> e a frequência dentre as empresas</w:t>
      </w:r>
    </w:p>
    <w:p w14:paraId="3A6033D5" w14:textId="77777777" w:rsidR="00D91DBB" w:rsidRPr="008D21FB" w:rsidRDefault="00D91DBB" w:rsidP="00D04BB6">
      <w:pPr>
        <w:spacing w:line="240" w:lineRule="auto"/>
        <w:jc w:val="center"/>
        <w:outlineLvl w:val="0"/>
        <w:rPr>
          <w:rFonts w:ascii="Times New Roman" w:hAnsi="Times New Roman" w:cs="Times New Roman"/>
          <w:sz w:val="24"/>
          <w:szCs w:val="24"/>
        </w:rPr>
      </w:pPr>
      <w:r w:rsidRPr="008D21FB">
        <w:rPr>
          <w:rFonts w:ascii="Times New Roman" w:hAnsi="Times New Roman" w:cs="Times New Roman"/>
          <w:noProof/>
          <w:sz w:val="24"/>
          <w:szCs w:val="24"/>
          <w:lang w:eastAsia="pt-BR"/>
        </w:rPr>
        <w:drawing>
          <wp:inline distT="0" distB="0" distL="0" distR="0" wp14:anchorId="0763E59A" wp14:editId="3DFE2F4F">
            <wp:extent cx="3981450" cy="2118360"/>
            <wp:effectExtent l="19050" t="0" r="19050" b="0"/>
            <wp:docPr id="2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14"/>
      <w:bookmarkEnd w:id="115"/>
      <w:bookmarkEnd w:id="116"/>
      <w:bookmarkEnd w:id="117"/>
    </w:p>
    <w:p w14:paraId="17B14255" w14:textId="77777777" w:rsidR="00D91DBB" w:rsidRPr="002153E2" w:rsidRDefault="00D91DBB" w:rsidP="002153E2">
      <w:pPr>
        <w:spacing w:after="120" w:line="240" w:lineRule="auto"/>
        <w:jc w:val="center"/>
        <w:rPr>
          <w:rFonts w:ascii="Times New Roman" w:eastAsia="Times New Roman" w:hAnsi="Times New Roman" w:cs="Times New Roman"/>
          <w:color w:val="000000"/>
          <w:sz w:val="20"/>
          <w:szCs w:val="20"/>
          <w:lang w:eastAsia="pt-BR"/>
        </w:rPr>
      </w:pPr>
      <w:bookmarkStart w:id="118" w:name="_Toc453374711"/>
      <w:bookmarkStart w:id="119" w:name="_Toc453412895"/>
      <w:r w:rsidRPr="008D21FB">
        <w:rPr>
          <w:rFonts w:ascii="Times New Roman" w:eastAsia="Times New Roman" w:hAnsi="Times New Roman" w:cs="Times New Roman"/>
          <w:color w:val="000000"/>
          <w:sz w:val="20"/>
          <w:szCs w:val="20"/>
          <w:lang w:eastAsia="pt-BR"/>
        </w:rPr>
        <w:t xml:space="preserve">Fonte: </w:t>
      </w:r>
      <w:r w:rsidR="002153E2" w:rsidRPr="00992F97">
        <w:rPr>
          <w:rFonts w:ascii="Times New Roman" w:hAnsi="Times New Roman" w:cs="Times New Roman"/>
          <w:sz w:val="20"/>
          <w:szCs w:val="20"/>
        </w:rPr>
        <w:t xml:space="preserve">Elaborado pelos autores </w:t>
      </w:r>
      <w:r w:rsidRPr="008D21FB">
        <w:rPr>
          <w:rFonts w:ascii="Times New Roman" w:eastAsia="Times New Roman" w:hAnsi="Times New Roman" w:cs="Times New Roman"/>
          <w:color w:val="000000"/>
          <w:sz w:val="20"/>
          <w:szCs w:val="20"/>
          <w:lang w:eastAsia="pt-BR"/>
        </w:rPr>
        <w:t>a partir dos dados da pesquisa (2016)</w:t>
      </w:r>
      <w:bookmarkEnd w:id="118"/>
      <w:bookmarkEnd w:id="119"/>
    </w:p>
    <w:p w14:paraId="064A6317" w14:textId="77777777" w:rsidR="00D91DBB" w:rsidRPr="008D21FB" w:rsidRDefault="00D91DBB" w:rsidP="00146956">
      <w:pPr>
        <w:spacing w:line="240" w:lineRule="auto"/>
        <w:ind w:firstLine="709"/>
        <w:jc w:val="both"/>
        <w:rPr>
          <w:rFonts w:ascii="Times New Roman" w:hAnsi="Times New Roman" w:cs="Times New Roman"/>
          <w:sz w:val="24"/>
          <w:szCs w:val="24"/>
        </w:rPr>
      </w:pPr>
      <w:bookmarkStart w:id="120" w:name="_Toc453374712"/>
      <w:bookmarkStart w:id="121" w:name="_Toc453412896"/>
      <w:r w:rsidRPr="008D21FB">
        <w:rPr>
          <w:rFonts w:ascii="Times New Roman" w:hAnsi="Times New Roman" w:cs="Times New Roman"/>
          <w:sz w:val="24"/>
          <w:szCs w:val="24"/>
        </w:rPr>
        <w:t>A partir de uma análise quantitativa entre os grupos, percebe</w:t>
      </w:r>
      <w:r w:rsidR="00D04BB6">
        <w:rPr>
          <w:rFonts w:ascii="Times New Roman" w:hAnsi="Times New Roman" w:cs="Times New Roman"/>
          <w:sz w:val="24"/>
          <w:szCs w:val="24"/>
        </w:rPr>
        <w:t>u</w:t>
      </w:r>
      <w:r w:rsidRPr="008D21FB">
        <w:rPr>
          <w:rFonts w:ascii="Times New Roman" w:hAnsi="Times New Roman" w:cs="Times New Roman"/>
          <w:sz w:val="24"/>
          <w:szCs w:val="24"/>
        </w:rPr>
        <w:t xml:space="preserve">-se que o grupo que mais contém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financeiros </w:t>
      </w:r>
      <w:r w:rsidR="00D04BB6">
        <w:rPr>
          <w:rFonts w:ascii="Times New Roman" w:hAnsi="Times New Roman" w:cs="Times New Roman"/>
          <w:sz w:val="24"/>
          <w:szCs w:val="24"/>
        </w:rPr>
        <w:t xml:space="preserve">foram formados </w:t>
      </w:r>
      <w:r w:rsidR="00705627">
        <w:rPr>
          <w:rFonts w:ascii="Times New Roman" w:hAnsi="Times New Roman" w:cs="Times New Roman"/>
          <w:sz w:val="24"/>
          <w:szCs w:val="24"/>
        </w:rPr>
        <w:t xml:space="preserve">com </w:t>
      </w:r>
      <w:r w:rsidR="00D04BB6">
        <w:rPr>
          <w:rFonts w:ascii="Times New Roman" w:hAnsi="Times New Roman" w:cs="Times New Roman"/>
          <w:sz w:val="24"/>
          <w:szCs w:val="24"/>
        </w:rPr>
        <w:t>base nas contas do Balanço Patrimonial (</w:t>
      </w:r>
      <w:r w:rsidRPr="008D21FB">
        <w:rPr>
          <w:rFonts w:ascii="Times New Roman" w:hAnsi="Times New Roman" w:cs="Times New Roman"/>
          <w:sz w:val="24"/>
          <w:szCs w:val="24"/>
        </w:rPr>
        <w:t>77 tipos</w:t>
      </w:r>
      <w:r w:rsidR="00D04BB6">
        <w:rPr>
          <w:rFonts w:ascii="Times New Roman" w:hAnsi="Times New Roman" w:cs="Times New Roman"/>
          <w:sz w:val="24"/>
          <w:szCs w:val="24"/>
        </w:rPr>
        <w:t>). Diante disso, pode</w:t>
      </w:r>
      <w:r w:rsidRPr="008D21FB">
        <w:rPr>
          <w:rFonts w:ascii="Times New Roman" w:hAnsi="Times New Roman" w:cs="Times New Roman"/>
          <w:sz w:val="24"/>
          <w:szCs w:val="24"/>
        </w:rPr>
        <w:t xml:space="preserve">-se afirmar que os credores ao instituir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nas cláusulas dos contratos de dívida, procuram proteger principalmente seus interesses </w:t>
      </w:r>
      <w:r w:rsidR="00D04BB6">
        <w:rPr>
          <w:rFonts w:ascii="Times New Roman" w:hAnsi="Times New Roman" w:cs="Times New Roman"/>
          <w:sz w:val="24"/>
          <w:szCs w:val="24"/>
        </w:rPr>
        <w:t>com foco nas medidas do Balanço Patrimonial do que com as medidas de resultado</w:t>
      </w:r>
      <w:r w:rsidRPr="008D21FB">
        <w:rPr>
          <w:rFonts w:ascii="Times New Roman" w:hAnsi="Times New Roman" w:cs="Times New Roman"/>
          <w:sz w:val="24"/>
          <w:szCs w:val="24"/>
        </w:rPr>
        <w:t xml:space="preserve">. Entretanto, fazendo uma análise de forma qualitativa, percebe-se que os grupos que mais tiveram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evidenciados entre as empr</w:t>
      </w:r>
      <w:r w:rsidR="00D04BB6">
        <w:rPr>
          <w:rFonts w:ascii="Times New Roman" w:hAnsi="Times New Roman" w:cs="Times New Roman"/>
          <w:sz w:val="24"/>
          <w:szCs w:val="24"/>
        </w:rPr>
        <w:t xml:space="preserve">esas foram os híbridos com 117 </w:t>
      </w:r>
      <w:r w:rsidRPr="008D21FB">
        <w:rPr>
          <w:rFonts w:ascii="Times New Roman" w:hAnsi="Times New Roman" w:cs="Times New Roman"/>
          <w:sz w:val="24"/>
          <w:szCs w:val="24"/>
        </w:rPr>
        <w:t>e os do Balanço Patrimonial, com 118</w:t>
      </w:r>
      <w:r w:rsidR="00D04BB6">
        <w:rPr>
          <w:rFonts w:ascii="Times New Roman" w:hAnsi="Times New Roman" w:cs="Times New Roman"/>
          <w:sz w:val="24"/>
          <w:szCs w:val="24"/>
        </w:rPr>
        <w:t>. A partir disso, pode-se</w:t>
      </w:r>
      <w:r w:rsidRPr="008D21FB">
        <w:rPr>
          <w:rFonts w:ascii="Times New Roman" w:hAnsi="Times New Roman" w:cs="Times New Roman"/>
          <w:sz w:val="24"/>
          <w:szCs w:val="24"/>
        </w:rPr>
        <w:t xml:space="preserve"> </w:t>
      </w:r>
      <w:r w:rsidR="00D04BB6">
        <w:rPr>
          <w:rFonts w:ascii="Times New Roman" w:hAnsi="Times New Roman" w:cs="Times New Roman"/>
          <w:sz w:val="24"/>
          <w:szCs w:val="24"/>
        </w:rPr>
        <w:t>afirmar</w:t>
      </w:r>
      <w:r w:rsidRPr="008D21FB">
        <w:rPr>
          <w:rFonts w:ascii="Times New Roman" w:hAnsi="Times New Roman" w:cs="Times New Roman"/>
          <w:sz w:val="24"/>
          <w:szCs w:val="24"/>
        </w:rPr>
        <w:t xml:space="preserve"> que os credores buscam atender não apenas seus interesses econômicos</w:t>
      </w:r>
      <w:r>
        <w:rPr>
          <w:rFonts w:ascii="Times New Roman" w:hAnsi="Times New Roman" w:cs="Times New Roman"/>
          <w:sz w:val="24"/>
          <w:szCs w:val="24"/>
        </w:rPr>
        <w:t>,</w:t>
      </w:r>
      <w:r w:rsidRPr="008D21FB">
        <w:rPr>
          <w:rFonts w:ascii="Times New Roman" w:hAnsi="Times New Roman" w:cs="Times New Roman"/>
          <w:sz w:val="24"/>
          <w:szCs w:val="24"/>
        </w:rPr>
        <w:t xml:space="preserve"> mas tamb</w:t>
      </w:r>
      <w:r w:rsidR="00D04BB6">
        <w:rPr>
          <w:rFonts w:ascii="Times New Roman" w:hAnsi="Times New Roman" w:cs="Times New Roman"/>
          <w:sz w:val="24"/>
          <w:szCs w:val="24"/>
        </w:rPr>
        <w:t>ém os interesses financeiros, no mesmo nível de interesse</w:t>
      </w:r>
      <w:r w:rsidRPr="008D21FB">
        <w:rPr>
          <w:rFonts w:ascii="Times New Roman" w:hAnsi="Times New Roman" w:cs="Times New Roman"/>
          <w:sz w:val="24"/>
          <w:szCs w:val="24"/>
        </w:rPr>
        <w:t>.</w:t>
      </w:r>
      <w:bookmarkEnd w:id="120"/>
      <w:bookmarkEnd w:id="121"/>
    </w:p>
    <w:p w14:paraId="6EC82346" w14:textId="77777777" w:rsidR="00D91DBB" w:rsidRPr="008D21FB" w:rsidRDefault="00D91DBB" w:rsidP="00146956">
      <w:pPr>
        <w:spacing w:line="240" w:lineRule="auto"/>
        <w:ind w:firstLine="709"/>
        <w:jc w:val="both"/>
        <w:rPr>
          <w:rFonts w:ascii="Times New Roman" w:hAnsi="Times New Roman" w:cs="Times New Roman"/>
          <w:sz w:val="24"/>
          <w:szCs w:val="24"/>
        </w:rPr>
      </w:pPr>
      <w:bookmarkStart w:id="122" w:name="_Toc453374713"/>
      <w:bookmarkStart w:id="123" w:name="_Toc453412897"/>
      <w:r w:rsidRPr="008D21FB">
        <w:rPr>
          <w:rFonts w:ascii="Times New Roman" w:hAnsi="Times New Roman" w:cs="Times New Roman"/>
          <w:sz w:val="24"/>
          <w:szCs w:val="24"/>
        </w:rPr>
        <w:t xml:space="preserve">Apesar de o Balanço Patrimonial apresentar praticamente esse mesmo número de frequência dos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as restrições aos indicadores financeiros desse grupo acabam sendo muito específicas às atividades da companhia, fato esse que explica os 62 tipos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que foram relatados apenas uma única vez dentre as empresas.</w:t>
      </w:r>
      <w:bookmarkEnd w:id="122"/>
      <w:bookmarkEnd w:id="123"/>
      <w:r w:rsidRPr="008D21FB">
        <w:rPr>
          <w:rFonts w:ascii="Times New Roman" w:hAnsi="Times New Roman" w:cs="Times New Roman"/>
          <w:sz w:val="24"/>
          <w:szCs w:val="24"/>
        </w:rPr>
        <w:t xml:space="preserve"> </w:t>
      </w:r>
    </w:p>
    <w:p w14:paraId="0EFE1DEF" w14:textId="77777777" w:rsidR="00D91DBB" w:rsidRDefault="00D91DBB" w:rsidP="00146956">
      <w:pPr>
        <w:spacing w:line="240" w:lineRule="auto"/>
        <w:ind w:firstLine="709"/>
        <w:jc w:val="both"/>
        <w:rPr>
          <w:rFonts w:ascii="Times New Roman" w:hAnsi="Times New Roman" w:cs="Times New Roman"/>
          <w:sz w:val="24"/>
          <w:szCs w:val="24"/>
        </w:rPr>
      </w:pPr>
      <w:bookmarkStart w:id="124" w:name="_Toc453412898"/>
      <w:bookmarkStart w:id="125" w:name="_Toc453374714"/>
      <w:r w:rsidRPr="008D21FB">
        <w:rPr>
          <w:rFonts w:ascii="Times New Roman" w:hAnsi="Times New Roman" w:cs="Times New Roman"/>
          <w:sz w:val="24"/>
          <w:szCs w:val="24"/>
        </w:rPr>
        <w:t xml:space="preserve">Numa análise geral, entre os 139 tipos de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relatados, percebeu-se que os </w:t>
      </w:r>
      <w:proofErr w:type="spellStart"/>
      <w:r w:rsidRPr="008D21FB">
        <w:rPr>
          <w:rFonts w:ascii="Times New Roman" w:hAnsi="Times New Roman" w:cs="Times New Roman"/>
          <w:i/>
          <w:sz w:val="24"/>
          <w:szCs w:val="24"/>
        </w:rPr>
        <w:t>covenants</w:t>
      </w:r>
      <w:proofErr w:type="spellEnd"/>
      <w:r w:rsidR="00D04BB6">
        <w:rPr>
          <w:rFonts w:ascii="Times New Roman" w:hAnsi="Times New Roman" w:cs="Times New Roman"/>
          <w:sz w:val="24"/>
          <w:szCs w:val="24"/>
        </w:rPr>
        <w:t xml:space="preserve"> híbridos e os relacionados à Demonstração do R</w:t>
      </w:r>
      <w:r w:rsidRPr="008D21FB">
        <w:rPr>
          <w:rFonts w:ascii="Times New Roman" w:hAnsi="Times New Roman" w:cs="Times New Roman"/>
          <w:sz w:val="24"/>
          <w:szCs w:val="24"/>
        </w:rPr>
        <w:t xml:space="preserve">esultado </w:t>
      </w:r>
      <w:r w:rsidR="00D04BB6">
        <w:rPr>
          <w:rFonts w:ascii="Times New Roman" w:hAnsi="Times New Roman" w:cs="Times New Roman"/>
          <w:sz w:val="24"/>
          <w:szCs w:val="24"/>
        </w:rPr>
        <w:t>foram</w:t>
      </w:r>
      <w:r w:rsidRPr="008D21FB">
        <w:rPr>
          <w:rFonts w:ascii="Times New Roman" w:hAnsi="Times New Roman" w:cs="Times New Roman"/>
          <w:sz w:val="24"/>
          <w:szCs w:val="24"/>
        </w:rPr>
        <w:t xml:space="preserve"> os considerados mais importantes. Esses grupos apresentaram para o cálculo do indicador financeiro utilizado como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o índice EBITDA.  A preferência e a importância desse indicador para o</w:t>
      </w:r>
      <w:r w:rsidR="006028B6">
        <w:rPr>
          <w:rFonts w:ascii="Times New Roman" w:hAnsi="Times New Roman" w:cs="Times New Roman"/>
          <w:sz w:val="24"/>
          <w:szCs w:val="24"/>
        </w:rPr>
        <w:t xml:space="preserve"> credor</w:t>
      </w:r>
      <w:r w:rsidRPr="008D21FB">
        <w:rPr>
          <w:rFonts w:ascii="Times New Roman" w:hAnsi="Times New Roman" w:cs="Times New Roman"/>
          <w:sz w:val="24"/>
          <w:szCs w:val="24"/>
        </w:rPr>
        <w:t xml:space="preserve"> pode ser percebida a partir de que</w:t>
      </w:r>
      <w:r>
        <w:rPr>
          <w:rFonts w:ascii="Times New Roman" w:hAnsi="Times New Roman" w:cs="Times New Roman"/>
          <w:sz w:val="24"/>
          <w:szCs w:val="24"/>
        </w:rPr>
        <w:t>,</w:t>
      </w:r>
      <w:r w:rsidRPr="008D21FB">
        <w:rPr>
          <w:rFonts w:ascii="Times New Roman" w:hAnsi="Times New Roman" w:cs="Times New Roman"/>
          <w:sz w:val="24"/>
          <w:szCs w:val="24"/>
        </w:rPr>
        <w:t xml:space="preserve"> das 279 vezes que um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 xml:space="preserve"> foi relatado pela empresa, </w:t>
      </w:r>
      <w:proofErr w:type="gramStart"/>
      <w:r w:rsidRPr="008D21FB">
        <w:rPr>
          <w:rFonts w:ascii="Times New Roman" w:hAnsi="Times New Roman" w:cs="Times New Roman"/>
          <w:sz w:val="24"/>
          <w:szCs w:val="24"/>
        </w:rPr>
        <w:t>cerca de 52</w:t>
      </w:r>
      <w:proofErr w:type="gramEnd"/>
      <w:r w:rsidRPr="008D21FB">
        <w:rPr>
          <w:rFonts w:ascii="Times New Roman" w:hAnsi="Times New Roman" w:cs="Times New Roman"/>
          <w:sz w:val="24"/>
          <w:szCs w:val="24"/>
        </w:rPr>
        <w:t>% dessas ocorrências (144 vezes) o EBITDA foi relacionado com alguma outra conta das demonstrações no cálculo do indicador (</w:t>
      </w:r>
      <w:proofErr w:type="spellStart"/>
      <w:r w:rsidRPr="008D21FB">
        <w:rPr>
          <w:rFonts w:ascii="Times New Roman" w:hAnsi="Times New Roman" w:cs="Times New Roman"/>
          <w:i/>
          <w:sz w:val="24"/>
          <w:szCs w:val="24"/>
        </w:rPr>
        <w:t>covenant</w:t>
      </w:r>
      <w:proofErr w:type="spellEnd"/>
      <w:r w:rsidRPr="008D21FB">
        <w:rPr>
          <w:rFonts w:ascii="Times New Roman" w:hAnsi="Times New Roman" w:cs="Times New Roman"/>
          <w:sz w:val="24"/>
          <w:szCs w:val="24"/>
        </w:rPr>
        <w:t>).</w:t>
      </w:r>
      <w:bookmarkStart w:id="126" w:name="_Toc453412899"/>
      <w:bookmarkEnd w:id="124"/>
      <w:r w:rsidR="00D04BB6">
        <w:rPr>
          <w:rFonts w:ascii="Times New Roman" w:hAnsi="Times New Roman" w:cs="Times New Roman"/>
          <w:sz w:val="24"/>
          <w:szCs w:val="24"/>
        </w:rPr>
        <w:t xml:space="preserve"> </w:t>
      </w:r>
      <w:r w:rsidRPr="008D21FB">
        <w:rPr>
          <w:rFonts w:ascii="Times New Roman" w:hAnsi="Times New Roman" w:cs="Times New Roman"/>
          <w:sz w:val="24"/>
          <w:szCs w:val="24"/>
        </w:rPr>
        <w:t>Diante do exposto, percebeu-se que as empresas do novo mercado estão sujeitas</w:t>
      </w:r>
      <w:r w:rsidR="00D04BB6">
        <w:rPr>
          <w:rFonts w:ascii="Times New Roman" w:hAnsi="Times New Roman" w:cs="Times New Roman"/>
          <w:sz w:val="24"/>
          <w:szCs w:val="24"/>
        </w:rPr>
        <w:t>,</w:t>
      </w:r>
      <w:r w:rsidRPr="008D21FB">
        <w:rPr>
          <w:rFonts w:ascii="Times New Roman" w:hAnsi="Times New Roman" w:cs="Times New Roman"/>
          <w:sz w:val="24"/>
          <w:szCs w:val="24"/>
        </w:rPr>
        <w:t xml:space="preserve"> principalmente</w:t>
      </w:r>
      <w:r w:rsidR="00D04BB6">
        <w:rPr>
          <w:rFonts w:ascii="Times New Roman" w:hAnsi="Times New Roman" w:cs="Times New Roman"/>
          <w:sz w:val="24"/>
          <w:szCs w:val="24"/>
        </w:rPr>
        <w:t>,</w:t>
      </w:r>
      <w:r w:rsidRPr="008D21FB">
        <w:rPr>
          <w:rFonts w:ascii="Times New Roman" w:hAnsi="Times New Roman" w:cs="Times New Roman"/>
          <w:sz w:val="24"/>
          <w:szCs w:val="24"/>
        </w:rPr>
        <w:t xml:space="preserve"> a restrições e obrigações que atendam principalmente aos interesses financeiros dos credores.</w:t>
      </w:r>
      <w:bookmarkEnd w:id="125"/>
      <w:bookmarkEnd w:id="126"/>
      <w:r w:rsidRPr="008D21FB">
        <w:rPr>
          <w:rFonts w:ascii="Times New Roman" w:hAnsi="Times New Roman" w:cs="Times New Roman"/>
          <w:sz w:val="24"/>
          <w:szCs w:val="24"/>
        </w:rPr>
        <w:t xml:space="preserve"> </w:t>
      </w:r>
      <w:bookmarkStart w:id="127" w:name="_Toc453412900"/>
      <w:bookmarkStart w:id="128" w:name="_Toc453515929"/>
    </w:p>
    <w:p w14:paraId="45CF03B6" w14:textId="77777777" w:rsidR="00D91DBB" w:rsidRDefault="00D91DBB" w:rsidP="00146956">
      <w:pPr>
        <w:spacing w:line="240" w:lineRule="auto"/>
        <w:jc w:val="both"/>
        <w:rPr>
          <w:rFonts w:ascii="Times New Roman" w:hAnsi="Times New Roman" w:cs="Times New Roman"/>
          <w:sz w:val="24"/>
          <w:szCs w:val="24"/>
        </w:rPr>
      </w:pPr>
    </w:p>
    <w:p w14:paraId="31CE2533" w14:textId="77777777" w:rsidR="00D91DBB" w:rsidRPr="00CA1F82" w:rsidRDefault="00D91DBB" w:rsidP="00146956">
      <w:pPr>
        <w:spacing w:line="240" w:lineRule="auto"/>
        <w:jc w:val="both"/>
        <w:rPr>
          <w:rFonts w:ascii="Times New Roman" w:hAnsi="Times New Roman" w:cs="Times New Roman"/>
          <w:sz w:val="24"/>
          <w:szCs w:val="24"/>
        </w:rPr>
      </w:pPr>
      <w:r w:rsidRPr="00CA1F82">
        <w:rPr>
          <w:rFonts w:ascii="Times New Roman" w:hAnsi="Times New Roman" w:cs="Times New Roman"/>
          <w:sz w:val="24"/>
          <w:szCs w:val="24"/>
        </w:rPr>
        <w:t>4.</w:t>
      </w:r>
      <w:r w:rsidR="00A34149">
        <w:rPr>
          <w:rFonts w:ascii="Times New Roman" w:hAnsi="Times New Roman" w:cs="Times New Roman"/>
          <w:sz w:val="24"/>
          <w:szCs w:val="24"/>
        </w:rPr>
        <w:t>4</w:t>
      </w:r>
      <w:r w:rsidRPr="00CA1F82">
        <w:rPr>
          <w:rFonts w:ascii="Times New Roman" w:hAnsi="Times New Roman" w:cs="Times New Roman"/>
          <w:sz w:val="24"/>
          <w:szCs w:val="24"/>
        </w:rPr>
        <w:t xml:space="preserve"> </w:t>
      </w:r>
      <w:proofErr w:type="spellStart"/>
      <w:r w:rsidR="00A34149" w:rsidRPr="00CA1F82">
        <w:rPr>
          <w:rFonts w:ascii="Times New Roman" w:hAnsi="Times New Roman" w:cs="Times New Roman"/>
          <w:i/>
          <w:sz w:val="24"/>
          <w:szCs w:val="24"/>
        </w:rPr>
        <w:t>Covenants</w:t>
      </w:r>
      <w:proofErr w:type="spellEnd"/>
      <w:r w:rsidR="00A34149">
        <w:rPr>
          <w:rFonts w:ascii="Times New Roman" w:hAnsi="Times New Roman" w:cs="Times New Roman"/>
          <w:sz w:val="24"/>
          <w:szCs w:val="24"/>
        </w:rPr>
        <w:t xml:space="preserve"> n</w:t>
      </w:r>
      <w:r w:rsidR="00A34149" w:rsidRPr="00CA1F82">
        <w:rPr>
          <w:rFonts w:ascii="Times New Roman" w:hAnsi="Times New Roman" w:cs="Times New Roman"/>
          <w:sz w:val="24"/>
          <w:szCs w:val="24"/>
        </w:rPr>
        <w:t xml:space="preserve">ão Financeiros </w:t>
      </w:r>
      <w:r w:rsidR="00A34149">
        <w:rPr>
          <w:rFonts w:ascii="Times New Roman" w:hAnsi="Times New Roman" w:cs="Times New Roman"/>
          <w:sz w:val="24"/>
          <w:szCs w:val="24"/>
        </w:rPr>
        <w:t>e</w:t>
      </w:r>
      <w:r w:rsidR="00A34149" w:rsidRPr="00CA1F82">
        <w:rPr>
          <w:rFonts w:ascii="Times New Roman" w:hAnsi="Times New Roman" w:cs="Times New Roman"/>
          <w:sz w:val="24"/>
          <w:szCs w:val="24"/>
        </w:rPr>
        <w:t xml:space="preserve"> Outras Cláusulas Restritivas</w:t>
      </w:r>
      <w:bookmarkEnd w:id="127"/>
      <w:bookmarkEnd w:id="128"/>
    </w:p>
    <w:p w14:paraId="4C75E553" w14:textId="77777777" w:rsidR="00D91DBB" w:rsidRPr="008D21FB" w:rsidRDefault="00D91DBB" w:rsidP="00146956">
      <w:pPr>
        <w:spacing w:line="240" w:lineRule="auto"/>
        <w:rPr>
          <w:rFonts w:ascii="Times New Roman" w:hAnsi="Times New Roman" w:cs="Times New Roman"/>
          <w:sz w:val="24"/>
          <w:szCs w:val="24"/>
        </w:rPr>
      </w:pPr>
    </w:p>
    <w:p w14:paraId="61EB8C26" w14:textId="77777777" w:rsidR="00D91DBB" w:rsidRPr="008D21FB" w:rsidRDefault="00D91DBB" w:rsidP="00146956">
      <w:pPr>
        <w:spacing w:line="240" w:lineRule="auto"/>
        <w:ind w:firstLine="709"/>
        <w:jc w:val="both"/>
        <w:rPr>
          <w:rFonts w:ascii="Times New Roman" w:hAnsi="Times New Roman" w:cs="Times New Roman"/>
          <w:sz w:val="24"/>
          <w:szCs w:val="24"/>
        </w:rPr>
      </w:pPr>
      <w:bookmarkStart w:id="129" w:name="_Toc453374716"/>
      <w:bookmarkStart w:id="130" w:name="_Toc453412901"/>
      <w:r w:rsidRPr="008D21FB">
        <w:rPr>
          <w:rFonts w:ascii="Times New Roman" w:hAnsi="Times New Roman" w:cs="Times New Roman"/>
          <w:sz w:val="24"/>
          <w:szCs w:val="24"/>
        </w:rPr>
        <w:t xml:space="preserve">Das 112 empresas do Novo Mercado que relataram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no item específico do formulário de referência e/ou em nota explicativa, 84 empresas mencionaram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não financeiros e outras cláusulas restritivas.</w:t>
      </w:r>
      <w:bookmarkEnd w:id="129"/>
      <w:bookmarkEnd w:id="130"/>
      <w:r w:rsidRPr="008D21FB">
        <w:rPr>
          <w:rFonts w:ascii="Times New Roman" w:hAnsi="Times New Roman" w:cs="Times New Roman"/>
          <w:sz w:val="24"/>
          <w:szCs w:val="24"/>
        </w:rPr>
        <w:t xml:space="preserve"> </w:t>
      </w:r>
      <w:r>
        <w:rPr>
          <w:rFonts w:ascii="Times New Roman" w:hAnsi="Times New Roman" w:cs="Times New Roman"/>
          <w:sz w:val="24"/>
          <w:szCs w:val="24"/>
        </w:rPr>
        <w:t xml:space="preserve">Algumas dessas empresas estão sujeitas a diversas restrições ou obrigações, conforme Figura </w:t>
      </w:r>
      <w:r w:rsidR="00D04BB6">
        <w:rPr>
          <w:rFonts w:ascii="Times New Roman" w:hAnsi="Times New Roman" w:cs="Times New Roman"/>
          <w:sz w:val="24"/>
          <w:szCs w:val="24"/>
        </w:rPr>
        <w:t>6</w:t>
      </w:r>
      <w:r>
        <w:rPr>
          <w:rFonts w:ascii="Times New Roman" w:hAnsi="Times New Roman" w:cs="Times New Roman"/>
          <w:sz w:val="24"/>
          <w:szCs w:val="24"/>
        </w:rPr>
        <w:t>.</w:t>
      </w:r>
    </w:p>
    <w:p w14:paraId="246C7655" w14:textId="77777777" w:rsidR="00D91DBB" w:rsidRDefault="00D91DBB" w:rsidP="00146956">
      <w:pPr>
        <w:spacing w:line="240" w:lineRule="auto"/>
        <w:jc w:val="center"/>
        <w:rPr>
          <w:rFonts w:ascii="Times New Roman" w:hAnsi="Times New Roman" w:cs="Times New Roman"/>
          <w:sz w:val="24"/>
          <w:szCs w:val="24"/>
        </w:rPr>
      </w:pPr>
      <w:bookmarkStart w:id="131" w:name="_Toc453374717"/>
      <w:bookmarkStart w:id="132" w:name="_Toc453412902"/>
      <w:r w:rsidRPr="00171050">
        <w:rPr>
          <w:rFonts w:ascii="Times New Roman" w:hAnsi="Times New Roman" w:cs="Times New Roman"/>
          <w:noProof/>
          <w:sz w:val="24"/>
          <w:szCs w:val="24"/>
          <w:lang w:eastAsia="pt-BR"/>
        </w:rPr>
        <w:drawing>
          <wp:inline distT="0" distB="0" distL="0" distR="0" wp14:anchorId="7025B20D" wp14:editId="712C9774">
            <wp:extent cx="4419600" cy="1971675"/>
            <wp:effectExtent l="19050" t="19050" r="19050"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8088" t="43222" r="30273" b="24808"/>
                    <a:stretch>
                      <a:fillRect/>
                    </a:stretch>
                  </pic:blipFill>
                  <pic:spPr bwMode="auto">
                    <a:xfrm>
                      <a:off x="0" y="0"/>
                      <a:ext cx="4419337" cy="1971558"/>
                    </a:xfrm>
                    <a:prstGeom prst="rect">
                      <a:avLst/>
                    </a:prstGeom>
                    <a:noFill/>
                    <a:ln w="6350">
                      <a:solidFill>
                        <a:schemeClr val="tx1">
                          <a:lumMod val="95000"/>
                          <a:lumOff val="5000"/>
                        </a:schemeClr>
                      </a:solidFill>
                      <a:miter lim="800000"/>
                      <a:headEnd/>
                      <a:tailEnd/>
                    </a:ln>
                  </pic:spPr>
                </pic:pic>
              </a:graphicData>
            </a:graphic>
          </wp:inline>
        </w:drawing>
      </w:r>
    </w:p>
    <w:p w14:paraId="70045D43" w14:textId="77777777" w:rsidR="00D04BB6" w:rsidRDefault="00D04BB6" w:rsidP="00D04BB6">
      <w:pPr>
        <w:tabs>
          <w:tab w:val="left" w:pos="6405"/>
        </w:tabs>
        <w:spacing w:after="120" w:line="240" w:lineRule="auto"/>
        <w:jc w:val="center"/>
        <w:rPr>
          <w:rFonts w:ascii="Times New Roman" w:hAnsi="Times New Roman" w:cs="Times New Roman"/>
          <w:sz w:val="20"/>
          <w:szCs w:val="20"/>
        </w:rPr>
      </w:pPr>
      <w:r w:rsidRPr="00171050">
        <w:rPr>
          <w:rFonts w:ascii="Times New Roman" w:hAnsi="Times New Roman" w:cs="Times New Roman"/>
          <w:sz w:val="20"/>
          <w:szCs w:val="20"/>
        </w:rPr>
        <w:t>Fonte: BM&amp;FBOVESPA (2016)</w:t>
      </w:r>
    </w:p>
    <w:p w14:paraId="727AD0FE" w14:textId="77777777" w:rsidR="00D91DBB" w:rsidRPr="00D04BB6" w:rsidRDefault="00D91DBB" w:rsidP="00D04BB6">
      <w:pPr>
        <w:spacing w:after="120" w:line="240" w:lineRule="auto"/>
        <w:jc w:val="center"/>
        <w:rPr>
          <w:rFonts w:ascii="Times New Roman" w:hAnsi="Times New Roman" w:cs="Times New Roman"/>
          <w:sz w:val="24"/>
          <w:szCs w:val="24"/>
        </w:rPr>
      </w:pPr>
      <w:r w:rsidRPr="00D04BB6">
        <w:rPr>
          <w:rFonts w:ascii="Times New Roman" w:hAnsi="Times New Roman" w:cs="Times New Roman"/>
          <w:sz w:val="24"/>
          <w:szCs w:val="24"/>
        </w:rPr>
        <w:t xml:space="preserve">Figura </w:t>
      </w:r>
      <w:r w:rsidR="00D04BB6" w:rsidRPr="00D04BB6">
        <w:rPr>
          <w:rFonts w:ascii="Times New Roman" w:hAnsi="Times New Roman" w:cs="Times New Roman"/>
          <w:sz w:val="24"/>
          <w:szCs w:val="24"/>
        </w:rPr>
        <w:t>6</w:t>
      </w:r>
      <w:r w:rsidRPr="00D04BB6">
        <w:rPr>
          <w:rFonts w:ascii="Times New Roman" w:hAnsi="Times New Roman" w:cs="Times New Roman"/>
          <w:sz w:val="24"/>
          <w:szCs w:val="24"/>
        </w:rPr>
        <w:t xml:space="preserve"> – </w:t>
      </w:r>
      <w:proofErr w:type="spellStart"/>
      <w:r w:rsidRPr="00D04BB6">
        <w:rPr>
          <w:rFonts w:ascii="Times New Roman" w:hAnsi="Times New Roman" w:cs="Times New Roman"/>
          <w:i/>
          <w:sz w:val="24"/>
          <w:szCs w:val="24"/>
        </w:rPr>
        <w:t>Covenants</w:t>
      </w:r>
      <w:proofErr w:type="spellEnd"/>
      <w:r w:rsidRPr="00D04BB6">
        <w:rPr>
          <w:rFonts w:ascii="Times New Roman" w:hAnsi="Times New Roman" w:cs="Times New Roman"/>
          <w:sz w:val="24"/>
          <w:szCs w:val="24"/>
        </w:rPr>
        <w:t xml:space="preserve"> não financeiros da empresa JBS</w:t>
      </w:r>
    </w:p>
    <w:p w14:paraId="6CB091A3" w14:textId="77777777" w:rsidR="00D91DBB" w:rsidRPr="008D21FB" w:rsidRDefault="00D91DBB" w:rsidP="00146956">
      <w:pPr>
        <w:spacing w:line="240" w:lineRule="auto"/>
        <w:ind w:firstLine="709"/>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 xml:space="preserve">Considerando os diversos tipos de </w:t>
      </w:r>
      <w:proofErr w:type="spellStart"/>
      <w:r w:rsidRPr="00171050">
        <w:rPr>
          <w:rFonts w:ascii="Times New Roman" w:hAnsi="Times New Roman" w:cs="Times New Roman"/>
          <w:i/>
          <w:sz w:val="24"/>
          <w:szCs w:val="24"/>
        </w:rPr>
        <w:t>covenants</w:t>
      </w:r>
      <w:proofErr w:type="spellEnd"/>
      <w:r>
        <w:rPr>
          <w:rFonts w:ascii="Times New Roman" w:hAnsi="Times New Roman" w:cs="Times New Roman"/>
          <w:sz w:val="24"/>
          <w:szCs w:val="24"/>
        </w:rPr>
        <w:t xml:space="preserve"> não contábeis, estes foram organizado</w:t>
      </w:r>
      <w:r w:rsidRPr="008D21FB">
        <w:rPr>
          <w:rFonts w:ascii="Times New Roman" w:hAnsi="Times New Roman" w:cs="Times New Roman"/>
          <w:sz w:val="24"/>
          <w:szCs w:val="24"/>
        </w:rPr>
        <w:t xml:space="preserve">s conforme o tipo de obrigação ou restrição às atividades da </w:t>
      </w:r>
      <w:r>
        <w:rPr>
          <w:rFonts w:ascii="Times New Roman" w:hAnsi="Times New Roman" w:cs="Times New Roman"/>
          <w:sz w:val="24"/>
          <w:szCs w:val="24"/>
        </w:rPr>
        <w:t>empresa e/ou ações dos gestores que se referiam, e</w:t>
      </w:r>
      <w:r w:rsidRPr="008D21FB">
        <w:rPr>
          <w:rFonts w:ascii="Times New Roman" w:hAnsi="Times New Roman" w:cs="Times New Roman"/>
          <w:sz w:val="24"/>
          <w:szCs w:val="24"/>
        </w:rPr>
        <w:t xml:space="preserve"> foram classificad</w:t>
      </w:r>
      <w:r>
        <w:rPr>
          <w:rFonts w:ascii="Times New Roman" w:hAnsi="Times New Roman" w:cs="Times New Roman"/>
          <w:sz w:val="24"/>
          <w:szCs w:val="24"/>
        </w:rPr>
        <w:t>o</w:t>
      </w:r>
      <w:r w:rsidRPr="008D21FB">
        <w:rPr>
          <w:rFonts w:ascii="Times New Roman" w:hAnsi="Times New Roman" w:cs="Times New Roman"/>
          <w:sz w:val="24"/>
          <w:szCs w:val="24"/>
        </w:rPr>
        <w:t xml:space="preserve">s em seis grupos referentes às </w:t>
      </w:r>
      <w:r>
        <w:rPr>
          <w:rFonts w:ascii="Times New Roman" w:hAnsi="Times New Roman" w:cs="Times New Roman"/>
          <w:sz w:val="24"/>
          <w:szCs w:val="24"/>
        </w:rPr>
        <w:t>restrições sobre</w:t>
      </w:r>
      <w:r w:rsidRPr="008D21FB">
        <w:rPr>
          <w:rFonts w:ascii="Times New Roman" w:hAnsi="Times New Roman" w:cs="Times New Roman"/>
          <w:sz w:val="24"/>
          <w:szCs w:val="24"/>
        </w:rPr>
        <w:t>: (i) condições de investimentos, operação e produção; (</w:t>
      </w:r>
      <w:proofErr w:type="spellStart"/>
      <w:r w:rsidRPr="008D21FB">
        <w:rPr>
          <w:rFonts w:ascii="Times New Roman" w:hAnsi="Times New Roman" w:cs="Times New Roman"/>
          <w:sz w:val="24"/>
          <w:szCs w:val="24"/>
        </w:rPr>
        <w:t>ii</w:t>
      </w:r>
      <w:proofErr w:type="spellEnd"/>
      <w:r w:rsidRPr="008D21FB">
        <w:rPr>
          <w:rFonts w:ascii="Times New Roman" w:hAnsi="Times New Roman" w:cs="Times New Roman"/>
          <w:sz w:val="24"/>
          <w:szCs w:val="24"/>
        </w:rPr>
        <w:t xml:space="preserve">) </w:t>
      </w:r>
      <w:r w:rsidRPr="008D21FB">
        <w:rPr>
          <w:rFonts w:ascii="Times New Roman" w:eastAsia="Times New Roman" w:hAnsi="Times New Roman" w:cs="Times New Roman"/>
          <w:color w:val="000000"/>
          <w:sz w:val="24"/>
          <w:szCs w:val="24"/>
          <w:lang w:eastAsia="pt-BR"/>
        </w:rPr>
        <w:t xml:space="preserve"> capacidade de cumprimento das obrigações; (</w:t>
      </w:r>
      <w:proofErr w:type="spellStart"/>
      <w:r w:rsidRPr="008D21FB">
        <w:rPr>
          <w:rFonts w:ascii="Times New Roman" w:eastAsia="Times New Roman" w:hAnsi="Times New Roman" w:cs="Times New Roman"/>
          <w:color w:val="000000"/>
          <w:sz w:val="24"/>
          <w:szCs w:val="24"/>
          <w:lang w:eastAsia="pt-BR"/>
        </w:rPr>
        <w:t>iii</w:t>
      </w:r>
      <w:proofErr w:type="spellEnd"/>
      <w:r w:rsidRPr="008D21FB">
        <w:rPr>
          <w:rFonts w:ascii="Times New Roman" w:eastAsia="Times New Roman" w:hAnsi="Times New Roman" w:cs="Times New Roman"/>
          <w:color w:val="000000"/>
          <w:sz w:val="24"/>
          <w:szCs w:val="24"/>
          <w:lang w:eastAsia="pt-BR"/>
        </w:rPr>
        <w:t>) política de empréstimos e financiamentos; (</w:t>
      </w:r>
      <w:proofErr w:type="spellStart"/>
      <w:r w:rsidRPr="008D21FB">
        <w:rPr>
          <w:rFonts w:ascii="Times New Roman" w:eastAsia="Times New Roman" w:hAnsi="Times New Roman" w:cs="Times New Roman"/>
          <w:color w:val="000000"/>
          <w:sz w:val="24"/>
          <w:szCs w:val="24"/>
          <w:lang w:eastAsia="pt-BR"/>
        </w:rPr>
        <w:t>iv</w:t>
      </w:r>
      <w:proofErr w:type="spellEnd"/>
      <w:r w:rsidRPr="008D21FB">
        <w:rPr>
          <w:rFonts w:ascii="Times New Roman" w:eastAsia="Times New Roman" w:hAnsi="Times New Roman" w:cs="Times New Roman"/>
          <w:color w:val="000000"/>
          <w:sz w:val="24"/>
          <w:szCs w:val="24"/>
          <w:lang w:eastAsia="pt-BR"/>
        </w:rPr>
        <w:t>) pagamento de dividendos e outras distribuições; (v) reorganização societária, controle  e propriedade; e (vi) obrigações das atividades da empresa.</w:t>
      </w:r>
      <w:bookmarkEnd w:id="131"/>
      <w:bookmarkEnd w:id="132"/>
      <w:r w:rsidRPr="008D21FB">
        <w:rPr>
          <w:rFonts w:ascii="Times New Roman" w:eastAsia="Times New Roman" w:hAnsi="Times New Roman" w:cs="Times New Roman"/>
          <w:color w:val="000000"/>
          <w:sz w:val="24"/>
          <w:szCs w:val="24"/>
          <w:lang w:eastAsia="pt-BR"/>
        </w:rPr>
        <w:t xml:space="preserve"> </w:t>
      </w:r>
    </w:p>
    <w:p w14:paraId="4CD013AC" w14:textId="77777777" w:rsidR="00D91DBB" w:rsidRPr="008D21FB" w:rsidRDefault="00D91DBB" w:rsidP="00146956">
      <w:pPr>
        <w:spacing w:line="240" w:lineRule="auto"/>
        <w:ind w:firstLine="709"/>
        <w:jc w:val="both"/>
        <w:rPr>
          <w:rFonts w:ascii="Times New Roman" w:eastAsia="Times New Roman" w:hAnsi="Times New Roman" w:cs="Times New Roman"/>
          <w:color w:val="000000"/>
          <w:sz w:val="24"/>
          <w:szCs w:val="24"/>
          <w:lang w:eastAsia="pt-BR"/>
        </w:rPr>
      </w:pPr>
      <w:bookmarkStart w:id="133" w:name="_Toc453374718"/>
      <w:bookmarkStart w:id="134" w:name="_Toc453412903"/>
      <w:r w:rsidRPr="008D21FB">
        <w:rPr>
          <w:rFonts w:ascii="Times New Roman" w:eastAsia="Times New Roman" w:hAnsi="Times New Roman" w:cs="Times New Roman"/>
          <w:color w:val="000000"/>
          <w:sz w:val="24"/>
          <w:szCs w:val="24"/>
          <w:lang w:eastAsia="pt-BR"/>
        </w:rPr>
        <w:t>Nas restrições sobre condições de investimento, operação e produção</w:t>
      </w:r>
      <w:r>
        <w:rPr>
          <w:rFonts w:ascii="Times New Roman" w:eastAsia="Times New Roman" w:hAnsi="Times New Roman" w:cs="Times New Roman"/>
          <w:color w:val="000000"/>
          <w:sz w:val="24"/>
          <w:szCs w:val="24"/>
          <w:lang w:eastAsia="pt-BR"/>
        </w:rPr>
        <w:t xml:space="preserve"> da empresa</w:t>
      </w:r>
      <w:r w:rsidRPr="008D21FB">
        <w:rPr>
          <w:rFonts w:ascii="Times New Roman" w:eastAsia="Times New Roman" w:hAnsi="Times New Roman" w:cs="Times New Roman"/>
          <w:color w:val="000000"/>
          <w:sz w:val="24"/>
          <w:szCs w:val="24"/>
          <w:lang w:eastAsia="pt-BR"/>
        </w:rPr>
        <w:t xml:space="preserve">, foram relatados principalmente </w:t>
      </w:r>
      <w:proofErr w:type="spellStart"/>
      <w:r w:rsidRPr="008D21FB">
        <w:rPr>
          <w:rFonts w:ascii="Times New Roman" w:eastAsia="Times New Roman" w:hAnsi="Times New Roman" w:cs="Times New Roman"/>
          <w:i/>
          <w:color w:val="000000"/>
          <w:sz w:val="24"/>
          <w:szCs w:val="24"/>
          <w:lang w:eastAsia="pt-BR"/>
        </w:rPr>
        <w:t>covenants</w:t>
      </w:r>
      <w:proofErr w:type="spellEnd"/>
      <w:r w:rsidRPr="008D21FB">
        <w:rPr>
          <w:rFonts w:ascii="Times New Roman" w:eastAsia="Times New Roman" w:hAnsi="Times New Roman" w:cs="Times New Roman"/>
          <w:color w:val="000000"/>
          <w:sz w:val="24"/>
          <w:szCs w:val="24"/>
          <w:lang w:eastAsia="pt-BR"/>
        </w:rPr>
        <w:t xml:space="preserve"> relacionados à: (a) </w:t>
      </w:r>
      <w:r w:rsidRPr="008D21FB">
        <w:rPr>
          <w:rFonts w:ascii="Times New Roman" w:hAnsi="Times New Roman" w:cs="Times New Roman"/>
          <w:sz w:val="24"/>
          <w:szCs w:val="24"/>
        </w:rPr>
        <w:t>alienação de ativos e/ou propriedades; (b) fusões e aquisições de ativos; (c) manutenção das atividades produtivas; (d) modificação da natureza dos negócios; (e) desapropriação ou confisco de ativos e/ou propriedades; (g) limitações a certos investimentos; (h) renovação de contratos materiais,  licenças ambientais e algumas franquias; (i) redução do quadro do pessoal; entre outras. Também foram relatadas outras cláusulas restritivas quanto à aplicação dos recursos concedidos, ao crescimento dos negócios, a suspensão das atividades e a transações com partes relacionadas e subsidiárias, por exemplo.</w:t>
      </w:r>
      <w:bookmarkEnd w:id="133"/>
      <w:bookmarkEnd w:id="134"/>
      <w:r w:rsidRPr="008D21FB">
        <w:rPr>
          <w:rFonts w:ascii="Times New Roman" w:eastAsia="Times New Roman" w:hAnsi="Times New Roman" w:cs="Times New Roman"/>
          <w:color w:val="000000"/>
          <w:sz w:val="24"/>
          <w:szCs w:val="24"/>
          <w:lang w:eastAsia="pt-BR"/>
        </w:rPr>
        <w:t xml:space="preserve"> </w:t>
      </w:r>
    </w:p>
    <w:p w14:paraId="658F9841" w14:textId="77777777" w:rsidR="00D91DBB" w:rsidRPr="008D21FB" w:rsidRDefault="00D91DBB" w:rsidP="00146956">
      <w:pPr>
        <w:spacing w:line="240" w:lineRule="auto"/>
        <w:ind w:firstLine="709"/>
        <w:jc w:val="both"/>
        <w:rPr>
          <w:rFonts w:ascii="Times New Roman" w:hAnsi="Times New Roman" w:cs="Times New Roman"/>
          <w:sz w:val="24"/>
          <w:szCs w:val="24"/>
        </w:rPr>
      </w:pPr>
      <w:bookmarkStart w:id="135" w:name="_Toc453374719"/>
      <w:bookmarkStart w:id="136" w:name="_Toc453412904"/>
      <w:r w:rsidRPr="008D21FB">
        <w:rPr>
          <w:rFonts w:ascii="Times New Roman" w:hAnsi="Times New Roman" w:cs="Times New Roman"/>
          <w:sz w:val="24"/>
          <w:szCs w:val="24"/>
        </w:rPr>
        <w:t xml:space="preserve">As restrições sobre a </w:t>
      </w:r>
      <w:r w:rsidRPr="008D21FB">
        <w:rPr>
          <w:rFonts w:ascii="Times New Roman" w:eastAsia="Times New Roman" w:hAnsi="Times New Roman" w:cs="Times New Roman"/>
          <w:color w:val="000000"/>
          <w:sz w:val="24"/>
          <w:szCs w:val="24"/>
          <w:lang w:eastAsia="pt-BR"/>
        </w:rPr>
        <w:t xml:space="preserve">capacidade de cumprimento das obrigações são na sua maioria, condições de vencimento antecipado da dívida e estão relacionadas principalmente as ocorrências de inadimplência das obrigações, como exemplo: (a) </w:t>
      </w:r>
      <w:r w:rsidRPr="008D21FB">
        <w:rPr>
          <w:rFonts w:ascii="Times New Roman" w:hAnsi="Times New Roman" w:cs="Times New Roman"/>
          <w:sz w:val="24"/>
          <w:szCs w:val="24"/>
        </w:rPr>
        <w:t>descumprimento e/ou vencimento antecipado de qualquer contrato ou dívida; (b) inadimplirem suas obrigações e/ou não liquidarem, no respectivo vencimento, débito de sua responsabilidade decorrente de outros contratos; (c) não pagamento pela emissora e/ou pela garantidora das obrigações pecuniárias, entre outros.</w:t>
      </w:r>
      <w:bookmarkEnd w:id="135"/>
      <w:bookmarkEnd w:id="136"/>
    </w:p>
    <w:p w14:paraId="50D0EF99" w14:textId="77777777" w:rsidR="00D91DBB" w:rsidRPr="008D21FB" w:rsidRDefault="00D91DBB" w:rsidP="00146956">
      <w:pPr>
        <w:spacing w:line="240" w:lineRule="auto"/>
        <w:ind w:firstLine="709"/>
        <w:jc w:val="both"/>
        <w:rPr>
          <w:rFonts w:ascii="Times New Roman" w:hAnsi="Times New Roman" w:cs="Times New Roman"/>
          <w:sz w:val="24"/>
          <w:szCs w:val="24"/>
        </w:rPr>
      </w:pPr>
      <w:bookmarkStart w:id="137" w:name="_Toc453374720"/>
      <w:bookmarkStart w:id="138" w:name="_Toc453412905"/>
      <w:r w:rsidRPr="008D21FB">
        <w:rPr>
          <w:rFonts w:ascii="Times New Roman" w:hAnsi="Times New Roman" w:cs="Times New Roman"/>
          <w:sz w:val="24"/>
          <w:szCs w:val="24"/>
        </w:rPr>
        <w:t>Em relação às operações</w:t>
      </w:r>
      <w:r w:rsidRPr="008D21FB">
        <w:rPr>
          <w:rFonts w:ascii="Times New Roman" w:eastAsia="Times New Roman" w:hAnsi="Times New Roman" w:cs="Times New Roman"/>
          <w:color w:val="000000"/>
          <w:sz w:val="24"/>
          <w:szCs w:val="24"/>
          <w:lang w:eastAsia="pt-BR"/>
        </w:rPr>
        <w:t xml:space="preserve"> de empréstimos e financiamentos, foram relatados </w:t>
      </w:r>
      <w:proofErr w:type="spellStart"/>
      <w:r w:rsidRPr="008D21FB">
        <w:rPr>
          <w:rFonts w:ascii="Times New Roman" w:eastAsia="Times New Roman" w:hAnsi="Times New Roman" w:cs="Times New Roman"/>
          <w:i/>
          <w:color w:val="000000"/>
          <w:sz w:val="24"/>
          <w:szCs w:val="24"/>
          <w:lang w:eastAsia="pt-BR"/>
        </w:rPr>
        <w:t>covenants</w:t>
      </w:r>
      <w:proofErr w:type="spellEnd"/>
      <w:r w:rsidRPr="008D21FB">
        <w:rPr>
          <w:rFonts w:ascii="Times New Roman" w:eastAsia="Times New Roman" w:hAnsi="Times New Roman" w:cs="Times New Roman"/>
          <w:color w:val="000000"/>
          <w:sz w:val="24"/>
          <w:szCs w:val="24"/>
          <w:lang w:eastAsia="pt-BR"/>
        </w:rPr>
        <w:t xml:space="preserve"> restritos a: (a) </w:t>
      </w:r>
      <w:r w:rsidRPr="008D21FB">
        <w:rPr>
          <w:rFonts w:ascii="Times New Roman" w:hAnsi="Times New Roman" w:cs="Times New Roman"/>
          <w:sz w:val="24"/>
          <w:szCs w:val="24"/>
        </w:rPr>
        <w:t xml:space="preserve">contratação de novas dívidas; (b) penhor ou hipoteca sobre ativos, propriedades ou renda; (c) realizar adiantamento a clientes; (d) cessão ou transferência a terceiros de direitos e obrigações, entre outros. Outras cláusulas de restrições foram relatadas referentes à concessão, outorga de garantias; constituir garantias reais de qualquer espécie em operações com outros credores; condições </w:t>
      </w:r>
      <w:r w:rsidRPr="008D21FB">
        <w:rPr>
          <w:rFonts w:ascii="Times New Roman" w:hAnsi="Times New Roman" w:cs="Times New Roman"/>
          <w:i/>
          <w:sz w:val="24"/>
          <w:szCs w:val="24"/>
        </w:rPr>
        <w:t>pari passu</w:t>
      </w:r>
      <w:r w:rsidRPr="008D21FB">
        <w:rPr>
          <w:rFonts w:ascii="Times New Roman" w:hAnsi="Times New Roman" w:cs="Times New Roman"/>
          <w:sz w:val="24"/>
          <w:szCs w:val="24"/>
        </w:rPr>
        <w:t xml:space="preserve"> entre debenturistas e os demais credores, por exemplo.</w:t>
      </w:r>
      <w:bookmarkEnd w:id="137"/>
      <w:bookmarkEnd w:id="138"/>
    </w:p>
    <w:p w14:paraId="7A848F54"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Os </w:t>
      </w:r>
      <w:proofErr w:type="spellStart"/>
      <w:r w:rsidRPr="008D21FB">
        <w:rPr>
          <w:rFonts w:ascii="Times New Roman" w:hAnsi="Times New Roman" w:cs="Times New Roman"/>
          <w:i/>
          <w:sz w:val="24"/>
          <w:szCs w:val="24"/>
        </w:rPr>
        <w:t>covenants</w:t>
      </w:r>
      <w:proofErr w:type="spellEnd"/>
      <w:r w:rsidRPr="008D21FB">
        <w:rPr>
          <w:rFonts w:ascii="Times New Roman" w:hAnsi="Times New Roman" w:cs="Times New Roman"/>
          <w:sz w:val="24"/>
          <w:szCs w:val="24"/>
        </w:rPr>
        <w:t xml:space="preserve"> sobre pagamento de dividendos e outras distribuições, impõe restrições quanto: (a) distribuição de dividendos; (b) distribuições de lucros; (c) juros sobre capital próprio; (d) outros pagamentos a acionistas; (e) redução de capital e recompra de ações, (f) resgate/amortização de ações; (g) transferências a terceiros, entre outros.</w:t>
      </w:r>
    </w:p>
    <w:p w14:paraId="4A7B860C"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Quanto a </w:t>
      </w:r>
      <w:r w:rsidRPr="008D21FB">
        <w:rPr>
          <w:rFonts w:ascii="Times New Roman" w:eastAsia="Times New Roman" w:hAnsi="Times New Roman" w:cs="Times New Roman"/>
          <w:color w:val="000000"/>
          <w:sz w:val="24"/>
          <w:szCs w:val="24"/>
          <w:lang w:eastAsia="pt-BR"/>
        </w:rPr>
        <w:t xml:space="preserve">reorganização societária, controle e propriedade, os principais </w:t>
      </w:r>
      <w:proofErr w:type="spellStart"/>
      <w:r w:rsidRPr="008D21FB">
        <w:rPr>
          <w:rFonts w:ascii="Times New Roman" w:eastAsia="Times New Roman" w:hAnsi="Times New Roman" w:cs="Times New Roman"/>
          <w:i/>
          <w:color w:val="000000"/>
          <w:sz w:val="24"/>
          <w:szCs w:val="24"/>
          <w:lang w:eastAsia="pt-BR"/>
        </w:rPr>
        <w:t>covenants</w:t>
      </w:r>
      <w:proofErr w:type="spellEnd"/>
      <w:r w:rsidRPr="008D21FB">
        <w:rPr>
          <w:rFonts w:ascii="Times New Roman" w:eastAsia="Times New Roman" w:hAnsi="Times New Roman" w:cs="Times New Roman"/>
          <w:color w:val="000000"/>
          <w:sz w:val="24"/>
          <w:szCs w:val="24"/>
          <w:lang w:eastAsia="pt-BR"/>
        </w:rPr>
        <w:t xml:space="preserve"> relatados estavam relacionados a: (a) </w:t>
      </w:r>
      <w:r w:rsidRPr="008D21FB">
        <w:rPr>
          <w:rFonts w:ascii="Times New Roman" w:hAnsi="Times New Roman" w:cs="Times New Roman"/>
          <w:sz w:val="24"/>
          <w:szCs w:val="24"/>
        </w:rPr>
        <w:t xml:space="preserve">alterações realizadas no capital social ou estrutura societária; (b) alteração do objeto social; (c) transferência ou cessão de controle acionário, (d) emissão de valores mobiliários; (e) emissão de debêntures e/ou partes beneficiárias; entre outros. </w:t>
      </w:r>
    </w:p>
    <w:p w14:paraId="7FD25000" w14:textId="77777777" w:rsidR="00D91DBB" w:rsidRPr="008D21F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Ainda, a</w:t>
      </w:r>
      <w:r w:rsidRPr="008D21FB">
        <w:rPr>
          <w:rFonts w:ascii="Times New Roman" w:eastAsia="Times New Roman" w:hAnsi="Times New Roman" w:cs="Times New Roman"/>
          <w:color w:val="000000"/>
          <w:sz w:val="24"/>
          <w:szCs w:val="24"/>
          <w:lang w:eastAsia="pt-BR"/>
        </w:rPr>
        <w:t xml:space="preserve">lgumas empresas estavam sujeitas a cumprir certas obrigações referentes às atividades da empresa, como exemplo: (a) </w:t>
      </w:r>
      <w:r w:rsidRPr="008D21FB">
        <w:rPr>
          <w:rFonts w:ascii="Times New Roman" w:hAnsi="Times New Roman" w:cs="Times New Roman"/>
          <w:sz w:val="24"/>
          <w:szCs w:val="24"/>
        </w:rPr>
        <w:t xml:space="preserve">apresentar anualmente ao credor demonstrações financeiras consolidadas auditadas por empresa de auditoria independente registrada na CVM; (b) comunicar previamente e formalmente ao credor constituição de garantia real; (c) conceder inspeções e visitas das suas instalações; (d) cumprimento dos pagamentos previstos em contrato; (e) garantia da integridade dos dados fornecidos aos agentes financeiros; (f) informar ao credor quaisquer fatos ou ocorrências que resultem na diminuição da capacidade de pagamento ou no valor das garantias; (g) manter-se em dia em relação a obrigações tributárias, previdenciárias e trabalhistas, entre outras. </w:t>
      </w:r>
    </w:p>
    <w:p w14:paraId="42540171" w14:textId="77777777" w:rsidR="00D91DBB" w:rsidRDefault="00D91DBB" w:rsidP="00146956">
      <w:pPr>
        <w:spacing w:line="240" w:lineRule="auto"/>
        <w:ind w:firstLine="709"/>
        <w:jc w:val="both"/>
        <w:rPr>
          <w:rFonts w:ascii="Times New Roman" w:hAnsi="Times New Roman" w:cs="Times New Roman"/>
          <w:sz w:val="24"/>
          <w:szCs w:val="24"/>
        </w:rPr>
      </w:pPr>
      <w:r w:rsidRPr="008D21FB">
        <w:rPr>
          <w:rFonts w:ascii="Times New Roman" w:hAnsi="Times New Roman" w:cs="Times New Roman"/>
          <w:sz w:val="24"/>
          <w:szCs w:val="24"/>
        </w:rPr>
        <w:t xml:space="preserve">Diante do exposto, percebe-se que os credores impõem diversos tipos de condições, limites, restrições e obrigações nas mais variadas formas, tudo para garantir que a empresa não tome decisões errôneas que a façam entrar em estado de solvência e por sua vez, não realizar o pagamento das dívidas. </w:t>
      </w:r>
      <w:bookmarkStart w:id="139" w:name="_Toc453412906"/>
      <w:bookmarkStart w:id="140" w:name="_Toc453515930"/>
    </w:p>
    <w:p w14:paraId="2BC82631" w14:textId="77777777" w:rsidR="00D91DBB" w:rsidRDefault="00D91DBB" w:rsidP="00146956">
      <w:pPr>
        <w:spacing w:line="240" w:lineRule="auto"/>
        <w:jc w:val="both"/>
        <w:rPr>
          <w:rFonts w:ascii="Times New Roman" w:hAnsi="Times New Roman" w:cs="Times New Roman"/>
          <w:sz w:val="24"/>
          <w:szCs w:val="24"/>
        </w:rPr>
      </w:pPr>
    </w:p>
    <w:bookmarkEnd w:id="139"/>
    <w:bookmarkEnd w:id="140"/>
    <w:p w14:paraId="224CA360" w14:textId="77777777" w:rsidR="002153E2" w:rsidRPr="005228DE" w:rsidRDefault="002153E2" w:rsidP="005228DE">
      <w:pPr>
        <w:pStyle w:val="Ttulo1"/>
        <w:ind w:firstLine="0"/>
        <w:rPr>
          <w:sz w:val="24"/>
          <w:szCs w:val="24"/>
        </w:rPr>
      </w:pPr>
      <w:proofErr w:type="gramStart"/>
      <w:r w:rsidRPr="005228DE">
        <w:rPr>
          <w:sz w:val="24"/>
          <w:szCs w:val="24"/>
        </w:rPr>
        <w:t>5</w:t>
      </w:r>
      <w:proofErr w:type="gramEnd"/>
      <w:r w:rsidRPr="005228DE">
        <w:rPr>
          <w:sz w:val="24"/>
          <w:szCs w:val="24"/>
        </w:rPr>
        <w:t xml:space="preserve"> CONSIDERAÇÕES FINAIS</w:t>
      </w:r>
    </w:p>
    <w:p w14:paraId="71246FBD" w14:textId="77777777" w:rsidR="002153E2" w:rsidRDefault="002153E2" w:rsidP="002153E2">
      <w:pPr>
        <w:pStyle w:val="NormalWeb"/>
        <w:ind w:firstLine="567"/>
        <w:contextualSpacing/>
        <w:jc w:val="both"/>
        <w:rPr>
          <w:color w:val="000000"/>
        </w:rPr>
      </w:pPr>
      <w:r w:rsidRPr="002153E2">
        <w:rPr>
          <w:color w:val="000000"/>
        </w:rPr>
        <w:t>As operações de crédito entre o credor e o tomador de recursos estão sujeitas a uma série de riscos devido às oscilações. A economia, o consumo e a produtividade são elementos essenciais que devem estar em constante aumento para o bom funcionamento do mercado de crédito. Quando esses elementos se encontram em baixa, a capacidade de pagamento, medida através do indicador dívida líquida sobre EBTIDA, torna-se o indicador mais preocupante e importante para as empresas (PEREIRA; OSCAR 2016).</w:t>
      </w:r>
    </w:p>
    <w:p w14:paraId="1DDFAC02" w14:textId="77777777" w:rsidR="002153E2" w:rsidRPr="002153E2" w:rsidRDefault="002153E2" w:rsidP="002153E2">
      <w:pPr>
        <w:pStyle w:val="NormalWeb"/>
        <w:ind w:firstLine="567"/>
        <w:contextualSpacing/>
        <w:jc w:val="both"/>
        <w:rPr>
          <w:color w:val="000000"/>
        </w:rPr>
      </w:pPr>
      <w:r w:rsidRPr="002153E2">
        <w:rPr>
          <w:color w:val="000000"/>
        </w:rPr>
        <w:t xml:space="preserve">De forma a mitigar os possíveis riscos identificados nas operações, os </w:t>
      </w:r>
      <w:proofErr w:type="spellStart"/>
      <w:r w:rsidRPr="003E709B">
        <w:rPr>
          <w:i/>
          <w:color w:val="000000"/>
        </w:rPr>
        <w:t>covenants</w:t>
      </w:r>
      <w:proofErr w:type="spellEnd"/>
      <w:r w:rsidRPr="002153E2">
        <w:rPr>
          <w:color w:val="000000"/>
        </w:rPr>
        <w:t xml:space="preserve"> tornam-se instrumentos essenciais nos contratos de dívida impondo obrigações e restrições de forma a assegurar ao credor o recebimento da dívida.</w:t>
      </w:r>
      <w:r w:rsidR="00D04BB6">
        <w:rPr>
          <w:color w:val="000000"/>
        </w:rPr>
        <w:t xml:space="preserve"> Desta forma</w:t>
      </w:r>
      <w:r w:rsidRPr="002153E2">
        <w:rPr>
          <w:color w:val="000000"/>
        </w:rPr>
        <w:t xml:space="preserve">, o presente trabalho teve como objetivo identificar as características dos </w:t>
      </w:r>
      <w:proofErr w:type="spellStart"/>
      <w:r w:rsidRPr="003E709B">
        <w:rPr>
          <w:i/>
          <w:color w:val="000000"/>
        </w:rPr>
        <w:t>covenants</w:t>
      </w:r>
      <w:proofErr w:type="spellEnd"/>
      <w:r w:rsidRPr="002153E2">
        <w:rPr>
          <w:color w:val="000000"/>
        </w:rPr>
        <w:t xml:space="preserve"> evidenciados pelas empresas que fazem parte do Novo Mercado da BM&amp;FBOVESPA</w:t>
      </w:r>
      <w:r w:rsidR="00D04BB6">
        <w:rPr>
          <w:color w:val="000000"/>
        </w:rPr>
        <w:t xml:space="preserve"> no ano de 2014</w:t>
      </w:r>
      <w:r w:rsidRPr="002153E2">
        <w:rPr>
          <w:color w:val="000000"/>
        </w:rPr>
        <w:t>.</w:t>
      </w:r>
      <w:r w:rsidR="00D04BB6">
        <w:rPr>
          <w:color w:val="000000"/>
        </w:rPr>
        <w:t xml:space="preserve"> </w:t>
      </w:r>
      <w:r w:rsidRPr="002153E2">
        <w:rPr>
          <w:color w:val="000000"/>
        </w:rPr>
        <w:t>O estudo limitou-se a análise de 134 empresas listadas nesse segmento e às cláusulas contratuais que apresentam informações contábeis financeiras e não financeiras, informadas pelas empresas nos FR e/ou NE.</w:t>
      </w:r>
    </w:p>
    <w:p w14:paraId="28D6966E" w14:textId="77777777" w:rsidR="002153E2" w:rsidRPr="002153E2" w:rsidRDefault="002153E2" w:rsidP="002153E2">
      <w:pPr>
        <w:pStyle w:val="NormalWeb"/>
        <w:ind w:firstLine="567"/>
        <w:contextualSpacing/>
        <w:jc w:val="both"/>
        <w:rPr>
          <w:color w:val="000000"/>
        </w:rPr>
      </w:pPr>
      <w:r w:rsidRPr="002153E2">
        <w:rPr>
          <w:color w:val="000000"/>
        </w:rPr>
        <w:t xml:space="preserve">A relevância dos </w:t>
      </w:r>
      <w:proofErr w:type="spellStart"/>
      <w:r w:rsidRPr="003E709B">
        <w:rPr>
          <w:i/>
          <w:color w:val="000000"/>
        </w:rPr>
        <w:t>covenants</w:t>
      </w:r>
      <w:proofErr w:type="spellEnd"/>
      <w:r w:rsidRPr="002153E2">
        <w:rPr>
          <w:color w:val="000000"/>
        </w:rPr>
        <w:t xml:space="preserve"> nos contratos de dívida pode ser verificada a partir de que dentre as empresas listadas no Novo Mercado, em média 84% (112 empresas) estão sujeitas aos cumprimentos de </w:t>
      </w:r>
      <w:proofErr w:type="spellStart"/>
      <w:r w:rsidRPr="003E709B">
        <w:rPr>
          <w:i/>
          <w:color w:val="000000"/>
        </w:rPr>
        <w:t>covenants</w:t>
      </w:r>
      <w:proofErr w:type="spellEnd"/>
      <w:r w:rsidRPr="003E709B">
        <w:rPr>
          <w:i/>
          <w:color w:val="000000"/>
        </w:rPr>
        <w:t>.</w:t>
      </w:r>
      <w:r w:rsidRPr="002153E2">
        <w:rPr>
          <w:color w:val="000000"/>
        </w:rPr>
        <w:t xml:space="preserve"> Em relação a divulgação dessas restrições e obrigações, verificou-se que as empresas deveriam divulgar essas cláusulas com a terminologia correta, pois apenas 55% (62 empresas) usam o termo </w:t>
      </w:r>
      <w:proofErr w:type="spellStart"/>
      <w:r w:rsidRPr="003E709B">
        <w:rPr>
          <w:i/>
          <w:color w:val="000000"/>
        </w:rPr>
        <w:t>covenants</w:t>
      </w:r>
      <w:proofErr w:type="spellEnd"/>
      <w:r w:rsidRPr="002153E2">
        <w:rPr>
          <w:color w:val="000000"/>
        </w:rPr>
        <w:t xml:space="preserve"> em seus relatórios. O emprego correto da terminologia é importante para que os analistas, acionistas e demais interessados não interpretem erroneamente a cláusula, podendo ocasionar em algumas punições à empresa, dentre elas, o vencimento antecipado da dívida.</w:t>
      </w:r>
    </w:p>
    <w:p w14:paraId="4B55BB4C" w14:textId="77777777" w:rsidR="002153E2" w:rsidRPr="002153E2" w:rsidRDefault="002153E2" w:rsidP="002153E2">
      <w:pPr>
        <w:pStyle w:val="NormalWeb"/>
        <w:ind w:firstLine="567"/>
        <w:contextualSpacing/>
        <w:jc w:val="both"/>
        <w:rPr>
          <w:color w:val="000000"/>
        </w:rPr>
      </w:pPr>
      <w:r w:rsidRPr="002153E2">
        <w:rPr>
          <w:color w:val="000000"/>
        </w:rPr>
        <w:t xml:space="preserve">Entre as classificações do </w:t>
      </w:r>
      <w:proofErr w:type="spellStart"/>
      <w:r w:rsidRPr="003E709B">
        <w:rPr>
          <w:i/>
          <w:color w:val="000000"/>
        </w:rPr>
        <w:t>covenants</w:t>
      </w:r>
      <w:proofErr w:type="spellEnd"/>
      <w:r w:rsidRPr="002153E2">
        <w:rPr>
          <w:color w:val="000000"/>
        </w:rPr>
        <w:t xml:space="preserve">, percebeu-se que os credores ao impor restrições aos devedores optam pelas cláusulas financeiras. Cerca de 88% das empresas estão sujeitas ao cumprimento de </w:t>
      </w:r>
      <w:proofErr w:type="spellStart"/>
      <w:r w:rsidRPr="003E709B">
        <w:rPr>
          <w:i/>
          <w:color w:val="000000"/>
        </w:rPr>
        <w:t>covenants</w:t>
      </w:r>
      <w:proofErr w:type="spellEnd"/>
      <w:r w:rsidRPr="003E709B">
        <w:rPr>
          <w:i/>
          <w:color w:val="000000"/>
        </w:rPr>
        <w:t xml:space="preserve"> </w:t>
      </w:r>
      <w:r w:rsidRPr="002153E2">
        <w:rPr>
          <w:color w:val="000000"/>
        </w:rPr>
        <w:t>financeiros que impõe limites a gestão econômica e financeira da empresa, através de indicadores contábeis.</w:t>
      </w:r>
    </w:p>
    <w:p w14:paraId="32FF3B6F" w14:textId="77777777" w:rsidR="002153E2" w:rsidRPr="002153E2" w:rsidRDefault="002153E2" w:rsidP="002153E2">
      <w:pPr>
        <w:pStyle w:val="NormalWeb"/>
        <w:ind w:firstLine="567"/>
        <w:contextualSpacing/>
        <w:jc w:val="both"/>
        <w:rPr>
          <w:color w:val="000000"/>
        </w:rPr>
      </w:pPr>
      <w:r w:rsidRPr="002153E2">
        <w:rPr>
          <w:color w:val="000000"/>
        </w:rPr>
        <w:t xml:space="preserve">Em relação aos </w:t>
      </w:r>
      <w:proofErr w:type="spellStart"/>
      <w:r w:rsidRPr="003E709B">
        <w:rPr>
          <w:i/>
          <w:color w:val="000000"/>
        </w:rPr>
        <w:t>covenants</w:t>
      </w:r>
      <w:proofErr w:type="spellEnd"/>
      <w:r w:rsidRPr="002153E2">
        <w:rPr>
          <w:color w:val="000000"/>
        </w:rPr>
        <w:t xml:space="preserve"> não financeiros, contatou-se que as empresas podem estar sujeitas a uma série de restrições como a alienação de ativos ou mudanças no controle societário, assim como obrigações de apresentar periodicamente as demonstrações contábeis auditadas.</w:t>
      </w:r>
    </w:p>
    <w:p w14:paraId="0497EF97" w14:textId="77777777" w:rsidR="002153E2" w:rsidRPr="002153E2" w:rsidRDefault="002153E2" w:rsidP="002153E2">
      <w:pPr>
        <w:pStyle w:val="NormalWeb"/>
        <w:ind w:firstLine="567"/>
        <w:contextualSpacing/>
        <w:jc w:val="both"/>
        <w:rPr>
          <w:color w:val="000000"/>
        </w:rPr>
      </w:pPr>
      <w:r w:rsidRPr="002153E2">
        <w:rPr>
          <w:color w:val="000000"/>
        </w:rPr>
        <w:t xml:space="preserve">Dentre os 139 tipos de </w:t>
      </w:r>
      <w:proofErr w:type="spellStart"/>
      <w:r w:rsidRPr="003E709B">
        <w:rPr>
          <w:i/>
          <w:color w:val="000000"/>
        </w:rPr>
        <w:t>covenants</w:t>
      </w:r>
      <w:proofErr w:type="spellEnd"/>
      <w:r w:rsidRPr="002153E2">
        <w:rPr>
          <w:color w:val="000000"/>
        </w:rPr>
        <w:t xml:space="preserve"> financeiros relatados pelas empresas, os mais evidenciados são o de cobertura da dívida (dívida líquida/EBITDA) relacionado ao BP e a DRE, cobertura de juros (EBITDA/despesa financeira) que está relacionado a DRE, e índices de liquidez relacionados ao BP. Esses indicadores estão diretamente ligados às demonstrações financeiras da companhia, e o indicador de cobertura da dívida, considerado nesse estudo como um </w:t>
      </w:r>
      <w:proofErr w:type="spellStart"/>
      <w:r w:rsidRPr="003E709B">
        <w:rPr>
          <w:i/>
          <w:color w:val="000000"/>
        </w:rPr>
        <w:t>covenants</w:t>
      </w:r>
      <w:proofErr w:type="spellEnd"/>
      <w:r w:rsidRPr="002153E2">
        <w:rPr>
          <w:color w:val="000000"/>
        </w:rPr>
        <w:t xml:space="preserve"> híbrido, foi o mais relatado dentre as empresas. Também foi possível notar que o EBITDA, apesar de ser considerado uma medida não contábil, possui forte influência na formação dos </w:t>
      </w:r>
      <w:proofErr w:type="spellStart"/>
      <w:r w:rsidRPr="003E709B">
        <w:rPr>
          <w:i/>
          <w:color w:val="000000"/>
        </w:rPr>
        <w:t>covenants</w:t>
      </w:r>
      <w:proofErr w:type="spellEnd"/>
      <w:r w:rsidRPr="002153E2">
        <w:rPr>
          <w:color w:val="000000"/>
        </w:rPr>
        <w:t>.</w:t>
      </w:r>
    </w:p>
    <w:p w14:paraId="53CF144C" w14:textId="77777777" w:rsidR="002153E2" w:rsidRPr="002153E2" w:rsidRDefault="002153E2" w:rsidP="002153E2">
      <w:pPr>
        <w:pStyle w:val="NormalWeb"/>
        <w:ind w:firstLine="567"/>
        <w:contextualSpacing/>
        <w:jc w:val="both"/>
        <w:rPr>
          <w:color w:val="000000"/>
        </w:rPr>
      </w:pPr>
      <w:r w:rsidRPr="002153E2">
        <w:rPr>
          <w:color w:val="000000"/>
        </w:rPr>
        <w:t xml:space="preserve">Por conseguinte, constatou-se que os credores ao estabelecerem </w:t>
      </w:r>
      <w:proofErr w:type="spellStart"/>
      <w:r w:rsidRPr="003E709B">
        <w:rPr>
          <w:i/>
          <w:color w:val="000000"/>
        </w:rPr>
        <w:t>covenants</w:t>
      </w:r>
      <w:proofErr w:type="spellEnd"/>
      <w:r w:rsidRPr="002153E2">
        <w:rPr>
          <w:color w:val="000000"/>
        </w:rPr>
        <w:t xml:space="preserve"> nas empresas buscam, sobretudo, proteção aos interesses próprios, assegurando que a empresa vá continuar em funcionamento e gerar recursos que serão utilizados para o pagamento da dívida.</w:t>
      </w:r>
    </w:p>
    <w:p w14:paraId="4A4A9A66" w14:textId="77777777" w:rsidR="002153E2" w:rsidRPr="002153E2" w:rsidRDefault="002153E2" w:rsidP="002153E2">
      <w:pPr>
        <w:pStyle w:val="NormalWeb"/>
        <w:ind w:firstLine="567"/>
        <w:contextualSpacing/>
        <w:jc w:val="both"/>
        <w:rPr>
          <w:color w:val="000000"/>
        </w:rPr>
      </w:pPr>
      <w:r w:rsidRPr="002153E2">
        <w:rPr>
          <w:color w:val="000000"/>
        </w:rPr>
        <w:t xml:space="preserve">Para trabalhos futuros recomenda-se um estudo considerando um horizonte temporal, a fim de identificar as diferenças entre os anos. Outra análise que poderia ser feita, são as diferenças entre os </w:t>
      </w:r>
      <w:proofErr w:type="spellStart"/>
      <w:r w:rsidRPr="003E709B">
        <w:rPr>
          <w:i/>
          <w:color w:val="000000"/>
        </w:rPr>
        <w:t>covenants</w:t>
      </w:r>
      <w:proofErr w:type="spellEnd"/>
      <w:r w:rsidRPr="002153E2">
        <w:rPr>
          <w:color w:val="000000"/>
        </w:rPr>
        <w:t xml:space="preserve"> presentes em debêntures e os que são usados em contratos de empréstimos e financiamentos. Também seria interessante realizar uma análise conforme a classificação setorial das empresas, ou comparar os níveis de segmento de governança corporativa. Poderia ser realizado também um levantamento das empresas que divulgaram em seus relatórios que quebraram as cláusulas de </w:t>
      </w:r>
      <w:proofErr w:type="spellStart"/>
      <w:r w:rsidRPr="003E709B">
        <w:rPr>
          <w:i/>
          <w:color w:val="000000"/>
        </w:rPr>
        <w:t>covenants</w:t>
      </w:r>
      <w:proofErr w:type="spellEnd"/>
      <w:r w:rsidRPr="002153E2">
        <w:rPr>
          <w:color w:val="000000"/>
        </w:rPr>
        <w:t xml:space="preserve"> e quais foram as consequências econômicas que sofreram.</w:t>
      </w:r>
    </w:p>
    <w:p w14:paraId="2B121F63" w14:textId="77777777" w:rsidR="005228DE" w:rsidRPr="005228DE" w:rsidRDefault="005228DE" w:rsidP="005228DE">
      <w:pPr>
        <w:pStyle w:val="Ttulo1"/>
        <w:ind w:firstLine="0"/>
        <w:rPr>
          <w:sz w:val="24"/>
          <w:szCs w:val="24"/>
        </w:rPr>
      </w:pPr>
      <w:r w:rsidRPr="005228DE">
        <w:rPr>
          <w:sz w:val="24"/>
          <w:szCs w:val="24"/>
        </w:rPr>
        <w:t>REFERÊNCIAS</w:t>
      </w:r>
    </w:p>
    <w:p w14:paraId="714AD4C1" w14:textId="636E6D7E" w:rsidR="005228DE" w:rsidRPr="005228DE" w:rsidRDefault="005228DE" w:rsidP="0070348C">
      <w:pPr>
        <w:pStyle w:val="NormalWeb"/>
        <w:contextualSpacing/>
        <w:jc w:val="both"/>
        <w:rPr>
          <w:color w:val="000000"/>
        </w:rPr>
      </w:pPr>
      <w:r w:rsidRPr="005228DE">
        <w:rPr>
          <w:color w:val="000000"/>
        </w:rPr>
        <w:t>ASSAF NETO, Alexandre. Contabilidade Baseada em Valor. Anais do VI Congresso Brasileiro de Custos, São Paulo, FEA</w:t>
      </w:r>
      <w:r w:rsidR="0070348C">
        <w:rPr>
          <w:color w:val="000000"/>
        </w:rPr>
        <w:t>-</w:t>
      </w:r>
      <w:r w:rsidRPr="005228DE">
        <w:rPr>
          <w:color w:val="000000"/>
        </w:rPr>
        <w:t>USP, 1999.</w:t>
      </w:r>
    </w:p>
    <w:p w14:paraId="5ED0EE5E" w14:textId="77777777" w:rsidR="005228DE" w:rsidRDefault="005228DE" w:rsidP="0070348C">
      <w:pPr>
        <w:pStyle w:val="NormalWeb"/>
        <w:contextualSpacing/>
        <w:jc w:val="both"/>
        <w:rPr>
          <w:color w:val="000000"/>
        </w:rPr>
      </w:pPr>
    </w:p>
    <w:p w14:paraId="3899A7CF" w14:textId="77777777" w:rsidR="0070348C" w:rsidRDefault="00DA7F3D" w:rsidP="0070348C">
      <w:pPr>
        <w:pStyle w:val="NormalWeb"/>
        <w:contextualSpacing/>
        <w:jc w:val="both"/>
        <w:rPr>
          <w:color w:val="000000"/>
        </w:rPr>
      </w:pPr>
      <w:r>
        <w:rPr>
          <w:color w:val="000000"/>
        </w:rPr>
        <w:t>BM&amp;FBOVESPA</w:t>
      </w:r>
      <w:r w:rsidR="005228DE" w:rsidRPr="005228DE">
        <w:rPr>
          <w:color w:val="000000"/>
        </w:rPr>
        <w:t xml:space="preserve">. Empresas Listadas: Novo Mercado. Disponível em: &lt;http://www. </w:t>
      </w:r>
      <w:proofErr w:type="gramStart"/>
      <w:r w:rsidR="005228DE" w:rsidRPr="005228DE">
        <w:rPr>
          <w:color w:val="000000"/>
        </w:rPr>
        <w:t>bmfbovespa.com.</w:t>
      </w:r>
      <w:proofErr w:type="gramEnd"/>
      <w:r w:rsidR="005228DE" w:rsidRPr="005228DE">
        <w:rPr>
          <w:color w:val="000000"/>
        </w:rPr>
        <w:t>br/</w:t>
      </w:r>
      <w:proofErr w:type="spellStart"/>
      <w:r w:rsidR="005228DE" w:rsidRPr="005228DE">
        <w:rPr>
          <w:color w:val="000000"/>
        </w:rPr>
        <w:t>pt</w:t>
      </w:r>
      <w:proofErr w:type="spellEnd"/>
    </w:p>
    <w:p w14:paraId="1055688A" w14:textId="79C787CA" w:rsidR="005228DE" w:rsidRPr="005228DE" w:rsidRDefault="005228DE" w:rsidP="0070348C">
      <w:pPr>
        <w:pStyle w:val="NormalWeb"/>
        <w:contextualSpacing/>
        <w:jc w:val="both"/>
        <w:rPr>
          <w:color w:val="000000"/>
        </w:rPr>
      </w:pPr>
      <w:r w:rsidRPr="005228DE">
        <w:rPr>
          <w:color w:val="000000"/>
        </w:rPr>
        <w:t>_</w:t>
      </w:r>
      <w:proofErr w:type="gramStart"/>
      <w:r w:rsidRPr="005228DE">
        <w:rPr>
          <w:color w:val="000000"/>
        </w:rPr>
        <w:t>br</w:t>
      </w:r>
      <w:proofErr w:type="gramEnd"/>
      <w:r w:rsidRPr="005228DE">
        <w:rPr>
          <w:color w:val="000000"/>
        </w:rPr>
        <w:t>/produtos/listados-a-vista-e-derivati</w:t>
      </w:r>
      <w:r w:rsidR="0070348C">
        <w:rPr>
          <w:color w:val="000000"/>
        </w:rPr>
        <w:t xml:space="preserve">vos/renda-variavel/empresas-listadas.htm&gt;. </w:t>
      </w:r>
      <w:r w:rsidRPr="005228DE">
        <w:rPr>
          <w:color w:val="000000"/>
        </w:rPr>
        <w:t>Acesso em: 01 mar. 2016.</w:t>
      </w:r>
    </w:p>
    <w:p w14:paraId="37982830" w14:textId="77777777" w:rsidR="005228DE" w:rsidRDefault="005228DE" w:rsidP="0070348C">
      <w:pPr>
        <w:pStyle w:val="NormalWeb"/>
        <w:contextualSpacing/>
        <w:jc w:val="both"/>
        <w:rPr>
          <w:color w:val="000000"/>
        </w:rPr>
      </w:pPr>
    </w:p>
    <w:p w14:paraId="634A79CD" w14:textId="77777777" w:rsidR="005228DE" w:rsidRDefault="00DA7F3D" w:rsidP="0070348C">
      <w:pPr>
        <w:pStyle w:val="NormalWeb"/>
        <w:contextualSpacing/>
        <w:jc w:val="both"/>
        <w:rPr>
          <w:color w:val="000000"/>
        </w:rPr>
      </w:pPr>
      <w:r>
        <w:rPr>
          <w:color w:val="000000"/>
        </w:rPr>
        <w:t>BM&amp;FBOVESPA,</w:t>
      </w:r>
      <w:r w:rsidR="005228DE" w:rsidRPr="005228DE">
        <w:rPr>
          <w:color w:val="000000"/>
        </w:rPr>
        <w:t xml:space="preserve"> Segmentos de listagem: Novo Mercado. Disponível em:&lt;http://www. bmfbovespa.com.br/pt_br/listagem/acoes/segmentos-de-listagem/novo-mercado/&gt;. Acesso em: 01 mar. 2016.</w:t>
      </w:r>
    </w:p>
    <w:p w14:paraId="3B2F8870" w14:textId="77777777" w:rsidR="00075CC5" w:rsidRPr="005228DE" w:rsidRDefault="00075CC5" w:rsidP="0070348C">
      <w:pPr>
        <w:pStyle w:val="NormalWeb"/>
        <w:contextualSpacing/>
        <w:jc w:val="both"/>
        <w:rPr>
          <w:color w:val="000000"/>
        </w:rPr>
      </w:pPr>
    </w:p>
    <w:p w14:paraId="2991F7CC" w14:textId="77777777" w:rsidR="005228DE" w:rsidRPr="005228DE" w:rsidRDefault="005228DE" w:rsidP="0070348C">
      <w:pPr>
        <w:pStyle w:val="NormalWeb"/>
        <w:contextualSpacing/>
        <w:jc w:val="both"/>
        <w:rPr>
          <w:color w:val="000000"/>
        </w:rPr>
      </w:pPr>
      <w:r w:rsidRPr="005228DE">
        <w:rPr>
          <w:color w:val="000000"/>
        </w:rPr>
        <w:t xml:space="preserve">BEIRUTH, Aziz Xavier. Transformação estrutural de </w:t>
      </w:r>
      <w:proofErr w:type="spellStart"/>
      <w:r w:rsidRPr="005228DE">
        <w:rPr>
          <w:color w:val="000000"/>
        </w:rPr>
        <w:t>covenants</w:t>
      </w:r>
      <w:proofErr w:type="spellEnd"/>
      <w:r w:rsidRPr="005228DE">
        <w:rPr>
          <w:color w:val="000000"/>
        </w:rPr>
        <w:t xml:space="preserve"> com a adoção das IFRS no Brasil. 2015. 127 p. Tese (doutorado) - Universidade de São Paulo, São Paulo, 2015.</w:t>
      </w:r>
    </w:p>
    <w:p w14:paraId="5FDC0F0B" w14:textId="77777777" w:rsidR="005228DE" w:rsidRDefault="005228DE" w:rsidP="0070348C">
      <w:pPr>
        <w:pStyle w:val="NormalWeb"/>
        <w:contextualSpacing/>
        <w:jc w:val="both"/>
        <w:rPr>
          <w:color w:val="000000"/>
        </w:rPr>
      </w:pPr>
    </w:p>
    <w:p w14:paraId="183A1335" w14:textId="421950C1" w:rsidR="005228DE" w:rsidRPr="005228DE" w:rsidRDefault="005228DE" w:rsidP="0070348C">
      <w:pPr>
        <w:pStyle w:val="NormalWeb"/>
        <w:contextualSpacing/>
        <w:rPr>
          <w:color w:val="000000"/>
        </w:rPr>
      </w:pPr>
      <w:r w:rsidRPr="005228DE">
        <w:rPr>
          <w:color w:val="000000"/>
        </w:rPr>
        <w:t xml:space="preserve">BORGES, Luiz Ferreira Xavier. </w:t>
      </w:r>
      <w:proofErr w:type="spellStart"/>
      <w:r w:rsidRPr="005228DE">
        <w:rPr>
          <w:color w:val="000000"/>
        </w:rPr>
        <w:t>Covenants</w:t>
      </w:r>
      <w:proofErr w:type="spellEnd"/>
      <w:r w:rsidRPr="005228DE">
        <w:rPr>
          <w:color w:val="000000"/>
        </w:rPr>
        <w:t xml:space="preserve">: Instrumento de garantia em Project </w:t>
      </w:r>
      <w:proofErr w:type="spellStart"/>
      <w:r w:rsidRPr="005228DE">
        <w:rPr>
          <w:color w:val="000000"/>
        </w:rPr>
        <w:t>Finance</w:t>
      </w:r>
      <w:proofErr w:type="spellEnd"/>
      <w:r w:rsidRPr="005228DE">
        <w:rPr>
          <w:color w:val="000000"/>
        </w:rPr>
        <w:t>. Revista BN</w:t>
      </w:r>
      <w:r w:rsidR="0070348C">
        <w:rPr>
          <w:color w:val="000000"/>
        </w:rPr>
        <w:t>DES. Rio de Janeiro v 11, 1999. Disponível em: &lt;</w:t>
      </w:r>
      <w:r w:rsidR="0070348C" w:rsidRPr="0070348C">
        <w:rPr>
          <w:color w:val="000000"/>
        </w:rPr>
        <w:t>http://www.bndes.gov.br/SiteBNDES/export/sites/default/bndes</w:t>
      </w:r>
      <w:r w:rsidR="0070348C">
        <w:rPr>
          <w:color w:val="000000"/>
        </w:rPr>
        <w:t xml:space="preserve"> </w:t>
      </w:r>
      <w:r w:rsidR="0070348C" w:rsidRPr="0070348C">
        <w:rPr>
          <w:color w:val="000000"/>
        </w:rPr>
        <w:t>_</w:t>
      </w:r>
      <w:proofErr w:type="spellStart"/>
      <w:proofErr w:type="gramStart"/>
      <w:r w:rsidR="0070348C" w:rsidRPr="0070348C">
        <w:rPr>
          <w:color w:val="000000"/>
        </w:rPr>
        <w:t>pt</w:t>
      </w:r>
      <w:proofErr w:type="spellEnd"/>
      <w:proofErr w:type="gramEnd"/>
      <w:r w:rsidR="0070348C">
        <w:rPr>
          <w:color w:val="000000"/>
        </w:rPr>
        <w:t xml:space="preserve"> </w:t>
      </w:r>
      <w:r w:rsidR="0070348C" w:rsidRPr="0070348C">
        <w:rPr>
          <w:color w:val="000000"/>
        </w:rPr>
        <w:t>/</w:t>
      </w:r>
      <w:r w:rsidRPr="005228DE">
        <w:rPr>
          <w:color w:val="000000"/>
        </w:rPr>
        <w:t>Galerias/Arquivos/conhecimento/</w:t>
      </w:r>
      <w:r w:rsidR="0070348C">
        <w:rPr>
          <w:color w:val="000000"/>
        </w:rPr>
        <w:t xml:space="preserve"> </w:t>
      </w:r>
      <w:r w:rsidRPr="005228DE">
        <w:rPr>
          <w:color w:val="000000"/>
        </w:rPr>
        <w:t>revista/rev1106.df&gt;. Acesso em 01 abr. 2016</w:t>
      </w:r>
    </w:p>
    <w:p w14:paraId="06FF958D" w14:textId="77777777" w:rsidR="005228DE" w:rsidRDefault="005228DE" w:rsidP="0070348C">
      <w:pPr>
        <w:pStyle w:val="NormalWeb"/>
        <w:contextualSpacing/>
        <w:jc w:val="both"/>
        <w:rPr>
          <w:color w:val="000000"/>
        </w:rPr>
      </w:pPr>
    </w:p>
    <w:p w14:paraId="542F8160" w14:textId="70B178A6" w:rsidR="005228DE" w:rsidRPr="005228DE" w:rsidRDefault="005228DE" w:rsidP="0070348C">
      <w:pPr>
        <w:pStyle w:val="NormalWeb"/>
        <w:contextualSpacing/>
        <w:jc w:val="both"/>
        <w:rPr>
          <w:color w:val="000000"/>
        </w:rPr>
      </w:pPr>
      <w:r w:rsidRPr="005228DE">
        <w:rPr>
          <w:color w:val="000000"/>
        </w:rPr>
        <w:t>BORGES, Luiz Ferreira Xavier; JÚNIOR, Sebastião Bergamini. O Risco Legal na Análise de Crédito. Revista do BNDES, Rio de Janeiro, V. 8, N. 16, P. 215-260, Dezembro 2001. Disponível em: &lt;http://www.bndes.gov.br/SiteBNDES/export/s</w:t>
      </w:r>
      <w:r w:rsidR="0070348C">
        <w:rPr>
          <w:color w:val="000000"/>
        </w:rPr>
        <w:t>ites/default/bndes_pt/Galerias/</w:t>
      </w:r>
      <w:r w:rsidRPr="005228DE">
        <w:rPr>
          <w:color w:val="000000"/>
        </w:rPr>
        <w:t>Arquivos/conhecimento/revista/rev1607.pdf&gt;. Acesso em 01 abr. 2016.</w:t>
      </w:r>
    </w:p>
    <w:p w14:paraId="3D8318D1" w14:textId="77777777" w:rsidR="005228DE" w:rsidRDefault="005228DE" w:rsidP="0070348C">
      <w:pPr>
        <w:pStyle w:val="NormalWeb"/>
        <w:contextualSpacing/>
        <w:jc w:val="both"/>
        <w:rPr>
          <w:color w:val="000000"/>
        </w:rPr>
      </w:pPr>
    </w:p>
    <w:p w14:paraId="695BD4B4" w14:textId="6360A68F" w:rsidR="005228DE" w:rsidRPr="001250B4" w:rsidRDefault="005228DE" w:rsidP="0070348C">
      <w:pPr>
        <w:pStyle w:val="NormalWeb"/>
        <w:contextualSpacing/>
        <w:jc w:val="both"/>
        <w:rPr>
          <w:color w:val="000000"/>
        </w:rPr>
      </w:pPr>
      <w:r w:rsidRPr="001250B4">
        <w:rPr>
          <w:color w:val="000000"/>
        </w:rPr>
        <w:t xml:space="preserve">COTTER, Julie. </w:t>
      </w:r>
      <w:r w:rsidRPr="001250B4">
        <w:rPr>
          <w:color w:val="000000"/>
          <w:lang w:val="en-US"/>
        </w:rPr>
        <w:t xml:space="preserve">Utilization and restrictiveness of covenants in Australian private debt covenants. </w:t>
      </w:r>
      <w:proofErr w:type="spellStart"/>
      <w:r w:rsidRPr="001250B4">
        <w:rPr>
          <w:color w:val="000000"/>
        </w:rPr>
        <w:t>Accouting</w:t>
      </w:r>
      <w:proofErr w:type="spellEnd"/>
      <w:r w:rsidRPr="001250B4">
        <w:rPr>
          <w:color w:val="000000"/>
        </w:rPr>
        <w:t xml:space="preserve"> &amp; </w:t>
      </w:r>
      <w:proofErr w:type="spellStart"/>
      <w:r w:rsidRPr="001250B4">
        <w:rPr>
          <w:color w:val="000000"/>
        </w:rPr>
        <w:t>Finance</w:t>
      </w:r>
      <w:proofErr w:type="spellEnd"/>
      <w:r w:rsidRPr="001250B4">
        <w:rPr>
          <w:color w:val="000000"/>
        </w:rPr>
        <w:t>,</w:t>
      </w:r>
      <w:r w:rsidR="001250B4" w:rsidRPr="001250B4">
        <w:rPr>
          <w:color w:val="000000"/>
        </w:rPr>
        <w:t xml:space="preserve"> Austrália,</w:t>
      </w:r>
      <w:r w:rsidRPr="001250B4">
        <w:rPr>
          <w:color w:val="000000"/>
        </w:rPr>
        <w:t xml:space="preserve"> v. 38, n </w:t>
      </w:r>
      <w:proofErr w:type="gramStart"/>
      <w:r w:rsidRPr="001250B4">
        <w:rPr>
          <w:color w:val="000000"/>
        </w:rPr>
        <w:t>2</w:t>
      </w:r>
      <w:proofErr w:type="gramEnd"/>
      <w:r w:rsidRPr="001250B4">
        <w:rPr>
          <w:color w:val="000000"/>
        </w:rPr>
        <w:t>, o. 181-196, Nov. 1998</w:t>
      </w:r>
    </w:p>
    <w:p w14:paraId="02FBE1E0" w14:textId="77777777" w:rsidR="005228DE" w:rsidRPr="001250B4" w:rsidRDefault="005228DE" w:rsidP="0070348C">
      <w:pPr>
        <w:pStyle w:val="NormalWeb"/>
        <w:contextualSpacing/>
        <w:jc w:val="both"/>
        <w:rPr>
          <w:color w:val="000000"/>
        </w:rPr>
      </w:pPr>
    </w:p>
    <w:p w14:paraId="1414F1BF" w14:textId="77777777" w:rsidR="005228DE" w:rsidRPr="001250B4" w:rsidRDefault="005228DE" w:rsidP="0070348C">
      <w:pPr>
        <w:pStyle w:val="NormalWeb"/>
        <w:contextualSpacing/>
        <w:jc w:val="both"/>
        <w:rPr>
          <w:color w:val="000000"/>
          <w:lang w:val="en-US"/>
        </w:rPr>
      </w:pPr>
      <w:r w:rsidRPr="001250B4">
        <w:rPr>
          <w:color w:val="000000"/>
        </w:rPr>
        <w:t xml:space="preserve">FINNERTY, John D. Project </w:t>
      </w:r>
      <w:proofErr w:type="spellStart"/>
      <w:r w:rsidRPr="001250B4">
        <w:rPr>
          <w:color w:val="000000"/>
        </w:rPr>
        <w:t>finance</w:t>
      </w:r>
      <w:proofErr w:type="spellEnd"/>
      <w:r w:rsidRPr="001250B4">
        <w:rPr>
          <w:color w:val="000000"/>
        </w:rPr>
        <w:t xml:space="preserve">: engenharia financeira baseada em ativos. </w:t>
      </w:r>
      <w:r w:rsidRPr="001250B4">
        <w:rPr>
          <w:color w:val="000000"/>
          <w:lang w:val="en-US"/>
        </w:rPr>
        <w:t xml:space="preserve">Rio de Janeiro: </w:t>
      </w:r>
      <w:proofErr w:type="spellStart"/>
      <w:r w:rsidRPr="001250B4">
        <w:rPr>
          <w:color w:val="000000"/>
          <w:lang w:val="en-US"/>
        </w:rPr>
        <w:t>Qualitymark</w:t>
      </w:r>
      <w:proofErr w:type="spellEnd"/>
      <w:r w:rsidRPr="001250B4">
        <w:rPr>
          <w:color w:val="000000"/>
          <w:lang w:val="en-US"/>
        </w:rPr>
        <w:t xml:space="preserve"> </w:t>
      </w:r>
      <w:proofErr w:type="spellStart"/>
      <w:r w:rsidRPr="001250B4">
        <w:rPr>
          <w:color w:val="000000"/>
          <w:lang w:val="en-US"/>
        </w:rPr>
        <w:t>Editora</w:t>
      </w:r>
      <w:proofErr w:type="spellEnd"/>
      <w:r w:rsidRPr="001250B4">
        <w:rPr>
          <w:color w:val="000000"/>
          <w:lang w:val="en-US"/>
        </w:rPr>
        <w:t>, 1999.</w:t>
      </w:r>
    </w:p>
    <w:p w14:paraId="028AD5AE" w14:textId="77777777" w:rsidR="005228DE" w:rsidRPr="001250B4" w:rsidRDefault="005228DE" w:rsidP="005228DE">
      <w:pPr>
        <w:pStyle w:val="NormalWeb"/>
        <w:contextualSpacing/>
        <w:rPr>
          <w:color w:val="000000"/>
          <w:lang w:val="en-US"/>
        </w:rPr>
      </w:pPr>
    </w:p>
    <w:p w14:paraId="23341B8D" w14:textId="77777777" w:rsidR="005228DE" w:rsidRPr="00C232B7" w:rsidRDefault="005228DE" w:rsidP="0070348C">
      <w:pPr>
        <w:pStyle w:val="NormalWeb"/>
        <w:contextualSpacing/>
        <w:jc w:val="both"/>
        <w:rPr>
          <w:color w:val="000000"/>
        </w:rPr>
      </w:pPr>
      <w:r w:rsidRPr="001250B4">
        <w:rPr>
          <w:color w:val="000000"/>
          <w:lang w:val="en-US"/>
        </w:rPr>
        <w:t xml:space="preserve">FROST, Carol A.; BERNAND, Victor L. The role of debt covenants in assessing the economic consequences of limiting capitalization of exploration costs. </w:t>
      </w:r>
      <w:r w:rsidRPr="001250B4">
        <w:rPr>
          <w:color w:val="000000"/>
        </w:rPr>
        <w:t xml:space="preserve">The </w:t>
      </w:r>
      <w:proofErr w:type="spellStart"/>
      <w:r w:rsidRPr="001250B4">
        <w:rPr>
          <w:color w:val="000000"/>
        </w:rPr>
        <w:t>Ac</w:t>
      </w:r>
      <w:r w:rsidR="008312DB" w:rsidRPr="001250B4">
        <w:rPr>
          <w:color w:val="000000"/>
        </w:rPr>
        <w:t>c</w:t>
      </w:r>
      <w:r w:rsidRPr="001250B4">
        <w:rPr>
          <w:color w:val="000000"/>
        </w:rPr>
        <w:t>ountig</w:t>
      </w:r>
      <w:proofErr w:type="spellEnd"/>
      <w:r w:rsidRPr="001250B4">
        <w:rPr>
          <w:color w:val="000000"/>
        </w:rPr>
        <w:t xml:space="preserve"> </w:t>
      </w:r>
      <w:proofErr w:type="spellStart"/>
      <w:r w:rsidRPr="001250B4">
        <w:rPr>
          <w:color w:val="000000"/>
        </w:rPr>
        <w:t>Review</w:t>
      </w:r>
      <w:proofErr w:type="spellEnd"/>
      <w:r w:rsidRPr="001250B4">
        <w:rPr>
          <w:color w:val="000000"/>
        </w:rPr>
        <w:t xml:space="preserve">. </w:t>
      </w:r>
      <w:proofErr w:type="gramStart"/>
      <w:r w:rsidRPr="001250B4">
        <w:rPr>
          <w:color w:val="000000"/>
        </w:rPr>
        <w:t>v.</w:t>
      </w:r>
      <w:proofErr w:type="gramEnd"/>
      <w:r w:rsidRPr="001250B4">
        <w:rPr>
          <w:color w:val="000000"/>
        </w:rPr>
        <w:t xml:space="preserve"> LXIV, n 4, p. 788-808, </w:t>
      </w:r>
      <w:proofErr w:type="spellStart"/>
      <w:r w:rsidRPr="001250B4">
        <w:rPr>
          <w:color w:val="000000"/>
        </w:rPr>
        <w:t>Oct</w:t>
      </w:r>
      <w:proofErr w:type="spellEnd"/>
      <w:r w:rsidRPr="001250B4">
        <w:rPr>
          <w:color w:val="000000"/>
        </w:rPr>
        <w:t xml:space="preserve"> 1989.</w:t>
      </w:r>
    </w:p>
    <w:p w14:paraId="2111B191" w14:textId="77777777" w:rsidR="005228DE" w:rsidRDefault="005228DE" w:rsidP="0070348C">
      <w:pPr>
        <w:pStyle w:val="NormalWeb"/>
        <w:contextualSpacing/>
        <w:jc w:val="both"/>
        <w:rPr>
          <w:color w:val="000000"/>
        </w:rPr>
      </w:pPr>
    </w:p>
    <w:p w14:paraId="3ED5BAC7" w14:textId="77777777" w:rsidR="005228DE" w:rsidRPr="005228DE" w:rsidRDefault="005228DE" w:rsidP="0070348C">
      <w:pPr>
        <w:pStyle w:val="NormalWeb"/>
        <w:contextualSpacing/>
        <w:jc w:val="both"/>
        <w:rPr>
          <w:color w:val="000000"/>
        </w:rPr>
      </w:pPr>
      <w:r w:rsidRPr="005228DE">
        <w:rPr>
          <w:color w:val="000000"/>
        </w:rPr>
        <w:t>IBGC. Caderno de Boas Práticas de Governança Corporativa Para Empresas de Capital Fechado: um guia para sociedades limitadas e sociedades por ações fechadas. / Instituto Brasileiro de Governança Corporativa. São Paulo, SP: IBGC, 2014.</w:t>
      </w:r>
    </w:p>
    <w:p w14:paraId="286B397D" w14:textId="77777777" w:rsidR="005228DE" w:rsidRDefault="005228DE" w:rsidP="0070348C">
      <w:pPr>
        <w:pStyle w:val="NormalWeb"/>
        <w:contextualSpacing/>
        <w:jc w:val="both"/>
        <w:rPr>
          <w:color w:val="000000"/>
        </w:rPr>
      </w:pPr>
    </w:p>
    <w:p w14:paraId="3489380B" w14:textId="77777777" w:rsidR="005228DE" w:rsidRPr="005228DE" w:rsidRDefault="005228DE" w:rsidP="0070348C">
      <w:pPr>
        <w:pStyle w:val="NormalWeb"/>
        <w:contextualSpacing/>
        <w:jc w:val="both"/>
        <w:rPr>
          <w:color w:val="000000"/>
        </w:rPr>
      </w:pPr>
      <w:r w:rsidRPr="005228DE">
        <w:rPr>
          <w:color w:val="000000"/>
        </w:rPr>
        <w:t>IBGC. Governança Corporativa. Disponível em: &lt;http://www.ibgc.org.br/inter.php?id=18 166&gt;. Acesso em: 01 maio 2016.</w:t>
      </w:r>
    </w:p>
    <w:p w14:paraId="0F37CA5A" w14:textId="77777777" w:rsidR="005228DE" w:rsidRDefault="005228DE" w:rsidP="0070348C">
      <w:pPr>
        <w:pStyle w:val="NormalWeb"/>
        <w:contextualSpacing/>
        <w:jc w:val="both"/>
        <w:rPr>
          <w:color w:val="000000"/>
        </w:rPr>
      </w:pPr>
    </w:p>
    <w:p w14:paraId="6A5A95B1" w14:textId="77777777" w:rsidR="005228DE" w:rsidRPr="005228DE" w:rsidRDefault="005228DE" w:rsidP="0070348C">
      <w:pPr>
        <w:pStyle w:val="NormalWeb"/>
        <w:contextualSpacing/>
        <w:jc w:val="both"/>
        <w:rPr>
          <w:color w:val="000000"/>
        </w:rPr>
      </w:pPr>
      <w:r w:rsidRPr="005228DE">
        <w:rPr>
          <w:color w:val="000000"/>
        </w:rPr>
        <w:t>IUDÍCIBUS, Sérgio de. Análise de balanços. 10. ed. São Paulo: Atlas, 2010. 254 p.</w:t>
      </w:r>
    </w:p>
    <w:p w14:paraId="302D8D94" w14:textId="77777777" w:rsidR="005228DE" w:rsidRDefault="005228DE" w:rsidP="0070348C">
      <w:pPr>
        <w:pStyle w:val="NormalWeb"/>
        <w:contextualSpacing/>
        <w:jc w:val="both"/>
        <w:rPr>
          <w:color w:val="000000"/>
        </w:rPr>
      </w:pPr>
    </w:p>
    <w:p w14:paraId="5E9D3E48" w14:textId="77777777" w:rsidR="005228DE" w:rsidRPr="005228DE" w:rsidRDefault="005228DE" w:rsidP="0070348C">
      <w:pPr>
        <w:pStyle w:val="NormalWeb"/>
        <w:contextualSpacing/>
        <w:jc w:val="both"/>
        <w:rPr>
          <w:color w:val="000000"/>
        </w:rPr>
      </w:pPr>
      <w:r w:rsidRPr="005228DE">
        <w:rPr>
          <w:color w:val="000000"/>
        </w:rPr>
        <w:t>LAKATOS, Eva Maria; MARCONI, Maria de Andrade. Metodologia científica. 5. ed. São Paulo: Atlas, 2007.</w:t>
      </w:r>
    </w:p>
    <w:p w14:paraId="516B2FFD" w14:textId="77777777" w:rsidR="005228DE" w:rsidRDefault="005228DE" w:rsidP="0070348C">
      <w:pPr>
        <w:pStyle w:val="NormalWeb"/>
        <w:contextualSpacing/>
        <w:jc w:val="both"/>
        <w:rPr>
          <w:color w:val="000000"/>
        </w:rPr>
      </w:pPr>
    </w:p>
    <w:p w14:paraId="181CE2F7" w14:textId="77777777" w:rsidR="005228DE" w:rsidRDefault="005228DE" w:rsidP="0070348C">
      <w:pPr>
        <w:pStyle w:val="NormalWeb"/>
        <w:contextualSpacing/>
        <w:jc w:val="both"/>
        <w:rPr>
          <w:color w:val="000000"/>
        </w:rPr>
      </w:pPr>
      <w:r w:rsidRPr="005228DE">
        <w:rPr>
          <w:color w:val="000000"/>
        </w:rPr>
        <w:t xml:space="preserve">LEITE, Roberto Cintra. OS BENEFICIOS DO SISTEMA DE GOVERNANÇA CORPORATIVA NAS </w:t>
      </w:r>
    </w:p>
    <w:p w14:paraId="273BE058" w14:textId="77777777" w:rsidR="005228DE" w:rsidRPr="005228DE" w:rsidRDefault="005228DE" w:rsidP="0070348C">
      <w:pPr>
        <w:pStyle w:val="NormalWeb"/>
        <w:contextualSpacing/>
        <w:jc w:val="both"/>
        <w:rPr>
          <w:color w:val="000000"/>
          <w:lang w:val="en-US"/>
        </w:rPr>
      </w:pPr>
      <w:r w:rsidRPr="005228DE">
        <w:rPr>
          <w:color w:val="000000"/>
        </w:rPr>
        <w:t xml:space="preserve">EMPRESAS. Disponível em: &lt;http://www.cintraleite.com.br/PDFs/ OsBeneficios.pdf&gt;. </w:t>
      </w:r>
      <w:proofErr w:type="spellStart"/>
      <w:r w:rsidRPr="005228DE">
        <w:rPr>
          <w:color w:val="000000"/>
          <w:lang w:val="en-US"/>
        </w:rPr>
        <w:t>Acesso</w:t>
      </w:r>
      <w:proofErr w:type="spellEnd"/>
      <w:r w:rsidRPr="005228DE">
        <w:rPr>
          <w:color w:val="000000"/>
          <w:lang w:val="en-US"/>
        </w:rPr>
        <w:t xml:space="preserve"> </w:t>
      </w:r>
      <w:proofErr w:type="spellStart"/>
      <w:r w:rsidRPr="005228DE">
        <w:rPr>
          <w:color w:val="000000"/>
          <w:lang w:val="en-US"/>
        </w:rPr>
        <w:t>em</w:t>
      </w:r>
      <w:proofErr w:type="spellEnd"/>
      <w:r w:rsidRPr="005228DE">
        <w:rPr>
          <w:color w:val="000000"/>
          <w:lang w:val="en-US"/>
        </w:rPr>
        <w:t>: 30 abr. 2016.</w:t>
      </w:r>
    </w:p>
    <w:p w14:paraId="3F1A55CD" w14:textId="77777777" w:rsidR="005228DE" w:rsidRDefault="005228DE" w:rsidP="0070348C">
      <w:pPr>
        <w:pStyle w:val="NormalWeb"/>
        <w:contextualSpacing/>
        <w:jc w:val="both"/>
        <w:rPr>
          <w:color w:val="000000"/>
          <w:lang w:val="en-US"/>
        </w:rPr>
      </w:pPr>
    </w:p>
    <w:p w14:paraId="705A7E66" w14:textId="3E8A8E71" w:rsidR="005228DE" w:rsidRPr="00C232B7" w:rsidRDefault="009B59D0" w:rsidP="0070348C">
      <w:pPr>
        <w:pStyle w:val="NormalWeb"/>
        <w:contextualSpacing/>
        <w:jc w:val="both"/>
        <w:rPr>
          <w:color w:val="000000"/>
          <w:lang w:val="en-US"/>
        </w:rPr>
      </w:pPr>
      <w:r w:rsidRPr="009B59D0">
        <w:rPr>
          <w:color w:val="000000"/>
          <w:lang w:val="en-US"/>
        </w:rPr>
        <w:t>MATHE</w:t>
      </w:r>
      <w:r>
        <w:rPr>
          <w:color w:val="000000"/>
          <w:lang w:val="en-US"/>
        </w:rPr>
        <w:t>R</w:t>
      </w:r>
      <w:r w:rsidRPr="009B59D0">
        <w:rPr>
          <w:color w:val="000000"/>
          <w:lang w:val="en-US"/>
        </w:rPr>
        <w:t xml:space="preserve">, Paul R.; PEIRSON, Graham. Financial Covenants in the Markets for Public and Private Debt. </w:t>
      </w:r>
      <w:r w:rsidRPr="009B59D0">
        <w:rPr>
          <w:b/>
          <w:color w:val="000000"/>
          <w:lang w:val="en-US"/>
        </w:rPr>
        <w:t xml:space="preserve">Accounting </w:t>
      </w:r>
      <w:proofErr w:type="gramStart"/>
      <w:r w:rsidRPr="009B59D0">
        <w:rPr>
          <w:b/>
          <w:color w:val="000000"/>
          <w:lang w:val="en-US"/>
        </w:rPr>
        <w:t>And</w:t>
      </w:r>
      <w:proofErr w:type="gramEnd"/>
      <w:r w:rsidRPr="009B59D0">
        <w:rPr>
          <w:b/>
          <w:color w:val="000000"/>
          <w:lang w:val="en-US"/>
        </w:rPr>
        <w:t xml:space="preserve"> Finance</w:t>
      </w:r>
      <w:r w:rsidRPr="009B59D0">
        <w:rPr>
          <w:color w:val="000000"/>
          <w:lang w:val="en-US"/>
        </w:rPr>
        <w:t xml:space="preserve">, </w:t>
      </w:r>
      <w:proofErr w:type="spellStart"/>
      <w:r w:rsidRPr="009B59D0">
        <w:rPr>
          <w:color w:val="000000"/>
          <w:lang w:val="en-US"/>
        </w:rPr>
        <w:t>Austrália</w:t>
      </w:r>
      <w:proofErr w:type="spellEnd"/>
      <w:r w:rsidRPr="009B59D0">
        <w:rPr>
          <w:color w:val="000000"/>
          <w:lang w:val="en-US"/>
        </w:rPr>
        <w:t xml:space="preserve">, v. 46, n. 2, p.285-305, </w:t>
      </w:r>
      <w:proofErr w:type="spellStart"/>
      <w:r w:rsidRPr="009B59D0">
        <w:rPr>
          <w:color w:val="000000"/>
          <w:lang w:val="en-US"/>
        </w:rPr>
        <w:t>jan.</w:t>
      </w:r>
      <w:proofErr w:type="spellEnd"/>
      <w:r w:rsidRPr="009B59D0">
        <w:rPr>
          <w:color w:val="000000"/>
          <w:lang w:val="en-US"/>
        </w:rPr>
        <w:t xml:space="preserve"> 2006</w:t>
      </w:r>
      <w:r w:rsidR="005228DE" w:rsidRPr="00C232B7">
        <w:rPr>
          <w:color w:val="000000"/>
          <w:lang w:val="en-US"/>
        </w:rPr>
        <w:t>.</w:t>
      </w:r>
    </w:p>
    <w:p w14:paraId="5AB00298" w14:textId="77777777" w:rsidR="00145DFF" w:rsidRPr="00C232B7" w:rsidRDefault="00145DFF" w:rsidP="0070348C">
      <w:pPr>
        <w:pStyle w:val="NormalWeb"/>
        <w:contextualSpacing/>
        <w:jc w:val="both"/>
        <w:rPr>
          <w:color w:val="000000"/>
          <w:lang w:val="en-US"/>
        </w:rPr>
      </w:pPr>
    </w:p>
    <w:p w14:paraId="2D605EA8" w14:textId="77777777" w:rsidR="005228DE" w:rsidRPr="005228DE" w:rsidRDefault="005228DE" w:rsidP="0070348C">
      <w:pPr>
        <w:pStyle w:val="NormalWeb"/>
        <w:contextualSpacing/>
        <w:jc w:val="both"/>
        <w:rPr>
          <w:color w:val="000000"/>
        </w:rPr>
      </w:pPr>
      <w:proofErr w:type="spellStart"/>
      <w:proofErr w:type="gramStart"/>
      <w:r w:rsidRPr="00C232B7">
        <w:rPr>
          <w:color w:val="000000"/>
          <w:lang w:val="en-US"/>
        </w:rPr>
        <w:t>McGEE</w:t>
      </w:r>
      <w:proofErr w:type="spellEnd"/>
      <w:r w:rsidRPr="00C232B7">
        <w:rPr>
          <w:color w:val="000000"/>
          <w:lang w:val="en-US"/>
        </w:rPr>
        <w:t>, James; PRUSAK, Laurence.</w:t>
      </w:r>
      <w:proofErr w:type="gramEnd"/>
      <w:r w:rsidRPr="00C232B7">
        <w:rPr>
          <w:color w:val="000000"/>
          <w:lang w:val="en-US"/>
        </w:rPr>
        <w:t xml:space="preserve"> </w:t>
      </w:r>
      <w:r w:rsidRPr="005228DE">
        <w:rPr>
          <w:color w:val="000000"/>
        </w:rPr>
        <w:t>Gerenciamento estratégico da informação: aumente a competitividade e a eficiência de sua empresa utilizando a informação. Rio de Janeiro: Campus, 1994.</w:t>
      </w:r>
    </w:p>
    <w:p w14:paraId="651C19E9" w14:textId="77777777" w:rsidR="005228DE" w:rsidRDefault="005228DE" w:rsidP="0070348C">
      <w:pPr>
        <w:pStyle w:val="NormalWeb"/>
        <w:contextualSpacing/>
        <w:jc w:val="both"/>
        <w:rPr>
          <w:color w:val="000000"/>
        </w:rPr>
      </w:pPr>
    </w:p>
    <w:p w14:paraId="021AF968" w14:textId="77777777" w:rsidR="005228DE" w:rsidRPr="005228DE" w:rsidRDefault="005228DE" w:rsidP="0070348C">
      <w:pPr>
        <w:pStyle w:val="NormalWeb"/>
        <w:contextualSpacing/>
        <w:jc w:val="both"/>
        <w:rPr>
          <w:color w:val="000000"/>
        </w:rPr>
      </w:pPr>
      <w:r w:rsidRPr="005228DE">
        <w:rPr>
          <w:color w:val="000000"/>
        </w:rPr>
        <w:t xml:space="preserve">MELLO, Fábio Roberto Barros. GARANTIA DAS GARANTIAS: </w:t>
      </w:r>
      <w:proofErr w:type="spellStart"/>
      <w:r w:rsidRPr="005228DE">
        <w:rPr>
          <w:color w:val="000000"/>
        </w:rPr>
        <w:t>Covenants</w:t>
      </w:r>
      <w:proofErr w:type="spellEnd"/>
      <w:r w:rsidRPr="005228DE">
        <w:rPr>
          <w:color w:val="000000"/>
        </w:rPr>
        <w:t xml:space="preserve"> atribuem maior segurança aos negócios favorecendo o adimplemento. 2015. Disponível em: &lt;http://www.conjur.com.br/2015-mai-07/fabio-mello-covenants-favorecem-adimplemento-contratos&gt;. Acesso em: 05 abr. 2016.</w:t>
      </w:r>
    </w:p>
    <w:p w14:paraId="5FDEC4A0" w14:textId="77777777" w:rsidR="005228DE" w:rsidRDefault="005228DE" w:rsidP="0070348C">
      <w:pPr>
        <w:pStyle w:val="NormalWeb"/>
        <w:contextualSpacing/>
        <w:jc w:val="both"/>
        <w:rPr>
          <w:color w:val="000000"/>
        </w:rPr>
      </w:pPr>
    </w:p>
    <w:p w14:paraId="002A10AA" w14:textId="63BD6CCE" w:rsidR="005228DE" w:rsidRPr="005228DE" w:rsidRDefault="005228DE" w:rsidP="0070348C">
      <w:pPr>
        <w:pStyle w:val="NormalWeb"/>
        <w:contextualSpacing/>
        <w:jc w:val="both"/>
        <w:rPr>
          <w:color w:val="000000"/>
        </w:rPr>
      </w:pPr>
      <w:r w:rsidRPr="005228DE">
        <w:rPr>
          <w:color w:val="000000"/>
        </w:rPr>
        <w:t>PEREIRA, Renée; COSTA, Naiana. Dívidas devem provocar explosão de quebras e recuperação judiciais no ano. O Estadão. São Paulo. 13 mar. 2016. Disponível em: &lt;http://economia.</w:t>
      </w:r>
      <w:r w:rsidR="0070348C">
        <w:rPr>
          <w:color w:val="000000"/>
        </w:rPr>
        <w:t xml:space="preserve"> </w:t>
      </w:r>
      <w:proofErr w:type="gramStart"/>
      <w:r w:rsidRPr="005228DE">
        <w:rPr>
          <w:color w:val="000000"/>
        </w:rPr>
        <w:t>estadao.com.</w:t>
      </w:r>
      <w:proofErr w:type="gramEnd"/>
      <w:r w:rsidRPr="005228DE">
        <w:rPr>
          <w:color w:val="000000"/>
        </w:rPr>
        <w:t>br/noticias/geral,</w:t>
      </w:r>
      <w:r w:rsidR="0070348C">
        <w:rPr>
          <w:color w:val="000000"/>
        </w:rPr>
        <w:t xml:space="preserve"> </w:t>
      </w:r>
      <w:r w:rsidRPr="005228DE">
        <w:rPr>
          <w:color w:val="000000"/>
        </w:rPr>
        <w:t>dividas-devem-provocar-explosao-de-queb</w:t>
      </w:r>
      <w:r w:rsidR="0070348C">
        <w:rPr>
          <w:color w:val="000000"/>
        </w:rPr>
        <w:t>ras-e-recuperacoes-judiciais-no</w:t>
      </w:r>
      <w:r w:rsidRPr="005228DE">
        <w:rPr>
          <w:color w:val="000000"/>
        </w:rPr>
        <w:t>ano,100</w:t>
      </w:r>
      <w:r w:rsidR="0070348C">
        <w:rPr>
          <w:color w:val="000000"/>
        </w:rPr>
        <w:t>00020922&gt;.</w:t>
      </w:r>
      <w:r w:rsidRPr="005228DE">
        <w:rPr>
          <w:color w:val="000000"/>
        </w:rPr>
        <w:t>Acesso em: 07 maio 2016.</w:t>
      </w:r>
    </w:p>
    <w:p w14:paraId="68CDE867" w14:textId="77777777" w:rsidR="005228DE" w:rsidRDefault="005228DE" w:rsidP="0070348C">
      <w:pPr>
        <w:pStyle w:val="NormalWeb"/>
        <w:contextualSpacing/>
        <w:jc w:val="both"/>
        <w:rPr>
          <w:color w:val="000000"/>
        </w:rPr>
      </w:pPr>
    </w:p>
    <w:p w14:paraId="3E599C6C" w14:textId="77777777" w:rsidR="005228DE" w:rsidRPr="008F7B0E" w:rsidRDefault="005228DE" w:rsidP="0070348C">
      <w:pPr>
        <w:pStyle w:val="NormalWeb"/>
        <w:contextualSpacing/>
        <w:jc w:val="both"/>
        <w:rPr>
          <w:color w:val="000000"/>
          <w:lang w:val="en-US"/>
        </w:rPr>
      </w:pPr>
      <w:r w:rsidRPr="005228DE">
        <w:rPr>
          <w:color w:val="000000"/>
        </w:rPr>
        <w:t xml:space="preserve">PERIN, Marcelo </w:t>
      </w:r>
      <w:proofErr w:type="spellStart"/>
      <w:r w:rsidRPr="005228DE">
        <w:rPr>
          <w:color w:val="000000"/>
        </w:rPr>
        <w:t>Sandrini</w:t>
      </w:r>
      <w:proofErr w:type="spellEnd"/>
      <w:r w:rsidRPr="005228DE">
        <w:rPr>
          <w:color w:val="000000"/>
        </w:rPr>
        <w:t xml:space="preserve">; GLITZ, Frederico E. COVENANTS EM CONTRATOS DE FINANCIAMENTO DE LONGO PRAZO: UMA PERSPECTIVA JURÍDICA. </w:t>
      </w:r>
      <w:proofErr w:type="spellStart"/>
      <w:r w:rsidRPr="005228DE">
        <w:rPr>
          <w:color w:val="000000"/>
        </w:rPr>
        <w:t>Rjlb</w:t>
      </w:r>
      <w:proofErr w:type="spellEnd"/>
      <w:r w:rsidRPr="005228DE">
        <w:rPr>
          <w:color w:val="000000"/>
        </w:rPr>
        <w:t xml:space="preserve">, Lisboa, n. 1, p.1375-1393, 2015. Disponível em: &lt;http://www.fredericoglitz.adv.br/biblioteca_detalhe /114/covenants-em-contratos-de-financiamento-de-longo-prazo-uma-perspectiva-juridica&gt;. </w:t>
      </w:r>
      <w:proofErr w:type="spellStart"/>
      <w:r w:rsidRPr="008F7B0E">
        <w:rPr>
          <w:color w:val="000000"/>
          <w:lang w:val="en-US"/>
        </w:rPr>
        <w:t>Acesso</w:t>
      </w:r>
      <w:proofErr w:type="spellEnd"/>
      <w:r w:rsidRPr="008F7B0E">
        <w:rPr>
          <w:color w:val="000000"/>
          <w:lang w:val="en-US"/>
        </w:rPr>
        <w:t xml:space="preserve"> </w:t>
      </w:r>
      <w:proofErr w:type="spellStart"/>
      <w:r w:rsidRPr="008F7B0E">
        <w:rPr>
          <w:color w:val="000000"/>
          <w:lang w:val="en-US"/>
        </w:rPr>
        <w:t>em</w:t>
      </w:r>
      <w:proofErr w:type="spellEnd"/>
      <w:r w:rsidRPr="008F7B0E">
        <w:rPr>
          <w:color w:val="000000"/>
          <w:lang w:val="en-US"/>
        </w:rPr>
        <w:t xml:space="preserve">: 01 </w:t>
      </w:r>
      <w:proofErr w:type="spellStart"/>
      <w:r w:rsidRPr="008F7B0E">
        <w:rPr>
          <w:color w:val="000000"/>
          <w:lang w:val="en-US"/>
        </w:rPr>
        <w:t>maio</w:t>
      </w:r>
      <w:proofErr w:type="spellEnd"/>
      <w:r w:rsidRPr="008F7B0E">
        <w:rPr>
          <w:color w:val="000000"/>
          <w:lang w:val="en-US"/>
        </w:rPr>
        <w:t xml:space="preserve"> 2016.</w:t>
      </w:r>
    </w:p>
    <w:p w14:paraId="0ED2BDC5" w14:textId="77777777" w:rsidR="005228DE" w:rsidRDefault="005228DE" w:rsidP="002275EB">
      <w:pPr>
        <w:pStyle w:val="NormalWeb"/>
        <w:contextualSpacing/>
        <w:jc w:val="both"/>
        <w:rPr>
          <w:color w:val="000000"/>
          <w:lang w:val="en-US"/>
        </w:rPr>
      </w:pPr>
    </w:p>
    <w:p w14:paraId="7908BB1B" w14:textId="626FBBD3" w:rsidR="005228DE" w:rsidRDefault="002275EB" w:rsidP="0070348C">
      <w:pPr>
        <w:pStyle w:val="NormalWeb"/>
        <w:contextualSpacing/>
        <w:jc w:val="both"/>
        <w:rPr>
          <w:color w:val="000000"/>
          <w:lang w:val="en-US"/>
        </w:rPr>
      </w:pPr>
      <w:r w:rsidRPr="002275EB">
        <w:rPr>
          <w:color w:val="000000"/>
          <w:lang w:val="en-US"/>
        </w:rPr>
        <w:t xml:space="preserve">RAMSAY, Ian; SIDHU, </w:t>
      </w:r>
      <w:proofErr w:type="spellStart"/>
      <w:r w:rsidRPr="002275EB">
        <w:rPr>
          <w:color w:val="000000"/>
          <w:lang w:val="en-US"/>
        </w:rPr>
        <w:t>Baljit</w:t>
      </w:r>
      <w:proofErr w:type="spellEnd"/>
      <w:r w:rsidRPr="002275EB">
        <w:rPr>
          <w:color w:val="000000"/>
          <w:lang w:val="en-US"/>
        </w:rPr>
        <w:t xml:space="preserve">. </w:t>
      </w:r>
      <w:proofErr w:type="spellStart"/>
      <w:r w:rsidRPr="002275EB">
        <w:rPr>
          <w:color w:val="000000"/>
          <w:lang w:val="en-US"/>
        </w:rPr>
        <w:t>Accouting</w:t>
      </w:r>
      <w:proofErr w:type="spellEnd"/>
      <w:r w:rsidRPr="002275EB">
        <w:rPr>
          <w:color w:val="000000"/>
          <w:lang w:val="en-US"/>
        </w:rPr>
        <w:t xml:space="preserve"> and non-</w:t>
      </w:r>
      <w:proofErr w:type="spellStart"/>
      <w:r w:rsidRPr="002275EB">
        <w:rPr>
          <w:color w:val="000000"/>
          <w:lang w:val="en-US"/>
        </w:rPr>
        <w:t>accountig</w:t>
      </w:r>
      <w:proofErr w:type="spellEnd"/>
      <w:r w:rsidRPr="002275EB">
        <w:rPr>
          <w:color w:val="000000"/>
          <w:lang w:val="en-US"/>
        </w:rPr>
        <w:t xml:space="preserve"> based information in the market for debt: evidence from Australian private </w:t>
      </w:r>
      <w:proofErr w:type="spellStart"/>
      <w:r w:rsidRPr="002275EB">
        <w:rPr>
          <w:color w:val="000000"/>
          <w:lang w:val="en-US"/>
        </w:rPr>
        <w:t>det</w:t>
      </w:r>
      <w:proofErr w:type="spellEnd"/>
      <w:r w:rsidRPr="002275EB">
        <w:rPr>
          <w:color w:val="000000"/>
          <w:lang w:val="en-US"/>
        </w:rPr>
        <w:t xml:space="preserve"> contracts. </w:t>
      </w:r>
      <w:proofErr w:type="spellStart"/>
      <w:r w:rsidRPr="002275EB">
        <w:rPr>
          <w:b/>
          <w:color w:val="000000"/>
          <w:lang w:val="en-US"/>
        </w:rPr>
        <w:t>Accouting</w:t>
      </w:r>
      <w:proofErr w:type="spellEnd"/>
      <w:r w:rsidRPr="002275EB">
        <w:rPr>
          <w:b/>
          <w:color w:val="000000"/>
          <w:lang w:val="en-US"/>
        </w:rPr>
        <w:t xml:space="preserve"> &amp; Finance</w:t>
      </w:r>
      <w:r w:rsidRPr="002275EB">
        <w:rPr>
          <w:color w:val="000000"/>
          <w:lang w:val="en-US"/>
        </w:rPr>
        <w:t xml:space="preserve">, </w:t>
      </w:r>
      <w:proofErr w:type="spellStart"/>
      <w:r w:rsidRPr="002275EB">
        <w:rPr>
          <w:color w:val="000000"/>
          <w:lang w:val="en-US"/>
        </w:rPr>
        <w:t>Austrália</w:t>
      </w:r>
      <w:proofErr w:type="spellEnd"/>
      <w:r w:rsidRPr="002275EB">
        <w:rPr>
          <w:color w:val="000000"/>
          <w:lang w:val="en-US"/>
        </w:rPr>
        <w:t>, v. 38, p.197</w:t>
      </w:r>
      <w:r>
        <w:rPr>
          <w:color w:val="000000"/>
          <w:lang w:val="en-US"/>
        </w:rPr>
        <w:t xml:space="preserve">-221, </w:t>
      </w:r>
      <w:proofErr w:type="spellStart"/>
      <w:r>
        <w:rPr>
          <w:color w:val="000000"/>
          <w:lang w:val="en-US"/>
        </w:rPr>
        <w:t>nov.</w:t>
      </w:r>
      <w:proofErr w:type="spellEnd"/>
      <w:r>
        <w:rPr>
          <w:color w:val="000000"/>
          <w:lang w:val="en-US"/>
        </w:rPr>
        <w:t xml:space="preserve"> 1998. </w:t>
      </w:r>
    </w:p>
    <w:p w14:paraId="63468F2F" w14:textId="77777777" w:rsidR="002275EB" w:rsidRPr="00C232B7" w:rsidRDefault="002275EB" w:rsidP="0070348C">
      <w:pPr>
        <w:pStyle w:val="NormalWeb"/>
        <w:contextualSpacing/>
        <w:jc w:val="both"/>
        <w:rPr>
          <w:color w:val="000000"/>
          <w:lang w:val="en-US"/>
        </w:rPr>
      </w:pPr>
    </w:p>
    <w:p w14:paraId="75F65F03" w14:textId="6610ECDA" w:rsidR="005228DE" w:rsidRDefault="009B59D0" w:rsidP="0070348C">
      <w:pPr>
        <w:pStyle w:val="NormalWeb"/>
        <w:contextualSpacing/>
        <w:jc w:val="both"/>
        <w:rPr>
          <w:color w:val="000000"/>
        </w:rPr>
      </w:pPr>
      <w:r w:rsidRPr="00C232B7">
        <w:rPr>
          <w:color w:val="000000"/>
          <w:lang w:val="en-US"/>
        </w:rPr>
        <w:t xml:space="preserve">ROSS, Stephen A.; WESTERFIELD, Randolph W.; JAFFE, Jeffrey F. </w:t>
      </w:r>
      <w:proofErr w:type="spellStart"/>
      <w:r w:rsidRPr="00C232B7">
        <w:rPr>
          <w:b/>
          <w:color w:val="000000"/>
          <w:lang w:val="en-US"/>
        </w:rPr>
        <w:t>Administração</w:t>
      </w:r>
      <w:proofErr w:type="spellEnd"/>
      <w:r w:rsidRPr="00C232B7">
        <w:rPr>
          <w:b/>
          <w:color w:val="000000"/>
          <w:lang w:val="en-US"/>
        </w:rPr>
        <w:t xml:space="preserve"> </w:t>
      </w:r>
      <w:proofErr w:type="spellStart"/>
      <w:r w:rsidRPr="00C232B7">
        <w:rPr>
          <w:b/>
          <w:color w:val="000000"/>
          <w:lang w:val="en-US"/>
        </w:rPr>
        <w:t>financeira</w:t>
      </w:r>
      <w:proofErr w:type="spellEnd"/>
      <w:r w:rsidRPr="00C232B7">
        <w:rPr>
          <w:b/>
          <w:color w:val="000000"/>
          <w:lang w:val="en-US"/>
        </w:rPr>
        <w:t xml:space="preserve">: </w:t>
      </w:r>
      <w:r w:rsidRPr="00C232B7">
        <w:rPr>
          <w:color w:val="000000"/>
          <w:lang w:val="en-US"/>
        </w:rPr>
        <w:t xml:space="preserve">Corporate finance. </w:t>
      </w:r>
      <w:r w:rsidRPr="009B59D0">
        <w:rPr>
          <w:color w:val="000000"/>
        </w:rPr>
        <w:t>2. ed. São Paulo: Atlas, 2009. 778 p.</w:t>
      </w:r>
    </w:p>
    <w:p w14:paraId="01A80047" w14:textId="77777777" w:rsidR="009B59D0" w:rsidRDefault="009B59D0" w:rsidP="0070348C">
      <w:pPr>
        <w:pStyle w:val="NormalWeb"/>
        <w:contextualSpacing/>
        <w:jc w:val="both"/>
        <w:rPr>
          <w:color w:val="000000"/>
        </w:rPr>
      </w:pPr>
    </w:p>
    <w:p w14:paraId="07A7DCBF" w14:textId="77777777" w:rsidR="005228DE" w:rsidRPr="005228DE" w:rsidRDefault="005228DE" w:rsidP="0070348C">
      <w:pPr>
        <w:pStyle w:val="NormalWeb"/>
        <w:contextualSpacing/>
        <w:jc w:val="both"/>
        <w:rPr>
          <w:color w:val="000000"/>
        </w:rPr>
      </w:pPr>
      <w:r w:rsidRPr="005228DE">
        <w:rPr>
          <w:color w:val="000000"/>
        </w:rPr>
        <w:t xml:space="preserve">SILVA, Adolfo Henrique e Coutinho. Escolha de Práticas Contábeis no Brasil: Uma Análise sob a ótica da hipótese dos </w:t>
      </w:r>
      <w:proofErr w:type="spellStart"/>
      <w:r w:rsidRPr="005228DE">
        <w:rPr>
          <w:color w:val="000000"/>
        </w:rPr>
        <w:t>covenants</w:t>
      </w:r>
      <w:proofErr w:type="spellEnd"/>
      <w:r w:rsidRPr="005228DE">
        <w:rPr>
          <w:color w:val="000000"/>
        </w:rPr>
        <w:t xml:space="preserve"> contratuais. 2008, 159f. Tese (Doutorado em Contabilidade) – Curso de Pós Graduação em Contabilidade, Universidade de São Paulo, 2008. Disponível em: &lt; http://www.teses.usp.br/teses/disponiveis/12/12136/tde-16012009-120147/pt-br.php&gt;. Acesso em: 10 abr. 2016</w:t>
      </w:r>
    </w:p>
    <w:p w14:paraId="4DCC392B" w14:textId="77777777" w:rsidR="005228DE" w:rsidRDefault="005228DE" w:rsidP="0070348C">
      <w:pPr>
        <w:pStyle w:val="NormalWeb"/>
        <w:contextualSpacing/>
        <w:jc w:val="both"/>
        <w:rPr>
          <w:color w:val="000000"/>
        </w:rPr>
      </w:pPr>
    </w:p>
    <w:p w14:paraId="2EB9FFCA" w14:textId="77777777" w:rsidR="005228DE" w:rsidRPr="005228DE" w:rsidRDefault="005228DE" w:rsidP="0070348C">
      <w:pPr>
        <w:pStyle w:val="NormalWeb"/>
        <w:contextualSpacing/>
        <w:jc w:val="both"/>
        <w:rPr>
          <w:color w:val="000000"/>
        </w:rPr>
      </w:pPr>
      <w:r w:rsidRPr="005228DE">
        <w:rPr>
          <w:color w:val="000000"/>
        </w:rPr>
        <w:t>SILVA, José Pereira da. Gestão e Análise do Risco de Crédito. São Paulo: Atlas, 2000.</w:t>
      </w:r>
    </w:p>
    <w:p w14:paraId="3096A1B4" w14:textId="77777777" w:rsidR="005228DE" w:rsidRDefault="005228DE" w:rsidP="0070348C">
      <w:pPr>
        <w:pStyle w:val="NormalWeb"/>
        <w:contextualSpacing/>
        <w:jc w:val="both"/>
        <w:rPr>
          <w:color w:val="000000"/>
        </w:rPr>
      </w:pPr>
    </w:p>
    <w:p w14:paraId="1DC64E82" w14:textId="77777777" w:rsidR="005228DE" w:rsidRPr="005228DE" w:rsidRDefault="005228DE" w:rsidP="0070348C">
      <w:pPr>
        <w:pStyle w:val="NormalWeb"/>
        <w:contextualSpacing/>
        <w:jc w:val="both"/>
        <w:rPr>
          <w:color w:val="000000"/>
        </w:rPr>
      </w:pPr>
      <w:r w:rsidRPr="005228DE">
        <w:rPr>
          <w:color w:val="000000"/>
        </w:rPr>
        <w:t xml:space="preserve">SILVA, </w:t>
      </w:r>
      <w:proofErr w:type="spellStart"/>
      <w:r w:rsidRPr="005228DE">
        <w:rPr>
          <w:color w:val="000000"/>
        </w:rPr>
        <w:t>Marise</w:t>
      </w:r>
      <w:proofErr w:type="spellEnd"/>
      <w:r w:rsidRPr="005228DE">
        <w:rPr>
          <w:color w:val="000000"/>
        </w:rPr>
        <w:t xml:space="preserve"> Borba de; GRIGOLO, Tânia Maris. Metodologia para iniciação científica à prática da pesquisa e da extensão II. Caderno Pedagógico. Florianópolis: </w:t>
      </w:r>
      <w:proofErr w:type="spellStart"/>
      <w:r w:rsidRPr="005228DE">
        <w:rPr>
          <w:color w:val="000000"/>
        </w:rPr>
        <w:t>Udesc</w:t>
      </w:r>
      <w:proofErr w:type="spellEnd"/>
      <w:r w:rsidRPr="005228DE">
        <w:rPr>
          <w:color w:val="000000"/>
        </w:rPr>
        <w:t>, 2002.</w:t>
      </w:r>
    </w:p>
    <w:p w14:paraId="5BBE9C14" w14:textId="77777777" w:rsidR="005228DE" w:rsidRDefault="005228DE" w:rsidP="0070348C">
      <w:pPr>
        <w:pStyle w:val="NormalWeb"/>
        <w:contextualSpacing/>
        <w:jc w:val="both"/>
        <w:rPr>
          <w:color w:val="000000"/>
        </w:rPr>
      </w:pPr>
    </w:p>
    <w:p w14:paraId="3A7696B7" w14:textId="77777777" w:rsidR="005228DE" w:rsidRPr="005228DE" w:rsidRDefault="005228DE" w:rsidP="0070348C">
      <w:pPr>
        <w:pStyle w:val="NormalWeb"/>
        <w:contextualSpacing/>
        <w:jc w:val="both"/>
        <w:rPr>
          <w:color w:val="000000"/>
        </w:rPr>
      </w:pPr>
      <w:r w:rsidRPr="005228DE">
        <w:rPr>
          <w:color w:val="000000"/>
        </w:rPr>
        <w:t xml:space="preserve">TEIXEIRA, Glória; FREIRE, Helena. CONFLITOS DE INTERESSES. </w:t>
      </w:r>
      <w:proofErr w:type="spellStart"/>
      <w:r w:rsidRPr="005228DE">
        <w:rPr>
          <w:color w:val="000000"/>
        </w:rPr>
        <w:t>Obegef</w:t>
      </w:r>
      <w:proofErr w:type="spellEnd"/>
      <w:r w:rsidRPr="005228DE">
        <w:rPr>
          <w:color w:val="000000"/>
        </w:rPr>
        <w:t>, n. 1, 23p. fev. 2009. Disponível em: &lt;http://www.gestaodefraude.eu/wordpress/wp-content/uploads/ 2009/02/wp001.pdf&gt;. Acesso em: 20 fev. 2016.</w:t>
      </w:r>
    </w:p>
    <w:p w14:paraId="7280B016" w14:textId="77777777" w:rsidR="005228DE" w:rsidRDefault="005228DE" w:rsidP="0070348C">
      <w:pPr>
        <w:pStyle w:val="NormalWeb"/>
        <w:contextualSpacing/>
        <w:jc w:val="both"/>
        <w:rPr>
          <w:color w:val="000000"/>
        </w:rPr>
      </w:pPr>
    </w:p>
    <w:p w14:paraId="4DF03261" w14:textId="77777777" w:rsidR="005228DE" w:rsidRPr="005228DE" w:rsidRDefault="005228DE" w:rsidP="0070348C">
      <w:pPr>
        <w:pStyle w:val="NormalWeb"/>
        <w:contextualSpacing/>
        <w:jc w:val="both"/>
        <w:rPr>
          <w:color w:val="000000"/>
        </w:rPr>
      </w:pPr>
      <w:r w:rsidRPr="005228DE">
        <w:rPr>
          <w:color w:val="000000"/>
        </w:rPr>
        <w:t>VIEIRA, Solange Paiva; MENDES, André Gustavo S. T. Governança corporativa: Uma analise de sua evolução e impactos no mercado de capitais brasileiro. Revista do BNDES 11 (22): 103-122, 2014.</w:t>
      </w:r>
    </w:p>
    <w:p w14:paraId="12C98CC8" w14:textId="77777777" w:rsidR="005228DE" w:rsidRDefault="005228DE" w:rsidP="0070348C">
      <w:pPr>
        <w:pStyle w:val="NormalWeb"/>
        <w:contextualSpacing/>
        <w:jc w:val="both"/>
        <w:rPr>
          <w:color w:val="000000"/>
        </w:rPr>
      </w:pPr>
    </w:p>
    <w:p w14:paraId="592A8A74" w14:textId="77777777" w:rsidR="005228DE" w:rsidRPr="005228DE" w:rsidRDefault="005228DE" w:rsidP="0070348C">
      <w:pPr>
        <w:pStyle w:val="NormalWeb"/>
        <w:contextualSpacing/>
        <w:jc w:val="both"/>
        <w:rPr>
          <w:color w:val="000000"/>
        </w:rPr>
      </w:pPr>
      <w:r w:rsidRPr="005228DE">
        <w:rPr>
          <w:color w:val="000000"/>
        </w:rPr>
        <w:t xml:space="preserve">XAVIER, Fernando Garcia. A evidenciação de </w:t>
      </w:r>
      <w:proofErr w:type="spellStart"/>
      <w:r w:rsidRPr="005228DE">
        <w:rPr>
          <w:color w:val="000000"/>
        </w:rPr>
        <w:t>covenants</w:t>
      </w:r>
      <w:proofErr w:type="spellEnd"/>
      <w:r w:rsidRPr="005228DE">
        <w:rPr>
          <w:color w:val="000000"/>
        </w:rPr>
        <w:t xml:space="preserve"> no Novo Mercado: uma análise preliminar. 2014. 59. Monografia (Ciências Contábeis) – Departamento de Ciências Contábeis, Universidade Federal de Santa Catarina, Florianópolis, 2014.</w:t>
      </w:r>
    </w:p>
    <w:p w14:paraId="500E6E03" w14:textId="77777777" w:rsidR="005228DE" w:rsidRDefault="005228DE" w:rsidP="005228DE">
      <w:pPr>
        <w:pStyle w:val="NormalWeb"/>
        <w:contextualSpacing/>
        <w:rPr>
          <w:color w:val="000000"/>
        </w:rPr>
      </w:pPr>
    </w:p>
    <w:p w14:paraId="549F5C2E" w14:textId="77777777" w:rsidR="00AB1617" w:rsidRDefault="00AB1617" w:rsidP="005228DE">
      <w:pPr>
        <w:pStyle w:val="NormalWeb"/>
        <w:contextualSpacing/>
      </w:pPr>
    </w:p>
    <w:sectPr w:rsidR="00AB1617" w:rsidSect="00C13CAE">
      <w:headerReference w:type="default" r:id="rId17"/>
      <w:footerReference w:type="default" r:id="rId18"/>
      <w:pgSz w:w="13890"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Daniela" w:date="2016-09-08T17:10:00Z" w:initials="D">
    <w:p w14:paraId="2DC768AF" w14:textId="77777777" w:rsidR="001250B4" w:rsidRDefault="001250B4">
      <w:pPr>
        <w:pStyle w:val="Textodecomentrio"/>
      </w:pPr>
      <w:r>
        <w:rPr>
          <w:rStyle w:val="Refdecomentrio"/>
        </w:rPr>
        <w:annotationRef/>
      </w:r>
      <w:r>
        <w:t>Do maior para o menor.</w:t>
      </w:r>
    </w:p>
  </w:comment>
  <w:comment w:id="77" w:author="Daniela" w:date="2016-09-08T17:10:00Z" w:initials="D">
    <w:p w14:paraId="5607DF02" w14:textId="77777777" w:rsidR="001250B4" w:rsidRDefault="001250B4">
      <w:pPr>
        <w:pStyle w:val="Textodecomentrio"/>
      </w:pPr>
      <w:r>
        <w:rPr>
          <w:rStyle w:val="Refdecomentrio"/>
        </w:rPr>
        <w:annotationRef/>
      </w:r>
      <w:r>
        <w:t xml:space="preserve">Legenda acima do </w:t>
      </w:r>
      <w:proofErr w:type="spellStart"/>
      <w:r>
        <w:t>elementoi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C768AF" w15:done="0"/>
  <w15:commentEx w15:paraId="5607DF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79F11" w14:textId="77777777" w:rsidR="001250B4" w:rsidRDefault="001250B4" w:rsidP="00C232B7">
      <w:pPr>
        <w:spacing w:line="240" w:lineRule="auto"/>
      </w:pPr>
      <w:r>
        <w:separator/>
      </w:r>
    </w:p>
  </w:endnote>
  <w:endnote w:type="continuationSeparator" w:id="0">
    <w:p w14:paraId="16A4F743" w14:textId="77777777" w:rsidR="001250B4" w:rsidRDefault="001250B4" w:rsidP="00C23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1D665" w14:textId="20CABE6E" w:rsidR="001250B4" w:rsidRDefault="001250B4">
    <w:pPr>
      <w:pStyle w:val="Rodap"/>
    </w:pPr>
    <w:r>
      <w:rPr>
        <w:noProof/>
        <w:sz w:val="20"/>
        <w:lang w:eastAsia="pt-BR"/>
      </w:rPr>
      <w:drawing>
        <wp:inline distT="0" distB="0" distL="0" distR="0" wp14:anchorId="3585B506" wp14:editId="686FBE77">
          <wp:extent cx="5619750" cy="1238250"/>
          <wp:effectExtent l="0" t="0" r="0" b="0"/>
          <wp:docPr id="4" name="Imagem 4" descr="Agend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ende-se"/>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F425D" w14:textId="77777777" w:rsidR="001250B4" w:rsidRDefault="001250B4" w:rsidP="00C232B7">
      <w:pPr>
        <w:spacing w:line="240" w:lineRule="auto"/>
      </w:pPr>
      <w:r>
        <w:separator/>
      </w:r>
    </w:p>
  </w:footnote>
  <w:footnote w:type="continuationSeparator" w:id="0">
    <w:p w14:paraId="10444739" w14:textId="77777777" w:rsidR="001250B4" w:rsidRDefault="001250B4" w:rsidP="00C232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416C0" w14:textId="58715F3B" w:rsidR="001250B4" w:rsidRDefault="001250B4" w:rsidP="00C232B7">
    <w:pPr>
      <w:pStyle w:val="Cabealho"/>
    </w:pPr>
    <w:r>
      <w:rPr>
        <w:noProof/>
        <w:lang w:eastAsia="pt-BR"/>
      </w:rPr>
      <mc:AlternateContent>
        <mc:Choice Requires="wps">
          <w:drawing>
            <wp:anchor distT="0" distB="0" distL="114300" distR="114300" simplePos="0" relativeHeight="251658240" behindDoc="0" locked="0" layoutInCell="1" allowOverlap="1" wp14:anchorId="3F67BE0E" wp14:editId="5566810B">
              <wp:simplePos x="0" y="0"/>
              <wp:positionH relativeFrom="column">
                <wp:posOffset>-194310</wp:posOffset>
              </wp:positionH>
              <wp:positionV relativeFrom="paragraph">
                <wp:posOffset>1605280</wp:posOffset>
              </wp:positionV>
              <wp:extent cx="6457950" cy="0"/>
              <wp:effectExtent l="5715" t="5080" r="13335" b="13970"/>
              <wp:wrapNone/>
              <wp:docPr id="6" name="Conector de seta ret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6" o:spid="_x0000_s1026" type="#_x0000_t32" style="position:absolute;margin-left:-15.3pt;margin-top:126.4pt;width:50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">
              <v:shadow color="#7f7f7f" opacity=".5" offset="1pt"/>
            </v:shape>
          </w:pict>
        </mc:Fallback>
      </mc:AlternateContent>
    </w:r>
    <w:r>
      <w:rPr>
        <w:noProof/>
        <w:lang w:eastAsia="pt-BR"/>
      </w:rPr>
      <w:drawing>
        <wp:inline distT="0" distB="0" distL="0" distR="0" wp14:anchorId="09F30644" wp14:editId="374AF9D6">
          <wp:extent cx="5962650" cy="1609725"/>
          <wp:effectExtent l="0" t="0" r="0" b="9525"/>
          <wp:docPr id="5" name="Imagem 5"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9109D"/>
    <w:multiLevelType w:val="hybridMultilevel"/>
    <w:tmpl w:val="1CC86EEE"/>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a">
    <w15:presenceInfo w15:providerId="AD" w15:userId="S-1-5-21-3933325431-4198673870-2506275727-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292"/>
    <w:rsid w:val="00075CC5"/>
    <w:rsid w:val="00101105"/>
    <w:rsid w:val="001250B4"/>
    <w:rsid w:val="00140584"/>
    <w:rsid w:val="001406B1"/>
    <w:rsid w:val="0014573D"/>
    <w:rsid w:val="00145DFF"/>
    <w:rsid w:val="00146956"/>
    <w:rsid w:val="001C6CF7"/>
    <w:rsid w:val="001F1687"/>
    <w:rsid w:val="002153E2"/>
    <w:rsid w:val="002275EB"/>
    <w:rsid w:val="002F2FC5"/>
    <w:rsid w:val="00327171"/>
    <w:rsid w:val="00365242"/>
    <w:rsid w:val="003E709B"/>
    <w:rsid w:val="00407292"/>
    <w:rsid w:val="005228DE"/>
    <w:rsid w:val="00534764"/>
    <w:rsid w:val="006028B6"/>
    <w:rsid w:val="006149CD"/>
    <w:rsid w:val="00627A71"/>
    <w:rsid w:val="00630C93"/>
    <w:rsid w:val="006D7CA3"/>
    <w:rsid w:val="0070348C"/>
    <w:rsid w:val="00705627"/>
    <w:rsid w:val="00724E62"/>
    <w:rsid w:val="00736EC3"/>
    <w:rsid w:val="00744BBF"/>
    <w:rsid w:val="007C1176"/>
    <w:rsid w:val="007D5DD5"/>
    <w:rsid w:val="008312DB"/>
    <w:rsid w:val="00852BEA"/>
    <w:rsid w:val="008B18FA"/>
    <w:rsid w:val="008C6FCD"/>
    <w:rsid w:val="008F7B0E"/>
    <w:rsid w:val="00982CD5"/>
    <w:rsid w:val="00992F97"/>
    <w:rsid w:val="009B4FC0"/>
    <w:rsid w:val="009B59D0"/>
    <w:rsid w:val="009D31E9"/>
    <w:rsid w:val="009F7926"/>
    <w:rsid w:val="00A14296"/>
    <w:rsid w:val="00A34149"/>
    <w:rsid w:val="00A832DB"/>
    <w:rsid w:val="00A866F9"/>
    <w:rsid w:val="00A8754A"/>
    <w:rsid w:val="00A90266"/>
    <w:rsid w:val="00AB1617"/>
    <w:rsid w:val="00B916D8"/>
    <w:rsid w:val="00BE16D0"/>
    <w:rsid w:val="00C13CAE"/>
    <w:rsid w:val="00C232B7"/>
    <w:rsid w:val="00CC21EF"/>
    <w:rsid w:val="00D04BB6"/>
    <w:rsid w:val="00D3499E"/>
    <w:rsid w:val="00D716D7"/>
    <w:rsid w:val="00D743E7"/>
    <w:rsid w:val="00D91DBB"/>
    <w:rsid w:val="00DA7F3D"/>
    <w:rsid w:val="00E56C6C"/>
    <w:rsid w:val="00EB483D"/>
    <w:rsid w:val="00F14099"/>
    <w:rsid w:val="00F24312"/>
    <w:rsid w:val="00F929F6"/>
    <w:rsid w:val="00FB205E"/>
    <w:rsid w:val="00FB7A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FC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17"/>
    <w:pPr>
      <w:spacing w:after="0" w:line="360" w:lineRule="auto"/>
    </w:pPr>
  </w:style>
  <w:style w:type="paragraph" w:styleId="Ttulo1">
    <w:name w:val="heading 1"/>
    <w:basedOn w:val="Normal"/>
    <w:next w:val="Normal"/>
    <w:link w:val="Ttulo1Char"/>
    <w:uiPriority w:val="9"/>
    <w:qFormat/>
    <w:rsid w:val="00AB1617"/>
    <w:pPr>
      <w:keepNext/>
      <w:keepLines/>
      <w:spacing w:before="480"/>
      <w:ind w:firstLine="567"/>
      <w:outlineLvl w:val="0"/>
    </w:pPr>
    <w:rPr>
      <w:rFonts w:ascii="Times New Roman" w:eastAsiaTheme="majorEastAsia" w:hAnsi="Times New Roman" w:cs="Times New Roman"/>
      <w:b/>
      <w:bCs/>
      <w:color w:val="000000" w:themeColor="text1"/>
      <w:sz w:val="28"/>
      <w:szCs w:val="28"/>
    </w:rPr>
  </w:style>
  <w:style w:type="paragraph" w:styleId="Ttulo2">
    <w:name w:val="heading 2"/>
    <w:basedOn w:val="Normal"/>
    <w:next w:val="Normal"/>
    <w:link w:val="Ttulo2Char"/>
    <w:uiPriority w:val="9"/>
    <w:unhideWhenUsed/>
    <w:qFormat/>
    <w:rsid w:val="00FB7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B7AA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1617"/>
    <w:rPr>
      <w:rFonts w:ascii="Times New Roman" w:eastAsiaTheme="majorEastAsia" w:hAnsi="Times New Roman" w:cs="Times New Roman"/>
      <w:b/>
      <w:bCs/>
      <w:color w:val="000000" w:themeColor="text1"/>
      <w:sz w:val="28"/>
      <w:szCs w:val="28"/>
    </w:rPr>
  </w:style>
  <w:style w:type="paragraph" w:styleId="PargrafodaLista">
    <w:name w:val="List Paragraph"/>
    <w:basedOn w:val="Normal"/>
    <w:uiPriority w:val="34"/>
    <w:qFormat/>
    <w:rsid w:val="00AB1617"/>
    <w:pPr>
      <w:ind w:left="720"/>
      <w:contextualSpacing/>
    </w:pPr>
  </w:style>
  <w:style w:type="character" w:styleId="Refdecomentrio">
    <w:name w:val="annotation reference"/>
    <w:basedOn w:val="Fontepargpadro"/>
    <w:uiPriority w:val="99"/>
    <w:semiHidden/>
    <w:unhideWhenUsed/>
    <w:rsid w:val="00AB1617"/>
    <w:rPr>
      <w:sz w:val="16"/>
      <w:szCs w:val="16"/>
    </w:rPr>
  </w:style>
  <w:style w:type="paragraph" w:styleId="Textodecomentrio">
    <w:name w:val="annotation text"/>
    <w:basedOn w:val="Normal"/>
    <w:link w:val="TextodecomentrioChar"/>
    <w:uiPriority w:val="99"/>
    <w:semiHidden/>
    <w:unhideWhenUsed/>
    <w:rsid w:val="00AB161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617"/>
    <w:rPr>
      <w:sz w:val="20"/>
      <w:szCs w:val="20"/>
    </w:rPr>
  </w:style>
  <w:style w:type="character" w:customStyle="1" w:styleId="Ttulo2Char">
    <w:name w:val="Título 2 Char"/>
    <w:basedOn w:val="Fontepargpadro"/>
    <w:link w:val="Ttulo2"/>
    <w:uiPriority w:val="9"/>
    <w:rsid w:val="00FB7AA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B7AA3"/>
    <w:rPr>
      <w:rFonts w:asciiTheme="majorHAnsi" w:eastAsiaTheme="majorEastAsia" w:hAnsiTheme="majorHAnsi" w:cstheme="majorBidi"/>
      <w:b/>
      <w:bCs/>
      <w:color w:val="4F81BD" w:themeColor="accent1"/>
    </w:rPr>
  </w:style>
  <w:style w:type="paragraph" w:customStyle="1" w:styleId="Default">
    <w:name w:val="Default"/>
    <w:rsid w:val="00FB7AA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B7A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4058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0584"/>
    <w:rPr>
      <w:rFonts w:ascii="Tahoma" w:hAnsi="Tahoma" w:cs="Tahoma"/>
      <w:sz w:val="16"/>
      <w:szCs w:val="16"/>
    </w:rPr>
  </w:style>
  <w:style w:type="paragraph" w:styleId="Legenda">
    <w:name w:val="caption"/>
    <w:basedOn w:val="Normal"/>
    <w:next w:val="Normal"/>
    <w:uiPriority w:val="35"/>
    <w:unhideWhenUsed/>
    <w:qFormat/>
    <w:rsid w:val="00992F97"/>
    <w:pPr>
      <w:spacing w:after="200" w:line="240" w:lineRule="auto"/>
    </w:pPr>
    <w:rPr>
      <w:b/>
      <w:bCs/>
      <w:color w:val="4F81BD" w:themeColor="accent1"/>
      <w:sz w:val="18"/>
      <w:szCs w:val="18"/>
    </w:rPr>
  </w:style>
  <w:style w:type="paragraph" w:customStyle="1" w:styleId="Estilo2">
    <w:name w:val="Estilo2"/>
    <w:basedOn w:val="Normal"/>
    <w:link w:val="Estilo2Char"/>
    <w:qFormat/>
    <w:rsid w:val="00D91DBB"/>
    <w:rPr>
      <w:lang w:eastAsia="pt-BR"/>
    </w:rPr>
  </w:style>
  <w:style w:type="character" w:customStyle="1" w:styleId="Estilo2Char">
    <w:name w:val="Estilo2 Char"/>
    <w:basedOn w:val="Fontepargpadro"/>
    <w:link w:val="Estilo2"/>
    <w:rsid w:val="00D91DBB"/>
    <w:rPr>
      <w:lang w:eastAsia="pt-BR"/>
    </w:rPr>
  </w:style>
  <w:style w:type="table" w:styleId="Tabelacomgrade">
    <w:name w:val="Table Grid"/>
    <w:basedOn w:val="Tabelanormal"/>
    <w:uiPriority w:val="59"/>
    <w:rsid w:val="00F24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F243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ssuntodocomentrio">
    <w:name w:val="annotation subject"/>
    <w:basedOn w:val="Textodecomentrio"/>
    <w:next w:val="Textodecomentrio"/>
    <w:link w:val="AssuntodocomentrioChar"/>
    <w:uiPriority w:val="99"/>
    <w:semiHidden/>
    <w:unhideWhenUsed/>
    <w:rsid w:val="00D04BB6"/>
    <w:rPr>
      <w:b/>
      <w:bCs/>
    </w:rPr>
  </w:style>
  <w:style w:type="character" w:customStyle="1" w:styleId="AssuntodocomentrioChar">
    <w:name w:val="Assunto do comentário Char"/>
    <w:basedOn w:val="TextodecomentrioChar"/>
    <w:link w:val="Assuntodocomentrio"/>
    <w:uiPriority w:val="99"/>
    <w:semiHidden/>
    <w:rsid w:val="00D04BB6"/>
    <w:rPr>
      <w:b/>
      <w:bCs/>
      <w:sz w:val="20"/>
      <w:szCs w:val="20"/>
    </w:rPr>
  </w:style>
  <w:style w:type="paragraph" w:styleId="Cabealho">
    <w:name w:val="header"/>
    <w:basedOn w:val="Normal"/>
    <w:link w:val="CabealhoChar"/>
    <w:uiPriority w:val="99"/>
    <w:unhideWhenUsed/>
    <w:rsid w:val="00C232B7"/>
    <w:pPr>
      <w:tabs>
        <w:tab w:val="center" w:pos="4252"/>
        <w:tab w:val="right" w:pos="8504"/>
      </w:tabs>
      <w:spacing w:line="240" w:lineRule="auto"/>
    </w:pPr>
  </w:style>
  <w:style w:type="character" w:customStyle="1" w:styleId="CabealhoChar">
    <w:name w:val="Cabeçalho Char"/>
    <w:basedOn w:val="Fontepargpadro"/>
    <w:link w:val="Cabealho"/>
    <w:uiPriority w:val="99"/>
    <w:rsid w:val="00C232B7"/>
  </w:style>
  <w:style w:type="paragraph" w:styleId="Rodap">
    <w:name w:val="footer"/>
    <w:basedOn w:val="Normal"/>
    <w:link w:val="RodapChar"/>
    <w:uiPriority w:val="99"/>
    <w:unhideWhenUsed/>
    <w:rsid w:val="00C232B7"/>
    <w:pPr>
      <w:tabs>
        <w:tab w:val="center" w:pos="4252"/>
        <w:tab w:val="right" w:pos="8504"/>
      </w:tabs>
      <w:spacing w:line="240" w:lineRule="auto"/>
    </w:pPr>
  </w:style>
  <w:style w:type="character" w:customStyle="1" w:styleId="RodapChar">
    <w:name w:val="Rodapé Char"/>
    <w:basedOn w:val="Fontepargpadro"/>
    <w:link w:val="Rodap"/>
    <w:uiPriority w:val="99"/>
    <w:rsid w:val="00C232B7"/>
  </w:style>
  <w:style w:type="character" w:styleId="Hyperlink">
    <w:name w:val="Hyperlink"/>
    <w:basedOn w:val="Fontepargpadro"/>
    <w:uiPriority w:val="99"/>
    <w:unhideWhenUsed/>
    <w:rsid w:val="0070348C"/>
    <w:rPr>
      <w:color w:val="0000FF" w:themeColor="hyperlink"/>
      <w:u w:val="single"/>
    </w:rPr>
  </w:style>
  <w:style w:type="paragraph" w:styleId="Reviso">
    <w:name w:val="Revision"/>
    <w:hidden/>
    <w:uiPriority w:val="99"/>
    <w:semiHidden/>
    <w:rsid w:val="00EB48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17"/>
    <w:pPr>
      <w:spacing w:after="0" w:line="360" w:lineRule="auto"/>
    </w:pPr>
  </w:style>
  <w:style w:type="paragraph" w:styleId="Ttulo1">
    <w:name w:val="heading 1"/>
    <w:basedOn w:val="Normal"/>
    <w:next w:val="Normal"/>
    <w:link w:val="Ttulo1Char"/>
    <w:uiPriority w:val="9"/>
    <w:qFormat/>
    <w:rsid w:val="00AB1617"/>
    <w:pPr>
      <w:keepNext/>
      <w:keepLines/>
      <w:spacing w:before="480"/>
      <w:ind w:firstLine="567"/>
      <w:outlineLvl w:val="0"/>
    </w:pPr>
    <w:rPr>
      <w:rFonts w:ascii="Times New Roman" w:eastAsiaTheme="majorEastAsia" w:hAnsi="Times New Roman" w:cs="Times New Roman"/>
      <w:b/>
      <w:bCs/>
      <w:color w:val="000000" w:themeColor="text1"/>
      <w:sz w:val="28"/>
      <w:szCs w:val="28"/>
    </w:rPr>
  </w:style>
  <w:style w:type="paragraph" w:styleId="Ttulo2">
    <w:name w:val="heading 2"/>
    <w:basedOn w:val="Normal"/>
    <w:next w:val="Normal"/>
    <w:link w:val="Ttulo2Char"/>
    <w:uiPriority w:val="9"/>
    <w:unhideWhenUsed/>
    <w:qFormat/>
    <w:rsid w:val="00FB7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B7AA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1617"/>
    <w:rPr>
      <w:rFonts w:ascii="Times New Roman" w:eastAsiaTheme="majorEastAsia" w:hAnsi="Times New Roman" w:cs="Times New Roman"/>
      <w:b/>
      <w:bCs/>
      <w:color w:val="000000" w:themeColor="text1"/>
      <w:sz w:val="28"/>
      <w:szCs w:val="28"/>
    </w:rPr>
  </w:style>
  <w:style w:type="paragraph" w:styleId="PargrafodaLista">
    <w:name w:val="List Paragraph"/>
    <w:basedOn w:val="Normal"/>
    <w:uiPriority w:val="34"/>
    <w:qFormat/>
    <w:rsid w:val="00AB1617"/>
    <w:pPr>
      <w:ind w:left="720"/>
      <w:contextualSpacing/>
    </w:pPr>
  </w:style>
  <w:style w:type="character" w:styleId="Refdecomentrio">
    <w:name w:val="annotation reference"/>
    <w:basedOn w:val="Fontepargpadro"/>
    <w:uiPriority w:val="99"/>
    <w:semiHidden/>
    <w:unhideWhenUsed/>
    <w:rsid w:val="00AB1617"/>
    <w:rPr>
      <w:sz w:val="16"/>
      <w:szCs w:val="16"/>
    </w:rPr>
  </w:style>
  <w:style w:type="paragraph" w:styleId="Textodecomentrio">
    <w:name w:val="annotation text"/>
    <w:basedOn w:val="Normal"/>
    <w:link w:val="TextodecomentrioChar"/>
    <w:uiPriority w:val="99"/>
    <w:semiHidden/>
    <w:unhideWhenUsed/>
    <w:rsid w:val="00AB161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617"/>
    <w:rPr>
      <w:sz w:val="20"/>
      <w:szCs w:val="20"/>
    </w:rPr>
  </w:style>
  <w:style w:type="character" w:customStyle="1" w:styleId="Ttulo2Char">
    <w:name w:val="Título 2 Char"/>
    <w:basedOn w:val="Fontepargpadro"/>
    <w:link w:val="Ttulo2"/>
    <w:uiPriority w:val="9"/>
    <w:rsid w:val="00FB7AA3"/>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B7AA3"/>
    <w:rPr>
      <w:rFonts w:asciiTheme="majorHAnsi" w:eastAsiaTheme="majorEastAsia" w:hAnsiTheme="majorHAnsi" w:cstheme="majorBidi"/>
      <w:b/>
      <w:bCs/>
      <w:color w:val="4F81BD" w:themeColor="accent1"/>
    </w:rPr>
  </w:style>
  <w:style w:type="paragraph" w:customStyle="1" w:styleId="Default">
    <w:name w:val="Default"/>
    <w:rsid w:val="00FB7AA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B7A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4058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0584"/>
    <w:rPr>
      <w:rFonts w:ascii="Tahoma" w:hAnsi="Tahoma" w:cs="Tahoma"/>
      <w:sz w:val="16"/>
      <w:szCs w:val="16"/>
    </w:rPr>
  </w:style>
  <w:style w:type="paragraph" w:styleId="Legenda">
    <w:name w:val="caption"/>
    <w:basedOn w:val="Normal"/>
    <w:next w:val="Normal"/>
    <w:uiPriority w:val="35"/>
    <w:unhideWhenUsed/>
    <w:qFormat/>
    <w:rsid w:val="00992F97"/>
    <w:pPr>
      <w:spacing w:after="200" w:line="240" w:lineRule="auto"/>
    </w:pPr>
    <w:rPr>
      <w:b/>
      <w:bCs/>
      <w:color w:val="4F81BD" w:themeColor="accent1"/>
      <w:sz w:val="18"/>
      <w:szCs w:val="18"/>
    </w:rPr>
  </w:style>
  <w:style w:type="paragraph" w:customStyle="1" w:styleId="Estilo2">
    <w:name w:val="Estilo2"/>
    <w:basedOn w:val="Normal"/>
    <w:link w:val="Estilo2Char"/>
    <w:qFormat/>
    <w:rsid w:val="00D91DBB"/>
    <w:rPr>
      <w:lang w:eastAsia="pt-BR"/>
    </w:rPr>
  </w:style>
  <w:style w:type="character" w:customStyle="1" w:styleId="Estilo2Char">
    <w:name w:val="Estilo2 Char"/>
    <w:basedOn w:val="Fontepargpadro"/>
    <w:link w:val="Estilo2"/>
    <w:rsid w:val="00D91DBB"/>
    <w:rPr>
      <w:lang w:eastAsia="pt-BR"/>
    </w:rPr>
  </w:style>
  <w:style w:type="table" w:styleId="Tabelacomgrade">
    <w:name w:val="Table Grid"/>
    <w:basedOn w:val="Tabelanormal"/>
    <w:uiPriority w:val="59"/>
    <w:rsid w:val="00F24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F243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ssuntodocomentrio">
    <w:name w:val="annotation subject"/>
    <w:basedOn w:val="Textodecomentrio"/>
    <w:next w:val="Textodecomentrio"/>
    <w:link w:val="AssuntodocomentrioChar"/>
    <w:uiPriority w:val="99"/>
    <w:semiHidden/>
    <w:unhideWhenUsed/>
    <w:rsid w:val="00D04BB6"/>
    <w:rPr>
      <w:b/>
      <w:bCs/>
    </w:rPr>
  </w:style>
  <w:style w:type="character" w:customStyle="1" w:styleId="AssuntodocomentrioChar">
    <w:name w:val="Assunto do comentário Char"/>
    <w:basedOn w:val="TextodecomentrioChar"/>
    <w:link w:val="Assuntodocomentrio"/>
    <w:uiPriority w:val="99"/>
    <w:semiHidden/>
    <w:rsid w:val="00D04BB6"/>
    <w:rPr>
      <w:b/>
      <w:bCs/>
      <w:sz w:val="20"/>
      <w:szCs w:val="20"/>
    </w:rPr>
  </w:style>
  <w:style w:type="paragraph" w:styleId="Cabealho">
    <w:name w:val="header"/>
    <w:basedOn w:val="Normal"/>
    <w:link w:val="CabealhoChar"/>
    <w:uiPriority w:val="99"/>
    <w:unhideWhenUsed/>
    <w:rsid w:val="00C232B7"/>
    <w:pPr>
      <w:tabs>
        <w:tab w:val="center" w:pos="4252"/>
        <w:tab w:val="right" w:pos="8504"/>
      </w:tabs>
      <w:spacing w:line="240" w:lineRule="auto"/>
    </w:pPr>
  </w:style>
  <w:style w:type="character" w:customStyle="1" w:styleId="CabealhoChar">
    <w:name w:val="Cabeçalho Char"/>
    <w:basedOn w:val="Fontepargpadro"/>
    <w:link w:val="Cabealho"/>
    <w:uiPriority w:val="99"/>
    <w:rsid w:val="00C232B7"/>
  </w:style>
  <w:style w:type="paragraph" w:styleId="Rodap">
    <w:name w:val="footer"/>
    <w:basedOn w:val="Normal"/>
    <w:link w:val="RodapChar"/>
    <w:uiPriority w:val="99"/>
    <w:unhideWhenUsed/>
    <w:rsid w:val="00C232B7"/>
    <w:pPr>
      <w:tabs>
        <w:tab w:val="center" w:pos="4252"/>
        <w:tab w:val="right" w:pos="8504"/>
      </w:tabs>
      <w:spacing w:line="240" w:lineRule="auto"/>
    </w:pPr>
  </w:style>
  <w:style w:type="character" w:customStyle="1" w:styleId="RodapChar">
    <w:name w:val="Rodapé Char"/>
    <w:basedOn w:val="Fontepargpadro"/>
    <w:link w:val="Rodap"/>
    <w:uiPriority w:val="99"/>
    <w:rsid w:val="00C232B7"/>
  </w:style>
  <w:style w:type="character" w:styleId="Hyperlink">
    <w:name w:val="Hyperlink"/>
    <w:basedOn w:val="Fontepargpadro"/>
    <w:uiPriority w:val="99"/>
    <w:unhideWhenUsed/>
    <w:rsid w:val="0070348C"/>
    <w:rPr>
      <w:color w:val="0000FF" w:themeColor="hyperlink"/>
      <w:u w:val="single"/>
    </w:rPr>
  </w:style>
  <w:style w:type="paragraph" w:styleId="Reviso">
    <w:name w:val="Revision"/>
    <w:hidden/>
    <w:uiPriority w:val="99"/>
    <w:semiHidden/>
    <w:rsid w:val="00EB48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8141">
      <w:bodyDiv w:val="1"/>
      <w:marLeft w:val="0"/>
      <w:marRight w:val="0"/>
      <w:marTop w:val="0"/>
      <w:marBottom w:val="0"/>
      <w:divBdr>
        <w:top w:val="none" w:sz="0" w:space="0" w:color="auto"/>
        <w:left w:val="none" w:sz="0" w:space="0" w:color="auto"/>
        <w:bottom w:val="none" w:sz="0" w:space="0" w:color="auto"/>
        <w:right w:val="none" w:sz="0" w:space="0" w:color="auto"/>
      </w:divBdr>
    </w:div>
    <w:div w:id="259801326">
      <w:bodyDiv w:val="1"/>
      <w:marLeft w:val="0"/>
      <w:marRight w:val="0"/>
      <w:marTop w:val="0"/>
      <w:marBottom w:val="0"/>
      <w:divBdr>
        <w:top w:val="none" w:sz="0" w:space="0" w:color="auto"/>
        <w:left w:val="none" w:sz="0" w:space="0" w:color="auto"/>
        <w:bottom w:val="none" w:sz="0" w:space="0" w:color="auto"/>
        <w:right w:val="none" w:sz="0" w:space="0" w:color="auto"/>
      </w:divBdr>
    </w:div>
    <w:div w:id="284048959">
      <w:bodyDiv w:val="1"/>
      <w:marLeft w:val="0"/>
      <w:marRight w:val="0"/>
      <w:marTop w:val="0"/>
      <w:marBottom w:val="0"/>
      <w:divBdr>
        <w:top w:val="none" w:sz="0" w:space="0" w:color="auto"/>
        <w:left w:val="none" w:sz="0" w:space="0" w:color="auto"/>
        <w:bottom w:val="none" w:sz="0" w:space="0" w:color="auto"/>
        <w:right w:val="none" w:sz="0" w:space="0" w:color="auto"/>
      </w:divBdr>
    </w:div>
    <w:div w:id="333844985">
      <w:bodyDiv w:val="1"/>
      <w:marLeft w:val="0"/>
      <w:marRight w:val="0"/>
      <w:marTop w:val="0"/>
      <w:marBottom w:val="0"/>
      <w:divBdr>
        <w:top w:val="none" w:sz="0" w:space="0" w:color="auto"/>
        <w:left w:val="none" w:sz="0" w:space="0" w:color="auto"/>
        <w:bottom w:val="none" w:sz="0" w:space="0" w:color="auto"/>
        <w:right w:val="none" w:sz="0" w:space="0" w:color="auto"/>
      </w:divBdr>
    </w:div>
    <w:div w:id="628434063">
      <w:bodyDiv w:val="1"/>
      <w:marLeft w:val="0"/>
      <w:marRight w:val="0"/>
      <w:marTop w:val="0"/>
      <w:marBottom w:val="0"/>
      <w:divBdr>
        <w:top w:val="none" w:sz="0" w:space="0" w:color="auto"/>
        <w:left w:val="none" w:sz="0" w:space="0" w:color="auto"/>
        <w:bottom w:val="none" w:sz="0" w:space="0" w:color="auto"/>
        <w:right w:val="none" w:sz="0" w:space="0" w:color="auto"/>
      </w:divBdr>
    </w:div>
    <w:div w:id="678199097">
      <w:bodyDiv w:val="1"/>
      <w:marLeft w:val="0"/>
      <w:marRight w:val="0"/>
      <w:marTop w:val="0"/>
      <w:marBottom w:val="0"/>
      <w:divBdr>
        <w:top w:val="none" w:sz="0" w:space="0" w:color="auto"/>
        <w:left w:val="none" w:sz="0" w:space="0" w:color="auto"/>
        <w:bottom w:val="none" w:sz="0" w:space="0" w:color="auto"/>
        <w:right w:val="none" w:sz="0" w:space="0" w:color="auto"/>
      </w:divBdr>
    </w:div>
    <w:div w:id="1307782666">
      <w:bodyDiv w:val="1"/>
      <w:marLeft w:val="0"/>
      <w:marRight w:val="0"/>
      <w:marTop w:val="0"/>
      <w:marBottom w:val="0"/>
      <w:divBdr>
        <w:top w:val="none" w:sz="0" w:space="0" w:color="auto"/>
        <w:left w:val="none" w:sz="0" w:space="0" w:color="auto"/>
        <w:bottom w:val="none" w:sz="0" w:space="0" w:color="auto"/>
        <w:right w:val="none" w:sz="0" w:space="0" w:color="auto"/>
      </w:divBdr>
    </w:div>
    <w:div w:id="1338926192">
      <w:bodyDiv w:val="1"/>
      <w:marLeft w:val="0"/>
      <w:marRight w:val="0"/>
      <w:marTop w:val="0"/>
      <w:marBottom w:val="0"/>
      <w:divBdr>
        <w:top w:val="none" w:sz="0" w:space="0" w:color="auto"/>
        <w:left w:val="none" w:sz="0" w:space="0" w:color="auto"/>
        <w:bottom w:val="none" w:sz="0" w:space="0" w:color="auto"/>
        <w:right w:val="none" w:sz="0" w:space="0" w:color="auto"/>
      </w:divBdr>
    </w:div>
    <w:div w:id="1479302176">
      <w:bodyDiv w:val="1"/>
      <w:marLeft w:val="0"/>
      <w:marRight w:val="0"/>
      <w:marTop w:val="0"/>
      <w:marBottom w:val="0"/>
      <w:divBdr>
        <w:top w:val="none" w:sz="0" w:space="0" w:color="auto"/>
        <w:left w:val="none" w:sz="0" w:space="0" w:color="auto"/>
        <w:bottom w:val="none" w:sz="0" w:space="0" w:color="auto"/>
        <w:right w:val="none" w:sz="0" w:space="0" w:color="auto"/>
      </w:divBdr>
    </w:div>
    <w:div w:id="1649556811">
      <w:bodyDiv w:val="1"/>
      <w:marLeft w:val="0"/>
      <w:marRight w:val="0"/>
      <w:marTop w:val="0"/>
      <w:marBottom w:val="0"/>
      <w:divBdr>
        <w:top w:val="none" w:sz="0" w:space="0" w:color="auto"/>
        <w:left w:val="none" w:sz="0" w:space="0" w:color="auto"/>
        <w:bottom w:val="none" w:sz="0" w:space="0" w:color="auto"/>
        <w:right w:val="none" w:sz="0" w:space="0" w:color="auto"/>
      </w:divBdr>
    </w:div>
    <w:div w:id="1733314109">
      <w:bodyDiv w:val="1"/>
      <w:marLeft w:val="0"/>
      <w:marRight w:val="0"/>
      <w:marTop w:val="0"/>
      <w:marBottom w:val="0"/>
      <w:divBdr>
        <w:top w:val="none" w:sz="0" w:space="0" w:color="auto"/>
        <w:left w:val="none" w:sz="0" w:space="0" w:color="auto"/>
        <w:bottom w:val="none" w:sz="0" w:space="0" w:color="auto"/>
        <w:right w:val="none" w:sz="0" w:space="0" w:color="auto"/>
      </w:divBdr>
    </w:div>
    <w:div w:id="20722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F:\ANALISE%20FINANCEIROS%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8348047403165486E-2"/>
          <c:y val="7.2047067942010823E-2"/>
          <c:w val="0.72201861130994993"/>
          <c:h val="0.78427934817500333"/>
        </c:manualLayout>
      </c:layout>
      <c:barChart>
        <c:barDir val="col"/>
        <c:grouping val="clustered"/>
        <c:varyColors val="0"/>
        <c:ser>
          <c:idx val="0"/>
          <c:order val="0"/>
          <c:tx>
            <c:strRef>
              <c:f>Plan4!$F$3</c:f>
              <c:strCache>
                <c:ptCount val="1"/>
                <c:pt idx="0">
                  <c:v>Frequência</c:v>
                </c:pt>
              </c:strCache>
            </c:strRef>
          </c:tx>
          <c:spPr>
            <a:pattFill prst="narHorz">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Plan4!$E$4:$E$6</c:f>
              <c:strCache>
                <c:ptCount val="3"/>
                <c:pt idx="0">
                  <c:v>DRE</c:v>
                </c:pt>
                <c:pt idx="1">
                  <c:v>Híbridos</c:v>
                </c:pt>
                <c:pt idx="2">
                  <c:v>Balanço Patrimonial</c:v>
                </c:pt>
              </c:strCache>
            </c:strRef>
          </c:cat>
          <c:val>
            <c:numRef>
              <c:f>Plan4!$F$4:$F$6</c:f>
              <c:numCache>
                <c:formatCode>General</c:formatCode>
                <c:ptCount val="3"/>
                <c:pt idx="0">
                  <c:v>44</c:v>
                </c:pt>
                <c:pt idx="1">
                  <c:v>117</c:v>
                </c:pt>
                <c:pt idx="2">
                  <c:v>118</c:v>
                </c:pt>
              </c:numCache>
            </c:numRef>
          </c:val>
          <c:extLst xmlns:c16r2="http://schemas.microsoft.com/office/drawing/2015/06/chart">
            <c:ext xmlns:c16="http://schemas.microsoft.com/office/drawing/2014/chart" uri="{C3380CC4-5D6E-409C-BE32-E72D297353CC}">
              <c16:uniqueId val="{00000000-8AA9-4F2A-A5D7-A1B6BDDCD834}"/>
            </c:ext>
          </c:extLst>
        </c:ser>
        <c:ser>
          <c:idx val="1"/>
          <c:order val="1"/>
          <c:tx>
            <c:strRef>
              <c:f>Plan4!$G$3</c:f>
              <c:strCache>
                <c:ptCount val="1"/>
                <c:pt idx="0">
                  <c:v>Tipos</c:v>
                </c:pt>
              </c:strCache>
            </c:strRef>
          </c:tx>
          <c:spPr>
            <a:pattFill prst="narHorz">
              <a:fgClr>
                <a:schemeClr val="dk1">
                  <a:tint val="55000"/>
                </a:schemeClr>
              </a:fgClr>
              <a:bgClr>
                <a:schemeClr val="dk1">
                  <a:tint val="55000"/>
                  <a:lumMod val="20000"/>
                  <a:lumOff val="80000"/>
                </a:schemeClr>
              </a:bgClr>
            </a:pattFill>
            <a:ln>
              <a:noFill/>
            </a:ln>
            <a:effectLst>
              <a:innerShdw blurRad="114300">
                <a:schemeClr val="dk1">
                  <a:tint val="55000"/>
                </a:schemeClr>
              </a:innerShdw>
            </a:effectLst>
          </c:spPr>
          <c:invertIfNegative val="0"/>
          <c:cat>
            <c:strRef>
              <c:f>Plan4!$E$4:$E$6</c:f>
              <c:strCache>
                <c:ptCount val="3"/>
                <c:pt idx="0">
                  <c:v>DRE</c:v>
                </c:pt>
                <c:pt idx="1">
                  <c:v>Híbridos</c:v>
                </c:pt>
                <c:pt idx="2">
                  <c:v>Balanço Patrimonial</c:v>
                </c:pt>
              </c:strCache>
            </c:strRef>
          </c:cat>
          <c:val>
            <c:numRef>
              <c:f>Plan4!$G$4:$G$6</c:f>
              <c:numCache>
                <c:formatCode>General</c:formatCode>
                <c:ptCount val="3"/>
                <c:pt idx="0">
                  <c:v>36</c:v>
                </c:pt>
                <c:pt idx="1">
                  <c:v>19</c:v>
                </c:pt>
                <c:pt idx="2">
                  <c:v>76</c:v>
                </c:pt>
              </c:numCache>
            </c:numRef>
          </c:val>
          <c:extLst xmlns:c16r2="http://schemas.microsoft.com/office/drawing/2015/06/chart">
            <c:ext xmlns:c16="http://schemas.microsoft.com/office/drawing/2014/chart" uri="{C3380CC4-5D6E-409C-BE32-E72D297353CC}">
              <c16:uniqueId val="{00000001-8AA9-4F2A-A5D7-A1B6BDDCD834}"/>
            </c:ext>
          </c:extLst>
        </c:ser>
        <c:dLbls>
          <c:showLegendKey val="0"/>
          <c:showVal val="0"/>
          <c:showCatName val="0"/>
          <c:showSerName val="0"/>
          <c:showPercent val="0"/>
          <c:showBubbleSize val="0"/>
        </c:dLbls>
        <c:gapWidth val="164"/>
        <c:overlap val="-22"/>
        <c:axId val="73929472"/>
        <c:axId val="73931008"/>
      </c:barChart>
      <c:catAx>
        <c:axId val="73929472"/>
        <c:scaling>
          <c:orientation val="minMax"/>
        </c:scaling>
        <c:delete val="0"/>
        <c:axPos val="b"/>
        <c:numFmt formatCode="General" sourceLinked="0"/>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931008"/>
        <c:crosses val="autoZero"/>
        <c:auto val="1"/>
        <c:lblAlgn val="ctr"/>
        <c:lblOffset val="100"/>
        <c:noMultiLvlLbl val="0"/>
      </c:catAx>
      <c:valAx>
        <c:axId val="739310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92947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3BE893-A088-4769-B3DC-446A87FD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9245</Words>
  <Characters>49927</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Laiz Casagrande</cp:lastModifiedBy>
  <cp:revision>3</cp:revision>
  <cp:lastPrinted>2016-09-12T00:56:00Z</cp:lastPrinted>
  <dcterms:created xsi:type="dcterms:W3CDTF">2016-09-12T01:00:00Z</dcterms:created>
  <dcterms:modified xsi:type="dcterms:W3CDTF">2016-09-12T01:03:00Z</dcterms:modified>
</cp:coreProperties>
</file>