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641" w:rsidRDefault="00A80641" w:rsidP="002826C0">
      <w:pPr>
        <w:jc w:val="center"/>
        <w:rPr>
          <w:b/>
        </w:rPr>
      </w:pPr>
      <w:bookmarkStart w:id="0" w:name="_GoBack"/>
      <w:bookmarkEnd w:id="0"/>
    </w:p>
    <w:p w:rsidR="002826C0" w:rsidRPr="00F05FBB" w:rsidRDefault="00E85A50" w:rsidP="002826C0">
      <w:pPr>
        <w:jc w:val="center"/>
        <w:rPr>
          <w:b/>
        </w:rPr>
      </w:pPr>
      <w:r>
        <w:rPr>
          <w:b/>
        </w:rPr>
        <w:t>EFICIÊNCIA ECONÔMICO-FINANCEIRA DE EMPRESAS DO SETOR QUÍMICO E PETROQUÍMICO: UM ESTUDO UTILIZANDO ANÁLISE ENVOLTÓRIA DE DADOS.</w:t>
      </w:r>
    </w:p>
    <w:p w:rsidR="002826C0" w:rsidRDefault="002826C0" w:rsidP="002826C0">
      <w:pPr>
        <w:jc w:val="center"/>
        <w:rPr>
          <w:color w:val="999999"/>
        </w:rPr>
      </w:pPr>
    </w:p>
    <w:p w:rsidR="002826C0" w:rsidRDefault="002826C0" w:rsidP="002826C0">
      <w:pPr>
        <w:rPr>
          <w:color w:val="999999"/>
        </w:rPr>
      </w:pPr>
    </w:p>
    <w:p w:rsidR="002826C0" w:rsidRPr="00244C0A" w:rsidRDefault="00C575E7" w:rsidP="002826C0">
      <w:pPr>
        <w:jc w:val="center"/>
        <w:rPr>
          <w:b/>
          <w:szCs w:val="24"/>
        </w:rPr>
      </w:pPr>
      <w:r>
        <w:rPr>
          <w:b/>
          <w:szCs w:val="24"/>
        </w:rPr>
        <w:t>Ana Carolina Silva Schmitz</w:t>
      </w:r>
    </w:p>
    <w:p w:rsidR="002826C0" w:rsidRPr="008339A4" w:rsidRDefault="00C575E7" w:rsidP="002826C0">
      <w:pPr>
        <w:jc w:val="center"/>
        <w:rPr>
          <w:szCs w:val="24"/>
        </w:rPr>
      </w:pPr>
      <w:r>
        <w:rPr>
          <w:szCs w:val="24"/>
        </w:rPr>
        <w:t>Universidade Federal de Santa Catarina</w:t>
      </w:r>
      <w:r w:rsidR="002826C0" w:rsidRPr="008339A4">
        <w:rPr>
          <w:szCs w:val="24"/>
        </w:rPr>
        <w:t xml:space="preserve"> (</w:t>
      </w:r>
      <w:r>
        <w:rPr>
          <w:szCs w:val="24"/>
        </w:rPr>
        <w:t>UFSC</w:t>
      </w:r>
      <w:r w:rsidR="002826C0" w:rsidRPr="008339A4">
        <w:rPr>
          <w:szCs w:val="24"/>
        </w:rPr>
        <w:t>)</w:t>
      </w:r>
    </w:p>
    <w:p w:rsidR="002826C0" w:rsidRPr="008339A4" w:rsidRDefault="00C575E7" w:rsidP="002826C0">
      <w:pPr>
        <w:jc w:val="center"/>
        <w:rPr>
          <w:i/>
          <w:szCs w:val="24"/>
        </w:rPr>
      </w:pPr>
      <w:r>
        <w:rPr>
          <w:i/>
          <w:szCs w:val="24"/>
        </w:rPr>
        <w:t>aninhaschmitz@hotmail.com</w:t>
      </w:r>
    </w:p>
    <w:p w:rsidR="002826C0" w:rsidRPr="00244C0A" w:rsidRDefault="002826C0" w:rsidP="002826C0">
      <w:pPr>
        <w:jc w:val="center"/>
        <w:rPr>
          <w:b/>
          <w:szCs w:val="24"/>
        </w:rPr>
      </w:pPr>
    </w:p>
    <w:p w:rsidR="002826C0" w:rsidRPr="00244C0A" w:rsidRDefault="00820B93" w:rsidP="002826C0">
      <w:pPr>
        <w:jc w:val="center"/>
        <w:rPr>
          <w:b/>
          <w:szCs w:val="24"/>
        </w:rPr>
      </w:pPr>
      <w:r>
        <w:rPr>
          <w:b/>
          <w:szCs w:val="24"/>
        </w:rPr>
        <w:t>Leonardo Flach</w:t>
      </w:r>
    </w:p>
    <w:p w:rsidR="002826C0" w:rsidRPr="008339A4" w:rsidRDefault="00C575E7" w:rsidP="002826C0">
      <w:pPr>
        <w:jc w:val="center"/>
        <w:rPr>
          <w:szCs w:val="24"/>
        </w:rPr>
      </w:pPr>
      <w:r>
        <w:rPr>
          <w:szCs w:val="24"/>
        </w:rPr>
        <w:t>Universidade Federal de Santa Catarina</w:t>
      </w:r>
      <w:r w:rsidR="002826C0" w:rsidRPr="008339A4">
        <w:rPr>
          <w:szCs w:val="24"/>
        </w:rPr>
        <w:t xml:space="preserve"> (</w:t>
      </w:r>
      <w:r>
        <w:rPr>
          <w:szCs w:val="24"/>
        </w:rPr>
        <w:t>UFSC</w:t>
      </w:r>
      <w:r w:rsidR="002826C0" w:rsidRPr="008339A4">
        <w:rPr>
          <w:szCs w:val="24"/>
        </w:rPr>
        <w:t>)</w:t>
      </w:r>
    </w:p>
    <w:p w:rsidR="002826C0" w:rsidRPr="008339A4" w:rsidRDefault="00820B93" w:rsidP="002826C0">
      <w:pPr>
        <w:jc w:val="center"/>
        <w:rPr>
          <w:i/>
          <w:szCs w:val="24"/>
        </w:rPr>
      </w:pPr>
      <w:r>
        <w:rPr>
          <w:i/>
          <w:szCs w:val="24"/>
        </w:rPr>
        <w:t>l</w:t>
      </w:r>
      <w:r w:rsidR="00C575E7">
        <w:rPr>
          <w:i/>
          <w:szCs w:val="24"/>
        </w:rPr>
        <w:t>eonardo.flach@gmail.com</w:t>
      </w:r>
    </w:p>
    <w:p w:rsidR="002826C0" w:rsidRPr="00244C0A" w:rsidRDefault="002826C0" w:rsidP="002826C0">
      <w:pPr>
        <w:jc w:val="center"/>
        <w:rPr>
          <w:b/>
          <w:szCs w:val="24"/>
        </w:rPr>
      </w:pPr>
    </w:p>
    <w:p w:rsidR="002826C0" w:rsidRPr="00F05FBB" w:rsidRDefault="002826C0" w:rsidP="002826C0">
      <w:pPr>
        <w:jc w:val="center"/>
        <w:rPr>
          <w:b/>
          <w:color w:val="999999"/>
        </w:rPr>
      </w:pPr>
    </w:p>
    <w:p w:rsidR="002826C0" w:rsidRDefault="002826C0" w:rsidP="002826C0">
      <w:pPr>
        <w:ind w:firstLine="0"/>
        <w:rPr>
          <w:b/>
          <w:szCs w:val="24"/>
        </w:rPr>
      </w:pPr>
      <w:r>
        <w:rPr>
          <w:b/>
          <w:szCs w:val="24"/>
        </w:rPr>
        <w:t>Resumo</w:t>
      </w:r>
      <w:r w:rsidRPr="00D2342D">
        <w:rPr>
          <w:b/>
          <w:szCs w:val="24"/>
        </w:rPr>
        <w:t xml:space="preserve"> </w:t>
      </w:r>
    </w:p>
    <w:p w:rsidR="00C575E7" w:rsidRPr="00C575E7" w:rsidRDefault="00C575E7" w:rsidP="00C575E7">
      <w:pPr>
        <w:ind w:firstLine="0"/>
        <w:rPr>
          <w:szCs w:val="24"/>
        </w:rPr>
      </w:pPr>
      <w:r w:rsidRPr="00C575E7">
        <w:rPr>
          <w:szCs w:val="24"/>
        </w:rPr>
        <w:t xml:space="preserve">Essenciais para a economia mundial, as empresas Químicas e Petroquímicas são fundamentais para a geração de produtos e serviços no âmbito industrial e na vida da população. Diante deste contexto, saber a eficiência das melhores empresas destes setores pode encadear benefícios econômicos tanto para os países quanto para as próprias companhias. O estudo é analisado pelo método estatístico: análise envoltória de dados, feito pelo programa SIAD (Sistema Integrado de Apoio a Decisão), diagnosticando quais empresas foram ineficientes e eficientes no ano de 2014, porém publicadas em 2015, nos seus indicadores econômico-financeiros selecionados, com </w:t>
      </w:r>
      <w:r w:rsidRPr="00C575E7">
        <w:rPr>
          <w:i/>
          <w:szCs w:val="24"/>
        </w:rPr>
        <w:t>inputs</w:t>
      </w:r>
      <w:r w:rsidRPr="00C575E7">
        <w:rPr>
          <w:szCs w:val="24"/>
        </w:rPr>
        <w:t xml:space="preserve">: giro sobre ativos e número de empregados, e </w:t>
      </w:r>
      <w:r w:rsidRPr="00C575E7">
        <w:rPr>
          <w:i/>
          <w:szCs w:val="24"/>
        </w:rPr>
        <w:t>outputs</w:t>
      </w:r>
      <w:r w:rsidRPr="00C575E7">
        <w:rPr>
          <w:szCs w:val="24"/>
        </w:rPr>
        <w:t>: vendas líquidas, patrimônio líquido ajustado, lucro líquido ajustado e margem de vendas. As empresas foram retiradas da revista Exame – Melhores e Maiores da edição de 2015. Oito empresas se classificaram como eficientes no modelo CRS (</w:t>
      </w:r>
      <w:r w:rsidRPr="00C575E7">
        <w:rPr>
          <w:i/>
          <w:szCs w:val="24"/>
        </w:rPr>
        <w:t>Constant Returns to Scale</w:t>
      </w:r>
      <w:r w:rsidRPr="00C575E7">
        <w:rPr>
          <w:szCs w:val="24"/>
        </w:rPr>
        <w:t>) e VRS (</w:t>
      </w:r>
      <w:r w:rsidRPr="00C575E7">
        <w:rPr>
          <w:i/>
          <w:szCs w:val="24"/>
        </w:rPr>
        <w:t>Variable Returns to Scale</w:t>
      </w:r>
      <w:r w:rsidRPr="00C575E7">
        <w:rPr>
          <w:szCs w:val="24"/>
        </w:rPr>
        <w:t>): Innova, Bayer, Braskem, Oxiteno Nordeste, Nufarm, Feripar, Odebrecht Oil e Gas e Hydro Alunorte.</w:t>
      </w:r>
    </w:p>
    <w:p w:rsidR="002826C0" w:rsidRDefault="002826C0" w:rsidP="002826C0">
      <w:pPr>
        <w:ind w:firstLine="0"/>
        <w:rPr>
          <w:szCs w:val="24"/>
        </w:rPr>
      </w:pPr>
      <w:r w:rsidRPr="00D2342D">
        <w:rPr>
          <w:b/>
          <w:szCs w:val="24"/>
        </w:rPr>
        <w:t xml:space="preserve">Palavras-chave: </w:t>
      </w:r>
      <w:r w:rsidR="00C575E7" w:rsidRPr="00C575E7">
        <w:rPr>
          <w:szCs w:val="24"/>
        </w:rPr>
        <w:t>Análise Envoltória de Dados, Empresas Químicas e Petroquímicas, Indicadores Econômico-Financeiros.</w:t>
      </w:r>
    </w:p>
    <w:p w:rsidR="002826C0" w:rsidRDefault="002826C0" w:rsidP="002826C0">
      <w:pPr>
        <w:rPr>
          <w:b/>
          <w:szCs w:val="24"/>
        </w:rPr>
      </w:pPr>
    </w:p>
    <w:p w:rsidR="002826C0" w:rsidRPr="00D2342D" w:rsidRDefault="002826C0" w:rsidP="002826C0">
      <w:pPr>
        <w:ind w:firstLine="0"/>
        <w:rPr>
          <w:b/>
          <w:szCs w:val="24"/>
        </w:rPr>
      </w:pPr>
      <w:r w:rsidRPr="004251EF">
        <w:rPr>
          <w:b/>
          <w:szCs w:val="24"/>
        </w:rPr>
        <w:t>Área Temática</w:t>
      </w:r>
      <w:r>
        <w:rPr>
          <w:szCs w:val="24"/>
        </w:rPr>
        <w:t>:</w:t>
      </w:r>
      <w:r w:rsidR="00C575E7">
        <w:rPr>
          <w:szCs w:val="24"/>
        </w:rPr>
        <w:t xml:space="preserve"> Temas Livres.</w:t>
      </w:r>
    </w:p>
    <w:p w:rsidR="00F05FBB" w:rsidRPr="00D2342D" w:rsidRDefault="00F05FBB" w:rsidP="00F05FBB">
      <w:pPr>
        <w:rPr>
          <w:b/>
          <w:szCs w:val="24"/>
        </w:rPr>
      </w:pPr>
    </w:p>
    <w:p w:rsidR="002056D7" w:rsidRDefault="002056D7" w:rsidP="002056D7">
      <w:pPr>
        <w:pStyle w:val="Ttulo1"/>
        <w:sectPr w:rsidR="002056D7" w:rsidSect="004251EF">
          <w:headerReference w:type="default" r:id="rId8"/>
          <w:footerReference w:type="default" r:id="rId9"/>
          <w:pgSz w:w="12240" w:h="15840" w:code="119"/>
          <w:pgMar w:top="1701" w:right="1134" w:bottom="1134" w:left="1701" w:header="142" w:footer="113" w:gutter="0"/>
          <w:cols w:space="720"/>
        </w:sectPr>
      </w:pPr>
    </w:p>
    <w:p w:rsidR="00E24E18" w:rsidRPr="007D5372" w:rsidRDefault="00E24E18" w:rsidP="002056D7">
      <w:pPr>
        <w:pStyle w:val="Ttulo1"/>
        <w:rPr>
          <w:sz w:val="26"/>
          <w:szCs w:val="26"/>
        </w:rPr>
      </w:pPr>
      <w:r w:rsidRPr="007D5372">
        <w:rPr>
          <w:sz w:val="26"/>
          <w:szCs w:val="26"/>
        </w:rPr>
        <w:lastRenderedPageBreak/>
        <w:t>INTRODUÇÃO</w:t>
      </w:r>
    </w:p>
    <w:p w:rsidR="00C575E7" w:rsidRPr="00C575E7" w:rsidRDefault="00C575E7" w:rsidP="00D30C61">
      <w:pPr>
        <w:pStyle w:val="TextosemFormatao"/>
        <w:ind w:firstLine="851"/>
        <w:jc w:val="both"/>
        <w:rPr>
          <w:rFonts w:ascii="Times New Roman" w:hAnsi="Times New Roman"/>
          <w:sz w:val="24"/>
          <w:szCs w:val="24"/>
        </w:rPr>
      </w:pPr>
      <w:r w:rsidRPr="00C575E7">
        <w:rPr>
          <w:rFonts w:ascii="Times New Roman" w:hAnsi="Times New Roman"/>
          <w:sz w:val="24"/>
          <w:szCs w:val="24"/>
        </w:rPr>
        <w:t xml:space="preserve">Dominadas pela Alemanha na época da guerra mundial, Wongtschowski (2011) afirma que, hoje, quem lidera o </w:t>
      </w:r>
      <w:r w:rsidRPr="00C575E7">
        <w:rPr>
          <w:rFonts w:ascii="Times New Roman" w:hAnsi="Times New Roman"/>
          <w:i/>
          <w:sz w:val="24"/>
          <w:szCs w:val="24"/>
        </w:rPr>
        <w:t>ranking</w:t>
      </w:r>
      <w:r w:rsidRPr="00C575E7">
        <w:rPr>
          <w:rFonts w:ascii="Times New Roman" w:hAnsi="Times New Roman"/>
          <w:sz w:val="24"/>
          <w:szCs w:val="24"/>
        </w:rPr>
        <w:t xml:space="preserve"> das indústrias Químicas são os Estados Unidos e, em seguida, o Japão como segundo lugar, posição que ocupa desde o século XX.</w:t>
      </w:r>
    </w:p>
    <w:p w:rsidR="00C575E7" w:rsidRPr="00C575E7" w:rsidRDefault="00C575E7" w:rsidP="00D30C61">
      <w:pPr>
        <w:pStyle w:val="TextosemFormatao"/>
        <w:ind w:firstLine="851"/>
        <w:jc w:val="both"/>
        <w:rPr>
          <w:rFonts w:ascii="Times New Roman" w:hAnsi="Times New Roman"/>
          <w:sz w:val="24"/>
          <w:szCs w:val="24"/>
        </w:rPr>
      </w:pPr>
      <w:r w:rsidRPr="00C575E7">
        <w:rPr>
          <w:rFonts w:ascii="Times New Roman" w:hAnsi="Times New Roman"/>
          <w:sz w:val="24"/>
          <w:szCs w:val="24"/>
        </w:rPr>
        <w:t>Torres (1997) explica que a indústria Petroquímica nasceu no ano de 1920, também nos Estados Unidos. Já a indústria Química foi criada depois da segunda guerra mundial, no qual foram se intensificando e se alastrando pela Europa e Japão.</w:t>
      </w:r>
    </w:p>
    <w:p w:rsidR="00C575E7" w:rsidRPr="00C575E7" w:rsidRDefault="00C575E7" w:rsidP="00D30C61">
      <w:pPr>
        <w:pStyle w:val="TextosemFormatao"/>
        <w:ind w:firstLine="851"/>
        <w:jc w:val="both"/>
        <w:rPr>
          <w:rFonts w:ascii="Times New Roman" w:hAnsi="Times New Roman"/>
          <w:sz w:val="24"/>
          <w:szCs w:val="24"/>
        </w:rPr>
      </w:pPr>
      <w:r w:rsidRPr="00C575E7">
        <w:rPr>
          <w:rFonts w:ascii="Times New Roman" w:hAnsi="Times New Roman"/>
          <w:sz w:val="24"/>
          <w:szCs w:val="24"/>
        </w:rPr>
        <w:t>Atuando no Brasil a partir do século XX, as indústrias Químicas e Petroquímicas são essenciais, tanto no ponto de vista econômico quanto no de desenvolvimento, até nos dias de hoje. Para Brasil (2016), a indústria Química encontra-se em todas as áreas econômicas no país, auxiliando-as na primordialidade de seus papeis, buscando melhorar diferentes produções dos seus próprios bens e serviços. Por isso, a indústria Química se torna diferenciada e indispensável para o Brasil.</w:t>
      </w:r>
    </w:p>
    <w:p w:rsidR="00C575E7" w:rsidRPr="00C575E7" w:rsidRDefault="00C575E7" w:rsidP="00D30C61">
      <w:pPr>
        <w:pStyle w:val="TextosemFormatao"/>
        <w:ind w:firstLine="851"/>
        <w:jc w:val="both"/>
        <w:rPr>
          <w:rFonts w:ascii="Times New Roman" w:hAnsi="Times New Roman"/>
          <w:sz w:val="24"/>
          <w:szCs w:val="24"/>
        </w:rPr>
      </w:pPr>
      <w:r w:rsidRPr="00C575E7">
        <w:rPr>
          <w:rFonts w:ascii="Times New Roman" w:hAnsi="Times New Roman"/>
          <w:sz w:val="24"/>
          <w:szCs w:val="24"/>
        </w:rPr>
        <w:t>Conforme Torres (1997) as indústrias Petroquímicas fazem parte das indústrias Químicas orgânicas e, se enquadram em fábricas de diversos setores, realizando diversos produtos utilizados no dia a dia e de outras indústrias, usufruídos pelos cidadãos. O autor diz que as indústrias Petroquímicas necessitam de uma alta tecnologia para facilitar o feitio de seus produtos e descobrir, economicamente, novos produtos.</w:t>
      </w:r>
    </w:p>
    <w:p w:rsidR="00C575E7" w:rsidRPr="00C575E7" w:rsidRDefault="00C575E7" w:rsidP="00D30C61">
      <w:pPr>
        <w:pStyle w:val="TextosemFormatao"/>
        <w:ind w:firstLine="851"/>
        <w:jc w:val="both"/>
        <w:rPr>
          <w:rFonts w:ascii="Times New Roman" w:hAnsi="Times New Roman"/>
          <w:sz w:val="24"/>
          <w:szCs w:val="24"/>
        </w:rPr>
      </w:pPr>
      <w:r w:rsidRPr="00C575E7">
        <w:rPr>
          <w:rFonts w:ascii="Times New Roman" w:hAnsi="Times New Roman"/>
          <w:sz w:val="24"/>
          <w:szCs w:val="24"/>
        </w:rPr>
        <w:t xml:space="preserve">Hoje, essas empresas geram riquezas não só para o Brasil, mas para o mundo inteiro, buscando sempre inovar e aumentar a qualificação de seus produtos e serviços, trazendo benefícios econômicos mundiais. </w:t>
      </w:r>
    </w:p>
    <w:p w:rsidR="00C575E7" w:rsidRPr="00C575E7" w:rsidRDefault="00C575E7" w:rsidP="00D30C61">
      <w:pPr>
        <w:pStyle w:val="TextosemFormatao"/>
        <w:ind w:firstLine="851"/>
        <w:jc w:val="both"/>
        <w:rPr>
          <w:rFonts w:ascii="Times New Roman" w:hAnsi="Times New Roman"/>
          <w:color w:val="FF0000"/>
          <w:sz w:val="24"/>
          <w:szCs w:val="24"/>
        </w:rPr>
      </w:pPr>
      <w:r w:rsidRPr="00C575E7">
        <w:rPr>
          <w:rFonts w:ascii="Times New Roman" w:hAnsi="Times New Roman"/>
          <w:sz w:val="24"/>
          <w:szCs w:val="24"/>
        </w:rPr>
        <w:t>Diante desse contexto, questiona-se: Qual a eficiência econômico-fincanceira das maiores empresas do mundo do setor Químico e Petroquímico sediadas no Brasil? O objetivo deste artigo é alcançar uma resposta a essa indagação e analisar a eficiência econômico-financeira das sedes das maiores empresas do mundo do setor Químico e Petroquímico no Brasil.</w:t>
      </w:r>
    </w:p>
    <w:p w:rsidR="00C575E7" w:rsidRPr="00C575E7" w:rsidRDefault="00C575E7" w:rsidP="00D30C61">
      <w:pPr>
        <w:pStyle w:val="TextosemFormatao"/>
        <w:ind w:firstLine="851"/>
        <w:jc w:val="both"/>
        <w:rPr>
          <w:rFonts w:ascii="Times New Roman" w:hAnsi="Times New Roman"/>
          <w:sz w:val="24"/>
          <w:szCs w:val="24"/>
        </w:rPr>
      </w:pPr>
      <w:r w:rsidRPr="00C575E7">
        <w:rPr>
          <w:rFonts w:ascii="Times New Roman" w:hAnsi="Times New Roman"/>
          <w:sz w:val="24"/>
          <w:szCs w:val="24"/>
        </w:rPr>
        <w:t>A importância desta pesquisa é verificar se referidas empresas estão sendo eficientes nos seus desempenhos sob seus aspectos de insumos (</w:t>
      </w:r>
      <w:r w:rsidRPr="00C575E7">
        <w:rPr>
          <w:rFonts w:ascii="Times New Roman" w:hAnsi="Times New Roman"/>
          <w:i/>
          <w:sz w:val="24"/>
          <w:szCs w:val="24"/>
        </w:rPr>
        <w:t>inputs</w:t>
      </w:r>
      <w:r w:rsidRPr="00C575E7">
        <w:rPr>
          <w:rFonts w:ascii="Times New Roman" w:hAnsi="Times New Roman"/>
          <w:sz w:val="24"/>
          <w:szCs w:val="24"/>
        </w:rPr>
        <w:t>)</w:t>
      </w:r>
      <w:r w:rsidRPr="00C575E7">
        <w:rPr>
          <w:rFonts w:ascii="Times New Roman" w:hAnsi="Times New Roman"/>
          <w:i/>
          <w:sz w:val="24"/>
          <w:szCs w:val="24"/>
        </w:rPr>
        <w:t xml:space="preserve"> </w:t>
      </w:r>
      <w:r w:rsidRPr="00C575E7">
        <w:rPr>
          <w:rFonts w:ascii="Times New Roman" w:hAnsi="Times New Roman"/>
          <w:sz w:val="24"/>
          <w:szCs w:val="24"/>
        </w:rPr>
        <w:t>e consumos (</w:t>
      </w:r>
      <w:r w:rsidRPr="00C575E7">
        <w:rPr>
          <w:rFonts w:ascii="Times New Roman" w:hAnsi="Times New Roman"/>
          <w:i/>
          <w:sz w:val="24"/>
          <w:szCs w:val="24"/>
        </w:rPr>
        <w:t>outputs</w:t>
      </w:r>
      <w:r w:rsidRPr="00C575E7">
        <w:rPr>
          <w:rFonts w:ascii="Times New Roman" w:hAnsi="Times New Roman"/>
          <w:sz w:val="24"/>
          <w:szCs w:val="24"/>
        </w:rPr>
        <w:t>), por meio de análise envoltória de dados. Além disso, para Macedo, Casa Nova e Almeida (2007) este método irá propor soluções para as empresas ineficientes, ajudando-as, assim, a tomarem decisões para um melhor resultado.</w:t>
      </w:r>
    </w:p>
    <w:p w:rsidR="00C575E7" w:rsidRPr="00C575E7" w:rsidRDefault="00C575E7" w:rsidP="00D30C61">
      <w:pPr>
        <w:pStyle w:val="TextosemFormatao"/>
        <w:ind w:firstLine="851"/>
        <w:jc w:val="both"/>
        <w:rPr>
          <w:rFonts w:ascii="Times New Roman" w:hAnsi="Times New Roman"/>
          <w:sz w:val="24"/>
          <w:szCs w:val="24"/>
        </w:rPr>
      </w:pPr>
      <w:r w:rsidRPr="00C575E7">
        <w:rPr>
          <w:rFonts w:ascii="Times New Roman" w:hAnsi="Times New Roman"/>
          <w:sz w:val="24"/>
          <w:szCs w:val="24"/>
        </w:rPr>
        <w:t>O artigo está organizado em: primeiro, uma introdução referindo-se aos pontos mais relevantes da pesquisa; em seguida, o referencial teórico que trará as indústrias Químicas e Petroquímicas, os indicadores econômico-financeiros, e o método análise envoltória de dados diante da visão da literatura; depois, a metodologia utilizada para o estudo da amostra selecionada; como foco do trabalho, a análise dos dados obtidos e a conclusão sobre o resultado; e por fim, as referências bibliográficas que dão suporte ao artigo.</w:t>
      </w:r>
    </w:p>
    <w:p w:rsidR="002826C0" w:rsidRPr="002826C0" w:rsidRDefault="002826C0" w:rsidP="00D30C61">
      <w:pPr>
        <w:rPr>
          <w:sz w:val="26"/>
          <w:szCs w:val="26"/>
        </w:rPr>
      </w:pPr>
    </w:p>
    <w:p w:rsidR="00E24E18" w:rsidRPr="00AA3FF4" w:rsidRDefault="00E24E18" w:rsidP="007D5372">
      <w:pPr>
        <w:pStyle w:val="Ttulo1"/>
        <w:spacing w:before="0" w:after="0" w:line="360" w:lineRule="auto"/>
        <w:ind w:left="432" w:hanging="432"/>
        <w:rPr>
          <w:sz w:val="26"/>
          <w:szCs w:val="26"/>
        </w:rPr>
      </w:pPr>
      <w:r w:rsidRPr="00AA3FF4">
        <w:rPr>
          <w:sz w:val="26"/>
          <w:szCs w:val="26"/>
        </w:rPr>
        <w:lastRenderedPageBreak/>
        <w:t>METODOLOGIA DA PESQUISA</w:t>
      </w:r>
    </w:p>
    <w:p w:rsidR="00C575E7" w:rsidRPr="00C575E7" w:rsidRDefault="00C575E7" w:rsidP="00D30C61">
      <w:pPr>
        <w:pStyle w:val="TextosemFormatao"/>
        <w:ind w:firstLine="851"/>
        <w:jc w:val="both"/>
        <w:rPr>
          <w:rFonts w:ascii="Times New Roman" w:hAnsi="Times New Roman"/>
          <w:sz w:val="24"/>
          <w:szCs w:val="24"/>
        </w:rPr>
      </w:pPr>
      <w:r w:rsidRPr="00C575E7">
        <w:rPr>
          <w:rStyle w:val="CorpodetextoChar"/>
          <w:rFonts w:ascii="Times New Roman" w:hAnsi="Times New Roman"/>
          <w:szCs w:val="24"/>
        </w:rPr>
        <w:t>O estudo fundamenta-se no método estatístico análise envoltória de dados, que segundo Onusic, Casa Nova e Almeida (2007) tem o benefício de analisar a eficácia de variáveis que fazem parte de uma determinada</w:t>
      </w:r>
      <w:r w:rsidRPr="00C575E7">
        <w:rPr>
          <w:rFonts w:ascii="Times New Roman" w:hAnsi="Times New Roman"/>
          <w:sz w:val="24"/>
          <w:szCs w:val="24"/>
        </w:rPr>
        <w:t xml:space="preserve"> amostra com um entendimento claro. No estudo, este método consiste em estudar as 15 (quinze) sedes no Brasil das maiores empresas do mundo, do setor Químico e Petroquímico do ano de 2014 e, conforme Mello et al (2003), classificá-las em DMUs </w:t>
      </w:r>
      <w:r w:rsidRPr="00C575E7">
        <w:rPr>
          <w:rStyle w:val="CorpodetextoChar"/>
          <w:rFonts w:ascii="Times New Roman" w:hAnsi="Times New Roman"/>
          <w:szCs w:val="24"/>
        </w:rPr>
        <w:t>(</w:t>
      </w:r>
      <w:r w:rsidRPr="00C575E7">
        <w:rPr>
          <w:rStyle w:val="CorpodetextoChar"/>
          <w:rFonts w:ascii="Times New Roman" w:hAnsi="Times New Roman"/>
          <w:i/>
          <w:szCs w:val="24"/>
        </w:rPr>
        <w:t>Decision Making Unit</w:t>
      </w:r>
      <w:r w:rsidRPr="00C575E7">
        <w:rPr>
          <w:rStyle w:val="CorpodetextoChar"/>
          <w:rFonts w:ascii="Times New Roman" w:hAnsi="Times New Roman"/>
          <w:szCs w:val="24"/>
        </w:rPr>
        <w:t xml:space="preserve">) </w:t>
      </w:r>
      <w:r w:rsidRPr="00C575E7">
        <w:rPr>
          <w:rFonts w:ascii="Times New Roman" w:hAnsi="Times New Roman"/>
          <w:sz w:val="24"/>
          <w:szCs w:val="24"/>
        </w:rPr>
        <w:t>e analisar a eficiência de cada uma.</w:t>
      </w:r>
    </w:p>
    <w:p w:rsidR="00C575E7" w:rsidRPr="00C575E7" w:rsidRDefault="00C575E7" w:rsidP="00D30C61">
      <w:pPr>
        <w:pStyle w:val="TextosemFormatao"/>
        <w:ind w:firstLine="851"/>
        <w:jc w:val="both"/>
        <w:rPr>
          <w:rFonts w:ascii="Times New Roman" w:hAnsi="Times New Roman"/>
          <w:sz w:val="24"/>
          <w:szCs w:val="24"/>
        </w:rPr>
      </w:pPr>
      <w:r w:rsidRPr="00C575E7">
        <w:rPr>
          <w:rFonts w:ascii="Times New Roman" w:hAnsi="Times New Roman"/>
          <w:sz w:val="24"/>
          <w:szCs w:val="24"/>
        </w:rPr>
        <w:t xml:space="preserve">Identifica-se a pesquisa como descritiva, que conforme Dalfovo, Lana e Silveira (2008) tem o objetivo de apurar dados, fazer um estudo sobre eles e analisá-los de forma a descrever um fato. A abordagem do estudo, segundo Dalfovo, Lana e Silveira (2008), caracteriza-se como quantitativa, na qual a pesquisa se baseia em números, utilizando métodos estatísticos para estudá-los. </w:t>
      </w:r>
    </w:p>
    <w:p w:rsidR="00C575E7" w:rsidRPr="00C575E7" w:rsidRDefault="00C575E7" w:rsidP="00D30C61">
      <w:pPr>
        <w:pStyle w:val="TextosemFormatao"/>
        <w:ind w:firstLine="851"/>
        <w:jc w:val="both"/>
        <w:rPr>
          <w:rFonts w:ascii="Times New Roman" w:hAnsi="Times New Roman"/>
          <w:color w:val="FF0000"/>
          <w:sz w:val="24"/>
          <w:szCs w:val="24"/>
        </w:rPr>
      </w:pPr>
      <w:r w:rsidRPr="00C575E7">
        <w:rPr>
          <w:rFonts w:ascii="Times New Roman" w:hAnsi="Times New Roman"/>
          <w:sz w:val="24"/>
          <w:szCs w:val="24"/>
        </w:rPr>
        <w:t xml:space="preserve">Quanto à fonte de pesquisa caracteriza-se como dados secundários, colhidos na </w:t>
      </w:r>
      <w:r w:rsidRPr="00C575E7">
        <w:rPr>
          <w:rFonts w:ascii="Times New Roman" w:hAnsi="Times New Roman"/>
          <w:i/>
          <w:sz w:val="24"/>
          <w:szCs w:val="24"/>
        </w:rPr>
        <w:t>homepage</w:t>
      </w:r>
      <w:r w:rsidRPr="00C575E7">
        <w:rPr>
          <w:rFonts w:ascii="Times New Roman" w:hAnsi="Times New Roman"/>
          <w:sz w:val="24"/>
          <w:szCs w:val="24"/>
        </w:rPr>
        <w:t xml:space="preserve"> da revista Exame – Melhores e Maiores - da edição de 2015. São dados das 15 (quinze) sedes das maiores empresas do setor Químico e Petroquímico do mundo no Brasil, do ano de 2014, porém publicados no ano de 2015.</w:t>
      </w:r>
    </w:p>
    <w:p w:rsidR="00C575E7" w:rsidRPr="00C575E7" w:rsidRDefault="00C575E7" w:rsidP="00D30C61">
      <w:pPr>
        <w:pStyle w:val="TextosemFormatao"/>
        <w:ind w:firstLine="851"/>
        <w:jc w:val="both"/>
        <w:rPr>
          <w:rFonts w:ascii="Times New Roman" w:hAnsi="Times New Roman"/>
          <w:sz w:val="24"/>
          <w:szCs w:val="24"/>
        </w:rPr>
      </w:pPr>
      <w:r w:rsidRPr="00C575E7">
        <w:rPr>
          <w:rFonts w:ascii="Times New Roman" w:hAnsi="Times New Roman"/>
          <w:sz w:val="24"/>
          <w:szCs w:val="24"/>
        </w:rPr>
        <w:t xml:space="preserve">A amostra pesquisada foi feita conforme os dados apurados, pela revista Exame, de cada empresa Química e Petroquímica – classificadas em DMUs - analisando os seus indicadores, que conforme Meza et al (2003) serão comparados e diferenciados em </w:t>
      </w:r>
      <w:r w:rsidRPr="00C575E7">
        <w:rPr>
          <w:rFonts w:ascii="Times New Roman" w:hAnsi="Times New Roman"/>
          <w:i/>
          <w:sz w:val="24"/>
          <w:szCs w:val="24"/>
        </w:rPr>
        <w:t>inputs</w:t>
      </w:r>
      <w:r w:rsidRPr="00C575E7">
        <w:rPr>
          <w:rFonts w:ascii="Times New Roman" w:hAnsi="Times New Roman"/>
          <w:sz w:val="24"/>
          <w:szCs w:val="24"/>
        </w:rPr>
        <w:t xml:space="preserve"> no qual são os indicadores que consomem e </w:t>
      </w:r>
      <w:r w:rsidRPr="00C575E7">
        <w:rPr>
          <w:rFonts w:ascii="Times New Roman" w:hAnsi="Times New Roman"/>
          <w:i/>
          <w:sz w:val="24"/>
          <w:szCs w:val="24"/>
        </w:rPr>
        <w:t>outputs</w:t>
      </w:r>
      <w:r w:rsidRPr="00C575E7">
        <w:rPr>
          <w:rFonts w:ascii="Times New Roman" w:hAnsi="Times New Roman"/>
          <w:sz w:val="24"/>
          <w:szCs w:val="24"/>
        </w:rPr>
        <w:t xml:space="preserve"> que são aqueles que produzem.</w:t>
      </w:r>
    </w:p>
    <w:p w:rsidR="00C575E7" w:rsidRDefault="00C11A88" w:rsidP="00D30C61">
      <w:pPr>
        <w:pStyle w:val="TextosemFormatao"/>
        <w:ind w:firstLine="851"/>
        <w:jc w:val="both"/>
        <w:rPr>
          <w:rFonts w:ascii="Times New Roman" w:hAnsi="Times New Roman"/>
          <w:sz w:val="24"/>
          <w:szCs w:val="24"/>
        </w:rPr>
      </w:pPr>
      <w:r>
        <w:rPr>
          <w:rFonts w:ascii="Times New Roman" w:hAnsi="Times New Roman"/>
          <w:sz w:val="24"/>
          <w:szCs w:val="24"/>
        </w:rPr>
        <w:t>A Tabela</w:t>
      </w:r>
      <w:r w:rsidR="0069442F">
        <w:rPr>
          <w:rFonts w:ascii="Times New Roman" w:hAnsi="Times New Roman"/>
          <w:sz w:val="24"/>
          <w:szCs w:val="24"/>
        </w:rPr>
        <w:t xml:space="preserve"> </w:t>
      </w:r>
      <w:r w:rsidR="00C575E7" w:rsidRPr="00C575E7">
        <w:rPr>
          <w:rFonts w:ascii="Times New Roman" w:hAnsi="Times New Roman"/>
          <w:sz w:val="24"/>
          <w:szCs w:val="24"/>
        </w:rPr>
        <w:t>1 informa os autores que já usaram esses indicadores e as variáveis estudadas e já classificadas dessas empresas, que são: giro sobre os ativos, número de empregados, lucro líquido, vendas líquidas, patrimônio líquido ajustado e margem das vendas.</w:t>
      </w:r>
    </w:p>
    <w:p w:rsidR="00D30C61" w:rsidRDefault="00D30C61" w:rsidP="00D30C61">
      <w:pPr>
        <w:pStyle w:val="TextosemFormatao"/>
        <w:ind w:firstLine="851"/>
        <w:jc w:val="both"/>
        <w:rPr>
          <w:rFonts w:ascii="Times New Roman" w:hAnsi="Times New Roman"/>
          <w:sz w:val="24"/>
          <w:szCs w:val="24"/>
        </w:rPr>
      </w:pPr>
    </w:p>
    <w:p w:rsidR="00C575E7" w:rsidRDefault="00C11A88" w:rsidP="007E60F7">
      <w:pPr>
        <w:pStyle w:val="TextosemFormatao"/>
        <w:ind w:firstLine="851"/>
        <w:jc w:val="center"/>
        <w:rPr>
          <w:rFonts w:ascii="Times New Roman" w:hAnsi="Times New Roman"/>
        </w:rPr>
      </w:pPr>
      <w:r>
        <w:rPr>
          <w:rFonts w:ascii="Times New Roman" w:hAnsi="Times New Roman"/>
        </w:rPr>
        <w:t>Tabela</w:t>
      </w:r>
      <w:r w:rsidR="0069442F">
        <w:rPr>
          <w:rFonts w:ascii="Times New Roman" w:hAnsi="Times New Roman"/>
        </w:rPr>
        <w:t xml:space="preserve"> </w:t>
      </w:r>
      <w:r w:rsidR="00C575E7" w:rsidRPr="00CB7883">
        <w:rPr>
          <w:rFonts w:ascii="Times New Roman" w:hAnsi="Times New Roman"/>
        </w:rPr>
        <w:t xml:space="preserve">1 – </w:t>
      </w:r>
      <w:r w:rsidR="00C575E7">
        <w:rPr>
          <w:rFonts w:ascii="Times New Roman" w:hAnsi="Times New Roman"/>
        </w:rPr>
        <w:t>V</w:t>
      </w:r>
      <w:r w:rsidR="00C575E7" w:rsidRPr="00CB7883">
        <w:rPr>
          <w:rFonts w:ascii="Times New Roman" w:hAnsi="Times New Roman"/>
        </w:rPr>
        <w:t xml:space="preserve">ariáveis </w:t>
      </w:r>
      <w:r w:rsidR="00C575E7">
        <w:rPr>
          <w:rFonts w:ascii="Times New Roman" w:hAnsi="Times New Roman"/>
        </w:rPr>
        <w:t>S</w:t>
      </w:r>
      <w:r w:rsidR="00C575E7" w:rsidRPr="00CB7883">
        <w:rPr>
          <w:rFonts w:ascii="Times New Roman" w:hAnsi="Times New Roman"/>
        </w:rPr>
        <w:t>elecionadas</w:t>
      </w:r>
    </w:p>
    <w:tbl>
      <w:tblPr>
        <w:tblW w:w="9445" w:type="dxa"/>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973"/>
        <w:gridCol w:w="4851"/>
        <w:gridCol w:w="2621"/>
      </w:tblGrid>
      <w:tr w:rsidR="00633934" w:rsidRPr="00D87EAA" w:rsidTr="00795577">
        <w:trPr>
          <w:trHeight w:val="57"/>
          <w:jc w:val="center"/>
        </w:trPr>
        <w:tc>
          <w:tcPr>
            <w:tcW w:w="1973" w:type="dxa"/>
          </w:tcPr>
          <w:p w:rsidR="00C575E7" w:rsidRPr="00C575E7" w:rsidRDefault="00C575E7" w:rsidP="00633934">
            <w:pPr>
              <w:ind w:firstLine="0"/>
              <w:jc w:val="center"/>
              <w:rPr>
                <w:sz w:val="20"/>
              </w:rPr>
            </w:pPr>
            <w:r w:rsidRPr="00C575E7">
              <w:rPr>
                <w:sz w:val="20"/>
              </w:rPr>
              <w:t>Variáveis</w:t>
            </w:r>
          </w:p>
        </w:tc>
        <w:tc>
          <w:tcPr>
            <w:tcW w:w="4851" w:type="dxa"/>
          </w:tcPr>
          <w:p w:rsidR="00C575E7" w:rsidRPr="00C575E7" w:rsidRDefault="00C575E7" w:rsidP="00633934">
            <w:pPr>
              <w:jc w:val="center"/>
              <w:rPr>
                <w:sz w:val="20"/>
              </w:rPr>
            </w:pPr>
            <w:r w:rsidRPr="00C575E7">
              <w:rPr>
                <w:sz w:val="20"/>
              </w:rPr>
              <w:t>Conceitos</w:t>
            </w:r>
          </w:p>
        </w:tc>
        <w:tc>
          <w:tcPr>
            <w:tcW w:w="2621" w:type="dxa"/>
          </w:tcPr>
          <w:p w:rsidR="00C575E7" w:rsidRPr="00C575E7" w:rsidRDefault="00C575E7" w:rsidP="00633934">
            <w:pPr>
              <w:ind w:firstLine="0"/>
              <w:jc w:val="center"/>
              <w:rPr>
                <w:sz w:val="20"/>
              </w:rPr>
            </w:pPr>
            <w:r w:rsidRPr="00C575E7">
              <w:rPr>
                <w:sz w:val="20"/>
              </w:rPr>
              <w:t>Autores</w:t>
            </w:r>
          </w:p>
        </w:tc>
      </w:tr>
      <w:tr w:rsidR="00633934" w:rsidTr="00795577">
        <w:trPr>
          <w:trHeight w:val="57"/>
          <w:jc w:val="center"/>
        </w:trPr>
        <w:tc>
          <w:tcPr>
            <w:tcW w:w="1973" w:type="dxa"/>
          </w:tcPr>
          <w:p w:rsidR="00C575E7" w:rsidRPr="00C575E7" w:rsidRDefault="00C575E7" w:rsidP="00633934">
            <w:pPr>
              <w:ind w:firstLine="0"/>
              <w:jc w:val="center"/>
              <w:rPr>
                <w:sz w:val="20"/>
              </w:rPr>
            </w:pPr>
            <w:r w:rsidRPr="00C575E7">
              <w:rPr>
                <w:sz w:val="20"/>
              </w:rPr>
              <w:t>Giro sobre Ativos (</w:t>
            </w:r>
            <w:r w:rsidRPr="00C575E7">
              <w:rPr>
                <w:i/>
                <w:sz w:val="20"/>
              </w:rPr>
              <w:t>input</w:t>
            </w:r>
            <w:r w:rsidRPr="00C575E7">
              <w:rPr>
                <w:sz w:val="20"/>
              </w:rPr>
              <w:t xml:space="preserve"> 1)</w:t>
            </w:r>
          </w:p>
        </w:tc>
        <w:tc>
          <w:tcPr>
            <w:tcW w:w="4851" w:type="dxa"/>
          </w:tcPr>
          <w:p w:rsidR="00C575E7" w:rsidRPr="00C575E7" w:rsidRDefault="00C575E7" w:rsidP="005324D7">
            <w:pPr>
              <w:ind w:firstLine="0"/>
              <w:jc w:val="left"/>
              <w:rPr>
                <w:sz w:val="20"/>
              </w:rPr>
            </w:pPr>
            <w:r w:rsidRPr="00C575E7">
              <w:rPr>
                <w:sz w:val="20"/>
              </w:rPr>
              <w:t>Para Marion (2002) giro do ativo é a eficiência sobre os ativos usados na empresa para conseguir mais vendas, ou seja, a geração da eficiência nos ativos será o aumento das vendas.</w:t>
            </w:r>
          </w:p>
        </w:tc>
        <w:tc>
          <w:tcPr>
            <w:tcW w:w="2621" w:type="dxa"/>
          </w:tcPr>
          <w:p w:rsidR="00C575E7" w:rsidRPr="00C575E7" w:rsidRDefault="00C575E7" w:rsidP="0069442F">
            <w:pPr>
              <w:ind w:firstLine="0"/>
              <w:jc w:val="center"/>
              <w:rPr>
                <w:sz w:val="20"/>
              </w:rPr>
            </w:pPr>
            <w:r w:rsidRPr="00C575E7">
              <w:rPr>
                <w:sz w:val="20"/>
              </w:rPr>
              <w:t>Silva, Santos e Macedo (2015)</w:t>
            </w:r>
          </w:p>
        </w:tc>
      </w:tr>
      <w:tr w:rsidR="00633934" w:rsidTr="00795577">
        <w:trPr>
          <w:trHeight w:val="57"/>
          <w:jc w:val="center"/>
        </w:trPr>
        <w:tc>
          <w:tcPr>
            <w:tcW w:w="1973" w:type="dxa"/>
          </w:tcPr>
          <w:p w:rsidR="00C575E7" w:rsidRPr="00C575E7" w:rsidRDefault="00C575E7" w:rsidP="00633934">
            <w:pPr>
              <w:ind w:firstLine="0"/>
              <w:jc w:val="center"/>
              <w:rPr>
                <w:sz w:val="20"/>
              </w:rPr>
            </w:pPr>
            <w:r w:rsidRPr="00C575E7">
              <w:rPr>
                <w:sz w:val="20"/>
              </w:rPr>
              <w:t>Vendas Líquidas (</w:t>
            </w:r>
            <w:r w:rsidRPr="00C575E7">
              <w:rPr>
                <w:i/>
                <w:sz w:val="20"/>
              </w:rPr>
              <w:t xml:space="preserve">output </w:t>
            </w:r>
            <w:r w:rsidRPr="00C575E7">
              <w:rPr>
                <w:sz w:val="20"/>
              </w:rPr>
              <w:t>1</w:t>
            </w:r>
            <w:r w:rsidRPr="00C575E7">
              <w:rPr>
                <w:i/>
                <w:sz w:val="20"/>
              </w:rPr>
              <w:t>)</w:t>
            </w:r>
          </w:p>
        </w:tc>
        <w:tc>
          <w:tcPr>
            <w:tcW w:w="4851" w:type="dxa"/>
          </w:tcPr>
          <w:p w:rsidR="00C575E7" w:rsidRPr="00C575E7" w:rsidRDefault="00C575E7" w:rsidP="0069442F">
            <w:pPr>
              <w:ind w:firstLine="0"/>
              <w:rPr>
                <w:sz w:val="20"/>
              </w:rPr>
            </w:pPr>
            <w:r w:rsidRPr="00C575E7">
              <w:rPr>
                <w:sz w:val="20"/>
              </w:rPr>
              <w:t>Iudícibus et al. (2010) explica</w:t>
            </w:r>
            <w:r w:rsidR="0069442F">
              <w:rPr>
                <w:sz w:val="20"/>
              </w:rPr>
              <w:t xml:space="preserve">m que vendas líquidas são </w:t>
            </w:r>
            <w:r w:rsidR="0069442F" w:rsidRPr="00C575E7">
              <w:rPr>
                <w:sz w:val="20"/>
              </w:rPr>
              <w:t>vendas</w:t>
            </w:r>
            <w:r w:rsidRPr="00C575E7">
              <w:rPr>
                <w:sz w:val="20"/>
              </w:rPr>
              <w:t xml:space="preserve"> brutas diminuídas das vendas canceladas, abatimentos e impostos sobre essas. Na revista Exame – Melhores e Maiores, </w:t>
            </w:r>
            <w:r w:rsidRPr="00C575E7">
              <w:rPr>
                <w:sz w:val="20"/>
                <w:lang w:eastAsia="en-US"/>
              </w:rPr>
              <w:t>as vendas líquidas foram apuradas com base nas vendas líquidas em reais, atualizadas para a moeda com poder aquisitivo de 31 de dezembro de 2014, convertidas pela taxa de dólar do Banco Central do fim de abril de 2015, que era de 2,9936 reais.</w:t>
            </w:r>
          </w:p>
        </w:tc>
        <w:tc>
          <w:tcPr>
            <w:tcW w:w="2621" w:type="dxa"/>
          </w:tcPr>
          <w:p w:rsidR="00C575E7" w:rsidRPr="00C575E7" w:rsidRDefault="00C575E7" w:rsidP="0069442F">
            <w:pPr>
              <w:pStyle w:val="Corpodetexto"/>
              <w:ind w:firstLine="0"/>
              <w:jc w:val="center"/>
              <w:rPr>
                <w:sz w:val="20"/>
              </w:rPr>
            </w:pPr>
            <w:r w:rsidRPr="00C575E7">
              <w:rPr>
                <w:sz w:val="20"/>
              </w:rPr>
              <w:t>Rebelo, Matias e Carrasco (2013)</w:t>
            </w:r>
          </w:p>
          <w:p w:rsidR="00C575E7" w:rsidRPr="00C575E7" w:rsidRDefault="00C575E7" w:rsidP="00633934">
            <w:pPr>
              <w:spacing w:line="360" w:lineRule="auto"/>
              <w:ind w:firstLine="0"/>
              <w:jc w:val="left"/>
              <w:rPr>
                <w:sz w:val="20"/>
              </w:rPr>
            </w:pPr>
          </w:p>
        </w:tc>
      </w:tr>
      <w:tr w:rsidR="00633934" w:rsidTr="00795577">
        <w:trPr>
          <w:trHeight w:val="57"/>
          <w:jc w:val="center"/>
        </w:trPr>
        <w:tc>
          <w:tcPr>
            <w:tcW w:w="1973" w:type="dxa"/>
          </w:tcPr>
          <w:p w:rsidR="00C575E7" w:rsidRPr="00C575E7" w:rsidRDefault="00C575E7" w:rsidP="00633934">
            <w:pPr>
              <w:ind w:firstLine="0"/>
              <w:jc w:val="center"/>
              <w:rPr>
                <w:sz w:val="20"/>
              </w:rPr>
            </w:pPr>
            <w:r w:rsidRPr="00C575E7">
              <w:rPr>
                <w:sz w:val="20"/>
              </w:rPr>
              <w:t>Patrimônio Líquido Ajustado (</w:t>
            </w:r>
            <w:r w:rsidRPr="00C575E7">
              <w:rPr>
                <w:i/>
                <w:sz w:val="20"/>
              </w:rPr>
              <w:t>output</w:t>
            </w:r>
            <w:r w:rsidRPr="00C575E7">
              <w:rPr>
                <w:sz w:val="20"/>
              </w:rPr>
              <w:t xml:space="preserve"> 2)</w:t>
            </w:r>
          </w:p>
        </w:tc>
        <w:tc>
          <w:tcPr>
            <w:tcW w:w="4851" w:type="dxa"/>
          </w:tcPr>
          <w:p w:rsidR="00C575E7" w:rsidRPr="00C575E7" w:rsidRDefault="00C575E7" w:rsidP="0069442F">
            <w:pPr>
              <w:ind w:firstLine="0"/>
              <w:rPr>
                <w:sz w:val="20"/>
              </w:rPr>
            </w:pPr>
            <w:r w:rsidRPr="00C575E7">
              <w:rPr>
                <w:sz w:val="20"/>
              </w:rPr>
              <w:t xml:space="preserve">O patrimônio líquido, conforme Marion (2007) é o ativo menos o passivo exigível, constituído, segundo a lei 11638/07 por capital social, reserva de capital, ajustes de </w:t>
            </w:r>
            <w:r w:rsidRPr="00C575E7">
              <w:rPr>
                <w:sz w:val="20"/>
              </w:rPr>
              <w:lastRenderedPageBreak/>
              <w:t>avaliação patrimonial, reserva de lucros, ações em tesouraria e prejuízos acumulados. Na revista Exame – Melhores e Maiores, o patrimônio líquido ajustado é o que corresponde o conceito dele, porém atualizado pela inflação. As empresas que não divulgaram, foram calculados pela própria revista, incluindo os impostos.</w:t>
            </w:r>
          </w:p>
        </w:tc>
        <w:tc>
          <w:tcPr>
            <w:tcW w:w="2621" w:type="dxa"/>
          </w:tcPr>
          <w:p w:rsidR="00C575E7" w:rsidRDefault="00C575E7" w:rsidP="0069442F">
            <w:pPr>
              <w:ind w:firstLine="0"/>
              <w:jc w:val="center"/>
              <w:rPr>
                <w:sz w:val="20"/>
              </w:rPr>
            </w:pPr>
            <w:r w:rsidRPr="00C575E7">
              <w:rPr>
                <w:sz w:val="20"/>
              </w:rPr>
              <w:lastRenderedPageBreak/>
              <w:t>Périco, Rebelatto e Santana (2008)</w:t>
            </w:r>
          </w:p>
          <w:p w:rsidR="00A4455A" w:rsidRPr="00A4455A" w:rsidRDefault="00A4455A" w:rsidP="00A4455A">
            <w:pPr>
              <w:ind w:firstLine="0"/>
              <w:jc w:val="right"/>
              <w:rPr>
                <w:sz w:val="16"/>
                <w:szCs w:val="16"/>
              </w:rPr>
            </w:pPr>
            <w:r w:rsidRPr="00A4455A">
              <w:rPr>
                <w:sz w:val="16"/>
                <w:szCs w:val="16"/>
              </w:rPr>
              <w:t>Continua</w:t>
            </w:r>
          </w:p>
        </w:tc>
      </w:tr>
      <w:tr w:rsidR="00633934" w:rsidTr="00795577">
        <w:trPr>
          <w:trHeight w:val="57"/>
          <w:jc w:val="center"/>
        </w:trPr>
        <w:tc>
          <w:tcPr>
            <w:tcW w:w="1973" w:type="dxa"/>
          </w:tcPr>
          <w:p w:rsidR="00C575E7" w:rsidRPr="00C575E7" w:rsidRDefault="00C575E7" w:rsidP="00633934">
            <w:pPr>
              <w:ind w:firstLine="0"/>
              <w:jc w:val="center"/>
              <w:rPr>
                <w:sz w:val="20"/>
              </w:rPr>
            </w:pPr>
            <w:r w:rsidRPr="00C575E7">
              <w:rPr>
                <w:sz w:val="20"/>
              </w:rPr>
              <w:t>Lucro Líquido Ajustado (</w:t>
            </w:r>
            <w:r w:rsidRPr="00C575E7">
              <w:rPr>
                <w:i/>
                <w:sz w:val="20"/>
              </w:rPr>
              <w:t>output</w:t>
            </w:r>
            <w:r w:rsidRPr="00C575E7">
              <w:rPr>
                <w:sz w:val="20"/>
              </w:rPr>
              <w:t xml:space="preserve"> 3)</w:t>
            </w:r>
          </w:p>
        </w:tc>
        <w:tc>
          <w:tcPr>
            <w:tcW w:w="4851" w:type="dxa"/>
          </w:tcPr>
          <w:p w:rsidR="00C575E7" w:rsidRPr="00C575E7" w:rsidRDefault="00C575E7" w:rsidP="0069442F">
            <w:pPr>
              <w:ind w:firstLine="0"/>
              <w:rPr>
                <w:sz w:val="20"/>
              </w:rPr>
            </w:pPr>
            <w:r w:rsidRPr="00C575E7">
              <w:rPr>
                <w:sz w:val="20"/>
              </w:rPr>
              <w:t>Marion (2007) cita que o lucro líquido é o resultado das deduções, previstas no estatuto, do “lucro depois do imposto de renda”, que fica à disposição dos sócios e acionistas. Na revista Exame, esse lucro líquido ajustado é calculado conforme a inflação nas demonstrações das respectivas empresas. Algumas dessas empresas, mesmo sem exigência legal, calcularam e divulgaram esses efeitos mediante demonstrações complementares, notas explicativas ou resposta ao questionário elaborado pela equipe de pesquisa da Melhores e Maiores 2015 da revista Exame. Para as empresas que não fizeram tal divulgação, os efeitos foram calculados. Nesse valor obtido, estão ajustados os juros sobre o capital próprio, eventualmente considerado como despesas financeiras.</w:t>
            </w:r>
          </w:p>
        </w:tc>
        <w:tc>
          <w:tcPr>
            <w:tcW w:w="2621" w:type="dxa"/>
          </w:tcPr>
          <w:p w:rsidR="00C575E7" w:rsidRPr="00C575E7" w:rsidRDefault="00C575E7" w:rsidP="00633934">
            <w:pPr>
              <w:ind w:firstLine="0"/>
              <w:jc w:val="center"/>
              <w:rPr>
                <w:sz w:val="20"/>
              </w:rPr>
            </w:pPr>
            <w:r w:rsidRPr="00C575E7">
              <w:rPr>
                <w:sz w:val="20"/>
              </w:rPr>
              <w:t>Macedo e Almeida (2009)</w:t>
            </w:r>
          </w:p>
        </w:tc>
      </w:tr>
      <w:tr w:rsidR="00633934" w:rsidTr="00795577">
        <w:trPr>
          <w:trHeight w:val="567"/>
          <w:jc w:val="center"/>
        </w:trPr>
        <w:tc>
          <w:tcPr>
            <w:tcW w:w="1973" w:type="dxa"/>
          </w:tcPr>
          <w:p w:rsidR="00C575E7" w:rsidRPr="00C575E7" w:rsidRDefault="00C575E7" w:rsidP="00633934">
            <w:pPr>
              <w:ind w:firstLine="0"/>
              <w:jc w:val="center"/>
              <w:rPr>
                <w:sz w:val="20"/>
              </w:rPr>
            </w:pPr>
            <w:r w:rsidRPr="00C575E7">
              <w:rPr>
                <w:sz w:val="20"/>
              </w:rPr>
              <w:t>Margem de Vendas (</w:t>
            </w:r>
            <w:r w:rsidRPr="00C575E7">
              <w:rPr>
                <w:i/>
                <w:sz w:val="20"/>
              </w:rPr>
              <w:t>output</w:t>
            </w:r>
            <w:r w:rsidRPr="00C575E7">
              <w:rPr>
                <w:sz w:val="20"/>
              </w:rPr>
              <w:t xml:space="preserve"> 4)</w:t>
            </w:r>
          </w:p>
        </w:tc>
        <w:tc>
          <w:tcPr>
            <w:tcW w:w="4851" w:type="dxa"/>
          </w:tcPr>
          <w:p w:rsidR="00C575E7" w:rsidRPr="00C575E7" w:rsidRDefault="00C575E7" w:rsidP="0069442F">
            <w:pPr>
              <w:ind w:firstLine="0"/>
              <w:rPr>
                <w:sz w:val="20"/>
              </w:rPr>
            </w:pPr>
            <w:r w:rsidRPr="00C575E7">
              <w:rPr>
                <w:sz w:val="20"/>
              </w:rPr>
              <w:t>Para Marion (2007) é a divisão do lucro líquido sobre as vendas, indicando que maior o preço, mais ganho nas vendas</w:t>
            </w:r>
            <w:r w:rsidR="007E60F7">
              <w:rPr>
                <w:sz w:val="20"/>
              </w:rPr>
              <w:t>.</w:t>
            </w:r>
          </w:p>
        </w:tc>
        <w:tc>
          <w:tcPr>
            <w:tcW w:w="2621" w:type="dxa"/>
          </w:tcPr>
          <w:p w:rsidR="00C575E7" w:rsidRPr="00C575E7" w:rsidRDefault="00C575E7" w:rsidP="0069442F">
            <w:pPr>
              <w:pStyle w:val="Corpodetexto"/>
              <w:ind w:firstLine="0"/>
              <w:jc w:val="center"/>
              <w:rPr>
                <w:sz w:val="20"/>
              </w:rPr>
            </w:pPr>
            <w:r w:rsidRPr="00C575E7">
              <w:rPr>
                <w:sz w:val="20"/>
              </w:rPr>
              <w:t>Sant’Ana, Silva e Padilha (2016)</w:t>
            </w:r>
          </w:p>
        </w:tc>
      </w:tr>
    </w:tbl>
    <w:p w:rsidR="00C575E7" w:rsidRPr="007C3C0A" w:rsidRDefault="00C575E7" w:rsidP="00C575E7">
      <w:pPr>
        <w:spacing w:line="360" w:lineRule="auto"/>
        <w:jc w:val="center"/>
        <w:rPr>
          <w:sz w:val="20"/>
        </w:rPr>
      </w:pPr>
      <w:r w:rsidRPr="007C3C0A">
        <w:rPr>
          <w:sz w:val="20"/>
        </w:rPr>
        <w:t>Fonte: dados da pesquisa (2016)</w:t>
      </w:r>
    </w:p>
    <w:p w:rsidR="00C575E7" w:rsidRPr="007C3C0A" w:rsidRDefault="00C575E7" w:rsidP="00D30C61">
      <w:pPr>
        <w:ind w:firstLine="851"/>
        <w:rPr>
          <w:szCs w:val="24"/>
        </w:rPr>
      </w:pPr>
      <w:r w:rsidRPr="007C3C0A">
        <w:rPr>
          <w:szCs w:val="24"/>
        </w:rPr>
        <w:t>Cada conjunto dessas variáveis citadas acima será analisado por meio do sistema S</w:t>
      </w:r>
      <w:r w:rsidRPr="007C3C0A">
        <w:rPr>
          <w:i/>
          <w:szCs w:val="24"/>
        </w:rPr>
        <w:t>oftware</w:t>
      </w:r>
      <w:r w:rsidRPr="007C3C0A">
        <w:rPr>
          <w:szCs w:val="24"/>
        </w:rPr>
        <w:t xml:space="preserve"> </w:t>
      </w:r>
      <w:r w:rsidRPr="007C3C0A">
        <w:rPr>
          <w:i/>
          <w:szCs w:val="24"/>
        </w:rPr>
        <w:t xml:space="preserve">SIAD – </w:t>
      </w:r>
      <w:r w:rsidRPr="007C3C0A">
        <w:rPr>
          <w:szCs w:val="24"/>
        </w:rPr>
        <w:t>Sistema Integrado de Apoio a Decisão,</w:t>
      </w:r>
      <w:r w:rsidRPr="007C3C0A">
        <w:rPr>
          <w:i/>
          <w:szCs w:val="24"/>
        </w:rPr>
        <w:t xml:space="preserve"> </w:t>
      </w:r>
      <w:r w:rsidRPr="007C3C0A">
        <w:rPr>
          <w:szCs w:val="24"/>
        </w:rPr>
        <w:t xml:space="preserve">que Meza et al (2003) resumem que este método calcula as variáveis das empresas, colocando-as como eficientes ou ineficientes. Após o resultado desta análise, o </w:t>
      </w:r>
      <w:r w:rsidRPr="007C3C0A">
        <w:rPr>
          <w:i/>
          <w:szCs w:val="24"/>
        </w:rPr>
        <w:t>software</w:t>
      </w:r>
      <w:r w:rsidRPr="007C3C0A">
        <w:rPr>
          <w:szCs w:val="24"/>
        </w:rPr>
        <w:t xml:space="preserve"> traz índices que complementam esses resultados, um desses índices são os “alvos” para as DMUs, que ainda segundo Meza et al (2003), essa opção revela o que as DMUs ineficientes precisam para atingir a classificação de eficiente (folgas). Esses resultados serão utilizados para a análise para notificar aquelas empresas que serão classificadas como ineficientes, analisando-as o que precisam melhorar diante de seus </w:t>
      </w:r>
      <w:r w:rsidRPr="007C3C0A">
        <w:rPr>
          <w:i/>
          <w:szCs w:val="24"/>
        </w:rPr>
        <w:t>inputs</w:t>
      </w:r>
      <w:r w:rsidRPr="007C3C0A">
        <w:rPr>
          <w:szCs w:val="24"/>
        </w:rPr>
        <w:t xml:space="preserve"> e </w:t>
      </w:r>
      <w:r w:rsidRPr="007C3C0A">
        <w:rPr>
          <w:i/>
          <w:szCs w:val="24"/>
        </w:rPr>
        <w:t>outputs</w:t>
      </w:r>
      <w:r w:rsidRPr="007C3C0A">
        <w:rPr>
          <w:szCs w:val="24"/>
        </w:rPr>
        <w:t>.</w:t>
      </w:r>
    </w:p>
    <w:p w:rsidR="00C575E7" w:rsidRPr="007C3C0A" w:rsidRDefault="00C575E7" w:rsidP="00D30C61">
      <w:pPr>
        <w:ind w:firstLine="851"/>
        <w:rPr>
          <w:szCs w:val="24"/>
        </w:rPr>
      </w:pPr>
      <w:r w:rsidRPr="007C3C0A">
        <w:rPr>
          <w:szCs w:val="24"/>
        </w:rPr>
        <w:t xml:space="preserve">O estudo das variáveis pelo </w:t>
      </w:r>
      <w:r w:rsidRPr="007C3C0A">
        <w:rPr>
          <w:i/>
          <w:szCs w:val="24"/>
        </w:rPr>
        <w:t>software</w:t>
      </w:r>
      <w:r w:rsidRPr="007C3C0A">
        <w:rPr>
          <w:szCs w:val="24"/>
        </w:rPr>
        <w:t xml:space="preserve"> será feito em dois modelos: o primeiro usando CRS (</w:t>
      </w:r>
      <w:r w:rsidRPr="007C3C0A">
        <w:rPr>
          <w:i/>
          <w:szCs w:val="24"/>
        </w:rPr>
        <w:t>Constant Returns to Scale</w:t>
      </w:r>
      <w:r w:rsidRPr="007C3C0A">
        <w:rPr>
          <w:szCs w:val="24"/>
        </w:rPr>
        <w:t xml:space="preserve">), com orientação nos seus </w:t>
      </w:r>
      <w:r w:rsidRPr="007C3C0A">
        <w:rPr>
          <w:i/>
          <w:szCs w:val="24"/>
        </w:rPr>
        <w:t xml:space="preserve">outputs, </w:t>
      </w:r>
      <w:r w:rsidRPr="007C3C0A">
        <w:rPr>
          <w:szCs w:val="24"/>
        </w:rPr>
        <w:t>e o segundo modelo, usando VRS (</w:t>
      </w:r>
      <w:r w:rsidRPr="007C3C0A">
        <w:rPr>
          <w:i/>
          <w:szCs w:val="24"/>
        </w:rPr>
        <w:t>Variable Returns to Scale</w:t>
      </w:r>
      <w:r w:rsidRPr="007C3C0A">
        <w:rPr>
          <w:szCs w:val="24"/>
        </w:rPr>
        <w:t>) com os</w:t>
      </w:r>
      <w:r w:rsidRPr="007C3C0A">
        <w:rPr>
          <w:i/>
          <w:szCs w:val="24"/>
        </w:rPr>
        <w:t xml:space="preserve"> outputs, </w:t>
      </w:r>
      <w:r w:rsidRPr="007C3C0A">
        <w:rPr>
          <w:szCs w:val="24"/>
        </w:rPr>
        <w:t>também, em orientação.</w:t>
      </w:r>
      <w:r w:rsidRPr="007C3C0A">
        <w:rPr>
          <w:i/>
          <w:szCs w:val="24"/>
        </w:rPr>
        <w:t xml:space="preserve"> </w:t>
      </w:r>
    </w:p>
    <w:p w:rsidR="00C575E7" w:rsidRPr="007C3C0A" w:rsidRDefault="00C575E7" w:rsidP="00D30C61">
      <w:pPr>
        <w:ind w:firstLine="851"/>
        <w:rPr>
          <w:szCs w:val="24"/>
        </w:rPr>
      </w:pPr>
      <w:r w:rsidRPr="007C3C0A">
        <w:rPr>
          <w:szCs w:val="24"/>
        </w:rPr>
        <w:t xml:space="preserve">Por final e diante dos resultados obtidos, será feita a análise de eficiência das variáveis, diagnosticando qual obteve um melhor resultado, de tal forma, que também se observará e ajudará na tomada de decisão das 15 (quinze) empresas listadas, no aumento ou diminuição de insumos e consumos. </w:t>
      </w:r>
    </w:p>
    <w:p w:rsidR="00C575E7" w:rsidRPr="007C3C0A" w:rsidRDefault="006B170C" w:rsidP="00D30C61">
      <w:pPr>
        <w:ind w:firstLine="851"/>
        <w:rPr>
          <w:szCs w:val="24"/>
        </w:rPr>
      </w:pPr>
      <w:r>
        <w:rPr>
          <w:szCs w:val="24"/>
        </w:rPr>
        <w:t>A Tabela 2</w:t>
      </w:r>
      <w:r w:rsidR="00C575E7" w:rsidRPr="007C3C0A">
        <w:rPr>
          <w:szCs w:val="24"/>
        </w:rPr>
        <w:t xml:space="preserve"> </w:t>
      </w:r>
      <w:r w:rsidR="0069442F">
        <w:rPr>
          <w:szCs w:val="24"/>
        </w:rPr>
        <w:t xml:space="preserve">apresenta </w:t>
      </w:r>
      <w:r w:rsidR="00C575E7" w:rsidRPr="007C3C0A">
        <w:rPr>
          <w:szCs w:val="24"/>
        </w:rPr>
        <w:t xml:space="preserve">as empresas selecionadas de acordo com suas DMUs, listadas de </w:t>
      </w:r>
      <w:smartTag w:uri="urn:schemas-microsoft-com:office:smarttags" w:element="metricconverter">
        <w:smartTagPr>
          <w:attr w:name="ProductID" w:val="1 a"/>
        </w:smartTagPr>
        <w:r w:rsidR="00C575E7" w:rsidRPr="007C3C0A">
          <w:rPr>
            <w:szCs w:val="24"/>
          </w:rPr>
          <w:t>1 a</w:t>
        </w:r>
      </w:smartTag>
      <w:r w:rsidR="00C575E7" w:rsidRPr="007C3C0A">
        <w:rPr>
          <w:szCs w:val="24"/>
        </w:rPr>
        <w:t xml:space="preserve"> 15.</w:t>
      </w:r>
    </w:p>
    <w:p w:rsidR="0069442F" w:rsidRDefault="0069442F" w:rsidP="00C575E7">
      <w:pPr>
        <w:spacing w:line="360" w:lineRule="auto"/>
        <w:ind w:firstLine="720"/>
        <w:jc w:val="center"/>
        <w:rPr>
          <w:sz w:val="20"/>
        </w:rPr>
      </w:pPr>
    </w:p>
    <w:p w:rsidR="0069442F" w:rsidRDefault="0069442F" w:rsidP="00C575E7">
      <w:pPr>
        <w:spacing w:line="360" w:lineRule="auto"/>
        <w:ind w:firstLine="720"/>
        <w:jc w:val="center"/>
        <w:rPr>
          <w:sz w:val="20"/>
        </w:rPr>
      </w:pPr>
    </w:p>
    <w:p w:rsidR="00C575E7" w:rsidRPr="007C3C0A" w:rsidRDefault="00C575E7" w:rsidP="00A4455A">
      <w:pPr>
        <w:ind w:firstLine="720"/>
        <w:jc w:val="center"/>
        <w:rPr>
          <w:sz w:val="20"/>
        </w:rPr>
      </w:pPr>
      <w:r w:rsidRPr="007C3C0A">
        <w:rPr>
          <w:sz w:val="20"/>
        </w:rPr>
        <w:t>Tab</w:t>
      </w:r>
      <w:r w:rsidR="006B170C">
        <w:rPr>
          <w:sz w:val="20"/>
        </w:rPr>
        <w:t>ela 2</w:t>
      </w:r>
      <w:r w:rsidRPr="007C3C0A">
        <w:rPr>
          <w:sz w:val="20"/>
        </w:rPr>
        <w:t xml:space="preserve"> – Lista das melhores empresas Químicas e Petroquímicas 2014.</w:t>
      </w:r>
    </w:p>
    <w:tbl>
      <w:tblPr>
        <w:tblpPr w:leftFromText="141" w:rightFromText="141" w:vertAnchor="text" w:horzAnchor="margin" w:tblpXSpec="center" w:tblpY="114"/>
        <w:tblW w:w="9039"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908"/>
        <w:gridCol w:w="605"/>
        <w:gridCol w:w="830"/>
        <w:gridCol w:w="837"/>
        <w:gridCol w:w="706"/>
        <w:gridCol w:w="916"/>
        <w:gridCol w:w="1252"/>
        <w:gridCol w:w="992"/>
        <w:gridCol w:w="993"/>
      </w:tblGrid>
      <w:tr w:rsidR="007C3C0A" w:rsidRPr="007C3C0A" w:rsidTr="00A4455A">
        <w:trPr>
          <w:trHeight w:val="20"/>
        </w:trPr>
        <w:tc>
          <w:tcPr>
            <w:tcW w:w="1908" w:type="dxa"/>
            <w:tcBorders>
              <w:top w:val="single" w:sz="12" w:space="0" w:color="auto"/>
              <w:bottom w:val="single" w:sz="12" w:space="0" w:color="auto"/>
            </w:tcBorders>
            <w:vAlign w:val="center"/>
          </w:tcPr>
          <w:p w:rsidR="00C575E7" w:rsidRDefault="00C575E7" w:rsidP="007C3C0A">
            <w:pPr>
              <w:ind w:firstLine="0"/>
              <w:jc w:val="center"/>
              <w:rPr>
                <w:sz w:val="20"/>
              </w:rPr>
            </w:pPr>
            <w:r w:rsidRPr="007C3C0A">
              <w:rPr>
                <w:sz w:val="20"/>
              </w:rPr>
              <w:t>Empresa</w:t>
            </w:r>
          </w:p>
          <w:p w:rsidR="007C3C0A" w:rsidRPr="007C3C0A" w:rsidRDefault="007C3C0A" w:rsidP="007C3C0A">
            <w:pPr>
              <w:ind w:firstLine="0"/>
              <w:jc w:val="center"/>
              <w:rPr>
                <w:sz w:val="20"/>
              </w:rPr>
            </w:pPr>
          </w:p>
        </w:tc>
        <w:tc>
          <w:tcPr>
            <w:tcW w:w="605" w:type="dxa"/>
            <w:tcBorders>
              <w:top w:val="single" w:sz="12" w:space="0" w:color="auto"/>
              <w:bottom w:val="single" w:sz="12" w:space="0" w:color="auto"/>
            </w:tcBorders>
            <w:vAlign w:val="center"/>
          </w:tcPr>
          <w:p w:rsidR="00C575E7" w:rsidRPr="007C3C0A" w:rsidRDefault="00C575E7" w:rsidP="007C3C0A">
            <w:pPr>
              <w:ind w:firstLine="0"/>
              <w:jc w:val="center"/>
              <w:rPr>
                <w:sz w:val="20"/>
              </w:rPr>
            </w:pPr>
            <w:r w:rsidRPr="007C3C0A">
              <w:rPr>
                <w:sz w:val="20"/>
              </w:rPr>
              <w:t>Sede</w:t>
            </w:r>
          </w:p>
        </w:tc>
        <w:tc>
          <w:tcPr>
            <w:tcW w:w="830" w:type="dxa"/>
            <w:tcBorders>
              <w:top w:val="single" w:sz="12" w:space="0" w:color="auto"/>
              <w:bottom w:val="single" w:sz="12" w:space="0" w:color="auto"/>
            </w:tcBorders>
            <w:vAlign w:val="center"/>
          </w:tcPr>
          <w:p w:rsidR="00C575E7" w:rsidRPr="007C3C0A" w:rsidRDefault="00C575E7" w:rsidP="007C3C0A">
            <w:pPr>
              <w:ind w:firstLine="0"/>
              <w:jc w:val="center"/>
              <w:rPr>
                <w:sz w:val="20"/>
              </w:rPr>
            </w:pPr>
            <w:r w:rsidRPr="007C3C0A">
              <w:rPr>
                <w:sz w:val="20"/>
              </w:rPr>
              <w:t>DMU</w:t>
            </w:r>
          </w:p>
        </w:tc>
        <w:tc>
          <w:tcPr>
            <w:tcW w:w="837" w:type="dxa"/>
            <w:tcBorders>
              <w:top w:val="single" w:sz="12" w:space="0" w:color="auto"/>
              <w:bottom w:val="single" w:sz="12" w:space="0" w:color="auto"/>
            </w:tcBorders>
            <w:vAlign w:val="center"/>
          </w:tcPr>
          <w:p w:rsidR="00C575E7" w:rsidRPr="007C3C0A" w:rsidRDefault="00C575E7" w:rsidP="007C3C0A">
            <w:pPr>
              <w:ind w:firstLine="0"/>
              <w:jc w:val="center"/>
              <w:rPr>
                <w:i/>
                <w:sz w:val="20"/>
              </w:rPr>
            </w:pPr>
            <w:r w:rsidRPr="007C3C0A">
              <w:rPr>
                <w:i/>
                <w:sz w:val="20"/>
              </w:rPr>
              <w:t xml:space="preserve">Input </w:t>
            </w:r>
            <w:r w:rsidRPr="007C3C0A">
              <w:rPr>
                <w:sz w:val="20"/>
              </w:rPr>
              <w:t>1 (em índice)</w:t>
            </w:r>
          </w:p>
        </w:tc>
        <w:tc>
          <w:tcPr>
            <w:tcW w:w="706" w:type="dxa"/>
            <w:tcBorders>
              <w:top w:val="single" w:sz="12" w:space="0" w:color="auto"/>
              <w:bottom w:val="single" w:sz="12" w:space="0" w:color="auto"/>
            </w:tcBorders>
            <w:vAlign w:val="center"/>
          </w:tcPr>
          <w:p w:rsidR="00C575E7" w:rsidRPr="007C3C0A" w:rsidRDefault="00C575E7" w:rsidP="007C3C0A">
            <w:pPr>
              <w:ind w:firstLine="0"/>
              <w:jc w:val="center"/>
              <w:rPr>
                <w:i/>
                <w:sz w:val="20"/>
              </w:rPr>
            </w:pPr>
            <w:r w:rsidRPr="007C3C0A">
              <w:rPr>
                <w:i/>
                <w:sz w:val="20"/>
              </w:rPr>
              <w:t xml:space="preserve">Input </w:t>
            </w:r>
            <w:r w:rsidRPr="007C3C0A">
              <w:rPr>
                <w:sz w:val="20"/>
              </w:rPr>
              <w:t>2</w:t>
            </w:r>
          </w:p>
        </w:tc>
        <w:tc>
          <w:tcPr>
            <w:tcW w:w="916" w:type="dxa"/>
            <w:tcBorders>
              <w:top w:val="single" w:sz="12" w:space="0" w:color="auto"/>
              <w:bottom w:val="single" w:sz="12" w:space="0" w:color="auto"/>
            </w:tcBorders>
            <w:vAlign w:val="center"/>
          </w:tcPr>
          <w:p w:rsidR="00C575E7" w:rsidRPr="007C3C0A" w:rsidRDefault="00C575E7" w:rsidP="007C3C0A">
            <w:pPr>
              <w:ind w:firstLine="0"/>
              <w:jc w:val="center"/>
              <w:rPr>
                <w:sz w:val="20"/>
              </w:rPr>
            </w:pPr>
            <w:r w:rsidRPr="007C3C0A">
              <w:rPr>
                <w:i/>
                <w:sz w:val="20"/>
              </w:rPr>
              <w:t xml:space="preserve">Output </w:t>
            </w:r>
            <w:r w:rsidRPr="007C3C0A">
              <w:rPr>
                <w:sz w:val="20"/>
              </w:rPr>
              <w:t>1 (</w:t>
            </w:r>
            <w:r w:rsidR="0069442F" w:rsidRPr="007C3C0A">
              <w:rPr>
                <w:sz w:val="20"/>
              </w:rPr>
              <w:t>em US</w:t>
            </w:r>
            <w:r w:rsidRPr="007C3C0A">
              <w:rPr>
                <w:sz w:val="20"/>
              </w:rPr>
              <w:t>$ milhões)</w:t>
            </w:r>
          </w:p>
        </w:tc>
        <w:tc>
          <w:tcPr>
            <w:tcW w:w="1252" w:type="dxa"/>
            <w:tcBorders>
              <w:top w:val="single" w:sz="12" w:space="0" w:color="auto"/>
              <w:bottom w:val="single" w:sz="12" w:space="0" w:color="auto"/>
            </w:tcBorders>
            <w:vAlign w:val="center"/>
          </w:tcPr>
          <w:p w:rsidR="00C575E7" w:rsidRPr="007C3C0A" w:rsidRDefault="00C575E7" w:rsidP="007C3C0A">
            <w:pPr>
              <w:ind w:firstLine="0"/>
              <w:jc w:val="center"/>
              <w:rPr>
                <w:i/>
                <w:sz w:val="20"/>
              </w:rPr>
            </w:pPr>
            <w:r w:rsidRPr="007C3C0A">
              <w:rPr>
                <w:i/>
                <w:sz w:val="20"/>
              </w:rPr>
              <w:t xml:space="preserve">Output </w:t>
            </w:r>
            <w:r w:rsidRPr="007C3C0A">
              <w:rPr>
                <w:sz w:val="20"/>
              </w:rPr>
              <w:t>2 (em US$ milhões)</w:t>
            </w:r>
          </w:p>
        </w:tc>
        <w:tc>
          <w:tcPr>
            <w:tcW w:w="992" w:type="dxa"/>
            <w:tcBorders>
              <w:top w:val="single" w:sz="12" w:space="0" w:color="auto"/>
              <w:bottom w:val="single" w:sz="12" w:space="0" w:color="auto"/>
            </w:tcBorders>
            <w:vAlign w:val="center"/>
          </w:tcPr>
          <w:p w:rsidR="00C575E7" w:rsidRPr="007C3C0A" w:rsidRDefault="00C575E7" w:rsidP="007C3C0A">
            <w:pPr>
              <w:ind w:firstLine="0"/>
              <w:jc w:val="center"/>
              <w:rPr>
                <w:i/>
                <w:sz w:val="20"/>
              </w:rPr>
            </w:pPr>
            <w:r w:rsidRPr="007C3C0A">
              <w:rPr>
                <w:i/>
                <w:sz w:val="20"/>
              </w:rPr>
              <w:t xml:space="preserve">Output </w:t>
            </w:r>
            <w:r w:rsidRPr="007C3C0A">
              <w:rPr>
                <w:sz w:val="20"/>
              </w:rPr>
              <w:t>3 (em US$ milhões)</w:t>
            </w:r>
          </w:p>
        </w:tc>
        <w:tc>
          <w:tcPr>
            <w:tcW w:w="993" w:type="dxa"/>
            <w:tcBorders>
              <w:top w:val="single" w:sz="12" w:space="0" w:color="auto"/>
              <w:bottom w:val="single" w:sz="12" w:space="0" w:color="auto"/>
            </w:tcBorders>
            <w:vAlign w:val="center"/>
          </w:tcPr>
          <w:p w:rsidR="00C575E7" w:rsidRPr="007C3C0A" w:rsidRDefault="00C575E7" w:rsidP="007C3C0A">
            <w:pPr>
              <w:ind w:firstLine="0"/>
              <w:rPr>
                <w:i/>
                <w:sz w:val="20"/>
              </w:rPr>
            </w:pPr>
            <w:r w:rsidRPr="007C3C0A">
              <w:rPr>
                <w:i/>
                <w:sz w:val="20"/>
              </w:rPr>
              <w:t xml:space="preserve">Output </w:t>
            </w:r>
            <w:r w:rsidRPr="007C3C0A">
              <w:rPr>
                <w:sz w:val="20"/>
              </w:rPr>
              <w:t>4 (em %)</w:t>
            </w:r>
          </w:p>
        </w:tc>
      </w:tr>
      <w:tr w:rsidR="007C3C0A" w:rsidRPr="00D71A33" w:rsidTr="00A4455A">
        <w:trPr>
          <w:trHeight w:val="20"/>
        </w:trPr>
        <w:tc>
          <w:tcPr>
            <w:tcW w:w="1908" w:type="dxa"/>
            <w:tcBorders>
              <w:top w:val="single" w:sz="12" w:space="0" w:color="auto"/>
            </w:tcBorders>
          </w:tcPr>
          <w:p w:rsidR="00C575E7" w:rsidRPr="007C3C0A" w:rsidRDefault="00C575E7" w:rsidP="007C3C0A">
            <w:pPr>
              <w:ind w:firstLine="0"/>
              <w:rPr>
                <w:sz w:val="20"/>
              </w:rPr>
            </w:pPr>
            <w:r w:rsidRPr="007C3C0A">
              <w:rPr>
                <w:color w:val="000000"/>
                <w:sz w:val="20"/>
              </w:rPr>
              <w:t>Innova</w:t>
            </w:r>
          </w:p>
        </w:tc>
        <w:tc>
          <w:tcPr>
            <w:tcW w:w="605" w:type="dxa"/>
            <w:tcBorders>
              <w:top w:val="single" w:sz="12" w:space="0" w:color="auto"/>
            </w:tcBorders>
          </w:tcPr>
          <w:p w:rsidR="00C575E7" w:rsidRPr="007C3C0A" w:rsidRDefault="00C575E7" w:rsidP="007C3C0A">
            <w:pPr>
              <w:ind w:firstLine="0"/>
              <w:jc w:val="center"/>
              <w:rPr>
                <w:sz w:val="20"/>
              </w:rPr>
            </w:pPr>
            <w:r w:rsidRPr="007C3C0A">
              <w:rPr>
                <w:sz w:val="20"/>
              </w:rPr>
              <w:t>RS</w:t>
            </w:r>
          </w:p>
        </w:tc>
        <w:tc>
          <w:tcPr>
            <w:tcW w:w="830" w:type="dxa"/>
            <w:tcBorders>
              <w:top w:val="single" w:sz="12" w:space="0" w:color="auto"/>
            </w:tcBorders>
          </w:tcPr>
          <w:p w:rsidR="00C575E7" w:rsidRPr="007C3C0A" w:rsidRDefault="00C575E7" w:rsidP="007C3C0A">
            <w:pPr>
              <w:ind w:firstLine="0"/>
              <w:jc w:val="center"/>
              <w:rPr>
                <w:sz w:val="20"/>
              </w:rPr>
            </w:pPr>
            <w:r w:rsidRPr="007C3C0A">
              <w:rPr>
                <w:sz w:val="20"/>
              </w:rPr>
              <w:t>1</w:t>
            </w:r>
          </w:p>
        </w:tc>
        <w:tc>
          <w:tcPr>
            <w:tcW w:w="837" w:type="dxa"/>
            <w:tcBorders>
              <w:top w:val="single" w:sz="12" w:space="0" w:color="auto"/>
            </w:tcBorders>
          </w:tcPr>
          <w:p w:rsidR="00C575E7" w:rsidRPr="007C3C0A" w:rsidRDefault="00C575E7" w:rsidP="007C3C0A">
            <w:pPr>
              <w:ind w:firstLine="0"/>
              <w:jc w:val="center"/>
              <w:rPr>
                <w:sz w:val="20"/>
              </w:rPr>
            </w:pPr>
            <w:r w:rsidRPr="007C3C0A">
              <w:rPr>
                <w:sz w:val="20"/>
              </w:rPr>
              <w:t>1,83</w:t>
            </w:r>
          </w:p>
        </w:tc>
        <w:tc>
          <w:tcPr>
            <w:tcW w:w="706" w:type="dxa"/>
            <w:tcBorders>
              <w:top w:val="single" w:sz="12" w:space="0" w:color="auto"/>
            </w:tcBorders>
          </w:tcPr>
          <w:p w:rsidR="00C575E7" w:rsidRPr="007C3C0A" w:rsidRDefault="00C575E7" w:rsidP="007C3C0A">
            <w:pPr>
              <w:ind w:firstLine="0"/>
              <w:jc w:val="center"/>
              <w:rPr>
                <w:sz w:val="20"/>
              </w:rPr>
            </w:pPr>
            <w:r w:rsidRPr="007C3C0A">
              <w:rPr>
                <w:sz w:val="20"/>
              </w:rPr>
              <w:t>210</w:t>
            </w:r>
          </w:p>
        </w:tc>
        <w:tc>
          <w:tcPr>
            <w:tcW w:w="916" w:type="dxa"/>
            <w:tcBorders>
              <w:top w:val="single" w:sz="12" w:space="0" w:color="auto"/>
            </w:tcBorders>
          </w:tcPr>
          <w:p w:rsidR="00C575E7" w:rsidRPr="007C3C0A" w:rsidRDefault="00C575E7" w:rsidP="007C3C0A">
            <w:pPr>
              <w:ind w:firstLine="0"/>
              <w:jc w:val="center"/>
              <w:rPr>
                <w:sz w:val="20"/>
              </w:rPr>
            </w:pPr>
            <w:r w:rsidRPr="007C3C0A">
              <w:rPr>
                <w:sz w:val="20"/>
              </w:rPr>
              <w:t>49,80</w:t>
            </w:r>
          </w:p>
        </w:tc>
        <w:tc>
          <w:tcPr>
            <w:tcW w:w="1252" w:type="dxa"/>
            <w:tcBorders>
              <w:top w:val="single" w:sz="12" w:space="0" w:color="auto"/>
            </w:tcBorders>
          </w:tcPr>
          <w:p w:rsidR="00C575E7" w:rsidRPr="007C3C0A" w:rsidRDefault="00C575E7" w:rsidP="007C3C0A">
            <w:pPr>
              <w:ind w:firstLine="0"/>
              <w:jc w:val="center"/>
              <w:rPr>
                <w:sz w:val="20"/>
              </w:rPr>
            </w:pPr>
            <w:r w:rsidRPr="007C3C0A">
              <w:rPr>
                <w:sz w:val="20"/>
              </w:rPr>
              <w:t>458,60</w:t>
            </w:r>
          </w:p>
        </w:tc>
        <w:tc>
          <w:tcPr>
            <w:tcW w:w="992" w:type="dxa"/>
            <w:tcBorders>
              <w:top w:val="single" w:sz="12" w:space="0" w:color="auto"/>
            </w:tcBorders>
          </w:tcPr>
          <w:p w:rsidR="00C575E7" w:rsidRPr="007C3C0A" w:rsidRDefault="00C575E7" w:rsidP="007C3C0A">
            <w:pPr>
              <w:ind w:firstLine="0"/>
              <w:jc w:val="center"/>
              <w:rPr>
                <w:sz w:val="20"/>
              </w:rPr>
            </w:pPr>
            <w:r w:rsidRPr="007C3C0A">
              <w:rPr>
                <w:sz w:val="20"/>
              </w:rPr>
              <w:t>220,90</w:t>
            </w:r>
          </w:p>
        </w:tc>
        <w:tc>
          <w:tcPr>
            <w:tcW w:w="993" w:type="dxa"/>
            <w:tcBorders>
              <w:top w:val="single" w:sz="12" w:space="0" w:color="auto"/>
            </w:tcBorders>
          </w:tcPr>
          <w:p w:rsidR="00C575E7" w:rsidRPr="007C3C0A" w:rsidRDefault="00C575E7" w:rsidP="007C3C0A">
            <w:pPr>
              <w:ind w:firstLine="0"/>
              <w:jc w:val="center"/>
              <w:rPr>
                <w:sz w:val="20"/>
              </w:rPr>
            </w:pPr>
            <w:r w:rsidRPr="007C3C0A">
              <w:rPr>
                <w:sz w:val="20"/>
              </w:rPr>
              <w:t>10,90</w:t>
            </w:r>
          </w:p>
        </w:tc>
      </w:tr>
      <w:tr w:rsidR="007C3C0A" w:rsidRPr="00D71A33" w:rsidTr="00A4455A">
        <w:trPr>
          <w:trHeight w:val="20"/>
        </w:trPr>
        <w:tc>
          <w:tcPr>
            <w:tcW w:w="1908" w:type="dxa"/>
          </w:tcPr>
          <w:p w:rsidR="00C575E7" w:rsidRPr="007C3C0A" w:rsidRDefault="00C575E7" w:rsidP="007C3C0A">
            <w:pPr>
              <w:ind w:firstLine="0"/>
              <w:rPr>
                <w:sz w:val="20"/>
              </w:rPr>
            </w:pPr>
            <w:r w:rsidRPr="007C3C0A">
              <w:rPr>
                <w:color w:val="000000"/>
                <w:sz w:val="20"/>
              </w:rPr>
              <w:t>Bayer</w:t>
            </w:r>
          </w:p>
        </w:tc>
        <w:tc>
          <w:tcPr>
            <w:tcW w:w="605" w:type="dxa"/>
          </w:tcPr>
          <w:p w:rsidR="00C575E7" w:rsidRPr="007C3C0A" w:rsidRDefault="00C575E7" w:rsidP="007C3C0A">
            <w:pPr>
              <w:ind w:firstLine="0"/>
              <w:jc w:val="center"/>
              <w:rPr>
                <w:sz w:val="20"/>
              </w:rPr>
            </w:pPr>
            <w:r w:rsidRPr="007C3C0A">
              <w:rPr>
                <w:sz w:val="20"/>
              </w:rPr>
              <w:t>SP</w:t>
            </w:r>
          </w:p>
        </w:tc>
        <w:tc>
          <w:tcPr>
            <w:tcW w:w="830" w:type="dxa"/>
          </w:tcPr>
          <w:p w:rsidR="00C575E7" w:rsidRPr="007C3C0A" w:rsidRDefault="00C575E7" w:rsidP="007C3C0A">
            <w:pPr>
              <w:ind w:firstLine="0"/>
              <w:jc w:val="center"/>
              <w:rPr>
                <w:sz w:val="20"/>
              </w:rPr>
            </w:pPr>
            <w:r w:rsidRPr="007C3C0A">
              <w:rPr>
                <w:sz w:val="20"/>
              </w:rPr>
              <w:t>2</w:t>
            </w:r>
          </w:p>
        </w:tc>
        <w:tc>
          <w:tcPr>
            <w:tcW w:w="837" w:type="dxa"/>
          </w:tcPr>
          <w:p w:rsidR="00C575E7" w:rsidRPr="007C3C0A" w:rsidRDefault="00C575E7" w:rsidP="007C3C0A">
            <w:pPr>
              <w:ind w:firstLine="0"/>
              <w:jc w:val="center"/>
              <w:rPr>
                <w:sz w:val="20"/>
              </w:rPr>
            </w:pPr>
            <w:r w:rsidRPr="007C3C0A">
              <w:rPr>
                <w:sz w:val="20"/>
              </w:rPr>
              <w:t>1,00</w:t>
            </w:r>
          </w:p>
        </w:tc>
        <w:tc>
          <w:tcPr>
            <w:tcW w:w="706" w:type="dxa"/>
          </w:tcPr>
          <w:p w:rsidR="00C575E7" w:rsidRPr="007C3C0A" w:rsidRDefault="00C575E7" w:rsidP="007C3C0A">
            <w:pPr>
              <w:ind w:firstLine="0"/>
              <w:jc w:val="center"/>
              <w:rPr>
                <w:sz w:val="20"/>
              </w:rPr>
            </w:pPr>
            <w:r w:rsidRPr="007C3C0A">
              <w:rPr>
                <w:sz w:val="20"/>
              </w:rPr>
              <w:t>4800</w:t>
            </w:r>
          </w:p>
        </w:tc>
        <w:tc>
          <w:tcPr>
            <w:tcW w:w="916" w:type="dxa"/>
          </w:tcPr>
          <w:p w:rsidR="00C575E7" w:rsidRPr="007C3C0A" w:rsidRDefault="00C575E7" w:rsidP="007C3C0A">
            <w:pPr>
              <w:ind w:firstLine="0"/>
              <w:jc w:val="center"/>
              <w:rPr>
                <w:sz w:val="20"/>
              </w:rPr>
            </w:pPr>
            <w:r w:rsidRPr="007C3C0A">
              <w:rPr>
                <w:sz w:val="20"/>
              </w:rPr>
              <w:t>335,00</w:t>
            </w:r>
          </w:p>
        </w:tc>
        <w:tc>
          <w:tcPr>
            <w:tcW w:w="1252" w:type="dxa"/>
          </w:tcPr>
          <w:p w:rsidR="00C575E7" w:rsidRPr="007C3C0A" w:rsidRDefault="00C575E7" w:rsidP="007C3C0A">
            <w:pPr>
              <w:ind w:firstLine="0"/>
              <w:jc w:val="center"/>
              <w:rPr>
                <w:sz w:val="20"/>
              </w:rPr>
            </w:pPr>
            <w:r w:rsidRPr="007C3C0A">
              <w:rPr>
                <w:sz w:val="20"/>
              </w:rPr>
              <w:t>2801,40</w:t>
            </w:r>
          </w:p>
        </w:tc>
        <w:tc>
          <w:tcPr>
            <w:tcW w:w="992" w:type="dxa"/>
          </w:tcPr>
          <w:p w:rsidR="00C575E7" w:rsidRPr="007C3C0A" w:rsidRDefault="00C575E7" w:rsidP="007C3C0A">
            <w:pPr>
              <w:ind w:firstLine="0"/>
              <w:jc w:val="center"/>
              <w:rPr>
                <w:sz w:val="20"/>
              </w:rPr>
            </w:pPr>
            <w:r w:rsidRPr="007C3C0A">
              <w:rPr>
                <w:sz w:val="20"/>
              </w:rPr>
              <w:t>927,70</w:t>
            </w:r>
          </w:p>
        </w:tc>
        <w:tc>
          <w:tcPr>
            <w:tcW w:w="993" w:type="dxa"/>
          </w:tcPr>
          <w:p w:rsidR="00C575E7" w:rsidRPr="007C3C0A" w:rsidRDefault="00C575E7" w:rsidP="007C3C0A">
            <w:pPr>
              <w:ind w:firstLine="0"/>
              <w:jc w:val="center"/>
              <w:rPr>
                <w:sz w:val="20"/>
              </w:rPr>
            </w:pPr>
            <w:r w:rsidRPr="007C3C0A">
              <w:rPr>
                <w:sz w:val="20"/>
              </w:rPr>
              <w:t>12,00</w:t>
            </w:r>
          </w:p>
        </w:tc>
      </w:tr>
      <w:tr w:rsidR="007C3C0A" w:rsidRPr="00D71A33" w:rsidTr="00A4455A">
        <w:trPr>
          <w:trHeight w:val="20"/>
        </w:trPr>
        <w:tc>
          <w:tcPr>
            <w:tcW w:w="1908" w:type="dxa"/>
          </w:tcPr>
          <w:p w:rsidR="00C575E7" w:rsidRPr="007C3C0A" w:rsidRDefault="00C575E7" w:rsidP="007C3C0A">
            <w:pPr>
              <w:ind w:firstLine="0"/>
              <w:rPr>
                <w:sz w:val="20"/>
              </w:rPr>
            </w:pPr>
            <w:r w:rsidRPr="007C3C0A">
              <w:rPr>
                <w:color w:val="000000"/>
                <w:sz w:val="20"/>
              </w:rPr>
              <w:t>Braskem</w:t>
            </w:r>
          </w:p>
        </w:tc>
        <w:tc>
          <w:tcPr>
            <w:tcW w:w="605" w:type="dxa"/>
          </w:tcPr>
          <w:p w:rsidR="00C575E7" w:rsidRPr="007C3C0A" w:rsidRDefault="00C575E7" w:rsidP="007C3C0A">
            <w:pPr>
              <w:ind w:firstLine="0"/>
              <w:jc w:val="center"/>
              <w:rPr>
                <w:sz w:val="20"/>
              </w:rPr>
            </w:pPr>
            <w:r w:rsidRPr="007C3C0A">
              <w:rPr>
                <w:sz w:val="20"/>
              </w:rPr>
              <w:t>BA</w:t>
            </w:r>
          </w:p>
        </w:tc>
        <w:tc>
          <w:tcPr>
            <w:tcW w:w="830" w:type="dxa"/>
          </w:tcPr>
          <w:p w:rsidR="00C575E7" w:rsidRPr="007C3C0A" w:rsidRDefault="00C575E7" w:rsidP="007C3C0A">
            <w:pPr>
              <w:ind w:firstLine="0"/>
              <w:jc w:val="center"/>
              <w:rPr>
                <w:sz w:val="20"/>
              </w:rPr>
            </w:pPr>
            <w:r w:rsidRPr="007C3C0A">
              <w:rPr>
                <w:sz w:val="20"/>
              </w:rPr>
              <w:t>3</w:t>
            </w:r>
          </w:p>
        </w:tc>
        <w:tc>
          <w:tcPr>
            <w:tcW w:w="837" w:type="dxa"/>
          </w:tcPr>
          <w:p w:rsidR="00C575E7" w:rsidRPr="007C3C0A" w:rsidRDefault="00C575E7" w:rsidP="007C3C0A">
            <w:pPr>
              <w:ind w:firstLine="0"/>
              <w:jc w:val="center"/>
              <w:rPr>
                <w:sz w:val="20"/>
              </w:rPr>
            </w:pPr>
            <w:r w:rsidRPr="007C3C0A">
              <w:rPr>
                <w:sz w:val="20"/>
              </w:rPr>
              <w:t>0,67</w:t>
            </w:r>
          </w:p>
        </w:tc>
        <w:tc>
          <w:tcPr>
            <w:tcW w:w="706" w:type="dxa"/>
          </w:tcPr>
          <w:p w:rsidR="00C575E7" w:rsidRPr="007C3C0A" w:rsidRDefault="00C575E7" w:rsidP="007C3C0A">
            <w:pPr>
              <w:ind w:firstLine="0"/>
              <w:jc w:val="center"/>
              <w:rPr>
                <w:sz w:val="20"/>
              </w:rPr>
            </w:pPr>
            <w:r w:rsidRPr="007C3C0A">
              <w:rPr>
                <w:sz w:val="20"/>
              </w:rPr>
              <w:t>6050</w:t>
            </w:r>
          </w:p>
        </w:tc>
        <w:tc>
          <w:tcPr>
            <w:tcW w:w="916" w:type="dxa"/>
          </w:tcPr>
          <w:p w:rsidR="00C575E7" w:rsidRPr="007C3C0A" w:rsidRDefault="00C575E7" w:rsidP="007C3C0A">
            <w:pPr>
              <w:ind w:firstLine="0"/>
              <w:jc w:val="center"/>
              <w:rPr>
                <w:sz w:val="20"/>
              </w:rPr>
            </w:pPr>
            <w:r w:rsidRPr="007C3C0A">
              <w:rPr>
                <w:sz w:val="20"/>
              </w:rPr>
              <w:t>375,30</w:t>
            </w:r>
          </w:p>
        </w:tc>
        <w:tc>
          <w:tcPr>
            <w:tcW w:w="1252" w:type="dxa"/>
          </w:tcPr>
          <w:p w:rsidR="00C575E7" w:rsidRPr="007C3C0A" w:rsidRDefault="00C575E7" w:rsidP="007C3C0A">
            <w:pPr>
              <w:ind w:firstLine="0"/>
              <w:jc w:val="center"/>
              <w:rPr>
                <w:sz w:val="20"/>
              </w:rPr>
            </w:pPr>
            <w:r w:rsidRPr="007C3C0A">
              <w:rPr>
                <w:sz w:val="20"/>
              </w:rPr>
              <w:t>9261,70</w:t>
            </w:r>
          </w:p>
        </w:tc>
        <w:tc>
          <w:tcPr>
            <w:tcW w:w="992" w:type="dxa"/>
          </w:tcPr>
          <w:p w:rsidR="00C575E7" w:rsidRPr="007C3C0A" w:rsidRDefault="00C575E7" w:rsidP="007C3C0A">
            <w:pPr>
              <w:ind w:firstLine="0"/>
              <w:jc w:val="center"/>
              <w:rPr>
                <w:sz w:val="20"/>
              </w:rPr>
            </w:pPr>
            <w:r w:rsidRPr="007C3C0A">
              <w:rPr>
                <w:sz w:val="20"/>
              </w:rPr>
              <w:t>2235,50</w:t>
            </w:r>
          </w:p>
        </w:tc>
        <w:tc>
          <w:tcPr>
            <w:tcW w:w="993" w:type="dxa"/>
          </w:tcPr>
          <w:p w:rsidR="00C575E7" w:rsidRPr="007C3C0A" w:rsidRDefault="00C575E7" w:rsidP="007C3C0A">
            <w:pPr>
              <w:ind w:firstLine="0"/>
              <w:jc w:val="center"/>
              <w:rPr>
                <w:sz w:val="20"/>
              </w:rPr>
            </w:pPr>
            <w:r w:rsidRPr="007C3C0A">
              <w:rPr>
                <w:sz w:val="20"/>
              </w:rPr>
              <w:t>4,10</w:t>
            </w:r>
          </w:p>
        </w:tc>
      </w:tr>
      <w:tr w:rsidR="007C3C0A" w:rsidRPr="00D71A33" w:rsidTr="00A4455A">
        <w:trPr>
          <w:trHeight w:val="20"/>
        </w:trPr>
        <w:tc>
          <w:tcPr>
            <w:tcW w:w="1908" w:type="dxa"/>
            <w:vAlign w:val="bottom"/>
          </w:tcPr>
          <w:p w:rsidR="00C575E7" w:rsidRPr="007C3C0A" w:rsidRDefault="00C575E7" w:rsidP="007C3C0A">
            <w:pPr>
              <w:ind w:firstLine="0"/>
              <w:rPr>
                <w:color w:val="000000"/>
                <w:sz w:val="20"/>
              </w:rPr>
            </w:pPr>
            <w:r w:rsidRPr="007C3C0A">
              <w:rPr>
                <w:color w:val="000000"/>
                <w:sz w:val="20"/>
              </w:rPr>
              <w:t>Adama Brasil</w:t>
            </w:r>
          </w:p>
        </w:tc>
        <w:tc>
          <w:tcPr>
            <w:tcW w:w="605" w:type="dxa"/>
          </w:tcPr>
          <w:p w:rsidR="00C575E7" w:rsidRPr="007C3C0A" w:rsidRDefault="00C575E7" w:rsidP="007C3C0A">
            <w:pPr>
              <w:ind w:firstLine="0"/>
              <w:jc w:val="center"/>
              <w:rPr>
                <w:sz w:val="20"/>
              </w:rPr>
            </w:pPr>
            <w:r w:rsidRPr="007C3C0A">
              <w:rPr>
                <w:sz w:val="20"/>
              </w:rPr>
              <w:t>PR</w:t>
            </w:r>
          </w:p>
        </w:tc>
        <w:tc>
          <w:tcPr>
            <w:tcW w:w="830" w:type="dxa"/>
          </w:tcPr>
          <w:p w:rsidR="00C575E7" w:rsidRPr="007C3C0A" w:rsidRDefault="00C575E7" w:rsidP="007C3C0A">
            <w:pPr>
              <w:ind w:firstLine="0"/>
              <w:jc w:val="center"/>
              <w:rPr>
                <w:sz w:val="20"/>
              </w:rPr>
            </w:pPr>
            <w:r w:rsidRPr="007C3C0A">
              <w:rPr>
                <w:sz w:val="20"/>
              </w:rPr>
              <w:t>4</w:t>
            </w:r>
          </w:p>
        </w:tc>
        <w:tc>
          <w:tcPr>
            <w:tcW w:w="837" w:type="dxa"/>
          </w:tcPr>
          <w:p w:rsidR="00C575E7" w:rsidRPr="007C3C0A" w:rsidRDefault="00C575E7" w:rsidP="007C3C0A">
            <w:pPr>
              <w:ind w:firstLine="0"/>
              <w:jc w:val="center"/>
              <w:rPr>
                <w:sz w:val="20"/>
              </w:rPr>
            </w:pPr>
            <w:r w:rsidRPr="007C3C0A">
              <w:rPr>
                <w:sz w:val="20"/>
              </w:rPr>
              <w:t>0,80</w:t>
            </w:r>
          </w:p>
        </w:tc>
        <w:tc>
          <w:tcPr>
            <w:tcW w:w="706" w:type="dxa"/>
          </w:tcPr>
          <w:p w:rsidR="00C575E7" w:rsidRPr="007C3C0A" w:rsidRDefault="00C575E7" w:rsidP="007C3C0A">
            <w:pPr>
              <w:ind w:firstLine="0"/>
              <w:jc w:val="center"/>
              <w:rPr>
                <w:sz w:val="20"/>
              </w:rPr>
            </w:pPr>
            <w:r w:rsidRPr="007C3C0A">
              <w:rPr>
                <w:sz w:val="20"/>
              </w:rPr>
              <w:t>557</w:t>
            </w:r>
          </w:p>
        </w:tc>
        <w:tc>
          <w:tcPr>
            <w:tcW w:w="916" w:type="dxa"/>
          </w:tcPr>
          <w:p w:rsidR="00C575E7" w:rsidRPr="007C3C0A" w:rsidRDefault="00C575E7" w:rsidP="007C3C0A">
            <w:pPr>
              <w:ind w:firstLine="0"/>
              <w:jc w:val="center"/>
              <w:rPr>
                <w:sz w:val="20"/>
              </w:rPr>
            </w:pPr>
            <w:r w:rsidRPr="007C3C0A">
              <w:rPr>
                <w:sz w:val="20"/>
              </w:rPr>
              <w:t>33,40</w:t>
            </w:r>
          </w:p>
        </w:tc>
        <w:tc>
          <w:tcPr>
            <w:tcW w:w="1252" w:type="dxa"/>
          </w:tcPr>
          <w:p w:rsidR="00C575E7" w:rsidRPr="007C3C0A" w:rsidRDefault="00C575E7" w:rsidP="007C3C0A">
            <w:pPr>
              <w:ind w:firstLine="0"/>
              <w:jc w:val="center"/>
              <w:rPr>
                <w:sz w:val="20"/>
              </w:rPr>
            </w:pPr>
            <w:r w:rsidRPr="007C3C0A">
              <w:rPr>
                <w:sz w:val="20"/>
              </w:rPr>
              <w:t>439,10</w:t>
            </w:r>
          </w:p>
        </w:tc>
        <w:tc>
          <w:tcPr>
            <w:tcW w:w="992" w:type="dxa"/>
          </w:tcPr>
          <w:p w:rsidR="00C575E7" w:rsidRPr="007C3C0A" w:rsidRDefault="00C575E7" w:rsidP="007C3C0A">
            <w:pPr>
              <w:ind w:firstLine="0"/>
              <w:jc w:val="center"/>
              <w:rPr>
                <w:sz w:val="20"/>
              </w:rPr>
            </w:pPr>
            <w:r w:rsidRPr="007C3C0A">
              <w:rPr>
                <w:sz w:val="20"/>
              </w:rPr>
              <w:t>178,70</w:t>
            </w:r>
          </w:p>
        </w:tc>
        <w:tc>
          <w:tcPr>
            <w:tcW w:w="993" w:type="dxa"/>
          </w:tcPr>
          <w:p w:rsidR="00C575E7" w:rsidRPr="007C3C0A" w:rsidRDefault="00C575E7" w:rsidP="007C3C0A">
            <w:pPr>
              <w:ind w:firstLine="0"/>
              <w:jc w:val="center"/>
              <w:rPr>
                <w:sz w:val="20"/>
              </w:rPr>
            </w:pPr>
            <w:r w:rsidRPr="007C3C0A">
              <w:rPr>
                <w:sz w:val="20"/>
              </w:rPr>
              <w:t>7,60</w:t>
            </w:r>
          </w:p>
        </w:tc>
      </w:tr>
      <w:tr w:rsidR="007C3C0A" w:rsidRPr="00D71A33" w:rsidTr="00A4455A">
        <w:trPr>
          <w:trHeight w:val="20"/>
        </w:trPr>
        <w:tc>
          <w:tcPr>
            <w:tcW w:w="1908" w:type="dxa"/>
            <w:vAlign w:val="bottom"/>
          </w:tcPr>
          <w:p w:rsidR="00C575E7" w:rsidRPr="007C3C0A" w:rsidRDefault="00C575E7" w:rsidP="007C3C0A">
            <w:pPr>
              <w:ind w:firstLine="0"/>
              <w:rPr>
                <w:color w:val="000000"/>
                <w:sz w:val="20"/>
              </w:rPr>
            </w:pPr>
            <w:r w:rsidRPr="007C3C0A">
              <w:rPr>
                <w:color w:val="000000"/>
                <w:sz w:val="20"/>
              </w:rPr>
              <w:t>Oxiteno Nordeste</w:t>
            </w:r>
          </w:p>
        </w:tc>
        <w:tc>
          <w:tcPr>
            <w:tcW w:w="605" w:type="dxa"/>
          </w:tcPr>
          <w:p w:rsidR="00C575E7" w:rsidRPr="007C3C0A" w:rsidRDefault="00C575E7" w:rsidP="007C3C0A">
            <w:pPr>
              <w:ind w:firstLine="0"/>
              <w:jc w:val="center"/>
              <w:rPr>
                <w:sz w:val="20"/>
              </w:rPr>
            </w:pPr>
            <w:r w:rsidRPr="007C3C0A">
              <w:rPr>
                <w:sz w:val="20"/>
              </w:rPr>
              <w:t>BA</w:t>
            </w:r>
          </w:p>
        </w:tc>
        <w:tc>
          <w:tcPr>
            <w:tcW w:w="830" w:type="dxa"/>
          </w:tcPr>
          <w:p w:rsidR="00C575E7" w:rsidRPr="007C3C0A" w:rsidRDefault="00C575E7" w:rsidP="007C3C0A">
            <w:pPr>
              <w:ind w:firstLine="0"/>
              <w:jc w:val="center"/>
              <w:rPr>
                <w:sz w:val="20"/>
              </w:rPr>
            </w:pPr>
            <w:r w:rsidRPr="007C3C0A">
              <w:rPr>
                <w:sz w:val="20"/>
              </w:rPr>
              <w:t>5</w:t>
            </w:r>
          </w:p>
        </w:tc>
        <w:tc>
          <w:tcPr>
            <w:tcW w:w="837" w:type="dxa"/>
          </w:tcPr>
          <w:p w:rsidR="00C575E7" w:rsidRPr="007C3C0A" w:rsidRDefault="00C575E7" w:rsidP="007C3C0A">
            <w:pPr>
              <w:ind w:firstLine="0"/>
              <w:jc w:val="center"/>
              <w:rPr>
                <w:sz w:val="20"/>
              </w:rPr>
            </w:pPr>
            <w:r w:rsidRPr="007C3C0A">
              <w:rPr>
                <w:sz w:val="20"/>
              </w:rPr>
              <w:t>1,27</w:t>
            </w:r>
          </w:p>
        </w:tc>
        <w:tc>
          <w:tcPr>
            <w:tcW w:w="706" w:type="dxa"/>
          </w:tcPr>
          <w:p w:rsidR="00C575E7" w:rsidRPr="007C3C0A" w:rsidRDefault="00C575E7" w:rsidP="007C3C0A">
            <w:pPr>
              <w:ind w:firstLine="0"/>
              <w:jc w:val="center"/>
              <w:rPr>
                <w:sz w:val="20"/>
              </w:rPr>
            </w:pPr>
            <w:r w:rsidRPr="007C3C0A">
              <w:rPr>
                <w:sz w:val="20"/>
              </w:rPr>
              <w:t>314</w:t>
            </w:r>
          </w:p>
        </w:tc>
        <w:tc>
          <w:tcPr>
            <w:tcW w:w="916" w:type="dxa"/>
          </w:tcPr>
          <w:p w:rsidR="00C575E7" w:rsidRPr="007C3C0A" w:rsidRDefault="00C575E7" w:rsidP="007C3C0A">
            <w:pPr>
              <w:ind w:firstLine="0"/>
              <w:jc w:val="center"/>
              <w:rPr>
                <w:sz w:val="20"/>
              </w:rPr>
            </w:pPr>
            <w:r w:rsidRPr="007C3C0A">
              <w:rPr>
                <w:sz w:val="20"/>
              </w:rPr>
              <w:t>60,90</w:t>
            </w:r>
          </w:p>
        </w:tc>
        <w:tc>
          <w:tcPr>
            <w:tcW w:w="1252" w:type="dxa"/>
          </w:tcPr>
          <w:p w:rsidR="00C575E7" w:rsidRPr="007C3C0A" w:rsidRDefault="00C575E7" w:rsidP="007C3C0A">
            <w:pPr>
              <w:ind w:firstLine="0"/>
              <w:jc w:val="center"/>
              <w:rPr>
                <w:sz w:val="20"/>
              </w:rPr>
            </w:pPr>
            <w:r w:rsidRPr="007C3C0A">
              <w:rPr>
                <w:sz w:val="20"/>
              </w:rPr>
              <w:t>651,10</w:t>
            </w:r>
          </w:p>
        </w:tc>
        <w:tc>
          <w:tcPr>
            <w:tcW w:w="992" w:type="dxa"/>
          </w:tcPr>
          <w:p w:rsidR="00C575E7" w:rsidRPr="007C3C0A" w:rsidRDefault="00C575E7" w:rsidP="007C3C0A">
            <w:pPr>
              <w:ind w:firstLine="0"/>
              <w:jc w:val="center"/>
              <w:rPr>
                <w:sz w:val="20"/>
              </w:rPr>
            </w:pPr>
            <w:r w:rsidRPr="007C3C0A">
              <w:rPr>
                <w:sz w:val="20"/>
              </w:rPr>
              <w:t>350,10</w:t>
            </w:r>
          </w:p>
        </w:tc>
        <w:tc>
          <w:tcPr>
            <w:tcW w:w="993" w:type="dxa"/>
          </w:tcPr>
          <w:p w:rsidR="00C575E7" w:rsidRPr="007C3C0A" w:rsidRDefault="00C575E7" w:rsidP="007C3C0A">
            <w:pPr>
              <w:ind w:firstLine="0"/>
              <w:jc w:val="center"/>
              <w:rPr>
                <w:sz w:val="20"/>
              </w:rPr>
            </w:pPr>
            <w:r w:rsidRPr="007C3C0A">
              <w:rPr>
                <w:sz w:val="20"/>
              </w:rPr>
              <w:t>9,40</w:t>
            </w:r>
          </w:p>
        </w:tc>
      </w:tr>
      <w:tr w:rsidR="007C3C0A" w:rsidRPr="00D71A33" w:rsidTr="00A4455A">
        <w:trPr>
          <w:trHeight w:val="20"/>
        </w:trPr>
        <w:tc>
          <w:tcPr>
            <w:tcW w:w="1908" w:type="dxa"/>
            <w:vAlign w:val="bottom"/>
          </w:tcPr>
          <w:p w:rsidR="00C575E7" w:rsidRPr="007C3C0A" w:rsidRDefault="00C575E7" w:rsidP="007C3C0A">
            <w:pPr>
              <w:ind w:firstLine="0"/>
              <w:rPr>
                <w:color w:val="000000"/>
                <w:sz w:val="20"/>
              </w:rPr>
            </w:pPr>
            <w:r w:rsidRPr="007C3C0A">
              <w:rPr>
                <w:color w:val="000000"/>
                <w:sz w:val="20"/>
              </w:rPr>
              <w:t>Nufarm</w:t>
            </w:r>
          </w:p>
        </w:tc>
        <w:tc>
          <w:tcPr>
            <w:tcW w:w="605" w:type="dxa"/>
          </w:tcPr>
          <w:p w:rsidR="00C575E7" w:rsidRPr="007C3C0A" w:rsidRDefault="00C575E7" w:rsidP="007C3C0A">
            <w:pPr>
              <w:ind w:firstLine="0"/>
              <w:jc w:val="center"/>
              <w:rPr>
                <w:sz w:val="20"/>
              </w:rPr>
            </w:pPr>
            <w:r w:rsidRPr="007C3C0A">
              <w:rPr>
                <w:sz w:val="20"/>
              </w:rPr>
              <w:t>CE</w:t>
            </w:r>
          </w:p>
        </w:tc>
        <w:tc>
          <w:tcPr>
            <w:tcW w:w="830" w:type="dxa"/>
          </w:tcPr>
          <w:p w:rsidR="00C575E7" w:rsidRPr="007C3C0A" w:rsidRDefault="00C575E7" w:rsidP="007C3C0A">
            <w:pPr>
              <w:ind w:firstLine="0"/>
              <w:jc w:val="center"/>
              <w:rPr>
                <w:sz w:val="20"/>
              </w:rPr>
            </w:pPr>
            <w:r w:rsidRPr="007C3C0A">
              <w:rPr>
                <w:sz w:val="20"/>
              </w:rPr>
              <w:t>6</w:t>
            </w:r>
          </w:p>
        </w:tc>
        <w:tc>
          <w:tcPr>
            <w:tcW w:w="837" w:type="dxa"/>
          </w:tcPr>
          <w:p w:rsidR="00C575E7" w:rsidRPr="007C3C0A" w:rsidRDefault="00C575E7" w:rsidP="007C3C0A">
            <w:pPr>
              <w:ind w:firstLine="0"/>
              <w:jc w:val="center"/>
              <w:rPr>
                <w:sz w:val="20"/>
              </w:rPr>
            </w:pPr>
            <w:r w:rsidRPr="007C3C0A">
              <w:rPr>
                <w:sz w:val="20"/>
              </w:rPr>
              <w:t>1,01</w:t>
            </w:r>
          </w:p>
        </w:tc>
        <w:tc>
          <w:tcPr>
            <w:tcW w:w="706" w:type="dxa"/>
          </w:tcPr>
          <w:p w:rsidR="00C575E7" w:rsidRPr="007C3C0A" w:rsidRDefault="00C575E7" w:rsidP="007C3C0A">
            <w:pPr>
              <w:ind w:firstLine="0"/>
              <w:jc w:val="center"/>
              <w:rPr>
                <w:sz w:val="20"/>
              </w:rPr>
            </w:pPr>
            <w:r w:rsidRPr="007C3C0A">
              <w:rPr>
                <w:sz w:val="20"/>
              </w:rPr>
              <w:t>200</w:t>
            </w:r>
          </w:p>
        </w:tc>
        <w:tc>
          <w:tcPr>
            <w:tcW w:w="916" w:type="dxa"/>
          </w:tcPr>
          <w:p w:rsidR="00C575E7" w:rsidRPr="007C3C0A" w:rsidRDefault="00C575E7" w:rsidP="007C3C0A">
            <w:pPr>
              <w:ind w:firstLine="0"/>
              <w:jc w:val="center"/>
              <w:rPr>
                <w:sz w:val="20"/>
              </w:rPr>
            </w:pPr>
            <w:r w:rsidRPr="007C3C0A">
              <w:rPr>
                <w:sz w:val="20"/>
              </w:rPr>
              <w:t>41,80</w:t>
            </w:r>
          </w:p>
        </w:tc>
        <w:tc>
          <w:tcPr>
            <w:tcW w:w="1252" w:type="dxa"/>
          </w:tcPr>
          <w:p w:rsidR="00C575E7" w:rsidRPr="007C3C0A" w:rsidRDefault="00C575E7" w:rsidP="007C3C0A">
            <w:pPr>
              <w:ind w:firstLine="0"/>
              <w:jc w:val="center"/>
              <w:rPr>
                <w:sz w:val="20"/>
              </w:rPr>
            </w:pPr>
            <w:r w:rsidRPr="007C3C0A">
              <w:rPr>
                <w:sz w:val="20"/>
              </w:rPr>
              <w:t>397,90</w:t>
            </w:r>
          </w:p>
        </w:tc>
        <w:tc>
          <w:tcPr>
            <w:tcW w:w="992" w:type="dxa"/>
          </w:tcPr>
          <w:p w:rsidR="00C575E7" w:rsidRPr="007C3C0A" w:rsidRDefault="00C575E7" w:rsidP="007C3C0A">
            <w:pPr>
              <w:ind w:firstLine="0"/>
              <w:jc w:val="center"/>
              <w:rPr>
                <w:sz w:val="20"/>
              </w:rPr>
            </w:pPr>
            <w:r w:rsidRPr="007C3C0A">
              <w:rPr>
                <w:sz w:val="20"/>
              </w:rPr>
              <w:t>183,50</w:t>
            </w:r>
          </w:p>
        </w:tc>
        <w:tc>
          <w:tcPr>
            <w:tcW w:w="993" w:type="dxa"/>
          </w:tcPr>
          <w:p w:rsidR="00C575E7" w:rsidRPr="007C3C0A" w:rsidRDefault="00C575E7" w:rsidP="007C3C0A">
            <w:pPr>
              <w:ind w:firstLine="0"/>
              <w:jc w:val="center"/>
              <w:rPr>
                <w:sz w:val="20"/>
              </w:rPr>
            </w:pPr>
            <w:r w:rsidRPr="007C3C0A">
              <w:rPr>
                <w:sz w:val="20"/>
              </w:rPr>
              <w:t>10,50</w:t>
            </w:r>
          </w:p>
        </w:tc>
      </w:tr>
      <w:tr w:rsidR="007C3C0A" w:rsidRPr="00D71A33" w:rsidTr="00A4455A">
        <w:trPr>
          <w:trHeight w:val="20"/>
        </w:trPr>
        <w:tc>
          <w:tcPr>
            <w:tcW w:w="1908" w:type="dxa"/>
            <w:vAlign w:val="bottom"/>
          </w:tcPr>
          <w:p w:rsidR="00C575E7" w:rsidRPr="007C3C0A" w:rsidRDefault="00C575E7" w:rsidP="007C3C0A">
            <w:pPr>
              <w:ind w:firstLine="0"/>
              <w:rPr>
                <w:color w:val="000000"/>
                <w:sz w:val="20"/>
              </w:rPr>
            </w:pPr>
            <w:r w:rsidRPr="007C3C0A">
              <w:rPr>
                <w:color w:val="000000"/>
                <w:sz w:val="20"/>
              </w:rPr>
              <w:t>Feripar</w:t>
            </w:r>
          </w:p>
        </w:tc>
        <w:tc>
          <w:tcPr>
            <w:tcW w:w="605" w:type="dxa"/>
          </w:tcPr>
          <w:p w:rsidR="00C575E7" w:rsidRPr="007C3C0A" w:rsidRDefault="00C575E7" w:rsidP="007C3C0A">
            <w:pPr>
              <w:ind w:firstLine="0"/>
              <w:jc w:val="center"/>
              <w:rPr>
                <w:sz w:val="20"/>
              </w:rPr>
            </w:pPr>
            <w:r w:rsidRPr="007C3C0A">
              <w:rPr>
                <w:sz w:val="20"/>
              </w:rPr>
              <w:t>PR</w:t>
            </w:r>
          </w:p>
        </w:tc>
        <w:tc>
          <w:tcPr>
            <w:tcW w:w="830" w:type="dxa"/>
          </w:tcPr>
          <w:p w:rsidR="00C575E7" w:rsidRPr="007C3C0A" w:rsidRDefault="00C575E7" w:rsidP="007C3C0A">
            <w:pPr>
              <w:ind w:firstLine="0"/>
              <w:jc w:val="center"/>
              <w:rPr>
                <w:sz w:val="20"/>
              </w:rPr>
            </w:pPr>
            <w:r w:rsidRPr="007C3C0A">
              <w:rPr>
                <w:sz w:val="20"/>
              </w:rPr>
              <w:t>7</w:t>
            </w:r>
          </w:p>
        </w:tc>
        <w:tc>
          <w:tcPr>
            <w:tcW w:w="837" w:type="dxa"/>
          </w:tcPr>
          <w:p w:rsidR="00C575E7" w:rsidRPr="007C3C0A" w:rsidRDefault="00C575E7" w:rsidP="007C3C0A">
            <w:pPr>
              <w:ind w:firstLine="0"/>
              <w:jc w:val="center"/>
              <w:rPr>
                <w:sz w:val="20"/>
              </w:rPr>
            </w:pPr>
            <w:r w:rsidRPr="007C3C0A">
              <w:rPr>
                <w:sz w:val="20"/>
              </w:rPr>
              <w:t>0,98</w:t>
            </w:r>
          </w:p>
        </w:tc>
        <w:tc>
          <w:tcPr>
            <w:tcW w:w="706" w:type="dxa"/>
          </w:tcPr>
          <w:p w:rsidR="00C575E7" w:rsidRPr="007C3C0A" w:rsidRDefault="00C575E7" w:rsidP="007C3C0A">
            <w:pPr>
              <w:ind w:firstLine="0"/>
              <w:jc w:val="center"/>
              <w:rPr>
                <w:sz w:val="20"/>
              </w:rPr>
            </w:pPr>
            <w:r w:rsidRPr="007C3C0A">
              <w:rPr>
                <w:sz w:val="20"/>
              </w:rPr>
              <w:t>807</w:t>
            </w:r>
          </w:p>
        </w:tc>
        <w:tc>
          <w:tcPr>
            <w:tcW w:w="916" w:type="dxa"/>
          </w:tcPr>
          <w:p w:rsidR="00C575E7" w:rsidRPr="007C3C0A" w:rsidRDefault="00C575E7" w:rsidP="007C3C0A">
            <w:pPr>
              <w:ind w:firstLine="0"/>
              <w:jc w:val="center"/>
              <w:rPr>
                <w:sz w:val="20"/>
              </w:rPr>
            </w:pPr>
            <w:r w:rsidRPr="007C3C0A">
              <w:rPr>
                <w:sz w:val="20"/>
              </w:rPr>
              <w:t>107,40</w:t>
            </w:r>
          </w:p>
        </w:tc>
        <w:tc>
          <w:tcPr>
            <w:tcW w:w="1252" w:type="dxa"/>
          </w:tcPr>
          <w:p w:rsidR="00C575E7" w:rsidRPr="007C3C0A" w:rsidRDefault="00C575E7" w:rsidP="007C3C0A">
            <w:pPr>
              <w:ind w:firstLine="0"/>
              <w:jc w:val="center"/>
              <w:rPr>
                <w:sz w:val="20"/>
              </w:rPr>
            </w:pPr>
            <w:r w:rsidRPr="007C3C0A">
              <w:rPr>
                <w:sz w:val="20"/>
              </w:rPr>
              <w:t>523,50</w:t>
            </w:r>
          </w:p>
        </w:tc>
        <w:tc>
          <w:tcPr>
            <w:tcW w:w="992" w:type="dxa"/>
          </w:tcPr>
          <w:p w:rsidR="00C575E7" w:rsidRPr="007C3C0A" w:rsidRDefault="00C575E7" w:rsidP="007C3C0A">
            <w:pPr>
              <w:ind w:firstLine="0"/>
              <w:jc w:val="center"/>
              <w:rPr>
                <w:sz w:val="20"/>
              </w:rPr>
            </w:pPr>
            <w:r w:rsidRPr="007C3C0A">
              <w:rPr>
                <w:sz w:val="20"/>
              </w:rPr>
              <w:t>428,50</w:t>
            </w:r>
          </w:p>
        </w:tc>
        <w:tc>
          <w:tcPr>
            <w:tcW w:w="993" w:type="dxa"/>
          </w:tcPr>
          <w:p w:rsidR="00C575E7" w:rsidRPr="007C3C0A" w:rsidRDefault="00C575E7" w:rsidP="007C3C0A">
            <w:pPr>
              <w:ind w:firstLine="0"/>
              <w:jc w:val="center"/>
              <w:rPr>
                <w:sz w:val="20"/>
              </w:rPr>
            </w:pPr>
            <w:r w:rsidRPr="007C3C0A">
              <w:rPr>
                <w:sz w:val="20"/>
              </w:rPr>
              <w:t>20,50</w:t>
            </w:r>
          </w:p>
        </w:tc>
      </w:tr>
      <w:tr w:rsidR="007C3C0A" w:rsidRPr="00D71A33" w:rsidTr="00A4455A">
        <w:trPr>
          <w:trHeight w:val="20"/>
        </w:trPr>
        <w:tc>
          <w:tcPr>
            <w:tcW w:w="1908" w:type="dxa"/>
            <w:vAlign w:val="bottom"/>
          </w:tcPr>
          <w:p w:rsidR="00C575E7" w:rsidRPr="007C3C0A" w:rsidRDefault="00C575E7" w:rsidP="007C3C0A">
            <w:pPr>
              <w:ind w:firstLine="0"/>
              <w:rPr>
                <w:color w:val="000000"/>
                <w:sz w:val="20"/>
              </w:rPr>
            </w:pPr>
            <w:r w:rsidRPr="007C3C0A">
              <w:rPr>
                <w:color w:val="000000"/>
                <w:sz w:val="20"/>
              </w:rPr>
              <w:t>Syngenta</w:t>
            </w:r>
          </w:p>
        </w:tc>
        <w:tc>
          <w:tcPr>
            <w:tcW w:w="605" w:type="dxa"/>
          </w:tcPr>
          <w:p w:rsidR="00C575E7" w:rsidRPr="007C3C0A" w:rsidRDefault="00C575E7" w:rsidP="007C3C0A">
            <w:pPr>
              <w:ind w:firstLine="0"/>
              <w:jc w:val="center"/>
              <w:rPr>
                <w:sz w:val="20"/>
              </w:rPr>
            </w:pPr>
            <w:r w:rsidRPr="007C3C0A">
              <w:rPr>
                <w:sz w:val="20"/>
              </w:rPr>
              <w:t>SP</w:t>
            </w:r>
          </w:p>
        </w:tc>
        <w:tc>
          <w:tcPr>
            <w:tcW w:w="830" w:type="dxa"/>
          </w:tcPr>
          <w:p w:rsidR="00C575E7" w:rsidRPr="007C3C0A" w:rsidRDefault="00C575E7" w:rsidP="007C3C0A">
            <w:pPr>
              <w:ind w:firstLine="0"/>
              <w:jc w:val="center"/>
              <w:rPr>
                <w:sz w:val="20"/>
              </w:rPr>
            </w:pPr>
            <w:r w:rsidRPr="007C3C0A">
              <w:rPr>
                <w:sz w:val="20"/>
              </w:rPr>
              <w:t>8</w:t>
            </w:r>
          </w:p>
        </w:tc>
        <w:tc>
          <w:tcPr>
            <w:tcW w:w="837" w:type="dxa"/>
          </w:tcPr>
          <w:p w:rsidR="00C575E7" w:rsidRPr="007C3C0A" w:rsidRDefault="00C575E7" w:rsidP="007C3C0A">
            <w:pPr>
              <w:ind w:firstLine="0"/>
              <w:jc w:val="center"/>
              <w:rPr>
                <w:sz w:val="20"/>
              </w:rPr>
            </w:pPr>
            <w:r w:rsidRPr="007C3C0A">
              <w:rPr>
                <w:sz w:val="20"/>
              </w:rPr>
              <w:t>1,12</w:t>
            </w:r>
          </w:p>
        </w:tc>
        <w:tc>
          <w:tcPr>
            <w:tcW w:w="706" w:type="dxa"/>
          </w:tcPr>
          <w:p w:rsidR="00C575E7" w:rsidRPr="007C3C0A" w:rsidRDefault="00C575E7" w:rsidP="007C3C0A">
            <w:pPr>
              <w:ind w:firstLine="0"/>
              <w:jc w:val="center"/>
              <w:rPr>
                <w:sz w:val="20"/>
              </w:rPr>
            </w:pPr>
            <w:r w:rsidRPr="007C3C0A">
              <w:rPr>
                <w:sz w:val="20"/>
              </w:rPr>
              <w:t>4300</w:t>
            </w:r>
          </w:p>
        </w:tc>
        <w:tc>
          <w:tcPr>
            <w:tcW w:w="916" w:type="dxa"/>
          </w:tcPr>
          <w:p w:rsidR="00C575E7" w:rsidRPr="007C3C0A" w:rsidRDefault="00C575E7" w:rsidP="007C3C0A">
            <w:pPr>
              <w:ind w:firstLine="0"/>
              <w:jc w:val="center"/>
              <w:rPr>
                <w:sz w:val="20"/>
              </w:rPr>
            </w:pPr>
            <w:r w:rsidRPr="007C3C0A">
              <w:rPr>
                <w:sz w:val="20"/>
              </w:rPr>
              <w:t>99,90</w:t>
            </w:r>
          </w:p>
        </w:tc>
        <w:tc>
          <w:tcPr>
            <w:tcW w:w="1252" w:type="dxa"/>
          </w:tcPr>
          <w:p w:rsidR="00C575E7" w:rsidRPr="007C3C0A" w:rsidRDefault="00C575E7" w:rsidP="007C3C0A">
            <w:pPr>
              <w:ind w:firstLine="0"/>
              <w:jc w:val="center"/>
              <w:rPr>
                <w:sz w:val="20"/>
              </w:rPr>
            </w:pPr>
            <w:r w:rsidRPr="007C3C0A">
              <w:rPr>
                <w:sz w:val="20"/>
              </w:rPr>
              <w:t>2463,90</w:t>
            </w:r>
          </w:p>
        </w:tc>
        <w:tc>
          <w:tcPr>
            <w:tcW w:w="992" w:type="dxa"/>
          </w:tcPr>
          <w:p w:rsidR="00C575E7" w:rsidRPr="007C3C0A" w:rsidRDefault="00C575E7" w:rsidP="007C3C0A">
            <w:pPr>
              <w:ind w:firstLine="0"/>
              <w:jc w:val="center"/>
              <w:rPr>
                <w:sz w:val="20"/>
              </w:rPr>
            </w:pPr>
            <w:r w:rsidRPr="007C3C0A">
              <w:rPr>
                <w:sz w:val="20"/>
              </w:rPr>
              <w:t>1143,90</w:t>
            </w:r>
          </w:p>
        </w:tc>
        <w:tc>
          <w:tcPr>
            <w:tcW w:w="993" w:type="dxa"/>
          </w:tcPr>
          <w:p w:rsidR="00C575E7" w:rsidRPr="007C3C0A" w:rsidRDefault="00C575E7" w:rsidP="007C3C0A">
            <w:pPr>
              <w:ind w:firstLine="0"/>
              <w:jc w:val="center"/>
              <w:rPr>
                <w:sz w:val="20"/>
              </w:rPr>
            </w:pPr>
            <w:r w:rsidRPr="007C3C0A">
              <w:rPr>
                <w:sz w:val="20"/>
              </w:rPr>
              <w:t>4,10</w:t>
            </w:r>
          </w:p>
        </w:tc>
      </w:tr>
      <w:tr w:rsidR="007C3C0A" w:rsidRPr="00D71A33" w:rsidTr="00A4455A">
        <w:trPr>
          <w:trHeight w:val="20"/>
        </w:trPr>
        <w:tc>
          <w:tcPr>
            <w:tcW w:w="1908" w:type="dxa"/>
            <w:vAlign w:val="bottom"/>
          </w:tcPr>
          <w:p w:rsidR="00C575E7" w:rsidRPr="007C3C0A" w:rsidRDefault="00C575E7" w:rsidP="007C3C0A">
            <w:pPr>
              <w:ind w:firstLine="0"/>
              <w:rPr>
                <w:color w:val="000000"/>
                <w:sz w:val="20"/>
              </w:rPr>
            </w:pPr>
            <w:r w:rsidRPr="007C3C0A">
              <w:rPr>
                <w:color w:val="000000"/>
                <w:sz w:val="20"/>
              </w:rPr>
              <w:t>Odebrecht Oil e Gas</w:t>
            </w:r>
          </w:p>
        </w:tc>
        <w:tc>
          <w:tcPr>
            <w:tcW w:w="605" w:type="dxa"/>
          </w:tcPr>
          <w:p w:rsidR="00C575E7" w:rsidRPr="007C3C0A" w:rsidRDefault="00C575E7" w:rsidP="007C3C0A">
            <w:pPr>
              <w:ind w:firstLine="0"/>
              <w:jc w:val="center"/>
              <w:rPr>
                <w:sz w:val="20"/>
              </w:rPr>
            </w:pPr>
            <w:r w:rsidRPr="007C3C0A">
              <w:rPr>
                <w:sz w:val="20"/>
              </w:rPr>
              <w:t>RJ</w:t>
            </w:r>
          </w:p>
        </w:tc>
        <w:tc>
          <w:tcPr>
            <w:tcW w:w="830" w:type="dxa"/>
          </w:tcPr>
          <w:p w:rsidR="00C575E7" w:rsidRPr="007C3C0A" w:rsidRDefault="00C575E7" w:rsidP="007C3C0A">
            <w:pPr>
              <w:ind w:firstLine="0"/>
              <w:jc w:val="center"/>
              <w:rPr>
                <w:sz w:val="20"/>
              </w:rPr>
            </w:pPr>
            <w:r w:rsidRPr="007C3C0A">
              <w:rPr>
                <w:sz w:val="20"/>
              </w:rPr>
              <w:t>9</w:t>
            </w:r>
          </w:p>
        </w:tc>
        <w:tc>
          <w:tcPr>
            <w:tcW w:w="837" w:type="dxa"/>
          </w:tcPr>
          <w:p w:rsidR="00C575E7" w:rsidRPr="007C3C0A" w:rsidRDefault="00C575E7" w:rsidP="007C3C0A">
            <w:pPr>
              <w:ind w:firstLine="0"/>
              <w:jc w:val="center"/>
              <w:rPr>
                <w:sz w:val="20"/>
              </w:rPr>
            </w:pPr>
            <w:r w:rsidRPr="007C3C0A">
              <w:rPr>
                <w:sz w:val="20"/>
              </w:rPr>
              <w:t>0,32</w:t>
            </w:r>
          </w:p>
        </w:tc>
        <w:tc>
          <w:tcPr>
            <w:tcW w:w="706" w:type="dxa"/>
          </w:tcPr>
          <w:p w:rsidR="00C575E7" w:rsidRPr="007C3C0A" w:rsidRDefault="00C575E7" w:rsidP="007C3C0A">
            <w:pPr>
              <w:ind w:firstLine="0"/>
              <w:jc w:val="center"/>
              <w:rPr>
                <w:sz w:val="20"/>
              </w:rPr>
            </w:pPr>
            <w:r w:rsidRPr="007C3C0A">
              <w:rPr>
                <w:sz w:val="20"/>
              </w:rPr>
              <w:t>500</w:t>
            </w:r>
          </w:p>
        </w:tc>
        <w:tc>
          <w:tcPr>
            <w:tcW w:w="916" w:type="dxa"/>
          </w:tcPr>
          <w:p w:rsidR="00C575E7" w:rsidRPr="007C3C0A" w:rsidRDefault="00C575E7" w:rsidP="007C3C0A">
            <w:pPr>
              <w:ind w:firstLine="0"/>
              <w:jc w:val="center"/>
              <w:rPr>
                <w:sz w:val="20"/>
              </w:rPr>
            </w:pPr>
            <w:r w:rsidRPr="007C3C0A">
              <w:rPr>
                <w:sz w:val="20"/>
              </w:rPr>
              <w:t>-56,10</w:t>
            </w:r>
          </w:p>
        </w:tc>
        <w:tc>
          <w:tcPr>
            <w:tcW w:w="1252" w:type="dxa"/>
          </w:tcPr>
          <w:p w:rsidR="00C575E7" w:rsidRPr="007C3C0A" w:rsidRDefault="00C575E7" w:rsidP="007C3C0A">
            <w:pPr>
              <w:ind w:firstLine="0"/>
              <w:jc w:val="center"/>
              <w:rPr>
                <w:sz w:val="20"/>
              </w:rPr>
            </w:pPr>
            <w:r w:rsidRPr="007C3C0A">
              <w:rPr>
                <w:sz w:val="20"/>
              </w:rPr>
              <w:t>426,00</w:t>
            </w:r>
          </w:p>
        </w:tc>
        <w:tc>
          <w:tcPr>
            <w:tcW w:w="992" w:type="dxa"/>
          </w:tcPr>
          <w:p w:rsidR="00C575E7" w:rsidRPr="007C3C0A" w:rsidRDefault="00C575E7" w:rsidP="007C3C0A">
            <w:pPr>
              <w:ind w:firstLine="0"/>
              <w:jc w:val="center"/>
              <w:rPr>
                <w:sz w:val="20"/>
              </w:rPr>
            </w:pPr>
            <w:r w:rsidRPr="007C3C0A">
              <w:rPr>
                <w:sz w:val="20"/>
              </w:rPr>
              <w:t>766,20</w:t>
            </w:r>
          </w:p>
        </w:tc>
        <w:tc>
          <w:tcPr>
            <w:tcW w:w="993" w:type="dxa"/>
          </w:tcPr>
          <w:p w:rsidR="00C575E7" w:rsidRPr="007C3C0A" w:rsidRDefault="00C575E7" w:rsidP="007C3C0A">
            <w:pPr>
              <w:ind w:firstLine="0"/>
              <w:jc w:val="center"/>
              <w:rPr>
                <w:sz w:val="20"/>
              </w:rPr>
            </w:pPr>
            <w:r w:rsidRPr="007C3C0A">
              <w:rPr>
                <w:sz w:val="20"/>
              </w:rPr>
              <w:t>-13,20</w:t>
            </w:r>
          </w:p>
        </w:tc>
      </w:tr>
      <w:tr w:rsidR="007C3C0A" w:rsidRPr="00D71A33" w:rsidTr="00A4455A">
        <w:trPr>
          <w:trHeight w:val="20"/>
        </w:trPr>
        <w:tc>
          <w:tcPr>
            <w:tcW w:w="1908" w:type="dxa"/>
            <w:vAlign w:val="bottom"/>
          </w:tcPr>
          <w:p w:rsidR="00C575E7" w:rsidRPr="007C3C0A" w:rsidRDefault="00C575E7" w:rsidP="007C3C0A">
            <w:pPr>
              <w:ind w:firstLine="0"/>
              <w:rPr>
                <w:color w:val="000000"/>
                <w:sz w:val="20"/>
              </w:rPr>
            </w:pPr>
            <w:r w:rsidRPr="007C3C0A">
              <w:rPr>
                <w:color w:val="000000"/>
                <w:sz w:val="20"/>
              </w:rPr>
              <w:t>Akzo Nobel</w:t>
            </w:r>
          </w:p>
        </w:tc>
        <w:tc>
          <w:tcPr>
            <w:tcW w:w="605" w:type="dxa"/>
          </w:tcPr>
          <w:p w:rsidR="00C575E7" w:rsidRPr="007C3C0A" w:rsidRDefault="00C575E7" w:rsidP="007C3C0A">
            <w:pPr>
              <w:ind w:firstLine="0"/>
              <w:jc w:val="center"/>
              <w:rPr>
                <w:sz w:val="20"/>
              </w:rPr>
            </w:pPr>
            <w:r w:rsidRPr="007C3C0A">
              <w:rPr>
                <w:sz w:val="20"/>
              </w:rPr>
              <w:t>SP</w:t>
            </w:r>
          </w:p>
        </w:tc>
        <w:tc>
          <w:tcPr>
            <w:tcW w:w="830" w:type="dxa"/>
          </w:tcPr>
          <w:p w:rsidR="00C575E7" w:rsidRPr="007C3C0A" w:rsidRDefault="00C575E7" w:rsidP="007C3C0A">
            <w:pPr>
              <w:ind w:firstLine="0"/>
              <w:jc w:val="center"/>
              <w:rPr>
                <w:sz w:val="20"/>
              </w:rPr>
            </w:pPr>
            <w:r w:rsidRPr="007C3C0A">
              <w:rPr>
                <w:sz w:val="20"/>
              </w:rPr>
              <w:t>10</w:t>
            </w:r>
          </w:p>
        </w:tc>
        <w:tc>
          <w:tcPr>
            <w:tcW w:w="837" w:type="dxa"/>
          </w:tcPr>
          <w:p w:rsidR="00C575E7" w:rsidRPr="007C3C0A" w:rsidRDefault="00C575E7" w:rsidP="007C3C0A">
            <w:pPr>
              <w:ind w:firstLine="0"/>
              <w:jc w:val="center"/>
              <w:rPr>
                <w:sz w:val="20"/>
              </w:rPr>
            </w:pPr>
            <w:r w:rsidRPr="007C3C0A">
              <w:rPr>
                <w:sz w:val="20"/>
              </w:rPr>
              <w:t>1,42</w:t>
            </w:r>
          </w:p>
        </w:tc>
        <w:tc>
          <w:tcPr>
            <w:tcW w:w="706" w:type="dxa"/>
          </w:tcPr>
          <w:p w:rsidR="00C575E7" w:rsidRPr="007C3C0A" w:rsidRDefault="00C575E7" w:rsidP="007C3C0A">
            <w:pPr>
              <w:ind w:firstLine="0"/>
              <w:jc w:val="center"/>
              <w:rPr>
                <w:sz w:val="20"/>
              </w:rPr>
            </w:pPr>
            <w:r w:rsidRPr="007C3C0A">
              <w:rPr>
                <w:sz w:val="20"/>
              </w:rPr>
              <w:t>2613</w:t>
            </w:r>
          </w:p>
        </w:tc>
        <w:tc>
          <w:tcPr>
            <w:tcW w:w="916" w:type="dxa"/>
          </w:tcPr>
          <w:p w:rsidR="00C575E7" w:rsidRPr="007C3C0A" w:rsidRDefault="00C575E7" w:rsidP="007C3C0A">
            <w:pPr>
              <w:ind w:firstLine="0"/>
              <w:jc w:val="center"/>
              <w:rPr>
                <w:sz w:val="20"/>
              </w:rPr>
            </w:pPr>
            <w:r w:rsidRPr="007C3C0A">
              <w:rPr>
                <w:sz w:val="20"/>
              </w:rPr>
              <w:t>43,40</w:t>
            </w:r>
          </w:p>
        </w:tc>
        <w:tc>
          <w:tcPr>
            <w:tcW w:w="1252" w:type="dxa"/>
          </w:tcPr>
          <w:p w:rsidR="00C575E7" w:rsidRPr="007C3C0A" w:rsidRDefault="00C575E7" w:rsidP="007C3C0A">
            <w:pPr>
              <w:ind w:firstLine="0"/>
              <w:jc w:val="center"/>
              <w:rPr>
                <w:sz w:val="20"/>
              </w:rPr>
            </w:pPr>
            <w:r w:rsidRPr="007C3C0A">
              <w:rPr>
                <w:sz w:val="20"/>
              </w:rPr>
              <w:t>785,30</w:t>
            </w:r>
          </w:p>
        </w:tc>
        <w:tc>
          <w:tcPr>
            <w:tcW w:w="992" w:type="dxa"/>
          </w:tcPr>
          <w:p w:rsidR="00C575E7" w:rsidRPr="007C3C0A" w:rsidRDefault="00C575E7" w:rsidP="007C3C0A">
            <w:pPr>
              <w:ind w:firstLine="0"/>
              <w:jc w:val="center"/>
              <w:rPr>
                <w:sz w:val="20"/>
              </w:rPr>
            </w:pPr>
            <w:r w:rsidRPr="007C3C0A">
              <w:rPr>
                <w:sz w:val="20"/>
              </w:rPr>
              <w:t>204,20</w:t>
            </w:r>
          </w:p>
        </w:tc>
        <w:tc>
          <w:tcPr>
            <w:tcW w:w="993" w:type="dxa"/>
          </w:tcPr>
          <w:p w:rsidR="00C575E7" w:rsidRPr="007C3C0A" w:rsidRDefault="00C575E7" w:rsidP="007C3C0A">
            <w:pPr>
              <w:ind w:firstLine="0"/>
              <w:jc w:val="center"/>
              <w:rPr>
                <w:sz w:val="20"/>
              </w:rPr>
            </w:pPr>
            <w:r w:rsidRPr="007C3C0A">
              <w:rPr>
                <w:sz w:val="20"/>
              </w:rPr>
              <w:t>5,50</w:t>
            </w:r>
          </w:p>
        </w:tc>
      </w:tr>
      <w:tr w:rsidR="007C3C0A" w:rsidRPr="00D71A33" w:rsidTr="00A4455A">
        <w:trPr>
          <w:trHeight w:val="20"/>
        </w:trPr>
        <w:tc>
          <w:tcPr>
            <w:tcW w:w="1908" w:type="dxa"/>
            <w:vAlign w:val="bottom"/>
          </w:tcPr>
          <w:p w:rsidR="00C575E7" w:rsidRPr="007C3C0A" w:rsidRDefault="00C575E7" w:rsidP="007C3C0A">
            <w:pPr>
              <w:ind w:firstLine="0"/>
              <w:rPr>
                <w:color w:val="000000"/>
                <w:sz w:val="20"/>
              </w:rPr>
            </w:pPr>
            <w:r w:rsidRPr="007C3C0A">
              <w:rPr>
                <w:color w:val="000000"/>
                <w:sz w:val="20"/>
              </w:rPr>
              <w:t>Yara Brasil</w:t>
            </w:r>
          </w:p>
        </w:tc>
        <w:tc>
          <w:tcPr>
            <w:tcW w:w="605" w:type="dxa"/>
          </w:tcPr>
          <w:p w:rsidR="00C575E7" w:rsidRPr="007C3C0A" w:rsidRDefault="00C575E7" w:rsidP="007C3C0A">
            <w:pPr>
              <w:ind w:firstLine="0"/>
              <w:jc w:val="center"/>
              <w:rPr>
                <w:sz w:val="20"/>
              </w:rPr>
            </w:pPr>
            <w:r w:rsidRPr="007C3C0A">
              <w:rPr>
                <w:sz w:val="20"/>
              </w:rPr>
              <w:t>RS</w:t>
            </w:r>
          </w:p>
        </w:tc>
        <w:tc>
          <w:tcPr>
            <w:tcW w:w="830" w:type="dxa"/>
          </w:tcPr>
          <w:p w:rsidR="00C575E7" w:rsidRPr="007C3C0A" w:rsidRDefault="00C575E7" w:rsidP="007C3C0A">
            <w:pPr>
              <w:ind w:firstLine="0"/>
              <w:jc w:val="center"/>
              <w:rPr>
                <w:sz w:val="20"/>
              </w:rPr>
            </w:pPr>
            <w:r w:rsidRPr="007C3C0A">
              <w:rPr>
                <w:sz w:val="20"/>
              </w:rPr>
              <w:t>11</w:t>
            </w:r>
          </w:p>
        </w:tc>
        <w:tc>
          <w:tcPr>
            <w:tcW w:w="837" w:type="dxa"/>
          </w:tcPr>
          <w:p w:rsidR="00C575E7" w:rsidRPr="007C3C0A" w:rsidRDefault="00C575E7" w:rsidP="007C3C0A">
            <w:pPr>
              <w:ind w:firstLine="0"/>
              <w:jc w:val="center"/>
              <w:rPr>
                <w:sz w:val="20"/>
              </w:rPr>
            </w:pPr>
            <w:r w:rsidRPr="007C3C0A">
              <w:rPr>
                <w:sz w:val="20"/>
              </w:rPr>
              <w:t>2,01</w:t>
            </w:r>
          </w:p>
        </w:tc>
        <w:tc>
          <w:tcPr>
            <w:tcW w:w="706" w:type="dxa"/>
          </w:tcPr>
          <w:p w:rsidR="00C575E7" w:rsidRPr="007C3C0A" w:rsidRDefault="00C575E7" w:rsidP="007C3C0A">
            <w:pPr>
              <w:ind w:firstLine="0"/>
              <w:jc w:val="center"/>
              <w:rPr>
                <w:sz w:val="20"/>
              </w:rPr>
            </w:pPr>
            <w:r w:rsidRPr="007C3C0A">
              <w:rPr>
                <w:sz w:val="20"/>
              </w:rPr>
              <w:t>2882</w:t>
            </w:r>
          </w:p>
        </w:tc>
        <w:tc>
          <w:tcPr>
            <w:tcW w:w="916" w:type="dxa"/>
          </w:tcPr>
          <w:p w:rsidR="00C575E7" w:rsidRPr="007C3C0A" w:rsidRDefault="00C575E7" w:rsidP="007C3C0A">
            <w:pPr>
              <w:ind w:firstLine="0"/>
              <w:jc w:val="center"/>
              <w:rPr>
                <w:sz w:val="20"/>
              </w:rPr>
            </w:pPr>
            <w:r w:rsidRPr="007C3C0A">
              <w:rPr>
                <w:sz w:val="20"/>
              </w:rPr>
              <w:t>-46,20</w:t>
            </w:r>
          </w:p>
        </w:tc>
        <w:tc>
          <w:tcPr>
            <w:tcW w:w="1252" w:type="dxa"/>
          </w:tcPr>
          <w:p w:rsidR="00C575E7" w:rsidRPr="007C3C0A" w:rsidRDefault="00C575E7" w:rsidP="007C3C0A">
            <w:pPr>
              <w:ind w:firstLine="0"/>
              <w:jc w:val="center"/>
              <w:rPr>
                <w:sz w:val="20"/>
              </w:rPr>
            </w:pPr>
            <w:r w:rsidRPr="007C3C0A">
              <w:rPr>
                <w:sz w:val="20"/>
              </w:rPr>
              <w:t>2932,20</w:t>
            </w:r>
          </w:p>
        </w:tc>
        <w:tc>
          <w:tcPr>
            <w:tcW w:w="992" w:type="dxa"/>
          </w:tcPr>
          <w:p w:rsidR="00C575E7" w:rsidRPr="007C3C0A" w:rsidRDefault="00C575E7" w:rsidP="007C3C0A">
            <w:pPr>
              <w:ind w:firstLine="0"/>
              <w:jc w:val="center"/>
              <w:rPr>
                <w:sz w:val="20"/>
              </w:rPr>
            </w:pPr>
            <w:r w:rsidRPr="007C3C0A">
              <w:rPr>
                <w:sz w:val="20"/>
              </w:rPr>
              <w:t>364,80</w:t>
            </w:r>
          </w:p>
        </w:tc>
        <w:tc>
          <w:tcPr>
            <w:tcW w:w="993" w:type="dxa"/>
          </w:tcPr>
          <w:p w:rsidR="00C575E7" w:rsidRPr="007C3C0A" w:rsidRDefault="00C575E7" w:rsidP="007C3C0A">
            <w:pPr>
              <w:ind w:firstLine="0"/>
              <w:jc w:val="center"/>
              <w:rPr>
                <w:sz w:val="20"/>
              </w:rPr>
            </w:pPr>
            <w:r w:rsidRPr="007C3C0A">
              <w:rPr>
                <w:sz w:val="20"/>
              </w:rPr>
              <w:t>-1,60</w:t>
            </w:r>
          </w:p>
        </w:tc>
      </w:tr>
      <w:tr w:rsidR="007C3C0A" w:rsidRPr="00D71A33" w:rsidTr="00A4455A">
        <w:trPr>
          <w:trHeight w:val="20"/>
        </w:trPr>
        <w:tc>
          <w:tcPr>
            <w:tcW w:w="1908" w:type="dxa"/>
            <w:vAlign w:val="bottom"/>
          </w:tcPr>
          <w:p w:rsidR="00C575E7" w:rsidRPr="007C3C0A" w:rsidRDefault="00C575E7" w:rsidP="007C3C0A">
            <w:pPr>
              <w:ind w:firstLine="0"/>
              <w:rPr>
                <w:color w:val="000000"/>
                <w:sz w:val="20"/>
              </w:rPr>
            </w:pPr>
            <w:r w:rsidRPr="007C3C0A">
              <w:rPr>
                <w:color w:val="000000"/>
                <w:sz w:val="20"/>
              </w:rPr>
              <w:t>Basf</w:t>
            </w:r>
          </w:p>
        </w:tc>
        <w:tc>
          <w:tcPr>
            <w:tcW w:w="605" w:type="dxa"/>
          </w:tcPr>
          <w:p w:rsidR="00C575E7" w:rsidRPr="007C3C0A" w:rsidRDefault="00C575E7" w:rsidP="007C3C0A">
            <w:pPr>
              <w:ind w:firstLine="0"/>
              <w:jc w:val="center"/>
              <w:rPr>
                <w:sz w:val="20"/>
              </w:rPr>
            </w:pPr>
            <w:r w:rsidRPr="007C3C0A">
              <w:rPr>
                <w:sz w:val="20"/>
              </w:rPr>
              <w:t>SP</w:t>
            </w:r>
          </w:p>
        </w:tc>
        <w:tc>
          <w:tcPr>
            <w:tcW w:w="830" w:type="dxa"/>
          </w:tcPr>
          <w:p w:rsidR="00C575E7" w:rsidRPr="007C3C0A" w:rsidRDefault="00C575E7" w:rsidP="007C3C0A">
            <w:pPr>
              <w:ind w:firstLine="0"/>
              <w:jc w:val="center"/>
              <w:rPr>
                <w:sz w:val="20"/>
              </w:rPr>
            </w:pPr>
            <w:r w:rsidRPr="007C3C0A">
              <w:rPr>
                <w:sz w:val="20"/>
              </w:rPr>
              <w:t>12</w:t>
            </w:r>
          </w:p>
        </w:tc>
        <w:tc>
          <w:tcPr>
            <w:tcW w:w="837" w:type="dxa"/>
          </w:tcPr>
          <w:p w:rsidR="00C575E7" w:rsidRPr="007C3C0A" w:rsidRDefault="00C575E7" w:rsidP="007C3C0A">
            <w:pPr>
              <w:ind w:firstLine="0"/>
              <w:jc w:val="center"/>
              <w:rPr>
                <w:sz w:val="20"/>
              </w:rPr>
            </w:pPr>
            <w:r w:rsidRPr="007C3C0A">
              <w:rPr>
                <w:sz w:val="20"/>
              </w:rPr>
              <w:t>0,91</w:t>
            </w:r>
          </w:p>
        </w:tc>
        <w:tc>
          <w:tcPr>
            <w:tcW w:w="706" w:type="dxa"/>
          </w:tcPr>
          <w:p w:rsidR="00C575E7" w:rsidRPr="007C3C0A" w:rsidRDefault="00C575E7" w:rsidP="007C3C0A">
            <w:pPr>
              <w:ind w:firstLine="0"/>
              <w:jc w:val="center"/>
              <w:rPr>
                <w:sz w:val="20"/>
              </w:rPr>
            </w:pPr>
            <w:r w:rsidRPr="007C3C0A">
              <w:rPr>
                <w:sz w:val="20"/>
              </w:rPr>
              <w:t>4304</w:t>
            </w:r>
          </w:p>
        </w:tc>
        <w:tc>
          <w:tcPr>
            <w:tcW w:w="916" w:type="dxa"/>
          </w:tcPr>
          <w:p w:rsidR="00C575E7" w:rsidRPr="007C3C0A" w:rsidRDefault="00C575E7" w:rsidP="007C3C0A">
            <w:pPr>
              <w:ind w:firstLine="0"/>
              <w:jc w:val="center"/>
              <w:rPr>
                <w:sz w:val="20"/>
              </w:rPr>
            </w:pPr>
            <w:r w:rsidRPr="007C3C0A">
              <w:rPr>
                <w:sz w:val="20"/>
              </w:rPr>
              <w:t>-20,40</w:t>
            </w:r>
          </w:p>
        </w:tc>
        <w:tc>
          <w:tcPr>
            <w:tcW w:w="1252" w:type="dxa"/>
          </w:tcPr>
          <w:p w:rsidR="00C575E7" w:rsidRPr="007C3C0A" w:rsidRDefault="00C575E7" w:rsidP="007C3C0A">
            <w:pPr>
              <w:ind w:firstLine="0"/>
              <w:jc w:val="center"/>
              <w:rPr>
                <w:sz w:val="20"/>
              </w:rPr>
            </w:pPr>
            <w:r w:rsidRPr="007C3C0A">
              <w:rPr>
                <w:sz w:val="20"/>
              </w:rPr>
              <w:t>2754,70</w:t>
            </w:r>
          </w:p>
        </w:tc>
        <w:tc>
          <w:tcPr>
            <w:tcW w:w="992" w:type="dxa"/>
          </w:tcPr>
          <w:p w:rsidR="00C575E7" w:rsidRPr="007C3C0A" w:rsidRDefault="00C575E7" w:rsidP="007C3C0A">
            <w:pPr>
              <w:ind w:firstLine="0"/>
              <w:jc w:val="center"/>
              <w:rPr>
                <w:sz w:val="20"/>
              </w:rPr>
            </w:pPr>
            <w:r w:rsidRPr="007C3C0A">
              <w:rPr>
                <w:sz w:val="20"/>
              </w:rPr>
              <w:t>606,80</w:t>
            </w:r>
          </w:p>
        </w:tc>
        <w:tc>
          <w:tcPr>
            <w:tcW w:w="993" w:type="dxa"/>
          </w:tcPr>
          <w:p w:rsidR="00C575E7" w:rsidRPr="007C3C0A" w:rsidRDefault="00C575E7" w:rsidP="007C3C0A">
            <w:pPr>
              <w:ind w:firstLine="0"/>
              <w:jc w:val="center"/>
              <w:rPr>
                <w:sz w:val="20"/>
              </w:rPr>
            </w:pPr>
            <w:r w:rsidRPr="007C3C0A">
              <w:rPr>
                <w:sz w:val="20"/>
              </w:rPr>
              <w:t>-0,70</w:t>
            </w:r>
          </w:p>
        </w:tc>
      </w:tr>
      <w:tr w:rsidR="007C3C0A" w:rsidRPr="00D71A33" w:rsidTr="00A4455A">
        <w:trPr>
          <w:trHeight w:val="20"/>
        </w:trPr>
        <w:tc>
          <w:tcPr>
            <w:tcW w:w="1908" w:type="dxa"/>
            <w:vAlign w:val="bottom"/>
          </w:tcPr>
          <w:p w:rsidR="00C575E7" w:rsidRPr="007C3C0A" w:rsidRDefault="00C575E7" w:rsidP="007C3C0A">
            <w:pPr>
              <w:ind w:firstLine="0"/>
              <w:rPr>
                <w:color w:val="000000"/>
                <w:sz w:val="20"/>
              </w:rPr>
            </w:pPr>
            <w:r w:rsidRPr="007C3C0A">
              <w:rPr>
                <w:color w:val="000000"/>
                <w:sz w:val="20"/>
              </w:rPr>
              <w:t>FMC Química</w:t>
            </w:r>
          </w:p>
        </w:tc>
        <w:tc>
          <w:tcPr>
            <w:tcW w:w="605" w:type="dxa"/>
          </w:tcPr>
          <w:p w:rsidR="00C575E7" w:rsidRPr="007C3C0A" w:rsidRDefault="00C575E7" w:rsidP="007C3C0A">
            <w:pPr>
              <w:ind w:firstLine="0"/>
              <w:jc w:val="center"/>
              <w:rPr>
                <w:sz w:val="20"/>
              </w:rPr>
            </w:pPr>
            <w:r w:rsidRPr="007C3C0A">
              <w:rPr>
                <w:sz w:val="20"/>
              </w:rPr>
              <w:t>SP</w:t>
            </w:r>
          </w:p>
        </w:tc>
        <w:tc>
          <w:tcPr>
            <w:tcW w:w="830" w:type="dxa"/>
          </w:tcPr>
          <w:p w:rsidR="00C575E7" w:rsidRPr="007C3C0A" w:rsidRDefault="00C575E7" w:rsidP="007C3C0A">
            <w:pPr>
              <w:ind w:firstLine="0"/>
              <w:jc w:val="center"/>
              <w:rPr>
                <w:sz w:val="20"/>
              </w:rPr>
            </w:pPr>
            <w:r w:rsidRPr="007C3C0A">
              <w:rPr>
                <w:sz w:val="20"/>
              </w:rPr>
              <w:t>13</w:t>
            </w:r>
          </w:p>
        </w:tc>
        <w:tc>
          <w:tcPr>
            <w:tcW w:w="837" w:type="dxa"/>
          </w:tcPr>
          <w:p w:rsidR="00C575E7" w:rsidRPr="007C3C0A" w:rsidRDefault="00C575E7" w:rsidP="007C3C0A">
            <w:pPr>
              <w:ind w:firstLine="0"/>
              <w:jc w:val="center"/>
              <w:rPr>
                <w:sz w:val="20"/>
              </w:rPr>
            </w:pPr>
            <w:r w:rsidRPr="007C3C0A">
              <w:rPr>
                <w:sz w:val="20"/>
              </w:rPr>
              <w:t>0,75</w:t>
            </w:r>
          </w:p>
        </w:tc>
        <w:tc>
          <w:tcPr>
            <w:tcW w:w="706" w:type="dxa"/>
          </w:tcPr>
          <w:p w:rsidR="00C575E7" w:rsidRPr="007C3C0A" w:rsidRDefault="00C575E7" w:rsidP="007C3C0A">
            <w:pPr>
              <w:ind w:firstLine="0"/>
              <w:jc w:val="center"/>
              <w:rPr>
                <w:sz w:val="20"/>
              </w:rPr>
            </w:pPr>
            <w:r w:rsidRPr="007C3C0A">
              <w:rPr>
                <w:sz w:val="20"/>
              </w:rPr>
              <w:t>666</w:t>
            </w:r>
          </w:p>
        </w:tc>
        <w:tc>
          <w:tcPr>
            <w:tcW w:w="916" w:type="dxa"/>
          </w:tcPr>
          <w:p w:rsidR="00C575E7" w:rsidRPr="007C3C0A" w:rsidRDefault="00C575E7" w:rsidP="007C3C0A">
            <w:pPr>
              <w:ind w:firstLine="0"/>
              <w:jc w:val="center"/>
              <w:rPr>
                <w:sz w:val="20"/>
              </w:rPr>
            </w:pPr>
            <w:r w:rsidRPr="007C3C0A">
              <w:rPr>
                <w:sz w:val="20"/>
              </w:rPr>
              <w:t>22,70</w:t>
            </w:r>
          </w:p>
        </w:tc>
        <w:tc>
          <w:tcPr>
            <w:tcW w:w="1252" w:type="dxa"/>
          </w:tcPr>
          <w:p w:rsidR="00C575E7" w:rsidRPr="007C3C0A" w:rsidRDefault="00C575E7" w:rsidP="007C3C0A">
            <w:pPr>
              <w:ind w:firstLine="0"/>
              <w:jc w:val="center"/>
              <w:rPr>
                <w:sz w:val="20"/>
              </w:rPr>
            </w:pPr>
            <w:r w:rsidRPr="007C3C0A">
              <w:rPr>
                <w:sz w:val="20"/>
              </w:rPr>
              <w:t>697,10</w:t>
            </w:r>
          </w:p>
        </w:tc>
        <w:tc>
          <w:tcPr>
            <w:tcW w:w="992" w:type="dxa"/>
          </w:tcPr>
          <w:p w:rsidR="00C575E7" w:rsidRPr="007C3C0A" w:rsidRDefault="00C575E7" w:rsidP="007C3C0A">
            <w:pPr>
              <w:ind w:firstLine="0"/>
              <w:jc w:val="center"/>
              <w:rPr>
                <w:sz w:val="20"/>
              </w:rPr>
            </w:pPr>
            <w:r w:rsidRPr="007C3C0A">
              <w:rPr>
                <w:sz w:val="20"/>
              </w:rPr>
              <w:t>94,80</w:t>
            </w:r>
          </w:p>
        </w:tc>
        <w:tc>
          <w:tcPr>
            <w:tcW w:w="993" w:type="dxa"/>
          </w:tcPr>
          <w:p w:rsidR="00C575E7" w:rsidRPr="007C3C0A" w:rsidRDefault="00C575E7" w:rsidP="007C3C0A">
            <w:pPr>
              <w:ind w:firstLine="0"/>
              <w:jc w:val="center"/>
              <w:rPr>
                <w:sz w:val="20"/>
              </w:rPr>
            </w:pPr>
            <w:r w:rsidRPr="007C3C0A">
              <w:rPr>
                <w:sz w:val="20"/>
              </w:rPr>
              <w:t>3,30</w:t>
            </w:r>
          </w:p>
        </w:tc>
      </w:tr>
      <w:tr w:rsidR="007C3C0A" w:rsidRPr="00D71A33" w:rsidTr="00A4455A">
        <w:trPr>
          <w:trHeight w:val="20"/>
        </w:trPr>
        <w:tc>
          <w:tcPr>
            <w:tcW w:w="1908" w:type="dxa"/>
            <w:vAlign w:val="bottom"/>
          </w:tcPr>
          <w:p w:rsidR="00C575E7" w:rsidRPr="007C3C0A" w:rsidRDefault="00C575E7" w:rsidP="007C3C0A">
            <w:pPr>
              <w:ind w:firstLine="0"/>
              <w:rPr>
                <w:color w:val="000000"/>
                <w:sz w:val="20"/>
              </w:rPr>
            </w:pPr>
            <w:r w:rsidRPr="007C3C0A">
              <w:rPr>
                <w:color w:val="000000"/>
                <w:sz w:val="20"/>
              </w:rPr>
              <w:t>Hydro Alunorte</w:t>
            </w:r>
          </w:p>
        </w:tc>
        <w:tc>
          <w:tcPr>
            <w:tcW w:w="605" w:type="dxa"/>
          </w:tcPr>
          <w:p w:rsidR="00C575E7" w:rsidRPr="007C3C0A" w:rsidRDefault="00C575E7" w:rsidP="007C3C0A">
            <w:pPr>
              <w:ind w:firstLine="0"/>
              <w:jc w:val="center"/>
              <w:rPr>
                <w:sz w:val="20"/>
              </w:rPr>
            </w:pPr>
            <w:r w:rsidRPr="007C3C0A">
              <w:rPr>
                <w:sz w:val="20"/>
              </w:rPr>
              <w:t>PA</w:t>
            </w:r>
          </w:p>
        </w:tc>
        <w:tc>
          <w:tcPr>
            <w:tcW w:w="830" w:type="dxa"/>
          </w:tcPr>
          <w:p w:rsidR="00C575E7" w:rsidRPr="007C3C0A" w:rsidRDefault="00C575E7" w:rsidP="007C3C0A">
            <w:pPr>
              <w:ind w:firstLine="0"/>
              <w:jc w:val="center"/>
              <w:rPr>
                <w:sz w:val="20"/>
              </w:rPr>
            </w:pPr>
            <w:r w:rsidRPr="007C3C0A">
              <w:rPr>
                <w:sz w:val="20"/>
              </w:rPr>
              <w:t>14</w:t>
            </w:r>
          </w:p>
        </w:tc>
        <w:tc>
          <w:tcPr>
            <w:tcW w:w="837" w:type="dxa"/>
          </w:tcPr>
          <w:p w:rsidR="00C575E7" w:rsidRPr="007C3C0A" w:rsidRDefault="00C575E7" w:rsidP="007C3C0A">
            <w:pPr>
              <w:ind w:firstLine="0"/>
              <w:jc w:val="center"/>
              <w:rPr>
                <w:sz w:val="20"/>
              </w:rPr>
            </w:pPr>
            <w:r w:rsidRPr="007C3C0A">
              <w:rPr>
                <w:sz w:val="20"/>
              </w:rPr>
              <w:t>0,49</w:t>
            </w:r>
          </w:p>
        </w:tc>
        <w:tc>
          <w:tcPr>
            <w:tcW w:w="706" w:type="dxa"/>
          </w:tcPr>
          <w:p w:rsidR="00C575E7" w:rsidRPr="007C3C0A" w:rsidRDefault="00C575E7" w:rsidP="007C3C0A">
            <w:pPr>
              <w:ind w:firstLine="0"/>
              <w:jc w:val="center"/>
              <w:rPr>
                <w:sz w:val="20"/>
              </w:rPr>
            </w:pPr>
            <w:r w:rsidRPr="007C3C0A">
              <w:rPr>
                <w:sz w:val="20"/>
              </w:rPr>
              <w:t>1839</w:t>
            </w:r>
          </w:p>
        </w:tc>
        <w:tc>
          <w:tcPr>
            <w:tcW w:w="916" w:type="dxa"/>
          </w:tcPr>
          <w:p w:rsidR="00C575E7" w:rsidRPr="007C3C0A" w:rsidRDefault="00C575E7" w:rsidP="007C3C0A">
            <w:pPr>
              <w:ind w:firstLine="0"/>
              <w:jc w:val="center"/>
              <w:rPr>
                <w:sz w:val="20"/>
              </w:rPr>
            </w:pPr>
            <w:r w:rsidRPr="007C3C0A">
              <w:rPr>
                <w:sz w:val="20"/>
              </w:rPr>
              <w:t>-57,40</w:t>
            </w:r>
          </w:p>
        </w:tc>
        <w:tc>
          <w:tcPr>
            <w:tcW w:w="1252" w:type="dxa"/>
          </w:tcPr>
          <w:p w:rsidR="00C575E7" w:rsidRPr="007C3C0A" w:rsidRDefault="00C575E7" w:rsidP="007C3C0A">
            <w:pPr>
              <w:ind w:firstLine="0"/>
              <w:jc w:val="center"/>
              <w:rPr>
                <w:sz w:val="20"/>
              </w:rPr>
            </w:pPr>
            <w:r w:rsidRPr="007C3C0A">
              <w:rPr>
                <w:sz w:val="20"/>
              </w:rPr>
              <w:t>1322,90</w:t>
            </w:r>
          </w:p>
        </w:tc>
        <w:tc>
          <w:tcPr>
            <w:tcW w:w="992" w:type="dxa"/>
          </w:tcPr>
          <w:p w:rsidR="00C575E7" w:rsidRPr="007C3C0A" w:rsidRDefault="00C575E7" w:rsidP="007C3C0A">
            <w:pPr>
              <w:ind w:firstLine="0"/>
              <w:jc w:val="center"/>
              <w:rPr>
                <w:sz w:val="20"/>
              </w:rPr>
            </w:pPr>
            <w:r w:rsidRPr="007C3C0A">
              <w:rPr>
                <w:sz w:val="20"/>
              </w:rPr>
              <w:t>1434,40</w:t>
            </w:r>
          </w:p>
        </w:tc>
        <w:tc>
          <w:tcPr>
            <w:tcW w:w="993" w:type="dxa"/>
          </w:tcPr>
          <w:p w:rsidR="00C575E7" w:rsidRPr="007C3C0A" w:rsidRDefault="00C575E7" w:rsidP="007C3C0A">
            <w:pPr>
              <w:ind w:firstLine="0"/>
              <w:jc w:val="center"/>
              <w:rPr>
                <w:sz w:val="20"/>
              </w:rPr>
            </w:pPr>
            <w:r w:rsidRPr="007C3C0A">
              <w:rPr>
                <w:sz w:val="20"/>
              </w:rPr>
              <w:t>-4,30</w:t>
            </w:r>
          </w:p>
        </w:tc>
      </w:tr>
      <w:tr w:rsidR="007C3C0A" w:rsidRPr="00D71A33" w:rsidTr="00A4455A">
        <w:trPr>
          <w:trHeight w:val="20"/>
        </w:trPr>
        <w:tc>
          <w:tcPr>
            <w:tcW w:w="1908" w:type="dxa"/>
            <w:vAlign w:val="bottom"/>
          </w:tcPr>
          <w:p w:rsidR="00C575E7" w:rsidRPr="007C3C0A" w:rsidRDefault="00C575E7" w:rsidP="007C3C0A">
            <w:pPr>
              <w:ind w:firstLine="0"/>
              <w:rPr>
                <w:color w:val="000000"/>
                <w:sz w:val="20"/>
              </w:rPr>
            </w:pPr>
            <w:r w:rsidRPr="007C3C0A">
              <w:rPr>
                <w:color w:val="000000"/>
                <w:sz w:val="20"/>
              </w:rPr>
              <w:t>Heringer</w:t>
            </w:r>
          </w:p>
        </w:tc>
        <w:tc>
          <w:tcPr>
            <w:tcW w:w="605" w:type="dxa"/>
          </w:tcPr>
          <w:p w:rsidR="00C575E7" w:rsidRPr="007C3C0A" w:rsidRDefault="00C575E7" w:rsidP="007C3C0A">
            <w:pPr>
              <w:ind w:firstLine="0"/>
              <w:jc w:val="center"/>
              <w:rPr>
                <w:sz w:val="20"/>
              </w:rPr>
            </w:pPr>
            <w:r w:rsidRPr="007C3C0A">
              <w:rPr>
                <w:sz w:val="20"/>
              </w:rPr>
              <w:t>ES</w:t>
            </w:r>
          </w:p>
        </w:tc>
        <w:tc>
          <w:tcPr>
            <w:tcW w:w="830" w:type="dxa"/>
          </w:tcPr>
          <w:p w:rsidR="00C575E7" w:rsidRPr="007C3C0A" w:rsidRDefault="00C575E7" w:rsidP="007C3C0A">
            <w:pPr>
              <w:ind w:firstLine="0"/>
              <w:jc w:val="center"/>
              <w:rPr>
                <w:sz w:val="20"/>
              </w:rPr>
            </w:pPr>
            <w:r w:rsidRPr="007C3C0A">
              <w:rPr>
                <w:sz w:val="20"/>
              </w:rPr>
              <w:t>15</w:t>
            </w:r>
          </w:p>
        </w:tc>
        <w:tc>
          <w:tcPr>
            <w:tcW w:w="837" w:type="dxa"/>
          </w:tcPr>
          <w:p w:rsidR="00C575E7" w:rsidRPr="007C3C0A" w:rsidRDefault="00C575E7" w:rsidP="007C3C0A">
            <w:pPr>
              <w:ind w:firstLine="0"/>
              <w:jc w:val="center"/>
              <w:rPr>
                <w:sz w:val="20"/>
              </w:rPr>
            </w:pPr>
            <w:r w:rsidRPr="007C3C0A">
              <w:rPr>
                <w:sz w:val="20"/>
              </w:rPr>
              <w:t>1,84</w:t>
            </w:r>
          </w:p>
        </w:tc>
        <w:tc>
          <w:tcPr>
            <w:tcW w:w="706" w:type="dxa"/>
          </w:tcPr>
          <w:p w:rsidR="00C575E7" w:rsidRPr="007C3C0A" w:rsidRDefault="00C575E7" w:rsidP="007C3C0A">
            <w:pPr>
              <w:ind w:firstLine="0"/>
              <w:jc w:val="center"/>
              <w:rPr>
                <w:sz w:val="20"/>
              </w:rPr>
            </w:pPr>
            <w:r w:rsidRPr="007C3C0A">
              <w:rPr>
                <w:sz w:val="20"/>
              </w:rPr>
              <w:t>3501</w:t>
            </w:r>
          </w:p>
        </w:tc>
        <w:tc>
          <w:tcPr>
            <w:tcW w:w="916" w:type="dxa"/>
          </w:tcPr>
          <w:p w:rsidR="00C575E7" w:rsidRPr="007C3C0A" w:rsidRDefault="00C575E7" w:rsidP="007C3C0A">
            <w:pPr>
              <w:ind w:firstLine="0"/>
              <w:jc w:val="center"/>
              <w:rPr>
                <w:sz w:val="20"/>
              </w:rPr>
            </w:pPr>
            <w:r w:rsidRPr="007C3C0A">
              <w:rPr>
                <w:sz w:val="20"/>
              </w:rPr>
              <w:t>3,30</w:t>
            </w:r>
          </w:p>
        </w:tc>
        <w:tc>
          <w:tcPr>
            <w:tcW w:w="1252" w:type="dxa"/>
          </w:tcPr>
          <w:p w:rsidR="00C575E7" w:rsidRPr="007C3C0A" w:rsidRDefault="00C575E7" w:rsidP="007C3C0A">
            <w:pPr>
              <w:ind w:firstLine="0"/>
              <w:jc w:val="center"/>
              <w:rPr>
                <w:sz w:val="20"/>
              </w:rPr>
            </w:pPr>
            <w:r w:rsidRPr="007C3C0A">
              <w:rPr>
                <w:sz w:val="20"/>
              </w:rPr>
              <w:t>2047,10</w:t>
            </w:r>
          </w:p>
        </w:tc>
        <w:tc>
          <w:tcPr>
            <w:tcW w:w="992" w:type="dxa"/>
          </w:tcPr>
          <w:p w:rsidR="00C575E7" w:rsidRPr="007C3C0A" w:rsidRDefault="00C575E7" w:rsidP="007C3C0A">
            <w:pPr>
              <w:ind w:firstLine="0"/>
              <w:jc w:val="center"/>
              <w:rPr>
                <w:sz w:val="20"/>
              </w:rPr>
            </w:pPr>
            <w:r w:rsidRPr="007C3C0A">
              <w:rPr>
                <w:sz w:val="20"/>
              </w:rPr>
              <w:t>154,70</w:t>
            </w:r>
          </w:p>
        </w:tc>
        <w:tc>
          <w:tcPr>
            <w:tcW w:w="993" w:type="dxa"/>
          </w:tcPr>
          <w:p w:rsidR="00C575E7" w:rsidRPr="007C3C0A" w:rsidRDefault="00C575E7" w:rsidP="007C3C0A">
            <w:pPr>
              <w:ind w:firstLine="0"/>
              <w:jc w:val="center"/>
              <w:rPr>
                <w:sz w:val="20"/>
              </w:rPr>
            </w:pPr>
            <w:r w:rsidRPr="007C3C0A">
              <w:rPr>
                <w:sz w:val="20"/>
              </w:rPr>
              <w:t>0,20</w:t>
            </w:r>
          </w:p>
        </w:tc>
      </w:tr>
    </w:tbl>
    <w:p w:rsidR="00C575E7" w:rsidRPr="007C3C0A" w:rsidRDefault="00C575E7" w:rsidP="00C575E7">
      <w:pPr>
        <w:spacing w:line="360" w:lineRule="auto"/>
        <w:ind w:left="720"/>
        <w:jc w:val="center"/>
        <w:rPr>
          <w:sz w:val="20"/>
        </w:rPr>
      </w:pPr>
      <w:r w:rsidRPr="007C3C0A">
        <w:rPr>
          <w:sz w:val="20"/>
        </w:rPr>
        <w:t>Fonte: Dados da pesquisa (2016)</w:t>
      </w:r>
    </w:p>
    <w:p w:rsidR="00E24E18" w:rsidRPr="00AA3FF4" w:rsidRDefault="00E24E18" w:rsidP="00E24E18">
      <w:pPr>
        <w:spacing w:line="360" w:lineRule="auto"/>
        <w:rPr>
          <w:sz w:val="26"/>
          <w:szCs w:val="26"/>
        </w:rPr>
      </w:pPr>
    </w:p>
    <w:p w:rsidR="00E24E18" w:rsidRDefault="00E24E18" w:rsidP="00E24E18">
      <w:pPr>
        <w:pStyle w:val="Ttulo1"/>
        <w:spacing w:before="0" w:after="0" w:line="360" w:lineRule="auto"/>
        <w:ind w:left="432" w:hanging="432"/>
        <w:rPr>
          <w:sz w:val="26"/>
          <w:szCs w:val="26"/>
        </w:rPr>
      </w:pPr>
      <w:r w:rsidRPr="00AA3FF4">
        <w:rPr>
          <w:sz w:val="26"/>
          <w:szCs w:val="26"/>
        </w:rPr>
        <w:t>REFERENCIAL TEÓRICO</w:t>
      </w:r>
    </w:p>
    <w:p w:rsid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Para ajudar em um melhor entendimento sobre a pesquisa, mostram-se neste capítulo os assuntos: indústrias Químicas e Petroquímicas, Análise Envoltória de Dados e indicadores econômico-financeiros.</w:t>
      </w:r>
    </w:p>
    <w:p w:rsidR="00332B59" w:rsidRPr="00DE5C22" w:rsidRDefault="00332B59" w:rsidP="007E60F7">
      <w:pPr>
        <w:pStyle w:val="TextosemFormatao"/>
        <w:ind w:firstLine="851"/>
        <w:jc w:val="both"/>
        <w:rPr>
          <w:rFonts w:ascii="Times New Roman" w:hAnsi="Times New Roman"/>
          <w:sz w:val="24"/>
          <w:szCs w:val="24"/>
        </w:rPr>
      </w:pPr>
    </w:p>
    <w:p w:rsidR="00DE5C22" w:rsidRPr="00DE5C22" w:rsidRDefault="006C78F0" w:rsidP="00DE5C22">
      <w:pPr>
        <w:pStyle w:val="TextosemFormatao"/>
        <w:spacing w:line="360" w:lineRule="auto"/>
        <w:jc w:val="both"/>
        <w:rPr>
          <w:rFonts w:ascii="Times New Roman" w:hAnsi="Times New Roman"/>
          <w:b/>
          <w:sz w:val="24"/>
          <w:szCs w:val="24"/>
        </w:rPr>
      </w:pPr>
      <w:r>
        <w:rPr>
          <w:rFonts w:ascii="Times New Roman" w:hAnsi="Times New Roman"/>
          <w:b/>
          <w:sz w:val="24"/>
          <w:szCs w:val="24"/>
        </w:rPr>
        <w:t>3</w:t>
      </w:r>
      <w:r w:rsidR="00DE5C22" w:rsidRPr="00DE5C22">
        <w:rPr>
          <w:rFonts w:ascii="Times New Roman" w:hAnsi="Times New Roman"/>
          <w:b/>
          <w:sz w:val="24"/>
          <w:szCs w:val="24"/>
        </w:rPr>
        <w:t>.1 Indústrias Químicas e Petroquímicas</w:t>
      </w:r>
    </w:p>
    <w:p w:rsidR="00DE5C22" w:rsidRP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Wongtschowski (2011) afirma que a indústria Química forma produtos que estão presentes na maioria das atividades humanas e em atividades de outros setores das indústrias, como para companhias têxteis, pneus, agricultura, tintas e revestimentos, plásticos, entre outros diversos produtos que são essenciais para as indústrias e para a o comércio. Assim Wongtschowski (2011) fornece as informações de que as indústrias Químicas são responsáveis, no ano de 2009, por aproximadamente 4,8% do PIB (Produto Interno Bruto) mundial e que as indústrias Químicas Brasileiras no mesmo ano foram responsáveis por 3% das vendas de produtos químicos no mundo.</w:t>
      </w:r>
    </w:p>
    <w:p w:rsidR="00DE5C22" w:rsidRP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 xml:space="preserve">A Associação Brasileira de Indústria Química – ABIQUIM (2016) cita que a indústria Química no Brasil é diferente de todos os outros setores industriais, pois ela se baseia em um alto </w:t>
      </w:r>
      <w:r w:rsidRPr="00DE5C22">
        <w:rPr>
          <w:rFonts w:ascii="Times New Roman" w:hAnsi="Times New Roman"/>
          <w:sz w:val="24"/>
          <w:szCs w:val="24"/>
        </w:rPr>
        <w:lastRenderedPageBreak/>
        <w:t>número de matéria prima, prazo de fornecimento preços que competem com outras indústrias. É só assim que a indústria Química consegue sobreviver e alcançar o seu objetivo de desenvolver o Brasil economicamente no setor químico.</w:t>
      </w:r>
    </w:p>
    <w:p w:rsidR="00DE5C22" w:rsidRP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Para Da Costa, Sá e Fernandes (2016) a indústria Petroquímica faz parte da indústria Química, porém utiliza-se de matérias-primas diversas. Ainda segundo os autores, a Petroquímica utiliza o petróleo ou o gás natural como ferramenta fundamental de partida para a fabricação de seus produtos.</w:t>
      </w:r>
    </w:p>
    <w:p w:rsidR="00DE5C22" w:rsidRPr="00DE5C22" w:rsidRDefault="00DE5C22" w:rsidP="007E60F7">
      <w:pPr>
        <w:ind w:firstLine="851"/>
        <w:rPr>
          <w:szCs w:val="24"/>
        </w:rPr>
      </w:pPr>
      <w:r w:rsidRPr="00DE5C22">
        <w:rPr>
          <w:szCs w:val="24"/>
        </w:rPr>
        <w:t xml:space="preserve">Da Costa, Sá e Fernandes (2016) ainda confirmam que a indústria Petroquímica é fortemente caracterizada em Pesquisa e Desenvolvimento (P&amp;D) e que elas necessitam das empresas Petroquímicas. Os autores ressaltam que as atividades desenvolvidas por elas são acrescidas pelas atividades da indústria Química. </w:t>
      </w:r>
    </w:p>
    <w:p w:rsidR="00DE5C22" w:rsidRP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Silva (2009) cita que a indústria Petroquímica se classifica como um dos ramos de maior importância na vida econômica mundial, isso porque ela possui uma grande ligação com outros grandes setores industriais. Devido a isso, Silva (2009) mostra que as indústrias Petroquímicas estão servindo de estudos para muitas áreas, desde estudos acadêmicos até estudos de consultoria empresarial.</w:t>
      </w:r>
    </w:p>
    <w:p w:rsidR="00DE5C22" w:rsidRP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Palvo (2013) coloca que as etapas da produção dos produtos petroquímicos são divididas em três partes: a primeira parte é o feitio de petroquímicos básicos, que são olefinas e aromáticos, que é a transformação da nafta ou do gás natural. Na segunda parte esses petroquímicos básicos são transformados em petroquímicos intermediários ou até mesmo em petroquímico final, no qual o produto é finalizado nesta etapa. Por fim, a terceira parte é a transformação dos produtos petroquímicos.</w:t>
      </w:r>
    </w:p>
    <w:p w:rsid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Por isso, Von Gilsa (2012) entende que analisar a eficiência das indústrias Petroquímicas é significante para o conhecimento de como está a companhia e de como ela pode melhorar economicamente.</w:t>
      </w:r>
    </w:p>
    <w:p w:rsidR="00332B59" w:rsidRPr="00DE5C22" w:rsidRDefault="00332B59" w:rsidP="007E60F7">
      <w:pPr>
        <w:pStyle w:val="TextosemFormatao"/>
        <w:ind w:firstLine="851"/>
        <w:jc w:val="both"/>
        <w:rPr>
          <w:rFonts w:ascii="Times New Roman" w:hAnsi="Times New Roman"/>
          <w:sz w:val="24"/>
          <w:szCs w:val="24"/>
        </w:rPr>
      </w:pPr>
    </w:p>
    <w:p w:rsidR="00DE5C22" w:rsidRPr="00DE5C22" w:rsidRDefault="006C78F0" w:rsidP="00332B59">
      <w:pPr>
        <w:pStyle w:val="TextosemFormatao"/>
        <w:spacing w:line="360" w:lineRule="auto"/>
        <w:jc w:val="both"/>
        <w:rPr>
          <w:rFonts w:ascii="Times New Roman" w:hAnsi="Times New Roman"/>
          <w:b/>
          <w:sz w:val="24"/>
          <w:szCs w:val="24"/>
        </w:rPr>
      </w:pPr>
      <w:r>
        <w:rPr>
          <w:rFonts w:ascii="Times New Roman" w:hAnsi="Times New Roman"/>
          <w:b/>
          <w:sz w:val="24"/>
          <w:szCs w:val="24"/>
        </w:rPr>
        <w:t>3</w:t>
      </w:r>
      <w:r w:rsidR="00DE5C22" w:rsidRPr="00DE5C22">
        <w:rPr>
          <w:rFonts w:ascii="Times New Roman" w:hAnsi="Times New Roman"/>
          <w:b/>
          <w:sz w:val="24"/>
          <w:szCs w:val="24"/>
        </w:rPr>
        <w:t>.2 Análise Envoltória de Dados</w:t>
      </w:r>
    </w:p>
    <w:p w:rsidR="00DE5C22" w:rsidRP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 xml:space="preserve">Para </w:t>
      </w:r>
      <w:r w:rsidRPr="00DE5C22">
        <w:rPr>
          <w:rFonts w:ascii="Times New Roman" w:hAnsi="Times New Roman"/>
          <w:color w:val="222222"/>
          <w:sz w:val="24"/>
          <w:szCs w:val="24"/>
          <w:shd w:val="clear" w:color="auto" w:fill="FFFFFF"/>
        </w:rPr>
        <w:t>Cooper, Seiford e Tone (2002)</w:t>
      </w:r>
      <w:r w:rsidRPr="00DE5C22">
        <w:rPr>
          <w:rFonts w:ascii="Times New Roman" w:hAnsi="Times New Roman"/>
          <w:sz w:val="24"/>
          <w:szCs w:val="24"/>
        </w:rPr>
        <w:t xml:space="preserve"> a análise envoltória de dados é utilizada para várias entidades que pretendem analisar seus potenciais nas atividades executadas e desempenhos de suas entradas e saídas. </w:t>
      </w:r>
    </w:p>
    <w:p w:rsid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 xml:space="preserve">Almeida, Mariano e Rebelatto (2006) explicam que a análise envoltória de dados estuda as variáveis medindo suas eficiências, até mesmo chegando no modo </w:t>
      </w:r>
      <w:r w:rsidRPr="00DE5C22">
        <w:rPr>
          <w:rFonts w:ascii="Times New Roman" w:hAnsi="Times New Roman"/>
          <w:i/>
          <w:sz w:val="24"/>
          <w:szCs w:val="24"/>
        </w:rPr>
        <w:t>benchmarking</w:t>
      </w:r>
      <w:r w:rsidRPr="00DE5C22">
        <w:rPr>
          <w:rFonts w:ascii="Times New Roman" w:hAnsi="Times New Roman"/>
          <w:sz w:val="24"/>
          <w:szCs w:val="24"/>
        </w:rPr>
        <w:t xml:space="preserve"> (eficiência igual a 100%), nas atividades que se encontram, podendo colocar pesos para mostrar o verdadeiro valor da variável em comparação com as outras (Figura 1).</w:t>
      </w:r>
    </w:p>
    <w:p w:rsidR="007E60F7" w:rsidRDefault="007E60F7" w:rsidP="007E60F7">
      <w:pPr>
        <w:pStyle w:val="TextosemFormatao"/>
        <w:ind w:firstLine="851"/>
        <w:jc w:val="both"/>
        <w:rPr>
          <w:rFonts w:ascii="Times New Roman" w:hAnsi="Times New Roman"/>
          <w:sz w:val="24"/>
          <w:szCs w:val="24"/>
        </w:rPr>
      </w:pPr>
    </w:p>
    <w:p w:rsidR="007E60F7" w:rsidRDefault="007E60F7" w:rsidP="007E60F7">
      <w:pPr>
        <w:pStyle w:val="TextosemFormatao"/>
        <w:ind w:firstLine="851"/>
        <w:jc w:val="both"/>
        <w:rPr>
          <w:rFonts w:ascii="Times New Roman" w:hAnsi="Times New Roman"/>
          <w:sz w:val="24"/>
          <w:szCs w:val="24"/>
        </w:rPr>
      </w:pPr>
    </w:p>
    <w:p w:rsidR="0069442F" w:rsidRDefault="0069442F" w:rsidP="007E60F7">
      <w:pPr>
        <w:pStyle w:val="TextosemFormatao"/>
        <w:ind w:firstLine="851"/>
        <w:jc w:val="both"/>
        <w:rPr>
          <w:rFonts w:ascii="Times New Roman" w:hAnsi="Times New Roman"/>
          <w:sz w:val="24"/>
          <w:szCs w:val="24"/>
        </w:rPr>
      </w:pPr>
    </w:p>
    <w:p w:rsidR="007E60F7" w:rsidRDefault="007E60F7" w:rsidP="007E60F7">
      <w:pPr>
        <w:pStyle w:val="TextosemFormatao"/>
        <w:ind w:firstLine="851"/>
        <w:jc w:val="both"/>
        <w:rPr>
          <w:rFonts w:ascii="Times New Roman" w:hAnsi="Times New Roman"/>
          <w:sz w:val="24"/>
          <w:szCs w:val="24"/>
        </w:rPr>
      </w:pPr>
    </w:p>
    <w:p w:rsidR="0069442F" w:rsidRDefault="0069442F" w:rsidP="007E60F7">
      <w:pPr>
        <w:pStyle w:val="TextosemFormatao"/>
        <w:ind w:firstLine="851"/>
        <w:jc w:val="both"/>
        <w:rPr>
          <w:rFonts w:ascii="Times New Roman" w:hAnsi="Times New Roman"/>
          <w:sz w:val="24"/>
          <w:szCs w:val="24"/>
        </w:rPr>
      </w:pPr>
    </w:p>
    <w:p w:rsidR="007E60F7" w:rsidRPr="00DE5C22" w:rsidRDefault="007E60F7" w:rsidP="007E60F7">
      <w:pPr>
        <w:pStyle w:val="TextosemFormatao"/>
        <w:ind w:firstLine="851"/>
        <w:jc w:val="both"/>
        <w:rPr>
          <w:rFonts w:ascii="Times New Roman" w:hAnsi="Times New Roman"/>
          <w:sz w:val="24"/>
          <w:szCs w:val="24"/>
        </w:rPr>
      </w:pPr>
    </w:p>
    <w:p w:rsidR="00DE5C22" w:rsidRPr="0069442F" w:rsidRDefault="00DE5C22" w:rsidP="007E60F7">
      <w:pPr>
        <w:pStyle w:val="TextosemFormatao"/>
        <w:ind w:firstLine="360"/>
        <w:jc w:val="center"/>
        <w:rPr>
          <w:rFonts w:ascii="Times New Roman" w:hAnsi="Times New Roman"/>
        </w:rPr>
      </w:pPr>
      <w:r w:rsidRPr="0069442F">
        <w:rPr>
          <w:rFonts w:ascii="Times New Roman" w:hAnsi="Times New Roman"/>
        </w:rPr>
        <w:t>Figura 1 – Atividades da Análise Envoltória de Dados</w:t>
      </w:r>
    </w:p>
    <w:p w:rsidR="00DE5C22" w:rsidRPr="00DE5C22" w:rsidRDefault="00DE5C22" w:rsidP="00DE5C22">
      <w:pPr>
        <w:pStyle w:val="TextosemFormatao"/>
        <w:spacing w:line="360" w:lineRule="auto"/>
        <w:ind w:firstLine="360"/>
        <w:jc w:val="center"/>
        <w:rPr>
          <w:rFonts w:ascii="Times New Roman" w:hAnsi="Times New Roman"/>
          <w:sz w:val="24"/>
          <w:szCs w:val="24"/>
        </w:rPr>
      </w:pPr>
      <w:r w:rsidRPr="00DE5C22">
        <w:rPr>
          <w:rFonts w:ascii="Times New Roman" w:hAnsi="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7" type="#_x0000_t75" style="width:380.25pt;height:118.5pt;visibility:visible" o:bordertopcolor="black" o:borderleftcolor="black" o:borderbottomcolor="black" o:borderrightcolor="black">
            <v:imagedata r:id="rId10" o:title=""/>
            <w10:bordertop type="single" width="6"/>
            <w10:borderleft type="single" width="6"/>
            <w10:borderbottom type="single" width="6"/>
            <w10:borderright type="single" width="6"/>
          </v:shape>
        </w:pict>
      </w:r>
    </w:p>
    <w:p w:rsidR="00DE5C22" w:rsidRPr="0069442F" w:rsidRDefault="00DE5C22" w:rsidP="00A4455A">
      <w:pPr>
        <w:pStyle w:val="TextosemFormatao"/>
        <w:ind w:firstLine="357"/>
        <w:jc w:val="center"/>
        <w:rPr>
          <w:rFonts w:ascii="Times New Roman" w:hAnsi="Times New Roman"/>
        </w:rPr>
      </w:pPr>
      <w:r w:rsidRPr="0069442F">
        <w:rPr>
          <w:rFonts w:ascii="Times New Roman" w:hAnsi="Times New Roman"/>
        </w:rPr>
        <w:t>Fonte: Almeida, Mariano e Rebelatto (2006)</w:t>
      </w:r>
    </w:p>
    <w:p w:rsidR="0069442F" w:rsidRPr="00DE5C22" w:rsidRDefault="0069442F" w:rsidP="007E60F7">
      <w:pPr>
        <w:pStyle w:val="TextosemFormatao"/>
        <w:ind w:firstLine="360"/>
        <w:jc w:val="center"/>
        <w:rPr>
          <w:rFonts w:ascii="Times New Roman" w:hAnsi="Times New Roman"/>
          <w:sz w:val="24"/>
          <w:szCs w:val="24"/>
        </w:rPr>
      </w:pPr>
    </w:p>
    <w:p w:rsid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 xml:space="preserve">Joro e Korhonen (2015) explicam que existem dois modelos a serem seguidos quando se utiliza a análise envoltória de dados, o VRS (ou BCC) - </w:t>
      </w:r>
      <w:r w:rsidRPr="00DE5C22">
        <w:rPr>
          <w:rFonts w:ascii="Times New Roman" w:hAnsi="Times New Roman"/>
          <w:i/>
          <w:sz w:val="24"/>
          <w:szCs w:val="24"/>
        </w:rPr>
        <w:t>Variable Returns to Scale</w:t>
      </w:r>
      <w:r w:rsidRPr="00DE5C22">
        <w:rPr>
          <w:rFonts w:ascii="Times New Roman" w:hAnsi="Times New Roman"/>
          <w:sz w:val="24"/>
          <w:szCs w:val="24"/>
        </w:rPr>
        <w:t xml:space="preserve"> - e CRS (ou CCR) - </w:t>
      </w:r>
      <w:r w:rsidRPr="00DE5C22">
        <w:rPr>
          <w:rFonts w:ascii="Times New Roman" w:hAnsi="Times New Roman"/>
          <w:i/>
          <w:sz w:val="24"/>
          <w:szCs w:val="24"/>
        </w:rPr>
        <w:t>Constant Returns to Scale</w:t>
      </w:r>
      <w:r w:rsidRPr="00DE5C22">
        <w:rPr>
          <w:rFonts w:ascii="Times New Roman" w:hAnsi="Times New Roman"/>
          <w:sz w:val="24"/>
          <w:szCs w:val="24"/>
        </w:rPr>
        <w:t xml:space="preserve">. Conforme Joro e Korhonen (2015) no modelo CRS tal quantidade de entrada, possui uma mesma quantidade de saída na sua escala, já que o modelo VRS não assume essa proporção nos seus </w:t>
      </w:r>
      <w:r w:rsidRPr="00DE5C22">
        <w:rPr>
          <w:rFonts w:ascii="Times New Roman" w:hAnsi="Times New Roman"/>
          <w:i/>
          <w:sz w:val="24"/>
          <w:szCs w:val="24"/>
        </w:rPr>
        <w:t>inputs</w:t>
      </w:r>
      <w:r w:rsidRPr="00DE5C22">
        <w:rPr>
          <w:rFonts w:ascii="Times New Roman" w:hAnsi="Times New Roman"/>
          <w:sz w:val="24"/>
          <w:szCs w:val="24"/>
        </w:rPr>
        <w:t xml:space="preserve"> e </w:t>
      </w:r>
      <w:r w:rsidRPr="00DE5C22">
        <w:rPr>
          <w:rFonts w:ascii="Times New Roman" w:hAnsi="Times New Roman"/>
          <w:i/>
          <w:sz w:val="24"/>
          <w:szCs w:val="24"/>
        </w:rPr>
        <w:t>outputs</w:t>
      </w:r>
      <w:r w:rsidRPr="00DE5C22">
        <w:rPr>
          <w:rFonts w:ascii="Times New Roman" w:hAnsi="Times New Roman"/>
          <w:sz w:val="24"/>
          <w:szCs w:val="24"/>
        </w:rPr>
        <w:t>, conforme a Figura 2.</w:t>
      </w:r>
    </w:p>
    <w:p w:rsidR="00332B59" w:rsidRPr="00DE5C22" w:rsidRDefault="00332B59" w:rsidP="007E60F7">
      <w:pPr>
        <w:pStyle w:val="TextosemFormatao"/>
        <w:ind w:firstLine="851"/>
        <w:jc w:val="both"/>
        <w:rPr>
          <w:rFonts w:ascii="Times New Roman" w:hAnsi="Times New Roman"/>
          <w:sz w:val="24"/>
          <w:szCs w:val="24"/>
        </w:rPr>
      </w:pPr>
    </w:p>
    <w:p w:rsidR="00DE5C22" w:rsidRPr="0069442F" w:rsidRDefault="00DE5C22" w:rsidP="007E60F7">
      <w:pPr>
        <w:pStyle w:val="TextosemFormatao"/>
        <w:ind w:firstLine="360"/>
        <w:jc w:val="center"/>
        <w:rPr>
          <w:rFonts w:ascii="Times New Roman" w:hAnsi="Times New Roman"/>
        </w:rPr>
      </w:pPr>
      <w:r w:rsidRPr="0069442F">
        <w:rPr>
          <w:rFonts w:ascii="Times New Roman" w:hAnsi="Times New Roman"/>
        </w:rPr>
        <w:t>Figura 2 – Constante e Variável Retorno de Escala</w:t>
      </w:r>
    </w:p>
    <w:p w:rsidR="00DE5C22" w:rsidRPr="00DE5C22" w:rsidRDefault="00DE5C22" w:rsidP="00DE5C22">
      <w:pPr>
        <w:pStyle w:val="TextosemFormatao"/>
        <w:spacing w:line="360" w:lineRule="auto"/>
        <w:ind w:firstLine="360"/>
        <w:jc w:val="center"/>
        <w:rPr>
          <w:rFonts w:ascii="Times New Roman" w:hAnsi="Times New Roman"/>
          <w:sz w:val="24"/>
          <w:szCs w:val="24"/>
        </w:rPr>
      </w:pPr>
      <w:r w:rsidRPr="00DE5C22">
        <w:rPr>
          <w:rFonts w:ascii="Times New Roman" w:hAnsi="Times New Roman"/>
          <w:noProof/>
          <w:sz w:val="24"/>
          <w:szCs w:val="24"/>
        </w:rPr>
        <w:pict>
          <v:shape id="Imagem 2" o:spid="_x0000_i1028" type="#_x0000_t75" style="width:235.5pt;height:169.5pt;visibility:visible" o:bordertopcolor="black" o:borderleftcolor="black" o:borderbottomcolor="black" o:borderrightcolor="black">
            <v:imagedata r:id="rId11" o:title=""/>
            <w10:bordertop type="single" width="8"/>
            <w10:borderleft type="single" width="8"/>
            <w10:borderbottom type="single" width="8"/>
            <w10:borderright type="single" width="8"/>
          </v:shape>
        </w:pict>
      </w:r>
    </w:p>
    <w:p w:rsidR="00DE5C22" w:rsidRPr="0069442F" w:rsidRDefault="00DE5C22" w:rsidP="0069442F">
      <w:pPr>
        <w:pStyle w:val="TextosemFormatao"/>
        <w:ind w:firstLine="357"/>
        <w:jc w:val="center"/>
        <w:rPr>
          <w:rFonts w:ascii="Times New Roman" w:hAnsi="Times New Roman"/>
        </w:rPr>
      </w:pPr>
      <w:r w:rsidRPr="0069442F">
        <w:rPr>
          <w:rFonts w:ascii="Times New Roman" w:hAnsi="Times New Roman"/>
        </w:rPr>
        <w:t>Fonte: Joro e Korhonen (2015)</w:t>
      </w:r>
    </w:p>
    <w:p w:rsidR="0069442F" w:rsidRPr="00DE5C22" w:rsidRDefault="0069442F" w:rsidP="007E60F7">
      <w:pPr>
        <w:pStyle w:val="TextosemFormatao"/>
        <w:ind w:firstLine="360"/>
        <w:jc w:val="center"/>
        <w:rPr>
          <w:rFonts w:ascii="Times New Roman" w:hAnsi="Times New Roman"/>
          <w:sz w:val="24"/>
          <w:szCs w:val="24"/>
        </w:rPr>
      </w:pPr>
    </w:p>
    <w:p w:rsidR="00DE5C22" w:rsidRP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 xml:space="preserve">A análise envoltória de dados se programa, segundo Lins e Meza (2000), em dois passos: o primeiro é a seleção do modelo que será usado, a diminuição dos </w:t>
      </w:r>
      <w:r w:rsidRPr="00DE5C22">
        <w:rPr>
          <w:rFonts w:ascii="Times New Roman" w:hAnsi="Times New Roman"/>
          <w:i/>
          <w:sz w:val="24"/>
          <w:szCs w:val="24"/>
        </w:rPr>
        <w:t>inputs</w:t>
      </w:r>
      <w:r w:rsidRPr="00DE5C22">
        <w:rPr>
          <w:rFonts w:ascii="Times New Roman" w:hAnsi="Times New Roman"/>
          <w:sz w:val="24"/>
          <w:szCs w:val="24"/>
        </w:rPr>
        <w:t xml:space="preserve"> (insumos), sem a mudança dos produtos, ou a maximização dos </w:t>
      </w:r>
      <w:r w:rsidRPr="00DE5C22">
        <w:rPr>
          <w:rFonts w:ascii="Times New Roman" w:hAnsi="Times New Roman"/>
          <w:i/>
          <w:sz w:val="24"/>
          <w:szCs w:val="24"/>
        </w:rPr>
        <w:t>outputs</w:t>
      </w:r>
      <w:r w:rsidRPr="00DE5C22">
        <w:rPr>
          <w:rFonts w:ascii="Times New Roman" w:hAnsi="Times New Roman"/>
          <w:sz w:val="24"/>
          <w:szCs w:val="24"/>
        </w:rPr>
        <w:t xml:space="preserve"> (produtos), sem alterar os insumos. O </w:t>
      </w:r>
      <w:r w:rsidRPr="00DE5C22">
        <w:rPr>
          <w:rFonts w:ascii="Times New Roman" w:hAnsi="Times New Roman"/>
          <w:sz w:val="24"/>
          <w:szCs w:val="24"/>
        </w:rPr>
        <w:lastRenderedPageBreak/>
        <w:t>autor leciona que o segundo passo é escolher os rendimentos, constantes (CRS) ou variáveis (VRS).</w:t>
      </w:r>
    </w:p>
    <w:p w:rsidR="00DE5C22" w:rsidRP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Há estudos anteriores que provam que o método análise envoltória de dados é usado para medir a eficiência de outros setores e com um dos dois modelos.</w:t>
      </w:r>
    </w:p>
    <w:p w:rsidR="00DE5C22" w:rsidRP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 xml:space="preserve">A pesquisa de Vilela (2007) utilizou a análise envoltória de dados para analisar a eficiência das cooperativas de crédito rural. A amostra do autor foram as cooperativas de crédito rural de São Paulo, fornecido pela COCECRER /SP, com um número analisado de 24 cooperativas, no ano de 2001 e 2002. Os </w:t>
      </w:r>
      <w:r w:rsidRPr="00DE5C22">
        <w:rPr>
          <w:rFonts w:ascii="Times New Roman" w:hAnsi="Times New Roman"/>
          <w:i/>
          <w:sz w:val="24"/>
          <w:szCs w:val="24"/>
        </w:rPr>
        <w:t>inputs</w:t>
      </w:r>
      <w:r w:rsidRPr="00DE5C22">
        <w:rPr>
          <w:rFonts w:ascii="Times New Roman" w:hAnsi="Times New Roman"/>
          <w:sz w:val="24"/>
          <w:szCs w:val="24"/>
        </w:rPr>
        <w:t xml:space="preserve"> utilizados para o estudo do autor foram: ativo total e despesas administrativas, já os </w:t>
      </w:r>
      <w:r w:rsidRPr="00DE5C22">
        <w:rPr>
          <w:rFonts w:ascii="Times New Roman" w:hAnsi="Times New Roman"/>
          <w:i/>
          <w:sz w:val="24"/>
          <w:szCs w:val="24"/>
        </w:rPr>
        <w:t>outputs</w:t>
      </w:r>
      <w:r w:rsidRPr="00DE5C22">
        <w:rPr>
          <w:rFonts w:ascii="Times New Roman" w:hAnsi="Times New Roman"/>
          <w:sz w:val="24"/>
          <w:szCs w:val="24"/>
        </w:rPr>
        <w:t xml:space="preserve"> são as operações de créditos.</w:t>
      </w:r>
    </w:p>
    <w:p w:rsidR="00DE5C22" w:rsidRP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Vilela (2007) obteve, em 2001, apenas seis empresas eficientes (100%). Já em 2002, teve sete empresas alcançando a eficiência em 100%, valendo ressaltar que dessas sete, apenas cinco se repetiram em comparação ao ano de 2001, chegando no 100%.</w:t>
      </w:r>
    </w:p>
    <w:p w:rsidR="00DE5C22" w:rsidRP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 xml:space="preserve">Da Costa e Boente (2011) mostram a análise envoltória de dados, com os modelos CCR e BBC, dentro de um setor da sustentabilidade, que analisaram as empresas desse ramo que estão na carteira de sustentabilidade da Bovespa nos anos de </w:t>
      </w:r>
      <w:smartTag w:uri="urn:schemas-microsoft-com:office:smarttags" w:element="metricconverter">
        <w:smartTagPr>
          <w:attr w:name="ProductID" w:val="2008 a"/>
        </w:smartTagPr>
        <w:r w:rsidRPr="00DE5C22">
          <w:rPr>
            <w:rFonts w:ascii="Times New Roman" w:hAnsi="Times New Roman"/>
            <w:sz w:val="24"/>
            <w:szCs w:val="24"/>
          </w:rPr>
          <w:t>2008 a</w:t>
        </w:r>
      </w:smartTag>
      <w:r w:rsidRPr="00DE5C22">
        <w:rPr>
          <w:rFonts w:ascii="Times New Roman" w:hAnsi="Times New Roman"/>
          <w:sz w:val="24"/>
          <w:szCs w:val="24"/>
        </w:rPr>
        <w:t xml:space="preserve"> 2010. Os autores classificaram seus </w:t>
      </w:r>
      <w:r w:rsidRPr="00DE5C22">
        <w:rPr>
          <w:rFonts w:ascii="Times New Roman" w:hAnsi="Times New Roman"/>
          <w:i/>
          <w:sz w:val="24"/>
          <w:szCs w:val="24"/>
        </w:rPr>
        <w:t>inputs</w:t>
      </w:r>
      <w:r w:rsidRPr="00DE5C22">
        <w:rPr>
          <w:rFonts w:ascii="Times New Roman" w:hAnsi="Times New Roman"/>
          <w:sz w:val="24"/>
          <w:szCs w:val="24"/>
        </w:rPr>
        <w:t xml:space="preserve"> em: patrimônio líquido e seus </w:t>
      </w:r>
      <w:r w:rsidRPr="00DE5C22">
        <w:rPr>
          <w:rFonts w:ascii="Times New Roman" w:hAnsi="Times New Roman"/>
          <w:i/>
          <w:sz w:val="24"/>
          <w:szCs w:val="24"/>
        </w:rPr>
        <w:t>outputs</w:t>
      </w:r>
      <w:r w:rsidRPr="00DE5C22">
        <w:rPr>
          <w:rFonts w:ascii="Times New Roman" w:hAnsi="Times New Roman"/>
          <w:sz w:val="24"/>
          <w:szCs w:val="24"/>
        </w:rPr>
        <w:t xml:space="preserve"> em: receitas financeiras e o resultado antes do resultado financeiro e dos tributos. </w:t>
      </w:r>
    </w:p>
    <w:p w:rsid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Para os resultados de Da Costa e Boente (2011) duas empresas se destacaram como eficientes em relação ao modelo CRS, e no modelo VRS, cinco empresas foram eficientes, também, nos seus indicadores econômico-financeiros.</w:t>
      </w:r>
    </w:p>
    <w:p w:rsidR="00332B59" w:rsidRPr="00DE5C22" w:rsidRDefault="00332B59" w:rsidP="007E60F7">
      <w:pPr>
        <w:pStyle w:val="TextosemFormatao"/>
        <w:ind w:firstLine="851"/>
        <w:jc w:val="both"/>
        <w:rPr>
          <w:rFonts w:ascii="Times New Roman" w:hAnsi="Times New Roman"/>
          <w:sz w:val="24"/>
          <w:szCs w:val="24"/>
        </w:rPr>
      </w:pPr>
    </w:p>
    <w:p w:rsidR="00DE5C22" w:rsidRDefault="006C78F0" w:rsidP="00332B59">
      <w:pPr>
        <w:pStyle w:val="TextosemFormatao"/>
        <w:spacing w:line="360" w:lineRule="auto"/>
        <w:jc w:val="both"/>
        <w:rPr>
          <w:rFonts w:ascii="Times New Roman" w:hAnsi="Times New Roman"/>
          <w:b/>
          <w:sz w:val="24"/>
          <w:szCs w:val="24"/>
        </w:rPr>
      </w:pPr>
      <w:r>
        <w:rPr>
          <w:rFonts w:ascii="Times New Roman" w:hAnsi="Times New Roman"/>
          <w:b/>
          <w:sz w:val="24"/>
          <w:szCs w:val="24"/>
        </w:rPr>
        <w:t>3</w:t>
      </w:r>
      <w:r w:rsidR="00DE5C22" w:rsidRPr="00DE5C22">
        <w:rPr>
          <w:rFonts w:ascii="Times New Roman" w:hAnsi="Times New Roman"/>
          <w:b/>
          <w:sz w:val="24"/>
          <w:szCs w:val="24"/>
        </w:rPr>
        <w:t>.3 Indicadores econômico-financeiros</w:t>
      </w:r>
    </w:p>
    <w:p w:rsidR="00DE5C22" w:rsidRP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Os indicadores financeiros, para Martins e Costa Neto (1998) mostram o que se deve fazer para alcançar um desempenho que a companhia nunca chegou a ter. Esses indicadores ajudam a ter um melhor controle das atividades das empresas.</w:t>
      </w:r>
    </w:p>
    <w:p w:rsidR="00DE5C22" w:rsidRPr="00DE5C22" w:rsidRDefault="00DE5C22" w:rsidP="007E60F7">
      <w:pPr>
        <w:ind w:firstLine="851"/>
        <w:rPr>
          <w:szCs w:val="24"/>
        </w:rPr>
      </w:pPr>
      <w:r w:rsidRPr="00DE5C22">
        <w:rPr>
          <w:color w:val="222222"/>
          <w:szCs w:val="24"/>
          <w:shd w:val="clear" w:color="auto" w:fill="FFFFFF"/>
        </w:rPr>
        <w:t>Fischmann (1999) cita que nos últimos tempos</w:t>
      </w:r>
      <w:r w:rsidRPr="00DE5C22">
        <w:rPr>
          <w:szCs w:val="24"/>
        </w:rPr>
        <w:t xml:space="preserve"> as empresas usam indicadores financeiros como ferramentas para analisar seu desempenho diante de suas atividades. Marion (2002) complementa que indicadores é o produto da relação de duas grandezas e que esse resultado facilita na tomada de decisão dos analistas. </w:t>
      </w:r>
    </w:p>
    <w:p w:rsidR="00DE5C22" w:rsidRDefault="00DE5C22" w:rsidP="007E60F7">
      <w:pPr>
        <w:rPr>
          <w:szCs w:val="24"/>
        </w:rPr>
      </w:pPr>
      <w:r w:rsidRPr="00DE5C22">
        <w:rPr>
          <w:szCs w:val="24"/>
        </w:rPr>
        <w:t xml:space="preserve">Schuch (2002) explica que essas ferramentas servem de direção de como está a empresa, direcionando-a e controlando-a de forma a proporcionar estratégicas para um melhor desempenho. Um exemplo seria o </w:t>
      </w:r>
      <w:r w:rsidRPr="00DE5C22">
        <w:rPr>
          <w:i/>
          <w:szCs w:val="24"/>
        </w:rPr>
        <w:t xml:space="preserve">feedback </w:t>
      </w:r>
      <w:r w:rsidRPr="00DE5C22">
        <w:rPr>
          <w:szCs w:val="24"/>
        </w:rPr>
        <w:t>para os gerentes, informando-lhes esses indicadores para que seja o resultado das tomadas de decisões e se essas estão no caminho para uma melhor performance nas suas atividades</w:t>
      </w:r>
    </w:p>
    <w:p w:rsidR="00332B59" w:rsidRPr="00DE5C22" w:rsidRDefault="00332B59" w:rsidP="007E60F7">
      <w:pPr>
        <w:rPr>
          <w:szCs w:val="24"/>
          <w:lang w:val="x-none" w:eastAsia="x-none"/>
        </w:rPr>
      </w:pPr>
    </w:p>
    <w:p w:rsidR="00E24E18" w:rsidRPr="00AA3FF4" w:rsidRDefault="00E24E18" w:rsidP="00E24E18">
      <w:pPr>
        <w:pStyle w:val="Ttulo1"/>
        <w:spacing w:before="0" w:after="0" w:line="360" w:lineRule="auto"/>
        <w:ind w:left="432" w:hanging="432"/>
        <w:rPr>
          <w:sz w:val="26"/>
          <w:szCs w:val="26"/>
        </w:rPr>
      </w:pPr>
      <w:r w:rsidRPr="00AA3FF4">
        <w:rPr>
          <w:sz w:val="26"/>
          <w:szCs w:val="26"/>
        </w:rPr>
        <w:lastRenderedPageBreak/>
        <w:t xml:space="preserve">APRESENTAÇÃO E DISCUSSÃO DOS RESULTADOS </w:t>
      </w:r>
    </w:p>
    <w:p w:rsid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 xml:space="preserve">A Tabela </w:t>
      </w:r>
      <w:r w:rsidR="006B170C">
        <w:rPr>
          <w:rFonts w:ascii="Times New Roman" w:hAnsi="Times New Roman"/>
          <w:sz w:val="24"/>
          <w:szCs w:val="24"/>
        </w:rPr>
        <w:t>3</w:t>
      </w:r>
      <w:r w:rsidR="0069442F">
        <w:rPr>
          <w:rFonts w:ascii="Times New Roman" w:hAnsi="Times New Roman"/>
          <w:sz w:val="24"/>
          <w:szCs w:val="24"/>
        </w:rPr>
        <w:t xml:space="preserve"> </w:t>
      </w:r>
      <w:r w:rsidRPr="00DE5C22">
        <w:rPr>
          <w:rFonts w:ascii="Times New Roman" w:hAnsi="Times New Roman"/>
          <w:sz w:val="24"/>
          <w:szCs w:val="24"/>
        </w:rPr>
        <w:t>indica o modelo CRS (</w:t>
      </w:r>
      <w:r w:rsidRPr="00DE5C22">
        <w:rPr>
          <w:rFonts w:ascii="Times New Roman" w:hAnsi="Times New Roman"/>
          <w:i/>
          <w:sz w:val="24"/>
          <w:szCs w:val="24"/>
        </w:rPr>
        <w:t>Constant Returns to Scale</w:t>
      </w:r>
      <w:r w:rsidRPr="00DE5C22">
        <w:rPr>
          <w:rFonts w:ascii="Times New Roman" w:hAnsi="Times New Roman"/>
          <w:sz w:val="24"/>
          <w:szCs w:val="24"/>
        </w:rPr>
        <w:t xml:space="preserve">) utilizando com os </w:t>
      </w:r>
      <w:r w:rsidRPr="00DE5C22">
        <w:rPr>
          <w:rFonts w:ascii="Times New Roman" w:hAnsi="Times New Roman"/>
          <w:i/>
          <w:sz w:val="24"/>
          <w:szCs w:val="24"/>
        </w:rPr>
        <w:t>outputs</w:t>
      </w:r>
      <w:r w:rsidRPr="00DE5C22">
        <w:rPr>
          <w:rFonts w:ascii="Times New Roman" w:hAnsi="Times New Roman"/>
          <w:sz w:val="24"/>
          <w:szCs w:val="24"/>
        </w:rPr>
        <w:t xml:space="preserve"> como orientação. Nota-se que apenas oito empresas se mostraram eficientes </w:t>
      </w:r>
      <w:r w:rsidRPr="00DE5C22">
        <w:rPr>
          <w:rFonts w:ascii="Times New Roman" w:hAnsi="Times New Roman"/>
          <w:i/>
          <w:sz w:val="24"/>
          <w:szCs w:val="24"/>
        </w:rPr>
        <w:t xml:space="preserve">benchmarking </w:t>
      </w:r>
      <w:r w:rsidRPr="00DE5C22">
        <w:rPr>
          <w:rFonts w:ascii="Times New Roman" w:hAnsi="Times New Roman"/>
          <w:sz w:val="24"/>
          <w:szCs w:val="24"/>
        </w:rPr>
        <w:t xml:space="preserve">(eficiência igual a 1), e as outras sete classificadas como ineficientes, com índices abaixo de 1. </w:t>
      </w:r>
    </w:p>
    <w:p w:rsidR="0069442F" w:rsidRPr="00DE5C22" w:rsidRDefault="0069442F" w:rsidP="007E60F7">
      <w:pPr>
        <w:pStyle w:val="TextosemFormatao"/>
        <w:ind w:firstLine="851"/>
        <w:jc w:val="both"/>
        <w:rPr>
          <w:rFonts w:ascii="Times New Roman" w:hAnsi="Times New Roman"/>
          <w:sz w:val="24"/>
          <w:szCs w:val="24"/>
        </w:rPr>
      </w:pPr>
    </w:p>
    <w:p w:rsidR="00DE5C22" w:rsidRPr="00A34284" w:rsidRDefault="00DE5C22" w:rsidP="0069442F">
      <w:pPr>
        <w:pStyle w:val="TextosemFormatao"/>
        <w:jc w:val="center"/>
        <w:rPr>
          <w:rFonts w:ascii="Times New Roman" w:hAnsi="Times New Roman"/>
        </w:rPr>
      </w:pPr>
      <w:r>
        <w:rPr>
          <w:rFonts w:ascii="Times New Roman" w:hAnsi="Times New Roman"/>
        </w:rPr>
        <w:t xml:space="preserve">Tabela </w:t>
      </w:r>
      <w:r w:rsidR="006B170C">
        <w:rPr>
          <w:rFonts w:ascii="Times New Roman" w:hAnsi="Times New Roman"/>
        </w:rPr>
        <w:t>3</w:t>
      </w:r>
      <w:r w:rsidRPr="00A34284">
        <w:rPr>
          <w:rFonts w:ascii="Times New Roman" w:hAnsi="Times New Roman"/>
        </w:rPr>
        <w:t xml:space="preserve"> – Es</w:t>
      </w:r>
      <w:r>
        <w:rPr>
          <w:rFonts w:ascii="Times New Roman" w:hAnsi="Times New Roman"/>
        </w:rPr>
        <w:t>cala de Eficiência no modelo CRS-O</w:t>
      </w:r>
      <w:r w:rsidR="00A4455A">
        <w:rPr>
          <w:rFonts w:ascii="Times New Roman" w:hAnsi="Times New Roman"/>
        </w:rPr>
        <w:t>.</w:t>
      </w:r>
    </w:p>
    <w:tbl>
      <w:tblPr>
        <w:tblW w:w="0" w:type="auto"/>
        <w:jc w:val="center"/>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6205"/>
        <w:gridCol w:w="2553"/>
      </w:tblGrid>
      <w:tr w:rsidR="00DE5C22" w:rsidTr="0069442F">
        <w:trPr>
          <w:trHeight w:val="257"/>
          <w:jc w:val="center"/>
        </w:trPr>
        <w:tc>
          <w:tcPr>
            <w:tcW w:w="6205" w:type="dxa"/>
            <w:shd w:val="clear" w:color="auto" w:fill="BFBFBF"/>
          </w:tcPr>
          <w:p w:rsidR="00DE5C22" w:rsidRPr="00DE5C22" w:rsidRDefault="00DE5C22" w:rsidP="0013485B">
            <w:pPr>
              <w:pStyle w:val="TextosemFormatao"/>
              <w:jc w:val="center"/>
              <w:rPr>
                <w:rFonts w:ascii="Times New Roman" w:hAnsi="Times New Roman"/>
              </w:rPr>
            </w:pPr>
            <w:r w:rsidRPr="00DE5C22">
              <w:rPr>
                <w:rFonts w:ascii="Times New Roman" w:hAnsi="Times New Roman"/>
              </w:rPr>
              <w:t>EMPRESAS – DMUs</w:t>
            </w:r>
          </w:p>
        </w:tc>
        <w:tc>
          <w:tcPr>
            <w:tcW w:w="2553" w:type="dxa"/>
            <w:shd w:val="clear" w:color="auto" w:fill="BFBFBF"/>
          </w:tcPr>
          <w:p w:rsidR="00DE5C22" w:rsidRPr="00DE5C22" w:rsidRDefault="00DE5C22" w:rsidP="0013485B">
            <w:pPr>
              <w:pStyle w:val="TextosemFormatao"/>
              <w:jc w:val="center"/>
              <w:rPr>
                <w:rFonts w:ascii="Times New Roman" w:hAnsi="Times New Roman"/>
              </w:rPr>
            </w:pPr>
            <w:r w:rsidRPr="00DE5C22">
              <w:rPr>
                <w:rFonts w:ascii="Times New Roman" w:hAnsi="Times New Roman"/>
              </w:rPr>
              <w:t>EFICIÊNCIA CCR</w:t>
            </w:r>
          </w:p>
        </w:tc>
      </w:tr>
      <w:tr w:rsidR="00DE5C22" w:rsidTr="0069442F">
        <w:trPr>
          <w:trHeight w:val="257"/>
          <w:jc w:val="center"/>
        </w:trPr>
        <w:tc>
          <w:tcPr>
            <w:tcW w:w="6205" w:type="dxa"/>
          </w:tcPr>
          <w:p w:rsidR="00DE5C22" w:rsidRPr="00DE5C22" w:rsidRDefault="00DE5C22" w:rsidP="0013485B">
            <w:pPr>
              <w:rPr>
                <w:sz w:val="20"/>
              </w:rPr>
            </w:pPr>
            <w:r w:rsidRPr="00DE5C22">
              <w:rPr>
                <w:color w:val="000000"/>
                <w:sz w:val="20"/>
              </w:rPr>
              <w:t>Innova – 1</w:t>
            </w:r>
          </w:p>
        </w:tc>
        <w:tc>
          <w:tcPr>
            <w:tcW w:w="2553" w:type="dxa"/>
          </w:tcPr>
          <w:p w:rsidR="00DE5C22" w:rsidRPr="00DE5C22" w:rsidRDefault="00DE5C22" w:rsidP="0013485B">
            <w:pPr>
              <w:jc w:val="center"/>
              <w:rPr>
                <w:sz w:val="20"/>
              </w:rPr>
            </w:pPr>
            <w:r w:rsidRPr="00DE5C22">
              <w:rPr>
                <w:sz w:val="20"/>
              </w:rPr>
              <w:t>1,000000</w:t>
            </w:r>
          </w:p>
        </w:tc>
      </w:tr>
      <w:tr w:rsidR="00DE5C22" w:rsidTr="0069442F">
        <w:trPr>
          <w:trHeight w:val="239"/>
          <w:jc w:val="center"/>
        </w:trPr>
        <w:tc>
          <w:tcPr>
            <w:tcW w:w="6205" w:type="dxa"/>
          </w:tcPr>
          <w:p w:rsidR="00DE5C22" w:rsidRPr="00DE5C22" w:rsidRDefault="00DE5C22" w:rsidP="0013485B">
            <w:pPr>
              <w:rPr>
                <w:sz w:val="20"/>
              </w:rPr>
            </w:pPr>
            <w:r w:rsidRPr="00DE5C22">
              <w:rPr>
                <w:color w:val="000000"/>
                <w:sz w:val="20"/>
              </w:rPr>
              <w:t>Bayer – 2</w:t>
            </w:r>
          </w:p>
        </w:tc>
        <w:tc>
          <w:tcPr>
            <w:tcW w:w="2553" w:type="dxa"/>
          </w:tcPr>
          <w:p w:rsidR="00DE5C22" w:rsidRPr="00DE5C22" w:rsidRDefault="00DE5C22" w:rsidP="0013485B">
            <w:pPr>
              <w:jc w:val="center"/>
              <w:rPr>
                <w:sz w:val="20"/>
              </w:rPr>
            </w:pPr>
            <w:r w:rsidRPr="00DE5C22">
              <w:rPr>
                <w:sz w:val="20"/>
              </w:rPr>
              <w:t>1,000000</w:t>
            </w:r>
          </w:p>
        </w:tc>
      </w:tr>
      <w:tr w:rsidR="00DE5C22" w:rsidTr="0069442F">
        <w:trPr>
          <w:trHeight w:val="257"/>
          <w:jc w:val="center"/>
        </w:trPr>
        <w:tc>
          <w:tcPr>
            <w:tcW w:w="6205" w:type="dxa"/>
          </w:tcPr>
          <w:p w:rsidR="00DE5C22" w:rsidRPr="00DE5C22" w:rsidRDefault="00DE5C22" w:rsidP="0013485B">
            <w:pPr>
              <w:rPr>
                <w:sz w:val="20"/>
              </w:rPr>
            </w:pPr>
            <w:r w:rsidRPr="00DE5C22">
              <w:rPr>
                <w:color w:val="000000"/>
                <w:sz w:val="20"/>
              </w:rPr>
              <w:t>Braskem – 3</w:t>
            </w:r>
          </w:p>
        </w:tc>
        <w:tc>
          <w:tcPr>
            <w:tcW w:w="2553" w:type="dxa"/>
          </w:tcPr>
          <w:p w:rsidR="00DE5C22" w:rsidRPr="00DE5C22" w:rsidRDefault="00DE5C22" w:rsidP="0013485B">
            <w:pPr>
              <w:jc w:val="center"/>
              <w:rPr>
                <w:sz w:val="20"/>
              </w:rPr>
            </w:pPr>
            <w:r w:rsidRPr="00DE5C22">
              <w:rPr>
                <w:sz w:val="20"/>
              </w:rPr>
              <w:t>1,000000</w:t>
            </w:r>
          </w:p>
        </w:tc>
      </w:tr>
      <w:tr w:rsidR="00DE5C22" w:rsidTr="0069442F">
        <w:trPr>
          <w:trHeight w:val="257"/>
          <w:jc w:val="center"/>
        </w:trPr>
        <w:tc>
          <w:tcPr>
            <w:tcW w:w="6205" w:type="dxa"/>
            <w:vAlign w:val="bottom"/>
          </w:tcPr>
          <w:p w:rsidR="00DE5C22" w:rsidRPr="00DE5C22" w:rsidRDefault="00DE5C22" w:rsidP="0013485B">
            <w:pPr>
              <w:rPr>
                <w:color w:val="000000"/>
                <w:sz w:val="20"/>
              </w:rPr>
            </w:pPr>
            <w:r w:rsidRPr="00DE5C22">
              <w:rPr>
                <w:color w:val="000000"/>
                <w:sz w:val="20"/>
              </w:rPr>
              <w:t>Adama Brasil – 4</w:t>
            </w:r>
          </w:p>
        </w:tc>
        <w:tc>
          <w:tcPr>
            <w:tcW w:w="2553" w:type="dxa"/>
          </w:tcPr>
          <w:p w:rsidR="00DE5C22" w:rsidRPr="00DE5C22" w:rsidRDefault="00DE5C22" w:rsidP="0013485B">
            <w:pPr>
              <w:jc w:val="center"/>
              <w:rPr>
                <w:sz w:val="20"/>
              </w:rPr>
            </w:pPr>
            <w:r w:rsidRPr="00DE5C22">
              <w:rPr>
                <w:sz w:val="20"/>
              </w:rPr>
              <w:t>0,659168</w:t>
            </w:r>
          </w:p>
        </w:tc>
      </w:tr>
      <w:tr w:rsidR="00DE5C22" w:rsidTr="0069442F">
        <w:trPr>
          <w:trHeight w:val="257"/>
          <w:jc w:val="center"/>
        </w:trPr>
        <w:tc>
          <w:tcPr>
            <w:tcW w:w="6205" w:type="dxa"/>
            <w:vAlign w:val="bottom"/>
          </w:tcPr>
          <w:p w:rsidR="00DE5C22" w:rsidRPr="00DE5C22" w:rsidRDefault="00DE5C22" w:rsidP="0013485B">
            <w:pPr>
              <w:rPr>
                <w:color w:val="000000"/>
                <w:sz w:val="20"/>
              </w:rPr>
            </w:pPr>
            <w:r w:rsidRPr="00DE5C22">
              <w:rPr>
                <w:color w:val="000000"/>
                <w:sz w:val="20"/>
              </w:rPr>
              <w:t>Oxiteno Nordeste – 5</w:t>
            </w:r>
          </w:p>
        </w:tc>
        <w:tc>
          <w:tcPr>
            <w:tcW w:w="2553" w:type="dxa"/>
          </w:tcPr>
          <w:p w:rsidR="00DE5C22" w:rsidRPr="00DE5C22" w:rsidRDefault="00DE5C22" w:rsidP="0013485B">
            <w:pPr>
              <w:jc w:val="center"/>
              <w:rPr>
                <w:sz w:val="20"/>
              </w:rPr>
            </w:pPr>
            <w:r w:rsidRPr="00DE5C22">
              <w:rPr>
                <w:sz w:val="20"/>
              </w:rPr>
              <w:t>1,000000</w:t>
            </w:r>
          </w:p>
        </w:tc>
      </w:tr>
      <w:tr w:rsidR="00DE5C22" w:rsidTr="0069442F">
        <w:trPr>
          <w:trHeight w:val="239"/>
          <w:jc w:val="center"/>
        </w:trPr>
        <w:tc>
          <w:tcPr>
            <w:tcW w:w="6205" w:type="dxa"/>
            <w:vAlign w:val="bottom"/>
          </w:tcPr>
          <w:p w:rsidR="00DE5C22" w:rsidRPr="00DE5C22" w:rsidRDefault="00DE5C22" w:rsidP="0013485B">
            <w:pPr>
              <w:rPr>
                <w:color w:val="000000"/>
                <w:sz w:val="20"/>
              </w:rPr>
            </w:pPr>
            <w:r w:rsidRPr="00DE5C22">
              <w:rPr>
                <w:color w:val="000000"/>
                <w:sz w:val="20"/>
              </w:rPr>
              <w:t>Nufarm – 6</w:t>
            </w:r>
          </w:p>
        </w:tc>
        <w:tc>
          <w:tcPr>
            <w:tcW w:w="2553" w:type="dxa"/>
          </w:tcPr>
          <w:p w:rsidR="00DE5C22" w:rsidRPr="00DE5C22" w:rsidRDefault="00DE5C22" w:rsidP="0013485B">
            <w:pPr>
              <w:jc w:val="center"/>
              <w:rPr>
                <w:sz w:val="20"/>
              </w:rPr>
            </w:pPr>
            <w:r w:rsidRPr="00DE5C22">
              <w:rPr>
                <w:sz w:val="20"/>
              </w:rPr>
              <w:t>1,000000</w:t>
            </w:r>
          </w:p>
        </w:tc>
      </w:tr>
      <w:tr w:rsidR="00DE5C22" w:rsidTr="0069442F">
        <w:trPr>
          <w:trHeight w:val="257"/>
          <w:jc w:val="center"/>
        </w:trPr>
        <w:tc>
          <w:tcPr>
            <w:tcW w:w="6205" w:type="dxa"/>
            <w:vAlign w:val="bottom"/>
          </w:tcPr>
          <w:p w:rsidR="00DE5C22" w:rsidRPr="00DE5C22" w:rsidRDefault="00DE5C22" w:rsidP="0013485B">
            <w:pPr>
              <w:rPr>
                <w:color w:val="000000"/>
                <w:sz w:val="20"/>
              </w:rPr>
            </w:pPr>
            <w:r w:rsidRPr="00DE5C22">
              <w:rPr>
                <w:color w:val="000000"/>
                <w:sz w:val="20"/>
              </w:rPr>
              <w:t>Feripar – 7</w:t>
            </w:r>
          </w:p>
        </w:tc>
        <w:tc>
          <w:tcPr>
            <w:tcW w:w="2553" w:type="dxa"/>
          </w:tcPr>
          <w:p w:rsidR="00DE5C22" w:rsidRPr="00DE5C22" w:rsidRDefault="00DE5C22" w:rsidP="0013485B">
            <w:pPr>
              <w:jc w:val="center"/>
              <w:rPr>
                <w:sz w:val="20"/>
              </w:rPr>
            </w:pPr>
            <w:r w:rsidRPr="00DE5C22">
              <w:rPr>
                <w:sz w:val="20"/>
              </w:rPr>
              <w:t>1,000000</w:t>
            </w:r>
          </w:p>
        </w:tc>
      </w:tr>
      <w:tr w:rsidR="00DE5C22" w:rsidTr="0069442F">
        <w:trPr>
          <w:trHeight w:val="257"/>
          <w:jc w:val="center"/>
        </w:trPr>
        <w:tc>
          <w:tcPr>
            <w:tcW w:w="6205" w:type="dxa"/>
            <w:vAlign w:val="bottom"/>
          </w:tcPr>
          <w:p w:rsidR="00DE5C22" w:rsidRPr="00DE5C22" w:rsidRDefault="00DE5C22" w:rsidP="0013485B">
            <w:pPr>
              <w:rPr>
                <w:color w:val="000000"/>
                <w:sz w:val="20"/>
              </w:rPr>
            </w:pPr>
            <w:r w:rsidRPr="00DE5C22">
              <w:rPr>
                <w:color w:val="000000"/>
                <w:sz w:val="20"/>
              </w:rPr>
              <w:t>Syngenta – 8</w:t>
            </w:r>
          </w:p>
        </w:tc>
        <w:tc>
          <w:tcPr>
            <w:tcW w:w="2553" w:type="dxa"/>
          </w:tcPr>
          <w:p w:rsidR="00DE5C22" w:rsidRPr="00DE5C22" w:rsidRDefault="00DE5C22" w:rsidP="0013485B">
            <w:pPr>
              <w:jc w:val="center"/>
              <w:rPr>
                <w:sz w:val="20"/>
              </w:rPr>
            </w:pPr>
            <w:r w:rsidRPr="00DE5C22">
              <w:rPr>
                <w:sz w:val="20"/>
              </w:rPr>
              <w:t>0,467859</w:t>
            </w:r>
          </w:p>
        </w:tc>
      </w:tr>
      <w:tr w:rsidR="00DE5C22" w:rsidTr="0069442F">
        <w:trPr>
          <w:trHeight w:val="257"/>
          <w:jc w:val="center"/>
        </w:trPr>
        <w:tc>
          <w:tcPr>
            <w:tcW w:w="6205" w:type="dxa"/>
            <w:vAlign w:val="bottom"/>
          </w:tcPr>
          <w:p w:rsidR="00DE5C22" w:rsidRPr="00DE5C22" w:rsidRDefault="00DE5C22" w:rsidP="0013485B">
            <w:pPr>
              <w:rPr>
                <w:color w:val="000000"/>
                <w:sz w:val="20"/>
              </w:rPr>
            </w:pPr>
            <w:r w:rsidRPr="00DE5C22">
              <w:rPr>
                <w:color w:val="000000"/>
                <w:sz w:val="20"/>
              </w:rPr>
              <w:t>Odebrecht Oil e Gas – 9</w:t>
            </w:r>
          </w:p>
        </w:tc>
        <w:tc>
          <w:tcPr>
            <w:tcW w:w="2553" w:type="dxa"/>
          </w:tcPr>
          <w:p w:rsidR="00DE5C22" w:rsidRPr="00DE5C22" w:rsidRDefault="00DE5C22" w:rsidP="0013485B">
            <w:pPr>
              <w:jc w:val="center"/>
              <w:rPr>
                <w:sz w:val="20"/>
              </w:rPr>
            </w:pPr>
            <w:r w:rsidRPr="00DE5C22">
              <w:rPr>
                <w:sz w:val="20"/>
              </w:rPr>
              <w:t>1,000000</w:t>
            </w:r>
          </w:p>
        </w:tc>
      </w:tr>
      <w:tr w:rsidR="00DE5C22" w:rsidTr="0069442F">
        <w:trPr>
          <w:trHeight w:val="239"/>
          <w:jc w:val="center"/>
        </w:trPr>
        <w:tc>
          <w:tcPr>
            <w:tcW w:w="6205" w:type="dxa"/>
            <w:vAlign w:val="bottom"/>
          </w:tcPr>
          <w:p w:rsidR="00DE5C22" w:rsidRPr="00DE5C22" w:rsidRDefault="00DE5C22" w:rsidP="0013485B">
            <w:pPr>
              <w:rPr>
                <w:color w:val="000000"/>
                <w:sz w:val="20"/>
              </w:rPr>
            </w:pPr>
            <w:r w:rsidRPr="00DE5C22">
              <w:rPr>
                <w:color w:val="000000"/>
                <w:sz w:val="20"/>
              </w:rPr>
              <w:t>Akzo Nobel – 10</w:t>
            </w:r>
          </w:p>
        </w:tc>
        <w:tc>
          <w:tcPr>
            <w:tcW w:w="2553" w:type="dxa"/>
          </w:tcPr>
          <w:p w:rsidR="00DE5C22" w:rsidRPr="00DE5C22" w:rsidRDefault="00DE5C22" w:rsidP="0013485B">
            <w:pPr>
              <w:jc w:val="center"/>
              <w:rPr>
                <w:sz w:val="20"/>
              </w:rPr>
            </w:pPr>
            <w:r w:rsidRPr="00DE5C22">
              <w:rPr>
                <w:sz w:val="20"/>
              </w:rPr>
              <w:t>0,233553</w:t>
            </w:r>
          </w:p>
        </w:tc>
      </w:tr>
      <w:tr w:rsidR="00DE5C22" w:rsidTr="0069442F">
        <w:trPr>
          <w:trHeight w:val="257"/>
          <w:jc w:val="center"/>
        </w:trPr>
        <w:tc>
          <w:tcPr>
            <w:tcW w:w="6205" w:type="dxa"/>
            <w:vAlign w:val="bottom"/>
          </w:tcPr>
          <w:p w:rsidR="00DE5C22" w:rsidRPr="00DE5C22" w:rsidRDefault="00DE5C22" w:rsidP="0013485B">
            <w:pPr>
              <w:rPr>
                <w:color w:val="000000"/>
                <w:sz w:val="20"/>
              </w:rPr>
            </w:pPr>
            <w:r w:rsidRPr="00DE5C22">
              <w:rPr>
                <w:color w:val="000000"/>
                <w:sz w:val="20"/>
              </w:rPr>
              <w:t>Yara Brasil – 11</w:t>
            </w:r>
          </w:p>
        </w:tc>
        <w:tc>
          <w:tcPr>
            <w:tcW w:w="2553" w:type="dxa"/>
          </w:tcPr>
          <w:p w:rsidR="00DE5C22" w:rsidRPr="00DE5C22" w:rsidRDefault="00DE5C22" w:rsidP="0013485B">
            <w:pPr>
              <w:jc w:val="center"/>
              <w:rPr>
                <w:sz w:val="20"/>
              </w:rPr>
            </w:pPr>
            <w:r w:rsidRPr="00DE5C22">
              <w:rPr>
                <w:sz w:val="20"/>
              </w:rPr>
              <w:t>0,631232</w:t>
            </w:r>
          </w:p>
        </w:tc>
      </w:tr>
      <w:tr w:rsidR="00DE5C22" w:rsidTr="0069442F">
        <w:trPr>
          <w:trHeight w:val="257"/>
          <w:jc w:val="center"/>
        </w:trPr>
        <w:tc>
          <w:tcPr>
            <w:tcW w:w="6205" w:type="dxa"/>
            <w:vAlign w:val="bottom"/>
          </w:tcPr>
          <w:p w:rsidR="00DE5C22" w:rsidRPr="00DE5C22" w:rsidRDefault="00DE5C22" w:rsidP="0013485B">
            <w:pPr>
              <w:rPr>
                <w:color w:val="000000"/>
                <w:sz w:val="20"/>
              </w:rPr>
            </w:pPr>
            <w:r w:rsidRPr="00DE5C22">
              <w:rPr>
                <w:color w:val="000000"/>
                <w:sz w:val="20"/>
              </w:rPr>
              <w:t>Basf – 12</w:t>
            </w:r>
          </w:p>
        </w:tc>
        <w:tc>
          <w:tcPr>
            <w:tcW w:w="2553" w:type="dxa"/>
          </w:tcPr>
          <w:p w:rsidR="00DE5C22" w:rsidRPr="00DE5C22" w:rsidRDefault="00DE5C22" w:rsidP="0013485B">
            <w:pPr>
              <w:jc w:val="center"/>
              <w:rPr>
                <w:sz w:val="20"/>
              </w:rPr>
            </w:pPr>
            <w:r w:rsidRPr="00DE5C22">
              <w:rPr>
                <w:sz w:val="20"/>
              </w:rPr>
              <w:t>0,414328</w:t>
            </w:r>
          </w:p>
        </w:tc>
      </w:tr>
      <w:tr w:rsidR="00DE5C22" w:rsidTr="0069442F">
        <w:trPr>
          <w:trHeight w:val="257"/>
          <w:jc w:val="center"/>
        </w:trPr>
        <w:tc>
          <w:tcPr>
            <w:tcW w:w="6205" w:type="dxa"/>
            <w:vAlign w:val="bottom"/>
          </w:tcPr>
          <w:p w:rsidR="00DE5C22" w:rsidRPr="00DE5C22" w:rsidRDefault="00DE5C22" w:rsidP="0013485B">
            <w:pPr>
              <w:rPr>
                <w:color w:val="000000"/>
                <w:sz w:val="20"/>
              </w:rPr>
            </w:pPr>
            <w:r w:rsidRPr="00DE5C22">
              <w:rPr>
                <w:color w:val="000000"/>
                <w:sz w:val="20"/>
              </w:rPr>
              <w:t>FMC Química – 13</w:t>
            </w:r>
          </w:p>
        </w:tc>
        <w:tc>
          <w:tcPr>
            <w:tcW w:w="2553" w:type="dxa"/>
          </w:tcPr>
          <w:p w:rsidR="00DE5C22" w:rsidRPr="00DE5C22" w:rsidRDefault="00DE5C22" w:rsidP="0013485B">
            <w:pPr>
              <w:jc w:val="center"/>
              <w:rPr>
                <w:sz w:val="20"/>
              </w:rPr>
            </w:pPr>
            <w:r w:rsidRPr="00DE5C22">
              <w:rPr>
                <w:sz w:val="20"/>
              </w:rPr>
              <w:t>0,626412</w:t>
            </w:r>
          </w:p>
        </w:tc>
      </w:tr>
      <w:tr w:rsidR="00DE5C22" w:rsidTr="0069442F">
        <w:trPr>
          <w:trHeight w:val="257"/>
          <w:jc w:val="center"/>
        </w:trPr>
        <w:tc>
          <w:tcPr>
            <w:tcW w:w="6205" w:type="dxa"/>
            <w:vAlign w:val="bottom"/>
          </w:tcPr>
          <w:p w:rsidR="00DE5C22" w:rsidRPr="00DE5C22" w:rsidRDefault="00DE5C22" w:rsidP="0013485B">
            <w:pPr>
              <w:rPr>
                <w:color w:val="000000"/>
                <w:sz w:val="20"/>
              </w:rPr>
            </w:pPr>
            <w:r w:rsidRPr="00DE5C22">
              <w:rPr>
                <w:color w:val="000000"/>
                <w:sz w:val="20"/>
              </w:rPr>
              <w:t>Hydro Alunorte – 14</w:t>
            </w:r>
          </w:p>
        </w:tc>
        <w:tc>
          <w:tcPr>
            <w:tcW w:w="2553" w:type="dxa"/>
          </w:tcPr>
          <w:p w:rsidR="00DE5C22" w:rsidRPr="00DE5C22" w:rsidRDefault="00DE5C22" w:rsidP="0013485B">
            <w:pPr>
              <w:jc w:val="center"/>
              <w:rPr>
                <w:sz w:val="20"/>
              </w:rPr>
            </w:pPr>
            <w:r w:rsidRPr="00DE5C22">
              <w:rPr>
                <w:sz w:val="20"/>
              </w:rPr>
              <w:t>1,000000</w:t>
            </w:r>
          </w:p>
        </w:tc>
      </w:tr>
      <w:tr w:rsidR="00DE5C22" w:rsidTr="0069442F">
        <w:trPr>
          <w:trHeight w:val="239"/>
          <w:jc w:val="center"/>
        </w:trPr>
        <w:tc>
          <w:tcPr>
            <w:tcW w:w="6205" w:type="dxa"/>
            <w:vAlign w:val="bottom"/>
          </w:tcPr>
          <w:p w:rsidR="00DE5C22" w:rsidRPr="00DE5C22" w:rsidRDefault="00DE5C22" w:rsidP="0013485B">
            <w:pPr>
              <w:rPr>
                <w:color w:val="000000"/>
                <w:sz w:val="20"/>
              </w:rPr>
            </w:pPr>
            <w:r w:rsidRPr="00DE5C22">
              <w:rPr>
                <w:color w:val="000000"/>
                <w:sz w:val="20"/>
              </w:rPr>
              <w:t>Heringer – 15</w:t>
            </w:r>
          </w:p>
        </w:tc>
        <w:tc>
          <w:tcPr>
            <w:tcW w:w="2553" w:type="dxa"/>
          </w:tcPr>
          <w:p w:rsidR="00DE5C22" w:rsidRPr="00DE5C22" w:rsidRDefault="00DE5C22" w:rsidP="0013485B">
            <w:pPr>
              <w:jc w:val="center"/>
              <w:rPr>
                <w:sz w:val="20"/>
              </w:rPr>
            </w:pPr>
            <w:r w:rsidRPr="00DE5C22">
              <w:rPr>
                <w:sz w:val="20"/>
              </w:rPr>
              <w:t>0,368190</w:t>
            </w:r>
          </w:p>
        </w:tc>
      </w:tr>
    </w:tbl>
    <w:p w:rsidR="00DE5C22" w:rsidRPr="00A34284" w:rsidRDefault="00DE5C22" w:rsidP="00DE5C22">
      <w:pPr>
        <w:pStyle w:val="TextosemFormatao"/>
        <w:spacing w:line="360" w:lineRule="auto"/>
        <w:jc w:val="center"/>
        <w:rPr>
          <w:rFonts w:ascii="Times New Roman" w:hAnsi="Times New Roman"/>
        </w:rPr>
      </w:pPr>
      <w:r w:rsidRPr="00A34284">
        <w:rPr>
          <w:rFonts w:ascii="Times New Roman" w:hAnsi="Times New Roman"/>
        </w:rPr>
        <w:t xml:space="preserve">Fonte: </w:t>
      </w:r>
      <w:r>
        <w:rPr>
          <w:rFonts w:ascii="Times New Roman" w:hAnsi="Times New Roman"/>
        </w:rPr>
        <w:t>Dados da pesquisa (2016)</w:t>
      </w:r>
    </w:p>
    <w:p w:rsidR="00DE5C22" w:rsidRP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 xml:space="preserve">As empresas classificadas como eficientes foram: Innova, Bayer, Braskem, Oxiteno Nordeste, Nufarm, Feripar, Odebrecht Oil e Gas e Hydro Alunorte, todas elas com o índice de eficiência igual a 1 (um). </w:t>
      </w:r>
    </w:p>
    <w:p w:rsidR="00DE5C22" w:rsidRP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 xml:space="preserve">O SIAD, após analisar o resultado, propõe para as empresas que se classificaram como ineficientes o que elas precisam melhorar, nomeando esse resultado como “alvos”. Como a pesquisa foi realizada no modelo de </w:t>
      </w:r>
      <w:r w:rsidRPr="00DE5C22">
        <w:rPr>
          <w:rFonts w:ascii="Times New Roman" w:hAnsi="Times New Roman"/>
          <w:i/>
          <w:sz w:val="24"/>
          <w:szCs w:val="24"/>
        </w:rPr>
        <w:t>outputs</w:t>
      </w:r>
      <w:r w:rsidRPr="00DE5C22">
        <w:rPr>
          <w:rFonts w:ascii="Times New Roman" w:hAnsi="Times New Roman"/>
          <w:sz w:val="24"/>
          <w:szCs w:val="24"/>
        </w:rPr>
        <w:t xml:space="preserve"> em orientação, o </w:t>
      </w:r>
      <w:r w:rsidRPr="00DE5C22">
        <w:rPr>
          <w:rFonts w:ascii="Times New Roman" w:hAnsi="Times New Roman"/>
          <w:i/>
          <w:sz w:val="24"/>
          <w:szCs w:val="24"/>
        </w:rPr>
        <w:t>software</w:t>
      </w:r>
      <w:r w:rsidRPr="00DE5C22">
        <w:rPr>
          <w:rFonts w:ascii="Times New Roman" w:hAnsi="Times New Roman"/>
          <w:sz w:val="24"/>
          <w:szCs w:val="24"/>
        </w:rPr>
        <w:t xml:space="preserve"> mostrará o que essas empresas ineficientes precisarão mudar nos seus consumos (</w:t>
      </w:r>
      <w:r w:rsidRPr="00DE5C22">
        <w:rPr>
          <w:rFonts w:ascii="Times New Roman" w:hAnsi="Times New Roman"/>
          <w:i/>
          <w:sz w:val="24"/>
          <w:szCs w:val="24"/>
        </w:rPr>
        <w:t>output</w:t>
      </w:r>
      <w:r w:rsidRPr="00DE5C22">
        <w:rPr>
          <w:rFonts w:ascii="Times New Roman" w:hAnsi="Times New Roman"/>
          <w:sz w:val="24"/>
          <w:szCs w:val="24"/>
        </w:rPr>
        <w:t>) em relação aos seus insumos (</w:t>
      </w:r>
      <w:r w:rsidRPr="00DE5C22">
        <w:rPr>
          <w:rFonts w:ascii="Times New Roman" w:hAnsi="Times New Roman"/>
          <w:i/>
          <w:sz w:val="24"/>
          <w:szCs w:val="24"/>
        </w:rPr>
        <w:t>inputs</w:t>
      </w:r>
      <w:r w:rsidRPr="00DE5C22">
        <w:rPr>
          <w:rFonts w:ascii="Times New Roman" w:hAnsi="Times New Roman"/>
          <w:sz w:val="24"/>
          <w:szCs w:val="24"/>
        </w:rPr>
        <w:t xml:space="preserve">). As empresas eficientes como chegaram na escala 1, elas não possuem “alvo”. A Tabela </w:t>
      </w:r>
      <w:r w:rsidR="0069442F">
        <w:rPr>
          <w:rFonts w:ascii="Times New Roman" w:hAnsi="Times New Roman"/>
          <w:sz w:val="24"/>
          <w:szCs w:val="24"/>
        </w:rPr>
        <w:t>3</w:t>
      </w:r>
      <w:r w:rsidRPr="00DE5C22">
        <w:rPr>
          <w:rFonts w:ascii="Times New Roman" w:hAnsi="Times New Roman"/>
          <w:sz w:val="24"/>
          <w:szCs w:val="24"/>
        </w:rPr>
        <w:t xml:space="preserve"> </w:t>
      </w:r>
      <w:r w:rsidR="00A4455A">
        <w:rPr>
          <w:rFonts w:ascii="Times New Roman" w:hAnsi="Times New Roman"/>
          <w:sz w:val="24"/>
          <w:szCs w:val="24"/>
        </w:rPr>
        <w:t xml:space="preserve">indica </w:t>
      </w:r>
      <w:r w:rsidRPr="00DE5C22">
        <w:rPr>
          <w:rFonts w:ascii="Times New Roman" w:hAnsi="Times New Roman"/>
          <w:sz w:val="24"/>
          <w:szCs w:val="24"/>
        </w:rPr>
        <w:t>os resultados dos alvos obtidos para cada empresa ineficiente.</w:t>
      </w:r>
    </w:p>
    <w:p w:rsidR="00DE5C22" w:rsidRDefault="00DE5C22" w:rsidP="00DE5C22">
      <w:pPr>
        <w:pStyle w:val="TextosemFormatao"/>
        <w:spacing w:line="360" w:lineRule="auto"/>
        <w:jc w:val="center"/>
        <w:rPr>
          <w:rFonts w:ascii="Times New Roman" w:hAnsi="Times New Roman"/>
        </w:rPr>
      </w:pPr>
    </w:p>
    <w:p w:rsidR="00DE5C22" w:rsidRDefault="00DE5C22" w:rsidP="00DE5C22">
      <w:pPr>
        <w:pStyle w:val="TextosemFormatao"/>
        <w:spacing w:line="360" w:lineRule="auto"/>
        <w:jc w:val="center"/>
        <w:rPr>
          <w:rFonts w:ascii="Times New Roman" w:hAnsi="Times New Roman"/>
        </w:rPr>
      </w:pPr>
    </w:p>
    <w:p w:rsidR="00DE5C22" w:rsidRDefault="00DE5C22" w:rsidP="00DE5C22">
      <w:pPr>
        <w:pStyle w:val="TextosemFormatao"/>
        <w:spacing w:line="360" w:lineRule="auto"/>
        <w:jc w:val="center"/>
        <w:rPr>
          <w:rFonts w:ascii="Times New Roman" w:hAnsi="Times New Roman"/>
        </w:rPr>
      </w:pPr>
    </w:p>
    <w:p w:rsidR="00DE5C22" w:rsidRDefault="00DE5C22" w:rsidP="00DE5C22">
      <w:pPr>
        <w:pStyle w:val="TextosemFormatao"/>
        <w:spacing w:line="360" w:lineRule="auto"/>
        <w:jc w:val="center"/>
        <w:rPr>
          <w:rFonts w:ascii="Times New Roman" w:hAnsi="Times New Roman"/>
        </w:rPr>
      </w:pPr>
    </w:p>
    <w:p w:rsidR="00DE5C22" w:rsidRDefault="00DE5C22" w:rsidP="00DE5C22">
      <w:pPr>
        <w:pStyle w:val="TextosemFormatao"/>
        <w:spacing w:line="360" w:lineRule="auto"/>
        <w:jc w:val="center"/>
        <w:rPr>
          <w:rFonts w:ascii="Times New Roman" w:hAnsi="Times New Roman"/>
        </w:rPr>
      </w:pPr>
    </w:p>
    <w:p w:rsidR="00DE5C22" w:rsidRDefault="00DE5C22" w:rsidP="00DE5C22">
      <w:pPr>
        <w:pStyle w:val="TextosemFormatao"/>
        <w:spacing w:line="360" w:lineRule="auto"/>
        <w:jc w:val="center"/>
        <w:rPr>
          <w:rFonts w:ascii="Times New Roman" w:hAnsi="Times New Roman"/>
        </w:rPr>
      </w:pPr>
    </w:p>
    <w:p w:rsidR="00A4455A" w:rsidRDefault="00A4455A" w:rsidP="0069442F">
      <w:pPr>
        <w:pStyle w:val="TextosemFormatao"/>
        <w:jc w:val="center"/>
        <w:rPr>
          <w:rFonts w:ascii="Times New Roman" w:hAnsi="Times New Roman"/>
        </w:rPr>
      </w:pPr>
    </w:p>
    <w:p w:rsidR="00DE5C22" w:rsidRDefault="00DE5C22" w:rsidP="0069442F">
      <w:pPr>
        <w:pStyle w:val="TextosemFormatao"/>
        <w:jc w:val="center"/>
        <w:rPr>
          <w:rFonts w:ascii="Times New Roman" w:hAnsi="Times New Roman"/>
        </w:rPr>
      </w:pPr>
      <w:r w:rsidRPr="00EA4A26">
        <w:rPr>
          <w:rFonts w:ascii="Times New Roman" w:hAnsi="Times New Roman"/>
        </w:rPr>
        <w:t>T</w:t>
      </w:r>
      <w:r>
        <w:rPr>
          <w:rFonts w:ascii="Times New Roman" w:hAnsi="Times New Roman"/>
        </w:rPr>
        <w:t xml:space="preserve">abela </w:t>
      </w:r>
      <w:r w:rsidR="006B170C">
        <w:rPr>
          <w:rFonts w:ascii="Times New Roman" w:hAnsi="Times New Roman"/>
        </w:rPr>
        <w:t>4</w:t>
      </w:r>
      <w:r w:rsidRPr="00EA4A26">
        <w:rPr>
          <w:rFonts w:ascii="Times New Roman" w:hAnsi="Times New Roman"/>
        </w:rPr>
        <w:t xml:space="preserve"> – Resultados dos alvos</w:t>
      </w:r>
      <w:r>
        <w:rPr>
          <w:rFonts w:ascii="Times New Roman" w:hAnsi="Times New Roman"/>
        </w:rPr>
        <w:t xml:space="preserve"> das empresas ineficientes para o modelo CRS</w:t>
      </w:r>
      <w:r w:rsidR="00A4455A">
        <w:rPr>
          <w:rFonts w:ascii="Times New Roman" w:hAnsi="Times New Roman"/>
        </w:rPr>
        <w:t>.</w:t>
      </w:r>
    </w:p>
    <w:tbl>
      <w:tblPr>
        <w:tblW w:w="0" w:type="auto"/>
        <w:jc w:val="center"/>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93"/>
        <w:gridCol w:w="2330"/>
        <w:gridCol w:w="2039"/>
        <w:gridCol w:w="1478"/>
        <w:gridCol w:w="1165"/>
      </w:tblGrid>
      <w:tr w:rsidR="00DE5C22" w:rsidRPr="00D61B20" w:rsidTr="0013485B">
        <w:trPr>
          <w:trHeight w:val="636"/>
          <w:jc w:val="center"/>
        </w:trPr>
        <w:tc>
          <w:tcPr>
            <w:tcW w:w="2093" w:type="dxa"/>
            <w:vAlign w:val="center"/>
          </w:tcPr>
          <w:p w:rsidR="00DE5C22" w:rsidRPr="007B375B" w:rsidRDefault="00DE5C22" w:rsidP="0013485B">
            <w:pPr>
              <w:pStyle w:val="TextosemFormatao"/>
              <w:jc w:val="center"/>
              <w:rPr>
                <w:rFonts w:ascii="Times New Roman" w:hAnsi="Times New Roman"/>
              </w:rPr>
            </w:pPr>
            <w:r w:rsidRPr="007B375B">
              <w:rPr>
                <w:rFonts w:ascii="Times New Roman" w:hAnsi="Times New Roman"/>
              </w:rPr>
              <w:t>Empresas Ineficientes</w:t>
            </w:r>
          </w:p>
        </w:tc>
        <w:tc>
          <w:tcPr>
            <w:tcW w:w="2330" w:type="dxa"/>
            <w:vAlign w:val="center"/>
          </w:tcPr>
          <w:p w:rsidR="00DE5C22" w:rsidRPr="007B375B" w:rsidRDefault="00DE5C22" w:rsidP="0013485B">
            <w:pPr>
              <w:pStyle w:val="TextosemFormatao"/>
              <w:jc w:val="center"/>
              <w:rPr>
                <w:rFonts w:ascii="Times New Roman" w:hAnsi="Times New Roman"/>
              </w:rPr>
            </w:pPr>
            <w:r w:rsidRPr="007B375B">
              <w:rPr>
                <w:rFonts w:ascii="Times New Roman" w:hAnsi="Times New Roman"/>
                <w:i/>
              </w:rPr>
              <w:t>Output</w:t>
            </w:r>
            <w:r w:rsidRPr="007B375B">
              <w:rPr>
                <w:rFonts w:ascii="Times New Roman" w:hAnsi="Times New Roman"/>
              </w:rPr>
              <w:t xml:space="preserve"> 1</w:t>
            </w:r>
            <w:r>
              <w:rPr>
                <w:rFonts w:ascii="Times New Roman" w:hAnsi="Times New Roman"/>
              </w:rPr>
              <w:t xml:space="preserve"> (em US$ milhões)</w:t>
            </w:r>
          </w:p>
        </w:tc>
        <w:tc>
          <w:tcPr>
            <w:tcW w:w="2039" w:type="dxa"/>
            <w:vAlign w:val="center"/>
          </w:tcPr>
          <w:p w:rsidR="00DE5C22" w:rsidRPr="007B375B" w:rsidRDefault="00DE5C22" w:rsidP="0013485B">
            <w:pPr>
              <w:pStyle w:val="TextosemFormatao"/>
              <w:jc w:val="center"/>
              <w:rPr>
                <w:rFonts w:ascii="Times New Roman" w:hAnsi="Times New Roman"/>
              </w:rPr>
            </w:pPr>
            <w:r w:rsidRPr="007B375B">
              <w:rPr>
                <w:rFonts w:ascii="Times New Roman" w:hAnsi="Times New Roman"/>
                <w:i/>
              </w:rPr>
              <w:t>Output</w:t>
            </w:r>
            <w:r w:rsidRPr="007B375B">
              <w:rPr>
                <w:rFonts w:ascii="Times New Roman" w:hAnsi="Times New Roman"/>
              </w:rPr>
              <w:t xml:space="preserve"> 2</w:t>
            </w:r>
            <w:r>
              <w:rPr>
                <w:rFonts w:ascii="Times New Roman" w:hAnsi="Times New Roman"/>
              </w:rPr>
              <w:t xml:space="preserve"> (em US$ milhões)</w:t>
            </w:r>
          </w:p>
        </w:tc>
        <w:tc>
          <w:tcPr>
            <w:tcW w:w="1478" w:type="dxa"/>
            <w:vAlign w:val="center"/>
          </w:tcPr>
          <w:p w:rsidR="00DE5C22" w:rsidRPr="00972FD0" w:rsidRDefault="00DE5C22" w:rsidP="0013485B">
            <w:pPr>
              <w:pStyle w:val="TextosemFormatao"/>
              <w:jc w:val="center"/>
              <w:rPr>
                <w:rFonts w:ascii="Times New Roman" w:hAnsi="Times New Roman"/>
              </w:rPr>
            </w:pPr>
            <w:r w:rsidRPr="00972FD0">
              <w:rPr>
                <w:rFonts w:ascii="Times New Roman" w:hAnsi="Times New Roman"/>
                <w:i/>
              </w:rPr>
              <w:t xml:space="preserve">Output </w:t>
            </w:r>
            <w:r w:rsidRPr="00972FD0">
              <w:rPr>
                <w:rFonts w:ascii="Times New Roman" w:hAnsi="Times New Roman"/>
              </w:rPr>
              <w:t>3 (em US$ milhões)</w:t>
            </w:r>
          </w:p>
        </w:tc>
        <w:tc>
          <w:tcPr>
            <w:tcW w:w="1165" w:type="dxa"/>
            <w:vAlign w:val="center"/>
          </w:tcPr>
          <w:p w:rsidR="00DE5C22" w:rsidRPr="00972FD0" w:rsidRDefault="00DE5C22" w:rsidP="0013485B">
            <w:pPr>
              <w:pStyle w:val="TextosemFormatao"/>
              <w:jc w:val="center"/>
              <w:rPr>
                <w:rFonts w:ascii="Times New Roman" w:hAnsi="Times New Roman"/>
              </w:rPr>
            </w:pPr>
            <w:r w:rsidRPr="00972FD0">
              <w:rPr>
                <w:rFonts w:ascii="Times New Roman" w:hAnsi="Times New Roman"/>
                <w:i/>
              </w:rPr>
              <w:t xml:space="preserve">Output </w:t>
            </w:r>
            <w:r w:rsidRPr="00972FD0">
              <w:rPr>
                <w:rFonts w:ascii="Times New Roman" w:hAnsi="Times New Roman"/>
              </w:rPr>
              <w:t>4 (em %)</w:t>
            </w:r>
          </w:p>
        </w:tc>
      </w:tr>
      <w:tr w:rsidR="00DE5C22" w:rsidRPr="00D61B20" w:rsidTr="0013485B">
        <w:trPr>
          <w:trHeight w:val="257"/>
          <w:jc w:val="center"/>
        </w:trPr>
        <w:tc>
          <w:tcPr>
            <w:tcW w:w="2093"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color w:val="000000"/>
              </w:rPr>
              <w:t>Adama Brasil – 4</w:t>
            </w:r>
          </w:p>
        </w:tc>
        <w:tc>
          <w:tcPr>
            <w:tcW w:w="233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66,421511</w:t>
            </w:r>
          </w:p>
        </w:tc>
        <w:tc>
          <w:tcPr>
            <w:tcW w:w="2039"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666,142702</w:t>
            </w:r>
          </w:p>
        </w:tc>
        <w:tc>
          <w:tcPr>
            <w:tcW w:w="1478"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297,839819</w:t>
            </w:r>
          </w:p>
        </w:tc>
        <w:tc>
          <w:tcPr>
            <w:tcW w:w="1165"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11,529685</w:t>
            </w:r>
          </w:p>
        </w:tc>
      </w:tr>
      <w:tr w:rsidR="00DE5C22" w:rsidRPr="00D61B20" w:rsidTr="0013485B">
        <w:trPr>
          <w:trHeight w:val="238"/>
          <w:jc w:val="center"/>
        </w:trPr>
        <w:tc>
          <w:tcPr>
            <w:tcW w:w="2093"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color w:val="000000"/>
              </w:rPr>
              <w:t>Syngenta – 8</w:t>
            </w:r>
          </w:p>
        </w:tc>
        <w:tc>
          <w:tcPr>
            <w:tcW w:w="233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213,525914</w:t>
            </w:r>
          </w:p>
        </w:tc>
        <w:tc>
          <w:tcPr>
            <w:tcW w:w="2039"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5.459,019410</w:t>
            </w:r>
          </w:p>
        </w:tc>
        <w:tc>
          <w:tcPr>
            <w:tcW w:w="1478"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2.444,967899</w:t>
            </w:r>
          </w:p>
        </w:tc>
        <w:tc>
          <w:tcPr>
            <w:tcW w:w="1165"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8,763326</w:t>
            </w:r>
          </w:p>
        </w:tc>
      </w:tr>
      <w:tr w:rsidR="00DE5C22" w:rsidRPr="00D61B20" w:rsidTr="0013485B">
        <w:trPr>
          <w:trHeight w:val="257"/>
          <w:jc w:val="center"/>
        </w:trPr>
        <w:tc>
          <w:tcPr>
            <w:tcW w:w="2093"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color w:val="000000"/>
              </w:rPr>
              <w:t>Akzo Nobel – 10</w:t>
            </w:r>
          </w:p>
        </w:tc>
        <w:tc>
          <w:tcPr>
            <w:tcW w:w="233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224,559139</w:t>
            </w:r>
          </w:p>
        </w:tc>
        <w:tc>
          <w:tcPr>
            <w:tcW w:w="2039"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3.362,401597</w:t>
            </w:r>
          </w:p>
        </w:tc>
        <w:tc>
          <w:tcPr>
            <w:tcW w:w="1478"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1.120,394743</w:t>
            </w:r>
          </w:p>
        </w:tc>
        <w:tc>
          <w:tcPr>
            <w:tcW w:w="1165"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23,549228</w:t>
            </w:r>
          </w:p>
        </w:tc>
      </w:tr>
      <w:tr w:rsidR="00DE5C22" w:rsidRPr="00D61B20" w:rsidTr="0013485B">
        <w:trPr>
          <w:trHeight w:val="257"/>
          <w:jc w:val="center"/>
        </w:trPr>
        <w:tc>
          <w:tcPr>
            <w:tcW w:w="2093" w:type="dxa"/>
            <w:vAlign w:val="center"/>
          </w:tcPr>
          <w:p w:rsidR="00DE5C22" w:rsidRPr="00DE5C22" w:rsidRDefault="00DE5C22" w:rsidP="00DE5C22">
            <w:pPr>
              <w:ind w:firstLine="0"/>
              <w:jc w:val="center"/>
              <w:rPr>
                <w:color w:val="000000"/>
                <w:sz w:val="20"/>
              </w:rPr>
            </w:pPr>
            <w:r w:rsidRPr="00DE5C22">
              <w:rPr>
                <w:color w:val="000000"/>
                <w:sz w:val="20"/>
              </w:rPr>
              <w:t>Yara Brasil – 11</w:t>
            </w:r>
          </w:p>
        </w:tc>
        <w:tc>
          <w:tcPr>
            <w:tcW w:w="233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235,479144</w:t>
            </w:r>
          </w:p>
        </w:tc>
        <w:tc>
          <w:tcPr>
            <w:tcW w:w="2039"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4.645,202515</w:t>
            </w:r>
          </w:p>
        </w:tc>
        <w:tc>
          <w:tcPr>
            <w:tcW w:w="1478"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1.385,324798</w:t>
            </w:r>
          </w:p>
        </w:tc>
        <w:tc>
          <w:tcPr>
            <w:tcW w:w="1165"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14,528974</w:t>
            </w:r>
          </w:p>
        </w:tc>
      </w:tr>
      <w:tr w:rsidR="00DE5C22" w:rsidRPr="00D61B20" w:rsidTr="0013485B">
        <w:trPr>
          <w:trHeight w:val="257"/>
          <w:jc w:val="center"/>
        </w:trPr>
        <w:tc>
          <w:tcPr>
            <w:tcW w:w="2093" w:type="dxa"/>
            <w:vAlign w:val="center"/>
          </w:tcPr>
          <w:p w:rsidR="00DE5C22" w:rsidRPr="00DE5C22" w:rsidRDefault="00DE5C22" w:rsidP="00DE5C22">
            <w:pPr>
              <w:ind w:firstLine="0"/>
              <w:jc w:val="center"/>
              <w:rPr>
                <w:color w:val="000000"/>
                <w:sz w:val="20"/>
              </w:rPr>
            </w:pPr>
            <w:r w:rsidRPr="00DE5C22">
              <w:rPr>
                <w:color w:val="000000"/>
                <w:sz w:val="20"/>
              </w:rPr>
              <w:t>Basf – 12</w:t>
            </w:r>
          </w:p>
        </w:tc>
        <w:tc>
          <w:tcPr>
            <w:tcW w:w="233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281,522368</w:t>
            </w:r>
          </w:p>
        </w:tc>
        <w:tc>
          <w:tcPr>
            <w:tcW w:w="2039"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6.648,604864</w:t>
            </w:r>
          </w:p>
        </w:tc>
        <w:tc>
          <w:tcPr>
            <w:tcW w:w="1478"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1.672,467357</w:t>
            </w:r>
          </w:p>
        </w:tc>
        <w:tc>
          <w:tcPr>
            <w:tcW w:w="1165"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6,139939</w:t>
            </w:r>
          </w:p>
        </w:tc>
      </w:tr>
      <w:tr w:rsidR="00DE5C22" w:rsidRPr="00D61B20" w:rsidTr="0013485B">
        <w:trPr>
          <w:trHeight w:val="257"/>
          <w:jc w:val="center"/>
        </w:trPr>
        <w:tc>
          <w:tcPr>
            <w:tcW w:w="2093" w:type="dxa"/>
            <w:vAlign w:val="center"/>
          </w:tcPr>
          <w:p w:rsidR="00DE5C22" w:rsidRPr="00DE5C22" w:rsidRDefault="00DE5C22" w:rsidP="00DE5C22">
            <w:pPr>
              <w:ind w:firstLine="0"/>
              <w:jc w:val="center"/>
              <w:rPr>
                <w:color w:val="000000"/>
                <w:sz w:val="20"/>
              </w:rPr>
            </w:pPr>
            <w:r w:rsidRPr="00DE5C22">
              <w:rPr>
                <w:color w:val="000000"/>
                <w:sz w:val="20"/>
              </w:rPr>
              <w:t>FMC Química – 13</w:t>
            </w:r>
          </w:p>
        </w:tc>
        <w:tc>
          <w:tcPr>
            <w:tcW w:w="233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63,990950</w:t>
            </w:r>
          </w:p>
        </w:tc>
        <w:tc>
          <w:tcPr>
            <w:tcW w:w="2039"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1.112,846194</w:t>
            </w:r>
          </w:p>
        </w:tc>
        <w:tc>
          <w:tcPr>
            <w:tcW w:w="1478"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374,238268</w:t>
            </w:r>
          </w:p>
        </w:tc>
        <w:tc>
          <w:tcPr>
            <w:tcW w:w="1165"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5,481023</w:t>
            </w:r>
          </w:p>
        </w:tc>
      </w:tr>
      <w:tr w:rsidR="00DE5C22" w:rsidRPr="00D61B20" w:rsidTr="0013485B">
        <w:trPr>
          <w:trHeight w:val="257"/>
          <w:jc w:val="center"/>
        </w:trPr>
        <w:tc>
          <w:tcPr>
            <w:tcW w:w="2093" w:type="dxa"/>
            <w:vAlign w:val="center"/>
          </w:tcPr>
          <w:p w:rsidR="00DE5C22" w:rsidRPr="00DE5C22" w:rsidRDefault="00DE5C22" w:rsidP="00DE5C22">
            <w:pPr>
              <w:ind w:firstLine="0"/>
              <w:jc w:val="center"/>
              <w:rPr>
                <w:color w:val="000000"/>
                <w:sz w:val="20"/>
              </w:rPr>
            </w:pPr>
            <w:r w:rsidRPr="00DE5C22">
              <w:rPr>
                <w:color w:val="000000"/>
                <w:sz w:val="20"/>
              </w:rPr>
              <w:t>Heringer – 15</w:t>
            </w:r>
          </w:p>
        </w:tc>
        <w:tc>
          <w:tcPr>
            <w:tcW w:w="233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265,878147</w:t>
            </w:r>
          </w:p>
        </w:tc>
        <w:tc>
          <w:tcPr>
            <w:tcW w:w="2039"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5.559,894466</w:t>
            </w:r>
          </w:p>
        </w:tc>
        <w:tc>
          <w:tcPr>
            <w:tcW w:w="1478"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1.568,842497</w:t>
            </w:r>
          </w:p>
        </w:tc>
        <w:tc>
          <w:tcPr>
            <w:tcW w:w="1165"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13,174202</w:t>
            </w:r>
          </w:p>
        </w:tc>
      </w:tr>
    </w:tbl>
    <w:p w:rsidR="00DE5C22" w:rsidRPr="00FF2110" w:rsidRDefault="00DE5C22" w:rsidP="00DE5C22">
      <w:pPr>
        <w:pStyle w:val="TextosemFormatao"/>
        <w:spacing w:line="360" w:lineRule="auto"/>
        <w:ind w:firstLine="851"/>
        <w:jc w:val="center"/>
        <w:rPr>
          <w:rFonts w:ascii="Times New Roman" w:hAnsi="Times New Roman"/>
        </w:rPr>
      </w:pPr>
      <w:r>
        <w:rPr>
          <w:rFonts w:ascii="Times New Roman" w:hAnsi="Times New Roman"/>
        </w:rPr>
        <w:t>Fonte: D</w:t>
      </w:r>
      <w:r w:rsidRPr="00FF2110">
        <w:rPr>
          <w:rFonts w:ascii="Times New Roman" w:hAnsi="Times New Roman"/>
        </w:rPr>
        <w:t>ados da pesquisa (2016)</w:t>
      </w:r>
    </w:p>
    <w:p w:rsidR="00DE5C22" w:rsidRPr="00DE5C22" w:rsidRDefault="00A4455A" w:rsidP="007E60F7">
      <w:pPr>
        <w:pStyle w:val="TextosemFormatao"/>
        <w:ind w:firstLine="851"/>
        <w:jc w:val="both"/>
        <w:rPr>
          <w:rFonts w:ascii="Times New Roman" w:hAnsi="Times New Roman"/>
          <w:sz w:val="24"/>
          <w:szCs w:val="24"/>
        </w:rPr>
      </w:pPr>
      <w:r>
        <w:rPr>
          <w:rFonts w:ascii="Times New Roman" w:hAnsi="Times New Roman"/>
          <w:sz w:val="24"/>
          <w:szCs w:val="24"/>
        </w:rPr>
        <w:t xml:space="preserve">A </w:t>
      </w:r>
      <w:r w:rsidR="00DE5C22" w:rsidRPr="00DE5C22">
        <w:rPr>
          <w:rFonts w:ascii="Times New Roman" w:hAnsi="Times New Roman"/>
          <w:sz w:val="24"/>
          <w:szCs w:val="24"/>
        </w:rPr>
        <w:t xml:space="preserve">Tabela </w:t>
      </w:r>
      <w:r w:rsidR="006B170C">
        <w:rPr>
          <w:rFonts w:ascii="Times New Roman" w:hAnsi="Times New Roman"/>
          <w:sz w:val="24"/>
          <w:szCs w:val="24"/>
        </w:rPr>
        <w:t>5</w:t>
      </w:r>
      <w:r>
        <w:rPr>
          <w:rFonts w:ascii="Times New Roman" w:hAnsi="Times New Roman"/>
          <w:sz w:val="24"/>
          <w:szCs w:val="24"/>
        </w:rPr>
        <w:t xml:space="preserve"> apresenta </w:t>
      </w:r>
      <w:r w:rsidR="00DE5C22" w:rsidRPr="00DE5C22">
        <w:rPr>
          <w:rFonts w:ascii="Times New Roman" w:hAnsi="Times New Roman"/>
          <w:sz w:val="24"/>
          <w:szCs w:val="24"/>
        </w:rPr>
        <w:t>a escala de eficiência</w:t>
      </w:r>
      <w:r>
        <w:rPr>
          <w:rFonts w:ascii="Times New Roman" w:hAnsi="Times New Roman"/>
          <w:sz w:val="24"/>
          <w:szCs w:val="24"/>
        </w:rPr>
        <w:t xml:space="preserve"> que</w:t>
      </w:r>
      <w:r w:rsidR="00DE5C22" w:rsidRPr="00DE5C22">
        <w:rPr>
          <w:rFonts w:ascii="Times New Roman" w:hAnsi="Times New Roman"/>
          <w:sz w:val="24"/>
          <w:szCs w:val="24"/>
        </w:rPr>
        <w:t xml:space="preserve"> foi realizada pelo método VRS (ou BBC) - </w:t>
      </w:r>
      <w:r w:rsidR="00DE5C22" w:rsidRPr="00DE5C22">
        <w:rPr>
          <w:rFonts w:ascii="Times New Roman" w:hAnsi="Times New Roman"/>
          <w:i/>
          <w:sz w:val="24"/>
          <w:szCs w:val="24"/>
        </w:rPr>
        <w:t xml:space="preserve">Variable Returns to Scale, </w:t>
      </w:r>
      <w:r w:rsidR="00DE5C22" w:rsidRPr="00DE5C22">
        <w:rPr>
          <w:rFonts w:ascii="Times New Roman" w:hAnsi="Times New Roman"/>
          <w:sz w:val="24"/>
          <w:szCs w:val="24"/>
        </w:rPr>
        <w:t>com orientação</w:t>
      </w:r>
      <w:r w:rsidR="00DE5C22" w:rsidRPr="00DE5C22">
        <w:rPr>
          <w:rFonts w:ascii="Times New Roman" w:hAnsi="Times New Roman"/>
          <w:i/>
          <w:sz w:val="24"/>
          <w:szCs w:val="24"/>
        </w:rPr>
        <w:t xml:space="preserve"> output</w:t>
      </w:r>
      <w:r w:rsidR="00DE5C22" w:rsidRPr="00DE5C22">
        <w:rPr>
          <w:rFonts w:ascii="Times New Roman" w:hAnsi="Times New Roman"/>
          <w:sz w:val="24"/>
          <w:szCs w:val="24"/>
        </w:rPr>
        <w:t xml:space="preserve">. O modelo VRS não presume retornos constantes e compara cada DMU com as suas respectivas ao seu tamanho, por isso que seria normal que as DMUs, no caso as empresas, apresentassem mais eficientes no modelo VRS do que no modelo CRS. </w:t>
      </w:r>
    </w:p>
    <w:p w:rsidR="00DE5C22" w:rsidRPr="003777FF" w:rsidRDefault="00DE5C22" w:rsidP="00A4455A">
      <w:pPr>
        <w:pStyle w:val="TextosemFormatao"/>
        <w:jc w:val="center"/>
        <w:rPr>
          <w:rFonts w:ascii="Times New Roman" w:hAnsi="Times New Roman"/>
        </w:rPr>
      </w:pPr>
      <w:r w:rsidRPr="00A34284">
        <w:rPr>
          <w:rFonts w:ascii="Times New Roman" w:hAnsi="Times New Roman"/>
        </w:rPr>
        <w:t xml:space="preserve">Tabela </w:t>
      </w:r>
      <w:r w:rsidR="006B170C">
        <w:rPr>
          <w:rFonts w:ascii="Times New Roman" w:hAnsi="Times New Roman"/>
        </w:rPr>
        <w:t>5</w:t>
      </w:r>
      <w:r w:rsidRPr="00A34284">
        <w:rPr>
          <w:rFonts w:ascii="Times New Roman" w:hAnsi="Times New Roman"/>
        </w:rPr>
        <w:t xml:space="preserve"> – Escala de eficiênc</w:t>
      </w:r>
      <w:r w:rsidRPr="003777FF">
        <w:rPr>
          <w:rFonts w:ascii="Times New Roman" w:hAnsi="Times New Roman"/>
        </w:rPr>
        <w:t>ia no modelo VRS-O</w:t>
      </w:r>
      <w:r w:rsidR="00A4455A">
        <w:rPr>
          <w:rFonts w:ascii="Times New Roman" w:hAnsi="Times New Roman"/>
        </w:rPr>
        <w:t>.</w:t>
      </w:r>
    </w:p>
    <w:tbl>
      <w:tblPr>
        <w:tblW w:w="0" w:type="auto"/>
        <w:jc w:val="center"/>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5892"/>
        <w:gridCol w:w="2867"/>
      </w:tblGrid>
      <w:tr w:rsidR="00DE5C22" w:rsidRPr="003777FF" w:rsidTr="0013485B">
        <w:trPr>
          <w:trHeight w:val="257"/>
          <w:jc w:val="center"/>
        </w:trPr>
        <w:tc>
          <w:tcPr>
            <w:tcW w:w="5892" w:type="dxa"/>
            <w:shd w:val="clear" w:color="auto" w:fill="BFBFBF"/>
          </w:tcPr>
          <w:p w:rsidR="00DE5C22" w:rsidRPr="007B375B" w:rsidRDefault="00DE5C22" w:rsidP="0013485B">
            <w:pPr>
              <w:pStyle w:val="TextosemFormatao"/>
              <w:jc w:val="center"/>
              <w:rPr>
                <w:rFonts w:ascii="Times New Roman" w:hAnsi="Times New Roman"/>
              </w:rPr>
            </w:pPr>
            <w:r w:rsidRPr="007B375B">
              <w:rPr>
                <w:rFonts w:ascii="Times New Roman" w:hAnsi="Times New Roman"/>
              </w:rPr>
              <w:t xml:space="preserve">EMPRESAS </w:t>
            </w:r>
            <w:r>
              <w:rPr>
                <w:rFonts w:ascii="Times New Roman" w:hAnsi="Times New Roman"/>
              </w:rPr>
              <w:t>–</w:t>
            </w:r>
            <w:r w:rsidRPr="007B375B">
              <w:rPr>
                <w:rFonts w:ascii="Times New Roman" w:hAnsi="Times New Roman"/>
              </w:rPr>
              <w:t xml:space="preserve"> DMUs</w:t>
            </w:r>
          </w:p>
        </w:tc>
        <w:tc>
          <w:tcPr>
            <w:tcW w:w="2867" w:type="dxa"/>
            <w:shd w:val="clear" w:color="auto" w:fill="BFBFBF"/>
          </w:tcPr>
          <w:p w:rsidR="00DE5C22" w:rsidRPr="007B375B" w:rsidRDefault="00DE5C22" w:rsidP="0013485B">
            <w:pPr>
              <w:pStyle w:val="TextosemFormatao"/>
              <w:jc w:val="center"/>
              <w:rPr>
                <w:rFonts w:ascii="Times New Roman" w:hAnsi="Times New Roman"/>
              </w:rPr>
            </w:pPr>
            <w:r w:rsidRPr="007B375B">
              <w:rPr>
                <w:rFonts w:ascii="Times New Roman" w:hAnsi="Times New Roman"/>
              </w:rPr>
              <w:t>EFICIÊNCIA VRS</w:t>
            </w:r>
          </w:p>
        </w:tc>
      </w:tr>
      <w:tr w:rsidR="00DE5C22" w:rsidRPr="003777FF" w:rsidTr="0013485B">
        <w:trPr>
          <w:trHeight w:val="257"/>
          <w:jc w:val="center"/>
        </w:trPr>
        <w:tc>
          <w:tcPr>
            <w:tcW w:w="5892" w:type="dxa"/>
          </w:tcPr>
          <w:p w:rsidR="00DE5C22" w:rsidRPr="00DE5C22" w:rsidRDefault="00DE5C22" w:rsidP="0013485B">
            <w:pPr>
              <w:rPr>
                <w:sz w:val="20"/>
              </w:rPr>
            </w:pPr>
            <w:r w:rsidRPr="00DE5C22">
              <w:rPr>
                <w:color w:val="000000"/>
                <w:sz w:val="20"/>
              </w:rPr>
              <w:t>Innova – 1</w:t>
            </w:r>
          </w:p>
        </w:tc>
        <w:tc>
          <w:tcPr>
            <w:tcW w:w="2867" w:type="dxa"/>
          </w:tcPr>
          <w:p w:rsidR="00DE5C22" w:rsidRPr="00DE5C22" w:rsidRDefault="00DE5C22" w:rsidP="00A4455A">
            <w:pPr>
              <w:jc w:val="center"/>
              <w:rPr>
                <w:sz w:val="20"/>
              </w:rPr>
            </w:pPr>
            <w:r w:rsidRPr="00DE5C22">
              <w:rPr>
                <w:sz w:val="20"/>
              </w:rPr>
              <w:t>1,000000</w:t>
            </w:r>
          </w:p>
        </w:tc>
      </w:tr>
      <w:tr w:rsidR="00DE5C22" w:rsidRPr="003777FF" w:rsidTr="0013485B">
        <w:trPr>
          <w:trHeight w:val="239"/>
          <w:jc w:val="center"/>
        </w:trPr>
        <w:tc>
          <w:tcPr>
            <w:tcW w:w="5892" w:type="dxa"/>
          </w:tcPr>
          <w:p w:rsidR="00DE5C22" w:rsidRPr="00DE5C22" w:rsidRDefault="00DE5C22" w:rsidP="0013485B">
            <w:pPr>
              <w:rPr>
                <w:sz w:val="20"/>
              </w:rPr>
            </w:pPr>
            <w:r w:rsidRPr="00DE5C22">
              <w:rPr>
                <w:color w:val="000000"/>
                <w:sz w:val="20"/>
              </w:rPr>
              <w:t>Bayer – 2</w:t>
            </w:r>
          </w:p>
        </w:tc>
        <w:tc>
          <w:tcPr>
            <w:tcW w:w="2867" w:type="dxa"/>
          </w:tcPr>
          <w:p w:rsidR="00DE5C22" w:rsidRPr="00DE5C22" w:rsidRDefault="00DE5C22" w:rsidP="00A4455A">
            <w:pPr>
              <w:jc w:val="center"/>
              <w:rPr>
                <w:sz w:val="20"/>
              </w:rPr>
            </w:pPr>
            <w:r w:rsidRPr="00DE5C22">
              <w:rPr>
                <w:sz w:val="20"/>
              </w:rPr>
              <w:t>1,000000</w:t>
            </w:r>
          </w:p>
        </w:tc>
      </w:tr>
      <w:tr w:rsidR="00DE5C22" w:rsidRPr="003777FF" w:rsidTr="0013485B">
        <w:trPr>
          <w:trHeight w:val="257"/>
          <w:jc w:val="center"/>
        </w:trPr>
        <w:tc>
          <w:tcPr>
            <w:tcW w:w="5892" w:type="dxa"/>
          </w:tcPr>
          <w:p w:rsidR="00DE5C22" w:rsidRPr="00DE5C22" w:rsidRDefault="00DE5C22" w:rsidP="0013485B">
            <w:pPr>
              <w:rPr>
                <w:sz w:val="20"/>
              </w:rPr>
            </w:pPr>
            <w:r w:rsidRPr="00DE5C22">
              <w:rPr>
                <w:color w:val="000000"/>
                <w:sz w:val="20"/>
              </w:rPr>
              <w:t>Braskem – 3</w:t>
            </w:r>
          </w:p>
        </w:tc>
        <w:tc>
          <w:tcPr>
            <w:tcW w:w="2867" w:type="dxa"/>
          </w:tcPr>
          <w:p w:rsidR="00DE5C22" w:rsidRPr="00DE5C22" w:rsidRDefault="00DE5C22" w:rsidP="00A4455A">
            <w:pPr>
              <w:jc w:val="center"/>
              <w:rPr>
                <w:sz w:val="20"/>
              </w:rPr>
            </w:pPr>
            <w:r w:rsidRPr="00DE5C22">
              <w:rPr>
                <w:sz w:val="20"/>
              </w:rPr>
              <w:t>1,000000</w:t>
            </w:r>
          </w:p>
        </w:tc>
      </w:tr>
      <w:tr w:rsidR="00DE5C22" w:rsidRPr="003777FF" w:rsidTr="0013485B">
        <w:trPr>
          <w:trHeight w:val="257"/>
          <w:jc w:val="center"/>
        </w:trPr>
        <w:tc>
          <w:tcPr>
            <w:tcW w:w="5892" w:type="dxa"/>
            <w:vAlign w:val="bottom"/>
          </w:tcPr>
          <w:p w:rsidR="00DE5C22" w:rsidRPr="00DE5C22" w:rsidRDefault="00DE5C22" w:rsidP="0013485B">
            <w:pPr>
              <w:rPr>
                <w:color w:val="000000"/>
                <w:sz w:val="20"/>
              </w:rPr>
            </w:pPr>
            <w:r w:rsidRPr="00DE5C22">
              <w:rPr>
                <w:color w:val="000000"/>
                <w:sz w:val="20"/>
              </w:rPr>
              <w:t>Adama Brasil – 4</w:t>
            </w:r>
          </w:p>
        </w:tc>
        <w:tc>
          <w:tcPr>
            <w:tcW w:w="2867" w:type="dxa"/>
          </w:tcPr>
          <w:p w:rsidR="00DE5C22" w:rsidRPr="00DE5C22" w:rsidRDefault="00DE5C22" w:rsidP="00A4455A">
            <w:pPr>
              <w:jc w:val="center"/>
              <w:rPr>
                <w:sz w:val="20"/>
              </w:rPr>
            </w:pPr>
            <w:r w:rsidRPr="00DE5C22">
              <w:rPr>
                <w:sz w:val="20"/>
              </w:rPr>
              <w:t>0,741262</w:t>
            </w:r>
          </w:p>
        </w:tc>
      </w:tr>
      <w:tr w:rsidR="00DE5C22" w:rsidRPr="003777FF" w:rsidTr="0013485B">
        <w:trPr>
          <w:trHeight w:val="257"/>
          <w:jc w:val="center"/>
        </w:trPr>
        <w:tc>
          <w:tcPr>
            <w:tcW w:w="5892" w:type="dxa"/>
            <w:vAlign w:val="bottom"/>
          </w:tcPr>
          <w:p w:rsidR="00DE5C22" w:rsidRPr="00DE5C22" w:rsidRDefault="00DE5C22" w:rsidP="0013485B">
            <w:pPr>
              <w:rPr>
                <w:color w:val="000000"/>
                <w:sz w:val="20"/>
              </w:rPr>
            </w:pPr>
            <w:r w:rsidRPr="00DE5C22">
              <w:rPr>
                <w:color w:val="000000"/>
                <w:sz w:val="20"/>
              </w:rPr>
              <w:t>Oxiteno Nordeste – 5</w:t>
            </w:r>
          </w:p>
        </w:tc>
        <w:tc>
          <w:tcPr>
            <w:tcW w:w="2867" w:type="dxa"/>
          </w:tcPr>
          <w:p w:rsidR="00DE5C22" w:rsidRPr="00DE5C22" w:rsidRDefault="00DE5C22" w:rsidP="00A4455A">
            <w:pPr>
              <w:jc w:val="center"/>
              <w:rPr>
                <w:sz w:val="20"/>
              </w:rPr>
            </w:pPr>
            <w:r w:rsidRPr="00DE5C22">
              <w:rPr>
                <w:sz w:val="20"/>
              </w:rPr>
              <w:t>1,000000</w:t>
            </w:r>
          </w:p>
        </w:tc>
      </w:tr>
      <w:tr w:rsidR="00DE5C22" w:rsidRPr="003777FF" w:rsidTr="0013485B">
        <w:trPr>
          <w:trHeight w:val="239"/>
          <w:jc w:val="center"/>
        </w:trPr>
        <w:tc>
          <w:tcPr>
            <w:tcW w:w="5892" w:type="dxa"/>
            <w:vAlign w:val="bottom"/>
          </w:tcPr>
          <w:p w:rsidR="00DE5C22" w:rsidRPr="00DE5C22" w:rsidRDefault="00DE5C22" w:rsidP="0013485B">
            <w:pPr>
              <w:rPr>
                <w:color w:val="000000"/>
                <w:sz w:val="20"/>
              </w:rPr>
            </w:pPr>
            <w:r w:rsidRPr="00DE5C22">
              <w:rPr>
                <w:color w:val="000000"/>
                <w:sz w:val="20"/>
              </w:rPr>
              <w:t>Nufarm – 6</w:t>
            </w:r>
          </w:p>
        </w:tc>
        <w:tc>
          <w:tcPr>
            <w:tcW w:w="2867" w:type="dxa"/>
          </w:tcPr>
          <w:p w:rsidR="00DE5C22" w:rsidRPr="00DE5C22" w:rsidRDefault="00DE5C22" w:rsidP="00A4455A">
            <w:pPr>
              <w:jc w:val="center"/>
              <w:rPr>
                <w:sz w:val="20"/>
              </w:rPr>
            </w:pPr>
            <w:r w:rsidRPr="00DE5C22">
              <w:rPr>
                <w:sz w:val="20"/>
              </w:rPr>
              <w:t>1,000000</w:t>
            </w:r>
          </w:p>
        </w:tc>
      </w:tr>
      <w:tr w:rsidR="00DE5C22" w:rsidRPr="003777FF" w:rsidTr="0013485B">
        <w:trPr>
          <w:trHeight w:val="257"/>
          <w:jc w:val="center"/>
        </w:trPr>
        <w:tc>
          <w:tcPr>
            <w:tcW w:w="5892" w:type="dxa"/>
            <w:vAlign w:val="bottom"/>
          </w:tcPr>
          <w:p w:rsidR="00DE5C22" w:rsidRPr="00DE5C22" w:rsidRDefault="00DE5C22" w:rsidP="0013485B">
            <w:pPr>
              <w:rPr>
                <w:color w:val="000000"/>
                <w:sz w:val="20"/>
              </w:rPr>
            </w:pPr>
            <w:r w:rsidRPr="00DE5C22">
              <w:rPr>
                <w:color w:val="000000"/>
                <w:sz w:val="20"/>
              </w:rPr>
              <w:t>Feripar – 7</w:t>
            </w:r>
          </w:p>
        </w:tc>
        <w:tc>
          <w:tcPr>
            <w:tcW w:w="2867" w:type="dxa"/>
          </w:tcPr>
          <w:p w:rsidR="00DE5C22" w:rsidRPr="00DE5C22" w:rsidRDefault="00DE5C22" w:rsidP="00A4455A">
            <w:pPr>
              <w:jc w:val="center"/>
              <w:rPr>
                <w:sz w:val="20"/>
              </w:rPr>
            </w:pPr>
            <w:r w:rsidRPr="00DE5C22">
              <w:rPr>
                <w:sz w:val="20"/>
              </w:rPr>
              <w:t>1,000000</w:t>
            </w:r>
          </w:p>
        </w:tc>
      </w:tr>
      <w:tr w:rsidR="00DE5C22" w:rsidRPr="003777FF" w:rsidTr="0013485B">
        <w:trPr>
          <w:trHeight w:val="257"/>
          <w:jc w:val="center"/>
        </w:trPr>
        <w:tc>
          <w:tcPr>
            <w:tcW w:w="5892" w:type="dxa"/>
            <w:vAlign w:val="bottom"/>
          </w:tcPr>
          <w:p w:rsidR="00DE5C22" w:rsidRPr="00DE5C22" w:rsidRDefault="00DE5C22" w:rsidP="0013485B">
            <w:pPr>
              <w:rPr>
                <w:color w:val="000000"/>
                <w:sz w:val="20"/>
              </w:rPr>
            </w:pPr>
            <w:r w:rsidRPr="00DE5C22">
              <w:rPr>
                <w:color w:val="000000"/>
                <w:sz w:val="20"/>
              </w:rPr>
              <w:t>Syngenta – 8</w:t>
            </w:r>
          </w:p>
        </w:tc>
        <w:tc>
          <w:tcPr>
            <w:tcW w:w="2867" w:type="dxa"/>
          </w:tcPr>
          <w:p w:rsidR="00DE5C22" w:rsidRPr="00DE5C22" w:rsidRDefault="00DE5C22" w:rsidP="00A4455A">
            <w:pPr>
              <w:jc w:val="center"/>
              <w:rPr>
                <w:sz w:val="20"/>
              </w:rPr>
            </w:pPr>
            <w:r w:rsidRPr="00DE5C22">
              <w:rPr>
                <w:sz w:val="20"/>
              </w:rPr>
              <w:t>0,651475</w:t>
            </w:r>
          </w:p>
        </w:tc>
      </w:tr>
      <w:tr w:rsidR="00DE5C22" w:rsidRPr="003777FF" w:rsidTr="0013485B">
        <w:trPr>
          <w:trHeight w:val="257"/>
          <w:jc w:val="center"/>
        </w:trPr>
        <w:tc>
          <w:tcPr>
            <w:tcW w:w="5892" w:type="dxa"/>
            <w:vAlign w:val="bottom"/>
          </w:tcPr>
          <w:p w:rsidR="00DE5C22" w:rsidRPr="00DE5C22" w:rsidRDefault="00DE5C22" w:rsidP="0013485B">
            <w:pPr>
              <w:rPr>
                <w:color w:val="000000"/>
                <w:sz w:val="20"/>
              </w:rPr>
            </w:pPr>
            <w:r w:rsidRPr="00DE5C22">
              <w:rPr>
                <w:color w:val="000000"/>
                <w:sz w:val="20"/>
              </w:rPr>
              <w:t>Odebrecht Oil e Gas – 9</w:t>
            </w:r>
          </w:p>
        </w:tc>
        <w:tc>
          <w:tcPr>
            <w:tcW w:w="2867" w:type="dxa"/>
          </w:tcPr>
          <w:p w:rsidR="00DE5C22" w:rsidRPr="00DE5C22" w:rsidRDefault="00DE5C22" w:rsidP="00A4455A">
            <w:pPr>
              <w:jc w:val="center"/>
              <w:rPr>
                <w:sz w:val="20"/>
              </w:rPr>
            </w:pPr>
            <w:r w:rsidRPr="00DE5C22">
              <w:rPr>
                <w:sz w:val="20"/>
              </w:rPr>
              <w:t>1,000000</w:t>
            </w:r>
          </w:p>
        </w:tc>
      </w:tr>
      <w:tr w:rsidR="00DE5C22" w:rsidRPr="003777FF" w:rsidTr="0013485B">
        <w:trPr>
          <w:trHeight w:val="239"/>
          <w:jc w:val="center"/>
        </w:trPr>
        <w:tc>
          <w:tcPr>
            <w:tcW w:w="5892" w:type="dxa"/>
            <w:vAlign w:val="bottom"/>
          </w:tcPr>
          <w:p w:rsidR="00DE5C22" w:rsidRPr="00DE5C22" w:rsidRDefault="00DE5C22" w:rsidP="0013485B">
            <w:pPr>
              <w:rPr>
                <w:color w:val="000000"/>
                <w:sz w:val="20"/>
              </w:rPr>
            </w:pPr>
            <w:r w:rsidRPr="00DE5C22">
              <w:rPr>
                <w:color w:val="000000"/>
                <w:sz w:val="20"/>
              </w:rPr>
              <w:t>Akzo Nobel – 10</w:t>
            </w:r>
          </w:p>
        </w:tc>
        <w:tc>
          <w:tcPr>
            <w:tcW w:w="2867" w:type="dxa"/>
          </w:tcPr>
          <w:p w:rsidR="00DE5C22" w:rsidRPr="00DE5C22" w:rsidRDefault="00DE5C22" w:rsidP="00A4455A">
            <w:pPr>
              <w:jc w:val="center"/>
              <w:rPr>
                <w:sz w:val="20"/>
              </w:rPr>
            </w:pPr>
            <w:r w:rsidRPr="00DE5C22">
              <w:rPr>
                <w:sz w:val="20"/>
              </w:rPr>
              <w:t>0,324630</w:t>
            </w:r>
          </w:p>
        </w:tc>
      </w:tr>
      <w:tr w:rsidR="00DE5C22" w:rsidRPr="003777FF" w:rsidTr="0013485B">
        <w:trPr>
          <w:trHeight w:val="257"/>
          <w:jc w:val="center"/>
        </w:trPr>
        <w:tc>
          <w:tcPr>
            <w:tcW w:w="5892" w:type="dxa"/>
            <w:vAlign w:val="bottom"/>
          </w:tcPr>
          <w:p w:rsidR="00DE5C22" w:rsidRPr="00DE5C22" w:rsidRDefault="00DE5C22" w:rsidP="0013485B">
            <w:pPr>
              <w:rPr>
                <w:color w:val="000000"/>
                <w:sz w:val="20"/>
              </w:rPr>
            </w:pPr>
            <w:r w:rsidRPr="00DE5C22">
              <w:rPr>
                <w:color w:val="000000"/>
                <w:sz w:val="20"/>
              </w:rPr>
              <w:t>Yara Brasil – 11</w:t>
            </w:r>
          </w:p>
        </w:tc>
        <w:tc>
          <w:tcPr>
            <w:tcW w:w="2867" w:type="dxa"/>
          </w:tcPr>
          <w:p w:rsidR="00DE5C22" w:rsidRPr="00DE5C22" w:rsidRDefault="00DE5C22" w:rsidP="00A4455A">
            <w:pPr>
              <w:jc w:val="center"/>
              <w:rPr>
                <w:sz w:val="20"/>
              </w:rPr>
            </w:pPr>
            <w:r w:rsidRPr="00DE5C22">
              <w:rPr>
                <w:sz w:val="20"/>
              </w:rPr>
              <w:t>0,650724</w:t>
            </w:r>
          </w:p>
        </w:tc>
      </w:tr>
      <w:tr w:rsidR="00DE5C22" w:rsidRPr="003777FF" w:rsidTr="0013485B">
        <w:trPr>
          <w:trHeight w:val="257"/>
          <w:jc w:val="center"/>
        </w:trPr>
        <w:tc>
          <w:tcPr>
            <w:tcW w:w="5892" w:type="dxa"/>
            <w:vAlign w:val="bottom"/>
          </w:tcPr>
          <w:p w:rsidR="00DE5C22" w:rsidRPr="00DE5C22" w:rsidRDefault="00DE5C22" w:rsidP="0013485B">
            <w:pPr>
              <w:rPr>
                <w:color w:val="000000"/>
                <w:sz w:val="20"/>
              </w:rPr>
            </w:pPr>
            <w:r w:rsidRPr="00DE5C22">
              <w:rPr>
                <w:color w:val="000000"/>
                <w:sz w:val="20"/>
              </w:rPr>
              <w:t>Basf – 12</w:t>
            </w:r>
          </w:p>
        </w:tc>
        <w:tc>
          <w:tcPr>
            <w:tcW w:w="2867" w:type="dxa"/>
          </w:tcPr>
          <w:p w:rsidR="00DE5C22" w:rsidRPr="00DE5C22" w:rsidRDefault="00DE5C22" w:rsidP="00A4455A">
            <w:pPr>
              <w:jc w:val="center"/>
              <w:rPr>
                <w:sz w:val="20"/>
              </w:rPr>
            </w:pPr>
            <w:r w:rsidRPr="00DE5C22">
              <w:rPr>
                <w:sz w:val="20"/>
              </w:rPr>
              <w:t>0,414821</w:t>
            </w:r>
          </w:p>
        </w:tc>
      </w:tr>
      <w:tr w:rsidR="00DE5C22" w:rsidRPr="003777FF" w:rsidTr="0013485B">
        <w:trPr>
          <w:trHeight w:val="257"/>
          <w:jc w:val="center"/>
        </w:trPr>
        <w:tc>
          <w:tcPr>
            <w:tcW w:w="5892" w:type="dxa"/>
            <w:vAlign w:val="bottom"/>
          </w:tcPr>
          <w:p w:rsidR="00DE5C22" w:rsidRPr="00DE5C22" w:rsidRDefault="00DE5C22" w:rsidP="0013485B">
            <w:pPr>
              <w:rPr>
                <w:color w:val="000000"/>
                <w:sz w:val="20"/>
              </w:rPr>
            </w:pPr>
            <w:r w:rsidRPr="00DE5C22">
              <w:rPr>
                <w:color w:val="000000"/>
                <w:sz w:val="20"/>
              </w:rPr>
              <w:t>FMC Química – 13</w:t>
            </w:r>
          </w:p>
        </w:tc>
        <w:tc>
          <w:tcPr>
            <w:tcW w:w="2867" w:type="dxa"/>
          </w:tcPr>
          <w:p w:rsidR="00DE5C22" w:rsidRPr="00DE5C22" w:rsidRDefault="00DE5C22" w:rsidP="00A4455A">
            <w:pPr>
              <w:jc w:val="center"/>
              <w:rPr>
                <w:sz w:val="20"/>
              </w:rPr>
            </w:pPr>
            <w:r w:rsidRPr="00DE5C22">
              <w:rPr>
                <w:sz w:val="20"/>
              </w:rPr>
              <w:t>0,728964</w:t>
            </w:r>
          </w:p>
        </w:tc>
      </w:tr>
      <w:tr w:rsidR="00DE5C22" w:rsidRPr="003777FF" w:rsidTr="0013485B">
        <w:trPr>
          <w:trHeight w:val="257"/>
          <w:jc w:val="center"/>
        </w:trPr>
        <w:tc>
          <w:tcPr>
            <w:tcW w:w="5892" w:type="dxa"/>
            <w:vAlign w:val="bottom"/>
          </w:tcPr>
          <w:p w:rsidR="00DE5C22" w:rsidRPr="00DE5C22" w:rsidRDefault="00DE5C22" w:rsidP="0013485B">
            <w:pPr>
              <w:rPr>
                <w:color w:val="000000"/>
                <w:sz w:val="20"/>
              </w:rPr>
            </w:pPr>
            <w:r w:rsidRPr="00DE5C22">
              <w:rPr>
                <w:color w:val="000000"/>
                <w:sz w:val="20"/>
              </w:rPr>
              <w:t>Hydro Alunorte – 14</w:t>
            </w:r>
          </w:p>
        </w:tc>
        <w:tc>
          <w:tcPr>
            <w:tcW w:w="2867" w:type="dxa"/>
          </w:tcPr>
          <w:p w:rsidR="00DE5C22" w:rsidRPr="00DE5C22" w:rsidRDefault="00DE5C22" w:rsidP="00A4455A">
            <w:pPr>
              <w:jc w:val="center"/>
              <w:rPr>
                <w:sz w:val="20"/>
              </w:rPr>
            </w:pPr>
            <w:r w:rsidRPr="00DE5C22">
              <w:rPr>
                <w:sz w:val="20"/>
              </w:rPr>
              <w:t>1,000000</w:t>
            </w:r>
          </w:p>
        </w:tc>
      </w:tr>
      <w:tr w:rsidR="00DE5C22" w:rsidTr="0013485B">
        <w:trPr>
          <w:trHeight w:val="239"/>
          <w:jc w:val="center"/>
        </w:trPr>
        <w:tc>
          <w:tcPr>
            <w:tcW w:w="5892" w:type="dxa"/>
            <w:vAlign w:val="bottom"/>
          </w:tcPr>
          <w:p w:rsidR="00DE5C22" w:rsidRPr="00DE5C22" w:rsidRDefault="00DE5C22" w:rsidP="0013485B">
            <w:pPr>
              <w:rPr>
                <w:color w:val="000000"/>
                <w:sz w:val="20"/>
              </w:rPr>
            </w:pPr>
            <w:r w:rsidRPr="00DE5C22">
              <w:rPr>
                <w:color w:val="000000"/>
                <w:sz w:val="20"/>
              </w:rPr>
              <w:t>Heringer – 15</w:t>
            </w:r>
          </w:p>
        </w:tc>
        <w:tc>
          <w:tcPr>
            <w:tcW w:w="2867" w:type="dxa"/>
          </w:tcPr>
          <w:p w:rsidR="00DE5C22" w:rsidRPr="00DE5C22" w:rsidRDefault="00DE5C22" w:rsidP="00A4455A">
            <w:pPr>
              <w:jc w:val="center"/>
              <w:rPr>
                <w:sz w:val="20"/>
              </w:rPr>
            </w:pPr>
            <w:r w:rsidRPr="00DE5C22">
              <w:rPr>
                <w:sz w:val="20"/>
              </w:rPr>
              <w:t>0,376633</w:t>
            </w:r>
          </w:p>
        </w:tc>
      </w:tr>
    </w:tbl>
    <w:p w:rsidR="00DE5C22" w:rsidRDefault="00DE5C22" w:rsidP="00DE5C22">
      <w:pPr>
        <w:pStyle w:val="TextosemFormatao"/>
        <w:spacing w:line="360" w:lineRule="auto"/>
        <w:jc w:val="center"/>
        <w:rPr>
          <w:rFonts w:ascii="Times New Roman" w:hAnsi="Times New Roman"/>
        </w:rPr>
      </w:pPr>
      <w:r w:rsidRPr="00A34284">
        <w:rPr>
          <w:rFonts w:ascii="Times New Roman" w:hAnsi="Times New Roman"/>
        </w:rPr>
        <w:t xml:space="preserve">Fonte: </w:t>
      </w:r>
      <w:r>
        <w:rPr>
          <w:rFonts w:ascii="Times New Roman" w:hAnsi="Times New Roman"/>
        </w:rPr>
        <w:t>Dados da pesquisa (2016)</w:t>
      </w:r>
    </w:p>
    <w:p w:rsidR="00DE5C22" w:rsidRP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 xml:space="preserve">Porém é importante ressaltar que, em comparação </w:t>
      </w:r>
      <w:r w:rsidR="00A4455A">
        <w:rPr>
          <w:rFonts w:ascii="Times New Roman" w:hAnsi="Times New Roman"/>
          <w:sz w:val="24"/>
          <w:szCs w:val="24"/>
        </w:rPr>
        <w:t xml:space="preserve">das </w:t>
      </w:r>
      <w:r w:rsidRPr="00DE5C22">
        <w:rPr>
          <w:rFonts w:ascii="Times New Roman" w:hAnsi="Times New Roman"/>
          <w:sz w:val="24"/>
          <w:szCs w:val="24"/>
        </w:rPr>
        <w:t>Tabela</w:t>
      </w:r>
      <w:r w:rsidR="00A4455A">
        <w:rPr>
          <w:rFonts w:ascii="Times New Roman" w:hAnsi="Times New Roman"/>
          <w:sz w:val="24"/>
          <w:szCs w:val="24"/>
        </w:rPr>
        <w:t>s</w:t>
      </w:r>
      <w:r w:rsidRPr="00DE5C22">
        <w:rPr>
          <w:rFonts w:ascii="Times New Roman" w:hAnsi="Times New Roman"/>
          <w:sz w:val="24"/>
          <w:szCs w:val="24"/>
        </w:rPr>
        <w:t xml:space="preserve"> </w:t>
      </w:r>
      <w:r w:rsidR="006B170C">
        <w:rPr>
          <w:rFonts w:ascii="Times New Roman" w:hAnsi="Times New Roman"/>
          <w:sz w:val="24"/>
          <w:szCs w:val="24"/>
        </w:rPr>
        <w:t>3</w:t>
      </w:r>
      <w:r w:rsidRPr="00DE5C22">
        <w:rPr>
          <w:rFonts w:ascii="Times New Roman" w:hAnsi="Times New Roman"/>
          <w:sz w:val="24"/>
          <w:szCs w:val="24"/>
        </w:rPr>
        <w:t xml:space="preserve"> e </w:t>
      </w:r>
      <w:r w:rsidR="006B170C">
        <w:rPr>
          <w:rFonts w:ascii="Times New Roman" w:hAnsi="Times New Roman"/>
          <w:sz w:val="24"/>
          <w:szCs w:val="24"/>
        </w:rPr>
        <w:t>5</w:t>
      </w:r>
      <w:r w:rsidRPr="00DE5C22">
        <w:rPr>
          <w:rFonts w:ascii="Times New Roman" w:hAnsi="Times New Roman"/>
          <w:sz w:val="24"/>
          <w:szCs w:val="24"/>
        </w:rPr>
        <w:t xml:space="preserve">, todas as empresas ineficientes aumentaram suas escalas, as quais ficam mais perto do 1 e isso é importante para as companhias. </w:t>
      </w:r>
    </w:p>
    <w:p w:rsidR="00DE5C22" w:rsidRP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 xml:space="preserve">Registra-se, também, que as empresas que se classificaram como eficientes e ineficientes não mudaram de um modelo para o outro, ou seja, as empresas que foram eficientes e ineficientes </w:t>
      </w:r>
      <w:r w:rsidRPr="00DE5C22">
        <w:rPr>
          <w:rFonts w:ascii="Times New Roman" w:hAnsi="Times New Roman"/>
          <w:sz w:val="24"/>
          <w:szCs w:val="24"/>
        </w:rPr>
        <w:lastRenderedPageBreak/>
        <w:t>no modelo CRS continuaram sendo no modelo VRS. Assim, obtiveram-se sete empresas com escala menores que 1, classificando-as como ineficientes, o que significa que essas empresas devem melhorar seus produtos diante dos seus consumos.</w:t>
      </w:r>
    </w:p>
    <w:p w:rsidR="00DE5C22"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 xml:space="preserve">Portanto, assim como no modelo CRS, o </w:t>
      </w:r>
      <w:r w:rsidRPr="00DE5C22">
        <w:rPr>
          <w:rFonts w:ascii="Times New Roman" w:hAnsi="Times New Roman"/>
          <w:i/>
          <w:sz w:val="24"/>
          <w:szCs w:val="24"/>
        </w:rPr>
        <w:t>software</w:t>
      </w:r>
      <w:r w:rsidRPr="00DE5C22">
        <w:rPr>
          <w:rFonts w:ascii="Times New Roman" w:hAnsi="Times New Roman"/>
          <w:sz w:val="24"/>
          <w:szCs w:val="24"/>
        </w:rPr>
        <w:t xml:space="preserve"> proporcionou os “alvos” para as empresas ineficientes no mo</w:t>
      </w:r>
      <w:r w:rsidR="00A4455A">
        <w:rPr>
          <w:rFonts w:ascii="Times New Roman" w:hAnsi="Times New Roman"/>
          <w:sz w:val="24"/>
          <w:szCs w:val="24"/>
        </w:rPr>
        <w:t>delo VRS. A Tabela</w:t>
      </w:r>
      <w:r w:rsidR="006B170C">
        <w:rPr>
          <w:rFonts w:ascii="Times New Roman" w:hAnsi="Times New Roman"/>
          <w:sz w:val="24"/>
          <w:szCs w:val="24"/>
        </w:rPr>
        <w:t xml:space="preserve"> 6</w:t>
      </w:r>
      <w:r w:rsidRPr="00DE5C22">
        <w:rPr>
          <w:rFonts w:ascii="Times New Roman" w:hAnsi="Times New Roman"/>
          <w:sz w:val="24"/>
          <w:szCs w:val="24"/>
        </w:rPr>
        <w:t xml:space="preserve"> </w:t>
      </w:r>
      <w:r w:rsidR="00A4455A">
        <w:rPr>
          <w:rFonts w:ascii="Times New Roman" w:hAnsi="Times New Roman"/>
          <w:sz w:val="24"/>
          <w:szCs w:val="24"/>
        </w:rPr>
        <w:t xml:space="preserve">apresenta </w:t>
      </w:r>
      <w:r w:rsidRPr="00DE5C22">
        <w:rPr>
          <w:rFonts w:ascii="Times New Roman" w:hAnsi="Times New Roman"/>
          <w:sz w:val="24"/>
          <w:szCs w:val="24"/>
        </w:rPr>
        <w:t xml:space="preserve">esses “alvos” para cada empresa ineficiente no modelo VRS. </w:t>
      </w:r>
    </w:p>
    <w:p w:rsidR="00A4455A" w:rsidRPr="00DE5C22" w:rsidRDefault="00A4455A" w:rsidP="007E60F7">
      <w:pPr>
        <w:pStyle w:val="TextosemFormatao"/>
        <w:ind w:firstLine="851"/>
        <w:jc w:val="both"/>
        <w:rPr>
          <w:rFonts w:ascii="Times New Roman" w:hAnsi="Times New Roman"/>
          <w:sz w:val="24"/>
          <w:szCs w:val="24"/>
        </w:rPr>
      </w:pPr>
    </w:p>
    <w:p w:rsidR="00DE5C22" w:rsidRPr="00EA4A26" w:rsidRDefault="00DE5C22" w:rsidP="00DE5C22">
      <w:pPr>
        <w:pStyle w:val="TextosemFormatao"/>
        <w:spacing w:line="360" w:lineRule="auto"/>
        <w:jc w:val="center"/>
        <w:rPr>
          <w:rFonts w:ascii="Times New Roman" w:hAnsi="Times New Roman"/>
        </w:rPr>
      </w:pPr>
      <w:r w:rsidRPr="00EA4A26">
        <w:rPr>
          <w:rFonts w:ascii="Times New Roman" w:hAnsi="Times New Roman"/>
        </w:rPr>
        <w:t xml:space="preserve">Tabela </w:t>
      </w:r>
      <w:r w:rsidR="006B170C">
        <w:rPr>
          <w:rFonts w:ascii="Times New Roman" w:hAnsi="Times New Roman"/>
        </w:rPr>
        <w:t>6</w:t>
      </w:r>
      <w:r w:rsidRPr="00EA4A26">
        <w:rPr>
          <w:rFonts w:ascii="Times New Roman" w:hAnsi="Times New Roman"/>
        </w:rPr>
        <w:t xml:space="preserve"> – Resultados dos alvos</w:t>
      </w:r>
      <w:r>
        <w:rPr>
          <w:rFonts w:ascii="Times New Roman" w:hAnsi="Times New Roman"/>
        </w:rPr>
        <w:t xml:space="preserve"> das empresas ineficientes para o modelo VRS</w:t>
      </w:r>
    </w:p>
    <w:tbl>
      <w:tblPr>
        <w:tblW w:w="8999" w:type="dxa"/>
        <w:jc w:val="center"/>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206"/>
        <w:gridCol w:w="1830"/>
        <w:gridCol w:w="1850"/>
        <w:gridCol w:w="1565"/>
        <w:gridCol w:w="1548"/>
      </w:tblGrid>
      <w:tr w:rsidR="00DE5C22" w:rsidRPr="00D61B20" w:rsidTr="0013485B">
        <w:trPr>
          <w:trHeight w:val="586"/>
          <w:jc w:val="center"/>
        </w:trPr>
        <w:tc>
          <w:tcPr>
            <w:tcW w:w="2206" w:type="dxa"/>
            <w:vAlign w:val="center"/>
          </w:tcPr>
          <w:p w:rsidR="00DE5C22" w:rsidRPr="00DE5C22" w:rsidRDefault="00DE5C22" w:rsidP="00DE5C22">
            <w:pPr>
              <w:pStyle w:val="TextosemFormatao"/>
              <w:spacing w:line="360" w:lineRule="auto"/>
              <w:jc w:val="center"/>
              <w:rPr>
                <w:rFonts w:ascii="Times New Roman" w:hAnsi="Times New Roman"/>
              </w:rPr>
            </w:pPr>
            <w:r w:rsidRPr="00DE5C22">
              <w:rPr>
                <w:rFonts w:ascii="Times New Roman" w:hAnsi="Times New Roman"/>
              </w:rPr>
              <w:t>Empresas Ineficientes</w:t>
            </w:r>
          </w:p>
        </w:tc>
        <w:tc>
          <w:tcPr>
            <w:tcW w:w="183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i/>
              </w:rPr>
              <w:t>Output</w:t>
            </w:r>
            <w:r w:rsidRPr="00DE5C22">
              <w:rPr>
                <w:rFonts w:ascii="Times New Roman" w:hAnsi="Times New Roman"/>
              </w:rPr>
              <w:t xml:space="preserve"> 1 (em US$ milhões)</w:t>
            </w:r>
          </w:p>
        </w:tc>
        <w:tc>
          <w:tcPr>
            <w:tcW w:w="185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i/>
              </w:rPr>
              <w:t>Output</w:t>
            </w:r>
            <w:r w:rsidRPr="00DE5C22">
              <w:rPr>
                <w:rFonts w:ascii="Times New Roman" w:hAnsi="Times New Roman"/>
              </w:rPr>
              <w:t xml:space="preserve"> 2 (em US$ milhões)</w:t>
            </w:r>
          </w:p>
        </w:tc>
        <w:tc>
          <w:tcPr>
            <w:tcW w:w="1565"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i/>
              </w:rPr>
              <w:t xml:space="preserve">Output </w:t>
            </w:r>
            <w:r w:rsidRPr="00DE5C22">
              <w:rPr>
                <w:rFonts w:ascii="Times New Roman" w:hAnsi="Times New Roman"/>
              </w:rPr>
              <w:t>3 (em US$ milhões)</w:t>
            </w:r>
          </w:p>
        </w:tc>
        <w:tc>
          <w:tcPr>
            <w:tcW w:w="1548"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i/>
              </w:rPr>
              <w:t xml:space="preserve">Output </w:t>
            </w:r>
            <w:r w:rsidRPr="00DE5C22">
              <w:rPr>
                <w:rFonts w:ascii="Times New Roman" w:hAnsi="Times New Roman"/>
              </w:rPr>
              <w:t xml:space="preserve">4 </w:t>
            </w:r>
          </w:p>
          <w:p w:rsidR="00DE5C22" w:rsidRPr="00DE5C22" w:rsidRDefault="00DE5C22" w:rsidP="00DE5C22">
            <w:pPr>
              <w:pStyle w:val="TextosemFormatao"/>
              <w:jc w:val="center"/>
              <w:rPr>
                <w:rFonts w:ascii="Times New Roman" w:hAnsi="Times New Roman"/>
              </w:rPr>
            </w:pPr>
            <w:r w:rsidRPr="00DE5C22">
              <w:rPr>
                <w:rFonts w:ascii="Times New Roman" w:hAnsi="Times New Roman"/>
              </w:rPr>
              <w:t>(em %)</w:t>
            </w:r>
          </w:p>
        </w:tc>
      </w:tr>
      <w:tr w:rsidR="00DE5C22" w:rsidRPr="00D61B20" w:rsidTr="0013485B">
        <w:trPr>
          <w:trHeight w:val="320"/>
          <w:jc w:val="center"/>
        </w:trPr>
        <w:tc>
          <w:tcPr>
            <w:tcW w:w="2206"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color w:val="000000"/>
              </w:rPr>
              <w:t>Adama Brasil – 4</w:t>
            </w:r>
          </w:p>
        </w:tc>
        <w:tc>
          <w:tcPr>
            <w:tcW w:w="183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54,248084</w:t>
            </w:r>
          </w:p>
        </w:tc>
        <w:tc>
          <w:tcPr>
            <w:tcW w:w="185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592,368116</w:t>
            </w:r>
          </w:p>
        </w:tc>
        <w:tc>
          <w:tcPr>
            <w:tcW w:w="1565"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453,253253</w:t>
            </w:r>
          </w:p>
        </w:tc>
        <w:tc>
          <w:tcPr>
            <w:tcW w:w="1548"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10,252785</w:t>
            </w:r>
          </w:p>
        </w:tc>
      </w:tr>
      <w:tr w:rsidR="00DE5C22" w:rsidRPr="00D61B20" w:rsidTr="0013485B">
        <w:trPr>
          <w:trHeight w:val="296"/>
          <w:jc w:val="center"/>
        </w:trPr>
        <w:tc>
          <w:tcPr>
            <w:tcW w:w="2206"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color w:val="000000"/>
              </w:rPr>
              <w:t>Syngenta – 8</w:t>
            </w:r>
          </w:p>
        </w:tc>
        <w:tc>
          <w:tcPr>
            <w:tcW w:w="183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255,466065</w:t>
            </w:r>
          </w:p>
        </w:tc>
        <w:tc>
          <w:tcPr>
            <w:tcW w:w="185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6.170,228218</w:t>
            </w:r>
          </w:p>
        </w:tc>
        <w:tc>
          <w:tcPr>
            <w:tcW w:w="1565"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1.755,862558</w:t>
            </w:r>
          </w:p>
        </w:tc>
        <w:tc>
          <w:tcPr>
            <w:tcW w:w="1548"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6,293414</w:t>
            </w:r>
          </w:p>
        </w:tc>
      </w:tr>
      <w:tr w:rsidR="00DE5C22" w:rsidRPr="00D61B20" w:rsidTr="0013485B">
        <w:trPr>
          <w:trHeight w:val="320"/>
          <w:jc w:val="center"/>
        </w:trPr>
        <w:tc>
          <w:tcPr>
            <w:tcW w:w="2206"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color w:val="000000"/>
              </w:rPr>
              <w:t>Akzo Nobel – 10</w:t>
            </w:r>
          </w:p>
        </w:tc>
        <w:tc>
          <w:tcPr>
            <w:tcW w:w="183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165,515100</w:t>
            </w:r>
          </w:p>
        </w:tc>
        <w:tc>
          <w:tcPr>
            <w:tcW w:w="185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2.419,063156</w:t>
            </w:r>
          </w:p>
        </w:tc>
        <w:tc>
          <w:tcPr>
            <w:tcW w:w="1565"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820,489497</w:t>
            </w:r>
          </w:p>
        </w:tc>
        <w:tc>
          <w:tcPr>
            <w:tcW w:w="1548"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16,942375</w:t>
            </w:r>
          </w:p>
        </w:tc>
      </w:tr>
      <w:tr w:rsidR="00DE5C22" w:rsidRPr="00D61B20" w:rsidTr="0013485B">
        <w:trPr>
          <w:trHeight w:val="320"/>
          <w:jc w:val="center"/>
        </w:trPr>
        <w:tc>
          <w:tcPr>
            <w:tcW w:w="2206" w:type="dxa"/>
            <w:vAlign w:val="center"/>
          </w:tcPr>
          <w:p w:rsidR="00DE5C22" w:rsidRPr="00DE5C22" w:rsidRDefault="00DE5C22" w:rsidP="00DE5C22">
            <w:pPr>
              <w:ind w:firstLine="0"/>
              <w:jc w:val="center"/>
              <w:rPr>
                <w:color w:val="000000"/>
                <w:sz w:val="20"/>
              </w:rPr>
            </w:pPr>
            <w:r w:rsidRPr="00DE5C22">
              <w:rPr>
                <w:color w:val="000000"/>
                <w:sz w:val="20"/>
              </w:rPr>
              <w:t>Yara Brasil – 11</w:t>
            </w:r>
          </w:p>
        </w:tc>
        <w:tc>
          <w:tcPr>
            <w:tcW w:w="183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201,656485</w:t>
            </w:r>
          </w:p>
        </w:tc>
        <w:tc>
          <w:tcPr>
            <w:tcW w:w="185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4.506,054812</w:t>
            </w:r>
          </w:p>
        </w:tc>
        <w:tc>
          <w:tcPr>
            <w:tcW w:w="1565"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1.194,191213</w:t>
            </w:r>
          </w:p>
        </w:tc>
        <w:tc>
          <w:tcPr>
            <w:tcW w:w="1548"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7,027197</w:t>
            </w:r>
          </w:p>
        </w:tc>
      </w:tr>
      <w:tr w:rsidR="00DE5C22" w:rsidRPr="00D61B20" w:rsidTr="0013485B">
        <w:trPr>
          <w:trHeight w:val="320"/>
          <w:jc w:val="center"/>
        </w:trPr>
        <w:tc>
          <w:tcPr>
            <w:tcW w:w="2206" w:type="dxa"/>
            <w:vAlign w:val="center"/>
          </w:tcPr>
          <w:p w:rsidR="00DE5C22" w:rsidRPr="00DE5C22" w:rsidRDefault="00DE5C22" w:rsidP="00DE5C22">
            <w:pPr>
              <w:ind w:firstLine="0"/>
              <w:jc w:val="center"/>
              <w:rPr>
                <w:color w:val="000000"/>
                <w:sz w:val="20"/>
              </w:rPr>
            </w:pPr>
            <w:r w:rsidRPr="00DE5C22">
              <w:rPr>
                <w:color w:val="000000"/>
                <w:sz w:val="20"/>
              </w:rPr>
              <w:t>Basf – 12</w:t>
            </w:r>
          </w:p>
        </w:tc>
        <w:tc>
          <w:tcPr>
            <w:tcW w:w="183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279,598745</w:t>
            </w:r>
          </w:p>
        </w:tc>
        <w:tc>
          <w:tcPr>
            <w:tcW w:w="185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6.640,691004</w:t>
            </w:r>
          </w:p>
        </w:tc>
        <w:tc>
          <w:tcPr>
            <w:tcW w:w="1565"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1.661,596862</w:t>
            </w:r>
          </w:p>
        </w:tc>
        <w:tc>
          <w:tcPr>
            <w:tcW w:w="1548"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5,713285</w:t>
            </w:r>
          </w:p>
        </w:tc>
      </w:tr>
      <w:tr w:rsidR="00DE5C22" w:rsidRPr="00D61B20" w:rsidTr="0013485B">
        <w:trPr>
          <w:trHeight w:val="320"/>
          <w:jc w:val="center"/>
        </w:trPr>
        <w:tc>
          <w:tcPr>
            <w:tcW w:w="2206" w:type="dxa"/>
            <w:vAlign w:val="center"/>
          </w:tcPr>
          <w:p w:rsidR="00DE5C22" w:rsidRPr="00DE5C22" w:rsidRDefault="00DE5C22" w:rsidP="00DE5C22">
            <w:pPr>
              <w:ind w:firstLine="0"/>
              <w:jc w:val="center"/>
              <w:rPr>
                <w:color w:val="000000"/>
                <w:sz w:val="20"/>
              </w:rPr>
            </w:pPr>
            <w:r w:rsidRPr="00DE5C22">
              <w:rPr>
                <w:color w:val="000000"/>
                <w:sz w:val="20"/>
              </w:rPr>
              <w:t>FMC Química – 13</w:t>
            </w:r>
          </w:p>
        </w:tc>
        <w:tc>
          <w:tcPr>
            <w:tcW w:w="183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47,967387</w:t>
            </w:r>
          </w:p>
        </w:tc>
        <w:tc>
          <w:tcPr>
            <w:tcW w:w="185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956,288051</w:t>
            </w:r>
          </w:p>
        </w:tc>
        <w:tc>
          <w:tcPr>
            <w:tcW w:w="1565"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512,311232</w:t>
            </w:r>
          </w:p>
        </w:tc>
        <w:tc>
          <w:tcPr>
            <w:tcW w:w="1548"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6,467586</w:t>
            </w:r>
          </w:p>
        </w:tc>
      </w:tr>
      <w:tr w:rsidR="00DE5C22" w:rsidRPr="00D61B20" w:rsidTr="0013485B">
        <w:trPr>
          <w:trHeight w:val="342"/>
          <w:jc w:val="center"/>
        </w:trPr>
        <w:tc>
          <w:tcPr>
            <w:tcW w:w="2206" w:type="dxa"/>
            <w:vAlign w:val="center"/>
          </w:tcPr>
          <w:p w:rsidR="00DE5C22" w:rsidRPr="00DE5C22" w:rsidRDefault="00DE5C22" w:rsidP="00DE5C22">
            <w:pPr>
              <w:ind w:firstLine="0"/>
              <w:jc w:val="center"/>
              <w:rPr>
                <w:color w:val="000000"/>
                <w:sz w:val="20"/>
              </w:rPr>
            </w:pPr>
            <w:r w:rsidRPr="00DE5C22">
              <w:rPr>
                <w:color w:val="000000"/>
                <w:sz w:val="20"/>
              </w:rPr>
              <w:t>Heringer – 15</w:t>
            </w:r>
          </w:p>
        </w:tc>
        <w:tc>
          <w:tcPr>
            <w:tcW w:w="183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235,584937</w:t>
            </w:r>
          </w:p>
        </w:tc>
        <w:tc>
          <w:tcPr>
            <w:tcW w:w="1850"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5.435,267050</w:t>
            </w:r>
          </w:p>
        </w:tc>
        <w:tc>
          <w:tcPr>
            <w:tcW w:w="1565"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1.397,654010</w:t>
            </w:r>
          </w:p>
        </w:tc>
        <w:tc>
          <w:tcPr>
            <w:tcW w:w="1548" w:type="dxa"/>
            <w:vAlign w:val="center"/>
          </w:tcPr>
          <w:p w:rsidR="00DE5C22" w:rsidRPr="00DE5C22" w:rsidRDefault="00DE5C22" w:rsidP="00DE5C22">
            <w:pPr>
              <w:pStyle w:val="TextosemFormatao"/>
              <w:jc w:val="center"/>
              <w:rPr>
                <w:rFonts w:ascii="Times New Roman" w:hAnsi="Times New Roman"/>
              </w:rPr>
            </w:pPr>
            <w:r w:rsidRPr="00DE5C22">
              <w:rPr>
                <w:rFonts w:ascii="Times New Roman" w:hAnsi="Times New Roman"/>
              </w:rPr>
              <w:t>6,455248</w:t>
            </w:r>
          </w:p>
        </w:tc>
      </w:tr>
    </w:tbl>
    <w:p w:rsidR="00DE5C22" w:rsidRPr="006B0D4B" w:rsidRDefault="00DE5C22" w:rsidP="00DE5C22">
      <w:pPr>
        <w:pStyle w:val="TextosemFormatao"/>
        <w:spacing w:line="360" w:lineRule="auto"/>
        <w:ind w:firstLine="851"/>
        <w:jc w:val="center"/>
        <w:rPr>
          <w:rFonts w:ascii="Times New Roman" w:hAnsi="Times New Roman"/>
        </w:rPr>
      </w:pPr>
      <w:r w:rsidRPr="006B0D4B">
        <w:rPr>
          <w:rFonts w:ascii="Times New Roman" w:hAnsi="Times New Roman"/>
        </w:rPr>
        <w:t xml:space="preserve">Fonte: </w:t>
      </w:r>
      <w:r>
        <w:rPr>
          <w:rFonts w:ascii="Times New Roman" w:hAnsi="Times New Roman"/>
        </w:rPr>
        <w:t>D</w:t>
      </w:r>
      <w:r w:rsidRPr="006B0D4B">
        <w:rPr>
          <w:rFonts w:ascii="Times New Roman" w:hAnsi="Times New Roman"/>
        </w:rPr>
        <w:t>ados da pesquisa (2016).</w:t>
      </w:r>
    </w:p>
    <w:p w:rsidR="00E24E18" w:rsidRDefault="00DE5C22" w:rsidP="007E60F7">
      <w:pPr>
        <w:pStyle w:val="TextosemFormatao"/>
        <w:ind w:firstLine="851"/>
        <w:jc w:val="both"/>
        <w:rPr>
          <w:rFonts w:ascii="Times New Roman" w:hAnsi="Times New Roman"/>
          <w:sz w:val="24"/>
          <w:szCs w:val="24"/>
        </w:rPr>
      </w:pPr>
      <w:r w:rsidRPr="00DE5C22">
        <w:rPr>
          <w:rFonts w:ascii="Times New Roman" w:hAnsi="Times New Roman"/>
          <w:sz w:val="24"/>
          <w:szCs w:val="24"/>
        </w:rPr>
        <w:t>É importante ressaltar que, an</w:t>
      </w:r>
      <w:r w:rsidR="00A4455A">
        <w:rPr>
          <w:rFonts w:ascii="Times New Roman" w:hAnsi="Times New Roman"/>
          <w:sz w:val="24"/>
          <w:szCs w:val="24"/>
        </w:rPr>
        <w:t>alisando a Tabela 3 e a Tabela 5</w:t>
      </w:r>
      <w:r w:rsidRPr="00DE5C22">
        <w:rPr>
          <w:rFonts w:ascii="Times New Roman" w:hAnsi="Times New Roman"/>
          <w:sz w:val="24"/>
          <w:szCs w:val="24"/>
        </w:rPr>
        <w:t xml:space="preserve">, mesmo as eficiências das empresas </w:t>
      </w:r>
      <w:r w:rsidR="00A4455A">
        <w:rPr>
          <w:rFonts w:ascii="Times New Roman" w:hAnsi="Times New Roman"/>
          <w:sz w:val="24"/>
          <w:szCs w:val="24"/>
        </w:rPr>
        <w:t xml:space="preserve">apresentaram </w:t>
      </w:r>
      <w:r w:rsidRPr="00DE5C22">
        <w:rPr>
          <w:rFonts w:ascii="Times New Roman" w:hAnsi="Times New Roman"/>
          <w:sz w:val="24"/>
          <w:szCs w:val="24"/>
        </w:rPr>
        <w:t xml:space="preserve">iguais </w:t>
      </w:r>
      <w:r w:rsidR="00A4455A">
        <w:rPr>
          <w:rFonts w:ascii="Times New Roman" w:hAnsi="Times New Roman"/>
          <w:sz w:val="24"/>
          <w:szCs w:val="24"/>
        </w:rPr>
        <w:t xml:space="preserve">valores </w:t>
      </w:r>
      <w:r w:rsidRPr="00DE5C22">
        <w:rPr>
          <w:rFonts w:ascii="Times New Roman" w:hAnsi="Times New Roman"/>
          <w:sz w:val="24"/>
          <w:szCs w:val="24"/>
        </w:rPr>
        <w:t>no modelo CRS e VRS, os “alvos” nos dois modelos revelaram resultados distintos.</w:t>
      </w:r>
    </w:p>
    <w:p w:rsidR="00720B86" w:rsidRPr="00AA3FF4" w:rsidRDefault="00720B86" w:rsidP="00720B86">
      <w:pPr>
        <w:pStyle w:val="TextosemFormatao"/>
        <w:spacing w:line="360" w:lineRule="auto"/>
        <w:ind w:firstLine="851"/>
        <w:jc w:val="both"/>
        <w:rPr>
          <w:sz w:val="26"/>
          <w:szCs w:val="26"/>
        </w:rPr>
      </w:pPr>
    </w:p>
    <w:p w:rsidR="00E24E18" w:rsidRPr="00AA3FF4" w:rsidRDefault="00E24E18" w:rsidP="00E24E18">
      <w:pPr>
        <w:pStyle w:val="Ttulo1"/>
        <w:spacing w:before="0" w:after="0" w:line="360" w:lineRule="auto"/>
        <w:ind w:left="432" w:hanging="432"/>
        <w:rPr>
          <w:sz w:val="26"/>
          <w:szCs w:val="26"/>
        </w:rPr>
      </w:pPr>
      <w:r w:rsidRPr="00AA3FF4">
        <w:rPr>
          <w:sz w:val="26"/>
          <w:szCs w:val="26"/>
        </w:rPr>
        <w:t>CONSIDERAÇÕES FINAIS</w:t>
      </w:r>
    </w:p>
    <w:p w:rsidR="00720B86" w:rsidRPr="00720B86" w:rsidRDefault="00720B86" w:rsidP="007E60F7">
      <w:pPr>
        <w:pStyle w:val="TextosemFormatao"/>
        <w:ind w:firstLine="851"/>
        <w:jc w:val="both"/>
        <w:rPr>
          <w:rFonts w:ascii="Times New Roman" w:hAnsi="Times New Roman"/>
          <w:sz w:val="24"/>
          <w:szCs w:val="24"/>
        </w:rPr>
      </w:pPr>
      <w:r w:rsidRPr="00720B86">
        <w:rPr>
          <w:rFonts w:ascii="Times New Roman" w:hAnsi="Times New Roman"/>
          <w:sz w:val="24"/>
          <w:szCs w:val="24"/>
        </w:rPr>
        <w:t>A pesquisa possibilitou o estudo das variáveis das maiores sedes que estão localizadas no Brasil das maiores empresas Químicas e Petroquímicas do mundo, buscando analisar de forma estatística seus desempenhos diante de suas características.</w:t>
      </w:r>
    </w:p>
    <w:p w:rsidR="00720B86" w:rsidRPr="00720B86" w:rsidRDefault="00720B86" w:rsidP="007E60F7">
      <w:pPr>
        <w:pStyle w:val="TextosemFormatao"/>
        <w:ind w:firstLine="851"/>
        <w:jc w:val="both"/>
        <w:rPr>
          <w:rFonts w:ascii="Times New Roman" w:hAnsi="Times New Roman"/>
          <w:sz w:val="24"/>
          <w:szCs w:val="24"/>
        </w:rPr>
      </w:pPr>
      <w:r w:rsidRPr="00720B86">
        <w:rPr>
          <w:rFonts w:ascii="Times New Roman" w:hAnsi="Times New Roman"/>
          <w:sz w:val="24"/>
          <w:szCs w:val="24"/>
        </w:rPr>
        <w:t xml:space="preserve">A análise foi feita com as variáveis </w:t>
      </w:r>
      <w:r w:rsidRPr="00720B86">
        <w:rPr>
          <w:rFonts w:ascii="Times New Roman" w:hAnsi="Times New Roman"/>
          <w:i/>
          <w:sz w:val="24"/>
          <w:szCs w:val="24"/>
        </w:rPr>
        <w:t>inputs</w:t>
      </w:r>
      <w:r w:rsidRPr="00720B86">
        <w:rPr>
          <w:rFonts w:ascii="Times New Roman" w:hAnsi="Times New Roman"/>
          <w:sz w:val="24"/>
          <w:szCs w:val="24"/>
        </w:rPr>
        <w:t xml:space="preserve"> (giro do ativo e número de empregados) e </w:t>
      </w:r>
      <w:r w:rsidRPr="00720B86">
        <w:rPr>
          <w:rFonts w:ascii="Times New Roman" w:hAnsi="Times New Roman"/>
          <w:i/>
          <w:sz w:val="24"/>
          <w:szCs w:val="24"/>
        </w:rPr>
        <w:t>outputs</w:t>
      </w:r>
      <w:r w:rsidRPr="00720B86">
        <w:rPr>
          <w:rFonts w:ascii="Times New Roman" w:hAnsi="Times New Roman"/>
          <w:sz w:val="24"/>
          <w:szCs w:val="24"/>
        </w:rPr>
        <w:t xml:space="preserve"> (vendas líquidas, patrimônio líquido ajustado, lucro líquido ajustado e margem de vendas) pelo </w:t>
      </w:r>
      <w:r w:rsidRPr="00720B86">
        <w:rPr>
          <w:rFonts w:ascii="Times New Roman" w:hAnsi="Times New Roman"/>
          <w:i/>
          <w:sz w:val="24"/>
          <w:szCs w:val="24"/>
        </w:rPr>
        <w:t>software</w:t>
      </w:r>
      <w:r w:rsidRPr="00720B86">
        <w:rPr>
          <w:rFonts w:ascii="Times New Roman" w:hAnsi="Times New Roman"/>
          <w:sz w:val="24"/>
          <w:szCs w:val="24"/>
        </w:rPr>
        <w:t xml:space="preserve"> SIAD, o qual proporcionou conclusões a respeito das empresas que foram eficientes e ineficientes diante de seus </w:t>
      </w:r>
      <w:r w:rsidRPr="00720B86">
        <w:rPr>
          <w:rFonts w:ascii="Times New Roman" w:hAnsi="Times New Roman"/>
          <w:i/>
          <w:sz w:val="24"/>
          <w:szCs w:val="24"/>
        </w:rPr>
        <w:t>inputs</w:t>
      </w:r>
      <w:r w:rsidRPr="00720B86">
        <w:rPr>
          <w:rFonts w:ascii="Times New Roman" w:hAnsi="Times New Roman"/>
          <w:sz w:val="24"/>
          <w:szCs w:val="24"/>
        </w:rPr>
        <w:t xml:space="preserve"> e </w:t>
      </w:r>
      <w:r w:rsidRPr="00720B86">
        <w:rPr>
          <w:rFonts w:ascii="Times New Roman" w:hAnsi="Times New Roman"/>
          <w:i/>
          <w:sz w:val="24"/>
          <w:szCs w:val="24"/>
        </w:rPr>
        <w:t>outputs.</w:t>
      </w:r>
    </w:p>
    <w:p w:rsidR="00720B86" w:rsidRPr="00720B86" w:rsidRDefault="00720B86" w:rsidP="007E60F7">
      <w:pPr>
        <w:pStyle w:val="TextosemFormatao"/>
        <w:ind w:firstLine="851"/>
        <w:jc w:val="both"/>
        <w:rPr>
          <w:rFonts w:ascii="Times New Roman" w:hAnsi="Times New Roman"/>
          <w:sz w:val="24"/>
          <w:szCs w:val="24"/>
        </w:rPr>
      </w:pPr>
      <w:r w:rsidRPr="00720B86">
        <w:rPr>
          <w:rFonts w:ascii="Times New Roman" w:hAnsi="Times New Roman"/>
          <w:sz w:val="24"/>
          <w:szCs w:val="24"/>
        </w:rPr>
        <w:t xml:space="preserve">O resultado aponta para uma condição satisfatória, pelo fato de que foi realizada a análise de um conjunto das quinze melhores empresas (sedes), dentre as quais oito foram classificadas como eficientes, ou seja, chegaram a escala 1, e as outras sete foram identificadas como ineficientes. O </w:t>
      </w:r>
      <w:r w:rsidRPr="00720B86">
        <w:rPr>
          <w:rFonts w:ascii="Times New Roman" w:hAnsi="Times New Roman"/>
          <w:i/>
          <w:sz w:val="24"/>
          <w:szCs w:val="24"/>
        </w:rPr>
        <w:t>software</w:t>
      </w:r>
      <w:r w:rsidRPr="00720B86">
        <w:rPr>
          <w:rFonts w:ascii="Times New Roman" w:hAnsi="Times New Roman"/>
          <w:sz w:val="24"/>
          <w:szCs w:val="24"/>
        </w:rPr>
        <w:t xml:space="preserve"> SIAD colaborou com informações - classificadas como “alvos” - que buscam essa eficiência, ajudando na tomada de decisão de seus gestores.</w:t>
      </w:r>
    </w:p>
    <w:p w:rsidR="00A4455A" w:rsidRDefault="00A4455A" w:rsidP="007E60F7">
      <w:pPr>
        <w:pStyle w:val="TextosemFormatao"/>
        <w:ind w:firstLine="851"/>
        <w:jc w:val="both"/>
        <w:rPr>
          <w:rFonts w:ascii="Times New Roman" w:hAnsi="Times New Roman"/>
          <w:sz w:val="24"/>
          <w:szCs w:val="24"/>
        </w:rPr>
      </w:pPr>
    </w:p>
    <w:p w:rsidR="00720B86" w:rsidRPr="00720B86" w:rsidRDefault="00720B86" w:rsidP="007E60F7">
      <w:pPr>
        <w:pStyle w:val="TextosemFormatao"/>
        <w:ind w:firstLine="851"/>
        <w:jc w:val="both"/>
        <w:rPr>
          <w:rFonts w:ascii="Times New Roman" w:hAnsi="Times New Roman"/>
          <w:sz w:val="24"/>
          <w:szCs w:val="24"/>
        </w:rPr>
      </w:pPr>
      <w:r w:rsidRPr="00720B86">
        <w:rPr>
          <w:rFonts w:ascii="Times New Roman" w:hAnsi="Times New Roman"/>
          <w:sz w:val="24"/>
          <w:szCs w:val="24"/>
        </w:rPr>
        <w:lastRenderedPageBreak/>
        <w:t>Com esses “alvos” conclui</w:t>
      </w:r>
      <w:r w:rsidR="00A4455A">
        <w:rPr>
          <w:rFonts w:ascii="Times New Roman" w:hAnsi="Times New Roman"/>
          <w:sz w:val="24"/>
          <w:szCs w:val="24"/>
        </w:rPr>
        <w:t>-se</w:t>
      </w:r>
      <w:r w:rsidRPr="00720B86">
        <w:rPr>
          <w:rFonts w:ascii="Times New Roman" w:hAnsi="Times New Roman"/>
          <w:sz w:val="24"/>
          <w:szCs w:val="24"/>
        </w:rPr>
        <w:t xml:space="preserve"> que a empresa Adama Brasil deve aumentar todos os seus </w:t>
      </w:r>
      <w:r w:rsidRPr="00720B86">
        <w:rPr>
          <w:rFonts w:ascii="Times New Roman" w:hAnsi="Times New Roman"/>
          <w:i/>
          <w:sz w:val="24"/>
          <w:szCs w:val="24"/>
        </w:rPr>
        <w:t>outputs</w:t>
      </w:r>
      <w:r w:rsidRPr="00720B86">
        <w:rPr>
          <w:rFonts w:ascii="Times New Roman" w:hAnsi="Times New Roman"/>
          <w:sz w:val="24"/>
          <w:szCs w:val="24"/>
        </w:rPr>
        <w:t xml:space="preserve">, assim como a empresa Syngenta, Akzo Nobel, Yara Brasil, Basf, FMC Química e a Heringer, ou seja, para as empresas se classificarem como eficientes no modelo CRS, todas as sete companhias devem aumentar seus </w:t>
      </w:r>
      <w:r w:rsidRPr="00720B86">
        <w:rPr>
          <w:rFonts w:ascii="Times New Roman" w:hAnsi="Times New Roman"/>
          <w:i/>
          <w:sz w:val="24"/>
          <w:szCs w:val="24"/>
        </w:rPr>
        <w:t>outputs</w:t>
      </w:r>
      <w:r w:rsidRPr="00720B86">
        <w:rPr>
          <w:rFonts w:ascii="Times New Roman" w:hAnsi="Times New Roman"/>
          <w:sz w:val="24"/>
          <w:szCs w:val="24"/>
        </w:rPr>
        <w:t xml:space="preserve">, conforme a Tabela 4. O mesmo acontece, também, no modelo VRS, no qual todas as empresas classificadas como ineficientes devem aumentar seus </w:t>
      </w:r>
      <w:r w:rsidRPr="00720B86">
        <w:rPr>
          <w:rFonts w:ascii="Times New Roman" w:hAnsi="Times New Roman"/>
          <w:i/>
          <w:sz w:val="24"/>
          <w:szCs w:val="24"/>
        </w:rPr>
        <w:t>outputs</w:t>
      </w:r>
      <w:r w:rsidRPr="00720B86">
        <w:rPr>
          <w:rFonts w:ascii="Times New Roman" w:hAnsi="Times New Roman"/>
          <w:sz w:val="24"/>
          <w:szCs w:val="24"/>
        </w:rPr>
        <w:t xml:space="preserve"> diante das variáveis </w:t>
      </w:r>
      <w:r w:rsidRPr="00720B86">
        <w:rPr>
          <w:rFonts w:ascii="Times New Roman" w:hAnsi="Times New Roman"/>
          <w:i/>
          <w:sz w:val="24"/>
          <w:szCs w:val="24"/>
        </w:rPr>
        <w:t>inputs</w:t>
      </w:r>
      <w:r w:rsidRPr="00720B86">
        <w:rPr>
          <w:rFonts w:ascii="Times New Roman" w:hAnsi="Times New Roman"/>
          <w:sz w:val="24"/>
          <w:szCs w:val="24"/>
        </w:rPr>
        <w:t xml:space="preserve"> escolhidas para o estudo.</w:t>
      </w:r>
    </w:p>
    <w:p w:rsidR="00720B86" w:rsidRPr="00720B86" w:rsidRDefault="00720B86" w:rsidP="007E60F7">
      <w:pPr>
        <w:pStyle w:val="TextosemFormatao"/>
        <w:ind w:firstLine="851"/>
        <w:jc w:val="both"/>
        <w:rPr>
          <w:rFonts w:ascii="Times New Roman" w:hAnsi="Times New Roman"/>
          <w:sz w:val="24"/>
          <w:szCs w:val="24"/>
        </w:rPr>
      </w:pPr>
      <w:r w:rsidRPr="00720B86">
        <w:rPr>
          <w:rFonts w:ascii="Times New Roman" w:hAnsi="Times New Roman"/>
          <w:sz w:val="24"/>
          <w:szCs w:val="24"/>
        </w:rPr>
        <w:t>Diante dos resultados obtidos, é notável que foram diferentes dos resultados da pesquisa de Da Costa e Boente (2011), na qual concluíram que tiveram mais empresas eficientes no modelo VRS - cinco empresas – do que no modelo CRS – duas empresas.</w:t>
      </w:r>
    </w:p>
    <w:p w:rsidR="00720B86" w:rsidRPr="00720B86" w:rsidRDefault="00720B86" w:rsidP="007E60F7">
      <w:pPr>
        <w:pStyle w:val="TextosemFormatao"/>
        <w:ind w:firstLine="851"/>
        <w:jc w:val="both"/>
        <w:rPr>
          <w:rFonts w:ascii="Times New Roman" w:hAnsi="Times New Roman"/>
          <w:sz w:val="24"/>
          <w:szCs w:val="24"/>
        </w:rPr>
      </w:pPr>
      <w:r w:rsidRPr="00720B86">
        <w:rPr>
          <w:rFonts w:ascii="Times New Roman" w:hAnsi="Times New Roman"/>
          <w:sz w:val="24"/>
          <w:szCs w:val="24"/>
        </w:rPr>
        <w:t xml:space="preserve">A importância para analisar esses indicadores econômico-financeiros é a empresa seguir com um adequado planejamento estratégico. </w:t>
      </w:r>
      <w:r w:rsidRPr="00720B86">
        <w:rPr>
          <w:rFonts w:ascii="Times New Roman" w:hAnsi="Times New Roman"/>
          <w:color w:val="222222"/>
          <w:sz w:val="24"/>
          <w:szCs w:val="24"/>
          <w:shd w:val="clear" w:color="auto" w:fill="FFFFFF"/>
        </w:rPr>
        <w:t>Lacombe e Heilborn (2015) afirmam</w:t>
      </w:r>
      <w:r w:rsidRPr="00720B86">
        <w:rPr>
          <w:rFonts w:ascii="Times New Roman" w:hAnsi="Times New Roman"/>
          <w:sz w:val="24"/>
          <w:szCs w:val="24"/>
        </w:rPr>
        <w:t xml:space="preserve"> que as informações são instrumentos significativos para o correto encaminhamento da empresa. Ainda segundo o autor, se todas as companhias seguissem suas informações, estariam dando um passo fundamental para o sucesso da empresa. Diante disso, a análise econômico-financeira das melhores empresas desse setor traz consequências positivas para a geração econômica e de sucesso.</w:t>
      </w:r>
    </w:p>
    <w:p w:rsidR="00720B86" w:rsidRPr="00720B86" w:rsidRDefault="00720B86" w:rsidP="007E60F7">
      <w:pPr>
        <w:pStyle w:val="TextosemFormatao"/>
        <w:ind w:firstLine="851"/>
        <w:jc w:val="both"/>
        <w:rPr>
          <w:rFonts w:ascii="Times New Roman" w:hAnsi="Times New Roman"/>
          <w:sz w:val="24"/>
          <w:szCs w:val="24"/>
        </w:rPr>
      </w:pPr>
      <w:r w:rsidRPr="00720B86">
        <w:rPr>
          <w:rFonts w:ascii="Times New Roman" w:hAnsi="Times New Roman"/>
          <w:sz w:val="24"/>
          <w:szCs w:val="24"/>
        </w:rPr>
        <w:t>Ficou claro, com esta pesquisa, que maior parte dessas empresas possui um desempenho satisfatório, caracterizando-se como eficiente, e que as demais que não alcançaram esse objetivo precisam adequar suas gestões.</w:t>
      </w:r>
    </w:p>
    <w:p w:rsidR="00720B86" w:rsidRPr="00720B86" w:rsidRDefault="00720B86" w:rsidP="007E60F7">
      <w:pPr>
        <w:pStyle w:val="TextosemFormatao"/>
        <w:ind w:firstLine="851"/>
        <w:jc w:val="both"/>
        <w:rPr>
          <w:rFonts w:ascii="Times New Roman" w:hAnsi="Times New Roman"/>
          <w:sz w:val="24"/>
          <w:szCs w:val="24"/>
        </w:rPr>
      </w:pPr>
      <w:r w:rsidRPr="00720B86">
        <w:rPr>
          <w:rFonts w:ascii="Times New Roman" w:hAnsi="Times New Roman"/>
          <w:sz w:val="24"/>
          <w:szCs w:val="24"/>
        </w:rPr>
        <w:t xml:space="preserve">Para futuros trabalhos, sugere-se analisar outras variáveis, classificadas como </w:t>
      </w:r>
      <w:r w:rsidRPr="00720B86">
        <w:rPr>
          <w:rFonts w:ascii="Times New Roman" w:hAnsi="Times New Roman"/>
          <w:i/>
          <w:sz w:val="24"/>
          <w:szCs w:val="24"/>
        </w:rPr>
        <w:t>inputs</w:t>
      </w:r>
      <w:r w:rsidRPr="00720B86">
        <w:rPr>
          <w:rFonts w:ascii="Times New Roman" w:hAnsi="Times New Roman"/>
          <w:sz w:val="24"/>
          <w:szCs w:val="24"/>
        </w:rPr>
        <w:t xml:space="preserve"> e </w:t>
      </w:r>
      <w:r w:rsidRPr="00720B86">
        <w:rPr>
          <w:rFonts w:ascii="Times New Roman" w:hAnsi="Times New Roman"/>
          <w:i/>
          <w:sz w:val="24"/>
          <w:szCs w:val="24"/>
        </w:rPr>
        <w:t xml:space="preserve">outputs </w:t>
      </w:r>
      <w:r w:rsidRPr="00720B86">
        <w:rPr>
          <w:rFonts w:ascii="Times New Roman" w:hAnsi="Times New Roman"/>
          <w:sz w:val="24"/>
          <w:szCs w:val="24"/>
        </w:rPr>
        <w:t xml:space="preserve">e com o modelo VRS e CRS com orientação </w:t>
      </w:r>
      <w:r w:rsidRPr="00720B86">
        <w:rPr>
          <w:rFonts w:ascii="Times New Roman" w:hAnsi="Times New Roman"/>
          <w:i/>
          <w:sz w:val="24"/>
          <w:szCs w:val="24"/>
        </w:rPr>
        <w:t>input</w:t>
      </w:r>
      <w:r w:rsidRPr="00720B86">
        <w:rPr>
          <w:rFonts w:ascii="Times New Roman" w:hAnsi="Times New Roman"/>
          <w:sz w:val="24"/>
          <w:szCs w:val="24"/>
        </w:rPr>
        <w:t>, e analisar seus respectivos alvos nos dois modelos.</w:t>
      </w:r>
    </w:p>
    <w:p w:rsidR="00E24E18" w:rsidRPr="00AA3FF4" w:rsidRDefault="00E24E18" w:rsidP="002056D7"/>
    <w:p w:rsidR="00E24E18" w:rsidRPr="00AA3FF4" w:rsidRDefault="00E24E18" w:rsidP="00E24E18">
      <w:pPr>
        <w:spacing w:line="360" w:lineRule="auto"/>
        <w:rPr>
          <w:sz w:val="26"/>
          <w:szCs w:val="26"/>
        </w:rPr>
      </w:pPr>
    </w:p>
    <w:p w:rsidR="00E24E18" w:rsidRDefault="00E24E18" w:rsidP="00720B86">
      <w:pPr>
        <w:pStyle w:val="Ttulo1"/>
        <w:numPr>
          <w:ilvl w:val="0"/>
          <w:numId w:val="0"/>
        </w:numPr>
        <w:spacing w:before="0" w:after="0"/>
        <w:jc w:val="center"/>
        <w:rPr>
          <w:sz w:val="26"/>
          <w:szCs w:val="26"/>
        </w:rPr>
      </w:pPr>
      <w:r w:rsidRPr="00AA3FF4">
        <w:rPr>
          <w:sz w:val="26"/>
          <w:szCs w:val="26"/>
        </w:rPr>
        <w:t>REFERÊNCIAS</w:t>
      </w:r>
    </w:p>
    <w:p w:rsidR="00A4455A" w:rsidRPr="00A4455A" w:rsidRDefault="00A4455A" w:rsidP="00A4455A">
      <w:pPr>
        <w:rPr>
          <w:lang w:val="x-none" w:eastAsia="x-none"/>
        </w:rPr>
      </w:pPr>
    </w:p>
    <w:p w:rsidR="00720B86" w:rsidRPr="006B170C" w:rsidRDefault="00720B86" w:rsidP="00720B86">
      <w:pPr>
        <w:pStyle w:val="Corpodetexto"/>
        <w:ind w:firstLine="0"/>
        <w:rPr>
          <w:b/>
          <w:szCs w:val="24"/>
        </w:rPr>
      </w:pPr>
      <w:r w:rsidRPr="006B170C">
        <w:rPr>
          <w:color w:val="222222"/>
          <w:szCs w:val="24"/>
          <w:shd w:val="clear" w:color="auto" w:fill="FFFFFF"/>
        </w:rPr>
        <w:t>ABIQUIM (Org.). </w:t>
      </w:r>
      <w:r w:rsidRPr="006B170C">
        <w:rPr>
          <w:b/>
          <w:bCs/>
          <w:color w:val="222222"/>
          <w:szCs w:val="24"/>
          <w:shd w:val="clear" w:color="auto" w:fill="FFFFFF"/>
        </w:rPr>
        <w:t>Associação Brasileira da Indústria Química. </w:t>
      </w:r>
      <w:r w:rsidRPr="006B170C">
        <w:rPr>
          <w:color w:val="222222"/>
          <w:szCs w:val="24"/>
          <w:shd w:val="clear" w:color="auto" w:fill="FFFFFF"/>
        </w:rPr>
        <w:t>Disponível em: &lt;http://canais.abiquim.org.br/pacto/default.asp&gt;. Acesso em: 16 jun. 2016.</w:t>
      </w:r>
    </w:p>
    <w:p w:rsidR="00720B86" w:rsidRPr="006B170C" w:rsidRDefault="00720B86" w:rsidP="00720B86">
      <w:pPr>
        <w:ind w:firstLine="0"/>
        <w:rPr>
          <w:szCs w:val="24"/>
        </w:rPr>
      </w:pPr>
      <w:r w:rsidRPr="006B170C">
        <w:rPr>
          <w:szCs w:val="24"/>
        </w:rPr>
        <w:t xml:space="preserve">ALMEIDA, Katia. </w:t>
      </w:r>
      <w:r w:rsidRPr="006B170C">
        <w:rPr>
          <w:b/>
          <w:szCs w:val="24"/>
        </w:rPr>
        <w:t>Mapeamento e análise bibliométrica da utilização da Análise Envoltória de Dados (DEA) em estudos em contabilidade e administração.</w:t>
      </w:r>
    </w:p>
    <w:p w:rsidR="00720B86" w:rsidRPr="006B170C" w:rsidRDefault="00720B86" w:rsidP="00720B86">
      <w:pPr>
        <w:pStyle w:val="Corpodetexto"/>
        <w:tabs>
          <w:tab w:val="num" w:pos="426"/>
        </w:tabs>
        <w:ind w:firstLine="0"/>
        <w:rPr>
          <w:szCs w:val="24"/>
        </w:rPr>
      </w:pPr>
      <w:r w:rsidRPr="006B170C">
        <w:rPr>
          <w:szCs w:val="24"/>
        </w:rPr>
        <w:t xml:space="preserve">ALMEIDA, Mariana R.; MARIANO, Enzo Bernardes; REBELATTO, Daisy Aparecida Nogueira. </w:t>
      </w:r>
      <w:r w:rsidRPr="006B170C">
        <w:rPr>
          <w:b/>
          <w:szCs w:val="24"/>
        </w:rPr>
        <w:t>Ferramenta para calcular a eficiência: um procedimento para engenheiros de produção.</w:t>
      </w:r>
      <w:r w:rsidRPr="006B170C">
        <w:rPr>
          <w:szCs w:val="24"/>
        </w:rPr>
        <w:t xml:space="preserve"> In: </w:t>
      </w:r>
      <w:r w:rsidRPr="006B170C">
        <w:rPr>
          <w:bCs/>
          <w:szCs w:val="24"/>
        </w:rPr>
        <w:t>Trabalho apresentado durante o XXXIV CONGRESSO BRASILEIRO DE ENSINO DE ENGENHARIA. Passo Fundo</w:t>
      </w:r>
      <w:r w:rsidRPr="006B170C">
        <w:rPr>
          <w:szCs w:val="24"/>
        </w:rPr>
        <w:t>. 2006.</w:t>
      </w:r>
    </w:p>
    <w:p w:rsidR="00720B86" w:rsidRPr="006B170C" w:rsidRDefault="00720B86" w:rsidP="00720B86">
      <w:pPr>
        <w:ind w:firstLine="0"/>
        <w:rPr>
          <w:szCs w:val="24"/>
        </w:rPr>
      </w:pPr>
      <w:r w:rsidRPr="006B170C">
        <w:rPr>
          <w:szCs w:val="24"/>
        </w:rPr>
        <w:t xml:space="preserve">ANGULO MEZA, L;, BIONDI NETO, L.; SOARES DE MELLO, J.C.C.B.; GOMES, E. G. ISYDS– </w:t>
      </w:r>
      <w:r w:rsidRPr="006B170C">
        <w:rPr>
          <w:b/>
          <w:szCs w:val="24"/>
        </w:rPr>
        <w:t xml:space="preserve">Integrated System for Decision Support (SIAD – Sistema Integrado de Apoio a Decisão): a software package for data envelopment analysis model. </w:t>
      </w:r>
      <w:r w:rsidRPr="006B170C">
        <w:rPr>
          <w:szCs w:val="24"/>
        </w:rPr>
        <w:t xml:space="preserve">Pesquisa Operacional, </w:t>
      </w:r>
      <w:r w:rsidRPr="006B170C">
        <w:rPr>
          <w:szCs w:val="24"/>
        </w:rPr>
        <w:lastRenderedPageBreak/>
        <w:t>v.25, n.3, p 493-503. 2005.</w:t>
      </w:r>
    </w:p>
    <w:p w:rsidR="00720B86" w:rsidRPr="006B170C" w:rsidRDefault="00720B86" w:rsidP="00720B86">
      <w:pPr>
        <w:pStyle w:val="Corpodetexto"/>
        <w:ind w:firstLine="0"/>
        <w:rPr>
          <w:szCs w:val="24"/>
          <w:lang w:val="en-US"/>
        </w:rPr>
      </w:pPr>
      <w:r w:rsidRPr="006B170C">
        <w:rPr>
          <w:szCs w:val="24"/>
        </w:rPr>
        <w:t xml:space="preserve">BRASIL. ASSOCIAÇÃO BRASILEIRA DA INDÚSTRIA QUÍMICA. . </w:t>
      </w:r>
      <w:r w:rsidRPr="006B170C">
        <w:rPr>
          <w:rStyle w:val="Forte"/>
          <w:bCs w:val="0"/>
          <w:szCs w:val="24"/>
        </w:rPr>
        <w:t xml:space="preserve">Compromissos da indústria química com o desenvolvimento brasileiro. </w:t>
      </w:r>
      <w:r w:rsidRPr="006B170C">
        <w:rPr>
          <w:szCs w:val="24"/>
        </w:rPr>
        <w:t xml:space="preserve">Disponível em: &lt;http://canais.abiquim.org.br/pacto/compromissos.asp&gt;. </w:t>
      </w:r>
      <w:r w:rsidRPr="006B170C">
        <w:rPr>
          <w:szCs w:val="24"/>
          <w:lang w:val="en-US"/>
        </w:rPr>
        <w:t>Acesso em: 20 jun. 2016.</w:t>
      </w:r>
    </w:p>
    <w:p w:rsidR="00720B86" w:rsidRPr="006B170C" w:rsidRDefault="00720B86" w:rsidP="00720B86">
      <w:pPr>
        <w:pStyle w:val="Corpodetexto"/>
        <w:ind w:firstLine="0"/>
        <w:rPr>
          <w:color w:val="222222"/>
          <w:szCs w:val="24"/>
          <w:shd w:val="clear" w:color="auto" w:fill="FFFFFF"/>
          <w:lang w:val="en-US"/>
        </w:rPr>
      </w:pPr>
      <w:r w:rsidRPr="006B170C">
        <w:rPr>
          <w:color w:val="222222"/>
          <w:szCs w:val="24"/>
          <w:shd w:val="clear" w:color="auto" w:fill="FFFFFF"/>
          <w:lang w:val="en-US"/>
        </w:rPr>
        <w:t>COOPER, William W.; SEIFORD, Lawrence M.; TONE, Kaoru. </w:t>
      </w:r>
      <w:r w:rsidRPr="006B170C">
        <w:rPr>
          <w:b/>
          <w:bCs/>
          <w:color w:val="222222"/>
          <w:szCs w:val="24"/>
          <w:shd w:val="clear" w:color="auto" w:fill="FFFFFF"/>
          <w:lang w:val="en-US"/>
        </w:rPr>
        <w:t>Data Envelopment Analysis: </w:t>
      </w:r>
      <w:r w:rsidRPr="006B170C">
        <w:rPr>
          <w:color w:val="222222"/>
          <w:szCs w:val="24"/>
          <w:shd w:val="clear" w:color="auto" w:fill="FFFFFF"/>
          <w:lang w:val="en-US"/>
        </w:rPr>
        <w:t>A Comprehensive Text with Models, Applications, References and DEA Solver Software. New York, Boston, Dordrecht, London, Moscow: Kluwer Academic Publishers, 2002. 347 p.</w:t>
      </w:r>
    </w:p>
    <w:p w:rsidR="00720B86" w:rsidRPr="006B170C" w:rsidRDefault="00720B86" w:rsidP="00720B86">
      <w:pPr>
        <w:pStyle w:val="Corpodetexto"/>
        <w:ind w:firstLine="0"/>
        <w:rPr>
          <w:color w:val="222222"/>
          <w:szCs w:val="24"/>
          <w:shd w:val="clear" w:color="auto" w:fill="FFFFFF"/>
        </w:rPr>
      </w:pPr>
      <w:r w:rsidRPr="006B170C">
        <w:rPr>
          <w:szCs w:val="24"/>
        </w:rPr>
        <w:t xml:space="preserve">DA COSTA, Fábio Heleno Mourão; SÁ, Mauro Thury de Vieira; FERNANDES, Danilo Araújo. </w:t>
      </w:r>
      <w:r w:rsidRPr="006B170C">
        <w:rPr>
          <w:b/>
          <w:szCs w:val="24"/>
        </w:rPr>
        <w:t>(DES) CONCENTRAÇÃO E DINAMISMO REGIONAL DA INDÚSTRIA PETROQUÍMICA BRASILEIRA.</w:t>
      </w:r>
      <w:r w:rsidRPr="006B170C">
        <w:rPr>
          <w:szCs w:val="24"/>
        </w:rPr>
        <w:t xml:space="preserve"> </w:t>
      </w:r>
      <w:r w:rsidRPr="006B170C">
        <w:rPr>
          <w:bCs/>
          <w:szCs w:val="24"/>
        </w:rPr>
        <w:t>Revista Brasileira de Estudos Regionais e Urbanos</w:t>
      </w:r>
      <w:r w:rsidRPr="006B170C">
        <w:rPr>
          <w:szCs w:val="24"/>
        </w:rPr>
        <w:t>, v. 9, n. 2, p. 186-208, 2016.</w:t>
      </w:r>
    </w:p>
    <w:p w:rsidR="00720B86" w:rsidRPr="006B170C" w:rsidRDefault="00720B86" w:rsidP="00720B86">
      <w:pPr>
        <w:pStyle w:val="Corpodetexto"/>
        <w:ind w:firstLine="0"/>
        <w:rPr>
          <w:color w:val="222222"/>
          <w:szCs w:val="24"/>
          <w:shd w:val="clear" w:color="auto" w:fill="FFFFFF"/>
        </w:rPr>
      </w:pPr>
      <w:r w:rsidRPr="006B170C">
        <w:rPr>
          <w:color w:val="222222"/>
          <w:szCs w:val="24"/>
          <w:shd w:val="clear" w:color="auto" w:fill="FFFFFF"/>
        </w:rPr>
        <w:t xml:space="preserve">DA COSTA, Sayonara Fernandes; BOENTE, Diego Rodrigues. </w:t>
      </w:r>
      <w:r w:rsidRPr="006B170C">
        <w:rPr>
          <w:b/>
          <w:color w:val="222222"/>
          <w:szCs w:val="24"/>
          <w:shd w:val="clear" w:color="auto" w:fill="FFFFFF"/>
        </w:rPr>
        <w:t>Avaliação da eficiência econômico-financeira das empresas integrantes do índice de sustentabilidade empresarial por meio da análise envoltória de dados.</w:t>
      </w:r>
      <w:r w:rsidRPr="006B170C">
        <w:rPr>
          <w:b/>
          <w:bCs/>
          <w:color w:val="222222"/>
          <w:szCs w:val="24"/>
          <w:shd w:val="clear" w:color="auto" w:fill="FFFFFF"/>
        </w:rPr>
        <w:t xml:space="preserve"> </w:t>
      </w:r>
      <w:r w:rsidRPr="006B170C">
        <w:rPr>
          <w:bCs/>
          <w:color w:val="222222"/>
          <w:szCs w:val="24"/>
          <w:shd w:val="clear" w:color="auto" w:fill="FFFFFF"/>
        </w:rPr>
        <w:t>REVISTA AMBIENTE CONTÁBIL-Universidade Federal do Rio Grande do Norte-ISSN 2176-9036</w:t>
      </w:r>
      <w:r w:rsidRPr="006B170C">
        <w:rPr>
          <w:color w:val="222222"/>
          <w:szCs w:val="24"/>
          <w:shd w:val="clear" w:color="auto" w:fill="FFFFFF"/>
        </w:rPr>
        <w:t>, v. 3, n. 2, p. 75-99, 2011.</w:t>
      </w:r>
    </w:p>
    <w:p w:rsidR="00720B86" w:rsidRPr="006B170C" w:rsidRDefault="00720B86" w:rsidP="00720B86">
      <w:pPr>
        <w:pStyle w:val="Corpodetexto"/>
        <w:tabs>
          <w:tab w:val="num" w:pos="426"/>
        </w:tabs>
        <w:ind w:firstLine="0"/>
        <w:rPr>
          <w:szCs w:val="24"/>
        </w:rPr>
      </w:pPr>
      <w:r w:rsidRPr="006B170C">
        <w:rPr>
          <w:szCs w:val="24"/>
        </w:rPr>
        <w:t xml:space="preserve">DALFOVO, Michel Samir; LANA, Rogério Adilson; SILVEIRA, Amélia. </w:t>
      </w:r>
      <w:r w:rsidRPr="006B170C">
        <w:rPr>
          <w:b/>
          <w:szCs w:val="24"/>
        </w:rPr>
        <w:t>Métodos quantitativos e qualitativos: um resgate teórico.</w:t>
      </w:r>
      <w:r w:rsidRPr="006B170C">
        <w:rPr>
          <w:szCs w:val="24"/>
        </w:rPr>
        <w:t xml:space="preserve"> Revista Interdisciplinar Científica Aplicada, Blumenau, v.2, n.4, p.01-13, Sem II. 2008.</w:t>
      </w:r>
    </w:p>
    <w:p w:rsidR="00720B86" w:rsidRPr="006B170C" w:rsidRDefault="00720B86" w:rsidP="00720B86">
      <w:pPr>
        <w:pStyle w:val="Corpodetexto"/>
        <w:tabs>
          <w:tab w:val="num" w:pos="567"/>
        </w:tabs>
        <w:ind w:firstLine="0"/>
        <w:rPr>
          <w:color w:val="222222"/>
          <w:szCs w:val="24"/>
          <w:shd w:val="clear" w:color="auto" w:fill="FFFFFF"/>
        </w:rPr>
      </w:pPr>
      <w:r w:rsidRPr="006B170C">
        <w:rPr>
          <w:color w:val="222222"/>
          <w:szCs w:val="24"/>
          <w:shd w:val="clear" w:color="auto" w:fill="FFFFFF"/>
        </w:rPr>
        <w:t xml:space="preserve">FISCHMANN, Adalberto A.; ZILBER, Moisés A. </w:t>
      </w:r>
      <w:r w:rsidRPr="006B170C">
        <w:rPr>
          <w:b/>
          <w:color w:val="222222"/>
          <w:szCs w:val="24"/>
          <w:shd w:val="clear" w:color="auto" w:fill="FFFFFF"/>
        </w:rPr>
        <w:t>Utilização de indicadores de desempenho como instrumento de suporte à gestão estratégica.</w:t>
      </w:r>
      <w:r w:rsidRPr="006B170C">
        <w:rPr>
          <w:rStyle w:val="apple-converted-space"/>
          <w:color w:val="222222"/>
          <w:szCs w:val="24"/>
          <w:shd w:val="clear" w:color="auto" w:fill="FFFFFF"/>
        </w:rPr>
        <w:t> </w:t>
      </w:r>
      <w:r w:rsidR="00A4455A" w:rsidRPr="006B170C">
        <w:rPr>
          <w:bCs/>
          <w:color w:val="222222"/>
          <w:szCs w:val="24"/>
          <w:shd w:val="clear" w:color="auto" w:fill="FFFFFF"/>
        </w:rPr>
        <w:t>Encontro</w:t>
      </w:r>
      <w:r w:rsidRPr="006B170C">
        <w:rPr>
          <w:bCs/>
          <w:color w:val="222222"/>
          <w:szCs w:val="24"/>
          <w:shd w:val="clear" w:color="auto" w:fill="FFFFFF"/>
        </w:rPr>
        <w:t xml:space="preserve"> da ANPAD, XXIII, Anais</w:t>
      </w:r>
      <w:r w:rsidRPr="006B170C">
        <w:rPr>
          <w:color w:val="222222"/>
          <w:szCs w:val="24"/>
          <w:shd w:val="clear" w:color="auto" w:fill="FFFFFF"/>
        </w:rPr>
        <w:t>, 1999.</w:t>
      </w:r>
    </w:p>
    <w:p w:rsidR="00720B86" w:rsidRPr="006B170C" w:rsidRDefault="00720B86" w:rsidP="00720B86">
      <w:pPr>
        <w:pStyle w:val="Corpodetexto"/>
        <w:ind w:firstLine="0"/>
        <w:rPr>
          <w:color w:val="222222"/>
          <w:szCs w:val="24"/>
          <w:shd w:val="clear" w:color="auto" w:fill="FFFFFF"/>
          <w:lang w:val="en-US"/>
        </w:rPr>
      </w:pPr>
      <w:r w:rsidRPr="006B170C">
        <w:rPr>
          <w:color w:val="222222"/>
          <w:szCs w:val="24"/>
          <w:shd w:val="clear" w:color="auto" w:fill="FFFFFF"/>
        </w:rPr>
        <w:t>IUDÍCIBUS, Sérgio de et al. </w:t>
      </w:r>
      <w:r w:rsidRPr="006B170C">
        <w:rPr>
          <w:b/>
          <w:bCs/>
          <w:color w:val="222222"/>
          <w:szCs w:val="24"/>
          <w:shd w:val="clear" w:color="auto" w:fill="FFFFFF"/>
        </w:rPr>
        <w:t>Manual de Contabilidade Societária: </w:t>
      </w:r>
      <w:r w:rsidRPr="006B170C">
        <w:rPr>
          <w:color w:val="222222"/>
          <w:szCs w:val="24"/>
          <w:shd w:val="clear" w:color="auto" w:fill="FFFFFF"/>
        </w:rPr>
        <w:t xml:space="preserve">Aplicável a todas as sociedades. </w:t>
      </w:r>
      <w:r w:rsidRPr="006B170C">
        <w:rPr>
          <w:color w:val="222222"/>
          <w:szCs w:val="24"/>
          <w:shd w:val="clear" w:color="auto" w:fill="FFFFFF"/>
          <w:lang w:val="en-US"/>
        </w:rPr>
        <w:t>São Paulo: Atlas S.A., 2010. 794 p.</w:t>
      </w:r>
    </w:p>
    <w:p w:rsidR="00720B86" w:rsidRPr="006B170C" w:rsidRDefault="00A4455A" w:rsidP="00720B86">
      <w:pPr>
        <w:pStyle w:val="Corpodetexto"/>
        <w:ind w:firstLine="0"/>
        <w:rPr>
          <w:szCs w:val="24"/>
        </w:rPr>
      </w:pPr>
      <w:r w:rsidRPr="006B170C">
        <w:rPr>
          <w:szCs w:val="24"/>
          <w:lang w:val="en-US"/>
        </w:rPr>
        <w:t>JORO, Tarja; KORHONEN, Pekka J.</w:t>
      </w:r>
      <w:r w:rsidR="00720B86" w:rsidRPr="006B170C">
        <w:rPr>
          <w:szCs w:val="24"/>
          <w:lang w:val="en-US"/>
        </w:rPr>
        <w:t xml:space="preserve"> </w:t>
      </w:r>
      <w:r w:rsidR="00720B86" w:rsidRPr="006B170C">
        <w:rPr>
          <w:b/>
          <w:bCs/>
          <w:szCs w:val="24"/>
          <w:lang w:val="en-US"/>
        </w:rPr>
        <w:t xml:space="preserve">Extension of Data Envelopment Analysis with Preference Information: </w:t>
      </w:r>
      <w:r w:rsidR="00720B86" w:rsidRPr="006B170C">
        <w:rPr>
          <w:szCs w:val="24"/>
          <w:lang w:val="en-US"/>
        </w:rPr>
        <w:t xml:space="preserve">Value Efficiency. </w:t>
      </w:r>
      <w:r w:rsidR="00720B86" w:rsidRPr="006B170C">
        <w:rPr>
          <w:szCs w:val="24"/>
        </w:rPr>
        <w:t>Nova York: Springer Science, 2015. 189 p.</w:t>
      </w:r>
    </w:p>
    <w:p w:rsidR="00720B86" w:rsidRPr="006B170C" w:rsidRDefault="00720B86" w:rsidP="00720B86">
      <w:pPr>
        <w:pStyle w:val="Corpodetexto"/>
        <w:ind w:firstLine="0"/>
        <w:rPr>
          <w:color w:val="222222"/>
          <w:szCs w:val="24"/>
          <w:shd w:val="clear" w:color="auto" w:fill="FFFFFF"/>
        </w:rPr>
      </w:pPr>
      <w:r w:rsidRPr="006B170C">
        <w:rPr>
          <w:color w:val="222222"/>
          <w:szCs w:val="24"/>
          <w:shd w:val="clear" w:color="auto" w:fill="FFFFFF"/>
        </w:rPr>
        <w:t>LACOMBE, Francisco; HEILBORN, Gilberto. </w:t>
      </w:r>
      <w:r w:rsidRPr="006B170C">
        <w:rPr>
          <w:b/>
          <w:bCs/>
          <w:color w:val="222222"/>
          <w:szCs w:val="24"/>
          <w:shd w:val="clear" w:color="auto" w:fill="FFFFFF"/>
        </w:rPr>
        <w:t>Administração: </w:t>
      </w:r>
      <w:r w:rsidRPr="006B170C">
        <w:rPr>
          <w:color w:val="222222"/>
          <w:szCs w:val="24"/>
          <w:shd w:val="clear" w:color="auto" w:fill="FFFFFF"/>
        </w:rPr>
        <w:t>Princípios e tendências. 3. ed. São Paulo: Saraiva, 2015.</w:t>
      </w:r>
    </w:p>
    <w:p w:rsidR="00720B86" w:rsidRPr="006B170C" w:rsidRDefault="00720B86" w:rsidP="00720B86">
      <w:pPr>
        <w:ind w:firstLine="0"/>
        <w:rPr>
          <w:color w:val="222222"/>
          <w:szCs w:val="24"/>
          <w:shd w:val="clear" w:color="auto" w:fill="FFFFFF"/>
        </w:rPr>
      </w:pPr>
      <w:r w:rsidRPr="006B170C">
        <w:rPr>
          <w:szCs w:val="24"/>
        </w:rPr>
        <w:t xml:space="preserve">LINS, Marcos Pereira Estellita; MEZA, Lídia Angulo. </w:t>
      </w:r>
      <w:r w:rsidRPr="006B170C">
        <w:rPr>
          <w:b/>
          <w:szCs w:val="24"/>
        </w:rPr>
        <w:t>Análise Envoltória de Dados e perspectivas de integração no ambiente de Apoio à Decisão.</w:t>
      </w:r>
      <w:r w:rsidRPr="006B170C">
        <w:rPr>
          <w:szCs w:val="24"/>
        </w:rPr>
        <w:t xml:space="preserve"> </w:t>
      </w:r>
      <w:r w:rsidRPr="006B170C">
        <w:rPr>
          <w:bCs/>
          <w:szCs w:val="24"/>
        </w:rPr>
        <w:t>Rio de Janeiro: Coppe/UFRJ</w:t>
      </w:r>
      <w:r w:rsidRPr="006B170C">
        <w:rPr>
          <w:szCs w:val="24"/>
        </w:rPr>
        <w:t>, 2000.</w:t>
      </w:r>
    </w:p>
    <w:p w:rsidR="00720B86" w:rsidRPr="006B170C" w:rsidRDefault="00720B86" w:rsidP="00720B86">
      <w:pPr>
        <w:pStyle w:val="Default"/>
        <w:jc w:val="both"/>
        <w:rPr>
          <w:color w:val="auto"/>
        </w:rPr>
      </w:pPr>
      <w:r w:rsidRPr="006B170C">
        <w:rPr>
          <w:color w:val="auto"/>
        </w:rPr>
        <w:t xml:space="preserve">MACEDO, Marcelo Alvaro da Silva; ALMEIDA, Kátia de. </w:t>
      </w:r>
      <w:r w:rsidRPr="006B170C">
        <w:rPr>
          <w:b/>
          <w:color w:val="auto"/>
        </w:rPr>
        <w:t>Análise do desempenho organizacional no agronegócio brasileiro:</w:t>
      </w:r>
      <w:r w:rsidRPr="006B170C">
        <w:rPr>
          <w:color w:val="auto"/>
        </w:rPr>
        <w:t xml:space="preserve"> aplicando à agroindústria de papel e celulose. </w:t>
      </w:r>
      <w:r w:rsidRPr="006B170C">
        <w:rPr>
          <w:bCs/>
          <w:color w:val="auto"/>
        </w:rPr>
        <w:t>Revista de Educação e Pesquisa em Contabilidade,</w:t>
      </w:r>
      <w:r w:rsidRPr="006B170C">
        <w:rPr>
          <w:b/>
          <w:bCs/>
          <w:color w:val="auto"/>
        </w:rPr>
        <w:t xml:space="preserve"> </w:t>
      </w:r>
      <w:r w:rsidRPr="006B170C">
        <w:rPr>
          <w:color w:val="auto"/>
        </w:rPr>
        <w:t>Rio de Janeiro, v. 3, n. 1, p.25-45, abr. 2009.</w:t>
      </w:r>
    </w:p>
    <w:p w:rsidR="00720B86" w:rsidRPr="006B170C" w:rsidRDefault="00720B86" w:rsidP="00720B86">
      <w:pPr>
        <w:ind w:firstLine="0"/>
        <w:rPr>
          <w:szCs w:val="24"/>
        </w:rPr>
      </w:pPr>
      <w:r w:rsidRPr="006B170C">
        <w:rPr>
          <w:szCs w:val="24"/>
        </w:rPr>
        <w:t xml:space="preserve">MACEDO, Marcelo Alvaro da Silva; CASA NOVA, Silvia Pereira de Castro; DE ALMEIDA, Katia. </w:t>
      </w:r>
      <w:r w:rsidRPr="006B170C">
        <w:rPr>
          <w:b/>
          <w:szCs w:val="24"/>
        </w:rPr>
        <w:t xml:space="preserve">Mapeamento e análise bibliométrica da utilização da Análise Envoltória de Dados </w:t>
      </w:r>
      <w:r w:rsidRPr="006B170C">
        <w:rPr>
          <w:b/>
          <w:szCs w:val="24"/>
        </w:rPr>
        <w:lastRenderedPageBreak/>
        <w:t>(DEA) em estudos em contabilidade e administração.</w:t>
      </w:r>
      <w:r w:rsidRPr="006B170C">
        <w:rPr>
          <w:szCs w:val="24"/>
        </w:rPr>
        <w:t xml:space="preserve"> </w:t>
      </w:r>
      <w:r w:rsidRPr="006B170C">
        <w:rPr>
          <w:bCs/>
          <w:szCs w:val="24"/>
        </w:rPr>
        <w:t>Contabilidade, Gestão e Governança</w:t>
      </w:r>
      <w:r w:rsidRPr="006B170C">
        <w:rPr>
          <w:szCs w:val="24"/>
        </w:rPr>
        <w:t xml:space="preserve">, v. 12, n. 3, 2010. </w:t>
      </w:r>
    </w:p>
    <w:p w:rsidR="00720B86" w:rsidRPr="006B170C" w:rsidRDefault="00720B86" w:rsidP="00720B86">
      <w:pPr>
        <w:pStyle w:val="Corpodetexto"/>
        <w:ind w:firstLine="0"/>
        <w:rPr>
          <w:color w:val="222222"/>
          <w:szCs w:val="24"/>
          <w:shd w:val="clear" w:color="auto" w:fill="FFFFFF"/>
        </w:rPr>
      </w:pPr>
      <w:r w:rsidRPr="006B170C">
        <w:rPr>
          <w:color w:val="222222"/>
          <w:szCs w:val="24"/>
          <w:shd w:val="clear" w:color="auto" w:fill="FFFFFF"/>
        </w:rPr>
        <w:t>MAIORES, Melhores e. </w:t>
      </w:r>
      <w:r w:rsidRPr="006B170C">
        <w:rPr>
          <w:b/>
          <w:bCs/>
          <w:color w:val="222222"/>
          <w:szCs w:val="24"/>
          <w:shd w:val="clear" w:color="auto" w:fill="FFFFFF"/>
        </w:rPr>
        <w:t>Melhores e Maiores. </w:t>
      </w:r>
      <w:r w:rsidRPr="006B170C">
        <w:rPr>
          <w:color w:val="222222"/>
          <w:szCs w:val="24"/>
          <w:shd w:val="clear" w:color="auto" w:fill="FFFFFF"/>
        </w:rPr>
        <w:t>2015. Disponível em: &lt;http://exame.abril.com.br/negocios/melhores-e-maiores/2014/&gt;. Acesso em: 29 jun. 2016.</w:t>
      </w:r>
    </w:p>
    <w:p w:rsidR="00720B86" w:rsidRPr="006B170C" w:rsidRDefault="00720B86" w:rsidP="00720B86">
      <w:pPr>
        <w:pStyle w:val="Corpodetexto"/>
        <w:tabs>
          <w:tab w:val="num" w:pos="426"/>
        </w:tabs>
        <w:ind w:firstLine="0"/>
        <w:rPr>
          <w:color w:val="222222"/>
          <w:szCs w:val="24"/>
          <w:shd w:val="clear" w:color="auto" w:fill="FFFFFF"/>
        </w:rPr>
      </w:pPr>
      <w:r w:rsidRPr="006B170C">
        <w:rPr>
          <w:color w:val="222222"/>
          <w:szCs w:val="24"/>
          <w:shd w:val="clear" w:color="auto" w:fill="FFFFFF"/>
        </w:rPr>
        <w:t>MARION, José Carlos. </w:t>
      </w:r>
      <w:r w:rsidRPr="006B170C">
        <w:rPr>
          <w:b/>
          <w:bCs/>
          <w:color w:val="222222"/>
          <w:szCs w:val="24"/>
          <w:shd w:val="clear" w:color="auto" w:fill="FFFFFF"/>
        </w:rPr>
        <w:t>Contabilidade Empresarial. </w:t>
      </w:r>
      <w:r w:rsidRPr="006B170C">
        <w:rPr>
          <w:color w:val="222222"/>
          <w:szCs w:val="24"/>
          <w:shd w:val="clear" w:color="auto" w:fill="FFFFFF"/>
        </w:rPr>
        <w:t>13. ed. São Paulo: Atlas S.A., 2007. 502 p.</w:t>
      </w:r>
    </w:p>
    <w:p w:rsidR="00720B86" w:rsidRPr="006B170C" w:rsidRDefault="00720B86" w:rsidP="00720B86">
      <w:pPr>
        <w:pStyle w:val="Corpodetexto"/>
        <w:tabs>
          <w:tab w:val="num" w:pos="426"/>
        </w:tabs>
        <w:ind w:firstLine="0"/>
        <w:rPr>
          <w:szCs w:val="24"/>
        </w:rPr>
      </w:pPr>
      <w:r w:rsidRPr="006B170C">
        <w:rPr>
          <w:szCs w:val="24"/>
        </w:rPr>
        <w:t xml:space="preserve">MARTINS, Roberto Antonio; COSTA NETO, Pedro Luiz de Oliveira. </w:t>
      </w:r>
      <w:r w:rsidRPr="006B170C">
        <w:rPr>
          <w:b/>
          <w:szCs w:val="24"/>
        </w:rPr>
        <w:t xml:space="preserve">Indicadores de desempenho para a gestão pela qualidade total: uma proposta de sistematização. </w:t>
      </w:r>
      <w:r w:rsidRPr="006B170C">
        <w:rPr>
          <w:bCs/>
          <w:szCs w:val="24"/>
        </w:rPr>
        <w:t>Gestão &amp; Produção</w:t>
      </w:r>
      <w:r w:rsidRPr="006B170C">
        <w:rPr>
          <w:szCs w:val="24"/>
        </w:rPr>
        <w:t>, v. 5, n. 3, p. 298-311, 1998.</w:t>
      </w:r>
    </w:p>
    <w:p w:rsidR="00720B86" w:rsidRPr="006B170C" w:rsidRDefault="00720B86" w:rsidP="00720B86">
      <w:pPr>
        <w:pStyle w:val="Corpodetexto"/>
        <w:tabs>
          <w:tab w:val="num" w:pos="426"/>
        </w:tabs>
        <w:ind w:firstLine="0"/>
        <w:rPr>
          <w:szCs w:val="24"/>
        </w:rPr>
      </w:pPr>
      <w:r w:rsidRPr="006B170C">
        <w:rPr>
          <w:szCs w:val="24"/>
        </w:rPr>
        <w:t xml:space="preserve">MELLO, João Carlos Correia Baptista Soares; MEZA, Lidia Ângulo; GOMES, Eliane Gonçalves; SERAPIÃO, Bruno Pessoa; LINS, Marcos Pereira Estellita. </w:t>
      </w:r>
      <w:r w:rsidRPr="006B170C">
        <w:rPr>
          <w:b/>
          <w:szCs w:val="24"/>
        </w:rPr>
        <w:t>Análise de envoltória de dados no estudo da eficiência e dos benchmarks para companhias aéreas brasileiras</w:t>
      </w:r>
      <w:r w:rsidRPr="006B170C">
        <w:rPr>
          <w:szCs w:val="24"/>
        </w:rPr>
        <w:t xml:space="preserve">. </w:t>
      </w:r>
      <w:r w:rsidRPr="006B170C">
        <w:rPr>
          <w:bCs/>
          <w:szCs w:val="24"/>
        </w:rPr>
        <w:t>Pesquisa Operacional</w:t>
      </w:r>
      <w:r w:rsidRPr="006B170C">
        <w:rPr>
          <w:szCs w:val="24"/>
        </w:rPr>
        <w:t>, v. 23, n. 2, p. 325-345, 2003.</w:t>
      </w:r>
    </w:p>
    <w:p w:rsidR="00720B86" w:rsidRPr="006B170C" w:rsidRDefault="00720B86" w:rsidP="00720B86">
      <w:pPr>
        <w:pStyle w:val="Corpodetexto"/>
        <w:tabs>
          <w:tab w:val="num" w:pos="426"/>
        </w:tabs>
        <w:ind w:firstLine="0"/>
        <w:rPr>
          <w:szCs w:val="24"/>
        </w:rPr>
      </w:pPr>
      <w:r w:rsidRPr="006B170C">
        <w:rPr>
          <w:szCs w:val="24"/>
        </w:rPr>
        <w:t>MELHORES e Maiores. Exame, 398 p. 2015.  </w:t>
      </w:r>
    </w:p>
    <w:p w:rsidR="00720B86" w:rsidRPr="006B170C" w:rsidRDefault="00720B86" w:rsidP="00720B86">
      <w:pPr>
        <w:pStyle w:val="Corpodetexto"/>
        <w:tabs>
          <w:tab w:val="num" w:pos="567"/>
        </w:tabs>
        <w:ind w:firstLine="0"/>
        <w:rPr>
          <w:szCs w:val="24"/>
        </w:rPr>
      </w:pPr>
      <w:r w:rsidRPr="006B170C">
        <w:rPr>
          <w:szCs w:val="24"/>
        </w:rPr>
        <w:t xml:space="preserve">MEZA, Lidia Ângulo; NETO, Luiz Biondi; MELLO, João Carlos Correia Baptista Soares de; GOMES, Eliane Gonçalves; COELHO, Pedro Henrique Gouvêia. </w:t>
      </w:r>
      <w:r w:rsidRPr="006B170C">
        <w:rPr>
          <w:b/>
          <w:szCs w:val="24"/>
        </w:rPr>
        <w:t xml:space="preserve">SIAD–Sistema Integrado de Apoio à Decisão: </w:t>
      </w:r>
      <w:r w:rsidRPr="006B170C">
        <w:rPr>
          <w:szCs w:val="24"/>
        </w:rPr>
        <w:t xml:space="preserve">uma implementação computacional de modelos de análise de envoltória de dados. </w:t>
      </w:r>
      <w:r w:rsidRPr="006B170C">
        <w:rPr>
          <w:bCs/>
          <w:szCs w:val="24"/>
        </w:rPr>
        <w:t>Simpósio de pesquisa operacional da marinha</w:t>
      </w:r>
      <w:r w:rsidRPr="006B170C">
        <w:rPr>
          <w:szCs w:val="24"/>
        </w:rPr>
        <w:t>, v. 6, p. 2003, 2003.</w:t>
      </w:r>
    </w:p>
    <w:p w:rsidR="00720B86" w:rsidRPr="006B170C" w:rsidRDefault="00720B86" w:rsidP="00720B86">
      <w:pPr>
        <w:pStyle w:val="Corpodetexto"/>
        <w:ind w:firstLine="0"/>
        <w:rPr>
          <w:szCs w:val="24"/>
        </w:rPr>
      </w:pPr>
      <w:r w:rsidRPr="006B170C">
        <w:rPr>
          <w:szCs w:val="24"/>
        </w:rPr>
        <w:t xml:space="preserve">ONUSIC, Luciana Massaro; CASA NOVA, Silvia Pereira de Castro; ALMEIDA, Fernando Carvalho de. </w:t>
      </w:r>
      <w:r w:rsidRPr="006B170C">
        <w:rPr>
          <w:b/>
          <w:szCs w:val="24"/>
        </w:rPr>
        <w:t>Modelos de previsão de insolvência utilizando a análise por envoltória de dados:</w:t>
      </w:r>
      <w:r w:rsidRPr="006B170C">
        <w:rPr>
          <w:szCs w:val="24"/>
        </w:rPr>
        <w:t xml:space="preserve"> aplicação a empresas brasileiras. </w:t>
      </w:r>
      <w:r w:rsidRPr="006B170C">
        <w:rPr>
          <w:bCs/>
          <w:szCs w:val="24"/>
        </w:rPr>
        <w:t>Revista de Administração Contemporânea</w:t>
      </w:r>
      <w:r w:rsidRPr="006B170C">
        <w:rPr>
          <w:szCs w:val="24"/>
        </w:rPr>
        <w:t>, v. 11, n. SPE2, p. 77-97, 2007.</w:t>
      </w:r>
    </w:p>
    <w:p w:rsidR="00720B86" w:rsidRPr="006B170C" w:rsidRDefault="00720B86" w:rsidP="00720B86">
      <w:pPr>
        <w:pStyle w:val="Corpodetexto"/>
        <w:ind w:firstLine="0"/>
        <w:rPr>
          <w:szCs w:val="24"/>
        </w:rPr>
      </w:pPr>
      <w:r w:rsidRPr="006B170C">
        <w:rPr>
          <w:szCs w:val="24"/>
        </w:rPr>
        <w:t xml:space="preserve">PALVO, Guilherme. </w:t>
      </w:r>
      <w:r w:rsidRPr="006B170C">
        <w:rPr>
          <w:b/>
          <w:bCs/>
          <w:szCs w:val="24"/>
        </w:rPr>
        <w:t xml:space="preserve">Reestruturação Recente da Indústria Petroquímica: </w:t>
      </w:r>
      <w:r w:rsidRPr="006B170C">
        <w:rPr>
          <w:bCs/>
          <w:szCs w:val="24"/>
        </w:rPr>
        <w:t>análise Brasil-Mundo do processo de integração vertical.</w:t>
      </w:r>
      <w:r w:rsidRPr="006B170C">
        <w:rPr>
          <w:b/>
          <w:bCs/>
          <w:szCs w:val="24"/>
        </w:rPr>
        <w:t xml:space="preserve"> </w:t>
      </w:r>
      <w:r w:rsidRPr="006B170C">
        <w:rPr>
          <w:szCs w:val="24"/>
        </w:rPr>
        <w:t xml:space="preserve">2013. </w:t>
      </w:r>
      <w:smartTag w:uri="urn:schemas-microsoft-com:office:smarttags" w:element="metricconverter">
        <w:smartTagPr>
          <w:attr w:name="ProductID" w:val="163 f"/>
        </w:smartTagPr>
        <w:r w:rsidRPr="006B170C">
          <w:rPr>
            <w:szCs w:val="24"/>
          </w:rPr>
          <w:t>58 f</w:t>
        </w:r>
      </w:smartTag>
      <w:r w:rsidRPr="006B170C">
        <w:rPr>
          <w:szCs w:val="24"/>
        </w:rPr>
        <w:t>. TCC (Graduação) - Curso de Ciências e Letras, Departamento de Economia, Universidade Estadual Paulista, Araraquara, 2013.</w:t>
      </w:r>
    </w:p>
    <w:p w:rsidR="00720B86" w:rsidRPr="006B170C" w:rsidRDefault="00720B86" w:rsidP="00720B86">
      <w:pPr>
        <w:pStyle w:val="Corpodetexto"/>
        <w:ind w:firstLine="0"/>
        <w:rPr>
          <w:szCs w:val="24"/>
        </w:rPr>
      </w:pPr>
      <w:r w:rsidRPr="006B170C">
        <w:rPr>
          <w:szCs w:val="24"/>
        </w:rPr>
        <w:t xml:space="preserve">PÉRICO, Ana Elisa; REBELATTO Daisy Aparecida do Nascimento; SANTANA, Naja Brandão. </w:t>
      </w:r>
      <w:r w:rsidRPr="006B170C">
        <w:rPr>
          <w:b/>
          <w:szCs w:val="24"/>
        </w:rPr>
        <w:t>Eficiência Bancaria: os maiores bancos são os mais eficientes?</w:t>
      </w:r>
      <w:r w:rsidRPr="006B170C">
        <w:rPr>
          <w:szCs w:val="24"/>
        </w:rPr>
        <w:t xml:space="preserve"> Uma análise por envoltória de dados. </w:t>
      </w:r>
      <w:r w:rsidRPr="006B170C">
        <w:rPr>
          <w:bCs/>
          <w:szCs w:val="24"/>
        </w:rPr>
        <w:t>Gestão e Produção, São Carlos</w:t>
      </w:r>
      <w:r w:rsidRPr="006B170C">
        <w:rPr>
          <w:szCs w:val="24"/>
        </w:rPr>
        <w:t>, v. 15, n. 2, p. 421-431, 2008.</w:t>
      </w:r>
    </w:p>
    <w:p w:rsidR="00720B86" w:rsidRPr="006B170C" w:rsidRDefault="00720B86" w:rsidP="00720B86">
      <w:pPr>
        <w:pStyle w:val="Corpodetexto"/>
        <w:ind w:firstLine="0"/>
        <w:rPr>
          <w:szCs w:val="24"/>
        </w:rPr>
      </w:pPr>
      <w:r w:rsidRPr="006B170C">
        <w:rPr>
          <w:szCs w:val="24"/>
        </w:rPr>
        <w:t xml:space="preserve">REBELO, Sandra; MATIAS, Fernanda; CARRASCO, Paulo. </w:t>
      </w:r>
      <w:r w:rsidRPr="006B170C">
        <w:rPr>
          <w:b/>
          <w:szCs w:val="24"/>
        </w:rPr>
        <w:t xml:space="preserve">Aplicação da metodologia DEA na análise da eficiência do setor hoteleiro português: </w:t>
      </w:r>
      <w:r w:rsidRPr="006B170C">
        <w:rPr>
          <w:szCs w:val="24"/>
        </w:rPr>
        <w:t xml:space="preserve">uma análise aplicada às regiões portuguesas. </w:t>
      </w:r>
      <w:r w:rsidRPr="006B170C">
        <w:rPr>
          <w:bCs/>
          <w:szCs w:val="24"/>
        </w:rPr>
        <w:t>Tourism &amp; Management Studies</w:t>
      </w:r>
      <w:r w:rsidRPr="006B170C">
        <w:rPr>
          <w:szCs w:val="24"/>
        </w:rPr>
        <w:t>, v. 9, n. 2, p. 21-28, 2013.</w:t>
      </w:r>
    </w:p>
    <w:p w:rsidR="00720B86" w:rsidRPr="006B170C" w:rsidRDefault="00720B86" w:rsidP="00720B86">
      <w:pPr>
        <w:pStyle w:val="Corpodetexto"/>
        <w:tabs>
          <w:tab w:val="num" w:pos="426"/>
        </w:tabs>
        <w:ind w:firstLine="0"/>
        <w:rPr>
          <w:szCs w:val="24"/>
        </w:rPr>
      </w:pPr>
      <w:r w:rsidRPr="006B170C">
        <w:rPr>
          <w:szCs w:val="24"/>
        </w:rPr>
        <w:t xml:space="preserve">SANT’ANA, Camila Freitas; SILVA, Márcia Zanievicz; PADILHA, Daniel Fernando. </w:t>
      </w:r>
      <w:r w:rsidRPr="006B170C">
        <w:rPr>
          <w:b/>
          <w:szCs w:val="24"/>
        </w:rPr>
        <w:t>AVALIAÇÃO DA EFICIÊNCIA ECONÔMICO-FINANCEIRO DE HOSPITAIS UTILIZANDO A ANÁLISE ENVOLTÓRIA DE DADOS.</w:t>
      </w:r>
      <w:r w:rsidRPr="006B170C">
        <w:rPr>
          <w:szCs w:val="24"/>
        </w:rPr>
        <w:t xml:space="preserve"> </w:t>
      </w:r>
      <w:r w:rsidRPr="006B170C">
        <w:rPr>
          <w:bCs/>
          <w:szCs w:val="24"/>
        </w:rPr>
        <w:t>Contabilometria</w:t>
      </w:r>
      <w:r w:rsidRPr="006B170C">
        <w:rPr>
          <w:szCs w:val="24"/>
        </w:rPr>
        <w:t>, v. 3, n. 1, 2016.</w:t>
      </w:r>
    </w:p>
    <w:p w:rsidR="00720B86" w:rsidRPr="006B170C" w:rsidRDefault="00720B86" w:rsidP="00720B86">
      <w:pPr>
        <w:pStyle w:val="Corpodetexto"/>
        <w:tabs>
          <w:tab w:val="num" w:pos="426"/>
        </w:tabs>
        <w:ind w:firstLine="0"/>
        <w:rPr>
          <w:szCs w:val="24"/>
        </w:rPr>
      </w:pPr>
      <w:r w:rsidRPr="006B170C">
        <w:rPr>
          <w:szCs w:val="24"/>
        </w:rPr>
        <w:t xml:space="preserve">SCHUCH, Cristiano. </w:t>
      </w:r>
      <w:r w:rsidRPr="006B170C">
        <w:rPr>
          <w:b/>
          <w:szCs w:val="24"/>
        </w:rPr>
        <w:t>Análise</w:t>
      </w:r>
      <w:r w:rsidRPr="006B170C">
        <w:rPr>
          <w:szCs w:val="24"/>
        </w:rPr>
        <w:t xml:space="preserve"> </w:t>
      </w:r>
      <w:r w:rsidRPr="006B170C">
        <w:rPr>
          <w:b/>
          <w:szCs w:val="24"/>
        </w:rPr>
        <w:t xml:space="preserve">de indicadores voltados à tomada de decisão gerencial: </w:t>
      </w:r>
      <w:r w:rsidRPr="006B170C">
        <w:rPr>
          <w:szCs w:val="24"/>
        </w:rPr>
        <w:t xml:space="preserve">um </w:t>
      </w:r>
      <w:r w:rsidRPr="006B170C">
        <w:rPr>
          <w:szCs w:val="24"/>
        </w:rPr>
        <w:lastRenderedPageBreak/>
        <w:t>comparativo entre a teoria e a prática. 2001. Dissertação (Mestrado em Engenharia de Produção) – Escola de Engenharia, Universidade Federal do Rio Grande do Sul, Porto Alegre. 110 p.</w:t>
      </w:r>
    </w:p>
    <w:p w:rsidR="00720B86" w:rsidRPr="006B170C" w:rsidRDefault="00720B86" w:rsidP="00720B86">
      <w:pPr>
        <w:pStyle w:val="Corpodetexto"/>
        <w:ind w:firstLine="0"/>
        <w:rPr>
          <w:szCs w:val="24"/>
        </w:rPr>
      </w:pPr>
      <w:r w:rsidRPr="006B170C">
        <w:rPr>
          <w:szCs w:val="24"/>
        </w:rPr>
        <w:t xml:space="preserve">SILVA, Leonardo Bispo Lacerda da. </w:t>
      </w:r>
      <w:r w:rsidRPr="006B170C">
        <w:rPr>
          <w:b/>
          <w:bCs/>
          <w:szCs w:val="24"/>
        </w:rPr>
        <w:t xml:space="preserve">Reestruturação da Indústria Petroquímica no Brasil: </w:t>
      </w:r>
      <w:r w:rsidRPr="006B170C">
        <w:rPr>
          <w:bCs/>
          <w:szCs w:val="24"/>
        </w:rPr>
        <w:t>o caso do pólo Petroquímico de Camaçari</w:t>
      </w:r>
      <w:r w:rsidRPr="006B170C">
        <w:rPr>
          <w:b/>
          <w:bCs/>
          <w:szCs w:val="24"/>
        </w:rPr>
        <w:t xml:space="preserve">. </w:t>
      </w:r>
      <w:r w:rsidRPr="006B170C">
        <w:rPr>
          <w:szCs w:val="24"/>
        </w:rPr>
        <w:t xml:space="preserve">2009. </w:t>
      </w:r>
      <w:smartTag w:uri="urn:schemas-microsoft-com:office:smarttags" w:element="metricconverter">
        <w:smartTagPr>
          <w:attr w:name="ProductID" w:val="163 f"/>
        </w:smartTagPr>
        <w:r w:rsidRPr="006B170C">
          <w:rPr>
            <w:szCs w:val="24"/>
          </w:rPr>
          <w:t>47 f</w:t>
        </w:r>
      </w:smartTag>
      <w:r w:rsidRPr="006B170C">
        <w:rPr>
          <w:szCs w:val="24"/>
        </w:rPr>
        <w:t>. TCC (Graduação) - Curso de Ciências Econômicas, Universidade Federal da Bahia, Salvador, 2009.</w:t>
      </w:r>
    </w:p>
    <w:p w:rsidR="00720B86" w:rsidRPr="006B170C" w:rsidRDefault="00720B86" w:rsidP="00720B86">
      <w:pPr>
        <w:pStyle w:val="Default"/>
        <w:jc w:val="both"/>
      </w:pPr>
      <w:r w:rsidRPr="006B170C">
        <w:t xml:space="preserve">SILVA, Rafael Candido; SANTOS, Rodolfo Rocha; MACEDO, Marcelo Álvaro da Silva. </w:t>
      </w:r>
      <w:r w:rsidRPr="006B170C">
        <w:rPr>
          <w:b/>
        </w:rPr>
        <w:t xml:space="preserve">Análise do desempenho econômico-financeiro de Operadoras de plano de saúde no Brasil: </w:t>
      </w:r>
      <w:r w:rsidRPr="006B170C">
        <w:t>uma aplicação da análise envoltória por dados às informações dos anos de 2011 e 2012.</w:t>
      </w:r>
      <w:r w:rsidRPr="006B170C">
        <w:rPr>
          <w:b/>
        </w:rPr>
        <w:t xml:space="preserve"> </w:t>
      </w:r>
      <w:r w:rsidRPr="006B170C">
        <w:t>In: Congresso de Administração, Sociedade e Inovação, 2015, Volta Redonda-RJ.</w:t>
      </w:r>
    </w:p>
    <w:p w:rsidR="00720B86" w:rsidRPr="006B170C" w:rsidRDefault="00720B86" w:rsidP="00720B86">
      <w:pPr>
        <w:pStyle w:val="Corpodetexto"/>
        <w:tabs>
          <w:tab w:val="num" w:pos="426"/>
        </w:tabs>
        <w:ind w:firstLine="0"/>
        <w:rPr>
          <w:szCs w:val="24"/>
        </w:rPr>
      </w:pPr>
      <w:r w:rsidRPr="006B170C">
        <w:rPr>
          <w:szCs w:val="24"/>
        </w:rPr>
        <w:t xml:space="preserve">TORRES, Eduardo Mc Mannis. </w:t>
      </w:r>
      <w:r w:rsidRPr="006B170C">
        <w:rPr>
          <w:b/>
          <w:szCs w:val="24"/>
        </w:rPr>
        <w:t>A evolução da indústria petroquímica brasileira.</w:t>
      </w:r>
      <w:r w:rsidRPr="006B170C">
        <w:rPr>
          <w:szCs w:val="24"/>
        </w:rPr>
        <w:t xml:space="preserve"> </w:t>
      </w:r>
      <w:r w:rsidRPr="006B170C">
        <w:rPr>
          <w:bCs/>
          <w:szCs w:val="24"/>
        </w:rPr>
        <w:t>Química Nova</w:t>
      </w:r>
      <w:r w:rsidRPr="006B170C">
        <w:rPr>
          <w:szCs w:val="24"/>
        </w:rPr>
        <w:t>, v. 20, p. 49-54, 1997.</w:t>
      </w:r>
    </w:p>
    <w:p w:rsidR="00720B86" w:rsidRPr="006B170C" w:rsidRDefault="00720B86" w:rsidP="00720B86">
      <w:pPr>
        <w:pStyle w:val="Corpodetexto"/>
        <w:ind w:firstLine="0"/>
        <w:rPr>
          <w:szCs w:val="24"/>
        </w:rPr>
      </w:pPr>
      <w:r w:rsidRPr="006B170C">
        <w:rPr>
          <w:szCs w:val="24"/>
        </w:rPr>
        <w:t xml:space="preserve">VILELA, Dirley Lemos; NAGANO, Marcelo Seido; MERLO, Edgard Monforte. </w:t>
      </w:r>
      <w:r w:rsidRPr="006B170C">
        <w:rPr>
          <w:b/>
          <w:szCs w:val="24"/>
        </w:rPr>
        <w:t>Aplicação da análise envoltória de dados em cooperativas de crédito rural.</w:t>
      </w:r>
      <w:r w:rsidRPr="006B170C">
        <w:rPr>
          <w:szCs w:val="24"/>
        </w:rPr>
        <w:t xml:space="preserve"> </w:t>
      </w:r>
      <w:r w:rsidRPr="006B170C">
        <w:rPr>
          <w:bCs/>
          <w:szCs w:val="24"/>
        </w:rPr>
        <w:t>Revista de Administração Contemporânea</w:t>
      </w:r>
      <w:r w:rsidRPr="006B170C">
        <w:rPr>
          <w:szCs w:val="24"/>
        </w:rPr>
        <w:t>, v. 11, n. SPE2, p. 99-120, 2007.</w:t>
      </w:r>
    </w:p>
    <w:p w:rsidR="00720B86" w:rsidRPr="006B170C" w:rsidRDefault="00720B86" w:rsidP="00720B86">
      <w:pPr>
        <w:pStyle w:val="Corpodetexto"/>
        <w:ind w:firstLine="0"/>
        <w:rPr>
          <w:szCs w:val="24"/>
        </w:rPr>
      </w:pPr>
      <w:r w:rsidRPr="006B170C">
        <w:rPr>
          <w:szCs w:val="24"/>
        </w:rPr>
        <w:t xml:space="preserve">VON GILSA, Charles. </w:t>
      </w:r>
      <w:r w:rsidRPr="006B170C">
        <w:rPr>
          <w:b/>
          <w:bCs/>
          <w:szCs w:val="24"/>
        </w:rPr>
        <w:t xml:space="preserve">Avaliação Longitudinal da Eficiência e fator total de produtividade em uma empresa Petroquímica a partir da Análise Envoltória de Dados (DEA) e do Índice de Malmquist. </w:t>
      </w:r>
      <w:r w:rsidRPr="006B170C">
        <w:rPr>
          <w:szCs w:val="24"/>
        </w:rPr>
        <w:t xml:space="preserve">2012. </w:t>
      </w:r>
      <w:smartTag w:uri="urn:schemas-microsoft-com:office:smarttags" w:element="metricconverter">
        <w:smartTagPr>
          <w:attr w:name="ProductID" w:val="163 f"/>
        </w:smartTagPr>
        <w:r w:rsidRPr="006B170C">
          <w:rPr>
            <w:szCs w:val="24"/>
          </w:rPr>
          <w:t>163 f</w:t>
        </w:r>
      </w:smartTag>
      <w:r w:rsidRPr="006B170C">
        <w:rPr>
          <w:szCs w:val="24"/>
        </w:rPr>
        <w:t>. Dissertação (Mestrado) - Curso de Engenharia de Produção e Sistemas, Universidade do Vale do Rio dos Sinos, São Leopoldo, 2012.</w:t>
      </w:r>
    </w:p>
    <w:p w:rsidR="00720B86" w:rsidRPr="006B170C" w:rsidRDefault="00720B86" w:rsidP="00720B86">
      <w:pPr>
        <w:pStyle w:val="Corpodetexto"/>
        <w:ind w:firstLine="0"/>
        <w:rPr>
          <w:szCs w:val="24"/>
        </w:rPr>
      </w:pPr>
      <w:r w:rsidRPr="006B170C">
        <w:rPr>
          <w:szCs w:val="24"/>
        </w:rPr>
        <w:t xml:space="preserve">WONGTSCHOWSKI, Pedro. </w:t>
      </w:r>
      <w:r w:rsidRPr="006B170C">
        <w:rPr>
          <w:b/>
          <w:szCs w:val="24"/>
        </w:rPr>
        <w:t>Indústria química</w:t>
      </w:r>
      <w:r w:rsidRPr="006B170C">
        <w:rPr>
          <w:szCs w:val="24"/>
        </w:rPr>
        <w:t xml:space="preserve">. </w:t>
      </w:r>
      <w:r w:rsidRPr="006B170C">
        <w:rPr>
          <w:bCs/>
          <w:szCs w:val="24"/>
        </w:rPr>
        <w:t>Ed. Edgard Blücher</w:t>
      </w:r>
      <w:r w:rsidRPr="006B170C">
        <w:rPr>
          <w:szCs w:val="24"/>
        </w:rPr>
        <w:t>, 2011.</w:t>
      </w:r>
    </w:p>
    <w:p w:rsidR="00EC6EDB" w:rsidRPr="00EC6EDB" w:rsidRDefault="00EC6EDB" w:rsidP="00E24E18"/>
    <w:sectPr w:rsidR="00EC6EDB" w:rsidRPr="00EC6EDB" w:rsidSect="004251EF">
      <w:pgSz w:w="12240" w:h="15840" w:code="119"/>
      <w:pgMar w:top="1701" w:right="1134" w:bottom="1134" w:left="1701" w:header="142" w:footer="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391" w:rsidRDefault="003C6391" w:rsidP="005840EF">
      <w:r>
        <w:separator/>
      </w:r>
    </w:p>
  </w:endnote>
  <w:endnote w:type="continuationSeparator" w:id="0">
    <w:p w:rsidR="003C6391" w:rsidRDefault="003C6391"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B59" w:rsidRPr="00F05FBB" w:rsidRDefault="00332B59"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9174A0">
      <w:rPr>
        <w:noProof/>
        <w:sz w:val="20"/>
      </w:rPr>
      <w:t>1</w:t>
    </w:r>
    <w:r w:rsidRPr="00F05FBB">
      <w:rPr>
        <w:sz w:val="20"/>
      </w:rPr>
      <w:fldChar w:fldCharType="end"/>
    </w:r>
  </w:p>
  <w:p w:rsidR="00332B59" w:rsidRPr="00862FD2" w:rsidRDefault="00332B59" w:rsidP="00A80641">
    <w:pPr>
      <w:pStyle w:val="Rodap"/>
      <w:ind w:firstLine="0"/>
    </w:pPr>
    <w:r w:rsidRPr="000406C1">
      <w:rPr>
        <w:sz w:val="20"/>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6" type="#_x0000_t75" style="width:442.5pt;height:97.5pt;visibility:visible">
          <v:imagedata r:id="rId1" o:title="Agende-se" cropbottom="6372f"/>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391" w:rsidRDefault="003C6391" w:rsidP="005840EF">
      <w:r>
        <w:separator/>
      </w:r>
    </w:p>
  </w:footnote>
  <w:footnote w:type="continuationSeparator" w:id="0">
    <w:p w:rsidR="003C6391" w:rsidRDefault="003C6391"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B59" w:rsidRPr="004251EF" w:rsidRDefault="00332B59" w:rsidP="00A80641">
    <w:pPr>
      <w:pStyle w:val="Cabealho"/>
      <w:ind w:firstLine="0"/>
    </w:pPr>
    <w:r>
      <w:rPr>
        <w:noProof/>
      </w:rPr>
      <w:pict>
        <v:shapetype id="_x0000_t32" coordsize="21600,21600" o:spt="32" o:oned="t" path="m,l21600,21600e" filled="f">
          <v:path arrowok="t" fillok="f" o:connecttype="none"/>
          <o:lock v:ext="edit" shapetype="t"/>
        </v:shapetype>
        <v:shape id="_x0000_s2050" type="#_x0000_t32" style="position:absolute;left:0;text-align:left;margin-left:-15.3pt;margin-top:126.4pt;width:508.5pt;height:0;z-index:1" o:connectortype="straight">
          <v:shadow type="perspective" color="#7f7f7f" opacity=".5" offset="1pt" offset2="-1pt"/>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126.75pt">
          <v:imagedata r:id="rId1" o:title="capa faceboo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2917D1D"/>
    <w:multiLevelType w:val="hybridMultilevel"/>
    <w:tmpl w:val="F0EC33BA"/>
    <w:lvl w:ilvl="0">
      <w:start w:val="1"/>
      <w:numFmt w:val="lowerLetter"/>
      <w:lvlText w:val="%1)"/>
      <w:lvlJc w:val="left"/>
      <w:pPr>
        <w:tabs>
          <w:tab w:val="num" w:pos="360"/>
        </w:tabs>
        <w:ind w:left="360" w:hanging="360"/>
      </w:pPr>
      <w:rPr>
        <w:rFonts w:hint="default"/>
        <w:b/>
        <w:i w:val="0"/>
        <w:color w:val="000000"/>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0"/>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1" fill="f" fillcolor="white" stroke="f">
      <v:fill color="white" on="f"/>
      <v:stroke on="f"/>
    </o:shapedefaults>
    <o:shapelayout v:ext="edit">
      <o:idmap v:ext="edit" data="2"/>
      <o:rules v:ext="edit">
        <o:r id="V:Rule1" type="connector" idref="#_x0000_s2050"/>
      </o:rules>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340F"/>
    <w:rsid w:val="000011A2"/>
    <w:rsid w:val="00021054"/>
    <w:rsid w:val="0006261D"/>
    <w:rsid w:val="000720BF"/>
    <w:rsid w:val="000F0530"/>
    <w:rsid w:val="0013485B"/>
    <w:rsid w:val="001457BE"/>
    <w:rsid w:val="0020354A"/>
    <w:rsid w:val="002056D7"/>
    <w:rsid w:val="00244401"/>
    <w:rsid w:val="00244C0A"/>
    <w:rsid w:val="00255DB4"/>
    <w:rsid w:val="00263CEF"/>
    <w:rsid w:val="002826C0"/>
    <w:rsid w:val="002B78FC"/>
    <w:rsid w:val="002C7235"/>
    <w:rsid w:val="00303C6F"/>
    <w:rsid w:val="00332B59"/>
    <w:rsid w:val="00371DFF"/>
    <w:rsid w:val="003923C3"/>
    <w:rsid w:val="00395244"/>
    <w:rsid w:val="003A3639"/>
    <w:rsid w:val="003C6391"/>
    <w:rsid w:val="00406C08"/>
    <w:rsid w:val="00423365"/>
    <w:rsid w:val="004251EF"/>
    <w:rsid w:val="00472EE1"/>
    <w:rsid w:val="0048579A"/>
    <w:rsid w:val="0049262F"/>
    <w:rsid w:val="00523BAB"/>
    <w:rsid w:val="00531A76"/>
    <w:rsid w:val="005324D7"/>
    <w:rsid w:val="0055088A"/>
    <w:rsid w:val="005840EF"/>
    <w:rsid w:val="005D0785"/>
    <w:rsid w:val="005D711E"/>
    <w:rsid w:val="00606F36"/>
    <w:rsid w:val="00633934"/>
    <w:rsid w:val="006750E6"/>
    <w:rsid w:val="00683BE5"/>
    <w:rsid w:val="0069442F"/>
    <w:rsid w:val="006A5AB4"/>
    <w:rsid w:val="006B170C"/>
    <w:rsid w:val="006C284A"/>
    <w:rsid w:val="006C78F0"/>
    <w:rsid w:val="006D02CA"/>
    <w:rsid w:val="006D340F"/>
    <w:rsid w:val="00710D8D"/>
    <w:rsid w:val="00714245"/>
    <w:rsid w:val="00720B86"/>
    <w:rsid w:val="00795577"/>
    <w:rsid w:val="007C0C2C"/>
    <w:rsid w:val="007C3C0A"/>
    <w:rsid w:val="007D5372"/>
    <w:rsid w:val="007E60F7"/>
    <w:rsid w:val="007F1447"/>
    <w:rsid w:val="00820B93"/>
    <w:rsid w:val="00862FD2"/>
    <w:rsid w:val="00865A23"/>
    <w:rsid w:val="00866591"/>
    <w:rsid w:val="008902BE"/>
    <w:rsid w:val="008B21BE"/>
    <w:rsid w:val="008F1B7C"/>
    <w:rsid w:val="008F67F7"/>
    <w:rsid w:val="009174A0"/>
    <w:rsid w:val="0092413C"/>
    <w:rsid w:val="00943459"/>
    <w:rsid w:val="00952306"/>
    <w:rsid w:val="009724D8"/>
    <w:rsid w:val="009976D2"/>
    <w:rsid w:val="009B11E7"/>
    <w:rsid w:val="009B3488"/>
    <w:rsid w:val="009C7DFA"/>
    <w:rsid w:val="009D68AF"/>
    <w:rsid w:val="00A01395"/>
    <w:rsid w:val="00A16D53"/>
    <w:rsid w:val="00A4455A"/>
    <w:rsid w:val="00A76A94"/>
    <w:rsid w:val="00A80641"/>
    <w:rsid w:val="00AB5527"/>
    <w:rsid w:val="00AC7E25"/>
    <w:rsid w:val="00AE19AB"/>
    <w:rsid w:val="00B12485"/>
    <w:rsid w:val="00B169EE"/>
    <w:rsid w:val="00B25FFE"/>
    <w:rsid w:val="00B801AB"/>
    <w:rsid w:val="00C01F1F"/>
    <w:rsid w:val="00C11A88"/>
    <w:rsid w:val="00C22A7A"/>
    <w:rsid w:val="00C575E7"/>
    <w:rsid w:val="00C671EC"/>
    <w:rsid w:val="00C84F71"/>
    <w:rsid w:val="00CF0D35"/>
    <w:rsid w:val="00D2342D"/>
    <w:rsid w:val="00D30C61"/>
    <w:rsid w:val="00D86B5F"/>
    <w:rsid w:val="00D94E67"/>
    <w:rsid w:val="00DA5E5B"/>
    <w:rsid w:val="00DE1E14"/>
    <w:rsid w:val="00DE5C22"/>
    <w:rsid w:val="00DE631D"/>
    <w:rsid w:val="00DE75F7"/>
    <w:rsid w:val="00E1786F"/>
    <w:rsid w:val="00E24E18"/>
    <w:rsid w:val="00E85A50"/>
    <w:rsid w:val="00E94A5E"/>
    <w:rsid w:val="00EC6EDB"/>
    <w:rsid w:val="00ED6578"/>
    <w:rsid w:val="00EF213A"/>
    <w:rsid w:val="00EF58C6"/>
    <w:rsid w:val="00F05FBB"/>
    <w:rsid w:val="00F56531"/>
    <w:rsid w:val="00F70D09"/>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1" fill="f" fillcolor="white" stroke="f">
      <v:fill color="white" on="f"/>
      <v:stroke on="f"/>
    </o:shapedefaults>
    <o:shapelayout v:ext="edit">
      <o:idmap v:ext="edit" data="1"/>
    </o:shapelayout>
  </w:shapeDefaults>
  <w:decimalSymbol w:val=","/>
  <w:listSeparator w:val=";"/>
  <w15:chartTrackingRefBased/>
  <w15:docId w15:val="{FFBB4A72-62F2-4EA7-AC57-A4236AFC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TextosemFormatao">
    <w:name w:val="Plain Text"/>
    <w:basedOn w:val="Normal"/>
    <w:link w:val="TextosemFormataoChar"/>
    <w:uiPriority w:val="99"/>
    <w:rsid w:val="00C575E7"/>
    <w:pPr>
      <w:widowControl/>
      <w:suppressLineNumbers w:val="0"/>
      <w:suppressAutoHyphens w:val="0"/>
      <w:overflowPunct w:val="0"/>
      <w:autoSpaceDE w:val="0"/>
      <w:autoSpaceDN w:val="0"/>
      <w:adjustRightInd w:val="0"/>
      <w:ind w:firstLine="0"/>
      <w:jc w:val="left"/>
      <w:textAlignment w:val="baseline"/>
    </w:pPr>
    <w:rPr>
      <w:rFonts w:ascii="Courier New" w:hAnsi="Courier New"/>
      <w:sz w:val="20"/>
    </w:rPr>
  </w:style>
  <w:style w:type="character" w:customStyle="1" w:styleId="TextosemFormataoChar">
    <w:name w:val="Texto sem Formatação Char"/>
    <w:link w:val="TextosemFormatao"/>
    <w:uiPriority w:val="99"/>
    <w:rsid w:val="00C575E7"/>
    <w:rPr>
      <w:rFonts w:ascii="Courier New" w:hAnsi="Courier New"/>
    </w:rPr>
  </w:style>
  <w:style w:type="paragraph" w:styleId="Corpodetexto">
    <w:name w:val="Body Text"/>
    <w:basedOn w:val="Normal"/>
    <w:link w:val="CorpodetextoChar"/>
    <w:uiPriority w:val="99"/>
    <w:unhideWhenUsed/>
    <w:rsid w:val="00C575E7"/>
    <w:pPr>
      <w:spacing w:after="120"/>
    </w:pPr>
  </w:style>
  <w:style w:type="character" w:customStyle="1" w:styleId="CorpodetextoChar">
    <w:name w:val="Corpo de texto Char"/>
    <w:link w:val="Corpodetexto"/>
    <w:uiPriority w:val="99"/>
    <w:rsid w:val="00C575E7"/>
    <w:rPr>
      <w:sz w:val="24"/>
    </w:rPr>
  </w:style>
  <w:style w:type="paragraph" w:customStyle="1" w:styleId="Default">
    <w:name w:val="Default"/>
    <w:uiPriority w:val="99"/>
    <w:rsid w:val="00720B8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62200-C4C2-4CF8-A3EA-67B3DA9BB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5116</Words>
  <Characters>27627</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À</vt:lpstr>
    </vt:vector>
  </TitlesOfParts>
  <Company>FIA</Company>
  <LinksUpToDate>false</LinksUpToDate>
  <CharactersWithSpaces>32678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subject/>
  <dc:creator>PACTO FIA</dc:creator>
  <cp:keywords/>
  <cp:lastModifiedBy>José Luiz Schmitz</cp:lastModifiedBy>
  <cp:revision>3</cp:revision>
  <cp:lastPrinted>2016-08-30T16:57:00Z</cp:lastPrinted>
  <dcterms:created xsi:type="dcterms:W3CDTF">2016-09-10T17:54:00Z</dcterms:created>
  <dcterms:modified xsi:type="dcterms:W3CDTF">2016-09-10T17:54:00Z</dcterms:modified>
</cp:coreProperties>
</file>