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641" w:rsidRDefault="00A80641" w:rsidP="002826C0">
      <w:pPr>
        <w:jc w:val="center"/>
        <w:rPr>
          <w:b/>
        </w:rPr>
      </w:pPr>
    </w:p>
    <w:p w:rsidR="002826C0" w:rsidRPr="00F05FBB" w:rsidRDefault="00682E1C" w:rsidP="002826C0">
      <w:pPr>
        <w:jc w:val="center"/>
        <w:rPr>
          <w:b/>
        </w:rPr>
      </w:pPr>
      <w:r w:rsidRPr="00682E1C">
        <w:rPr>
          <w:b/>
          <w:bCs/>
        </w:rPr>
        <w:t>RECONHECIMENTO DOS ATIVOS INTANGÍVEIS NAS COMBINAÇÕES DE NEGÓCIOS: UMA ANÁLISE NAS CARACTERÍSTICAS DAS COMPANHIAS DE CAPITAL ABERTO BRASILEIRAS NO PERÍODO ENTRE 2012 E 2014</w:t>
      </w:r>
    </w:p>
    <w:p w:rsidR="002826C0" w:rsidRDefault="002826C0" w:rsidP="002826C0">
      <w:pPr>
        <w:jc w:val="center"/>
        <w:rPr>
          <w:color w:val="999999"/>
        </w:rPr>
      </w:pPr>
    </w:p>
    <w:p w:rsidR="002826C0" w:rsidRDefault="002826C0" w:rsidP="002826C0">
      <w:pPr>
        <w:rPr>
          <w:color w:val="999999"/>
        </w:rPr>
      </w:pPr>
    </w:p>
    <w:p w:rsidR="002826C0" w:rsidRPr="00244C0A" w:rsidRDefault="002E2FED" w:rsidP="002826C0">
      <w:pPr>
        <w:jc w:val="center"/>
        <w:rPr>
          <w:b/>
          <w:szCs w:val="24"/>
        </w:rPr>
      </w:pPr>
      <w:r>
        <w:rPr>
          <w:b/>
          <w:szCs w:val="24"/>
        </w:rPr>
        <w:t>Juliana Cordeiro Campodonio Eloy</w:t>
      </w:r>
    </w:p>
    <w:p w:rsidR="002826C0" w:rsidRPr="008339A4" w:rsidRDefault="002E2FED" w:rsidP="002826C0">
      <w:pPr>
        <w:jc w:val="center"/>
        <w:rPr>
          <w:szCs w:val="24"/>
        </w:rPr>
      </w:pPr>
      <w:r>
        <w:rPr>
          <w:szCs w:val="24"/>
        </w:rPr>
        <w:t>Universidade Federal de Santa Catarina</w:t>
      </w:r>
      <w:r w:rsidR="002826C0" w:rsidRPr="008339A4">
        <w:rPr>
          <w:szCs w:val="24"/>
        </w:rPr>
        <w:t xml:space="preserve"> (</w:t>
      </w:r>
      <w:r>
        <w:rPr>
          <w:szCs w:val="24"/>
        </w:rPr>
        <w:t>UFSC</w:t>
      </w:r>
      <w:r w:rsidR="002826C0" w:rsidRPr="008339A4">
        <w:rPr>
          <w:szCs w:val="24"/>
        </w:rPr>
        <w:t>)</w:t>
      </w:r>
    </w:p>
    <w:p w:rsidR="002826C0" w:rsidRPr="008339A4" w:rsidRDefault="002E2FED" w:rsidP="002E2FED">
      <w:pPr>
        <w:jc w:val="center"/>
        <w:rPr>
          <w:i/>
          <w:szCs w:val="24"/>
        </w:rPr>
      </w:pPr>
      <w:r>
        <w:rPr>
          <w:i/>
          <w:szCs w:val="24"/>
        </w:rPr>
        <w:t>juh.eloy@gmail.com</w:t>
      </w:r>
    </w:p>
    <w:p w:rsidR="002826C0" w:rsidRPr="00244C0A" w:rsidRDefault="002826C0" w:rsidP="002826C0">
      <w:pPr>
        <w:jc w:val="center"/>
        <w:rPr>
          <w:b/>
          <w:szCs w:val="24"/>
        </w:rPr>
      </w:pPr>
    </w:p>
    <w:p w:rsidR="002826C0" w:rsidRPr="00244C0A" w:rsidRDefault="002E2FED" w:rsidP="002826C0">
      <w:pPr>
        <w:jc w:val="center"/>
        <w:rPr>
          <w:b/>
          <w:szCs w:val="24"/>
        </w:rPr>
      </w:pPr>
      <w:r>
        <w:rPr>
          <w:b/>
          <w:szCs w:val="24"/>
        </w:rPr>
        <w:t>Maíra Melo de Souza</w:t>
      </w:r>
    </w:p>
    <w:p w:rsidR="002E2FED" w:rsidRPr="008339A4" w:rsidRDefault="002E2FED" w:rsidP="002E2FED">
      <w:pPr>
        <w:jc w:val="center"/>
        <w:rPr>
          <w:szCs w:val="24"/>
        </w:rPr>
      </w:pPr>
      <w:r>
        <w:rPr>
          <w:szCs w:val="24"/>
        </w:rPr>
        <w:t>Universidade Federal de Santa Catarina</w:t>
      </w:r>
      <w:r w:rsidRPr="008339A4">
        <w:rPr>
          <w:szCs w:val="24"/>
        </w:rPr>
        <w:t xml:space="preserve"> (</w:t>
      </w:r>
      <w:r>
        <w:rPr>
          <w:szCs w:val="24"/>
        </w:rPr>
        <w:t>UFSC</w:t>
      </w:r>
      <w:r w:rsidRPr="008339A4">
        <w:rPr>
          <w:szCs w:val="24"/>
        </w:rPr>
        <w:t>)</w:t>
      </w:r>
    </w:p>
    <w:p w:rsidR="002826C0" w:rsidRPr="008339A4" w:rsidRDefault="00C7513F" w:rsidP="002826C0">
      <w:pPr>
        <w:jc w:val="center"/>
        <w:rPr>
          <w:i/>
          <w:szCs w:val="24"/>
        </w:rPr>
      </w:pPr>
      <w:r>
        <w:rPr>
          <w:i/>
          <w:szCs w:val="24"/>
        </w:rPr>
        <w:t>mairameloufsc@gmail.com</w:t>
      </w:r>
    </w:p>
    <w:p w:rsidR="002826C0" w:rsidRPr="00F05FBB" w:rsidRDefault="002826C0"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C7513F" w:rsidRPr="00C7513F" w:rsidRDefault="00C7513F" w:rsidP="00C7513F">
      <w:pPr>
        <w:ind w:firstLine="0"/>
        <w:rPr>
          <w:bCs/>
          <w:color w:val="000000"/>
          <w:szCs w:val="26"/>
        </w:rPr>
      </w:pPr>
      <w:r w:rsidRPr="00C7513F">
        <w:rPr>
          <w:color w:val="000000"/>
          <w:szCs w:val="26"/>
        </w:rPr>
        <w:t xml:space="preserve">Este estudo tem por objetivo </w:t>
      </w:r>
      <w:r w:rsidRPr="00C7513F">
        <w:rPr>
          <w:bCs/>
          <w:color w:val="000000"/>
          <w:szCs w:val="26"/>
        </w:rPr>
        <w:t>identificar as características dos ativos intangíveis reconhecidos nas combinações de negócios e sua relação com as características das companhias de capital aberto brasileiras no período entre 2012 e 2014.</w:t>
      </w:r>
      <w:r w:rsidRPr="00C7513F">
        <w:rPr>
          <w:color w:val="000000"/>
          <w:szCs w:val="26"/>
        </w:rPr>
        <w:t xml:space="preserve"> Para alcançar o objetivo da pesquisa foi elaborada uma lista de verificação com base no CPC 15 (R1) elencando as características dos ativos intangíveis adquiridos e também foram analisadas as seguintes características das companhias: proporção do </w:t>
      </w:r>
      <w:r w:rsidRPr="00C7513F">
        <w:rPr>
          <w:i/>
          <w:color w:val="000000"/>
          <w:szCs w:val="26"/>
        </w:rPr>
        <w:t>goodwill</w:t>
      </w:r>
      <w:r w:rsidRPr="00C7513F">
        <w:rPr>
          <w:color w:val="000000"/>
          <w:szCs w:val="26"/>
        </w:rPr>
        <w:t xml:space="preserve"> em relação à contraprestação, o índice de rentabilidade, se </w:t>
      </w:r>
      <w:r w:rsidRPr="00C7513F">
        <w:rPr>
          <w:bCs/>
          <w:color w:val="000000"/>
          <w:szCs w:val="26"/>
        </w:rPr>
        <w:t xml:space="preserve">negocia </w:t>
      </w:r>
      <w:r w:rsidRPr="00C7513F">
        <w:rPr>
          <w:bCs/>
          <w:i/>
          <w:color w:val="000000"/>
          <w:szCs w:val="26"/>
        </w:rPr>
        <w:t>American Depositary Receipt</w:t>
      </w:r>
      <w:r w:rsidRPr="00C7513F">
        <w:rPr>
          <w:bCs/>
          <w:color w:val="000000"/>
          <w:szCs w:val="26"/>
        </w:rPr>
        <w:t xml:space="preserve"> (ADRs) na </w:t>
      </w:r>
      <w:r w:rsidRPr="00C7513F">
        <w:rPr>
          <w:bCs/>
          <w:i/>
          <w:color w:val="000000"/>
          <w:szCs w:val="26"/>
        </w:rPr>
        <w:t>New York Stock Exchange</w:t>
      </w:r>
      <w:r w:rsidRPr="00C7513F">
        <w:rPr>
          <w:bCs/>
          <w:color w:val="000000"/>
          <w:szCs w:val="26"/>
        </w:rPr>
        <w:t xml:space="preserve"> (NYSE), nível de governança corporativa e o setor de atuação</w:t>
      </w:r>
      <w:r w:rsidRPr="00C7513F">
        <w:rPr>
          <w:color w:val="000000"/>
          <w:szCs w:val="26"/>
        </w:rPr>
        <w:t xml:space="preserve">. Em relação aos resultados, observou-se que na maior parte das combinações de negócios houve o reconhecimento do </w:t>
      </w:r>
      <w:r w:rsidRPr="00C7513F">
        <w:rPr>
          <w:i/>
          <w:color w:val="000000"/>
          <w:szCs w:val="26"/>
        </w:rPr>
        <w:t xml:space="preserve">goodwill, </w:t>
      </w:r>
      <w:r w:rsidRPr="00C7513F">
        <w:rPr>
          <w:color w:val="000000"/>
          <w:szCs w:val="26"/>
        </w:rPr>
        <w:t xml:space="preserve">o que sugere que existe uma tendência de não reconhecimento de intangíveis identificáveis nas combinações de negócios analisadas. Na maior parte das combinações de negócios não foram especificados os fatores que formam o </w:t>
      </w:r>
      <w:r w:rsidRPr="00C7513F">
        <w:rPr>
          <w:i/>
          <w:color w:val="000000"/>
          <w:szCs w:val="26"/>
        </w:rPr>
        <w:t>goodwill</w:t>
      </w:r>
      <w:r w:rsidRPr="00C7513F">
        <w:rPr>
          <w:color w:val="000000"/>
          <w:szCs w:val="26"/>
        </w:rPr>
        <w:t xml:space="preserve"> adquirido. Referente ao setor de atuação, o setor de Consumo cíclico foi o que apresentou o maior número de companhias dentre as que realizaram combinações de negócios no período analisado.</w:t>
      </w:r>
    </w:p>
    <w:p w:rsidR="002826C0" w:rsidRPr="00C7513F" w:rsidRDefault="002826C0" w:rsidP="002826C0">
      <w:pPr>
        <w:rPr>
          <w:b/>
          <w:szCs w:val="24"/>
        </w:rPr>
      </w:pPr>
    </w:p>
    <w:p w:rsidR="00C7513F" w:rsidRPr="00C7513F" w:rsidRDefault="002826C0" w:rsidP="00C7513F">
      <w:pPr>
        <w:ind w:firstLine="0"/>
        <w:rPr>
          <w:szCs w:val="24"/>
        </w:rPr>
      </w:pPr>
      <w:r w:rsidRPr="00D2342D">
        <w:rPr>
          <w:b/>
          <w:szCs w:val="24"/>
        </w:rPr>
        <w:t xml:space="preserve">Palavras-chave: </w:t>
      </w:r>
      <w:r w:rsidR="00C7513F" w:rsidRPr="00C7513F">
        <w:rPr>
          <w:szCs w:val="24"/>
        </w:rPr>
        <w:t xml:space="preserve">Ativos intangíveis identificáveis. </w:t>
      </w:r>
      <w:r w:rsidR="00C7513F" w:rsidRPr="00C7513F">
        <w:rPr>
          <w:i/>
          <w:szCs w:val="24"/>
        </w:rPr>
        <w:t>Goodwill</w:t>
      </w:r>
      <w:r w:rsidR="00C7513F" w:rsidRPr="00C7513F">
        <w:rPr>
          <w:szCs w:val="24"/>
        </w:rPr>
        <w:t>. Combinações de negócios.</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D46DEC">
        <w:rPr>
          <w:szCs w:val="24"/>
        </w:rPr>
        <w:t xml:space="preserve"> Evidenciação contábil (disclosure).</w:t>
      </w: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AA3FF4" w:rsidRDefault="00E24E18" w:rsidP="002056D7">
      <w:pPr>
        <w:pStyle w:val="Ttulo1"/>
      </w:pPr>
      <w:r w:rsidRPr="00AA3FF4">
        <w:lastRenderedPageBreak/>
        <w:t>INTRODUÇÃO</w:t>
      </w:r>
    </w:p>
    <w:p w:rsidR="00D46DEC" w:rsidRPr="00D46DEC" w:rsidRDefault="00D46DEC" w:rsidP="00AE3602">
      <w:pPr>
        <w:rPr>
          <w:color w:val="000000"/>
          <w:szCs w:val="26"/>
        </w:rPr>
      </w:pPr>
      <w:r w:rsidRPr="00D46DEC">
        <w:rPr>
          <w:color w:val="000000"/>
          <w:szCs w:val="26"/>
        </w:rPr>
        <w:t xml:space="preserve">Nos últimos anos, a maioria das entidades cotadas nas bolsas de valores do mundo vem apresentando uma acentuada diferença entre o seu valor econômico e o seu valor contábil. Essa diferença está vinculada à relevância que os ativos intangíveis vêm exercendo em relação aos ativos tangíveis na composição patrimonial das entidades </w:t>
      </w:r>
      <w:r w:rsidRPr="00D46DEC">
        <w:rPr>
          <w:bCs/>
          <w:color w:val="000000"/>
          <w:szCs w:val="26"/>
        </w:rPr>
        <w:t>(</w:t>
      </w:r>
      <w:r w:rsidRPr="00D46DEC">
        <w:rPr>
          <w:color w:val="000000"/>
          <w:szCs w:val="26"/>
        </w:rPr>
        <w:t xml:space="preserve">SCHMIDT; SANTOS, 2009). </w:t>
      </w:r>
    </w:p>
    <w:p w:rsidR="00D46DEC" w:rsidRPr="00D46DEC" w:rsidRDefault="00D46DEC" w:rsidP="00AE3602">
      <w:pPr>
        <w:rPr>
          <w:color w:val="000000"/>
          <w:szCs w:val="26"/>
        </w:rPr>
      </w:pPr>
      <w:r w:rsidRPr="00D46DEC">
        <w:rPr>
          <w:color w:val="000000"/>
          <w:szCs w:val="26"/>
        </w:rPr>
        <w:t>Nesse contexto estão inseridas as combinações de negócios, que são operações de reorganização societária mediante processos de aquisições, incorporações, fusões ou cisões, realizadas entre empresas ocorrendo transferência de controle de um ou mais negócios (NEVES, 2011). Essas operações contribuem de forma mais rápida para o crescimento de uma empresa, o ingresso em mercados ainda não explorados, ou ainda favorecer o lucro de alguns participantes sobre outros envolvidos (CAMARGOS; BARBOSA, 2003).</w:t>
      </w:r>
    </w:p>
    <w:p w:rsidR="00D46DEC" w:rsidRPr="00D46DEC" w:rsidRDefault="00D46DEC" w:rsidP="00AE3602">
      <w:pPr>
        <w:ind w:firstLine="708"/>
        <w:rPr>
          <w:color w:val="000000"/>
          <w:szCs w:val="26"/>
        </w:rPr>
      </w:pPr>
      <w:r w:rsidRPr="00D46DEC">
        <w:rPr>
          <w:color w:val="000000"/>
          <w:szCs w:val="26"/>
        </w:rPr>
        <w:t>Em algumas combinações de negócios o valor da contraprestação negociado entre as entidades envolvidas é superior ao valor justo dos ativos líquidos adquiridos. Essa diferença entre os valores corresponde aos ativos intangíveis reconhecidos nas combinações, os quais podem ser identificáveis ou não. O ativo intangível é conceituado pelo Pronunciamento Técnico CPC 04 (R1, 2010, p.6) como “um ativo não monetário identificável e sem substância física”. Como exemplos de ativos intangíveis têm-se as marcas, patentes, gastos com propaganda, reputação, imagem, etc.</w:t>
      </w:r>
    </w:p>
    <w:p w:rsidR="00D46DEC" w:rsidRPr="00D46DEC" w:rsidRDefault="00D46DEC" w:rsidP="00AE3602">
      <w:pPr>
        <w:ind w:firstLine="708"/>
        <w:rPr>
          <w:color w:val="000000"/>
          <w:szCs w:val="26"/>
        </w:rPr>
      </w:pPr>
      <w:r w:rsidRPr="00D46DEC">
        <w:rPr>
          <w:color w:val="000000"/>
          <w:szCs w:val="26"/>
        </w:rPr>
        <w:t>Conforme mencionado, a definição de ativo intangível exige que ele seja identificável, e para atender a este critério o ativo deve ser separável, ou seja, que possa ser negociado separadamente da entidade, ou deve resultar de direitos contratuais ou outros direitos legais. (CPC 15, R1, 2011).</w:t>
      </w:r>
    </w:p>
    <w:p w:rsidR="00D46DEC" w:rsidRPr="00D46DEC" w:rsidRDefault="00D46DEC" w:rsidP="00AE3602">
      <w:pPr>
        <w:ind w:firstLine="567"/>
        <w:rPr>
          <w:bCs/>
          <w:color w:val="000000"/>
          <w:szCs w:val="26"/>
        </w:rPr>
      </w:pPr>
      <w:r w:rsidRPr="00D46DEC">
        <w:rPr>
          <w:bCs/>
          <w:color w:val="000000"/>
          <w:szCs w:val="26"/>
        </w:rPr>
        <w:t xml:space="preserve">Na hipótese de o ativo adquirido não atender aos itens referentes à definição estabelecidos pela norma, este passa a fazer parte do </w:t>
      </w:r>
      <w:r w:rsidRPr="00D46DEC">
        <w:rPr>
          <w:bCs/>
          <w:i/>
          <w:color w:val="000000"/>
          <w:szCs w:val="26"/>
        </w:rPr>
        <w:t>goodwill,</w:t>
      </w:r>
      <w:r w:rsidRPr="00D46DEC">
        <w:rPr>
          <w:bCs/>
          <w:color w:val="000000"/>
          <w:szCs w:val="26"/>
        </w:rPr>
        <w:t xml:space="preserve"> </w:t>
      </w:r>
      <w:r w:rsidRPr="00D46DEC">
        <w:rPr>
          <w:color w:val="000000"/>
          <w:szCs w:val="26"/>
        </w:rPr>
        <w:t xml:space="preserve">o qual é conceituado pelo CPC 15 (R1, 2011, p.21) como “um ativo que representa benefícios econômicos futuros resultantes dos ativos adquiridos em combinação de negócios, os quais não são individualmente identificados e separadamente reconhecidos”. Desta maneira, o </w:t>
      </w:r>
      <w:r w:rsidRPr="00D46DEC">
        <w:rPr>
          <w:i/>
          <w:color w:val="000000"/>
          <w:szCs w:val="26"/>
        </w:rPr>
        <w:t xml:space="preserve">goodwill </w:t>
      </w:r>
      <w:r w:rsidRPr="00D46DEC">
        <w:rPr>
          <w:color w:val="000000"/>
          <w:szCs w:val="26"/>
        </w:rPr>
        <w:t>é um intangível não identificável.</w:t>
      </w:r>
    </w:p>
    <w:p w:rsidR="00D46DEC" w:rsidRPr="00D46DEC" w:rsidRDefault="00D46DEC" w:rsidP="00AE3602">
      <w:pPr>
        <w:ind w:firstLine="708"/>
        <w:rPr>
          <w:bCs/>
          <w:color w:val="000000"/>
          <w:szCs w:val="26"/>
        </w:rPr>
      </w:pPr>
      <w:r w:rsidRPr="00D46DEC">
        <w:rPr>
          <w:color w:val="000000"/>
          <w:szCs w:val="26"/>
        </w:rPr>
        <w:t xml:space="preserve">O </w:t>
      </w:r>
      <w:r w:rsidRPr="00D46DEC">
        <w:rPr>
          <w:i/>
          <w:color w:val="000000"/>
          <w:szCs w:val="26"/>
        </w:rPr>
        <w:t xml:space="preserve">goodwill </w:t>
      </w:r>
      <w:r w:rsidRPr="00D46DEC">
        <w:rPr>
          <w:color w:val="000000"/>
          <w:szCs w:val="26"/>
        </w:rPr>
        <w:t xml:space="preserve">adquirido nas combinações de negócios é tratado pela contabilidade como um resíduo, representando a diferença entre o valor líquido dos ativos e passivos avaliados a valor justo e o valor conferido ao negócio. Os ativos intangíveis não identificados, um sobrepreço e uma expectativa de rentabilidade futura são itens que estão inclusos ao valor do </w:t>
      </w:r>
      <w:r w:rsidRPr="00D46DEC">
        <w:rPr>
          <w:i/>
          <w:color w:val="000000"/>
          <w:szCs w:val="26"/>
        </w:rPr>
        <w:t>goodwill</w:t>
      </w:r>
      <w:r w:rsidRPr="00D46DEC">
        <w:rPr>
          <w:color w:val="000000"/>
          <w:szCs w:val="26"/>
        </w:rPr>
        <w:t>. (</w:t>
      </w:r>
      <w:r w:rsidRPr="00D46DEC">
        <w:rPr>
          <w:bCs/>
          <w:color w:val="000000"/>
          <w:szCs w:val="26"/>
        </w:rPr>
        <w:t xml:space="preserve">NAKAYAMA; SALOTTI, 2014). </w:t>
      </w:r>
    </w:p>
    <w:p w:rsidR="00D46DEC" w:rsidRPr="00D46DEC" w:rsidRDefault="00D46DEC" w:rsidP="00AE3602">
      <w:pPr>
        <w:ind w:firstLine="708"/>
        <w:rPr>
          <w:bCs/>
          <w:color w:val="000000"/>
          <w:szCs w:val="26"/>
        </w:rPr>
      </w:pPr>
      <w:r w:rsidRPr="00D46DEC">
        <w:rPr>
          <w:bCs/>
          <w:color w:val="000000"/>
          <w:szCs w:val="26"/>
        </w:rPr>
        <w:t xml:space="preserve">Nesse cenário surge a preocupação com a forma de como é realizado o reconhecimento dos ativos intangíveis adquiridos nas combinações de negócios, se há preocupação por parte das companhias na forma como são tratadas as informações contábeis desses ativos, e se os valores correspondem à realidade dos ativos intangíveis adquiridos. </w:t>
      </w:r>
    </w:p>
    <w:p w:rsidR="00D46DEC" w:rsidRPr="00D46DEC" w:rsidRDefault="00D46DEC" w:rsidP="00AE3602">
      <w:pPr>
        <w:ind w:firstLine="708"/>
        <w:rPr>
          <w:color w:val="000000"/>
          <w:szCs w:val="26"/>
        </w:rPr>
      </w:pPr>
      <w:r w:rsidRPr="00D46DEC">
        <w:rPr>
          <w:color w:val="000000"/>
          <w:szCs w:val="26"/>
        </w:rPr>
        <w:t>Diante do exposto, esse estudo apresenta o seguinte problema de pesquisa: Q</w:t>
      </w:r>
      <w:r w:rsidRPr="00D46DEC">
        <w:rPr>
          <w:bCs/>
          <w:color w:val="000000"/>
          <w:szCs w:val="26"/>
        </w:rPr>
        <w:t>uais as características dos ativos intangíveis</w:t>
      </w:r>
      <w:r w:rsidRPr="00D46DEC">
        <w:rPr>
          <w:bCs/>
          <w:i/>
          <w:color w:val="000000"/>
          <w:szCs w:val="26"/>
        </w:rPr>
        <w:t xml:space="preserve"> </w:t>
      </w:r>
      <w:r w:rsidRPr="00D46DEC">
        <w:rPr>
          <w:bCs/>
          <w:color w:val="000000"/>
          <w:szCs w:val="26"/>
        </w:rPr>
        <w:t xml:space="preserve">reconhecidos nas combinações de negócios das companhias </w:t>
      </w:r>
      <w:r w:rsidRPr="00D46DEC">
        <w:rPr>
          <w:bCs/>
          <w:color w:val="000000"/>
          <w:szCs w:val="26"/>
        </w:rPr>
        <w:lastRenderedPageBreak/>
        <w:t>de capital aberto brasileiras no período entre 2012 e 2014?</w:t>
      </w:r>
    </w:p>
    <w:p w:rsidR="00D46DEC" w:rsidRPr="00D46DEC" w:rsidRDefault="00D46DEC" w:rsidP="00AE3602">
      <w:pPr>
        <w:ind w:firstLine="567"/>
        <w:rPr>
          <w:bCs/>
          <w:color w:val="000000"/>
          <w:szCs w:val="26"/>
        </w:rPr>
      </w:pPr>
      <w:r w:rsidRPr="00D46DEC">
        <w:rPr>
          <w:bCs/>
          <w:color w:val="000000"/>
          <w:szCs w:val="26"/>
        </w:rPr>
        <w:t xml:space="preserve">Tendo em vista estes aspectos, o presente estudo tem por objetivo geral identificar as características dos ativos intangíveis reconhecidos nas combinações de negócios e sua relação com as características das companhias de capital aberto brasileiras no período entre 2012 e 2014. </w:t>
      </w:r>
    </w:p>
    <w:p w:rsidR="00D46DEC" w:rsidRDefault="00D46DEC" w:rsidP="00AE3602">
      <w:pPr>
        <w:ind w:firstLine="567"/>
        <w:rPr>
          <w:bCs/>
          <w:color w:val="000000"/>
          <w:szCs w:val="26"/>
        </w:rPr>
      </w:pPr>
      <w:r w:rsidRPr="00D46DEC">
        <w:rPr>
          <w:bCs/>
          <w:color w:val="000000"/>
          <w:szCs w:val="26"/>
        </w:rPr>
        <w:t>O estudo das características dos ativos intangíveis adquiridos é elementar para a contabilidade e áreas afins, pois apresentar as características dos ativos intangíveis, considerando a dificuldade existente no reconhecimento e mensuração desses ativos, é um desafio para as empresas envolvidas nas combinações de negócios e demais usuários da informação, visto que se espera que as entidades representem fidedignamente as informações referentes aos ativos intangíveis.</w:t>
      </w:r>
    </w:p>
    <w:p w:rsidR="00E24E18" w:rsidRDefault="00E24E18" w:rsidP="00AE3602">
      <w:pPr>
        <w:pStyle w:val="Ttulo1"/>
        <w:spacing w:before="0" w:after="0"/>
        <w:ind w:left="432" w:hanging="432"/>
        <w:rPr>
          <w:sz w:val="26"/>
          <w:szCs w:val="26"/>
          <w:lang w:val="pt-BR"/>
        </w:rPr>
      </w:pPr>
      <w:r w:rsidRPr="00AA3FF4">
        <w:rPr>
          <w:sz w:val="26"/>
          <w:szCs w:val="26"/>
        </w:rPr>
        <w:t>METODOLOGIA DA PESQUISA</w:t>
      </w:r>
    </w:p>
    <w:p w:rsidR="00E24E18" w:rsidRDefault="00E24E18" w:rsidP="00670CFF">
      <w:pPr>
        <w:pStyle w:val="Ttulo2"/>
        <w:ind w:left="426" w:hanging="435"/>
        <w:rPr>
          <w:lang w:val="pt-BR"/>
        </w:rPr>
      </w:pPr>
      <w:r w:rsidRPr="002056D7">
        <w:t>ENQUADRAMENTO METODOLÓGICO</w:t>
      </w:r>
    </w:p>
    <w:p w:rsidR="002C5FD4" w:rsidRPr="002C5FD4" w:rsidRDefault="002C5FD4" w:rsidP="00670CFF">
      <w:pPr>
        <w:ind w:firstLine="576"/>
        <w:rPr>
          <w:color w:val="000000"/>
          <w:szCs w:val="24"/>
        </w:rPr>
      </w:pPr>
      <w:r w:rsidRPr="002C5FD4">
        <w:rPr>
          <w:color w:val="000000"/>
          <w:szCs w:val="24"/>
        </w:rPr>
        <w:t>Quanto à natureza do objetivo, este trabalho possui um caráter descritivo. A abordagem do problema é qualitativa, visto que não foram empregados procedimentos de análise estatística. A obtenção dos dados foi por meio documental, visto que foram utilizadas as notas explicativas das companhias e também dados provenientes da base de dados ECONOMATICA.</w:t>
      </w:r>
    </w:p>
    <w:p w:rsidR="00C06625" w:rsidRDefault="00C06625" w:rsidP="00670CFF">
      <w:pPr>
        <w:pStyle w:val="Ttulo2"/>
        <w:ind w:left="426" w:hanging="426"/>
        <w:rPr>
          <w:sz w:val="22"/>
          <w:lang w:val="pt-BR"/>
        </w:rPr>
      </w:pPr>
      <w:r>
        <w:rPr>
          <w:sz w:val="22"/>
          <w:lang w:val="pt-BR"/>
        </w:rPr>
        <w:t>TÉCNICAS E INSTRUMENTOS DE PESQUISA</w:t>
      </w:r>
    </w:p>
    <w:p w:rsidR="002C5FD4" w:rsidRPr="002C5FD4" w:rsidRDefault="002C5FD4" w:rsidP="00670CFF">
      <w:pPr>
        <w:ind w:firstLine="567"/>
        <w:rPr>
          <w:color w:val="000000"/>
          <w:szCs w:val="24"/>
        </w:rPr>
      </w:pPr>
      <w:r w:rsidRPr="002C5FD4">
        <w:rPr>
          <w:color w:val="000000"/>
          <w:szCs w:val="24"/>
        </w:rPr>
        <w:t>Nesta pesquisa, para alcançar aos objetivos da pesquisa delimitados, inicialmente foi elaborada uma Lista de Verificação com base nos parâmetros estabelecidos pelo CPC 15 (R1). O Quadro 2 apresenta os itens que integram a lista de verificação utilizada como parâmetro para coleta dos dados nas notas explicativas das companhias componentes da amostra analisada:</w:t>
      </w:r>
    </w:p>
    <w:p w:rsidR="002C5FD4" w:rsidRPr="002C5FD4" w:rsidRDefault="00910737" w:rsidP="00AE3602">
      <w:pPr>
        <w:ind w:firstLine="0"/>
        <w:rPr>
          <w:color w:val="000000"/>
          <w:szCs w:val="24"/>
        </w:rPr>
      </w:pPr>
      <w:r>
        <w:rPr>
          <w:color w:val="000000"/>
          <w:szCs w:val="24"/>
        </w:rPr>
        <w:t xml:space="preserve">   </w:t>
      </w:r>
      <w:r w:rsidR="002C5FD4" w:rsidRPr="002C5FD4">
        <w:rPr>
          <w:color w:val="000000"/>
          <w:szCs w:val="24"/>
        </w:rPr>
        <w:t>Quadro 2 – Lista de verificação realizada com base no CPC 15 (R1)</w:t>
      </w:r>
    </w:p>
    <w:tbl>
      <w:tblPr>
        <w:tblW w:w="0" w:type="auto"/>
        <w:jc w:val="center"/>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58"/>
      </w:tblGrid>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1) O tipo de combinação de negócios realizada.</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2) A informação se a contraprestação foi em dinheiro, ações ou assunção de passivos.</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3) Menção ao período de mensuração.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4) Informação sobre os ativos que sofreram alteração no período de mensuração.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5) Informação sobre o valor total dos ativos que sofreram alteração no período de mensuração.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6) Informação sobre o valor individual dos ativos que sofreram alteração.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7) Especificação de quais passivos sofreram alteração.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8) Informação sobre o valor total dos passivos que sofreram alteração.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9) Informação sobre o valor individual dos passivos que sofreram alteração.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10) Valor da contraprestação (em Mil).</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12) Data de aquisição.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13) Valor total dos intangíveis identificáveis.</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14) Valor individual dos intangíveis identificáveis.</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15) Nome de cada intangível identificável reconhecido.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16) Vida útil estimada de cada intangível identificável.</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 xml:space="preserve">17) Valor total do </w:t>
            </w:r>
            <w:r w:rsidRPr="00910737">
              <w:rPr>
                <w:i/>
                <w:color w:val="000000"/>
                <w:sz w:val="20"/>
                <w:szCs w:val="24"/>
              </w:rPr>
              <w:t>goodwill.</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 xml:space="preserve">18) Fatores que integram o </w:t>
            </w:r>
            <w:r w:rsidRPr="00910737">
              <w:rPr>
                <w:i/>
                <w:color w:val="000000"/>
                <w:sz w:val="20"/>
                <w:szCs w:val="24"/>
              </w:rPr>
              <w:t>goodwill</w:t>
            </w:r>
            <w:r w:rsidRPr="00910737">
              <w:rPr>
                <w:color w:val="000000"/>
                <w:sz w:val="20"/>
                <w:szCs w:val="24"/>
              </w:rPr>
              <w:t xml:space="preserve"> reconhecido.</w:t>
            </w:r>
          </w:p>
        </w:tc>
      </w:tr>
      <w:tr w:rsidR="002C5FD4" w:rsidRPr="00910737" w:rsidTr="002C5FD4">
        <w:trPr>
          <w:jc w:val="center"/>
        </w:trPr>
        <w:tc>
          <w:tcPr>
            <w:tcW w:w="9058" w:type="dxa"/>
          </w:tcPr>
          <w:p w:rsidR="002C5FD4" w:rsidRPr="00910737" w:rsidRDefault="002C5FD4" w:rsidP="00910737">
            <w:pPr>
              <w:ind w:firstLine="0"/>
              <w:rPr>
                <w:color w:val="000000"/>
                <w:sz w:val="20"/>
                <w:szCs w:val="24"/>
              </w:rPr>
            </w:pPr>
            <w:r w:rsidRPr="00910737">
              <w:rPr>
                <w:color w:val="000000"/>
                <w:sz w:val="20"/>
                <w:szCs w:val="24"/>
              </w:rPr>
              <w:t xml:space="preserve">19) Denominação utilizada para se referir ao </w:t>
            </w:r>
            <w:r w:rsidRPr="00910737">
              <w:rPr>
                <w:i/>
                <w:color w:val="000000"/>
                <w:sz w:val="20"/>
                <w:szCs w:val="24"/>
              </w:rPr>
              <w:t>goodwill.</w:t>
            </w:r>
          </w:p>
        </w:tc>
      </w:tr>
    </w:tbl>
    <w:p w:rsidR="002C5FD4" w:rsidRPr="002C5FD4" w:rsidRDefault="00910737" w:rsidP="00910737">
      <w:pPr>
        <w:ind w:firstLine="0"/>
        <w:rPr>
          <w:color w:val="000000"/>
          <w:szCs w:val="24"/>
        </w:rPr>
      </w:pPr>
      <w:r>
        <w:rPr>
          <w:color w:val="000000"/>
          <w:szCs w:val="24"/>
        </w:rPr>
        <w:t xml:space="preserve">   </w:t>
      </w:r>
      <w:r w:rsidR="002C5FD4" w:rsidRPr="002C5FD4">
        <w:rPr>
          <w:color w:val="000000"/>
          <w:szCs w:val="24"/>
        </w:rPr>
        <w:t>Fonte: Elaborado pelos autores com base no CPC 15 (R1).</w:t>
      </w:r>
    </w:p>
    <w:p w:rsidR="00AE3602" w:rsidRDefault="002C5FD4" w:rsidP="00670CFF">
      <w:pPr>
        <w:ind w:firstLine="708"/>
        <w:rPr>
          <w:color w:val="000000"/>
          <w:szCs w:val="24"/>
        </w:rPr>
      </w:pPr>
      <w:r w:rsidRPr="002C5FD4">
        <w:rPr>
          <w:color w:val="000000"/>
          <w:szCs w:val="24"/>
        </w:rPr>
        <w:lastRenderedPageBreak/>
        <w:t xml:space="preserve">Conforme demonstra o Quadro 2, foram consideradas informações pertinentes às combinações de negócios abrangendo a identificação da empresa adquirente, a data de aquisição, o período de mensuração e as possíveis alterações realizadas nos ativos e passivos assumidos, os aspectos dos ativos intangíveis identificáveis reconhecidos e os elementos referentes ao </w:t>
      </w:r>
      <w:r w:rsidRPr="002C5FD4">
        <w:rPr>
          <w:i/>
          <w:color w:val="000000"/>
          <w:szCs w:val="24"/>
        </w:rPr>
        <w:t>goodwill</w:t>
      </w:r>
      <w:r w:rsidRPr="002C5FD4">
        <w:rPr>
          <w:color w:val="000000"/>
          <w:szCs w:val="24"/>
        </w:rPr>
        <w:t>.</w:t>
      </w:r>
    </w:p>
    <w:p w:rsidR="00C06625" w:rsidRDefault="00C06625" w:rsidP="00C06625">
      <w:pPr>
        <w:pStyle w:val="Ttulo2"/>
        <w:ind w:left="0" w:firstLine="0"/>
        <w:rPr>
          <w:sz w:val="22"/>
          <w:lang w:val="pt-BR"/>
        </w:rPr>
      </w:pPr>
      <w:r>
        <w:rPr>
          <w:sz w:val="22"/>
          <w:lang w:val="pt-BR"/>
        </w:rPr>
        <w:t xml:space="preserve">PROCEDIMENTO PARA COLETA E ANÁLISE DOS </w:t>
      </w:r>
      <w:r w:rsidR="00516A9E">
        <w:rPr>
          <w:sz w:val="22"/>
          <w:lang w:val="pt-BR"/>
        </w:rPr>
        <w:t>resultados</w:t>
      </w:r>
    </w:p>
    <w:p w:rsidR="002C5FD4" w:rsidRPr="002C5FD4" w:rsidRDefault="002C5FD4" w:rsidP="00AE3602">
      <w:pPr>
        <w:ind w:firstLine="708"/>
        <w:rPr>
          <w:bCs/>
          <w:color w:val="000000"/>
          <w:szCs w:val="24"/>
        </w:rPr>
      </w:pPr>
      <w:r w:rsidRPr="002C5FD4">
        <w:rPr>
          <w:bCs/>
          <w:color w:val="000000"/>
          <w:szCs w:val="24"/>
        </w:rPr>
        <w:t>De posse aos dados coletados nas notas explicativas, a partir da lista de verificação, das companhias componentes da amostra, realizou-se o levantamento das informações relativas aos ativos intangíveis reconhecidos nos anos de 2012, 2013 e 2014.</w:t>
      </w:r>
    </w:p>
    <w:p w:rsidR="002C5FD4" w:rsidRPr="002C5FD4" w:rsidRDefault="002C5FD4" w:rsidP="00AE3602">
      <w:pPr>
        <w:ind w:firstLine="708"/>
        <w:rPr>
          <w:bCs/>
          <w:color w:val="000000"/>
          <w:szCs w:val="24"/>
        </w:rPr>
      </w:pPr>
      <w:r w:rsidRPr="002C5FD4">
        <w:rPr>
          <w:bCs/>
          <w:color w:val="000000"/>
          <w:szCs w:val="24"/>
        </w:rPr>
        <w:t xml:space="preserve">Adicionalmente, para análise dos itens 3 até 9 da lista de verificação, realizou-se a análise das informações pertinentes às notas explicativas relativas ao período de mensuração referente ao ano posterior a cada ano analisado, dessa maneira: para 2012 observou-se 2013, para 2013 observou-se 2014 e para 2014 analisou-se 2015. Esse procedimento foi visando identificar se as companhias alteraram os valores reconhecidos como intangíveis identificáveis e </w:t>
      </w:r>
      <w:r w:rsidRPr="002C5FD4">
        <w:rPr>
          <w:bCs/>
          <w:i/>
          <w:color w:val="000000"/>
          <w:szCs w:val="24"/>
        </w:rPr>
        <w:t>goodwill</w:t>
      </w:r>
      <w:r w:rsidRPr="002C5FD4">
        <w:rPr>
          <w:bCs/>
          <w:color w:val="000000"/>
          <w:szCs w:val="24"/>
        </w:rPr>
        <w:t xml:space="preserve"> no período em que o CPC 15 (R1) permite essas alterações. </w:t>
      </w:r>
    </w:p>
    <w:p w:rsidR="002C5FD4" w:rsidRPr="002C5FD4" w:rsidRDefault="002C5FD4" w:rsidP="00AE3602">
      <w:pPr>
        <w:ind w:firstLine="708"/>
        <w:rPr>
          <w:bCs/>
          <w:color w:val="000000"/>
          <w:szCs w:val="24"/>
        </w:rPr>
      </w:pPr>
      <w:r w:rsidRPr="002C5FD4">
        <w:rPr>
          <w:bCs/>
          <w:color w:val="000000"/>
          <w:szCs w:val="24"/>
        </w:rPr>
        <w:t xml:space="preserve">Como complemento aos aspectos analisados na pesquisa, foram selecionadas, com base na literatura, algumas características referentes às companhias, para relacionar com as informações que compõem a Lista de Verificação. O conjunto das características levantadas é composto pela proporção do </w:t>
      </w:r>
      <w:r w:rsidRPr="002C5FD4">
        <w:rPr>
          <w:bCs/>
          <w:i/>
          <w:color w:val="000000"/>
          <w:szCs w:val="24"/>
        </w:rPr>
        <w:t>goodwill</w:t>
      </w:r>
      <w:r w:rsidRPr="002C5FD4">
        <w:rPr>
          <w:bCs/>
          <w:color w:val="000000"/>
          <w:szCs w:val="24"/>
        </w:rPr>
        <w:t xml:space="preserve"> em relação à contraprestação, o índice de rentabilidade, se negocia </w:t>
      </w:r>
      <w:r w:rsidRPr="002C5FD4">
        <w:rPr>
          <w:bCs/>
          <w:i/>
          <w:color w:val="000000"/>
          <w:szCs w:val="24"/>
        </w:rPr>
        <w:t>American Depositary Receipt</w:t>
      </w:r>
      <w:r w:rsidRPr="002C5FD4">
        <w:rPr>
          <w:bCs/>
          <w:color w:val="000000"/>
          <w:szCs w:val="24"/>
        </w:rPr>
        <w:t xml:space="preserve"> (ADRs) na </w:t>
      </w:r>
      <w:r w:rsidRPr="002C5FD4">
        <w:rPr>
          <w:bCs/>
          <w:i/>
          <w:color w:val="000000"/>
          <w:szCs w:val="24"/>
        </w:rPr>
        <w:t>New York Stock Exchange</w:t>
      </w:r>
      <w:r w:rsidRPr="002C5FD4">
        <w:rPr>
          <w:bCs/>
          <w:color w:val="000000"/>
          <w:szCs w:val="24"/>
        </w:rPr>
        <w:t xml:space="preserve"> (NYSE), nível de governança corporativa e o setor de atuação. Nos tópicos seguintes estão apresentadas individualmente cada característica analisada nesta pesquisa.</w:t>
      </w:r>
    </w:p>
    <w:p w:rsidR="002C5FD4" w:rsidRPr="007B52F6" w:rsidRDefault="007B52F6" w:rsidP="00AE3602">
      <w:pPr>
        <w:ind w:firstLine="0"/>
        <w:rPr>
          <w:bCs/>
          <w:color w:val="000000"/>
          <w:szCs w:val="24"/>
        </w:rPr>
      </w:pPr>
      <w:r w:rsidRPr="007B52F6">
        <w:rPr>
          <w:bCs/>
          <w:color w:val="000000"/>
          <w:szCs w:val="24"/>
        </w:rPr>
        <w:t>2</w:t>
      </w:r>
      <w:r w:rsidR="002C5FD4" w:rsidRPr="007B52F6">
        <w:rPr>
          <w:bCs/>
          <w:color w:val="000000"/>
          <w:szCs w:val="24"/>
        </w:rPr>
        <w:t xml:space="preserve">.3.1 Proporção do </w:t>
      </w:r>
      <w:r w:rsidR="002C5FD4" w:rsidRPr="007B52F6">
        <w:rPr>
          <w:bCs/>
          <w:i/>
          <w:color w:val="000000"/>
          <w:szCs w:val="24"/>
        </w:rPr>
        <w:t>Goodwill</w:t>
      </w:r>
      <w:r w:rsidR="002C5FD4" w:rsidRPr="007B52F6">
        <w:rPr>
          <w:bCs/>
          <w:color w:val="000000"/>
          <w:szCs w:val="24"/>
        </w:rPr>
        <w:t xml:space="preserve"> em relação à contraprestação</w:t>
      </w:r>
    </w:p>
    <w:p w:rsidR="002C5FD4" w:rsidRPr="002C5FD4" w:rsidRDefault="002C5FD4" w:rsidP="00AE3602">
      <w:pPr>
        <w:ind w:firstLine="708"/>
        <w:rPr>
          <w:bCs/>
          <w:color w:val="000000"/>
          <w:szCs w:val="24"/>
        </w:rPr>
      </w:pPr>
      <w:r w:rsidRPr="002C5FD4">
        <w:rPr>
          <w:bCs/>
          <w:color w:val="000000"/>
          <w:szCs w:val="24"/>
        </w:rPr>
        <w:t xml:space="preserve">No estudo realizado por Nakayama e Salotti (2014) foi identificado que um maior reconhecimento de </w:t>
      </w:r>
      <w:r w:rsidRPr="002C5FD4">
        <w:rPr>
          <w:bCs/>
          <w:i/>
          <w:color w:val="000000"/>
          <w:szCs w:val="24"/>
        </w:rPr>
        <w:t>goodwill</w:t>
      </w:r>
      <w:r w:rsidRPr="002C5FD4">
        <w:rPr>
          <w:bCs/>
          <w:color w:val="000000"/>
          <w:szCs w:val="24"/>
        </w:rPr>
        <w:t xml:space="preserve"> em relação à contraprestação leva as empresas a divulgarem um menor nível de informação. Souza (2015) analisou a proporção do </w:t>
      </w:r>
      <w:r w:rsidRPr="002C5FD4">
        <w:rPr>
          <w:bCs/>
          <w:i/>
          <w:color w:val="000000"/>
          <w:szCs w:val="24"/>
        </w:rPr>
        <w:t>goodwill</w:t>
      </w:r>
      <w:r w:rsidRPr="002C5FD4">
        <w:rPr>
          <w:bCs/>
          <w:color w:val="000000"/>
          <w:szCs w:val="24"/>
        </w:rPr>
        <w:t xml:space="preserve"> em relação à contraprestação das combinações de negócios realizadas entre os períodos de 2010 a 2013, e foi apurado que a média da proporção foi superior em 50% nos anos analisados. </w:t>
      </w:r>
    </w:p>
    <w:p w:rsidR="002C5FD4" w:rsidRPr="002C5FD4" w:rsidRDefault="002C5FD4" w:rsidP="00AE3602">
      <w:pPr>
        <w:ind w:firstLine="708"/>
        <w:rPr>
          <w:bCs/>
          <w:color w:val="000000"/>
          <w:szCs w:val="24"/>
        </w:rPr>
      </w:pPr>
      <w:r w:rsidRPr="002C5FD4">
        <w:rPr>
          <w:bCs/>
          <w:color w:val="000000"/>
          <w:szCs w:val="24"/>
        </w:rPr>
        <w:t xml:space="preserve">O cálculo da proporção do </w:t>
      </w:r>
      <w:r w:rsidRPr="002C5FD4">
        <w:rPr>
          <w:bCs/>
          <w:i/>
          <w:color w:val="000000"/>
          <w:szCs w:val="24"/>
        </w:rPr>
        <w:t>goodwill</w:t>
      </w:r>
      <w:r w:rsidRPr="002C5FD4">
        <w:rPr>
          <w:bCs/>
          <w:color w:val="000000"/>
          <w:szCs w:val="24"/>
        </w:rPr>
        <w:t xml:space="preserve"> em relação ao valor da transação é realizado por meio da razão do </w:t>
      </w:r>
      <w:r w:rsidRPr="002C5FD4">
        <w:rPr>
          <w:bCs/>
          <w:i/>
          <w:color w:val="000000"/>
          <w:szCs w:val="24"/>
        </w:rPr>
        <w:t>goodwill</w:t>
      </w:r>
      <w:r w:rsidRPr="002C5FD4">
        <w:rPr>
          <w:bCs/>
          <w:color w:val="000000"/>
          <w:szCs w:val="24"/>
        </w:rPr>
        <w:t xml:space="preserve"> pela contraprestação da combinação de negócios (</w:t>
      </w:r>
      <w:r w:rsidRPr="002C5FD4">
        <w:rPr>
          <w:bCs/>
          <w:caps/>
          <w:color w:val="000000"/>
          <w:szCs w:val="24"/>
        </w:rPr>
        <w:t>Nakayama; Salotti,</w:t>
      </w:r>
      <w:r w:rsidRPr="002C5FD4">
        <w:rPr>
          <w:bCs/>
          <w:color w:val="000000"/>
          <w:szCs w:val="24"/>
        </w:rPr>
        <w:t xml:space="preserve"> 2014). Nesta pesquisa, os dados relativos a esta característica foram obtidos nas notas explicativas das companhias pertencentes à amostra.</w:t>
      </w:r>
    </w:p>
    <w:p w:rsidR="002C5FD4" w:rsidRPr="007B52F6" w:rsidRDefault="007B52F6" w:rsidP="00AE3602">
      <w:pPr>
        <w:ind w:firstLine="0"/>
        <w:rPr>
          <w:bCs/>
          <w:color w:val="000000"/>
          <w:szCs w:val="24"/>
        </w:rPr>
      </w:pPr>
      <w:r w:rsidRPr="007B52F6">
        <w:rPr>
          <w:bCs/>
          <w:color w:val="000000"/>
          <w:szCs w:val="24"/>
        </w:rPr>
        <w:t>2</w:t>
      </w:r>
      <w:r w:rsidR="002C5FD4" w:rsidRPr="007B52F6">
        <w:rPr>
          <w:bCs/>
          <w:color w:val="000000"/>
          <w:szCs w:val="24"/>
        </w:rPr>
        <w:t>.3.2 Índice de Rentabilidade</w:t>
      </w:r>
    </w:p>
    <w:p w:rsidR="002C5FD4" w:rsidRPr="002C5FD4" w:rsidRDefault="002C5FD4" w:rsidP="00AE3602">
      <w:pPr>
        <w:rPr>
          <w:bCs/>
          <w:color w:val="000000"/>
          <w:szCs w:val="24"/>
        </w:rPr>
      </w:pPr>
      <w:r w:rsidRPr="002C5FD4">
        <w:rPr>
          <w:bCs/>
          <w:color w:val="000000"/>
          <w:szCs w:val="24"/>
        </w:rPr>
        <w:t xml:space="preserve">Os índices de rentabilidade analisam os aspectos econômicos das empresas. O índice de rentabilidade do ativo, em inglês </w:t>
      </w:r>
      <w:r w:rsidRPr="002C5FD4">
        <w:rPr>
          <w:bCs/>
          <w:i/>
          <w:color w:val="000000"/>
          <w:szCs w:val="24"/>
        </w:rPr>
        <w:t xml:space="preserve">Return on Investment, </w:t>
      </w:r>
      <w:r w:rsidRPr="002C5FD4">
        <w:rPr>
          <w:bCs/>
          <w:color w:val="000000"/>
          <w:szCs w:val="24"/>
        </w:rPr>
        <w:t>mensura o retorno de um investimento realizado em períodos nos quais ele será amortizado para então começar a gerar lucros. (MARION, 2013).</w:t>
      </w:r>
    </w:p>
    <w:p w:rsidR="002C5FD4" w:rsidRPr="002C5FD4" w:rsidRDefault="002C5FD4" w:rsidP="00AE3602">
      <w:pPr>
        <w:rPr>
          <w:bCs/>
          <w:color w:val="000000"/>
          <w:szCs w:val="24"/>
        </w:rPr>
      </w:pPr>
      <w:r w:rsidRPr="002C5FD4">
        <w:rPr>
          <w:bCs/>
          <w:color w:val="000000"/>
          <w:szCs w:val="24"/>
        </w:rPr>
        <w:t>O cálculo do índice de rentabilidade do ativo é realizado por meio da razão entre o resultado líquido do período em relação ao ativo total da companhia. Os índices de rentabilidade da amostra utilizados na pesquisa foram extraídos da base de dados ECONOMATICA.</w:t>
      </w:r>
    </w:p>
    <w:p w:rsidR="002C5FD4" w:rsidRPr="007B52F6" w:rsidRDefault="007B52F6" w:rsidP="00AE3602">
      <w:pPr>
        <w:ind w:firstLine="0"/>
        <w:rPr>
          <w:bCs/>
          <w:color w:val="000000"/>
          <w:szCs w:val="24"/>
          <w:lang w:val="en-US"/>
        </w:rPr>
      </w:pPr>
      <w:r w:rsidRPr="007B52F6">
        <w:rPr>
          <w:bCs/>
          <w:color w:val="000000"/>
          <w:szCs w:val="24"/>
          <w:lang w:val="en-US"/>
        </w:rPr>
        <w:lastRenderedPageBreak/>
        <w:t>2</w:t>
      </w:r>
      <w:r w:rsidR="002C5FD4" w:rsidRPr="007B52F6">
        <w:rPr>
          <w:bCs/>
          <w:color w:val="000000"/>
          <w:szCs w:val="24"/>
          <w:lang w:val="en-US"/>
        </w:rPr>
        <w:t xml:space="preserve">.3.3 Negocia ADRs na </w:t>
      </w:r>
      <w:r w:rsidR="002C5FD4" w:rsidRPr="007B52F6">
        <w:rPr>
          <w:bCs/>
          <w:i/>
          <w:color w:val="000000"/>
          <w:szCs w:val="24"/>
          <w:lang w:val="en-US"/>
        </w:rPr>
        <w:t xml:space="preserve">New York Stock Exchange </w:t>
      </w:r>
      <w:r w:rsidR="002C5FD4" w:rsidRPr="007B52F6">
        <w:rPr>
          <w:bCs/>
          <w:color w:val="000000"/>
          <w:szCs w:val="24"/>
          <w:lang w:val="en-US"/>
        </w:rPr>
        <w:t>(NYSE)</w:t>
      </w:r>
    </w:p>
    <w:p w:rsidR="002C5FD4" w:rsidRPr="002C5FD4" w:rsidRDefault="002C5FD4" w:rsidP="00AE3602">
      <w:pPr>
        <w:ind w:firstLine="708"/>
        <w:rPr>
          <w:bCs/>
          <w:color w:val="000000"/>
          <w:szCs w:val="24"/>
        </w:rPr>
      </w:pPr>
      <w:r w:rsidRPr="002C5FD4">
        <w:rPr>
          <w:bCs/>
          <w:color w:val="000000"/>
          <w:szCs w:val="24"/>
        </w:rPr>
        <w:t xml:space="preserve">A emissão de </w:t>
      </w:r>
      <w:r w:rsidRPr="002C5FD4">
        <w:rPr>
          <w:bCs/>
          <w:i/>
          <w:iCs/>
          <w:color w:val="000000"/>
          <w:szCs w:val="24"/>
        </w:rPr>
        <w:t xml:space="preserve">American Depositary Receipts </w:t>
      </w:r>
      <w:r w:rsidRPr="002C5FD4">
        <w:rPr>
          <w:bCs/>
          <w:iCs/>
          <w:color w:val="000000"/>
          <w:szCs w:val="24"/>
        </w:rPr>
        <w:t>(</w:t>
      </w:r>
      <w:r w:rsidRPr="002C5FD4">
        <w:rPr>
          <w:bCs/>
          <w:color w:val="000000"/>
          <w:szCs w:val="24"/>
        </w:rPr>
        <w:t xml:space="preserve">ADRs) no mercado norte-americano pelas companhias brasileiras exige que elas apresentem um maior grau de abertura das informações do que o exigido pela legislação brasileira, devido às regras americanas. (LANZANA, 2004). Dessa maneira, nesta pesquisa considerou-se importante a análise desta característica. Os dados das companhias brasileiras que emitem ADRs no mercado norte-americano foram obtidos no </w:t>
      </w:r>
      <w:r w:rsidRPr="002C5FD4">
        <w:rPr>
          <w:bCs/>
          <w:i/>
          <w:color w:val="000000"/>
          <w:szCs w:val="24"/>
        </w:rPr>
        <w:t>site</w:t>
      </w:r>
      <w:r w:rsidRPr="002C5FD4">
        <w:rPr>
          <w:bCs/>
          <w:color w:val="000000"/>
          <w:szCs w:val="24"/>
        </w:rPr>
        <w:t xml:space="preserve"> da NYSE. </w:t>
      </w:r>
    </w:p>
    <w:p w:rsidR="002C5FD4" w:rsidRPr="007B52F6" w:rsidRDefault="007B52F6" w:rsidP="00AE3602">
      <w:pPr>
        <w:ind w:firstLine="0"/>
        <w:rPr>
          <w:bCs/>
          <w:color w:val="000000"/>
          <w:szCs w:val="24"/>
        </w:rPr>
      </w:pPr>
      <w:r w:rsidRPr="007B52F6">
        <w:rPr>
          <w:bCs/>
          <w:color w:val="000000"/>
          <w:szCs w:val="24"/>
        </w:rPr>
        <w:t>2</w:t>
      </w:r>
      <w:r w:rsidR="002C5FD4" w:rsidRPr="007B52F6">
        <w:rPr>
          <w:bCs/>
          <w:color w:val="000000"/>
          <w:szCs w:val="24"/>
        </w:rPr>
        <w:t>.3.4 Nível de Governança Corporativa</w:t>
      </w:r>
    </w:p>
    <w:p w:rsidR="002C5FD4" w:rsidRPr="002C5FD4" w:rsidRDefault="002C5FD4" w:rsidP="00AE3602">
      <w:pPr>
        <w:ind w:firstLine="708"/>
        <w:rPr>
          <w:bCs/>
          <w:color w:val="000000"/>
          <w:szCs w:val="24"/>
        </w:rPr>
      </w:pPr>
      <w:r w:rsidRPr="002C5FD4">
        <w:rPr>
          <w:bCs/>
          <w:color w:val="000000"/>
          <w:szCs w:val="24"/>
        </w:rPr>
        <w:t xml:space="preserve">A governança corporativa é um conjunto de mecanismos que visa reduzir os conflitos de agência, criando condições novas favoráveis ao desempenho das companhias e protegendo todas as partes relacionadas. Um dos determinantes da governança corporativa é a transparência, visto que ela contribui para um melhor nível de evidenciação contábil, promovendo uma maior clareza na divulgação das informações financeiras (JORDÃO </w:t>
      </w:r>
      <w:r w:rsidRPr="002C5FD4">
        <w:rPr>
          <w:bCs/>
          <w:i/>
          <w:color w:val="000000"/>
          <w:szCs w:val="24"/>
        </w:rPr>
        <w:t xml:space="preserve">et al. </w:t>
      </w:r>
      <w:r w:rsidRPr="002C5FD4">
        <w:rPr>
          <w:bCs/>
          <w:color w:val="000000"/>
          <w:szCs w:val="24"/>
        </w:rPr>
        <w:t xml:space="preserve">2009). Os dados foram obtidos no </w:t>
      </w:r>
      <w:r w:rsidRPr="002C5FD4">
        <w:rPr>
          <w:bCs/>
          <w:i/>
          <w:color w:val="000000"/>
          <w:szCs w:val="24"/>
        </w:rPr>
        <w:t>site</w:t>
      </w:r>
      <w:r w:rsidRPr="002C5FD4">
        <w:rPr>
          <w:bCs/>
          <w:color w:val="000000"/>
          <w:szCs w:val="24"/>
        </w:rPr>
        <w:t xml:space="preserve"> da Bolsa de Mercadorias e Futuros e Bolsa de Valores de São Paulo (BM&amp;FBOVESPA).</w:t>
      </w:r>
    </w:p>
    <w:p w:rsidR="002C5FD4" w:rsidRPr="007B52F6" w:rsidRDefault="007B52F6" w:rsidP="00AE3602">
      <w:pPr>
        <w:ind w:firstLine="0"/>
        <w:rPr>
          <w:bCs/>
          <w:color w:val="000000"/>
          <w:szCs w:val="24"/>
        </w:rPr>
      </w:pPr>
      <w:r w:rsidRPr="007B52F6">
        <w:rPr>
          <w:bCs/>
          <w:color w:val="000000"/>
          <w:szCs w:val="24"/>
        </w:rPr>
        <w:t>2</w:t>
      </w:r>
      <w:r w:rsidR="002C5FD4" w:rsidRPr="007B52F6">
        <w:rPr>
          <w:bCs/>
          <w:color w:val="000000"/>
          <w:szCs w:val="24"/>
        </w:rPr>
        <w:t>.3.5 Setor de Atuação</w:t>
      </w:r>
    </w:p>
    <w:p w:rsidR="002C5FD4" w:rsidRDefault="002C5FD4" w:rsidP="00AE3602">
      <w:pPr>
        <w:rPr>
          <w:bCs/>
          <w:color w:val="000000"/>
          <w:szCs w:val="24"/>
        </w:rPr>
      </w:pPr>
      <w:r w:rsidRPr="002C5FD4">
        <w:rPr>
          <w:bCs/>
          <w:color w:val="000000"/>
          <w:szCs w:val="24"/>
        </w:rPr>
        <w:t xml:space="preserve">Nesta pesquisa, considerou-se relevante realizar a análise dos resultados por setor. A classificação setorial das companhias, analisadas nesta pesquisa, foi obtida conforme as informações publicadas no </w:t>
      </w:r>
      <w:r w:rsidRPr="002C5FD4">
        <w:rPr>
          <w:bCs/>
          <w:i/>
          <w:color w:val="000000"/>
          <w:szCs w:val="24"/>
        </w:rPr>
        <w:t>site</w:t>
      </w:r>
      <w:r w:rsidRPr="002C5FD4">
        <w:rPr>
          <w:bCs/>
          <w:color w:val="000000"/>
          <w:szCs w:val="24"/>
        </w:rPr>
        <w:t xml:space="preserve"> da BM&amp;FBOVESPA.</w:t>
      </w:r>
    </w:p>
    <w:p w:rsidR="007B52F6" w:rsidRDefault="007B52F6" w:rsidP="00AE3602">
      <w:pPr>
        <w:pStyle w:val="Ttulo2"/>
        <w:ind w:left="0" w:firstLine="0"/>
        <w:rPr>
          <w:sz w:val="22"/>
          <w:lang w:val="pt-BR"/>
        </w:rPr>
      </w:pPr>
      <w:r>
        <w:rPr>
          <w:sz w:val="22"/>
          <w:lang w:val="pt-BR"/>
        </w:rPr>
        <w:t>população e amostra da pesquisa</w:t>
      </w:r>
    </w:p>
    <w:p w:rsidR="002C5FD4" w:rsidRPr="002C5FD4" w:rsidRDefault="002C5FD4" w:rsidP="00AE3602">
      <w:pPr>
        <w:ind w:firstLine="567"/>
        <w:rPr>
          <w:color w:val="000000"/>
          <w:szCs w:val="24"/>
        </w:rPr>
      </w:pPr>
      <w:r w:rsidRPr="002C5FD4">
        <w:rPr>
          <w:color w:val="000000"/>
          <w:szCs w:val="24"/>
        </w:rPr>
        <w:t xml:space="preserve">Amostra da pesquisa é composta pelas companhias de capital aberto brasileiras que realizaram combinações de negócios no período entre 2012 a 2014. A listagem das companhias que realizaram combinações de negócios nos períodos de 2012 e 2013 foi extraída do estudo realizado por Souza (2015).  </w:t>
      </w:r>
    </w:p>
    <w:p w:rsidR="002C5FD4" w:rsidRPr="002C5FD4" w:rsidRDefault="002C5FD4" w:rsidP="00AE3602">
      <w:pPr>
        <w:ind w:firstLine="567"/>
        <w:rPr>
          <w:color w:val="000000"/>
          <w:szCs w:val="24"/>
        </w:rPr>
      </w:pPr>
      <w:r w:rsidRPr="002C5FD4">
        <w:rPr>
          <w:color w:val="000000"/>
          <w:szCs w:val="24"/>
        </w:rPr>
        <w:t>Para obtenção da amostra referente ao período de 2014 foi realizado um levantamento das notas explicativas de todas as companhias abertas listadas na BM&amp;FBOVESPA para verificar quais realizaram combinações de negócios no exercício de 2014. Nas notas explicativas foi feita a busca pelas palavras: Combinação, Combinações, Fusão, Incorporação, Aquisição, Cisão e Contraprestação. Foram identificadas 29 companhias que realizaram combinações de negócios no ano de 2014.</w:t>
      </w:r>
    </w:p>
    <w:p w:rsidR="002C5FD4" w:rsidRPr="002C5FD4" w:rsidRDefault="002C5FD4" w:rsidP="00AE3602">
      <w:pPr>
        <w:ind w:firstLine="567"/>
        <w:rPr>
          <w:color w:val="000000"/>
          <w:szCs w:val="24"/>
        </w:rPr>
      </w:pPr>
      <w:r w:rsidRPr="002C5FD4">
        <w:rPr>
          <w:color w:val="000000"/>
          <w:szCs w:val="24"/>
        </w:rPr>
        <w:t>O Quadro 3 apresenta o número de companhias e a quantidade de combinações que foram realizadas em cada ano, considerando que a pesquisa analisou as características dos ativos intangíveis evidenciados em cada combinação de negócios:</w:t>
      </w:r>
    </w:p>
    <w:p w:rsidR="002C5FD4" w:rsidRPr="002C5FD4" w:rsidRDefault="00910737" w:rsidP="00AE3602">
      <w:pPr>
        <w:ind w:firstLine="0"/>
        <w:rPr>
          <w:color w:val="000000"/>
          <w:szCs w:val="24"/>
        </w:rPr>
      </w:pPr>
      <w:r>
        <w:rPr>
          <w:color w:val="000000"/>
          <w:szCs w:val="24"/>
        </w:rPr>
        <w:t xml:space="preserve">           </w:t>
      </w:r>
      <w:r w:rsidR="002C5FD4" w:rsidRPr="002C5FD4">
        <w:rPr>
          <w:color w:val="000000"/>
          <w:szCs w:val="24"/>
        </w:rPr>
        <w:t>Quadro 3: Composição da amostra da pesquisa</w:t>
      </w:r>
    </w:p>
    <w:tbl>
      <w:tblPr>
        <w:tblW w:w="8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3"/>
        <w:gridCol w:w="3370"/>
        <w:gridCol w:w="3855"/>
      </w:tblGrid>
      <w:tr w:rsidR="002C5FD4" w:rsidRPr="00910737" w:rsidTr="002C5FD4">
        <w:trPr>
          <w:jc w:val="center"/>
        </w:trPr>
        <w:tc>
          <w:tcPr>
            <w:tcW w:w="833" w:type="dxa"/>
          </w:tcPr>
          <w:p w:rsidR="002C5FD4" w:rsidRPr="00910737" w:rsidRDefault="002C5FD4" w:rsidP="00AE3602">
            <w:pPr>
              <w:ind w:firstLine="0"/>
              <w:rPr>
                <w:color w:val="000000"/>
                <w:sz w:val="20"/>
                <w:szCs w:val="24"/>
              </w:rPr>
            </w:pPr>
            <w:r w:rsidRPr="00910737">
              <w:rPr>
                <w:color w:val="000000"/>
                <w:sz w:val="20"/>
                <w:szCs w:val="24"/>
              </w:rPr>
              <w:t>Ano</w:t>
            </w:r>
          </w:p>
        </w:tc>
        <w:tc>
          <w:tcPr>
            <w:tcW w:w="3370" w:type="dxa"/>
          </w:tcPr>
          <w:p w:rsidR="002C5FD4" w:rsidRPr="00910737" w:rsidRDefault="002C5FD4" w:rsidP="00AE3602">
            <w:pPr>
              <w:ind w:firstLine="0"/>
              <w:jc w:val="center"/>
              <w:rPr>
                <w:color w:val="000000"/>
                <w:sz w:val="20"/>
                <w:szCs w:val="24"/>
              </w:rPr>
            </w:pPr>
            <w:r w:rsidRPr="00910737">
              <w:rPr>
                <w:color w:val="000000"/>
                <w:sz w:val="20"/>
                <w:szCs w:val="24"/>
              </w:rPr>
              <w:t>Quantidade de companhias</w:t>
            </w:r>
          </w:p>
        </w:tc>
        <w:tc>
          <w:tcPr>
            <w:tcW w:w="3855" w:type="dxa"/>
          </w:tcPr>
          <w:p w:rsidR="002C5FD4" w:rsidRPr="00910737" w:rsidRDefault="002C5FD4" w:rsidP="00AE3602">
            <w:pPr>
              <w:ind w:firstLine="0"/>
              <w:jc w:val="center"/>
              <w:rPr>
                <w:color w:val="000000"/>
                <w:sz w:val="20"/>
                <w:szCs w:val="24"/>
              </w:rPr>
            </w:pPr>
            <w:r w:rsidRPr="00910737">
              <w:rPr>
                <w:color w:val="000000"/>
                <w:sz w:val="20"/>
                <w:szCs w:val="24"/>
              </w:rPr>
              <w:t>Quantidade de combinações evidenciadas</w:t>
            </w:r>
          </w:p>
        </w:tc>
      </w:tr>
      <w:tr w:rsidR="002C5FD4" w:rsidRPr="00910737" w:rsidTr="002C5FD4">
        <w:trPr>
          <w:trHeight w:val="259"/>
          <w:jc w:val="center"/>
        </w:trPr>
        <w:tc>
          <w:tcPr>
            <w:tcW w:w="833" w:type="dxa"/>
          </w:tcPr>
          <w:p w:rsidR="002C5FD4" w:rsidRPr="00910737" w:rsidRDefault="002C5FD4" w:rsidP="00AE3602">
            <w:pPr>
              <w:ind w:firstLine="0"/>
              <w:rPr>
                <w:color w:val="000000"/>
                <w:sz w:val="20"/>
                <w:szCs w:val="24"/>
              </w:rPr>
            </w:pPr>
            <w:r w:rsidRPr="00910737">
              <w:rPr>
                <w:color w:val="000000"/>
                <w:sz w:val="20"/>
                <w:szCs w:val="24"/>
              </w:rPr>
              <w:t>2012</w:t>
            </w:r>
          </w:p>
        </w:tc>
        <w:tc>
          <w:tcPr>
            <w:tcW w:w="3370" w:type="dxa"/>
          </w:tcPr>
          <w:p w:rsidR="002C5FD4" w:rsidRPr="00910737" w:rsidRDefault="002C5FD4" w:rsidP="00AE3602">
            <w:pPr>
              <w:ind w:firstLine="0"/>
              <w:jc w:val="center"/>
              <w:rPr>
                <w:color w:val="000000"/>
                <w:sz w:val="20"/>
                <w:szCs w:val="24"/>
              </w:rPr>
            </w:pPr>
            <w:r w:rsidRPr="00910737">
              <w:rPr>
                <w:color w:val="000000"/>
                <w:sz w:val="20"/>
                <w:szCs w:val="24"/>
              </w:rPr>
              <w:t>28</w:t>
            </w:r>
          </w:p>
        </w:tc>
        <w:tc>
          <w:tcPr>
            <w:tcW w:w="3855" w:type="dxa"/>
          </w:tcPr>
          <w:p w:rsidR="002C5FD4" w:rsidRPr="00910737" w:rsidRDefault="002C5FD4" w:rsidP="00AE3602">
            <w:pPr>
              <w:ind w:firstLine="0"/>
              <w:jc w:val="center"/>
              <w:rPr>
                <w:color w:val="000000"/>
                <w:sz w:val="20"/>
                <w:szCs w:val="24"/>
              </w:rPr>
            </w:pPr>
            <w:r w:rsidRPr="00910737">
              <w:rPr>
                <w:color w:val="000000"/>
                <w:sz w:val="20"/>
                <w:szCs w:val="24"/>
              </w:rPr>
              <w:t>53</w:t>
            </w:r>
          </w:p>
        </w:tc>
      </w:tr>
      <w:tr w:rsidR="002C5FD4" w:rsidRPr="00910737" w:rsidTr="002C5FD4">
        <w:trPr>
          <w:trHeight w:val="192"/>
          <w:jc w:val="center"/>
        </w:trPr>
        <w:tc>
          <w:tcPr>
            <w:tcW w:w="833" w:type="dxa"/>
          </w:tcPr>
          <w:p w:rsidR="002C5FD4" w:rsidRPr="00910737" w:rsidRDefault="002C5FD4" w:rsidP="00AE3602">
            <w:pPr>
              <w:ind w:firstLine="0"/>
              <w:rPr>
                <w:color w:val="000000"/>
                <w:sz w:val="20"/>
                <w:szCs w:val="24"/>
              </w:rPr>
            </w:pPr>
            <w:r w:rsidRPr="00910737">
              <w:rPr>
                <w:color w:val="000000"/>
                <w:sz w:val="20"/>
                <w:szCs w:val="24"/>
              </w:rPr>
              <w:t>2013</w:t>
            </w:r>
          </w:p>
        </w:tc>
        <w:tc>
          <w:tcPr>
            <w:tcW w:w="3370" w:type="dxa"/>
          </w:tcPr>
          <w:p w:rsidR="002C5FD4" w:rsidRPr="00910737" w:rsidRDefault="002C5FD4" w:rsidP="00AE3602">
            <w:pPr>
              <w:ind w:firstLine="0"/>
              <w:jc w:val="center"/>
              <w:rPr>
                <w:color w:val="000000"/>
                <w:sz w:val="20"/>
                <w:szCs w:val="24"/>
              </w:rPr>
            </w:pPr>
            <w:r w:rsidRPr="00910737">
              <w:rPr>
                <w:color w:val="000000"/>
                <w:sz w:val="20"/>
                <w:szCs w:val="24"/>
              </w:rPr>
              <w:t>16</w:t>
            </w:r>
          </w:p>
        </w:tc>
        <w:tc>
          <w:tcPr>
            <w:tcW w:w="3855" w:type="dxa"/>
          </w:tcPr>
          <w:p w:rsidR="002C5FD4" w:rsidRPr="00910737" w:rsidRDefault="002C5FD4" w:rsidP="00AE3602">
            <w:pPr>
              <w:ind w:firstLine="0"/>
              <w:jc w:val="center"/>
              <w:rPr>
                <w:color w:val="000000"/>
                <w:sz w:val="20"/>
                <w:szCs w:val="24"/>
              </w:rPr>
            </w:pPr>
            <w:r w:rsidRPr="00910737">
              <w:rPr>
                <w:color w:val="000000"/>
                <w:sz w:val="20"/>
                <w:szCs w:val="24"/>
              </w:rPr>
              <w:t>34</w:t>
            </w:r>
          </w:p>
        </w:tc>
      </w:tr>
      <w:tr w:rsidR="002C5FD4" w:rsidRPr="00910737" w:rsidTr="002C5FD4">
        <w:trPr>
          <w:jc w:val="center"/>
        </w:trPr>
        <w:tc>
          <w:tcPr>
            <w:tcW w:w="833" w:type="dxa"/>
          </w:tcPr>
          <w:p w:rsidR="002C5FD4" w:rsidRPr="00910737" w:rsidRDefault="002C5FD4" w:rsidP="00AE3602">
            <w:pPr>
              <w:ind w:firstLine="0"/>
              <w:rPr>
                <w:color w:val="000000"/>
                <w:sz w:val="20"/>
                <w:szCs w:val="24"/>
              </w:rPr>
            </w:pPr>
            <w:r w:rsidRPr="00910737">
              <w:rPr>
                <w:color w:val="000000"/>
                <w:sz w:val="20"/>
                <w:szCs w:val="24"/>
              </w:rPr>
              <w:t>2014</w:t>
            </w:r>
          </w:p>
        </w:tc>
        <w:tc>
          <w:tcPr>
            <w:tcW w:w="3370" w:type="dxa"/>
          </w:tcPr>
          <w:p w:rsidR="002C5FD4" w:rsidRPr="00910737" w:rsidRDefault="002C5FD4" w:rsidP="00AE3602">
            <w:pPr>
              <w:ind w:firstLine="0"/>
              <w:jc w:val="center"/>
              <w:rPr>
                <w:color w:val="000000"/>
                <w:sz w:val="20"/>
                <w:szCs w:val="24"/>
              </w:rPr>
            </w:pPr>
            <w:r w:rsidRPr="00910737">
              <w:rPr>
                <w:color w:val="000000"/>
                <w:sz w:val="20"/>
                <w:szCs w:val="24"/>
              </w:rPr>
              <w:t>29</w:t>
            </w:r>
          </w:p>
        </w:tc>
        <w:tc>
          <w:tcPr>
            <w:tcW w:w="3855" w:type="dxa"/>
          </w:tcPr>
          <w:p w:rsidR="002C5FD4" w:rsidRPr="00910737" w:rsidRDefault="002C5FD4" w:rsidP="00AE3602">
            <w:pPr>
              <w:ind w:firstLine="0"/>
              <w:jc w:val="center"/>
              <w:rPr>
                <w:color w:val="000000"/>
                <w:sz w:val="20"/>
                <w:szCs w:val="24"/>
              </w:rPr>
            </w:pPr>
            <w:r w:rsidRPr="00910737">
              <w:rPr>
                <w:color w:val="000000"/>
                <w:sz w:val="20"/>
                <w:szCs w:val="24"/>
              </w:rPr>
              <w:t>43</w:t>
            </w:r>
          </w:p>
        </w:tc>
      </w:tr>
      <w:tr w:rsidR="002C5FD4" w:rsidRPr="00910737" w:rsidTr="002C5FD4">
        <w:trPr>
          <w:jc w:val="center"/>
        </w:trPr>
        <w:tc>
          <w:tcPr>
            <w:tcW w:w="833" w:type="dxa"/>
          </w:tcPr>
          <w:p w:rsidR="002C5FD4" w:rsidRPr="00910737" w:rsidRDefault="002C5FD4" w:rsidP="00AE3602">
            <w:pPr>
              <w:ind w:firstLine="0"/>
              <w:rPr>
                <w:color w:val="000000"/>
                <w:sz w:val="20"/>
                <w:szCs w:val="24"/>
              </w:rPr>
            </w:pPr>
            <w:r w:rsidRPr="00910737">
              <w:rPr>
                <w:color w:val="000000"/>
                <w:sz w:val="20"/>
                <w:szCs w:val="24"/>
              </w:rPr>
              <w:t>Total</w:t>
            </w:r>
          </w:p>
        </w:tc>
        <w:tc>
          <w:tcPr>
            <w:tcW w:w="3370" w:type="dxa"/>
          </w:tcPr>
          <w:p w:rsidR="002C5FD4" w:rsidRPr="00910737" w:rsidRDefault="002C5FD4" w:rsidP="00AE3602">
            <w:pPr>
              <w:ind w:firstLine="0"/>
              <w:jc w:val="center"/>
              <w:rPr>
                <w:color w:val="000000"/>
                <w:sz w:val="20"/>
                <w:szCs w:val="24"/>
              </w:rPr>
            </w:pPr>
            <w:r w:rsidRPr="00910737">
              <w:rPr>
                <w:color w:val="000000"/>
                <w:sz w:val="20"/>
                <w:szCs w:val="24"/>
              </w:rPr>
              <w:t>57</w:t>
            </w:r>
          </w:p>
        </w:tc>
        <w:tc>
          <w:tcPr>
            <w:tcW w:w="3855" w:type="dxa"/>
          </w:tcPr>
          <w:p w:rsidR="002C5FD4" w:rsidRPr="00910737" w:rsidRDefault="002C5FD4" w:rsidP="00AE3602">
            <w:pPr>
              <w:ind w:firstLine="0"/>
              <w:jc w:val="center"/>
              <w:rPr>
                <w:color w:val="000000"/>
                <w:sz w:val="20"/>
                <w:szCs w:val="24"/>
              </w:rPr>
            </w:pPr>
            <w:r w:rsidRPr="00910737">
              <w:rPr>
                <w:color w:val="000000"/>
                <w:sz w:val="20"/>
                <w:szCs w:val="24"/>
              </w:rPr>
              <w:t>130</w:t>
            </w:r>
          </w:p>
        </w:tc>
      </w:tr>
    </w:tbl>
    <w:p w:rsidR="002C5FD4" w:rsidRPr="002C5FD4" w:rsidRDefault="00910737" w:rsidP="00AE3602">
      <w:pPr>
        <w:ind w:firstLine="0"/>
        <w:rPr>
          <w:color w:val="000000"/>
          <w:szCs w:val="24"/>
        </w:rPr>
      </w:pPr>
      <w:r>
        <w:rPr>
          <w:color w:val="000000"/>
          <w:szCs w:val="24"/>
        </w:rPr>
        <w:t xml:space="preserve">           </w:t>
      </w:r>
      <w:r w:rsidR="002C5FD4" w:rsidRPr="002C5FD4">
        <w:rPr>
          <w:color w:val="000000"/>
          <w:szCs w:val="24"/>
        </w:rPr>
        <w:t>Fonte: Elaborado pelos autores.</w:t>
      </w:r>
    </w:p>
    <w:p w:rsidR="002C5FD4" w:rsidRPr="002C5FD4" w:rsidRDefault="002C5FD4" w:rsidP="00AE3602">
      <w:pPr>
        <w:ind w:firstLine="567"/>
        <w:rPr>
          <w:color w:val="000000"/>
          <w:szCs w:val="24"/>
        </w:rPr>
      </w:pPr>
      <w:r w:rsidRPr="002C5FD4">
        <w:rPr>
          <w:color w:val="000000"/>
          <w:szCs w:val="24"/>
        </w:rPr>
        <w:lastRenderedPageBreak/>
        <w:t>Dessa maneira, a amostra de pesquisa foi composta por 28 companhias em 2012, 14 em 2013 e 29 em 2014, perfazendo um total de 57 companhias e 130 combinações de negócios analisadas. O número total das companhias é inferior ao somatório das combinações de negócios realizadas nos três períodos pelo fato de algumas companhias terem realizado várias combinações de negócios em um mesmo ano. Dessa maneira, a análise dos dados nesta pesquisa foi realizada por combinações de negócios realizadas, perfazendo um total de 130 casos de combinações de negócios analisados.</w:t>
      </w:r>
    </w:p>
    <w:p w:rsidR="00E24E18" w:rsidRPr="00AA3FF4" w:rsidRDefault="00E24E18" w:rsidP="00AE3602">
      <w:pPr>
        <w:pStyle w:val="Ttulo1"/>
        <w:spacing w:before="0" w:after="0"/>
        <w:ind w:left="432" w:hanging="432"/>
        <w:rPr>
          <w:sz w:val="26"/>
          <w:szCs w:val="26"/>
        </w:rPr>
      </w:pPr>
      <w:r w:rsidRPr="00AA3FF4">
        <w:rPr>
          <w:sz w:val="26"/>
          <w:szCs w:val="26"/>
        </w:rPr>
        <w:t>REFERENCIAL TEÓRICO</w:t>
      </w:r>
    </w:p>
    <w:p w:rsidR="00481B8C" w:rsidRPr="00481B8C" w:rsidRDefault="00481B8C" w:rsidP="00AE3602">
      <w:pPr>
        <w:pStyle w:val="Ttulo2"/>
        <w:rPr>
          <w:b/>
          <w:bCs/>
        </w:rPr>
      </w:pPr>
      <w:r>
        <w:rPr>
          <w:lang w:val="pt-BR"/>
        </w:rPr>
        <w:t>RECONHECIMENTO DOS ATIVOS INTANGÍVEIS NAS COMBINAÇÕES DE NEGÓCIOS</w:t>
      </w:r>
    </w:p>
    <w:p w:rsidR="00481B8C" w:rsidRPr="00481B8C" w:rsidRDefault="00481B8C" w:rsidP="00AE3602">
      <w:pPr>
        <w:rPr>
          <w:bCs/>
        </w:rPr>
      </w:pPr>
      <w:r w:rsidRPr="00481B8C">
        <w:rPr>
          <w:bCs/>
        </w:rPr>
        <w:t>Nos termos do CPC 15 (R1, 2011) as combinações de negócios são operações em que há transferência de controle de um ou mais negócios, independente da forma jurídica da operação, sendo a contabilização pelo método de aquisição. A mensuração dos ativos identificáveis adquiridos e dos passivos assumidos deve ser realizada pelos valores justos da data de aquisição.</w:t>
      </w:r>
    </w:p>
    <w:p w:rsidR="00481B8C" w:rsidRPr="00481B8C" w:rsidRDefault="00481B8C" w:rsidP="00AE3602">
      <w:pPr>
        <w:rPr>
          <w:bCs/>
        </w:rPr>
      </w:pPr>
      <w:r w:rsidRPr="00481B8C">
        <w:rPr>
          <w:bCs/>
        </w:rPr>
        <w:t>Conforme o CPC 15 (R1, 2011), o método de aquisição exige que, em uma combinação de negócios, o adquirente do controle deve ser identificado. Além da identificação do controlador, o referido Pronunciamento CPC 15 (R1, 2011) exige que a data de aquisição do controle seja informada, e ainda deve ser feito o reconhecimento e mensuração dos ativos identificáveis e passivos líquidos assumidos, a participação dos não controladores na adquirida e o ágio por expectativa de rentabilidade futura (</w:t>
      </w:r>
      <w:r w:rsidRPr="00481B8C">
        <w:rPr>
          <w:bCs/>
          <w:i/>
        </w:rPr>
        <w:t>goodwill</w:t>
      </w:r>
      <w:r w:rsidRPr="00481B8C">
        <w:rPr>
          <w:bCs/>
        </w:rPr>
        <w:t xml:space="preserve">). </w:t>
      </w:r>
    </w:p>
    <w:p w:rsidR="00481B8C" w:rsidRPr="00481B8C" w:rsidRDefault="00481B8C" w:rsidP="00AE3602">
      <w:pPr>
        <w:rPr>
          <w:bCs/>
        </w:rPr>
      </w:pPr>
      <w:r w:rsidRPr="00481B8C">
        <w:rPr>
          <w:bCs/>
        </w:rPr>
        <w:t xml:space="preserve">Nesse contexto, nas operações de combinações de negócios existe uma parcela do valor atribuído ao negócio pago pela entidade adquirente que geralmente excede os valores justos dos ativos líquidos adquiridos e dos passivos assumidos. Esse valor é representado pelos ativos intangíveis adquiridos reconhecidos nas operações, os quais podem ser identificáveis ou não identificáveis. </w:t>
      </w:r>
    </w:p>
    <w:p w:rsidR="00481B8C" w:rsidRPr="00481B8C" w:rsidRDefault="00481B8C" w:rsidP="00AE3602">
      <w:pPr>
        <w:rPr>
          <w:bCs/>
        </w:rPr>
      </w:pPr>
      <w:r w:rsidRPr="00481B8C">
        <w:rPr>
          <w:bCs/>
        </w:rPr>
        <w:t>De acordo o CPC 04 (R1, 2010, p.6), ativo intangível é definido como “um ativo não monetário identificável e sem substância física”. Para atender a definição de ativo intangível, o recurso deve ser identificável</w:t>
      </w:r>
      <w:r w:rsidRPr="00481B8C">
        <w:t xml:space="preserve"> </w:t>
      </w:r>
      <w:r w:rsidRPr="00481B8C">
        <w:rPr>
          <w:bCs/>
        </w:rPr>
        <w:t xml:space="preserve">(separável ou resultar de direitos contratuais), controlado pela empresa e ser capaz de gerar benefícios econômicos futuros. </w:t>
      </w:r>
    </w:p>
    <w:p w:rsidR="00481B8C" w:rsidRPr="00481B8C" w:rsidRDefault="00481B8C" w:rsidP="00AE3602">
      <w:pPr>
        <w:rPr>
          <w:bCs/>
        </w:rPr>
      </w:pPr>
      <w:r w:rsidRPr="00481B8C">
        <w:rPr>
          <w:bCs/>
        </w:rPr>
        <w:t xml:space="preserve">No que tange a mensuração, alguns ativos intangíveis sofrem amortização da mesma forma que os ativos tangíveis são depreciados e outros possuem vida útil indefinida, não sofrendo amortização periódica e sendo testados por </w:t>
      </w:r>
      <w:r w:rsidRPr="00481B8C">
        <w:rPr>
          <w:bCs/>
          <w:i/>
        </w:rPr>
        <w:t>impairment</w:t>
      </w:r>
      <w:r w:rsidRPr="00481B8C">
        <w:rPr>
          <w:bCs/>
        </w:rPr>
        <w:t xml:space="preserve"> a cada ano. A vida útil empregada deve ser sua duração econômica estimada. (MARQUES; SANTOS; GOUVEIA, 2011).</w:t>
      </w:r>
    </w:p>
    <w:p w:rsidR="00481B8C" w:rsidRPr="00481B8C" w:rsidRDefault="00481B8C" w:rsidP="00AE3602">
      <w:pPr>
        <w:rPr>
          <w:bCs/>
        </w:rPr>
      </w:pPr>
      <w:r w:rsidRPr="00481B8C">
        <w:rPr>
          <w:bCs/>
        </w:rPr>
        <w:t xml:space="preserve">Ressalta-se que existe também o </w:t>
      </w:r>
      <w:r w:rsidRPr="00481B8C">
        <w:rPr>
          <w:bCs/>
          <w:i/>
        </w:rPr>
        <w:t>goodwill</w:t>
      </w:r>
      <w:r w:rsidRPr="00481B8C">
        <w:rPr>
          <w:bCs/>
        </w:rPr>
        <w:t xml:space="preserve"> que é considerado um intangível, apesar de não ser identificável, contudo, este ativo é tratado de maneira específica pelo CPC 15 (R1, 2011), não estando no escopo do pronunciamento CPC 04 (R1, 2010).</w:t>
      </w:r>
    </w:p>
    <w:p w:rsidR="00481B8C" w:rsidRPr="00481B8C" w:rsidRDefault="00481B8C" w:rsidP="00AE3602">
      <w:pPr>
        <w:rPr>
          <w:bCs/>
        </w:rPr>
      </w:pPr>
      <w:r w:rsidRPr="00481B8C">
        <w:rPr>
          <w:bCs/>
        </w:rPr>
        <w:t xml:space="preserve">Concernente ao reconhecimento e à caracterização, Hendriksen e Van Breda (2009) aduzem que os ativos intangíveis constituem elementos incorpóreos, não deixando de ser considerados ativos simplesmente por não apresentarem substância física. Sendo assim, seu </w:t>
      </w:r>
      <w:r w:rsidRPr="00481B8C">
        <w:rPr>
          <w:bCs/>
        </w:rPr>
        <w:lastRenderedPageBreak/>
        <w:t>reconhecimento deve ser realizado em consonância com as normas e procedimentos estabelecidos para todos os ativos. Souza (2015) considera, com base no Pronunciamento CPC 04 (R1) que rege os ativos intangíveis, que:</w:t>
      </w:r>
    </w:p>
    <w:p w:rsidR="00481B8C" w:rsidRPr="00481B8C" w:rsidRDefault="00481B8C" w:rsidP="00AE3602">
      <w:r w:rsidRPr="00481B8C">
        <w:t>A definição de ativo intangível disposta pelo CPC 04 R1 exige que ele seja identificável, o que exclui o ágio derivado da expectativa de rentabilidade futura (</w:t>
      </w:r>
      <w:r w:rsidRPr="00481B8C">
        <w:rPr>
          <w:i/>
          <w:iCs/>
        </w:rPr>
        <w:t xml:space="preserve">goodwill) </w:t>
      </w:r>
      <w:r w:rsidRPr="00481B8C">
        <w:t>do seu escopo</w:t>
      </w:r>
      <w:r w:rsidRPr="00481B8C">
        <w:rPr>
          <w:i/>
          <w:iCs/>
        </w:rPr>
        <w:t xml:space="preserve">, </w:t>
      </w:r>
      <w:r w:rsidRPr="00481B8C">
        <w:t xml:space="preserve">visto que os ativos que podem separadamente ser identificados são reconhecidos separadamente do </w:t>
      </w:r>
      <w:r w:rsidRPr="00481B8C">
        <w:rPr>
          <w:i/>
        </w:rPr>
        <w:t>goodwill</w:t>
      </w:r>
      <w:r w:rsidRPr="00481B8C">
        <w:t xml:space="preserve"> em uma combinação de negócios, já aqueles que não podem ser separados e mensurados confiavelmente integram o valor do </w:t>
      </w:r>
      <w:r w:rsidRPr="00481B8C">
        <w:rPr>
          <w:i/>
        </w:rPr>
        <w:t>goodwill</w:t>
      </w:r>
      <w:r w:rsidRPr="00481B8C">
        <w:t xml:space="preserve"> gerado na combinação de negócios. (SOUZA, 2015). </w:t>
      </w:r>
    </w:p>
    <w:p w:rsidR="00481B8C" w:rsidRPr="00481B8C" w:rsidRDefault="00481B8C" w:rsidP="00AE3602">
      <w:pPr>
        <w:rPr>
          <w:bCs/>
        </w:rPr>
      </w:pPr>
      <w:r w:rsidRPr="00481B8C">
        <w:rPr>
          <w:bCs/>
        </w:rPr>
        <w:t xml:space="preserve">Desse modo, os ativos intangíveis que não atendem a definição estabelecida pelo CPC 04 (R1), no qual o ativo intangível deve ser identificável, devem ser integrados ao valor do </w:t>
      </w:r>
      <w:r w:rsidRPr="00481B8C">
        <w:rPr>
          <w:bCs/>
          <w:i/>
        </w:rPr>
        <w:t xml:space="preserve">goodwill </w:t>
      </w:r>
      <w:r w:rsidRPr="00481B8C">
        <w:rPr>
          <w:bCs/>
        </w:rPr>
        <w:t>(ágio gerado na expectativa de rentabilidade futura) gerado na combinação de negócios.</w:t>
      </w:r>
    </w:p>
    <w:p w:rsidR="00481B8C" w:rsidRPr="00481B8C" w:rsidRDefault="00481B8C" w:rsidP="00AE3602">
      <w:r w:rsidRPr="00481B8C">
        <w:t xml:space="preserve">O CPC 15 (R1, 2011, p.21) conceitua o </w:t>
      </w:r>
      <w:r w:rsidRPr="00481B8C">
        <w:rPr>
          <w:i/>
        </w:rPr>
        <w:t>goodwill</w:t>
      </w:r>
      <w:r w:rsidRPr="00481B8C">
        <w:t xml:space="preserve"> como “um ativo que representa benefícios econômicos futuros resultantes dos ativos adquiridos em combinação de negócios, os quais não são individualmente identificados e separadamente reconhecidos”. Para Schmidt e Santos (2009) o </w:t>
      </w:r>
      <w:r w:rsidRPr="00481B8C">
        <w:rPr>
          <w:i/>
        </w:rPr>
        <w:t xml:space="preserve">goodwill </w:t>
      </w:r>
      <w:r w:rsidRPr="00481B8C">
        <w:t>é um excesso do preço pago na aquisição de um negócio acima ou abaixo do valor avaliado de seus ativos líquidos.</w:t>
      </w:r>
    </w:p>
    <w:p w:rsidR="00481B8C" w:rsidRPr="00481B8C" w:rsidRDefault="00481B8C" w:rsidP="00AE3602">
      <w:r w:rsidRPr="00481B8C">
        <w:rPr>
          <w:bCs/>
        </w:rPr>
        <w:t xml:space="preserve">Souza (2015) explica que quando o preço pago pela controladora for maior que a porcentagem do patrimônio líquido (PL) contábil da adquirida, a diferença total constituirá um ágio que será divido em três itens, sendo eles: i) a diferença entre o valor justo e o valor contábil dos ativos líquidos da adquirida, ii) os intangíveis identificáveis, e iii) o </w:t>
      </w:r>
      <w:r w:rsidRPr="00481B8C">
        <w:rPr>
          <w:bCs/>
          <w:i/>
        </w:rPr>
        <w:t>goodwill.</w:t>
      </w:r>
    </w:p>
    <w:p w:rsidR="00481B8C" w:rsidRPr="00481B8C" w:rsidRDefault="00481B8C" w:rsidP="00AE3602">
      <w:r w:rsidRPr="00481B8C">
        <w:t xml:space="preserve">Dessa maneira, o </w:t>
      </w:r>
      <w:r w:rsidRPr="00481B8C">
        <w:rPr>
          <w:i/>
        </w:rPr>
        <w:t>goodwill</w:t>
      </w:r>
      <w:r w:rsidRPr="00481B8C">
        <w:t xml:space="preserve"> é um ativo com alto grau de subjetividade, sendo considerado pelos usuários da informação contábil como um dos ativos mais complexos na sua definição, além da forma de mensuração e reconhecimento. (SCHMIDT, SANTOS, 2009). </w:t>
      </w:r>
    </w:p>
    <w:p w:rsidR="00481B8C" w:rsidRDefault="00481B8C" w:rsidP="00AE3602">
      <w:pPr>
        <w:rPr>
          <w:bCs/>
        </w:rPr>
      </w:pPr>
      <w:r w:rsidRPr="00481B8C">
        <w:rPr>
          <w:bCs/>
        </w:rPr>
        <w:t xml:space="preserve">Vale salientar que o CPC 15 (R1, 2011) permite que as companhias adquirentes realizem ajustes nos valores reconhecidos na combinação de negócios durante o período de mensuração, que não poderá exceder um ano após a data de aquisição. Os ajustes que forem realizados nesse período terão o </w:t>
      </w:r>
      <w:r w:rsidRPr="00481B8C">
        <w:rPr>
          <w:bCs/>
          <w:i/>
        </w:rPr>
        <w:t>goodwill</w:t>
      </w:r>
      <w:r w:rsidRPr="00481B8C">
        <w:rPr>
          <w:bCs/>
        </w:rPr>
        <w:t xml:space="preserve"> como contrapartida.</w:t>
      </w:r>
    </w:p>
    <w:p w:rsidR="00481B8C" w:rsidRPr="00481B8C" w:rsidRDefault="00481B8C" w:rsidP="00AE3602">
      <w:pPr>
        <w:pStyle w:val="Ttulo2"/>
        <w:rPr>
          <w:b/>
        </w:rPr>
      </w:pPr>
      <w:r>
        <w:rPr>
          <w:lang w:val="pt-BR"/>
        </w:rPr>
        <w:t>ESTUDOS SEMELHANTES</w:t>
      </w:r>
    </w:p>
    <w:p w:rsidR="00481B8C" w:rsidRPr="00481B8C" w:rsidRDefault="00481B8C" w:rsidP="00AE3602">
      <w:r w:rsidRPr="00481B8C">
        <w:t xml:space="preserve">Para seleção das pesquisas semelhantes foi realizado um levantamento nas bases de dados </w:t>
      </w:r>
      <w:r w:rsidRPr="00481B8C">
        <w:rPr>
          <w:i/>
        </w:rPr>
        <w:t>Scientific Periodicals Electronic Library</w:t>
      </w:r>
      <w:r w:rsidRPr="00481B8C">
        <w:t xml:space="preserve"> (SPELL) e da Coordenação de Aperfeiçoamento de Pessoal de Nível Superior (CAPES), nos Congressos de Contabilidade da Universidade Federal de Santa Catarina, Congresso de Contabilidade da Universidade de São Paulo e Associação Nacional de Programas de Pós-graduação em Ciências Contábeis (ANPCONT), todos na área de contabilidade. </w:t>
      </w:r>
    </w:p>
    <w:p w:rsidR="00481B8C" w:rsidRDefault="00481B8C" w:rsidP="00AE3602">
      <w:r w:rsidRPr="00481B8C">
        <w:t xml:space="preserve">Foram fixadas as seguintes palavras-chave para o levantamento de trabalhos: Intangível, Intangível Identificável, </w:t>
      </w:r>
      <w:r w:rsidRPr="00481B8C">
        <w:rPr>
          <w:i/>
        </w:rPr>
        <w:t>Goodwill</w:t>
      </w:r>
      <w:r w:rsidRPr="00481B8C">
        <w:t xml:space="preserve"> e Combinações de Negócios. O Quadro 1 apresenta os estudos semelhantes identificados de acordo com os parâmetros de busca especificados. </w:t>
      </w:r>
    </w:p>
    <w:p w:rsidR="00516A9E" w:rsidRDefault="00516A9E" w:rsidP="00AE3602"/>
    <w:p w:rsidR="00481B8C" w:rsidRPr="00481B8C" w:rsidRDefault="00516A9E" w:rsidP="00AE3602">
      <w:pPr>
        <w:ind w:firstLine="0"/>
      </w:pPr>
      <w:r>
        <w:lastRenderedPageBreak/>
        <w:t xml:space="preserve">  </w:t>
      </w:r>
      <w:r w:rsidR="00481B8C" w:rsidRPr="00481B8C">
        <w:t>Quadro 1: Pesquisas semelhantes sobre ativos intangíveis e combinações de negócios</w:t>
      </w:r>
    </w:p>
    <w:tbl>
      <w:tblPr>
        <w:tblW w:w="9147" w:type="dxa"/>
        <w:jc w:val="center"/>
        <w:tblCellMar>
          <w:left w:w="70" w:type="dxa"/>
          <w:right w:w="70" w:type="dxa"/>
        </w:tblCellMar>
        <w:tblLook w:val="04A0"/>
      </w:tblPr>
      <w:tblGrid>
        <w:gridCol w:w="1195"/>
        <w:gridCol w:w="3520"/>
        <w:gridCol w:w="4432"/>
      </w:tblGrid>
      <w:tr w:rsidR="00481B8C" w:rsidRPr="00481B8C" w:rsidTr="00481B8C">
        <w:trPr>
          <w:trHeight w:val="315"/>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Autores</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Objetivo e período analisado</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Resultados</w:t>
            </w:r>
          </w:p>
        </w:tc>
      </w:tr>
      <w:tr w:rsidR="00481B8C" w:rsidRPr="00481B8C" w:rsidTr="00481B8C">
        <w:trPr>
          <w:trHeight w:val="315"/>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bCs/>
                <w:sz w:val="20"/>
              </w:rPr>
              <w:t xml:space="preserve">Watanabe </w:t>
            </w:r>
            <w:r w:rsidRPr="00481B8C">
              <w:rPr>
                <w:bCs/>
                <w:i/>
                <w:sz w:val="20"/>
              </w:rPr>
              <w:t>et al</w:t>
            </w:r>
            <w:r w:rsidRPr="00481B8C">
              <w:rPr>
                <w:bCs/>
                <w:sz w:val="20"/>
              </w:rPr>
              <w:t>. (2006)</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bCs/>
                <w:sz w:val="20"/>
              </w:rPr>
              <w:t>Analisar as operações de combinações de negócios de acordo com as normas brasileiras e norte-americanas em uma empresa do ramo de papel e celulose, no período de 2003.</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bCs/>
                <w:sz w:val="20"/>
              </w:rPr>
            </w:pPr>
            <w:r w:rsidRPr="00481B8C">
              <w:rPr>
                <w:bCs/>
                <w:sz w:val="20"/>
              </w:rPr>
              <w:t xml:space="preserve">Os resultados mostraram que o nível de divulgação e evidenciação da demonstração financeira norte-americana é superior ao brasileiro, pois oferece aos usuários da informação maiores detalhes sobre as operações. </w:t>
            </w:r>
          </w:p>
        </w:tc>
      </w:tr>
      <w:tr w:rsidR="00481B8C" w:rsidRPr="00481B8C" w:rsidTr="00481B8C">
        <w:trPr>
          <w:trHeight w:val="315"/>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bCs/>
                <w:sz w:val="20"/>
              </w:rPr>
              <w:t>Tonera e Souza (2015)</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bCs/>
                <w:sz w:val="20"/>
              </w:rPr>
              <w:t>Comparar o nível de evidenciação e os efeitos no desempenho pós-combinação de negócios das empresas TAM e GOL.</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bCs/>
                <w:sz w:val="20"/>
              </w:rPr>
              <w:t xml:space="preserve">Os resultados do estudo foram que, considerando a divulgação das informações, a empresa TAM apresentou maior nível de evidenciação das informações sobre as combinações de negócios. Referente ao desempenho, constatou-se que as duas empresas apresentaram significativas melhoras pós-combinações de negócios. </w:t>
            </w:r>
          </w:p>
        </w:tc>
      </w:tr>
      <w:tr w:rsidR="00481B8C" w:rsidRPr="00481B8C" w:rsidTr="00481B8C">
        <w:trPr>
          <w:trHeight w:val="315"/>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bCs/>
                <w:sz w:val="20"/>
              </w:rPr>
              <w:t>Barros e Rodrigues (2014)</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bCs/>
                <w:sz w:val="20"/>
              </w:rPr>
            </w:pPr>
            <w:r w:rsidRPr="00481B8C">
              <w:rPr>
                <w:bCs/>
                <w:sz w:val="20"/>
              </w:rPr>
              <w:t xml:space="preserve">Analisar as aquisições de participações realizadas por sessenta empresas no exercício de 2011. </w:t>
            </w:r>
          </w:p>
          <w:p w:rsidR="00481B8C" w:rsidRPr="00481B8C" w:rsidRDefault="00481B8C" w:rsidP="00AE3602">
            <w:pPr>
              <w:rPr>
                <w:sz w:val="20"/>
              </w:rPr>
            </w:pP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bCs/>
                <w:sz w:val="20"/>
              </w:rPr>
              <w:t>Os resultados da analise demonstraram que muitas empresas não estão divulgando as informações conforme as determinações constantes das normas internacionais de contabilidade.</w:t>
            </w:r>
          </w:p>
        </w:tc>
      </w:tr>
      <w:tr w:rsidR="00481B8C" w:rsidRPr="00481B8C" w:rsidTr="00481B8C">
        <w:trPr>
          <w:trHeight w:val="315"/>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 xml:space="preserve">Marques </w:t>
            </w:r>
            <w:r w:rsidRPr="00481B8C">
              <w:rPr>
                <w:i/>
                <w:sz w:val="20"/>
              </w:rPr>
              <w:t>et al</w:t>
            </w:r>
            <w:r w:rsidRPr="00481B8C">
              <w:rPr>
                <w:sz w:val="20"/>
              </w:rPr>
              <w:t>. (2011)</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Analisar dos ativos intangíveis divulgados nas demonstrações contábeis de 2008 pelas companhias vencedoras do 13º Prêmio ANEFAC-FIPECAFI-SERASA EXPERIAN – Troféu Transparência 2009, para identificar a adesão de tais demonstrações às normas de divulgação constantes nos Pronunciamentos técnicos.</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 xml:space="preserve">A pesquisa concluiu que a maioria das empresas analisadas está cumprindo as normas pertinentes à divulgação desses ativos. A classe dos ativos intangíveis presentes nas demonstrações contábeis está aderente à normatização contábil vigente. </w:t>
            </w:r>
          </w:p>
        </w:tc>
      </w:tr>
      <w:tr w:rsidR="00481B8C" w:rsidRPr="00481B8C" w:rsidTr="00481B8C">
        <w:trPr>
          <w:trHeight w:val="315"/>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Chaves e Junior (2013)</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Verificar se existe relação entre os retornos dos ativos intangíveis publicados em balanço patrimonial e o retorno do valor de mercado das empresas da Bovespa nos últimos cinco períodos trimestrais de dados publicados.</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O estudo concluiu que os ativos intangíveis organizacionais não refletem uma amortização ou criação de valores de mercados respectivos. Também foi constatado que o valor de mercado gerado pelas expectativas dos investidores não sofre influência do somatório de valores incorpóreos organizacionais.</w:t>
            </w:r>
          </w:p>
        </w:tc>
      </w:tr>
      <w:tr w:rsidR="00481B8C" w:rsidRPr="00481B8C" w:rsidTr="00481B8C">
        <w:trPr>
          <w:trHeight w:val="315"/>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Nakayama e Salotti (2014)</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Identificar quais os fatores que influenciam a decisão da empresa em divulgar um maior ou menor nível de informação sobre as operações de combinação de negócios ocorridas em 2010.</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 xml:space="preserve">Os resultados indicam que o porte da empresa de auditoria influencia o nível de divulgação das informações sobre a combinação de negócios. </w:t>
            </w:r>
          </w:p>
        </w:tc>
      </w:tr>
      <w:tr w:rsidR="00481B8C" w:rsidRPr="00481B8C" w:rsidTr="00481B8C">
        <w:trPr>
          <w:trHeight w:val="132"/>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Mantovani e Santos (2014)</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Apresentar quais os impactos dos ativos intangíveis no patrimônio das entidades brasileiras listadas na BM&amp;FBOVESPA, com base no período de 2012.</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rsidR="00481B8C" w:rsidRPr="00481B8C" w:rsidRDefault="00481B8C" w:rsidP="00AE3602">
            <w:pPr>
              <w:ind w:firstLine="0"/>
              <w:rPr>
                <w:sz w:val="20"/>
              </w:rPr>
            </w:pPr>
            <w:r w:rsidRPr="00481B8C">
              <w:rPr>
                <w:sz w:val="20"/>
              </w:rPr>
              <w:t>Os resultados demonstraram que em algumas companhias os intangíveis chegam a representar quase a totalidade dos ativos da empresa. Eles acreditam que os ativos intangíveis são bens que podem influenciar diretamente nas operações de aquisição e fusão entre empresas ou oferta de ações.</w:t>
            </w:r>
          </w:p>
        </w:tc>
      </w:tr>
    </w:tbl>
    <w:p w:rsidR="00481B8C" w:rsidRPr="00481B8C" w:rsidRDefault="00481B8C" w:rsidP="00481B8C">
      <w:pPr>
        <w:ind w:firstLine="0"/>
      </w:pPr>
      <w:r>
        <w:t xml:space="preserve">  </w:t>
      </w:r>
      <w:r w:rsidRPr="00481B8C">
        <w:t>Fonte: Elaborado pelos autores.</w:t>
      </w:r>
    </w:p>
    <w:p w:rsidR="00E24E18" w:rsidRDefault="00481B8C" w:rsidP="00AE3602">
      <w:r w:rsidRPr="00481B8C">
        <w:lastRenderedPageBreak/>
        <w:t xml:space="preserve">A partir dos estudos selecionados, percebe-se que apesar da convergência das normas internacionais, ainda existem muitas companhias que não estão divulgando as informações conforme as determinações constantes das normas internacionais de contabilidade, o que pode acarretar em distorções das informações contábeis. </w:t>
      </w:r>
    </w:p>
    <w:p w:rsidR="00E24E18" w:rsidRPr="00AA3FF4" w:rsidRDefault="00E24E18" w:rsidP="00AE3602">
      <w:pPr>
        <w:pStyle w:val="Ttulo1"/>
        <w:spacing w:before="0" w:after="0"/>
        <w:ind w:left="432" w:hanging="432"/>
        <w:rPr>
          <w:sz w:val="26"/>
          <w:szCs w:val="26"/>
        </w:rPr>
      </w:pPr>
      <w:r w:rsidRPr="00AA3FF4">
        <w:rPr>
          <w:sz w:val="26"/>
          <w:szCs w:val="26"/>
        </w:rPr>
        <w:t xml:space="preserve">APRESENTAÇÃO E DISCUSSÃO DOS RESULTADOS </w:t>
      </w:r>
    </w:p>
    <w:p w:rsidR="002C5FD4" w:rsidRPr="002C5FD4" w:rsidRDefault="002C5FD4" w:rsidP="00AE3602">
      <w:pPr>
        <w:rPr>
          <w:bCs/>
        </w:rPr>
      </w:pPr>
      <w:r w:rsidRPr="002C5FD4">
        <w:rPr>
          <w:bCs/>
        </w:rPr>
        <w:t>A Tabela 1 demonstra o reconhecimento dos ativos intangíveis adquiridos nas combinações de negócios e o percentual em relação ao total de combinações de negócios ocorridas nos três períodos analisados (130 combinações de negócios analisadas).</w:t>
      </w:r>
    </w:p>
    <w:p w:rsidR="002C5FD4" w:rsidRPr="002C5FD4" w:rsidRDefault="00910737" w:rsidP="00AE3602">
      <w:pPr>
        <w:ind w:firstLine="0"/>
        <w:rPr>
          <w:bCs/>
        </w:rPr>
      </w:pPr>
      <w:r>
        <w:rPr>
          <w:bCs/>
        </w:rPr>
        <w:t xml:space="preserve">           </w:t>
      </w:r>
      <w:r w:rsidR="002C5FD4" w:rsidRPr="002C5FD4">
        <w:rPr>
          <w:bCs/>
        </w:rPr>
        <w:t>Tabela 1: Ativos intangíveis adquiridos X combinações de negócios analisadas</w:t>
      </w:r>
    </w:p>
    <w:tbl>
      <w:tblPr>
        <w:tblW w:w="8056" w:type="dxa"/>
        <w:jc w:val="center"/>
        <w:tblInd w:w="53" w:type="dxa"/>
        <w:tblCellMar>
          <w:left w:w="70" w:type="dxa"/>
          <w:right w:w="70" w:type="dxa"/>
        </w:tblCellMar>
        <w:tblLook w:val="04A0"/>
      </w:tblPr>
      <w:tblGrid>
        <w:gridCol w:w="4156"/>
        <w:gridCol w:w="566"/>
        <w:gridCol w:w="545"/>
        <w:gridCol w:w="545"/>
        <w:gridCol w:w="2244"/>
      </w:tblGrid>
      <w:tr w:rsidR="002C5FD4" w:rsidRPr="00DB058D" w:rsidTr="002C5FD4">
        <w:trPr>
          <w:trHeight w:val="255"/>
          <w:jc w:val="center"/>
        </w:trPr>
        <w:tc>
          <w:tcPr>
            <w:tcW w:w="4156" w:type="dxa"/>
            <w:vMerge w:val="restart"/>
            <w:tcBorders>
              <w:top w:val="single" w:sz="4" w:space="0" w:color="auto"/>
              <w:left w:val="nil"/>
              <w:bottom w:val="single" w:sz="4" w:space="0" w:color="000000"/>
              <w:right w:val="single" w:sz="4" w:space="0" w:color="auto"/>
            </w:tcBorders>
            <w:shd w:val="clear" w:color="000000" w:fill="FFFFFF"/>
            <w:noWrap/>
            <w:hideMark/>
          </w:tcPr>
          <w:p w:rsidR="002C5FD4" w:rsidRPr="00DB058D" w:rsidRDefault="002C5FD4" w:rsidP="00AE3602">
            <w:pPr>
              <w:rPr>
                <w:sz w:val="20"/>
              </w:rPr>
            </w:pPr>
          </w:p>
          <w:p w:rsidR="002C5FD4" w:rsidRPr="00DB058D" w:rsidRDefault="002C5FD4" w:rsidP="00AE3602">
            <w:pPr>
              <w:ind w:firstLine="0"/>
              <w:rPr>
                <w:sz w:val="20"/>
              </w:rPr>
            </w:pPr>
            <w:r w:rsidRPr="00DB058D">
              <w:rPr>
                <w:sz w:val="20"/>
              </w:rPr>
              <w:t>Reconhecimento dos ativos intangíveis adquiridos nas combinações de negócios</w:t>
            </w:r>
          </w:p>
        </w:tc>
        <w:tc>
          <w:tcPr>
            <w:tcW w:w="3900" w:type="dxa"/>
            <w:gridSpan w:val="4"/>
            <w:tcBorders>
              <w:top w:val="single" w:sz="4" w:space="0" w:color="auto"/>
              <w:left w:val="nil"/>
              <w:bottom w:val="single" w:sz="4" w:space="0" w:color="auto"/>
              <w:right w:val="nil"/>
            </w:tcBorders>
            <w:shd w:val="clear" w:color="000000" w:fill="FFFFFF"/>
            <w:vAlign w:val="bottom"/>
            <w:hideMark/>
          </w:tcPr>
          <w:p w:rsidR="002C5FD4" w:rsidRPr="00DB058D" w:rsidRDefault="002C5FD4" w:rsidP="00AE3602">
            <w:pPr>
              <w:ind w:firstLine="0"/>
              <w:rPr>
                <w:sz w:val="20"/>
              </w:rPr>
            </w:pPr>
            <w:r w:rsidRPr="00DB058D">
              <w:rPr>
                <w:sz w:val="20"/>
              </w:rPr>
              <w:t>Quantidade de combinações de negócios</w:t>
            </w:r>
          </w:p>
        </w:tc>
      </w:tr>
      <w:tr w:rsidR="002C5FD4" w:rsidRPr="00DB058D" w:rsidTr="002C5FD4">
        <w:trPr>
          <w:trHeight w:val="577"/>
          <w:jc w:val="center"/>
        </w:trPr>
        <w:tc>
          <w:tcPr>
            <w:tcW w:w="4156" w:type="dxa"/>
            <w:vMerge/>
            <w:tcBorders>
              <w:top w:val="single" w:sz="4" w:space="0" w:color="auto"/>
              <w:left w:val="nil"/>
              <w:bottom w:val="single" w:sz="4" w:space="0" w:color="000000"/>
              <w:right w:val="single" w:sz="4" w:space="0" w:color="auto"/>
            </w:tcBorders>
            <w:vAlign w:val="center"/>
            <w:hideMark/>
          </w:tcPr>
          <w:p w:rsidR="002C5FD4" w:rsidRPr="00DB058D" w:rsidRDefault="002C5FD4" w:rsidP="00AE3602">
            <w:pPr>
              <w:rPr>
                <w:sz w:val="20"/>
              </w:rPr>
            </w:pPr>
          </w:p>
        </w:tc>
        <w:tc>
          <w:tcPr>
            <w:tcW w:w="566" w:type="dxa"/>
            <w:tcBorders>
              <w:top w:val="nil"/>
              <w:left w:val="nil"/>
              <w:bottom w:val="single" w:sz="4" w:space="0" w:color="auto"/>
              <w:right w:val="single" w:sz="4" w:space="0" w:color="auto"/>
            </w:tcBorders>
            <w:shd w:val="clear" w:color="000000" w:fill="FFFFFF"/>
            <w:noWrap/>
            <w:vAlign w:val="center"/>
            <w:hideMark/>
          </w:tcPr>
          <w:p w:rsidR="002C5FD4" w:rsidRPr="00DB058D" w:rsidRDefault="002C5FD4" w:rsidP="00AE3602">
            <w:pPr>
              <w:ind w:firstLine="0"/>
              <w:rPr>
                <w:sz w:val="20"/>
              </w:rPr>
            </w:pPr>
            <w:r w:rsidRPr="00DB058D">
              <w:rPr>
                <w:sz w:val="20"/>
              </w:rPr>
              <w:t>2012</w:t>
            </w:r>
          </w:p>
        </w:tc>
        <w:tc>
          <w:tcPr>
            <w:tcW w:w="545" w:type="dxa"/>
            <w:tcBorders>
              <w:top w:val="nil"/>
              <w:left w:val="nil"/>
              <w:bottom w:val="single" w:sz="4" w:space="0" w:color="auto"/>
              <w:right w:val="single" w:sz="4" w:space="0" w:color="auto"/>
            </w:tcBorders>
            <w:shd w:val="clear" w:color="000000" w:fill="FFFFFF"/>
            <w:noWrap/>
            <w:vAlign w:val="center"/>
            <w:hideMark/>
          </w:tcPr>
          <w:p w:rsidR="002C5FD4" w:rsidRPr="00DB058D" w:rsidRDefault="002C5FD4" w:rsidP="00AE3602">
            <w:pPr>
              <w:ind w:firstLine="0"/>
              <w:rPr>
                <w:sz w:val="20"/>
              </w:rPr>
            </w:pPr>
            <w:r w:rsidRPr="00DB058D">
              <w:rPr>
                <w:sz w:val="20"/>
              </w:rPr>
              <w:t>2013</w:t>
            </w:r>
          </w:p>
        </w:tc>
        <w:tc>
          <w:tcPr>
            <w:tcW w:w="545" w:type="dxa"/>
            <w:tcBorders>
              <w:top w:val="nil"/>
              <w:left w:val="nil"/>
              <w:bottom w:val="single" w:sz="4" w:space="0" w:color="auto"/>
              <w:right w:val="single" w:sz="4" w:space="0" w:color="auto"/>
            </w:tcBorders>
            <w:shd w:val="clear" w:color="000000" w:fill="FFFFFF"/>
            <w:noWrap/>
            <w:vAlign w:val="center"/>
            <w:hideMark/>
          </w:tcPr>
          <w:p w:rsidR="002C5FD4" w:rsidRPr="00DB058D" w:rsidRDefault="002C5FD4" w:rsidP="00AE3602">
            <w:pPr>
              <w:ind w:firstLine="0"/>
              <w:rPr>
                <w:sz w:val="20"/>
              </w:rPr>
            </w:pPr>
            <w:r w:rsidRPr="00DB058D">
              <w:rPr>
                <w:sz w:val="20"/>
              </w:rPr>
              <w:t>2014</w:t>
            </w:r>
          </w:p>
        </w:tc>
        <w:tc>
          <w:tcPr>
            <w:tcW w:w="2244" w:type="dxa"/>
            <w:tcBorders>
              <w:top w:val="nil"/>
              <w:left w:val="nil"/>
              <w:bottom w:val="single" w:sz="4" w:space="0" w:color="auto"/>
              <w:right w:val="nil"/>
            </w:tcBorders>
            <w:shd w:val="clear" w:color="000000" w:fill="FFFFFF"/>
            <w:vAlign w:val="center"/>
            <w:hideMark/>
          </w:tcPr>
          <w:p w:rsidR="002C5FD4" w:rsidRPr="00DB058D" w:rsidRDefault="002C5FD4" w:rsidP="00AE3602">
            <w:pPr>
              <w:ind w:firstLine="0"/>
              <w:rPr>
                <w:sz w:val="20"/>
              </w:rPr>
            </w:pPr>
            <w:r w:rsidRPr="00DB058D">
              <w:rPr>
                <w:sz w:val="20"/>
              </w:rPr>
              <w:t>% em relação ao total de combinações de negócios</w:t>
            </w:r>
          </w:p>
        </w:tc>
      </w:tr>
      <w:tr w:rsidR="002C5FD4" w:rsidRPr="00DB058D" w:rsidTr="00696581">
        <w:trPr>
          <w:trHeight w:val="377"/>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 xml:space="preserve">Reconheceu </w:t>
            </w:r>
            <w:r w:rsidRPr="00DB058D">
              <w:rPr>
                <w:i/>
                <w:sz w:val="20"/>
              </w:rPr>
              <w:t>Goodwill</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42</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32</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34</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83,08%</w:t>
            </w:r>
          </w:p>
        </w:tc>
      </w:tr>
      <w:tr w:rsidR="002C5FD4" w:rsidRPr="00DB058D" w:rsidTr="00696581">
        <w:trPr>
          <w:trHeight w:val="342"/>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 xml:space="preserve">Reconheceu apenas </w:t>
            </w:r>
            <w:r w:rsidRPr="00DB058D">
              <w:rPr>
                <w:i/>
                <w:iCs/>
                <w:sz w:val="20"/>
              </w:rPr>
              <w:t>Goodwill</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17</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16</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18</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39,23%</w:t>
            </w:r>
          </w:p>
        </w:tc>
      </w:tr>
      <w:tr w:rsidR="002C5FD4" w:rsidRPr="00DB058D" w:rsidTr="002C5FD4">
        <w:trPr>
          <w:trHeight w:val="255"/>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 xml:space="preserve">Não Reconheceu </w:t>
            </w:r>
            <w:r w:rsidRPr="00DB058D">
              <w:rPr>
                <w:i/>
                <w:iCs/>
                <w:sz w:val="20"/>
              </w:rPr>
              <w:t>Goodwill</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8</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2</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8</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13,85%</w:t>
            </w:r>
          </w:p>
        </w:tc>
      </w:tr>
      <w:tr w:rsidR="002C5FD4" w:rsidRPr="00DB058D" w:rsidTr="002C5FD4">
        <w:trPr>
          <w:trHeight w:val="255"/>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Reconheceu apenas Intangível Identificável</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2</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2</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3,85%</w:t>
            </w:r>
          </w:p>
        </w:tc>
      </w:tr>
      <w:tr w:rsidR="002C5FD4" w:rsidRPr="00DB058D" w:rsidTr="002C5FD4">
        <w:trPr>
          <w:trHeight w:val="255"/>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Não Reconheceu Intangível Identificável</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27</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17</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25</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53,08%</w:t>
            </w:r>
          </w:p>
        </w:tc>
      </w:tr>
      <w:tr w:rsidR="002C5FD4" w:rsidRPr="00DB058D" w:rsidTr="002C5FD4">
        <w:trPr>
          <w:trHeight w:val="255"/>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 xml:space="preserve">Reconheceu </w:t>
            </w:r>
            <w:r w:rsidRPr="00DB058D">
              <w:rPr>
                <w:i/>
                <w:iCs/>
                <w:sz w:val="20"/>
              </w:rPr>
              <w:t>Goodwill</w:t>
            </w:r>
            <w:r w:rsidRPr="00DB058D">
              <w:rPr>
                <w:sz w:val="20"/>
              </w:rPr>
              <w:t xml:space="preserve"> e Intangível Identificável</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24</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16</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16</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43,08%</w:t>
            </w:r>
          </w:p>
        </w:tc>
      </w:tr>
      <w:tr w:rsidR="002C5FD4" w:rsidRPr="00DB058D" w:rsidTr="002C5FD4">
        <w:trPr>
          <w:trHeight w:val="255"/>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Reconheceu apenas Ganho por Compra Vantajosa</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3</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0</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1</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3,08%</w:t>
            </w:r>
          </w:p>
        </w:tc>
      </w:tr>
      <w:tr w:rsidR="002C5FD4" w:rsidRPr="00DB058D" w:rsidTr="002C5FD4">
        <w:trPr>
          <w:trHeight w:val="510"/>
          <w:jc w:val="center"/>
        </w:trPr>
        <w:tc>
          <w:tcPr>
            <w:tcW w:w="4156" w:type="dxa"/>
            <w:tcBorders>
              <w:top w:val="nil"/>
              <w:left w:val="nil"/>
              <w:bottom w:val="single" w:sz="4" w:space="0" w:color="auto"/>
              <w:right w:val="single" w:sz="4" w:space="0" w:color="auto"/>
            </w:tcBorders>
            <w:shd w:val="clear" w:color="000000" w:fill="FFFFFF"/>
            <w:vAlign w:val="bottom"/>
            <w:hideMark/>
          </w:tcPr>
          <w:p w:rsidR="002C5FD4" w:rsidRPr="00DB058D" w:rsidRDefault="002C5FD4" w:rsidP="00AE3602">
            <w:pPr>
              <w:ind w:firstLine="0"/>
              <w:rPr>
                <w:sz w:val="20"/>
              </w:rPr>
            </w:pPr>
            <w:r w:rsidRPr="00DB058D">
              <w:rPr>
                <w:sz w:val="20"/>
              </w:rPr>
              <w:t>Reconheceu Ganho por Compra Vantajosa e Intangível Identificável</w:t>
            </w:r>
          </w:p>
        </w:tc>
        <w:tc>
          <w:tcPr>
            <w:tcW w:w="566"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0</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0</w:t>
            </w:r>
          </w:p>
        </w:tc>
        <w:tc>
          <w:tcPr>
            <w:tcW w:w="545" w:type="dxa"/>
            <w:tcBorders>
              <w:top w:val="nil"/>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jc w:val="center"/>
              <w:rPr>
                <w:sz w:val="20"/>
              </w:rPr>
            </w:pPr>
            <w:r w:rsidRPr="00DB058D">
              <w:rPr>
                <w:sz w:val="20"/>
              </w:rPr>
              <w:t>0</w:t>
            </w:r>
          </w:p>
        </w:tc>
        <w:tc>
          <w:tcPr>
            <w:tcW w:w="2244" w:type="dxa"/>
            <w:tcBorders>
              <w:top w:val="nil"/>
              <w:left w:val="nil"/>
              <w:bottom w:val="single" w:sz="4" w:space="0" w:color="auto"/>
              <w:right w:val="nil"/>
            </w:tcBorders>
            <w:shd w:val="clear" w:color="000000" w:fill="FFFFFF"/>
            <w:noWrap/>
            <w:vAlign w:val="center"/>
            <w:hideMark/>
          </w:tcPr>
          <w:p w:rsidR="002C5FD4" w:rsidRPr="00DB058D" w:rsidRDefault="002C5FD4" w:rsidP="00AE3602">
            <w:pPr>
              <w:rPr>
                <w:sz w:val="20"/>
              </w:rPr>
            </w:pPr>
            <w:r w:rsidRPr="00DB058D">
              <w:rPr>
                <w:sz w:val="20"/>
              </w:rPr>
              <w:t>0,00%</w:t>
            </w:r>
          </w:p>
        </w:tc>
      </w:tr>
    </w:tbl>
    <w:p w:rsidR="002C5FD4" w:rsidRPr="002C5FD4" w:rsidRDefault="00DB058D" w:rsidP="00AE3602">
      <w:pPr>
        <w:ind w:firstLine="0"/>
        <w:rPr>
          <w:bCs/>
        </w:rPr>
      </w:pPr>
      <w:r>
        <w:rPr>
          <w:bCs/>
        </w:rPr>
        <w:t xml:space="preserve">           </w:t>
      </w:r>
      <w:r w:rsidR="002C5FD4" w:rsidRPr="002C5FD4">
        <w:rPr>
          <w:bCs/>
        </w:rPr>
        <w:t>Fonte: Elaborado pelos autores com base nos dados da pesquisa.</w:t>
      </w:r>
    </w:p>
    <w:p w:rsidR="002C5FD4" w:rsidRPr="002C5FD4" w:rsidRDefault="002C5FD4" w:rsidP="00AE3602">
      <w:pPr>
        <w:rPr>
          <w:bCs/>
        </w:rPr>
      </w:pPr>
      <w:r w:rsidRPr="002C5FD4">
        <w:rPr>
          <w:bCs/>
        </w:rPr>
        <w:t xml:space="preserve">Percebe-se na Tabela 1, considerando um total de 130 combinações de negócios analisadas no período entre 2012 e 2014, que foi reconhecido </w:t>
      </w:r>
      <w:r w:rsidRPr="002C5FD4">
        <w:rPr>
          <w:bCs/>
          <w:i/>
        </w:rPr>
        <w:t>goodwill</w:t>
      </w:r>
      <w:r w:rsidRPr="002C5FD4">
        <w:rPr>
          <w:bCs/>
        </w:rPr>
        <w:t xml:space="preserve"> em 83,08% das combinações de negócios identificadas, o que pode sugerir uma tendência das combinações de negócios brasileiras reconhecerem </w:t>
      </w:r>
      <w:r w:rsidRPr="002C5FD4">
        <w:rPr>
          <w:bCs/>
          <w:i/>
        </w:rPr>
        <w:t>goodwill</w:t>
      </w:r>
      <w:r w:rsidRPr="002C5FD4">
        <w:rPr>
          <w:bCs/>
        </w:rPr>
        <w:t xml:space="preserve">, enquanto que o ganho proveniente de compra vantajosa (deságio) foi reconhecido em apenas quatro combinações de negócios. Foram reconhecidos ativos intangíveis identificáveis e </w:t>
      </w:r>
      <w:r w:rsidRPr="002C5FD4">
        <w:rPr>
          <w:bCs/>
          <w:i/>
        </w:rPr>
        <w:t>goodwill</w:t>
      </w:r>
      <w:r w:rsidRPr="002C5FD4">
        <w:rPr>
          <w:bCs/>
        </w:rPr>
        <w:t xml:space="preserve"> em 43,08% das combinações de negócios observadas.</w:t>
      </w:r>
    </w:p>
    <w:p w:rsidR="002C5FD4" w:rsidRPr="002C5FD4" w:rsidRDefault="002C5FD4" w:rsidP="00AE3602">
      <w:pPr>
        <w:rPr>
          <w:bCs/>
        </w:rPr>
      </w:pPr>
      <w:r w:rsidRPr="002C5FD4">
        <w:rPr>
          <w:bCs/>
        </w:rPr>
        <w:t xml:space="preserve">Outro ponto a destacar é que no período analisado, de um total de 130 combinações de negócios, 53,08% não reconheceram intangíveis identificáveis na data da combinação de negócios, resultado que ao comparar com o percentual de reconhecimento do </w:t>
      </w:r>
      <w:r w:rsidRPr="002C5FD4">
        <w:rPr>
          <w:bCs/>
          <w:i/>
        </w:rPr>
        <w:t>goodwill</w:t>
      </w:r>
      <w:r w:rsidRPr="002C5FD4">
        <w:rPr>
          <w:bCs/>
        </w:rPr>
        <w:t xml:space="preserve">, percebe-se que as companhias tenderam a não reconhecer intangíveis identificáveis e atribuir a parcela a maior paga na transação ao </w:t>
      </w:r>
      <w:r w:rsidRPr="002C5FD4">
        <w:rPr>
          <w:bCs/>
          <w:i/>
        </w:rPr>
        <w:t>goodwill</w:t>
      </w:r>
      <w:r w:rsidRPr="002C5FD4">
        <w:rPr>
          <w:bCs/>
        </w:rPr>
        <w:t xml:space="preserve">, um ativo não passível de identificação individual.  </w:t>
      </w:r>
    </w:p>
    <w:p w:rsidR="002C5FD4" w:rsidRPr="002C5FD4" w:rsidRDefault="002C5FD4" w:rsidP="00AE3602">
      <w:pPr>
        <w:rPr>
          <w:bCs/>
        </w:rPr>
      </w:pPr>
      <w:r w:rsidRPr="002C5FD4">
        <w:rPr>
          <w:bCs/>
        </w:rPr>
        <w:t xml:space="preserve">Em 2012, duas companhias reconheceram apenas o intangível identificável. Em 2013, houve apenas uma companhia, que foi na aquisição da companhia Barcas S.A. pela CCR S.A., e em 2014 houve duas companhias, a Cemig S.A., que adquiriu a Retiro Baixo Energética S.A., e a Copel S.A. que adquiriu a São Bento Energia. </w:t>
      </w:r>
    </w:p>
    <w:p w:rsidR="002C5FD4" w:rsidRPr="002C5FD4" w:rsidRDefault="002C5FD4" w:rsidP="00AE3602">
      <w:pPr>
        <w:rPr>
          <w:bCs/>
        </w:rPr>
      </w:pPr>
      <w:r w:rsidRPr="002C5FD4">
        <w:rPr>
          <w:bCs/>
        </w:rPr>
        <w:lastRenderedPageBreak/>
        <w:t xml:space="preserve">Dessa forma, pode-se inferir que o </w:t>
      </w:r>
      <w:r w:rsidRPr="002C5FD4">
        <w:rPr>
          <w:bCs/>
          <w:i/>
        </w:rPr>
        <w:t>goodwill</w:t>
      </w:r>
      <w:r w:rsidRPr="002C5FD4">
        <w:rPr>
          <w:bCs/>
        </w:rPr>
        <w:t xml:space="preserve"> foi reconhecido em uma parcela significativa das combinações de negócios analisadas neste período, enquanto que o ganho por compra vantajosa foi pouco reconhecido nessas operações. Além disso, é possível afirmar que nem todas as combinações de negócios em que há reconhecimento do </w:t>
      </w:r>
      <w:r w:rsidRPr="002C5FD4">
        <w:rPr>
          <w:bCs/>
          <w:i/>
        </w:rPr>
        <w:t xml:space="preserve">goodwill </w:t>
      </w:r>
      <w:r w:rsidRPr="002C5FD4">
        <w:rPr>
          <w:bCs/>
        </w:rPr>
        <w:t>ocorre o reconhecimento de ativos intangíveis identificáveis. Na tabela 2 são apresentadas as denominações utilizadas pelas companhias para se referir ao ágio derivado da expectativa de rentabilidade futura (</w:t>
      </w:r>
      <w:r w:rsidRPr="002C5FD4">
        <w:rPr>
          <w:bCs/>
          <w:i/>
        </w:rPr>
        <w:t>goodwill</w:t>
      </w:r>
      <w:r w:rsidRPr="002C5FD4">
        <w:rPr>
          <w:bCs/>
        </w:rPr>
        <w:t>).</w:t>
      </w:r>
    </w:p>
    <w:p w:rsidR="002C5FD4" w:rsidRPr="002C5FD4" w:rsidRDefault="00516A9E" w:rsidP="00AE3602">
      <w:pPr>
        <w:rPr>
          <w:bCs/>
        </w:rPr>
      </w:pPr>
      <w:r>
        <w:rPr>
          <w:bCs/>
        </w:rPr>
        <w:t xml:space="preserve">      </w:t>
      </w:r>
      <w:r w:rsidR="002C5FD4" w:rsidRPr="002C5FD4">
        <w:rPr>
          <w:bCs/>
        </w:rPr>
        <w:t xml:space="preserve">Tabela 2: Denominação utilizada para o </w:t>
      </w:r>
      <w:r w:rsidR="002C5FD4" w:rsidRPr="002C5FD4">
        <w:rPr>
          <w:bCs/>
          <w:i/>
        </w:rPr>
        <w:t>goodwill</w:t>
      </w:r>
    </w:p>
    <w:tbl>
      <w:tblPr>
        <w:tblW w:w="7223" w:type="dxa"/>
        <w:jc w:val="center"/>
        <w:tblInd w:w="53" w:type="dxa"/>
        <w:tblCellMar>
          <w:left w:w="70" w:type="dxa"/>
          <w:right w:w="70" w:type="dxa"/>
        </w:tblCellMar>
        <w:tblLook w:val="04A0"/>
      </w:tblPr>
      <w:tblGrid>
        <w:gridCol w:w="2816"/>
        <w:gridCol w:w="700"/>
        <w:gridCol w:w="660"/>
        <w:gridCol w:w="620"/>
        <w:gridCol w:w="2427"/>
      </w:tblGrid>
      <w:tr w:rsidR="002C5FD4" w:rsidRPr="00DB058D" w:rsidTr="00A30F79">
        <w:trPr>
          <w:cantSplit/>
          <w:trHeight w:val="633"/>
          <w:jc w:val="center"/>
        </w:trPr>
        <w:tc>
          <w:tcPr>
            <w:tcW w:w="2816" w:type="dxa"/>
            <w:tcBorders>
              <w:top w:val="single" w:sz="4" w:space="0" w:color="auto"/>
              <w:left w:val="nil"/>
              <w:bottom w:val="single" w:sz="4" w:space="0" w:color="auto"/>
              <w:right w:val="single" w:sz="4" w:space="0" w:color="auto"/>
            </w:tcBorders>
            <w:shd w:val="clear" w:color="000000" w:fill="FFFFFF"/>
            <w:vAlign w:val="center"/>
            <w:hideMark/>
          </w:tcPr>
          <w:p w:rsidR="002C5FD4" w:rsidRPr="00DB058D" w:rsidRDefault="002C5FD4" w:rsidP="00AE3602">
            <w:pPr>
              <w:ind w:firstLine="0"/>
              <w:rPr>
                <w:sz w:val="20"/>
              </w:rPr>
            </w:pPr>
            <w:r w:rsidRPr="00DB058D">
              <w:rPr>
                <w:sz w:val="20"/>
              </w:rPr>
              <w:t xml:space="preserve">Denominação utilizada para </w:t>
            </w:r>
            <w:r w:rsidRPr="00DB058D">
              <w:rPr>
                <w:i/>
                <w:iCs/>
                <w:sz w:val="20"/>
              </w:rPr>
              <w:t>goodwill</w:t>
            </w:r>
          </w:p>
        </w:tc>
        <w:tc>
          <w:tcPr>
            <w:tcW w:w="70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DB058D" w:rsidRDefault="002C5FD4" w:rsidP="00AE3602">
            <w:pPr>
              <w:ind w:firstLine="0"/>
              <w:rPr>
                <w:sz w:val="20"/>
              </w:rPr>
            </w:pPr>
            <w:r w:rsidRPr="00DB058D">
              <w:rPr>
                <w:sz w:val="20"/>
              </w:rPr>
              <w:t>2012</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DB058D" w:rsidRDefault="002C5FD4" w:rsidP="00AE3602">
            <w:pPr>
              <w:ind w:firstLine="0"/>
              <w:rPr>
                <w:sz w:val="20"/>
              </w:rPr>
            </w:pPr>
            <w:r w:rsidRPr="00DB058D">
              <w:rPr>
                <w:sz w:val="20"/>
              </w:rPr>
              <w:t>2013</w:t>
            </w:r>
          </w:p>
        </w:tc>
        <w:tc>
          <w:tcPr>
            <w:tcW w:w="62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DB058D" w:rsidRDefault="002C5FD4" w:rsidP="00AE3602">
            <w:pPr>
              <w:ind w:firstLine="0"/>
              <w:rPr>
                <w:sz w:val="20"/>
              </w:rPr>
            </w:pPr>
            <w:r w:rsidRPr="00DB058D">
              <w:rPr>
                <w:sz w:val="20"/>
              </w:rPr>
              <w:t>2014</w:t>
            </w:r>
          </w:p>
        </w:tc>
        <w:tc>
          <w:tcPr>
            <w:tcW w:w="2427" w:type="dxa"/>
            <w:tcBorders>
              <w:top w:val="single" w:sz="4" w:space="0" w:color="auto"/>
              <w:left w:val="nil"/>
              <w:bottom w:val="single" w:sz="4" w:space="0" w:color="auto"/>
              <w:right w:val="nil"/>
            </w:tcBorders>
            <w:shd w:val="clear" w:color="000000" w:fill="FFFFFF"/>
            <w:hideMark/>
          </w:tcPr>
          <w:p w:rsidR="002C5FD4" w:rsidRPr="00DB058D" w:rsidRDefault="002C5FD4" w:rsidP="00AE3602">
            <w:pPr>
              <w:ind w:firstLine="0"/>
              <w:rPr>
                <w:sz w:val="20"/>
              </w:rPr>
            </w:pPr>
            <w:r w:rsidRPr="00DB058D">
              <w:rPr>
                <w:sz w:val="20"/>
              </w:rPr>
              <w:t xml:space="preserve">% em relação ao total de combinações de negócios que reconheceram </w:t>
            </w:r>
            <w:r w:rsidRPr="00DB058D">
              <w:rPr>
                <w:i/>
                <w:iCs/>
                <w:sz w:val="20"/>
              </w:rPr>
              <w:t xml:space="preserve">goodwill </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sz w:val="20"/>
              </w:rPr>
            </w:pPr>
            <w:r w:rsidRPr="00DB058D">
              <w:rPr>
                <w:sz w:val="20"/>
              </w:rPr>
              <w:t>Ágio</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14</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14</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7</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32,41%</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sz w:val="20"/>
              </w:rPr>
            </w:pPr>
            <w:r w:rsidRPr="00DB058D">
              <w:rPr>
                <w:sz w:val="20"/>
              </w:rPr>
              <w:t>Ágio por expectativa de rentabilidade futura</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13</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7</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9</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26,85%</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sz w:val="20"/>
              </w:rPr>
            </w:pPr>
            <w:r w:rsidRPr="00DB058D">
              <w:rPr>
                <w:sz w:val="20"/>
              </w:rPr>
              <w:t>Ágio na aquisição</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1</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3</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3,70%</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sz w:val="20"/>
              </w:rPr>
            </w:pPr>
            <w:r w:rsidRPr="00DB058D">
              <w:rPr>
                <w:sz w:val="20"/>
              </w:rPr>
              <w:t>Ágio apurado</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4</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1</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4,63%</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sz w:val="20"/>
              </w:rPr>
            </w:pPr>
            <w:r w:rsidRPr="00DB058D">
              <w:rPr>
                <w:sz w:val="20"/>
              </w:rPr>
              <w:t>Ágio residual</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2</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1,85%</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sz w:val="20"/>
              </w:rPr>
            </w:pPr>
            <w:r w:rsidRPr="00DB058D">
              <w:rPr>
                <w:sz w:val="20"/>
              </w:rPr>
              <w:t>Ágio residual (</w:t>
            </w:r>
            <w:r w:rsidRPr="00DB058D">
              <w:rPr>
                <w:i/>
                <w:sz w:val="20"/>
              </w:rPr>
              <w:t>goodwill</w:t>
            </w:r>
            <w:r w:rsidRPr="00DB058D">
              <w:rPr>
                <w:sz w:val="20"/>
              </w:rPr>
              <w:t>)</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2</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1,85%</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sz w:val="20"/>
              </w:rPr>
            </w:pPr>
            <w:r w:rsidRPr="00DB058D">
              <w:rPr>
                <w:sz w:val="20"/>
              </w:rPr>
              <w:t>Ágio contábil (</w:t>
            </w:r>
            <w:r w:rsidRPr="00DB058D">
              <w:rPr>
                <w:i/>
                <w:sz w:val="20"/>
              </w:rPr>
              <w:t>goodwill</w:t>
            </w:r>
            <w:r w:rsidRPr="00DB058D">
              <w:rPr>
                <w:sz w:val="20"/>
              </w:rPr>
              <w:t>)</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1</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0,93%</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iCs/>
                <w:sz w:val="20"/>
              </w:rPr>
            </w:pPr>
            <w:r w:rsidRPr="00DB058D">
              <w:rPr>
                <w:iCs/>
                <w:sz w:val="20"/>
              </w:rPr>
              <w:t>Ágio (</w:t>
            </w:r>
            <w:r w:rsidRPr="00DB058D">
              <w:rPr>
                <w:i/>
                <w:iCs/>
                <w:sz w:val="20"/>
              </w:rPr>
              <w:t>goodwill</w:t>
            </w:r>
            <w:r w:rsidRPr="00DB058D">
              <w:rPr>
                <w:iCs/>
                <w:sz w:val="20"/>
              </w:rPr>
              <w:t>)</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2</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5</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3</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9,26%</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iCs/>
                <w:sz w:val="20"/>
              </w:rPr>
            </w:pPr>
            <w:r w:rsidRPr="00DB058D">
              <w:rPr>
                <w:iCs/>
                <w:sz w:val="20"/>
              </w:rPr>
              <w:t>Ágio pago (</w:t>
            </w:r>
            <w:r w:rsidRPr="00DB058D">
              <w:rPr>
                <w:i/>
                <w:iCs/>
                <w:sz w:val="20"/>
              </w:rPr>
              <w:t>goodwill</w:t>
            </w:r>
            <w:r w:rsidRPr="00DB058D">
              <w:rPr>
                <w:iCs/>
                <w:sz w:val="20"/>
              </w:rPr>
              <w:t>)</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2</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0</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1,85%</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i/>
                <w:iCs/>
                <w:sz w:val="20"/>
              </w:rPr>
            </w:pPr>
            <w:r w:rsidRPr="00DB058D">
              <w:rPr>
                <w:i/>
                <w:iCs/>
                <w:sz w:val="20"/>
              </w:rPr>
              <w:t>Goodwill</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5</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2</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11</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16,67%</w:t>
            </w:r>
          </w:p>
        </w:tc>
      </w:tr>
      <w:tr w:rsidR="002C5FD4" w:rsidRPr="00DB058D" w:rsidTr="00A30F79">
        <w:trPr>
          <w:cantSplit/>
          <w:jc w:val="center"/>
        </w:trPr>
        <w:tc>
          <w:tcPr>
            <w:tcW w:w="2816"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rPr>
                <w:iCs/>
                <w:sz w:val="20"/>
              </w:rPr>
            </w:pPr>
            <w:r w:rsidRPr="00DB058D">
              <w:rPr>
                <w:iCs/>
                <w:sz w:val="20"/>
              </w:rPr>
              <w:t>Total</w:t>
            </w:r>
          </w:p>
        </w:tc>
        <w:tc>
          <w:tcPr>
            <w:tcW w:w="70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42</w:t>
            </w:r>
          </w:p>
        </w:tc>
        <w:tc>
          <w:tcPr>
            <w:tcW w:w="66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32</w:t>
            </w:r>
          </w:p>
        </w:tc>
        <w:tc>
          <w:tcPr>
            <w:tcW w:w="620" w:type="dxa"/>
            <w:tcBorders>
              <w:top w:val="nil"/>
              <w:left w:val="nil"/>
              <w:bottom w:val="single" w:sz="4" w:space="0" w:color="auto"/>
              <w:right w:val="single" w:sz="4" w:space="0" w:color="auto"/>
            </w:tcBorders>
            <w:shd w:val="clear" w:color="000000" w:fill="FFFFFF"/>
            <w:noWrap/>
            <w:hideMark/>
          </w:tcPr>
          <w:p w:rsidR="002C5FD4" w:rsidRPr="00DB058D" w:rsidRDefault="002C5FD4" w:rsidP="00AE3602">
            <w:pPr>
              <w:ind w:firstLine="0"/>
              <w:jc w:val="center"/>
              <w:rPr>
                <w:sz w:val="20"/>
              </w:rPr>
            </w:pPr>
            <w:r w:rsidRPr="00DB058D">
              <w:rPr>
                <w:sz w:val="20"/>
              </w:rPr>
              <w:t>34</w:t>
            </w:r>
          </w:p>
        </w:tc>
        <w:tc>
          <w:tcPr>
            <w:tcW w:w="2427" w:type="dxa"/>
            <w:tcBorders>
              <w:top w:val="nil"/>
              <w:left w:val="nil"/>
              <w:bottom w:val="single" w:sz="4" w:space="0" w:color="auto"/>
              <w:right w:val="nil"/>
            </w:tcBorders>
            <w:shd w:val="clear" w:color="000000" w:fill="FFFFFF"/>
            <w:noWrap/>
            <w:hideMark/>
          </w:tcPr>
          <w:p w:rsidR="002C5FD4" w:rsidRPr="00DB058D" w:rsidRDefault="002C5FD4" w:rsidP="00AE3602">
            <w:pPr>
              <w:rPr>
                <w:sz w:val="20"/>
              </w:rPr>
            </w:pPr>
            <w:r w:rsidRPr="00DB058D">
              <w:rPr>
                <w:sz w:val="20"/>
              </w:rPr>
              <w:t>100%</w:t>
            </w:r>
          </w:p>
        </w:tc>
      </w:tr>
    </w:tbl>
    <w:p w:rsidR="002C5FD4" w:rsidRPr="002C5FD4" w:rsidRDefault="00DB058D" w:rsidP="00AE3602">
      <w:pPr>
        <w:rPr>
          <w:bCs/>
        </w:rPr>
      </w:pPr>
      <w:r>
        <w:rPr>
          <w:bCs/>
        </w:rPr>
        <w:t xml:space="preserve">      </w:t>
      </w:r>
      <w:r w:rsidR="002C5FD4" w:rsidRPr="002C5FD4">
        <w:rPr>
          <w:bCs/>
        </w:rPr>
        <w:t>Fonte: Elaborado pelos autores com base nos dados da pesquisa.</w:t>
      </w:r>
    </w:p>
    <w:p w:rsidR="002C5FD4" w:rsidRPr="002C5FD4" w:rsidRDefault="002C5FD4" w:rsidP="00AE3602">
      <w:pPr>
        <w:rPr>
          <w:bCs/>
        </w:rPr>
      </w:pPr>
      <w:r w:rsidRPr="002C5FD4">
        <w:rPr>
          <w:bCs/>
        </w:rPr>
        <w:t xml:space="preserve">Conforme a Tabela 2, das combinações de negócios em que houve reconhecimento do </w:t>
      </w:r>
      <w:r w:rsidRPr="002C5FD4">
        <w:rPr>
          <w:bCs/>
          <w:i/>
        </w:rPr>
        <w:t xml:space="preserve">goodwill, </w:t>
      </w:r>
      <w:r w:rsidRPr="002C5FD4">
        <w:rPr>
          <w:bCs/>
        </w:rPr>
        <w:t xml:space="preserve">32,41% aplicaram apenas o termo “Ágio” para se referir a este ativo, e 26,85% denominaram o </w:t>
      </w:r>
      <w:r w:rsidRPr="002C5FD4">
        <w:rPr>
          <w:bCs/>
          <w:i/>
        </w:rPr>
        <w:t>goodwill</w:t>
      </w:r>
      <w:r w:rsidRPr="002C5FD4">
        <w:rPr>
          <w:bCs/>
        </w:rPr>
        <w:t xml:space="preserve"> como Ágio por expectativa de rentabilidade futura ou expectativa de rentabilidade futura. O uso de somente a denominação “</w:t>
      </w:r>
      <w:r w:rsidRPr="002C5FD4">
        <w:rPr>
          <w:bCs/>
          <w:i/>
        </w:rPr>
        <w:t xml:space="preserve">goodwill” </w:t>
      </w:r>
      <w:r w:rsidRPr="002C5FD4">
        <w:rPr>
          <w:bCs/>
        </w:rPr>
        <w:t>foi encontrado em 16,67% das combinações de negócios analisadas em que houve o reconhecimento deste ativo.</w:t>
      </w:r>
    </w:p>
    <w:p w:rsidR="002C5FD4" w:rsidRDefault="002C5FD4" w:rsidP="00AE3602">
      <w:pPr>
        <w:rPr>
          <w:bCs/>
        </w:rPr>
      </w:pPr>
      <w:r w:rsidRPr="002C5FD4">
        <w:rPr>
          <w:bCs/>
        </w:rPr>
        <w:t xml:space="preserve">Referente aos fatores que integram o </w:t>
      </w:r>
      <w:r w:rsidRPr="002C5FD4">
        <w:rPr>
          <w:bCs/>
          <w:i/>
        </w:rPr>
        <w:t>goodwill</w:t>
      </w:r>
      <w:r w:rsidRPr="002C5FD4">
        <w:rPr>
          <w:bCs/>
        </w:rPr>
        <w:t xml:space="preserve">, a justificativa de expectativa de rentabilidade futura foi mencionada em 39,81% das combinações em que foi reconhecido </w:t>
      </w:r>
      <w:r w:rsidRPr="002C5FD4">
        <w:rPr>
          <w:bCs/>
          <w:i/>
        </w:rPr>
        <w:t>goodwill</w:t>
      </w:r>
      <w:r w:rsidRPr="002C5FD4">
        <w:rPr>
          <w:bCs/>
        </w:rPr>
        <w:t xml:space="preserve">, enquanto que 11,11% não apresentaram os fatores que integram o </w:t>
      </w:r>
      <w:r w:rsidRPr="002C5FD4">
        <w:rPr>
          <w:bCs/>
          <w:i/>
        </w:rPr>
        <w:t xml:space="preserve">goodwill, </w:t>
      </w:r>
      <w:r w:rsidRPr="002C5FD4">
        <w:rPr>
          <w:bCs/>
        </w:rPr>
        <w:t>a Tabela 3 demonstra esses resultados.</w:t>
      </w:r>
    </w:p>
    <w:p w:rsidR="00516A9E" w:rsidRDefault="00516A9E" w:rsidP="00AE3602">
      <w:pPr>
        <w:rPr>
          <w:bCs/>
        </w:rPr>
      </w:pPr>
    </w:p>
    <w:p w:rsidR="00AE3602" w:rsidRDefault="00AE3602" w:rsidP="00AE3602">
      <w:pPr>
        <w:ind w:firstLine="0"/>
        <w:rPr>
          <w:bCs/>
        </w:rPr>
      </w:pPr>
    </w:p>
    <w:p w:rsidR="00AE3602" w:rsidRDefault="00AE3602" w:rsidP="00AE3602">
      <w:pPr>
        <w:ind w:firstLine="0"/>
        <w:rPr>
          <w:bCs/>
        </w:rPr>
      </w:pPr>
    </w:p>
    <w:p w:rsidR="00AE3602" w:rsidRDefault="00AE3602" w:rsidP="00AE3602">
      <w:pPr>
        <w:ind w:firstLine="0"/>
        <w:rPr>
          <w:bCs/>
        </w:rPr>
      </w:pPr>
    </w:p>
    <w:p w:rsidR="00AE3602" w:rsidRDefault="00AE3602" w:rsidP="00AE3602">
      <w:pPr>
        <w:ind w:firstLine="0"/>
        <w:rPr>
          <w:bCs/>
        </w:rPr>
      </w:pPr>
    </w:p>
    <w:p w:rsidR="00AE3602" w:rsidRDefault="00AE3602" w:rsidP="00AE3602">
      <w:pPr>
        <w:ind w:firstLine="0"/>
        <w:rPr>
          <w:bCs/>
        </w:rPr>
      </w:pPr>
    </w:p>
    <w:p w:rsidR="00AE3602" w:rsidRDefault="00AE3602" w:rsidP="00AE3602">
      <w:pPr>
        <w:ind w:firstLine="0"/>
        <w:rPr>
          <w:bCs/>
        </w:rPr>
      </w:pPr>
    </w:p>
    <w:p w:rsidR="00AE3602" w:rsidRDefault="00AE3602" w:rsidP="00AE3602">
      <w:pPr>
        <w:ind w:firstLine="0"/>
        <w:rPr>
          <w:bCs/>
        </w:rPr>
      </w:pPr>
    </w:p>
    <w:p w:rsidR="00AE3602" w:rsidRDefault="00AE3602" w:rsidP="00AE3602">
      <w:pPr>
        <w:ind w:firstLine="0"/>
        <w:rPr>
          <w:bCs/>
        </w:rPr>
      </w:pPr>
    </w:p>
    <w:p w:rsidR="002C5FD4" w:rsidRPr="002C5FD4" w:rsidRDefault="00C05A91" w:rsidP="00AE3602">
      <w:pPr>
        <w:ind w:firstLine="0"/>
        <w:rPr>
          <w:bCs/>
        </w:rPr>
      </w:pPr>
      <w:r>
        <w:rPr>
          <w:bCs/>
        </w:rPr>
        <w:lastRenderedPageBreak/>
        <w:t xml:space="preserve">           </w:t>
      </w:r>
      <w:r w:rsidR="002C5FD4" w:rsidRPr="002C5FD4">
        <w:rPr>
          <w:bCs/>
        </w:rPr>
        <w:t xml:space="preserve">Tabela 3: Fatores que integram o </w:t>
      </w:r>
      <w:r w:rsidR="002C5FD4" w:rsidRPr="002C5FD4">
        <w:rPr>
          <w:bCs/>
          <w:i/>
        </w:rPr>
        <w:t>goodwill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616"/>
        <w:gridCol w:w="616"/>
        <w:gridCol w:w="616"/>
        <w:gridCol w:w="2562"/>
      </w:tblGrid>
      <w:tr w:rsidR="002C5FD4" w:rsidRPr="00C05A91" w:rsidTr="002C5FD4">
        <w:trPr>
          <w:trHeight w:val="519"/>
          <w:jc w:val="center"/>
        </w:trPr>
        <w:tc>
          <w:tcPr>
            <w:tcW w:w="3652" w:type="dxa"/>
            <w:tcBorders>
              <w:left w:val="nil"/>
            </w:tcBorders>
            <w:noWrap/>
            <w:vAlign w:val="center"/>
            <w:hideMark/>
          </w:tcPr>
          <w:p w:rsidR="002C5FD4" w:rsidRPr="00C05A91" w:rsidRDefault="002C5FD4" w:rsidP="00AE3602">
            <w:pPr>
              <w:ind w:firstLine="0"/>
              <w:rPr>
                <w:bCs/>
                <w:sz w:val="20"/>
              </w:rPr>
            </w:pPr>
            <w:r w:rsidRPr="00C05A91">
              <w:rPr>
                <w:bCs/>
                <w:sz w:val="20"/>
              </w:rPr>
              <w:t xml:space="preserve">Fatores que integram o </w:t>
            </w:r>
            <w:r w:rsidRPr="00C05A91">
              <w:rPr>
                <w:bCs/>
                <w:i/>
                <w:iCs/>
                <w:sz w:val="20"/>
              </w:rPr>
              <w:t>goodwill</w:t>
            </w:r>
          </w:p>
        </w:tc>
        <w:tc>
          <w:tcPr>
            <w:tcW w:w="616" w:type="dxa"/>
            <w:noWrap/>
            <w:vAlign w:val="center"/>
            <w:hideMark/>
          </w:tcPr>
          <w:p w:rsidR="002C5FD4" w:rsidRPr="00C05A91" w:rsidRDefault="002C5FD4" w:rsidP="00AE3602">
            <w:pPr>
              <w:ind w:firstLine="0"/>
              <w:rPr>
                <w:bCs/>
                <w:sz w:val="20"/>
              </w:rPr>
            </w:pPr>
            <w:r w:rsidRPr="00C05A91">
              <w:rPr>
                <w:bCs/>
                <w:sz w:val="20"/>
              </w:rPr>
              <w:t>2012</w:t>
            </w:r>
          </w:p>
        </w:tc>
        <w:tc>
          <w:tcPr>
            <w:tcW w:w="616" w:type="dxa"/>
            <w:noWrap/>
            <w:vAlign w:val="center"/>
            <w:hideMark/>
          </w:tcPr>
          <w:p w:rsidR="002C5FD4" w:rsidRPr="00C05A91" w:rsidRDefault="002C5FD4" w:rsidP="00AE3602">
            <w:pPr>
              <w:ind w:firstLine="0"/>
              <w:rPr>
                <w:bCs/>
                <w:sz w:val="20"/>
              </w:rPr>
            </w:pPr>
            <w:r w:rsidRPr="00C05A91">
              <w:rPr>
                <w:bCs/>
                <w:sz w:val="20"/>
              </w:rPr>
              <w:t>2013</w:t>
            </w:r>
          </w:p>
        </w:tc>
        <w:tc>
          <w:tcPr>
            <w:tcW w:w="616" w:type="dxa"/>
            <w:noWrap/>
            <w:vAlign w:val="center"/>
            <w:hideMark/>
          </w:tcPr>
          <w:p w:rsidR="002C5FD4" w:rsidRPr="00C05A91" w:rsidRDefault="002C5FD4" w:rsidP="00AE3602">
            <w:pPr>
              <w:ind w:firstLine="0"/>
              <w:rPr>
                <w:bCs/>
                <w:sz w:val="20"/>
              </w:rPr>
            </w:pPr>
            <w:r w:rsidRPr="00C05A91">
              <w:rPr>
                <w:bCs/>
                <w:sz w:val="20"/>
              </w:rPr>
              <w:t>2014</w:t>
            </w:r>
          </w:p>
        </w:tc>
        <w:tc>
          <w:tcPr>
            <w:tcW w:w="2562" w:type="dxa"/>
            <w:tcBorders>
              <w:right w:val="nil"/>
            </w:tcBorders>
            <w:vAlign w:val="center"/>
            <w:hideMark/>
          </w:tcPr>
          <w:p w:rsidR="002C5FD4" w:rsidRPr="00C05A91" w:rsidRDefault="002C5FD4" w:rsidP="00AE3602">
            <w:pPr>
              <w:ind w:firstLine="0"/>
              <w:rPr>
                <w:bCs/>
                <w:sz w:val="20"/>
              </w:rPr>
            </w:pPr>
            <w:r w:rsidRPr="00C05A91">
              <w:rPr>
                <w:bCs/>
                <w:sz w:val="20"/>
              </w:rPr>
              <w:t xml:space="preserve">% em relação ao total de combinações de negócios que reconheceram </w:t>
            </w:r>
            <w:r w:rsidRPr="00C05A91">
              <w:rPr>
                <w:bCs/>
                <w:i/>
                <w:iCs/>
                <w:sz w:val="20"/>
              </w:rPr>
              <w:t>goodwill</w:t>
            </w:r>
          </w:p>
        </w:tc>
      </w:tr>
      <w:tr w:rsidR="002C5FD4" w:rsidRPr="00C05A91" w:rsidTr="002C5FD4">
        <w:trPr>
          <w:trHeight w:val="255"/>
          <w:jc w:val="center"/>
        </w:trPr>
        <w:tc>
          <w:tcPr>
            <w:tcW w:w="3652" w:type="dxa"/>
            <w:tcBorders>
              <w:left w:val="nil"/>
            </w:tcBorders>
            <w:noWrap/>
            <w:hideMark/>
          </w:tcPr>
          <w:p w:rsidR="002C5FD4" w:rsidRPr="00C05A91" w:rsidRDefault="002C5FD4" w:rsidP="00AE3602">
            <w:pPr>
              <w:ind w:firstLine="0"/>
              <w:rPr>
                <w:bCs/>
                <w:sz w:val="20"/>
              </w:rPr>
            </w:pPr>
            <w:r w:rsidRPr="00C05A91">
              <w:rPr>
                <w:bCs/>
                <w:sz w:val="20"/>
              </w:rPr>
              <w:t>Ágio por expectativa de rentabilidade futura (ou benefícios econômicos futuros)</w:t>
            </w:r>
          </w:p>
        </w:tc>
        <w:tc>
          <w:tcPr>
            <w:tcW w:w="616" w:type="dxa"/>
            <w:noWrap/>
            <w:vAlign w:val="center"/>
            <w:hideMark/>
          </w:tcPr>
          <w:p w:rsidR="002C5FD4" w:rsidRPr="00C05A91" w:rsidRDefault="002C5FD4" w:rsidP="00AE3602">
            <w:pPr>
              <w:ind w:firstLine="0"/>
              <w:jc w:val="center"/>
              <w:rPr>
                <w:bCs/>
                <w:sz w:val="20"/>
              </w:rPr>
            </w:pPr>
            <w:r w:rsidRPr="00C05A91">
              <w:rPr>
                <w:bCs/>
                <w:sz w:val="20"/>
              </w:rPr>
              <w:t>17</w:t>
            </w:r>
          </w:p>
        </w:tc>
        <w:tc>
          <w:tcPr>
            <w:tcW w:w="616" w:type="dxa"/>
            <w:noWrap/>
            <w:vAlign w:val="center"/>
            <w:hideMark/>
          </w:tcPr>
          <w:p w:rsidR="002C5FD4" w:rsidRPr="00C05A91" w:rsidRDefault="002C5FD4" w:rsidP="00AE3602">
            <w:pPr>
              <w:ind w:firstLine="0"/>
              <w:jc w:val="center"/>
              <w:rPr>
                <w:bCs/>
                <w:sz w:val="20"/>
              </w:rPr>
            </w:pPr>
            <w:r w:rsidRPr="00C05A91">
              <w:rPr>
                <w:bCs/>
                <w:sz w:val="20"/>
              </w:rPr>
              <w:t>15</w:t>
            </w:r>
          </w:p>
        </w:tc>
        <w:tc>
          <w:tcPr>
            <w:tcW w:w="616" w:type="dxa"/>
            <w:noWrap/>
            <w:vAlign w:val="center"/>
            <w:hideMark/>
          </w:tcPr>
          <w:p w:rsidR="002C5FD4" w:rsidRPr="00C05A91" w:rsidRDefault="002C5FD4" w:rsidP="00AE3602">
            <w:pPr>
              <w:ind w:firstLine="0"/>
              <w:jc w:val="center"/>
              <w:rPr>
                <w:bCs/>
                <w:sz w:val="20"/>
              </w:rPr>
            </w:pPr>
            <w:r w:rsidRPr="00C05A91">
              <w:rPr>
                <w:bCs/>
                <w:sz w:val="20"/>
              </w:rPr>
              <w:t>11</w:t>
            </w:r>
          </w:p>
        </w:tc>
        <w:tc>
          <w:tcPr>
            <w:tcW w:w="2562" w:type="dxa"/>
            <w:tcBorders>
              <w:right w:val="nil"/>
            </w:tcBorders>
            <w:noWrap/>
            <w:vAlign w:val="center"/>
            <w:hideMark/>
          </w:tcPr>
          <w:p w:rsidR="002C5FD4" w:rsidRPr="00C05A91" w:rsidRDefault="002C5FD4" w:rsidP="00AE3602">
            <w:pPr>
              <w:jc w:val="center"/>
              <w:rPr>
                <w:bCs/>
                <w:sz w:val="20"/>
              </w:rPr>
            </w:pPr>
            <w:r w:rsidRPr="00C05A91">
              <w:rPr>
                <w:bCs/>
                <w:sz w:val="20"/>
              </w:rPr>
              <w:t>39,81%</w:t>
            </w:r>
          </w:p>
        </w:tc>
      </w:tr>
      <w:tr w:rsidR="002C5FD4" w:rsidRPr="00C05A91" w:rsidTr="002C5FD4">
        <w:trPr>
          <w:trHeight w:val="255"/>
          <w:jc w:val="center"/>
        </w:trPr>
        <w:tc>
          <w:tcPr>
            <w:tcW w:w="3652" w:type="dxa"/>
            <w:tcBorders>
              <w:left w:val="nil"/>
            </w:tcBorders>
            <w:noWrap/>
            <w:hideMark/>
          </w:tcPr>
          <w:p w:rsidR="002C5FD4" w:rsidRPr="00C05A91" w:rsidRDefault="002C5FD4" w:rsidP="00AE3602">
            <w:pPr>
              <w:ind w:firstLine="0"/>
              <w:rPr>
                <w:bCs/>
                <w:sz w:val="20"/>
              </w:rPr>
            </w:pPr>
            <w:r w:rsidRPr="00C05A91">
              <w:rPr>
                <w:bCs/>
                <w:sz w:val="20"/>
              </w:rPr>
              <w:t>O excesso (ou diferença positiva) entre o valor da contraprestação e o valor justo dos ativos líquidos adquiridos</w:t>
            </w:r>
          </w:p>
        </w:tc>
        <w:tc>
          <w:tcPr>
            <w:tcW w:w="616" w:type="dxa"/>
            <w:noWrap/>
            <w:vAlign w:val="center"/>
            <w:hideMark/>
          </w:tcPr>
          <w:p w:rsidR="002C5FD4" w:rsidRPr="00C05A91" w:rsidRDefault="002C5FD4" w:rsidP="00AE3602">
            <w:pPr>
              <w:ind w:firstLine="0"/>
              <w:jc w:val="center"/>
              <w:rPr>
                <w:bCs/>
                <w:sz w:val="20"/>
              </w:rPr>
            </w:pPr>
            <w:r w:rsidRPr="00C05A91">
              <w:rPr>
                <w:bCs/>
                <w:sz w:val="20"/>
              </w:rPr>
              <w:t>10</w:t>
            </w:r>
          </w:p>
        </w:tc>
        <w:tc>
          <w:tcPr>
            <w:tcW w:w="616" w:type="dxa"/>
            <w:noWrap/>
            <w:vAlign w:val="center"/>
            <w:hideMark/>
          </w:tcPr>
          <w:p w:rsidR="002C5FD4" w:rsidRPr="00C05A91" w:rsidRDefault="002C5FD4" w:rsidP="00AE3602">
            <w:pPr>
              <w:ind w:firstLine="0"/>
              <w:jc w:val="center"/>
              <w:rPr>
                <w:bCs/>
                <w:sz w:val="20"/>
              </w:rPr>
            </w:pPr>
            <w:r w:rsidRPr="00C05A91">
              <w:rPr>
                <w:bCs/>
                <w:sz w:val="20"/>
              </w:rPr>
              <w:t>6</w:t>
            </w:r>
          </w:p>
        </w:tc>
        <w:tc>
          <w:tcPr>
            <w:tcW w:w="616" w:type="dxa"/>
            <w:noWrap/>
            <w:vAlign w:val="center"/>
            <w:hideMark/>
          </w:tcPr>
          <w:p w:rsidR="002C5FD4" w:rsidRPr="00C05A91" w:rsidRDefault="002C5FD4" w:rsidP="00AE3602">
            <w:pPr>
              <w:ind w:firstLine="0"/>
              <w:jc w:val="center"/>
              <w:rPr>
                <w:bCs/>
                <w:sz w:val="20"/>
              </w:rPr>
            </w:pPr>
            <w:r w:rsidRPr="00C05A91">
              <w:rPr>
                <w:bCs/>
                <w:sz w:val="20"/>
              </w:rPr>
              <w:t>16</w:t>
            </w:r>
          </w:p>
        </w:tc>
        <w:tc>
          <w:tcPr>
            <w:tcW w:w="2562" w:type="dxa"/>
            <w:tcBorders>
              <w:right w:val="nil"/>
            </w:tcBorders>
            <w:noWrap/>
            <w:vAlign w:val="center"/>
            <w:hideMark/>
          </w:tcPr>
          <w:p w:rsidR="002C5FD4" w:rsidRPr="00C05A91" w:rsidRDefault="002C5FD4" w:rsidP="00AE3602">
            <w:pPr>
              <w:jc w:val="center"/>
              <w:rPr>
                <w:bCs/>
                <w:sz w:val="20"/>
              </w:rPr>
            </w:pPr>
            <w:r w:rsidRPr="00C05A91">
              <w:rPr>
                <w:bCs/>
                <w:sz w:val="20"/>
              </w:rPr>
              <w:t>29,63%</w:t>
            </w:r>
          </w:p>
        </w:tc>
      </w:tr>
      <w:tr w:rsidR="002C5FD4" w:rsidRPr="00C05A91" w:rsidTr="002C5FD4">
        <w:trPr>
          <w:trHeight w:val="255"/>
          <w:jc w:val="center"/>
        </w:trPr>
        <w:tc>
          <w:tcPr>
            <w:tcW w:w="3652" w:type="dxa"/>
            <w:tcBorders>
              <w:left w:val="nil"/>
            </w:tcBorders>
            <w:noWrap/>
            <w:hideMark/>
          </w:tcPr>
          <w:p w:rsidR="002C5FD4" w:rsidRPr="00C05A91" w:rsidRDefault="002C5FD4" w:rsidP="00AE3602">
            <w:pPr>
              <w:ind w:firstLine="0"/>
              <w:rPr>
                <w:bCs/>
                <w:sz w:val="20"/>
              </w:rPr>
            </w:pPr>
            <w:r w:rsidRPr="00C05A91">
              <w:rPr>
                <w:bCs/>
                <w:sz w:val="20"/>
              </w:rPr>
              <w:t>Lucratividade futura e às economias de escala</w:t>
            </w:r>
          </w:p>
        </w:tc>
        <w:tc>
          <w:tcPr>
            <w:tcW w:w="616" w:type="dxa"/>
            <w:noWrap/>
            <w:vAlign w:val="center"/>
            <w:hideMark/>
          </w:tcPr>
          <w:p w:rsidR="002C5FD4" w:rsidRPr="00C05A91" w:rsidRDefault="002C5FD4" w:rsidP="00AE3602">
            <w:pPr>
              <w:ind w:firstLine="0"/>
              <w:jc w:val="center"/>
              <w:rPr>
                <w:bCs/>
                <w:sz w:val="20"/>
              </w:rPr>
            </w:pPr>
            <w:r w:rsidRPr="00C05A91">
              <w:rPr>
                <w:bCs/>
                <w:sz w:val="20"/>
              </w:rPr>
              <w:t>5</w:t>
            </w:r>
          </w:p>
        </w:tc>
        <w:tc>
          <w:tcPr>
            <w:tcW w:w="616" w:type="dxa"/>
            <w:noWrap/>
            <w:vAlign w:val="center"/>
            <w:hideMark/>
          </w:tcPr>
          <w:p w:rsidR="002C5FD4" w:rsidRPr="00C05A91" w:rsidRDefault="002C5FD4" w:rsidP="00AE3602">
            <w:pPr>
              <w:ind w:firstLine="0"/>
              <w:jc w:val="center"/>
              <w:rPr>
                <w:bCs/>
                <w:sz w:val="20"/>
              </w:rPr>
            </w:pPr>
            <w:r w:rsidRPr="00C05A91">
              <w:rPr>
                <w:bCs/>
                <w:sz w:val="20"/>
              </w:rPr>
              <w:t>0</w:t>
            </w:r>
          </w:p>
        </w:tc>
        <w:tc>
          <w:tcPr>
            <w:tcW w:w="616" w:type="dxa"/>
            <w:noWrap/>
            <w:vAlign w:val="center"/>
            <w:hideMark/>
          </w:tcPr>
          <w:p w:rsidR="002C5FD4" w:rsidRPr="00C05A91" w:rsidRDefault="002C5FD4" w:rsidP="00AE3602">
            <w:pPr>
              <w:ind w:firstLine="0"/>
              <w:jc w:val="center"/>
              <w:rPr>
                <w:bCs/>
                <w:sz w:val="20"/>
              </w:rPr>
            </w:pPr>
            <w:r w:rsidRPr="00C05A91">
              <w:rPr>
                <w:bCs/>
                <w:sz w:val="20"/>
              </w:rPr>
              <w:t>0</w:t>
            </w:r>
          </w:p>
        </w:tc>
        <w:tc>
          <w:tcPr>
            <w:tcW w:w="2562" w:type="dxa"/>
            <w:tcBorders>
              <w:right w:val="nil"/>
            </w:tcBorders>
            <w:noWrap/>
            <w:vAlign w:val="center"/>
            <w:hideMark/>
          </w:tcPr>
          <w:p w:rsidR="002C5FD4" w:rsidRPr="00C05A91" w:rsidRDefault="002C5FD4" w:rsidP="00AE3602">
            <w:pPr>
              <w:jc w:val="center"/>
              <w:rPr>
                <w:bCs/>
                <w:sz w:val="20"/>
              </w:rPr>
            </w:pPr>
            <w:r w:rsidRPr="00C05A91">
              <w:rPr>
                <w:bCs/>
                <w:sz w:val="20"/>
              </w:rPr>
              <w:t>4,63%</w:t>
            </w:r>
          </w:p>
        </w:tc>
      </w:tr>
      <w:tr w:rsidR="002C5FD4" w:rsidRPr="00C05A91" w:rsidTr="002C5FD4">
        <w:trPr>
          <w:trHeight w:val="255"/>
          <w:jc w:val="center"/>
        </w:trPr>
        <w:tc>
          <w:tcPr>
            <w:tcW w:w="3652" w:type="dxa"/>
            <w:tcBorders>
              <w:left w:val="nil"/>
            </w:tcBorders>
            <w:noWrap/>
            <w:hideMark/>
          </w:tcPr>
          <w:p w:rsidR="002C5FD4" w:rsidRPr="00C05A91" w:rsidRDefault="002C5FD4" w:rsidP="00AE3602">
            <w:pPr>
              <w:ind w:firstLine="0"/>
              <w:rPr>
                <w:bCs/>
                <w:sz w:val="20"/>
              </w:rPr>
            </w:pPr>
            <w:r w:rsidRPr="00C05A91">
              <w:rPr>
                <w:bCs/>
                <w:sz w:val="20"/>
              </w:rPr>
              <w:t>Sinergias esperadas</w:t>
            </w:r>
          </w:p>
        </w:tc>
        <w:tc>
          <w:tcPr>
            <w:tcW w:w="616" w:type="dxa"/>
            <w:noWrap/>
            <w:vAlign w:val="center"/>
            <w:hideMark/>
          </w:tcPr>
          <w:p w:rsidR="002C5FD4" w:rsidRPr="00C05A91" w:rsidRDefault="002C5FD4" w:rsidP="00AE3602">
            <w:pPr>
              <w:ind w:firstLine="0"/>
              <w:jc w:val="center"/>
              <w:rPr>
                <w:bCs/>
                <w:sz w:val="20"/>
              </w:rPr>
            </w:pPr>
            <w:r w:rsidRPr="00C05A91">
              <w:rPr>
                <w:bCs/>
                <w:sz w:val="20"/>
              </w:rPr>
              <w:t>7</w:t>
            </w:r>
          </w:p>
        </w:tc>
        <w:tc>
          <w:tcPr>
            <w:tcW w:w="616" w:type="dxa"/>
            <w:noWrap/>
            <w:vAlign w:val="center"/>
            <w:hideMark/>
          </w:tcPr>
          <w:p w:rsidR="002C5FD4" w:rsidRPr="00C05A91" w:rsidRDefault="002C5FD4" w:rsidP="00AE3602">
            <w:pPr>
              <w:ind w:firstLine="0"/>
              <w:jc w:val="center"/>
              <w:rPr>
                <w:bCs/>
                <w:sz w:val="20"/>
              </w:rPr>
            </w:pPr>
            <w:r w:rsidRPr="00C05A91">
              <w:rPr>
                <w:bCs/>
                <w:sz w:val="20"/>
              </w:rPr>
              <w:t>1</w:t>
            </w:r>
          </w:p>
        </w:tc>
        <w:tc>
          <w:tcPr>
            <w:tcW w:w="616" w:type="dxa"/>
            <w:noWrap/>
            <w:vAlign w:val="center"/>
            <w:hideMark/>
          </w:tcPr>
          <w:p w:rsidR="002C5FD4" w:rsidRPr="00C05A91" w:rsidRDefault="002C5FD4" w:rsidP="00AE3602">
            <w:pPr>
              <w:ind w:firstLine="0"/>
              <w:jc w:val="center"/>
              <w:rPr>
                <w:bCs/>
                <w:sz w:val="20"/>
              </w:rPr>
            </w:pPr>
            <w:r w:rsidRPr="00C05A91">
              <w:rPr>
                <w:bCs/>
                <w:sz w:val="20"/>
              </w:rPr>
              <w:t>2</w:t>
            </w:r>
          </w:p>
        </w:tc>
        <w:tc>
          <w:tcPr>
            <w:tcW w:w="2562" w:type="dxa"/>
            <w:tcBorders>
              <w:right w:val="nil"/>
            </w:tcBorders>
            <w:noWrap/>
            <w:vAlign w:val="center"/>
            <w:hideMark/>
          </w:tcPr>
          <w:p w:rsidR="002C5FD4" w:rsidRPr="00C05A91" w:rsidRDefault="002C5FD4" w:rsidP="00AE3602">
            <w:pPr>
              <w:jc w:val="center"/>
              <w:rPr>
                <w:bCs/>
                <w:sz w:val="20"/>
              </w:rPr>
            </w:pPr>
            <w:r w:rsidRPr="00C05A91">
              <w:rPr>
                <w:bCs/>
                <w:sz w:val="20"/>
              </w:rPr>
              <w:t>9,26%</w:t>
            </w:r>
          </w:p>
        </w:tc>
      </w:tr>
      <w:tr w:rsidR="002C5FD4" w:rsidRPr="00C05A91" w:rsidTr="002C5FD4">
        <w:trPr>
          <w:trHeight w:val="255"/>
          <w:jc w:val="center"/>
        </w:trPr>
        <w:tc>
          <w:tcPr>
            <w:tcW w:w="3652" w:type="dxa"/>
            <w:tcBorders>
              <w:left w:val="nil"/>
            </w:tcBorders>
            <w:noWrap/>
            <w:hideMark/>
          </w:tcPr>
          <w:p w:rsidR="002C5FD4" w:rsidRPr="00C05A91" w:rsidRDefault="002C5FD4" w:rsidP="00AE3602">
            <w:pPr>
              <w:ind w:firstLine="0"/>
              <w:rPr>
                <w:bCs/>
                <w:sz w:val="20"/>
              </w:rPr>
            </w:pPr>
            <w:r w:rsidRPr="00C05A91">
              <w:rPr>
                <w:bCs/>
                <w:sz w:val="20"/>
              </w:rPr>
              <w:t>Outros</w:t>
            </w:r>
          </w:p>
        </w:tc>
        <w:tc>
          <w:tcPr>
            <w:tcW w:w="616" w:type="dxa"/>
            <w:noWrap/>
            <w:vAlign w:val="center"/>
            <w:hideMark/>
          </w:tcPr>
          <w:p w:rsidR="002C5FD4" w:rsidRPr="00C05A91" w:rsidRDefault="002C5FD4" w:rsidP="00AE3602">
            <w:pPr>
              <w:ind w:firstLine="0"/>
              <w:jc w:val="center"/>
              <w:rPr>
                <w:bCs/>
                <w:sz w:val="20"/>
              </w:rPr>
            </w:pPr>
            <w:r w:rsidRPr="00C05A91">
              <w:rPr>
                <w:bCs/>
                <w:sz w:val="20"/>
              </w:rPr>
              <w:t>1</w:t>
            </w:r>
          </w:p>
        </w:tc>
        <w:tc>
          <w:tcPr>
            <w:tcW w:w="616" w:type="dxa"/>
            <w:noWrap/>
            <w:vAlign w:val="center"/>
            <w:hideMark/>
          </w:tcPr>
          <w:p w:rsidR="002C5FD4" w:rsidRPr="00C05A91" w:rsidRDefault="002C5FD4" w:rsidP="00AE3602">
            <w:pPr>
              <w:ind w:firstLine="0"/>
              <w:jc w:val="center"/>
              <w:rPr>
                <w:bCs/>
                <w:sz w:val="20"/>
              </w:rPr>
            </w:pPr>
            <w:r w:rsidRPr="00C05A91">
              <w:rPr>
                <w:bCs/>
                <w:sz w:val="20"/>
              </w:rPr>
              <w:t>1</w:t>
            </w:r>
          </w:p>
        </w:tc>
        <w:tc>
          <w:tcPr>
            <w:tcW w:w="616" w:type="dxa"/>
            <w:noWrap/>
            <w:vAlign w:val="center"/>
            <w:hideMark/>
          </w:tcPr>
          <w:p w:rsidR="002C5FD4" w:rsidRPr="00C05A91" w:rsidRDefault="002C5FD4" w:rsidP="00AE3602">
            <w:pPr>
              <w:ind w:firstLine="0"/>
              <w:jc w:val="center"/>
              <w:rPr>
                <w:bCs/>
                <w:sz w:val="20"/>
              </w:rPr>
            </w:pPr>
            <w:r w:rsidRPr="00C05A91">
              <w:rPr>
                <w:bCs/>
                <w:sz w:val="20"/>
              </w:rPr>
              <w:t>4</w:t>
            </w:r>
          </w:p>
        </w:tc>
        <w:tc>
          <w:tcPr>
            <w:tcW w:w="2562" w:type="dxa"/>
            <w:tcBorders>
              <w:right w:val="nil"/>
            </w:tcBorders>
            <w:noWrap/>
            <w:vAlign w:val="center"/>
            <w:hideMark/>
          </w:tcPr>
          <w:p w:rsidR="002C5FD4" w:rsidRPr="00C05A91" w:rsidRDefault="002C5FD4" w:rsidP="00AE3602">
            <w:pPr>
              <w:jc w:val="center"/>
              <w:rPr>
                <w:bCs/>
                <w:sz w:val="20"/>
              </w:rPr>
            </w:pPr>
            <w:r w:rsidRPr="00C05A91">
              <w:rPr>
                <w:bCs/>
                <w:sz w:val="20"/>
              </w:rPr>
              <w:t>5,56%</w:t>
            </w:r>
          </w:p>
        </w:tc>
      </w:tr>
      <w:tr w:rsidR="002C5FD4" w:rsidRPr="00C05A91" w:rsidTr="002C5FD4">
        <w:trPr>
          <w:trHeight w:val="255"/>
          <w:jc w:val="center"/>
        </w:trPr>
        <w:tc>
          <w:tcPr>
            <w:tcW w:w="3652" w:type="dxa"/>
            <w:tcBorders>
              <w:left w:val="nil"/>
            </w:tcBorders>
            <w:noWrap/>
            <w:hideMark/>
          </w:tcPr>
          <w:p w:rsidR="002C5FD4" w:rsidRPr="00C05A91" w:rsidRDefault="002C5FD4" w:rsidP="00AE3602">
            <w:pPr>
              <w:ind w:firstLine="0"/>
              <w:rPr>
                <w:bCs/>
                <w:sz w:val="20"/>
              </w:rPr>
            </w:pPr>
            <w:r w:rsidRPr="00C05A91">
              <w:rPr>
                <w:bCs/>
                <w:sz w:val="20"/>
              </w:rPr>
              <w:t>Não informou</w:t>
            </w:r>
          </w:p>
        </w:tc>
        <w:tc>
          <w:tcPr>
            <w:tcW w:w="616" w:type="dxa"/>
            <w:noWrap/>
            <w:vAlign w:val="center"/>
            <w:hideMark/>
          </w:tcPr>
          <w:p w:rsidR="002C5FD4" w:rsidRPr="00C05A91" w:rsidRDefault="002C5FD4" w:rsidP="00AE3602">
            <w:pPr>
              <w:ind w:firstLine="0"/>
              <w:jc w:val="center"/>
              <w:rPr>
                <w:bCs/>
                <w:sz w:val="20"/>
              </w:rPr>
            </w:pPr>
            <w:r w:rsidRPr="00C05A91">
              <w:rPr>
                <w:bCs/>
                <w:sz w:val="20"/>
              </w:rPr>
              <w:t>2</w:t>
            </w:r>
          </w:p>
        </w:tc>
        <w:tc>
          <w:tcPr>
            <w:tcW w:w="616" w:type="dxa"/>
            <w:noWrap/>
            <w:vAlign w:val="center"/>
            <w:hideMark/>
          </w:tcPr>
          <w:p w:rsidR="002C5FD4" w:rsidRPr="00C05A91" w:rsidRDefault="002C5FD4" w:rsidP="00AE3602">
            <w:pPr>
              <w:ind w:firstLine="0"/>
              <w:jc w:val="center"/>
              <w:rPr>
                <w:bCs/>
                <w:sz w:val="20"/>
              </w:rPr>
            </w:pPr>
            <w:r w:rsidRPr="00C05A91">
              <w:rPr>
                <w:bCs/>
                <w:sz w:val="20"/>
              </w:rPr>
              <w:t>9</w:t>
            </w:r>
          </w:p>
        </w:tc>
        <w:tc>
          <w:tcPr>
            <w:tcW w:w="616" w:type="dxa"/>
            <w:noWrap/>
            <w:vAlign w:val="center"/>
            <w:hideMark/>
          </w:tcPr>
          <w:p w:rsidR="002C5FD4" w:rsidRPr="00C05A91" w:rsidRDefault="002C5FD4" w:rsidP="00AE3602">
            <w:pPr>
              <w:ind w:firstLine="0"/>
              <w:jc w:val="center"/>
              <w:rPr>
                <w:bCs/>
                <w:sz w:val="20"/>
              </w:rPr>
            </w:pPr>
            <w:r w:rsidRPr="00C05A91">
              <w:rPr>
                <w:bCs/>
                <w:sz w:val="20"/>
              </w:rPr>
              <w:t>1</w:t>
            </w:r>
          </w:p>
        </w:tc>
        <w:tc>
          <w:tcPr>
            <w:tcW w:w="2562" w:type="dxa"/>
            <w:tcBorders>
              <w:right w:val="nil"/>
            </w:tcBorders>
            <w:noWrap/>
            <w:vAlign w:val="center"/>
            <w:hideMark/>
          </w:tcPr>
          <w:p w:rsidR="002C5FD4" w:rsidRPr="00C05A91" w:rsidRDefault="002C5FD4" w:rsidP="00AE3602">
            <w:pPr>
              <w:jc w:val="center"/>
              <w:rPr>
                <w:bCs/>
                <w:sz w:val="20"/>
              </w:rPr>
            </w:pPr>
            <w:r w:rsidRPr="00C05A91">
              <w:rPr>
                <w:bCs/>
                <w:sz w:val="20"/>
              </w:rPr>
              <w:t>11,11%</w:t>
            </w:r>
          </w:p>
        </w:tc>
      </w:tr>
      <w:tr w:rsidR="002C5FD4" w:rsidRPr="00C05A91" w:rsidTr="002C5FD4">
        <w:trPr>
          <w:trHeight w:val="255"/>
          <w:jc w:val="center"/>
        </w:trPr>
        <w:tc>
          <w:tcPr>
            <w:tcW w:w="3652" w:type="dxa"/>
            <w:tcBorders>
              <w:left w:val="nil"/>
            </w:tcBorders>
            <w:noWrap/>
            <w:hideMark/>
          </w:tcPr>
          <w:p w:rsidR="002C5FD4" w:rsidRPr="00C05A91" w:rsidRDefault="002C5FD4" w:rsidP="00AE3602">
            <w:pPr>
              <w:ind w:firstLine="0"/>
              <w:rPr>
                <w:bCs/>
                <w:sz w:val="20"/>
              </w:rPr>
            </w:pPr>
            <w:r w:rsidRPr="00C05A91">
              <w:rPr>
                <w:bCs/>
                <w:sz w:val="20"/>
              </w:rPr>
              <w:t>Total</w:t>
            </w:r>
          </w:p>
        </w:tc>
        <w:tc>
          <w:tcPr>
            <w:tcW w:w="616" w:type="dxa"/>
            <w:noWrap/>
            <w:vAlign w:val="center"/>
            <w:hideMark/>
          </w:tcPr>
          <w:p w:rsidR="002C5FD4" w:rsidRPr="00C05A91" w:rsidRDefault="002C5FD4" w:rsidP="00AE3602">
            <w:pPr>
              <w:ind w:firstLine="0"/>
              <w:jc w:val="center"/>
              <w:rPr>
                <w:bCs/>
                <w:sz w:val="20"/>
              </w:rPr>
            </w:pPr>
            <w:r w:rsidRPr="00C05A91">
              <w:rPr>
                <w:bCs/>
                <w:sz w:val="20"/>
              </w:rPr>
              <w:t>42</w:t>
            </w:r>
          </w:p>
        </w:tc>
        <w:tc>
          <w:tcPr>
            <w:tcW w:w="616" w:type="dxa"/>
            <w:noWrap/>
            <w:vAlign w:val="center"/>
            <w:hideMark/>
          </w:tcPr>
          <w:p w:rsidR="002C5FD4" w:rsidRPr="00C05A91" w:rsidRDefault="002C5FD4" w:rsidP="00AE3602">
            <w:pPr>
              <w:ind w:firstLine="0"/>
              <w:jc w:val="center"/>
              <w:rPr>
                <w:bCs/>
                <w:sz w:val="20"/>
              </w:rPr>
            </w:pPr>
            <w:r w:rsidRPr="00C05A91">
              <w:rPr>
                <w:bCs/>
                <w:sz w:val="20"/>
              </w:rPr>
              <w:t>32</w:t>
            </w:r>
          </w:p>
        </w:tc>
        <w:tc>
          <w:tcPr>
            <w:tcW w:w="616" w:type="dxa"/>
            <w:noWrap/>
            <w:vAlign w:val="center"/>
            <w:hideMark/>
          </w:tcPr>
          <w:p w:rsidR="002C5FD4" w:rsidRPr="00C05A91" w:rsidRDefault="002C5FD4" w:rsidP="00AE3602">
            <w:pPr>
              <w:ind w:firstLine="0"/>
              <w:jc w:val="center"/>
              <w:rPr>
                <w:bCs/>
                <w:sz w:val="20"/>
              </w:rPr>
            </w:pPr>
            <w:r w:rsidRPr="00C05A91">
              <w:rPr>
                <w:bCs/>
                <w:sz w:val="20"/>
              </w:rPr>
              <w:t>34</w:t>
            </w:r>
          </w:p>
        </w:tc>
        <w:tc>
          <w:tcPr>
            <w:tcW w:w="2562" w:type="dxa"/>
            <w:tcBorders>
              <w:right w:val="nil"/>
            </w:tcBorders>
            <w:noWrap/>
            <w:vAlign w:val="center"/>
            <w:hideMark/>
          </w:tcPr>
          <w:p w:rsidR="002C5FD4" w:rsidRPr="00C05A91" w:rsidRDefault="002C5FD4" w:rsidP="00AE3602">
            <w:pPr>
              <w:jc w:val="center"/>
              <w:rPr>
                <w:bCs/>
                <w:sz w:val="20"/>
              </w:rPr>
            </w:pPr>
            <w:r w:rsidRPr="00C05A91">
              <w:rPr>
                <w:bCs/>
                <w:sz w:val="20"/>
              </w:rPr>
              <w:t>100,00%</w:t>
            </w:r>
          </w:p>
        </w:tc>
      </w:tr>
    </w:tbl>
    <w:p w:rsidR="002C5FD4" w:rsidRPr="002C5FD4" w:rsidRDefault="00C05A91" w:rsidP="00AE3602">
      <w:pPr>
        <w:ind w:firstLine="0"/>
        <w:rPr>
          <w:bCs/>
        </w:rPr>
      </w:pPr>
      <w:r>
        <w:rPr>
          <w:bCs/>
        </w:rPr>
        <w:t xml:space="preserve">           </w:t>
      </w:r>
      <w:r w:rsidR="002C5FD4" w:rsidRPr="002C5FD4">
        <w:rPr>
          <w:bCs/>
        </w:rPr>
        <w:t>Fonte: Elaborado pelos autores com base nos dados da pesquisa.</w:t>
      </w:r>
    </w:p>
    <w:p w:rsidR="002C5FD4" w:rsidRPr="002C5FD4" w:rsidRDefault="002C5FD4" w:rsidP="00AE3602">
      <w:pPr>
        <w:rPr>
          <w:bCs/>
        </w:rPr>
      </w:pPr>
      <w:r w:rsidRPr="002C5FD4">
        <w:rPr>
          <w:bCs/>
        </w:rPr>
        <w:t xml:space="preserve">Considerando os fatores que integram o </w:t>
      </w:r>
      <w:r w:rsidRPr="002C5FD4">
        <w:rPr>
          <w:bCs/>
          <w:i/>
        </w:rPr>
        <w:t xml:space="preserve">goodwill, </w:t>
      </w:r>
      <w:r w:rsidRPr="002C5FD4">
        <w:rPr>
          <w:bCs/>
        </w:rPr>
        <w:t xml:space="preserve">é possível afirmar que a maioria das combinações em que houve reconhecimento do </w:t>
      </w:r>
      <w:r w:rsidRPr="002C5FD4">
        <w:rPr>
          <w:bCs/>
          <w:i/>
        </w:rPr>
        <w:t>goodwill</w:t>
      </w:r>
      <w:r w:rsidRPr="002C5FD4">
        <w:rPr>
          <w:bCs/>
        </w:rPr>
        <w:t xml:space="preserve"> (88,89%), foram mencionados fatores condizentes com os termos emanados pelo CPC 15 (R1), porém, conforme Souza (2015) reconhecer o </w:t>
      </w:r>
      <w:r w:rsidRPr="002C5FD4">
        <w:rPr>
          <w:bCs/>
          <w:i/>
        </w:rPr>
        <w:t xml:space="preserve">goodwill </w:t>
      </w:r>
      <w:r w:rsidRPr="002C5FD4">
        <w:rPr>
          <w:bCs/>
        </w:rPr>
        <w:t xml:space="preserve">considerando apenas uma expectativa de rentabilidade futura é subjetivo, pois não são conhecidos os fatores que justificam essa rentabilidade futura. </w:t>
      </w:r>
    </w:p>
    <w:p w:rsidR="002C5FD4" w:rsidRPr="002C5FD4" w:rsidRDefault="002C5FD4" w:rsidP="00AE3602">
      <w:pPr>
        <w:rPr>
          <w:bCs/>
        </w:rPr>
      </w:pPr>
      <w:r w:rsidRPr="002C5FD4">
        <w:rPr>
          <w:bCs/>
        </w:rPr>
        <w:t xml:space="preserve">Vale mencionar que em relação ao </w:t>
      </w:r>
      <w:r w:rsidRPr="002C5FD4">
        <w:rPr>
          <w:bCs/>
          <w:i/>
        </w:rPr>
        <w:t xml:space="preserve">goodwill, </w:t>
      </w:r>
      <w:r w:rsidRPr="002C5FD4">
        <w:rPr>
          <w:bCs/>
        </w:rPr>
        <w:t>algumas companhias mencionaram como rentabilidade futura as sinergias ou as economias de escala esperadas em virtude da combinação realizada, todavia, não forneceram detalhamentos acerca dessas informações.</w:t>
      </w:r>
    </w:p>
    <w:p w:rsidR="002C5FD4" w:rsidRDefault="002C5FD4" w:rsidP="00AE3602">
      <w:pPr>
        <w:rPr>
          <w:bCs/>
        </w:rPr>
      </w:pPr>
      <w:r w:rsidRPr="002C5FD4">
        <w:rPr>
          <w:bCs/>
        </w:rPr>
        <w:t xml:space="preserve">Na Tabela 4 é apresentada a estatística descritiva da proporção do </w:t>
      </w:r>
      <w:r w:rsidRPr="002C5FD4">
        <w:rPr>
          <w:bCs/>
          <w:i/>
          <w:iCs/>
        </w:rPr>
        <w:t xml:space="preserve">goodwill </w:t>
      </w:r>
      <w:r w:rsidRPr="002C5FD4">
        <w:rPr>
          <w:bCs/>
        </w:rPr>
        <w:t xml:space="preserve">reconhecido em relação à contraprestação. Para que não houvesse distorções no resultado, foi realizada a exclusão da companhia Profarma S.A. referente à aquisição da CSB Drogarias realizada em 2013, que reconheceu um </w:t>
      </w:r>
      <w:r w:rsidRPr="002C5FD4">
        <w:rPr>
          <w:bCs/>
          <w:i/>
        </w:rPr>
        <w:t>goodwill</w:t>
      </w:r>
      <w:r w:rsidRPr="002C5FD4">
        <w:rPr>
          <w:bCs/>
        </w:rPr>
        <w:t xml:space="preserve"> 660,82%. Tal exclusão também foi realizada no estudo de Souza (2015), pois também foi analisado o período de 2013. Em 2014 foi excluída a combinação de negócios realizada pela Algar S.A. que adquiriu a Rhealeza Volta Redonda Informática Ltda., reconhecendo um ágio correspondente a 327,53% da contraprestação transferida.</w:t>
      </w:r>
    </w:p>
    <w:p w:rsidR="002C5FD4" w:rsidRPr="002C5FD4" w:rsidRDefault="00C05A91" w:rsidP="00AE3602">
      <w:pPr>
        <w:rPr>
          <w:bCs/>
        </w:rPr>
      </w:pPr>
      <w:r>
        <w:rPr>
          <w:bCs/>
        </w:rPr>
        <w:t xml:space="preserve"> </w:t>
      </w:r>
      <w:r w:rsidR="002C5FD4" w:rsidRPr="002C5FD4">
        <w:rPr>
          <w:bCs/>
        </w:rPr>
        <w:t xml:space="preserve">     Tabela 4: Proporção do </w:t>
      </w:r>
      <w:r w:rsidR="002C5FD4" w:rsidRPr="002C5FD4">
        <w:rPr>
          <w:bCs/>
          <w:i/>
        </w:rPr>
        <w:t>goodwill</w:t>
      </w:r>
      <w:r w:rsidR="002C5FD4" w:rsidRPr="002C5FD4">
        <w:rPr>
          <w:bCs/>
        </w:rPr>
        <w:t xml:space="preserve"> em relação à contraprestação</w:t>
      </w:r>
    </w:p>
    <w:tbl>
      <w:tblPr>
        <w:tblW w:w="7200" w:type="dxa"/>
        <w:jc w:val="center"/>
        <w:tblInd w:w="55" w:type="dxa"/>
        <w:tblCellMar>
          <w:left w:w="70" w:type="dxa"/>
          <w:right w:w="70" w:type="dxa"/>
        </w:tblCellMar>
        <w:tblLook w:val="04A0"/>
      </w:tblPr>
      <w:tblGrid>
        <w:gridCol w:w="3120"/>
        <w:gridCol w:w="960"/>
        <w:gridCol w:w="960"/>
        <w:gridCol w:w="960"/>
        <w:gridCol w:w="1200"/>
      </w:tblGrid>
      <w:tr w:rsidR="002C5FD4" w:rsidRPr="00C05A91" w:rsidTr="002C5FD4">
        <w:trPr>
          <w:trHeight w:val="144"/>
          <w:jc w:val="center"/>
        </w:trPr>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2C5FD4" w:rsidRPr="00C05A91" w:rsidRDefault="002C5FD4" w:rsidP="00AE3602">
            <w:pPr>
              <w:rPr>
                <w:sz w:val="20"/>
              </w:rPr>
            </w:pPr>
            <w:r w:rsidRPr="00C05A91">
              <w:rPr>
                <w:bCs/>
                <w:sz w:val="20"/>
              </w:rPr>
              <w:t xml:space="preserve">           </w:t>
            </w:r>
            <w:r w:rsidRPr="00C05A91">
              <w:rPr>
                <w:sz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2012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2014</w:t>
            </w:r>
          </w:p>
        </w:tc>
        <w:tc>
          <w:tcPr>
            <w:tcW w:w="1200" w:type="dxa"/>
            <w:tcBorders>
              <w:top w:val="single" w:sz="4" w:space="0" w:color="auto"/>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Média geral</w:t>
            </w:r>
          </w:p>
        </w:tc>
      </w:tr>
      <w:tr w:rsidR="002C5FD4" w:rsidRPr="00C05A91" w:rsidTr="002C5FD4">
        <w:trPr>
          <w:trHeight w:val="248"/>
          <w:jc w:val="center"/>
        </w:trPr>
        <w:tc>
          <w:tcPr>
            <w:tcW w:w="312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rPr>
                <w:sz w:val="20"/>
              </w:rPr>
            </w:pPr>
            <w:r w:rsidRPr="00C05A91">
              <w:rPr>
                <w:sz w:val="20"/>
              </w:rPr>
              <w:t>Média</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73,15%</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64,58%</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56,84%</w:t>
            </w:r>
          </w:p>
        </w:tc>
        <w:tc>
          <w:tcPr>
            <w:tcW w:w="1200" w:type="dxa"/>
            <w:tcBorders>
              <w:top w:val="nil"/>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64,86%</w:t>
            </w:r>
          </w:p>
        </w:tc>
      </w:tr>
      <w:tr w:rsidR="002C5FD4" w:rsidRPr="00C05A91" w:rsidTr="002C5FD4">
        <w:trPr>
          <w:trHeight w:val="196"/>
          <w:jc w:val="center"/>
        </w:trPr>
        <w:tc>
          <w:tcPr>
            <w:tcW w:w="312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rPr>
                <w:sz w:val="20"/>
              </w:rPr>
            </w:pPr>
            <w:r w:rsidRPr="00C05A91">
              <w:rPr>
                <w:sz w:val="20"/>
              </w:rPr>
              <w:t>Erro padrão</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5,33%</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6,81%</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6,13%</w:t>
            </w:r>
          </w:p>
        </w:tc>
        <w:tc>
          <w:tcPr>
            <w:tcW w:w="1200" w:type="dxa"/>
            <w:tcBorders>
              <w:top w:val="nil"/>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6,09%</w:t>
            </w:r>
          </w:p>
        </w:tc>
      </w:tr>
      <w:tr w:rsidR="002C5FD4" w:rsidRPr="00C05A91" w:rsidTr="002C5FD4">
        <w:trPr>
          <w:trHeight w:val="172"/>
          <w:jc w:val="center"/>
        </w:trPr>
        <w:tc>
          <w:tcPr>
            <w:tcW w:w="312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rPr>
                <w:sz w:val="20"/>
              </w:rPr>
            </w:pPr>
            <w:r w:rsidRPr="00C05A91">
              <w:rPr>
                <w:sz w:val="20"/>
              </w:rPr>
              <w:t>Mediana</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76,28%</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66,62%</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51,47%</w:t>
            </w:r>
          </w:p>
        </w:tc>
        <w:tc>
          <w:tcPr>
            <w:tcW w:w="1200" w:type="dxa"/>
            <w:tcBorders>
              <w:top w:val="nil"/>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64,79%</w:t>
            </w:r>
          </w:p>
        </w:tc>
      </w:tr>
      <w:tr w:rsidR="002C5FD4" w:rsidRPr="00C05A91" w:rsidTr="002C5FD4">
        <w:trPr>
          <w:trHeight w:val="172"/>
          <w:jc w:val="center"/>
        </w:trPr>
        <w:tc>
          <w:tcPr>
            <w:tcW w:w="312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rPr>
                <w:sz w:val="20"/>
              </w:rPr>
            </w:pPr>
            <w:r w:rsidRPr="00C05A91">
              <w:rPr>
                <w:sz w:val="20"/>
              </w:rPr>
              <w:t>Desvio padrão</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34,53%</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37,92%</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32,41%</w:t>
            </w:r>
          </w:p>
        </w:tc>
        <w:tc>
          <w:tcPr>
            <w:tcW w:w="1200" w:type="dxa"/>
            <w:tcBorders>
              <w:top w:val="nil"/>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34,95%</w:t>
            </w:r>
          </w:p>
        </w:tc>
      </w:tr>
      <w:tr w:rsidR="002C5FD4" w:rsidRPr="00C05A91" w:rsidTr="002C5FD4">
        <w:trPr>
          <w:trHeight w:val="162"/>
          <w:jc w:val="center"/>
        </w:trPr>
        <w:tc>
          <w:tcPr>
            <w:tcW w:w="312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rPr>
                <w:sz w:val="20"/>
              </w:rPr>
            </w:pPr>
            <w:r w:rsidRPr="00C05A91">
              <w:rPr>
                <w:sz w:val="20"/>
              </w:rPr>
              <w:t>Mínimo</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0,90%</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1,97%</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1,97%</w:t>
            </w:r>
          </w:p>
        </w:tc>
        <w:tc>
          <w:tcPr>
            <w:tcW w:w="1200" w:type="dxa"/>
            <w:tcBorders>
              <w:top w:val="nil"/>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1,61%</w:t>
            </w:r>
          </w:p>
        </w:tc>
      </w:tr>
      <w:tr w:rsidR="002C5FD4" w:rsidRPr="00C05A91" w:rsidTr="002C5FD4">
        <w:trPr>
          <w:trHeight w:val="138"/>
          <w:jc w:val="center"/>
        </w:trPr>
        <w:tc>
          <w:tcPr>
            <w:tcW w:w="312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rPr>
                <w:sz w:val="20"/>
              </w:rPr>
            </w:pPr>
            <w:r w:rsidRPr="00C05A91">
              <w:rPr>
                <w:sz w:val="20"/>
              </w:rPr>
              <w:t>Máximo</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155,19%</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157,95%</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120,13%</w:t>
            </w:r>
          </w:p>
        </w:tc>
        <w:tc>
          <w:tcPr>
            <w:tcW w:w="1200" w:type="dxa"/>
            <w:tcBorders>
              <w:top w:val="nil"/>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144,42%</w:t>
            </w:r>
          </w:p>
        </w:tc>
      </w:tr>
      <w:tr w:rsidR="002C5FD4" w:rsidRPr="00C05A91" w:rsidTr="002C5FD4">
        <w:trPr>
          <w:trHeight w:val="112"/>
          <w:jc w:val="center"/>
        </w:trPr>
        <w:tc>
          <w:tcPr>
            <w:tcW w:w="312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rPr>
                <w:sz w:val="20"/>
              </w:rPr>
            </w:pPr>
            <w:r w:rsidRPr="00C05A91">
              <w:rPr>
                <w:sz w:val="20"/>
              </w:rPr>
              <w:t xml:space="preserve">Quantidade de combinações </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42</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31</w:t>
            </w:r>
          </w:p>
        </w:tc>
        <w:tc>
          <w:tcPr>
            <w:tcW w:w="960" w:type="dxa"/>
            <w:tcBorders>
              <w:top w:val="nil"/>
              <w:left w:val="nil"/>
              <w:bottom w:val="single" w:sz="4" w:space="0" w:color="auto"/>
              <w:right w:val="single" w:sz="4" w:space="0" w:color="auto"/>
            </w:tcBorders>
            <w:shd w:val="clear" w:color="auto" w:fill="auto"/>
            <w:noWrap/>
            <w:vAlign w:val="bottom"/>
            <w:hideMark/>
          </w:tcPr>
          <w:p w:rsidR="002C5FD4" w:rsidRPr="00C05A91" w:rsidRDefault="002C5FD4" w:rsidP="00AE3602">
            <w:pPr>
              <w:ind w:firstLine="0"/>
              <w:jc w:val="center"/>
              <w:rPr>
                <w:sz w:val="20"/>
              </w:rPr>
            </w:pPr>
            <w:r w:rsidRPr="00C05A91">
              <w:rPr>
                <w:sz w:val="20"/>
              </w:rPr>
              <w:t>28</w:t>
            </w:r>
          </w:p>
        </w:tc>
        <w:tc>
          <w:tcPr>
            <w:tcW w:w="1200" w:type="dxa"/>
            <w:tcBorders>
              <w:top w:val="nil"/>
              <w:left w:val="nil"/>
              <w:bottom w:val="single" w:sz="4" w:space="0" w:color="auto"/>
              <w:right w:val="nil"/>
            </w:tcBorders>
            <w:shd w:val="clear" w:color="auto" w:fill="auto"/>
            <w:noWrap/>
            <w:vAlign w:val="bottom"/>
            <w:hideMark/>
          </w:tcPr>
          <w:p w:rsidR="002C5FD4" w:rsidRPr="00C05A91" w:rsidRDefault="002C5FD4" w:rsidP="00AE3602">
            <w:pPr>
              <w:ind w:firstLine="0"/>
              <w:jc w:val="center"/>
              <w:rPr>
                <w:sz w:val="20"/>
              </w:rPr>
            </w:pPr>
            <w:r w:rsidRPr="00C05A91">
              <w:rPr>
                <w:sz w:val="20"/>
              </w:rPr>
              <w:t>-</w:t>
            </w:r>
          </w:p>
        </w:tc>
      </w:tr>
    </w:tbl>
    <w:p w:rsidR="002C5FD4" w:rsidRPr="002C5FD4" w:rsidRDefault="002C5FD4" w:rsidP="00AE3602">
      <w:pPr>
        <w:rPr>
          <w:bCs/>
        </w:rPr>
      </w:pPr>
      <w:r w:rsidRPr="002C5FD4">
        <w:rPr>
          <w:bCs/>
        </w:rPr>
        <w:t xml:space="preserve">     </w:t>
      </w:r>
      <w:r w:rsidR="00C05A91">
        <w:rPr>
          <w:bCs/>
        </w:rPr>
        <w:t xml:space="preserve"> </w:t>
      </w:r>
      <w:r w:rsidRPr="002C5FD4">
        <w:rPr>
          <w:bCs/>
        </w:rPr>
        <w:t>Fonte: Elaborado pelos autores com base nos dados da pesquisa.</w:t>
      </w:r>
    </w:p>
    <w:p w:rsidR="002C5FD4" w:rsidRPr="002C5FD4" w:rsidRDefault="002C5FD4" w:rsidP="00AE3602">
      <w:pPr>
        <w:rPr>
          <w:bCs/>
        </w:rPr>
      </w:pPr>
      <w:r w:rsidRPr="002C5FD4">
        <w:rPr>
          <w:bCs/>
        </w:rPr>
        <w:lastRenderedPageBreak/>
        <w:t xml:space="preserve">Conforme a Tabela 4, é possível perceber que nos períodos analisados a média geral da proporção do </w:t>
      </w:r>
      <w:r w:rsidRPr="002C5FD4">
        <w:rPr>
          <w:bCs/>
          <w:i/>
        </w:rPr>
        <w:t>goodwill</w:t>
      </w:r>
      <w:r w:rsidRPr="002C5FD4">
        <w:rPr>
          <w:bCs/>
        </w:rPr>
        <w:t xml:space="preserve"> em relação à contraprestação foi 64,86%. Também é possível observar que a mediana nos três períodos analisados foi superior a 50%, o que significa que mais da metade das combinações de negócios apresentaram um valor elevado da proporção do </w:t>
      </w:r>
      <w:r w:rsidRPr="002C5FD4">
        <w:rPr>
          <w:bCs/>
          <w:i/>
        </w:rPr>
        <w:t>goodwill</w:t>
      </w:r>
      <w:r w:rsidRPr="002C5FD4">
        <w:rPr>
          <w:bCs/>
        </w:rPr>
        <w:t xml:space="preserve"> em relação à contraprestação. Referente aos valores máximos, percebe-se que nos três períodos a proporção do </w:t>
      </w:r>
      <w:r w:rsidRPr="002C5FD4">
        <w:rPr>
          <w:bCs/>
          <w:i/>
        </w:rPr>
        <w:t>goodwill</w:t>
      </w:r>
      <w:r w:rsidRPr="002C5FD4">
        <w:rPr>
          <w:bCs/>
        </w:rPr>
        <w:t xml:space="preserve"> em relação à contraprestação foi superior a 100,00%, apresentando uma média geral das proporções máximas de 144,42%. </w:t>
      </w:r>
    </w:p>
    <w:p w:rsidR="002C5FD4" w:rsidRPr="002C5FD4" w:rsidRDefault="002C5FD4" w:rsidP="00AE3602">
      <w:pPr>
        <w:rPr>
          <w:bCs/>
        </w:rPr>
      </w:pPr>
      <w:r w:rsidRPr="002C5FD4">
        <w:rPr>
          <w:bCs/>
        </w:rPr>
        <w:t xml:space="preserve">Dessa forma, pode-se afirmar que a proporção do </w:t>
      </w:r>
      <w:r w:rsidRPr="002C5FD4">
        <w:rPr>
          <w:bCs/>
          <w:i/>
        </w:rPr>
        <w:t>goodwill</w:t>
      </w:r>
      <w:r w:rsidRPr="002C5FD4">
        <w:rPr>
          <w:bCs/>
        </w:rPr>
        <w:t xml:space="preserve"> em relação à contraprestação representa um valor considerável nas combinações de negócios. Quanto às informações referentes aos ativos intangíveis identificáveis, a Tabela 5 demonstra a evidenciação dos ativos intangíveis identificáveis.</w:t>
      </w:r>
    </w:p>
    <w:p w:rsidR="002C5FD4" w:rsidRPr="002C5FD4" w:rsidRDefault="002C5FD4" w:rsidP="00AE3602">
      <w:pPr>
        <w:rPr>
          <w:bCs/>
        </w:rPr>
      </w:pPr>
      <w:r w:rsidRPr="002C5FD4">
        <w:rPr>
          <w:bCs/>
        </w:rPr>
        <w:t xml:space="preserve">    </w:t>
      </w:r>
      <w:r w:rsidR="00C05A91">
        <w:rPr>
          <w:bCs/>
        </w:rPr>
        <w:t xml:space="preserve">  </w:t>
      </w:r>
      <w:r w:rsidRPr="002C5FD4">
        <w:rPr>
          <w:bCs/>
        </w:rPr>
        <w:t>Tabela 5: Informações sobre os ativos intangíveis identificáveis</w:t>
      </w:r>
    </w:p>
    <w:tbl>
      <w:tblPr>
        <w:tblW w:w="7200" w:type="dxa"/>
        <w:jc w:val="center"/>
        <w:tblInd w:w="53" w:type="dxa"/>
        <w:tblCellMar>
          <w:left w:w="70" w:type="dxa"/>
          <w:right w:w="70" w:type="dxa"/>
        </w:tblCellMar>
        <w:tblLook w:val="04A0"/>
      </w:tblPr>
      <w:tblGrid>
        <w:gridCol w:w="2420"/>
        <w:gridCol w:w="700"/>
        <w:gridCol w:w="660"/>
        <w:gridCol w:w="620"/>
        <w:gridCol w:w="2800"/>
      </w:tblGrid>
      <w:tr w:rsidR="002C5FD4" w:rsidRPr="00C05A91" w:rsidTr="002C5FD4">
        <w:trPr>
          <w:trHeight w:val="746"/>
          <w:jc w:val="center"/>
        </w:trPr>
        <w:tc>
          <w:tcPr>
            <w:tcW w:w="2420" w:type="dxa"/>
            <w:tcBorders>
              <w:top w:val="single" w:sz="4" w:space="0" w:color="auto"/>
              <w:left w:val="nil"/>
              <w:bottom w:val="single" w:sz="4" w:space="0" w:color="auto"/>
              <w:right w:val="single" w:sz="4" w:space="0" w:color="auto"/>
            </w:tcBorders>
            <w:shd w:val="clear" w:color="000000" w:fill="FFFFFF"/>
            <w:vAlign w:val="center"/>
            <w:hideMark/>
          </w:tcPr>
          <w:p w:rsidR="002C5FD4" w:rsidRPr="00C05A91" w:rsidRDefault="002C5FD4" w:rsidP="00AE3602">
            <w:pPr>
              <w:ind w:firstLine="0"/>
              <w:rPr>
                <w:sz w:val="20"/>
              </w:rPr>
            </w:pPr>
            <w:r w:rsidRPr="00C05A91">
              <w:rPr>
                <w:sz w:val="20"/>
              </w:rPr>
              <w:t>Informações sobre os ativos intangíveis identificáveis</w:t>
            </w:r>
          </w:p>
        </w:tc>
        <w:tc>
          <w:tcPr>
            <w:tcW w:w="70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C05A91" w:rsidRDefault="002C5FD4" w:rsidP="00AE3602">
            <w:pPr>
              <w:ind w:firstLine="0"/>
              <w:rPr>
                <w:sz w:val="20"/>
              </w:rPr>
            </w:pPr>
            <w:r w:rsidRPr="00C05A91">
              <w:rPr>
                <w:sz w:val="20"/>
              </w:rPr>
              <w:t>2012</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C05A91" w:rsidRDefault="002C5FD4" w:rsidP="00AE3602">
            <w:pPr>
              <w:ind w:firstLine="0"/>
              <w:rPr>
                <w:sz w:val="20"/>
              </w:rPr>
            </w:pPr>
            <w:r w:rsidRPr="00C05A91">
              <w:rPr>
                <w:sz w:val="20"/>
              </w:rPr>
              <w:t>2013</w:t>
            </w:r>
          </w:p>
        </w:tc>
        <w:tc>
          <w:tcPr>
            <w:tcW w:w="620" w:type="dxa"/>
            <w:tcBorders>
              <w:top w:val="single" w:sz="4" w:space="0" w:color="auto"/>
              <w:left w:val="nil"/>
              <w:bottom w:val="single" w:sz="4" w:space="0" w:color="auto"/>
              <w:right w:val="nil"/>
            </w:tcBorders>
            <w:shd w:val="clear" w:color="000000" w:fill="FFFFFF"/>
            <w:noWrap/>
            <w:vAlign w:val="center"/>
            <w:hideMark/>
          </w:tcPr>
          <w:p w:rsidR="002C5FD4" w:rsidRPr="00C05A91" w:rsidRDefault="002C5FD4" w:rsidP="00AE3602">
            <w:pPr>
              <w:ind w:firstLine="0"/>
              <w:rPr>
                <w:sz w:val="20"/>
              </w:rPr>
            </w:pPr>
            <w:r w:rsidRPr="00C05A91">
              <w:rPr>
                <w:sz w:val="20"/>
              </w:rPr>
              <w:t>2014</w:t>
            </w:r>
          </w:p>
        </w:tc>
        <w:tc>
          <w:tcPr>
            <w:tcW w:w="2800" w:type="dxa"/>
            <w:tcBorders>
              <w:top w:val="single" w:sz="4" w:space="0" w:color="auto"/>
              <w:left w:val="single" w:sz="4" w:space="0" w:color="auto"/>
              <w:bottom w:val="single" w:sz="4" w:space="0" w:color="auto"/>
              <w:right w:val="nil"/>
            </w:tcBorders>
            <w:shd w:val="clear" w:color="000000" w:fill="FFFFFF"/>
            <w:vAlign w:val="bottom"/>
            <w:hideMark/>
          </w:tcPr>
          <w:p w:rsidR="002C5FD4" w:rsidRPr="00C05A91" w:rsidRDefault="002C5FD4" w:rsidP="00AE3602">
            <w:pPr>
              <w:ind w:firstLine="0"/>
              <w:rPr>
                <w:sz w:val="20"/>
              </w:rPr>
            </w:pPr>
            <w:r w:rsidRPr="00C05A91">
              <w:rPr>
                <w:sz w:val="20"/>
              </w:rPr>
              <w:t>% em relação ao total de combinações que reconheceram ativos intangíveis identificáveis</w:t>
            </w:r>
          </w:p>
        </w:tc>
      </w:tr>
      <w:tr w:rsidR="002C5FD4" w:rsidRPr="00C05A91" w:rsidTr="002C5FD4">
        <w:trPr>
          <w:trHeight w:val="167"/>
          <w:jc w:val="center"/>
        </w:trPr>
        <w:tc>
          <w:tcPr>
            <w:tcW w:w="242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Informou a vida útil</w:t>
            </w:r>
          </w:p>
        </w:tc>
        <w:tc>
          <w:tcPr>
            <w:tcW w:w="70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5</w:t>
            </w:r>
          </w:p>
        </w:tc>
        <w:tc>
          <w:tcPr>
            <w:tcW w:w="66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0</w:t>
            </w:r>
          </w:p>
        </w:tc>
        <w:tc>
          <w:tcPr>
            <w:tcW w:w="620" w:type="dxa"/>
            <w:tcBorders>
              <w:top w:val="nil"/>
              <w:left w:val="nil"/>
              <w:bottom w:val="single" w:sz="4" w:space="0" w:color="auto"/>
              <w:right w:val="nil"/>
            </w:tcBorders>
            <w:shd w:val="clear" w:color="000000" w:fill="FFFFFF"/>
            <w:noWrap/>
            <w:hideMark/>
          </w:tcPr>
          <w:p w:rsidR="002C5FD4" w:rsidRPr="00C05A91" w:rsidRDefault="002C5FD4" w:rsidP="00AE3602">
            <w:pPr>
              <w:ind w:firstLine="0"/>
              <w:rPr>
                <w:sz w:val="20"/>
              </w:rPr>
            </w:pPr>
            <w:r w:rsidRPr="00C05A91">
              <w:rPr>
                <w:sz w:val="20"/>
              </w:rPr>
              <w:t>7</w:t>
            </w:r>
          </w:p>
        </w:tc>
        <w:tc>
          <w:tcPr>
            <w:tcW w:w="2800" w:type="dxa"/>
            <w:tcBorders>
              <w:top w:val="nil"/>
              <w:left w:val="single" w:sz="4" w:space="0" w:color="auto"/>
              <w:bottom w:val="single" w:sz="4" w:space="0" w:color="auto"/>
              <w:right w:val="nil"/>
            </w:tcBorders>
            <w:shd w:val="clear" w:color="000000" w:fill="FFFFFF"/>
            <w:noWrap/>
            <w:hideMark/>
          </w:tcPr>
          <w:p w:rsidR="002C5FD4" w:rsidRPr="00C05A91" w:rsidRDefault="002C5FD4" w:rsidP="00AE3602">
            <w:pPr>
              <w:rPr>
                <w:sz w:val="20"/>
              </w:rPr>
            </w:pPr>
            <w:r w:rsidRPr="00C05A91">
              <w:rPr>
                <w:sz w:val="20"/>
              </w:rPr>
              <w:t>19,67%</w:t>
            </w:r>
          </w:p>
        </w:tc>
      </w:tr>
      <w:tr w:rsidR="002C5FD4" w:rsidRPr="00C05A91" w:rsidTr="002C5FD4">
        <w:trPr>
          <w:trHeight w:val="200"/>
          <w:jc w:val="center"/>
        </w:trPr>
        <w:tc>
          <w:tcPr>
            <w:tcW w:w="242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Informou o valor total</w:t>
            </w:r>
          </w:p>
        </w:tc>
        <w:tc>
          <w:tcPr>
            <w:tcW w:w="70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11</w:t>
            </w:r>
          </w:p>
        </w:tc>
        <w:tc>
          <w:tcPr>
            <w:tcW w:w="66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8</w:t>
            </w:r>
          </w:p>
        </w:tc>
        <w:tc>
          <w:tcPr>
            <w:tcW w:w="620" w:type="dxa"/>
            <w:tcBorders>
              <w:top w:val="nil"/>
              <w:left w:val="nil"/>
              <w:bottom w:val="single" w:sz="4" w:space="0" w:color="auto"/>
              <w:right w:val="nil"/>
            </w:tcBorders>
            <w:shd w:val="clear" w:color="000000" w:fill="FFFFFF"/>
            <w:noWrap/>
            <w:hideMark/>
          </w:tcPr>
          <w:p w:rsidR="002C5FD4" w:rsidRPr="00C05A91" w:rsidRDefault="002C5FD4" w:rsidP="00AE3602">
            <w:pPr>
              <w:ind w:firstLine="0"/>
              <w:rPr>
                <w:sz w:val="20"/>
              </w:rPr>
            </w:pPr>
            <w:r w:rsidRPr="00C05A91">
              <w:rPr>
                <w:sz w:val="20"/>
              </w:rPr>
              <w:t>12</w:t>
            </w:r>
          </w:p>
        </w:tc>
        <w:tc>
          <w:tcPr>
            <w:tcW w:w="2800" w:type="dxa"/>
            <w:tcBorders>
              <w:top w:val="nil"/>
              <w:left w:val="single" w:sz="4" w:space="0" w:color="auto"/>
              <w:bottom w:val="single" w:sz="4" w:space="0" w:color="auto"/>
              <w:right w:val="nil"/>
            </w:tcBorders>
            <w:shd w:val="clear" w:color="000000" w:fill="FFFFFF"/>
            <w:noWrap/>
            <w:hideMark/>
          </w:tcPr>
          <w:p w:rsidR="002C5FD4" w:rsidRPr="00C05A91" w:rsidRDefault="002C5FD4" w:rsidP="00AE3602">
            <w:pPr>
              <w:rPr>
                <w:sz w:val="20"/>
              </w:rPr>
            </w:pPr>
            <w:r w:rsidRPr="00C05A91">
              <w:rPr>
                <w:sz w:val="20"/>
              </w:rPr>
              <w:t>50,82%</w:t>
            </w:r>
          </w:p>
        </w:tc>
      </w:tr>
      <w:tr w:rsidR="002C5FD4" w:rsidRPr="00C05A91" w:rsidTr="002C5FD4">
        <w:trPr>
          <w:trHeight w:val="117"/>
          <w:jc w:val="center"/>
        </w:trPr>
        <w:tc>
          <w:tcPr>
            <w:tcW w:w="242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Informou o valor individual</w:t>
            </w:r>
          </w:p>
        </w:tc>
        <w:tc>
          <w:tcPr>
            <w:tcW w:w="70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26</w:t>
            </w:r>
          </w:p>
        </w:tc>
        <w:tc>
          <w:tcPr>
            <w:tcW w:w="66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15</w:t>
            </w:r>
          </w:p>
        </w:tc>
        <w:tc>
          <w:tcPr>
            <w:tcW w:w="620" w:type="dxa"/>
            <w:tcBorders>
              <w:top w:val="nil"/>
              <w:left w:val="nil"/>
              <w:bottom w:val="single" w:sz="4" w:space="0" w:color="auto"/>
              <w:right w:val="nil"/>
            </w:tcBorders>
            <w:shd w:val="clear" w:color="000000" w:fill="FFFFFF"/>
            <w:noWrap/>
            <w:hideMark/>
          </w:tcPr>
          <w:p w:rsidR="002C5FD4" w:rsidRPr="00C05A91" w:rsidRDefault="002C5FD4" w:rsidP="00AE3602">
            <w:pPr>
              <w:ind w:firstLine="0"/>
              <w:rPr>
                <w:sz w:val="20"/>
              </w:rPr>
            </w:pPr>
            <w:r w:rsidRPr="00C05A91">
              <w:rPr>
                <w:sz w:val="20"/>
              </w:rPr>
              <w:t>17</w:t>
            </w:r>
          </w:p>
        </w:tc>
        <w:tc>
          <w:tcPr>
            <w:tcW w:w="2800" w:type="dxa"/>
            <w:tcBorders>
              <w:top w:val="nil"/>
              <w:left w:val="single" w:sz="4" w:space="0" w:color="auto"/>
              <w:bottom w:val="single" w:sz="4" w:space="0" w:color="auto"/>
              <w:right w:val="nil"/>
            </w:tcBorders>
            <w:shd w:val="clear" w:color="000000" w:fill="FFFFFF"/>
            <w:noWrap/>
            <w:hideMark/>
          </w:tcPr>
          <w:p w:rsidR="002C5FD4" w:rsidRPr="00C05A91" w:rsidRDefault="002C5FD4" w:rsidP="00AE3602">
            <w:pPr>
              <w:rPr>
                <w:sz w:val="20"/>
              </w:rPr>
            </w:pPr>
            <w:r w:rsidRPr="00C05A91">
              <w:rPr>
                <w:sz w:val="20"/>
              </w:rPr>
              <w:t>95,08%</w:t>
            </w:r>
          </w:p>
        </w:tc>
      </w:tr>
      <w:tr w:rsidR="002C5FD4" w:rsidRPr="00C05A91" w:rsidTr="002C5FD4">
        <w:trPr>
          <w:trHeight w:val="122"/>
          <w:jc w:val="center"/>
        </w:trPr>
        <w:tc>
          <w:tcPr>
            <w:tcW w:w="242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Informou o nome individual</w:t>
            </w:r>
          </w:p>
        </w:tc>
        <w:tc>
          <w:tcPr>
            <w:tcW w:w="70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26</w:t>
            </w:r>
          </w:p>
        </w:tc>
        <w:tc>
          <w:tcPr>
            <w:tcW w:w="66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15</w:t>
            </w:r>
          </w:p>
        </w:tc>
        <w:tc>
          <w:tcPr>
            <w:tcW w:w="620" w:type="dxa"/>
            <w:tcBorders>
              <w:top w:val="nil"/>
              <w:left w:val="nil"/>
              <w:bottom w:val="single" w:sz="4" w:space="0" w:color="auto"/>
              <w:right w:val="nil"/>
            </w:tcBorders>
            <w:shd w:val="clear" w:color="000000" w:fill="FFFFFF"/>
            <w:noWrap/>
            <w:hideMark/>
          </w:tcPr>
          <w:p w:rsidR="002C5FD4" w:rsidRPr="00C05A91" w:rsidRDefault="002C5FD4" w:rsidP="00AE3602">
            <w:pPr>
              <w:ind w:firstLine="0"/>
              <w:rPr>
                <w:sz w:val="20"/>
              </w:rPr>
            </w:pPr>
            <w:r w:rsidRPr="00C05A91">
              <w:rPr>
                <w:sz w:val="20"/>
              </w:rPr>
              <w:t>17</w:t>
            </w:r>
          </w:p>
        </w:tc>
        <w:tc>
          <w:tcPr>
            <w:tcW w:w="2800" w:type="dxa"/>
            <w:tcBorders>
              <w:top w:val="nil"/>
              <w:left w:val="single" w:sz="4" w:space="0" w:color="auto"/>
              <w:bottom w:val="single" w:sz="4" w:space="0" w:color="auto"/>
              <w:right w:val="nil"/>
            </w:tcBorders>
            <w:shd w:val="clear" w:color="000000" w:fill="FFFFFF"/>
            <w:noWrap/>
            <w:hideMark/>
          </w:tcPr>
          <w:p w:rsidR="002C5FD4" w:rsidRPr="00C05A91" w:rsidRDefault="002C5FD4" w:rsidP="00AE3602">
            <w:pPr>
              <w:rPr>
                <w:sz w:val="20"/>
              </w:rPr>
            </w:pPr>
            <w:r w:rsidRPr="00C05A91">
              <w:rPr>
                <w:sz w:val="20"/>
              </w:rPr>
              <w:t>95,08%</w:t>
            </w:r>
          </w:p>
        </w:tc>
      </w:tr>
      <w:tr w:rsidR="002C5FD4" w:rsidRPr="00C05A91" w:rsidTr="002C5FD4">
        <w:trPr>
          <w:trHeight w:val="122"/>
          <w:jc w:val="center"/>
        </w:trPr>
        <w:tc>
          <w:tcPr>
            <w:tcW w:w="242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Total</w:t>
            </w:r>
          </w:p>
        </w:tc>
        <w:tc>
          <w:tcPr>
            <w:tcW w:w="70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26</w:t>
            </w:r>
          </w:p>
        </w:tc>
        <w:tc>
          <w:tcPr>
            <w:tcW w:w="660" w:type="dxa"/>
            <w:tcBorders>
              <w:top w:val="nil"/>
              <w:left w:val="nil"/>
              <w:bottom w:val="single" w:sz="4" w:space="0" w:color="auto"/>
              <w:right w:val="single" w:sz="4" w:space="0" w:color="auto"/>
            </w:tcBorders>
            <w:shd w:val="clear" w:color="000000" w:fill="FFFFFF"/>
            <w:noWrap/>
            <w:hideMark/>
          </w:tcPr>
          <w:p w:rsidR="002C5FD4" w:rsidRPr="00C05A91" w:rsidRDefault="002C5FD4" w:rsidP="00AE3602">
            <w:pPr>
              <w:ind w:firstLine="0"/>
              <w:rPr>
                <w:sz w:val="20"/>
              </w:rPr>
            </w:pPr>
            <w:r w:rsidRPr="00C05A91">
              <w:rPr>
                <w:sz w:val="20"/>
              </w:rPr>
              <w:t>17</w:t>
            </w:r>
          </w:p>
        </w:tc>
        <w:tc>
          <w:tcPr>
            <w:tcW w:w="620" w:type="dxa"/>
            <w:tcBorders>
              <w:top w:val="nil"/>
              <w:left w:val="nil"/>
              <w:bottom w:val="single" w:sz="4" w:space="0" w:color="auto"/>
              <w:right w:val="nil"/>
            </w:tcBorders>
            <w:shd w:val="clear" w:color="000000" w:fill="FFFFFF"/>
            <w:noWrap/>
            <w:hideMark/>
          </w:tcPr>
          <w:p w:rsidR="002C5FD4" w:rsidRPr="00C05A91" w:rsidRDefault="002C5FD4" w:rsidP="00AE3602">
            <w:pPr>
              <w:ind w:firstLine="0"/>
              <w:rPr>
                <w:sz w:val="20"/>
              </w:rPr>
            </w:pPr>
            <w:r w:rsidRPr="00C05A91">
              <w:rPr>
                <w:sz w:val="20"/>
              </w:rPr>
              <w:t>18</w:t>
            </w:r>
          </w:p>
        </w:tc>
        <w:tc>
          <w:tcPr>
            <w:tcW w:w="2800" w:type="dxa"/>
            <w:tcBorders>
              <w:top w:val="nil"/>
              <w:left w:val="single" w:sz="4" w:space="0" w:color="auto"/>
              <w:bottom w:val="single" w:sz="4" w:space="0" w:color="auto"/>
              <w:right w:val="nil"/>
            </w:tcBorders>
            <w:shd w:val="clear" w:color="000000" w:fill="FFFFFF"/>
            <w:noWrap/>
            <w:hideMark/>
          </w:tcPr>
          <w:p w:rsidR="002C5FD4" w:rsidRPr="00C05A91" w:rsidRDefault="002C5FD4" w:rsidP="00AE3602">
            <w:pPr>
              <w:rPr>
                <w:sz w:val="20"/>
              </w:rPr>
            </w:pPr>
            <w:r w:rsidRPr="00C05A91">
              <w:rPr>
                <w:sz w:val="20"/>
              </w:rPr>
              <w:t>100,00%</w:t>
            </w:r>
          </w:p>
        </w:tc>
      </w:tr>
    </w:tbl>
    <w:p w:rsidR="002C5FD4" w:rsidRPr="002C5FD4" w:rsidRDefault="002C5FD4" w:rsidP="00AE3602">
      <w:pPr>
        <w:rPr>
          <w:bCs/>
        </w:rPr>
      </w:pPr>
      <w:r w:rsidRPr="002C5FD4">
        <w:rPr>
          <w:bCs/>
        </w:rPr>
        <w:t xml:space="preserve">     </w:t>
      </w:r>
      <w:r w:rsidR="00C05A91">
        <w:rPr>
          <w:bCs/>
        </w:rPr>
        <w:t xml:space="preserve"> </w:t>
      </w:r>
      <w:r w:rsidRPr="002C5FD4">
        <w:rPr>
          <w:bCs/>
        </w:rPr>
        <w:t>Fonte: Elaborado pelos autores com base nos dados da pesquisa.</w:t>
      </w:r>
    </w:p>
    <w:p w:rsidR="002C5FD4" w:rsidRPr="002C5FD4" w:rsidRDefault="002C5FD4" w:rsidP="00AE3602">
      <w:pPr>
        <w:rPr>
          <w:bCs/>
        </w:rPr>
      </w:pPr>
      <w:r w:rsidRPr="002C5FD4">
        <w:rPr>
          <w:bCs/>
        </w:rPr>
        <w:t>Percebe-se na Tabela 5, que das 61 combinações de negócios em que houve o reconhecimento dos ativos intangíveis identificáveis, apenas 19,67% informou a vida útil, 50,82%% informou o valor total e na maioria das combinações de negócios foi informado o valor individual e o nome individual dos ativos intangíveis identificáveis.</w:t>
      </w:r>
    </w:p>
    <w:p w:rsidR="002C5FD4" w:rsidRDefault="002C5FD4" w:rsidP="00AE3602">
      <w:pPr>
        <w:rPr>
          <w:bCs/>
        </w:rPr>
      </w:pPr>
      <w:r w:rsidRPr="002C5FD4">
        <w:rPr>
          <w:bCs/>
        </w:rPr>
        <w:t xml:space="preserve">Dessa forma, é possível afirmar que são poucas as combinações de negócios em que é informada a vida útil dos ativos intangíveis identificáveis. Entretanto, a maior parte das combinações de negócios em que são reconhecidos ativos intangíveis identificáveis apresentam os valores individuais e os nomes dos ativos intangíveis identificáveis. A Tabela 6 apresenta quais os ativos intangíveis identificáveis reconhecidos nas combinações de negócios dos períodos analisados. </w:t>
      </w: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AE3602" w:rsidRPr="002C5FD4" w:rsidRDefault="00AE3602" w:rsidP="00AE3602">
      <w:pPr>
        <w:rPr>
          <w:bCs/>
        </w:rPr>
      </w:pPr>
    </w:p>
    <w:p w:rsidR="002C5FD4" w:rsidRPr="002C5FD4" w:rsidRDefault="002C5FD4" w:rsidP="00AE3602">
      <w:pPr>
        <w:rPr>
          <w:bCs/>
        </w:rPr>
      </w:pPr>
      <w:r w:rsidRPr="002C5FD4">
        <w:rPr>
          <w:bCs/>
        </w:rPr>
        <w:lastRenderedPageBreak/>
        <w:t xml:space="preserve">  Tabela 6: Ativos intangíveis identificáveis reconhecidos</w:t>
      </w:r>
    </w:p>
    <w:tbl>
      <w:tblPr>
        <w:tblW w:w="7703" w:type="dxa"/>
        <w:jc w:val="center"/>
        <w:tblInd w:w="55" w:type="dxa"/>
        <w:tblCellMar>
          <w:left w:w="70" w:type="dxa"/>
          <w:right w:w="70" w:type="dxa"/>
        </w:tblCellMar>
        <w:tblLook w:val="04A0"/>
      </w:tblPr>
      <w:tblGrid>
        <w:gridCol w:w="2729"/>
        <w:gridCol w:w="540"/>
        <w:gridCol w:w="540"/>
        <w:gridCol w:w="540"/>
        <w:gridCol w:w="3354"/>
      </w:tblGrid>
      <w:tr w:rsidR="002C5FD4" w:rsidRPr="007F6143" w:rsidTr="00C05A91">
        <w:trPr>
          <w:trHeight w:val="635"/>
          <w:jc w:val="center"/>
        </w:trPr>
        <w:tc>
          <w:tcPr>
            <w:tcW w:w="2729" w:type="dxa"/>
            <w:tcBorders>
              <w:top w:val="single" w:sz="4" w:space="0" w:color="auto"/>
              <w:left w:val="nil"/>
              <w:bottom w:val="single" w:sz="4" w:space="0" w:color="auto"/>
              <w:right w:val="single" w:sz="4" w:space="0" w:color="auto"/>
            </w:tcBorders>
            <w:shd w:val="clear" w:color="000000" w:fill="FFFFFF"/>
            <w:vAlign w:val="bottom"/>
            <w:hideMark/>
          </w:tcPr>
          <w:p w:rsidR="002C5FD4" w:rsidRPr="007F6143" w:rsidRDefault="002C5FD4" w:rsidP="00AE3602">
            <w:pPr>
              <w:ind w:firstLine="0"/>
              <w:jc w:val="left"/>
              <w:rPr>
                <w:sz w:val="20"/>
              </w:rPr>
            </w:pPr>
            <w:r w:rsidRPr="007F6143">
              <w:rPr>
                <w:sz w:val="20"/>
              </w:rPr>
              <w:t>Ativos intangíveis identificáveis reconhecidos</w:t>
            </w:r>
          </w:p>
        </w:tc>
        <w:tc>
          <w:tcPr>
            <w:tcW w:w="54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AE3602">
            <w:pPr>
              <w:ind w:firstLine="0"/>
              <w:rPr>
                <w:sz w:val="20"/>
              </w:rPr>
            </w:pPr>
            <w:r w:rsidRPr="007F6143">
              <w:rPr>
                <w:sz w:val="20"/>
              </w:rPr>
              <w:t>2012</w:t>
            </w:r>
          </w:p>
        </w:tc>
        <w:tc>
          <w:tcPr>
            <w:tcW w:w="54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AE3602">
            <w:pPr>
              <w:ind w:firstLine="0"/>
              <w:rPr>
                <w:sz w:val="20"/>
              </w:rPr>
            </w:pPr>
            <w:r w:rsidRPr="007F6143">
              <w:rPr>
                <w:sz w:val="20"/>
              </w:rPr>
              <w:t>2013</w:t>
            </w:r>
          </w:p>
        </w:tc>
        <w:tc>
          <w:tcPr>
            <w:tcW w:w="54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AE3602">
            <w:pPr>
              <w:ind w:firstLine="0"/>
              <w:rPr>
                <w:sz w:val="20"/>
              </w:rPr>
            </w:pPr>
            <w:r w:rsidRPr="007F6143">
              <w:rPr>
                <w:sz w:val="20"/>
              </w:rPr>
              <w:t>2014</w:t>
            </w:r>
          </w:p>
        </w:tc>
        <w:tc>
          <w:tcPr>
            <w:tcW w:w="3354" w:type="dxa"/>
            <w:tcBorders>
              <w:top w:val="single" w:sz="4" w:space="0" w:color="auto"/>
              <w:left w:val="nil"/>
              <w:bottom w:val="single" w:sz="4" w:space="0" w:color="auto"/>
              <w:right w:val="nil"/>
            </w:tcBorders>
            <w:shd w:val="clear" w:color="000000" w:fill="FFFFFF"/>
            <w:vAlign w:val="bottom"/>
            <w:hideMark/>
          </w:tcPr>
          <w:p w:rsidR="002C5FD4" w:rsidRPr="007F6143" w:rsidRDefault="002C5FD4" w:rsidP="00AE3602">
            <w:pPr>
              <w:ind w:firstLine="0"/>
              <w:rPr>
                <w:sz w:val="20"/>
              </w:rPr>
            </w:pPr>
            <w:r w:rsidRPr="007F6143">
              <w:rPr>
                <w:sz w:val="20"/>
              </w:rPr>
              <w:t>% em relação ao total de combinações de negócios que reconheceram ativos intangíveis identificáveis</w:t>
            </w:r>
          </w:p>
        </w:tc>
      </w:tr>
      <w:tr w:rsidR="002C5FD4" w:rsidRPr="007F6143" w:rsidTr="00C05A91">
        <w:trPr>
          <w:trHeight w:val="300"/>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Carteira de clientes</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12</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11</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40,98%</w:t>
            </w:r>
          </w:p>
        </w:tc>
      </w:tr>
      <w:tr w:rsidR="002C5FD4" w:rsidRPr="007F6143" w:rsidTr="00C05A91">
        <w:trPr>
          <w:trHeight w:val="300"/>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Relacionamento de clientes</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7</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7</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24,59%</w:t>
            </w:r>
          </w:p>
        </w:tc>
      </w:tr>
      <w:tr w:rsidR="002C5FD4" w:rsidRPr="007F6143" w:rsidTr="00C05A91">
        <w:trPr>
          <w:trHeight w:val="255"/>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Licença de operações</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8,20%</w:t>
            </w:r>
          </w:p>
        </w:tc>
      </w:tr>
      <w:tr w:rsidR="002C5FD4" w:rsidRPr="007F6143" w:rsidTr="00C05A91">
        <w:trPr>
          <w:trHeight w:val="255"/>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Marcas</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14</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6</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10</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49,18%</w:t>
            </w:r>
          </w:p>
        </w:tc>
      </w:tr>
      <w:tr w:rsidR="002C5FD4" w:rsidRPr="007F6143" w:rsidTr="00C05A91">
        <w:trPr>
          <w:trHeight w:val="255"/>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Patentes</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1,64%</w:t>
            </w:r>
          </w:p>
        </w:tc>
      </w:tr>
      <w:tr w:rsidR="002C5FD4" w:rsidRPr="007F6143" w:rsidTr="00C05A91">
        <w:trPr>
          <w:trHeight w:val="255"/>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Não competição</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12</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29,51%</w:t>
            </w:r>
          </w:p>
        </w:tc>
      </w:tr>
      <w:tr w:rsidR="002C5FD4" w:rsidRPr="007F6143" w:rsidTr="00C05A91">
        <w:trPr>
          <w:trHeight w:val="255"/>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Direito de uso de Software</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4,92%</w:t>
            </w:r>
          </w:p>
        </w:tc>
      </w:tr>
      <w:tr w:rsidR="002C5FD4" w:rsidRPr="007F6143" w:rsidTr="00C05A91">
        <w:trPr>
          <w:trHeight w:val="255"/>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Fundo de comércio</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3,28%</w:t>
            </w:r>
          </w:p>
        </w:tc>
      </w:tr>
      <w:tr w:rsidR="002C5FD4" w:rsidRPr="007F6143" w:rsidTr="00C05A91">
        <w:trPr>
          <w:trHeight w:val="136"/>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Direito de lavra</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4,92%</w:t>
            </w:r>
          </w:p>
        </w:tc>
      </w:tr>
      <w:tr w:rsidR="002C5FD4" w:rsidRPr="007F6143" w:rsidTr="00C05A91">
        <w:trPr>
          <w:trHeight w:val="169"/>
          <w:jc w:val="center"/>
        </w:trPr>
        <w:tc>
          <w:tcPr>
            <w:tcW w:w="27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Outros</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726906" w:rsidP="00AE3602">
            <w:pPr>
              <w:ind w:firstLine="0"/>
              <w:jc w:val="center"/>
              <w:rPr>
                <w:sz w:val="20"/>
              </w:rPr>
            </w:pPr>
            <w:r>
              <w:rPr>
                <w:sz w:val="20"/>
              </w:rPr>
              <w:t>4</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726906" w:rsidP="00AE3602">
            <w:pPr>
              <w:ind w:firstLine="0"/>
              <w:jc w:val="center"/>
              <w:rPr>
                <w:sz w:val="20"/>
              </w:rPr>
            </w:pPr>
            <w:r>
              <w:rPr>
                <w:sz w:val="20"/>
              </w:rPr>
              <w:t>2</w:t>
            </w:r>
          </w:p>
        </w:tc>
        <w:tc>
          <w:tcPr>
            <w:tcW w:w="54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w:t>
            </w:r>
          </w:p>
        </w:tc>
        <w:tc>
          <w:tcPr>
            <w:tcW w:w="3354" w:type="dxa"/>
            <w:tcBorders>
              <w:top w:val="nil"/>
              <w:left w:val="nil"/>
              <w:bottom w:val="single" w:sz="4" w:space="0" w:color="auto"/>
              <w:right w:val="nil"/>
            </w:tcBorders>
            <w:shd w:val="clear" w:color="000000" w:fill="FFFFFF"/>
            <w:noWrap/>
            <w:vAlign w:val="bottom"/>
            <w:hideMark/>
          </w:tcPr>
          <w:p w:rsidR="002C5FD4" w:rsidRPr="007F6143" w:rsidRDefault="002C5FD4" w:rsidP="00AE3602">
            <w:pPr>
              <w:jc w:val="center"/>
              <w:rPr>
                <w:sz w:val="20"/>
              </w:rPr>
            </w:pPr>
            <w:r w:rsidRPr="007F6143">
              <w:rPr>
                <w:sz w:val="20"/>
              </w:rPr>
              <w:t>13,11%</w:t>
            </w:r>
          </w:p>
        </w:tc>
      </w:tr>
      <w:tr w:rsidR="002C5FD4" w:rsidRPr="007F6143" w:rsidTr="00C05A91">
        <w:trPr>
          <w:trHeight w:val="186"/>
          <w:jc w:val="center"/>
        </w:trPr>
        <w:tc>
          <w:tcPr>
            <w:tcW w:w="2729" w:type="dxa"/>
            <w:tcBorders>
              <w:top w:val="nil"/>
              <w:left w:val="nil"/>
              <w:bottom w:val="single" w:sz="4" w:space="0" w:color="auto"/>
              <w:right w:val="single" w:sz="4" w:space="0" w:color="auto"/>
            </w:tcBorders>
            <w:shd w:val="clear" w:color="000000" w:fill="FFFFFF"/>
            <w:noWrap/>
            <w:hideMark/>
          </w:tcPr>
          <w:p w:rsidR="002C5FD4" w:rsidRPr="007F6143" w:rsidRDefault="002C5FD4" w:rsidP="00AE3602">
            <w:pPr>
              <w:ind w:firstLine="0"/>
              <w:rPr>
                <w:sz w:val="20"/>
              </w:rPr>
            </w:pPr>
            <w:r w:rsidRPr="007F6143">
              <w:rPr>
                <w:sz w:val="20"/>
              </w:rPr>
              <w:t xml:space="preserve">Total </w:t>
            </w:r>
          </w:p>
        </w:tc>
        <w:tc>
          <w:tcPr>
            <w:tcW w:w="540" w:type="dxa"/>
            <w:tcBorders>
              <w:top w:val="nil"/>
              <w:left w:val="nil"/>
              <w:bottom w:val="single" w:sz="4" w:space="0" w:color="auto"/>
              <w:right w:val="single" w:sz="4" w:space="0" w:color="auto"/>
            </w:tcBorders>
            <w:shd w:val="clear" w:color="auto" w:fill="auto"/>
            <w:noWrap/>
            <w:vAlign w:val="bottom"/>
            <w:hideMark/>
          </w:tcPr>
          <w:p w:rsidR="002C5FD4" w:rsidRPr="007F6143" w:rsidRDefault="002C5FD4" w:rsidP="00AE3602">
            <w:pPr>
              <w:ind w:firstLine="0"/>
              <w:jc w:val="center"/>
              <w:rPr>
                <w:sz w:val="20"/>
              </w:rPr>
            </w:pPr>
            <w:r w:rsidRPr="007F6143">
              <w:rPr>
                <w:sz w:val="20"/>
              </w:rPr>
              <w:t>26</w:t>
            </w:r>
          </w:p>
        </w:tc>
        <w:tc>
          <w:tcPr>
            <w:tcW w:w="540" w:type="dxa"/>
            <w:tcBorders>
              <w:top w:val="nil"/>
              <w:left w:val="nil"/>
              <w:bottom w:val="single" w:sz="4" w:space="0" w:color="auto"/>
              <w:right w:val="single" w:sz="4" w:space="0" w:color="auto"/>
            </w:tcBorders>
            <w:shd w:val="clear" w:color="auto" w:fill="auto"/>
            <w:noWrap/>
            <w:vAlign w:val="bottom"/>
            <w:hideMark/>
          </w:tcPr>
          <w:p w:rsidR="002C5FD4" w:rsidRPr="007F6143" w:rsidRDefault="002C5FD4" w:rsidP="00AE3602">
            <w:pPr>
              <w:ind w:firstLine="0"/>
              <w:jc w:val="center"/>
              <w:rPr>
                <w:sz w:val="20"/>
              </w:rPr>
            </w:pPr>
            <w:r w:rsidRPr="007F6143">
              <w:rPr>
                <w:sz w:val="20"/>
              </w:rPr>
              <w:t>17</w:t>
            </w:r>
          </w:p>
        </w:tc>
        <w:tc>
          <w:tcPr>
            <w:tcW w:w="540" w:type="dxa"/>
            <w:tcBorders>
              <w:top w:val="nil"/>
              <w:left w:val="nil"/>
              <w:bottom w:val="single" w:sz="4" w:space="0" w:color="auto"/>
              <w:right w:val="single" w:sz="4" w:space="0" w:color="auto"/>
            </w:tcBorders>
            <w:shd w:val="clear" w:color="auto" w:fill="auto"/>
            <w:noWrap/>
            <w:vAlign w:val="bottom"/>
            <w:hideMark/>
          </w:tcPr>
          <w:p w:rsidR="002C5FD4" w:rsidRPr="007F6143" w:rsidRDefault="002C5FD4" w:rsidP="00AE3602">
            <w:pPr>
              <w:ind w:firstLine="0"/>
              <w:jc w:val="center"/>
              <w:rPr>
                <w:sz w:val="20"/>
              </w:rPr>
            </w:pPr>
            <w:r w:rsidRPr="007F6143">
              <w:rPr>
                <w:sz w:val="20"/>
              </w:rPr>
              <w:t>18</w:t>
            </w:r>
          </w:p>
        </w:tc>
        <w:tc>
          <w:tcPr>
            <w:tcW w:w="3354" w:type="dxa"/>
            <w:tcBorders>
              <w:top w:val="nil"/>
              <w:left w:val="nil"/>
              <w:bottom w:val="single" w:sz="4" w:space="0" w:color="auto"/>
              <w:right w:val="nil"/>
            </w:tcBorders>
            <w:shd w:val="clear" w:color="000000" w:fill="FFFFFF"/>
            <w:noWrap/>
            <w:hideMark/>
          </w:tcPr>
          <w:p w:rsidR="002C5FD4" w:rsidRPr="007F6143" w:rsidRDefault="002C5FD4" w:rsidP="00AE3602">
            <w:pPr>
              <w:jc w:val="center"/>
              <w:rPr>
                <w:sz w:val="20"/>
              </w:rPr>
            </w:pPr>
            <w:r w:rsidRPr="007F6143">
              <w:rPr>
                <w:sz w:val="20"/>
              </w:rPr>
              <w:t>100,00%</w:t>
            </w:r>
          </w:p>
        </w:tc>
      </w:tr>
    </w:tbl>
    <w:p w:rsidR="002C5FD4" w:rsidRPr="002C5FD4" w:rsidRDefault="002C5FD4" w:rsidP="00AE3602">
      <w:pPr>
        <w:rPr>
          <w:bCs/>
        </w:rPr>
      </w:pPr>
      <w:r w:rsidRPr="002C5FD4">
        <w:rPr>
          <w:bCs/>
        </w:rPr>
        <w:t xml:space="preserve">   Fonte: Elaborado pelos autores com base nos dados da pesquisa.</w:t>
      </w:r>
    </w:p>
    <w:p w:rsidR="002C5FD4" w:rsidRPr="002C5FD4" w:rsidRDefault="002C5FD4" w:rsidP="00AE3602">
      <w:pPr>
        <w:rPr>
          <w:bCs/>
        </w:rPr>
      </w:pPr>
      <w:r w:rsidRPr="002C5FD4">
        <w:rPr>
          <w:bCs/>
        </w:rPr>
        <w:t xml:space="preserve">Dentre os ativos intangíveis identificáveis reconhecidos, o item “Marcas” foi reconhecido em 49,18% das combinações de negócios que reconheceram ativos intangíveis identificáveis, em segundo foi “Carteira de clientes” com 40,98% e acordos de “Não competição” com 29,51%. </w:t>
      </w:r>
    </w:p>
    <w:p w:rsidR="002C5FD4" w:rsidRPr="002C5FD4" w:rsidRDefault="002C5FD4" w:rsidP="00AE3602">
      <w:pPr>
        <w:rPr>
          <w:bCs/>
        </w:rPr>
      </w:pPr>
      <w:r w:rsidRPr="002C5FD4">
        <w:rPr>
          <w:bCs/>
        </w:rPr>
        <w:t>Sendo assim, pode-se afirmar que “Marcas”, “Carteira de Clientes” e acordos de “Não competição” são os ativos reconhecidos na maioria das combinações de negócios observadas que reconheceram ativos intangíveis identificáveis. Quanto às informações referentes às combinações de negócios, a Tabela 7 apresenta o número de combinações de negócios em que foi informada a data de aquisição e o valor da contraprestação.</w:t>
      </w:r>
    </w:p>
    <w:p w:rsidR="002C5FD4" w:rsidRPr="002C5FD4" w:rsidRDefault="00910737" w:rsidP="00AE3602">
      <w:pPr>
        <w:rPr>
          <w:bCs/>
        </w:rPr>
      </w:pPr>
      <w:r>
        <w:rPr>
          <w:bCs/>
        </w:rPr>
        <w:t xml:space="preserve">  </w:t>
      </w:r>
      <w:r w:rsidR="002C5FD4" w:rsidRPr="002C5FD4">
        <w:rPr>
          <w:bCs/>
        </w:rPr>
        <w:t>Tabela 7: Informações referentes às combinações de negócios</w:t>
      </w:r>
    </w:p>
    <w:tbl>
      <w:tblPr>
        <w:tblW w:w="7732" w:type="dxa"/>
        <w:jc w:val="center"/>
        <w:tblInd w:w="53" w:type="dxa"/>
        <w:tblCellMar>
          <w:left w:w="70" w:type="dxa"/>
          <w:right w:w="70" w:type="dxa"/>
        </w:tblCellMar>
        <w:tblLook w:val="04A0"/>
      </w:tblPr>
      <w:tblGrid>
        <w:gridCol w:w="3129"/>
        <w:gridCol w:w="709"/>
        <w:gridCol w:w="709"/>
        <w:gridCol w:w="708"/>
        <w:gridCol w:w="2477"/>
      </w:tblGrid>
      <w:tr w:rsidR="002C5FD4" w:rsidRPr="007F6143" w:rsidTr="002C5FD4">
        <w:trPr>
          <w:trHeight w:val="300"/>
          <w:jc w:val="center"/>
        </w:trPr>
        <w:tc>
          <w:tcPr>
            <w:tcW w:w="3129" w:type="dxa"/>
            <w:vMerge w:val="restart"/>
            <w:tcBorders>
              <w:top w:val="single" w:sz="4" w:space="0" w:color="auto"/>
              <w:left w:val="nil"/>
              <w:bottom w:val="single" w:sz="4" w:space="0" w:color="000000"/>
              <w:right w:val="single" w:sz="4" w:space="0" w:color="auto"/>
            </w:tcBorders>
            <w:shd w:val="clear" w:color="000000" w:fill="FFFFFF"/>
            <w:vAlign w:val="center"/>
            <w:hideMark/>
          </w:tcPr>
          <w:p w:rsidR="002C5FD4" w:rsidRPr="007F6143" w:rsidRDefault="002C5FD4" w:rsidP="00AE3602">
            <w:pPr>
              <w:ind w:firstLine="0"/>
              <w:rPr>
                <w:sz w:val="20"/>
              </w:rPr>
            </w:pPr>
            <w:r w:rsidRPr="007F6143">
              <w:rPr>
                <w:sz w:val="20"/>
              </w:rPr>
              <w:t>Informações referentes às combinações de negócios</w:t>
            </w:r>
          </w:p>
        </w:tc>
        <w:tc>
          <w:tcPr>
            <w:tcW w:w="709"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2012</w:t>
            </w:r>
          </w:p>
        </w:tc>
        <w:tc>
          <w:tcPr>
            <w:tcW w:w="709"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2013</w:t>
            </w:r>
          </w:p>
        </w:tc>
        <w:tc>
          <w:tcPr>
            <w:tcW w:w="708" w:type="dxa"/>
            <w:vMerge w:val="restart"/>
            <w:tcBorders>
              <w:top w:val="single" w:sz="4" w:space="0" w:color="auto"/>
              <w:left w:val="nil"/>
              <w:bottom w:val="single" w:sz="4" w:space="0" w:color="000000"/>
              <w:right w:val="nil"/>
            </w:tcBorders>
            <w:shd w:val="clear" w:color="000000" w:fill="FFFFFF"/>
            <w:vAlign w:val="center"/>
            <w:hideMark/>
          </w:tcPr>
          <w:p w:rsidR="002C5FD4" w:rsidRPr="007F6143" w:rsidRDefault="002C5FD4" w:rsidP="00726906">
            <w:pPr>
              <w:ind w:firstLine="0"/>
              <w:jc w:val="center"/>
              <w:rPr>
                <w:sz w:val="20"/>
              </w:rPr>
            </w:pPr>
            <w:r w:rsidRPr="007F6143">
              <w:rPr>
                <w:sz w:val="20"/>
              </w:rPr>
              <w:t>2014</w:t>
            </w:r>
          </w:p>
        </w:tc>
        <w:tc>
          <w:tcPr>
            <w:tcW w:w="2477" w:type="dxa"/>
            <w:vMerge w:val="restart"/>
            <w:tcBorders>
              <w:top w:val="single" w:sz="4" w:space="0" w:color="auto"/>
              <w:left w:val="single" w:sz="4" w:space="0" w:color="auto"/>
              <w:bottom w:val="single" w:sz="4" w:space="0" w:color="auto"/>
              <w:right w:val="nil"/>
            </w:tcBorders>
            <w:shd w:val="clear" w:color="000000" w:fill="FFFFFF"/>
            <w:vAlign w:val="bottom"/>
            <w:hideMark/>
          </w:tcPr>
          <w:p w:rsidR="002C5FD4" w:rsidRPr="007F6143" w:rsidRDefault="002C5FD4" w:rsidP="00AE3602">
            <w:pPr>
              <w:ind w:firstLine="0"/>
              <w:rPr>
                <w:sz w:val="20"/>
              </w:rPr>
            </w:pPr>
            <w:r w:rsidRPr="007F6143">
              <w:rPr>
                <w:sz w:val="20"/>
              </w:rPr>
              <w:t>% em relação ao total de combinações de negócios</w:t>
            </w:r>
          </w:p>
        </w:tc>
      </w:tr>
      <w:tr w:rsidR="002C5FD4" w:rsidRPr="007F6143" w:rsidTr="002C5FD4">
        <w:trPr>
          <w:trHeight w:val="276"/>
          <w:jc w:val="center"/>
        </w:trPr>
        <w:tc>
          <w:tcPr>
            <w:tcW w:w="3129" w:type="dxa"/>
            <w:vMerge/>
            <w:tcBorders>
              <w:top w:val="single" w:sz="4" w:space="0" w:color="auto"/>
              <w:left w:val="nil"/>
              <w:bottom w:val="single" w:sz="4" w:space="0" w:color="000000"/>
              <w:right w:val="single" w:sz="4" w:space="0" w:color="auto"/>
            </w:tcBorders>
            <w:vAlign w:val="center"/>
            <w:hideMark/>
          </w:tcPr>
          <w:p w:rsidR="002C5FD4" w:rsidRPr="007F6143" w:rsidRDefault="002C5FD4" w:rsidP="00AE3602">
            <w:pPr>
              <w:rPr>
                <w:sz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2C5FD4" w:rsidRPr="007F6143" w:rsidRDefault="002C5FD4" w:rsidP="00AE3602">
            <w:pPr>
              <w:rPr>
                <w:sz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2C5FD4" w:rsidRPr="007F6143" w:rsidRDefault="002C5FD4" w:rsidP="00AE3602">
            <w:pPr>
              <w:rPr>
                <w:sz w:val="20"/>
              </w:rPr>
            </w:pPr>
          </w:p>
        </w:tc>
        <w:tc>
          <w:tcPr>
            <w:tcW w:w="708" w:type="dxa"/>
            <w:vMerge/>
            <w:tcBorders>
              <w:top w:val="single" w:sz="4" w:space="0" w:color="auto"/>
              <w:left w:val="nil"/>
              <w:bottom w:val="single" w:sz="4" w:space="0" w:color="000000"/>
              <w:right w:val="nil"/>
            </w:tcBorders>
            <w:vAlign w:val="center"/>
            <w:hideMark/>
          </w:tcPr>
          <w:p w:rsidR="002C5FD4" w:rsidRPr="007F6143" w:rsidRDefault="002C5FD4" w:rsidP="00AE3602">
            <w:pPr>
              <w:rPr>
                <w:sz w:val="20"/>
              </w:rPr>
            </w:pPr>
          </w:p>
        </w:tc>
        <w:tc>
          <w:tcPr>
            <w:tcW w:w="2477" w:type="dxa"/>
            <w:vMerge/>
            <w:tcBorders>
              <w:top w:val="single" w:sz="4" w:space="0" w:color="auto"/>
              <w:left w:val="single" w:sz="4" w:space="0" w:color="auto"/>
              <w:bottom w:val="single" w:sz="4" w:space="0" w:color="auto"/>
              <w:right w:val="nil"/>
            </w:tcBorders>
            <w:vAlign w:val="center"/>
            <w:hideMark/>
          </w:tcPr>
          <w:p w:rsidR="002C5FD4" w:rsidRPr="007F6143" w:rsidRDefault="002C5FD4" w:rsidP="00AE3602">
            <w:pPr>
              <w:rPr>
                <w:sz w:val="20"/>
              </w:rPr>
            </w:pPr>
          </w:p>
        </w:tc>
      </w:tr>
      <w:tr w:rsidR="002C5FD4" w:rsidRPr="007F6143" w:rsidTr="002C5FD4">
        <w:trPr>
          <w:trHeight w:val="255"/>
          <w:jc w:val="center"/>
        </w:trPr>
        <w:tc>
          <w:tcPr>
            <w:tcW w:w="3129" w:type="dxa"/>
            <w:tcBorders>
              <w:top w:val="nil"/>
              <w:left w:val="nil"/>
              <w:bottom w:val="single" w:sz="4" w:space="0" w:color="auto"/>
              <w:right w:val="single" w:sz="4" w:space="0" w:color="auto"/>
            </w:tcBorders>
            <w:shd w:val="clear" w:color="000000" w:fill="FFFFFF"/>
            <w:vAlign w:val="bottom"/>
            <w:hideMark/>
          </w:tcPr>
          <w:p w:rsidR="002C5FD4" w:rsidRPr="007F6143" w:rsidRDefault="002C5FD4" w:rsidP="00AE3602">
            <w:pPr>
              <w:ind w:firstLine="0"/>
              <w:rPr>
                <w:sz w:val="20"/>
              </w:rPr>
            </w:pPr>
            <w:r w:rsidRPr="007F6143">
              <w:rPr>
                <w:sz w:val="20"/>
              </w:rPr>
              <w:t>Informou o valor da contraprestação</w:t>
            </w:r>
          </w:p>
        </w:tc>
        <w:tc>
          <w:tcPr>
            <w:tcW w:w="70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53</w:t>
            </w:r>
          </w:p>
        </w:tc>
        <w:tc>
          <w:tcPr>
            <w:tcW w:w="70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34</w:t>
            </w:r>
          </w:p>
        </w:tc>
        <w:tc>
          <w:tcPr>
            <w:tcW w:w="708" w:type="dxa"/>
            <w:tcBorders>
              <w:top w:val="nil"/>
              <w:left w:val="nil"/>
              <w:bottom w:val="single" w:sz="4" w:space="0" w:color="auto"/>
              <w:right w:val="nil"/>
            </w:tcBorders>
            <w:shd w:val="clear" w:color="000000" w:fill="FFFFFF"/>
            <w:noWrap/>
            <w:vAlign w:val="bottom"/>
            <w:hideMark/>
          </w:tcPr>
          <w:p w:rsidR="002C5FD4" w:rsidRPr="007F6143" w:rsidRDefault="002C5FD4" w:rsidP="00AE3602">
            <w:pPr>
              <w:ind w:firstLine="0"/>
              <w:jc w:val="center"/>
              <w:rPr>
                <w:sz w:val="20"/>
              </w:rPr>
            </w:pPr>
            <w:r w:rsidRPr="007F6143">
              <w:rPr>
                <w:sz w:val="20"/>
              </w:rPr>
              <w:t>41</w:t>
            </w:r>
          </w:p>
        </w:tc>
        <w:tc>
          <w:tcPr>
            <w:tcW w:w="2477" w:type="dxa"/>
            <w:tcBorders>
              <w:top w:val="nil"/>
              <w:left w:val="single" w:sz="4" w:space="0" w:color="auto"/>
              <w:bottom w:val="single" w:sz="4" w:space="0" w:color="auto"/>
              <w:right w:val="nil"/>
            </w:tcBorders>
            <w:shd w:val="clear" w:color="000000" w:fill="FFFFFF"/>
            <w:noWrap/>
            <w:vAlign w:val="bottom"/>
            <w:hideMark/>
          </w:tcPr>
          <w:p w:rsidR="002C5FD4" w:rsidRPr="007F6143" w:rsidRDefault="002C5FD4" w:rsidP="00AE3602">
            <w:pPr>
              <w:rPr>
                <w:sz w:val="20"/>
              </w:rPr>
            </w:pPr>
            <w:r w:rsidRPr="007F6143">
              <w:rPr>
                <w:sz w:val="20"/>
              </w:rPr>
              <w:t>98,46%</w:t>
            </w:r>
          </w:p>
        </w:tc>
      </w:tr>
      <w:tr w:rsidR="002C5FD4" w:rsidRPr="007F6143" w:rsidTr="002C5FD4">
        <w:trPr>
          <w:trHeight w:val="255"/>
          <w:jc w:val="center"/>
        </w:trPr>
        <w:tc>
          <w:tcPr>
            <w:tcW w:w="312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Informou a data de aquisição</w:t>
            </w:r>
          </w:p>
        </w:tc>
        <w:tc>
          <w:tcPr>
            <w:tcW w:w="70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53</w:t>
            </w:r>
          </w:p>
        </w:tc>
        <w:tc>
          <w:tcPr>
            <w:tcW w:w="70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34</w:t>
            </w:r>
          </w:p>
        </w:tc>
        <w:tc>
          <w:tcPr>
            <w:tcW w:w="708" w:type="dxa"/>
            <w:tcBorders>
              <w:top w:val="nil"/>
              <w:left w:val="nil"/>
              <w:bottom w:val="single" w:sz="4" w:space="0" w:color="auto"/>
              <w:right w:val="nil"/>
            </w:tcBorders>
            <w:shd w:val="clear" w:color="000000" w:fill="FFFFFF"/>
            <w:noWrap/>
            <w:vAlign w:val="bottom"/>
            <w:hideMark/>
          </w:tcPr>
          <w:p w:rsidR="002C5FD4" w:rsidRPr="007F6143" w:rsidRDefault="002C5FD4" w:rsidP="00AE3602">
            <w:pPr>
              <w:ind w:firstLine="0"/>
              <w:jc w:val="center"/>
              <w:rPr>
                <w:sz w:val="20"/>
              </w:rPr>
            </w:pPr>
            <w:r w:rsidRPr="007F6143">
              <w:rPr>
                <w:sz w:val="20"/>
              </w:rPr>
              <w:t>43</w:t>
            </w:r>
          </w:p>
        </w:tc>
        <w:tc>
          <w:tcPr>
            <w:tcW w:w="2477" w:type="dxa"/>
            <w:tcBorders>
              <w:top w:val="nil"/>
              <w:left w:val="single" w:sz="4" w:space="0" w:color="auto"/>
              <w:bottom w:val="single" w:sz="4" w:space="0" w:color="auto"/>
              <w:right w:val="nil"/>
            </w:tcBorders>
            <w:shd w:val="clear" w:color="000000" w:fill="FFFFFF"/>
            <w:noWrap/>
            <w:vAlign w:val="bottom"/>
            <w:hideMark/>
          </w:tcPr>
          <w:p w:rsidR="002C5FD4" w:rsidRPr="007F6143" w:rsidRDefault="002C5FD4" w:rsidP="00AE3602">
            <w:pPr>
              <w:rPr>
                <w:sz w:val="20"/>
              </w:rPr>
            </w:pPr>
            <w:r w:rsidRPr="007F6143">
              <w:rPr>
                <w:sz w:val="20"/>
              </w:rPr>
              <w:t>100,00%</w:t>
            </w:r>
          </w:p>
        </w:tc>
      </w:tr>
    </w:tbl>
    <w:p w:rsidR="002C5FD4" w:rsidRPr="002C5FD4" w:rsidRDefault="002C5FD4" w:rsidP="00AE3602">
      <w:pPr>
        <w:rPr>
          <w:bCs/>
        </w:rPr>
      </w:pPr>
      <w:r w:rsidRPr="002C5FD4">
        <w:rPr>
          <w:bCs/>
        </w:rPr>
        <w:t xml:space="preserve">  Fonte: Elaborado pelos autores com base nos dados da pesquisa.</w:t>
      </w:r>
    </w:p>
    <w:p w:rsidR="002C5FD4" w:rsidRDefault="002C5FD4" w:rsidP="00AE3602">
      <w:pPr>
        <w:rPr>
          <w:bCs/>
        </w:rPr>
      </w:pPr>
      <w:r w:rsidRPr="002C5FD4">
        <w:rPr>
          <w:bCs/>
        </w:rPr>
        <w:t>Na Tabela 7 é possível perceber que o valor da contraprestação e a data de aquisição, considerando que o CPC 15 (R1, 2011) exige que a data de aquisição do controle seja informada, foram evidenciados em quase todas as combinações de negócios observadas. Na Tabela 8 estão apresentadas as formas de pagamento das contraprestações realizadas pelas adquirentes.</w:t>
      </w: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AE3602" w:rsidRDefault="00AE3602" w:rsidP="00AE3602">
      <w:pPr>
        <w:rPr>
          <w:bCs/>
        </w:rPr>
      </w:pPr>
    </w:p>
    <w:p w:rsidR="002C5FD4" w:rsidRPr="002C5FD4" w:rsidRDefault="00AE3602" w:rsidP="00AE3602">
      <w:pPr>
        <w:rPr>
          <w:bCs/>
        </w:rPr>
      </w:pPr>
      <w:r>
        <w:rPr>
          <w:bCs/>
        </w:rPr>
        <w:lastRenderedPageBreak/>
        <w:t xml:space="preserve"> </w:t>
      </w:r>
      <w:r w:rsidR="002C5FD4" w:rsidRPr="002C5FD4">
        <w:rPr>
          <w:bCs/>
        </w:rPr>
        <w:t xml:space="preserve">  </w:t>
      </w:r>
      <w:r w:rsidR="00910737">
        <w:rPr>
          <w:bCs/>
        </w:rPr>
        <w:t xml:space="preserve">  </w:t>
      </w:r>
      <w:r w:rsidR="002C5FD4" w:rsidRPr="002C5FD4">
        <w:rPr>
          <w:bCs/>
        </w:rPr>
        <w:t>Tabela 8: Forma de pagamento da contraprestação</w:t>
      </w:r>
    </w:p>
    <w:tbl>
      <w:tblPr>
        <w:tblW w:w="7372" w:type="dxa"/>
        <w:jc w:val="center"/>
        <w:tblInd w:w="53" w:type="dxa"/>
        <w:tblCellMar>
          <w:left w:w="70" w:type="dxa"/>
          <w:right w:w="70" w:type="dxa"/>
        </w:tblCellMar>
        <w:tblLook w:val="04A0"/>
      </w:tblPr>
      <w:tblGrid>
        <w:gridCol w:w="2839"/>
        <w:gridCol w:w="801"/>
        <w:gridCol w:w="771"/>
        <w:gridCol w:w="756"/>
        <w:gridCol w:w="2205"/>
      </w:tblGrid>
      <w:tr w:rsidR="002C5FD4" w:rsidRPr="007F6143" w:rsidTr="002C5FD4">
        <w:trPr>
          <w:trHeight w:val="465"/>
          <w:jc w:val="center"/>
        </w:trPr>
        <w:tc>
          <w:tcPr>
            <w:tcW w:w="2839" w:type="dxa"/>
            <w:tcBorders>
              <w:top w:val="single" w:sz="4" w:space="0" w:color="auto"/>
              <w:left w:val="nil"/>
              <w:bottom w:val="single" w:sz="4" w:space="0" w:color="auto"/>
              <w:right w:val="single" w:sz="4" w:space="0" w:color="auto"/>
            </w:tcBorders>
            <w:shd w:val="clear" w:color="000000" w:fill="FFFFFF"/>
            <w:vAlign w:val="center"/>
            <w:hideMark/>
          </w:tcPr>
          <w:p w:rsidR="002C5FD4" w:rsidRPr="007F6143" w:rsidRDefault="002C5FD4" w:rsidP="00AE3602">
            <w:pPr>
              <w:ind w:firstLine="0"/>
              <w:rPr>
                <w:sz w:val="20"/>
              </w:rPr>
            </w:pPr>
            <w:r w:rsidRPr="007F6143">
              <w:rPr>
                <w:sz w:val="20"/>
              </w:rPr>
              <w:t>Forma de pagamento da contraprestação</w:t>
            </w:r>
          </w:p>
        </w:tc>
        <w:tc>
          <w:tcPr>
            <w:tcW w:w="801"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2012</w:t>
            </w:r>
          </w:p>
        </w:tc>
        <w:tc>
          <w:tcPr>
            <w:tcW w:w="771"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2013</w:t>
            </w:r>
          </w:p>
        </w:tc>
        <w:tc>
          <w:tcPr>
            <w:tcW w:w="756"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2014</w:t>
            </w:r>
          </w:p>
        </w:tc>
        <w:tc>
          <w:tcPr>
            <w:tcW w:w="2205" w:type="dxa"/>
            <w:tcBorders>
              <w:top w:val="single" w:sz="4" w:space="0" w:color="auto"/>
              <w:left w:val="nil"/>
              <w:bottom w:val="single" w:sz="4" w:space="0" w:color="auto"/>
              <w:right w:val="nil"/>
            </w:tcBorders>
            <w:shd w:val="clear" w:color="000000" w:fill="FFFFFF"/>
            <w:vAlign w:val="bottom"/>
            <w:hideMark/>
          </w:tcPr>
          <w:p w:rsidR="002C5FD4" w:rsidRPr="007F6143" w:rsidRDefault="002C5FD4" w:rsidP="00AE3602">
            <w:pPr>
              <w:ind w:firstLine="0"/>
              <w:rPr>
                <w:sz w:val="20"/>
              </w:rPr>
            </w:pPr>
            <w:r w:rsidRPr="007F6143">
              <w:rPr>
                <w:sz w:val="20"/>
              </w:rPr>
              <w:t>% em relação ao total de combinações de negócios</w:t>
            </w:r>
          </w:p>
        </w:tc>
      </w:tr>
      <w:tr w:rsidR="002C5FD4" w:rsidRPr="007F6143" w:rsidTr="002C5FD4">
        <w:trPr>
          <w:trHeight w:val="255"/>
          <w:jc w:val="center"/>
        </w:trPr>
        <w:tc>
          <w:tcPr>
            <w:tcW w:w="283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Em dinheiro</w:t>
            </w:r>
          </w:p>
        </w:tc>
        <w:tc>
          <w:tcPr>
            <w:tcW w:w="80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27</w:t>
            </w:r>
          </w:p>
        </w:tc>
        <w:tc>
          <w:tcPr>
            <w:tcW w:w="77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24</w:t>
            </w:r>
          </w:p>
        </w:tc>
        <w:tc>
          <w:tcPr>
            <w:tcW w:w="756"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22</w:t>
            </w:r>
          </w:p>
        </w:tc>
        <w:tc>
          <w:tcPr>
            <w:tcW w:w="2205" w:type="dxa"/>
            <w:tcBorders>
              <w:top w:val="nil"/>
              <w:left w:val="nil"/>
              <w:bottom w:val="single" w:sz="4" w:space="0" w:color="auto"/>
              <w:right w:val="nil"/>
            </w:tcBorders>
            <w:shd w:val="clear" w:color="000000" w:fill="FFFFFF"/>
            <w:noWrap/>
            <w:vAlign w:val="bottom"/>
            <w:hideMark/>
          </w:tcPr>
          <w:p w:rsidR="002C5FD4" w:rsidRPr="007F6143" w:rsidRDefault="002C5FD4" w:rsidP="00363839">
            <w:pPr>
              <w:jc w:val="left"/>
              <w:rPr>
                <w:sz w:val="20"/>
              </w:rPr>
            </w:pPr>
            <w:r w:rsidRPr="007F6143">
              <w:rPr>
                <w:sz w:val="20"/>
              </w:rPr>
              <w:t>56,15%</w:t>
            </w:r>
          </w:p>
        </w:tc>
      </w:tr>
      <w:tr w:rsidR="002C5FD4" w:rsidRPr="007F6143" w:rsidTr="002C5FD4">
        <w:trPr>
          <w:trHeight w:val="255"/>
          <w:jc w:val="center"/>
        </w:trPr>
        <w:tc>
          <w:tcPr>
            <w:tcW w:w="283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Em ações</w:t>
            </w:r>
          </w:p>
        </w:tc>
        <w:tc>
          <w:tcPr>
            <w:tcW w:w="80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4</w:t>
            </w:r>
          </w:p>
        </w:tc>
        <w:tc>
          <w:tcPr>
            <w:tcW w:w="77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756"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5</w:t>
            </w:r>
          </w:p>
        </w:tc>
        <w:tc>
          <w:tcPr>
            <w:tcW w:w="2205" w:type="dxa"/>
            <w:tcBorders>
              <w:top w:val="nil"/>
              <w:left w:val="nil"/>
              <w:bottom w:val="single" w:sz="4" w:space="0" w:color="auto"/>
              <w:right w:val="nil"/>
            </w:tcBorders>
            <w:shd w:val="clear" w:color="000000" w:fill="FFFFFF"/>
            <w:noWrap/>
            <w:vAlign w:val="bottom"/>
            <w:hideMark/>
          </w:tcPr>
          <w:p w:rsidR="002C5FD4" w:rsidRPr="007F6143" w:rsidRDefault="002C5FD4" w:rsidP="00363839">
            <w:pPr>
              <w:jc w:val="left"/>
              <w:rPr>
                <w:sz w:val="20"/>
              </w:rPr>
            </w:pPr>
            <w:r w:rsidRPr="007F6143">
              <w:rPr>
                <w:sz w:val="20"/>
              </w:rPr>
              <w:t>7,69%</w:t>
            </w:r>
          </w:p>
        </w:tc>
      </w:tr>
      <w:tr w:rsidR="002C5FD4" w:rsidRPr="007F6143" w:rsidTr="002C5FD4">
        <w:trPr>
          <w:trHeight w:val="255"/>
          <w:jc w:val="center"/>
        </w:trPr>
        <w:tc>
          <w:tcPr>
            <w:tcW w:w="283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Em dinheiro e emissão de ações</w:t>
            </w:r>
          </w:p>
        </w:tc>
        <w:tc>
          <w:tcPr>
            <w:tcW w:w="80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8</w:t>
            </w:r>
          </w:p>
        </w:tc>
        <w:tc>
          <w:tcPr>
            <w:tcW w:w="77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6</w:t>
            </w:r>
          </w:p>
        </w:tc>
        <w:tc>
          <w:tcPr>
            <w:tcW w:w="756"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6</w:t>
            </w:r>
          </w:p>
        </w:tc>
        <w:tc>
          <w:tcPr>
            <w:tcW w:w="2205" w:type="dxa"/>
            <w:tcBorders>
              <w:top w:val="nil"/>
              <w:left w:val="nil"/>
              <w:bottom w:val="single" w:sz="4" w:space="0" w:color="auto"/>
              <w:right w:val="nil"/>
            </w:tcBorders>
            <w:shd w:val="clear" w:color="000000" w:fill="FFFFFF"/>
            <w:noWrap/>
            <w:vAlign w:val="bottom"/>
            <w:hideMark/>
          </w:tcPr>
          <w:p w:rsidR="002C5FD4" w:rsidRPr="007F6143" w:rsidRDefault="002C5FD4" w:rsidP="00363839">
            <w:pPr>
              <w:jc w:val="left"/>
              <w:rPr>
                <w:sz w:val="20"/>
              </w:rPr>
            </w:pPr>
            <w:r w:rsidRPr="007F6143">
              <w:rPr>
                <w:sz w:val="20"/>
              </w:rPr>
              <w:t>15,38%</w:t>
            </w:r>
          </w:p>
        </w:tc>
      </w:tr>
      <w:tr w:rsidR="002C5FD4" w:rsidRPr="007F6143" w:rsidTr="002C5FD4">
        <w:trPr>
          <w:trHeight w:val="255"/>
          <w:jc w:val="center"/>
        </w:trPr>
        <w:tc>
          <w:tcPr>
            <w:tcW w:w="283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Assunção de passivos</w:t>
            </w:r>
          </w:p>
        </w:tc>
        <w:tc>
          <w:tcPr>
            <w:tcW w:w="80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77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756"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2205" w:type="dxa"/>
            <w:tcBorders>
              <w:top w:val="nil"/>
              <w:left w:val="nil"/>
              <w:bottom w:val="single" w:sz="4" w:space="0" w:color="auto"/>
              <w:right w:val="nil"/>
            </w:tcBorders>
            <w:shd w:val="clear" w:color="000000" w:fill="FFFFFF"/>
            <w:noWrap/>
            <w:vAlign w:val="bottom"/>
            <w:hideMark/>
          </w:tcPr>
          <w:p w:rsidR="002C5FD4" w:rsidRPr="007F6143" w:rsidRDefault="002C5FD4" w:rsidP="00363839">
            <w:pPr>
              <w:jc w:val="left"/>
              <w:rPr>
                <w:sz w:val="20"/>
              </w:rPr>
            </w:pPr>
            <w:r w:rsidRPr="007F6143">
              <w:rPr>
                <w:sz w:val="20"/>
              </w:rPr>
              <w:t>0,77%</w:t>
            </w:r>
          </w:p>
        </w:tc>
      </w:tr>
      <w:tr w:rsidR="002C5FD4" w:rsidRPr="007F6143" w:rsidTr="002C5FD4">
        <w:trPr>
          <w:trHeight w:val="255"/>
          <w:jc w:val="center"/>
        </w:trPr>
        <w:tc>
          <w:tcPr>
            <w:tcW w:w="283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Em dinheiro e assunção de passivos</w:t>
            </w:r>
          </w:p>
        </w:tc>
        <w:tc>
          <w:tcPr>
            <w:tcW w:w="80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12</w:t>
            </w:r>
          </w:p>
        </w:tc>
        <w:tc>
          <w:tcPr>
            <w:tcW w:w="77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756"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2205" w:type="dxa"/>
            <w:tcBorders>
              <w:top w:val="nil"/>
              <w:left w:val="nil"/>
              <w:bottom w:val="single" w:sz="4" w:space="0" w:color="auto"/>
              <w:right w:val="nil"/>
            </w:tcBorders>
            <w:shd w:val="clear" w:color="000000" w:fill="FFFFFF"/>
            <w:noWrap/>
            <w:vAlign w:val="bottom"/>
            <w:hideMark/>
          </w:tcPr>
          <w:p w:rsidR="002C5FD4" w:rsidRPr="007F6143" w:rsidRDefault="002C5FD4" w:rsidP="00363839">
            <w:pPr>
              <w:jc w:val="left"/>
              <w:rPr>
                <w:sz w:val="20"/>
              </w:rPr>
            </w:pPr>
            <w:r w:rsidRPr="007F6143">
              <w:rPr>
                <w:sz w:val="20"/>
              </w:rPr>
              <w:t>10,77%</w:t>
            </w:r>
          </w:p>
        </w:tc>
      </w:tr>
      <w:tr w:rsidR="002C5FD4" w:rsidRPr="007F6143" w:rsidTr="002C5FD4">
        <w:trPr>
          <w:trHeight w:val="255"/>
          <w:jc w:val="center"/>
        </w:trPr>
        <w:tc>
          <w:tcPr>
            <w:tcW w:w="283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Não informou</w:t>
            </w:r>
          </w:p>
        </w:tc>
        <w:tc>
          <w:tcPr>
            <w:tcW w:w="80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2</w:t>
            </w:r>
          </w:p>
        </w:tc>
        <w:tc>
          <w:tcPr>
            <w:tcW w:w="77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1</w:t>
            </w:r>
          </w:p>
        </w:tc>
        <w:tc>
          <w:tcPr>
            <w:tcW w:w="756"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9</w:t>
            </w:r>
          </w:p>
        </w:tc>
        <w:tc>
          <w:tcPr>
            <w:tcW w:w="2205" w:type="dxa"/>
            <w:tcBorders>
              <w:top w:val="nil"/>
              <w:left w:val="nil"/>
              <w:bottom w:val="single" w:sz="4" w:space="0" w:color="auto"/>
              <w:right w:val="nil"/>
            </w:tcBorders>
            <w:shd w:val="clear" w:color="000000" w:fill="FFFFFF"/>
            <w:noWrap/>
            <w:vAlign w:val="bottom"/>
            <w:hideMark/>
          </w:tcPr>
          <w:p w:rsidR="002C5FD4" w:rsidRPr="007F6143" w:rsidRDefault="002C5FD4" w:rsidP="00363839">
            <w:pPr>
              <w:jc w:val="left"/>
              <w:rPr>
                <w:sz w:val="20"/>
              </w:rPr>
            </w:pPr>
            <w:r w:rsidRPr="007F6143">
              <w:rPr>
                <w:sz w:val="20"/>
              </w:rPr>
              <w:t>9,23%</w:t>
            </w:r>
          </w:p>
        </w:tc>
      </w:tr>
      <w:tr w:rsidR="002C5FD4" w:rsidRPr="007F6143" w:rsidTr="002C5FD4">
        <w:trPr>
          <w:trHeight w:val="255"/>
          <w:jc w:val="center"/>
        </w:trPr>
        <w:tc>
          <w:tcPr>
            <w:tcW w:w="2839"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Total</w:t>
            </w:r>
          </w:p>
        </w:tc>
        <w:tc>
          <w:tcPr>
            <w:tcW w:w="80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53</w:t>
            </w:r>
          </w:p>
        </w:tc>
        <w:tc>
          <w:tcPr>
            <w:tcW w:w="771"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34</w:t>
            </w:r>
          </w:p>
        </w:tc>
        <w:tc>
          <w:tcPr>
            <w:tcW w:w="756"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43</w:t>
            </w:r>
          </w:p>
        </w:tc>
        <w:tc>
          <w:tcPr>
            <w:tcW w:w="2205" w:type="dxa"/>
            <w:tcBorders>
              <w:top w:val="nil"/>
              <w:left w:val="nil"/>
              <w:bottom w:val="single" w:sz="4" w:space="0" w:color="auto"/>
              <w:right w:val="nil"/>
            </w:tcBorders>
            <w:shd w:val="clear" w:color="000000" w:fill="FFFFFF"/>
            <w:noWrap/>
            <w:vAlign w:val="bottom"/>
            <w:hideMark/>
          </w:tcPr>
          <w:p w:rsidR="002C5FD4" w:rsidRPr="007F6143" w:rsidRDefault="002C5FD4" w:rsidP="00363839">
            <w:pPr>
              <w:jc w:val="left"/>
              <w:rPr>
                <w:sz w:val="20"/>
              </w:rPr>
            </w:pPr>
            <w:r w:rsidRPr="007F6143">
              <w:rPr>
                <w:sz w:val="20"/>
              </w:rPr>
              <w:t>100,00%</w:t>
            </w:r>
          </w:p>
        </w:tc>
      </w:tr>
    </w:tbl>
    <w:p w:rsidR="002C5FD4" w:rsidRPr="002C5FD4" w:rsidRDefault="002C5FD4" w:rsidP="00AE3602">
      <w:pPr>
        <w:rPr>
          <w:bCs/>
        </w:rPr>
      </w:pPr>
      <w:r w:rsidRPr="002C5FD4">
        <w:rPr>
          <w:bCs/>
        </w:rPr>
        <w:t xml:space="preserve">   </w:t>
      </w:r>
      <w:r w:rsidR="00910737">
        <w:rPr>
          <w:bCs/>
        </w:rPr>
        <w:t xml:space="preserve">  </w:t>
      </w:r>
      <w:r w:rsidRPr="002C5FD4">
        <w:rPr>
          <w:bCs/>
        </w:rPr>
        <w:t>Fonte: Elaborado pelos autores com base nos dados da pesquisa.</w:t>
      </w:r>
    </w:p>
    <w:p w:rsidR="002C5FD4" w:rsidRPr="002C5FD4" w:rsidRDefault="002C5FD4" w:rsidP="00AE3602">
      <w:pPr>
        <w:rPr>
          <w:bCs/>
        </w:rPr>
      </w:pPr>
      <w:r w:rsidRPr="002C5FD4">
        <w:rPr>
          <w:bCs/>
        </w:rPr>
        <w:t xml:space="preserve">Percebe-se que dentre as formas de pagamento realizadas, 56,15% das combinações de negócios foram efetuadas com pagamento em dinheiro. A forma menos utilizada pelas companhias foi assunção de passivos, realizado apenas por uma companhia da amostra em análise, porém 10,77% realizaram o pagamento por meio de dinheiro e assunção de passivos. Dessa forma, é possível afirmar que a maior parte das combinações de negócios analisadas foi realizada com o pagamento da contraprestação em dinheiro, o que demonstra que parece existir uma tendência ao reconhecimento maior de goodwill quando o pagamento é em dinheiro. </w:t>
      </w:r>
    </w:p>
    <w:p w:rsidR="002C5FD4" w:rsidRPr="002C5FD4" w:rsidRDefault="002C5FD4" w:rsidP="00AE3602">
      <w:pPr>
        <w:rPr>
          <w:bCs/>
        </w:rPr>
      </w:pPr>
      <w:r w:rsidRPr="002C5FD4">
        <w:rPr>
          <w:bCs/>
        </w:rPr>
        <w:t>Quanto aos tipos de combinações de negócios, a Tabela 9 apresenta a quantidade de combinações de negócios de acordo com os tipos identificados.</w:t>
      </w:r>
    </w:p>
    <w:p w:rsidR="002C5FD4" w:rsidRPr="002C5FD4" w:rsidRDefault="00910737" w:rsidP="00AE3602">
      <w:pPr>
        <w:rPr>
          <w:bCs/>
        </w:rPr>
      </w:pPr>
      <w:r>
        <w:rPr>
          <w:bCs/>
        </w:rPr>
        <w:t xml:space="preserve">    </w:t>
      </w:r>
      <w:r w:rsidR="002C5FD4" w:rsidRPr="002C5FD4">
        <w:rPr>
          <w:bCs/>
        </w:rPr>
        <w:t>Tabela 9: Tipos de combinações realizadas</w:t>
      </w:r>
    </w:p>
    <w:tbl>
      <w:tblPr>
        <w:tblW w:w="7496" w:type="dxa"/>
        <w:jc w:val="center"/>
        <w:tblInd w:w="56" w:type="dxa"/>
        <w:tblCellMar>
          <w:left w:w="70" w:type="dxa"/>
          <w:right w:w="70" w:type="dxa"/>
        </w:tblCellMar>
        <w:tblLook w:val="04A0"/>
      </w:tblPr>
      <w:tblGrid>
        <w:gridCol w:w="2393"/>
        <w:gridCol w:w="960"/>
        <w:gridCol w:w="960"/>
        <w:gridCol w:w="960"/>
        <w:gridCol w:w="2223"/>
      </w:tblGrid>
      <w:tr w:rsidR="002C5FD4" w:rsidRPr="007F6143" w:rsidTr="007F6143">
        <w:trPr>
          <w:trHeight w:val="377"/>
          <w:jc w:val="center"/>
        </w:trPr>
        <w:tc>
          <w:tcPr>
            <w:tcW w:w="2393" w:type="dxa"/>
            <w:tcBorders>
              <w:top w:val="single" w:sz="4" w:space="0" w:color="auto"/>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Tipos de combinações de negócios realizadas</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2012</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2013</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2C5FD4" w:rsidRPr="007F6143" w:rsidRDefault="002C5FD4" w:rsidP="00726906">
            <w:pPr>
              <w:ind w:firstLine="0"/>
              <w:jc w:val="center"/>
              <w:rPr>
                <w:sz w:val="20"/>
              </w:rPr>
            </w:pPr>
            <w:r w:rsidRPr="007F6143">
              <w:rPr>
                <w:sz w:val="20"/>
              </w:rPr>
              <w:t>2014</w:t>
            </w:r>
          </w:p>
        </w:tc>
        <w:tc>
          <w:tcPr>
            <w:tcW w:w="2223" w:type="dxa"/>
            <w:tcBorders>
              <w:top w:val="single" w:sz="4" w:space="0" w:color="auto"/>
              <w:left w:val="nil"/>
              <w:bottom w:val="single" w:sz="4" w:space="0" w:color="auto"/>
              <w:right w:val="nil"/>
            </w:tcBorders>
            <w:shd w:val="clear" w:color="000000" w:fill="FFFFFF"/>
            <w:noWrap/>
            <w:vAlign w:val="bottom"/>
            <w:hideMark/>
          </w:tcPr>
          <w:p w:rsidR="002C5FD4" w:rsidRPr="007F6143" w:rsidRDefault="002C5FD4" w:rsidP="00AE3602">
            <w:pPr>
              <w:ind w:firstLine="0"/>
              <w:rPr>
                <w:sz w:val="20"/>
              </w:rPr>
            </w:pPr>
            <w:r w:rsidRPr="007F6143">
              <w:rPr>
                <w:sz w:val="20"/>
              </w:rPr>
              <w:t>% em relação ao total de combinações de negócios</w:t>
            </w:r>
          </w:p>
        </w:tc>
      </w:tr>
      <w:tr w:rsidR="002C5FD4" w:rsidRPr="007F6143" w:rsidTr="007F6143">
        <w:trPr>
          <w:trHeight w:val="255"/>
          <w:jc w:val="center"/>
        </w:trPr>
        <w:tc>
          <w:tcPr>
            <w:tcW w:w="2393"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Aquisição</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48</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31</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39</w:t>
            </w:r>
          </w:p>
        </w:tc>
        <w:tc>
          <w:tcPr>
            <w:tcW w:w="2223" w:type="dxa"/>
            <w:tcBorders>
              <w:top w:val="nil"/>
              <w:left w:val="nil"/>
              <w:bottom w:val="single" w:sz="4" w:space="0" w:color="auto"/>
              <w:right w:val="nil"/>
            </w:tcBorders>
            <w:shd w:val="clear" w:color="000000" w:fill="FFFFFF"/>
            <w:noWrap/>
            <w:vAlign w:val="bottom"/>
            <w:hideMark/>
          </w:tcPr>
          <w:p w:rsidR="002C5FD4" w:rsidRPr="007F6143" w:rsidRDefault="002C5FD4" w:rsidP="00AE3602">
            <w:pPr>
              <w:rPr>
                <w:sz w:val="20"/>
              </w:rPr>
            </w:pPr>
            <w:r w:rsidRPr="007F6143">
              <w:rPr>
                <w:sz w:val="20"/>
              </w:rPr>
              <w:t>90,77%</w:t>
            </w:r>
          </w:p>
        </w:tc>
      </w:tr>
      <w:tr w:rsidR="002C5FD4" w:rsidRPr="007F6143" w:rsidTr="007F6143">
        <w:trPr>
          <w:trHeight w:val="255"/>
          <w:jc w:val="center"/>
        </w:trPr>
        <w:tc>
          <w:tcPr>
            <w:tcW w:w="2393" w:type="dxa"/>
            <w:tcBorders>
              <w:top w:val="nil"/>
              <w:left w:val="nil"/>
              <w:bottom w:val="single" w:sz="4" w:space="0" w:color="auto"/>
              <w:right w:val="single" w:sz="4" w:space="0" w:color="auto"/>
            </w:tcBorders>
            <w:shd w:val="clear" w:color="000000" w:fill="FFFFFF"/>
            <w:noWrap/>
            <w:vAlign w:val="bottom"/>
            <w:hideMark/>
          </w:tcPr>
          <w:p w:rsidR="002C5FD4" w:rsidRPr="007F6143" w:rsidRDefault="007F6143" w:rsidP="00AE3602">
            <w:pPr>
              <w:ind w:firstLine="0"/>
              <w:rPr>
                <w:sz w:val="20"/>
              </w:rPr>
            </w:pPr>
            <w:r w:rsidRPr="007F6143">
              <w:rPr>
                <w:sz w:val="20"/>
              </w:rPr>
              <w:t>F</w:t>
            </w:r>
            <w:r w:rsidR="002C5FD4" w:rsidRPr="007F6143">
              <w:rPr>
                <w:sz w:val="20"/>
              </w:rPr>
              <w:t>usão</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2223" w:type="dxa"/>
            <w:tcBorders>
              <w:top w:val="nil"/>
              <w:left w:val="nil"/>
              <w:bottom w:val="single" w:sz="4" w:space="0" w:color="auto"/>
              <w:right w:val="nil"/>
            </w:tcBorders>
            <w:shd w:val="clear" w:color="000000" w:fill="FFFFFF"/>
            <w:noWrap/>
            <w:vAlign w:val="bottom"/>
            <w:hideMark/>
          </w:tcPr>
          <w:p w:rsidR="002C5FD4" w:rsidRPr="007F6143" w:rsidRDefault="002C5FD4" w:rsidP="00AE3602">
            <w:pPr>
              <w:rPr>
                <w:sz w:val="20"/>
              </w:rPr>
            </w:pPr>
            <w:r w:rsidRPr="007F6143">
              <w:rPr>
                <w:sz w:val="20"/>
              </w:rPr>
              <w:t>0,00%</w:t>
            </w:r>
          </w:p>
        </w:tc>
      </w:tr>
      <w:tr w:rsidR="002C5FD4" w:rsidRPr="007F6143" w:rsidTr="007F6143">
        <w:trPr>
          <w:trHeight w:val="255"/>
          <w:jc w:val="center"/>
        </w:trPr>
        <w:tc>
          <w:tcPr>
            <w:tcW w:w="2393"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Incorporação</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5</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4</w:t>
            </w:r>
          </w:p>
        </w:tc>
        <w:tc>
          <w:tcPr>
            <w:tcW w:w="2223" w:type="dxa"/>
            <w:tcBorders>
              <w:top w:val="nil"/>
              <w:left w:val="nil"/>
              <w:bottom w:val="single" w:sz="4" w:space="0" w:color="auto"/>
              <w:right w:val="nil"/>
            </w:tcBorders>
            <w:shd w:val="clear" w:color="000000" w:fill="FFFFFF"/>
            <w:noWrap/>
            <w:vAlign w:val="bottom"/>
            <w:hideMark/>
          </w:tcPr>
          <w:p w:rsidR="002C5FD4" w:rsidRPr="007F6143" w:rsidRDefault="002C5FD4" w:rsidP="00AE3602">
            <w:pPr>
              <w:rPr>
                <w:sz w:val="20"/>
              </w:rPr>
            </w:pPr>
            <w:r w:rsidRPr="007F6143">
              <w:rPr>
                <w:sz w:val="20"/>
              </w:rPr>
              <w:t>9,23%</w:t>
            </w:r>
          </w:p>
        </w:tc>
      </w:tr>
      <w:tr w:rsidR="002C5FD4" w:rsidRPr="007F6143" w:rsidTr="007F6143">
        <w:trPr>
          <w:trHeight w:val="255"/>
          <w:jc w:val="center"/>
        </w:trPr>
        <w:tc>
          <w:tcPr>
            <w:tcW w:w="2393"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Cisão</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0</w:t>
            </w:r>
          </w:p>
        </w:tc>
        <w:tc>
          <w:tcPr>
            <w:tcW w:w="2223" w:type="dxa"/>
            <w:tcBorders>
              <w:top w:val="nil"/>
              <w:left w:val="nil"/>
              <w:bottom w:val="single" w:sz="4" w:space="0" w:color="auto"/>
              <w:right w:val="nil"/>
            </w:tcBorders>
            <w:shd w:val="clear" w:color="000000" w:fill="FFFFFF"/>
            <w:noWrap/>
            <w:vAlign w:val="bottom"/>
            <w:hideMark/>
          </w:tcPr>
          <w:p w:rsidR="002C5FD4" w:rsidRPr="007F6143" w:rsidRDefault="002C5FD4" w:rsidP="00AE3602">
            <w:pPr>
              <w:rPr>
                <w:sz w:val="20"/>
              </w:rPr>
            </w:pPr>
            <w:r w:rsidRPr="007F6143">
              <w:rPr>
                <w:sz w:val="20"/>
              </w:rPr>
              <w:t>0,00%</w:t>
            </w:r>
          </w:p>
        </w:tc>
      </w:tr>
      <w:tr w:rsidR="002C5FD4" w:rsidRPr="007F6143" w:rsidTr="007F6143">
        <w:trPr>
          <w:trHeight w:val="255"/>
          <w:jc w:val="center"/>
        </w:trPr>
        <w:tc>
          <w:tcPr>
            <w:tcW w:w="2393"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rPr>
                <w:sz w:val="20"/>
              </w:rPr>
            </w:pPr>
            <w:r w:rsidRPr="007F6143">
              <w:rPr>
                <w:sz w:val="20"/>
              </w:rPr>
              <w:t>Total</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53</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34</w:t>
            </w:r>
          </w:p>
        </w:tc>
        <w:tc>
          <w:tcPr>
            <w:tcW w:w="960" w:type="dxa"/>
            <w:tcBorders>
              <w:top w:val="nil"/>
              <w:left w:val="nil"/>
              <w:bottom w:val="single" w:sz="4" w:space="0" w:color="auto"/>
              <w:right w:val="single" w:sz="4" w:space="0" w:color="auto"/>
            </w:tcBorders>
            <w:shd w:val="clear" w:color="000000" w:fill="FFFFFF"/>
            <w:noWrap/>
            <w:vAlign w:val="bottom"/>
            <w:hideMark/>
          </w:tcPr>
          <w:p w:rsidR="002C5FD4" w:rsidRPr="007F6143" w:rsidRDefault="002C5FD4" w:rsidP="00AE3602">
            <w:pPr>
              <w:ind w:firstLine="0"/>
              <w:jc w:val="center"/>
              <w:rPr>
                <w:sz w:val="20"/>
              </w:rPr>
            </w:pPr>
            <w:r w:rsidRPr="007F6143">
              <w:rPr>
                <w:sz w:val="20"/>
              </w:rPr>
              <w:t>43</w:t>
            </w:r>
          </w:p>
        </w:tc>
        <w:tc>
          <w:tcPr>
            <w:tcW w:w="2223" w:type="dxa"/>
            <w:tcBorders>
              <w:top w:val="nil"/>
              <w:left w:val="nil"/>
              <w:bottom w:val="single" w:sz="4" w:space="0" w:color="auto"/>
              <w:right w:val="nil"/>
            </w:tcBorders>
            <w:shd w:val="clear" w:color="000000" w:fill="FFFFFF"/>
            <w:noWrap/>
            <w:vAlign w:val="bottom"/>
            <w:hideMark/>
          </w:tcPr>
          <w:p w:rsidR="002C5FD4" w:rsidRPr="007F6143" w:rsidRDefault="002C5FD4" w:rsidP="00AE3602">
            <w:pPr>
              <w:rPr>
                <w:sz w:val="20"/>
              </w:rPr>
            </w:pPr>
            <w:r w:rsidRPr="007F6143">
              <w:rPr>
                <w:sz w:val="20"/>
              </w:rPr>
              <w:t>100,00%</w:t>
            </w:r>
          </w:p>
        </w:tc>
      </w:tr>
    </w:tbl>
    <w:p w:rsidR="002C5FD4" w:rsidRPr="002C5FD4" w:rsidRDefault="002C5FD4" w:rsidP="00AE3602">
      <w:pPr>
        <w:rPr>
          <w:bCs/>
        </w:rPr>
      </w:pPr>
      <w:r w:rsidRPr="002C5FD4">
        <w:rPr>
          <w:bCs/>
        </w:rPr>
        <w:t xml:space="preserve">    Fonte: Elaborado pelos autores com base nos dados da pesquisa.</w:t>
      </w:r>
    </w:p>
    <w:p w:rsidR="002C5FD4" w:rsidRDefault="002C5FD4" w:rsidP="00AE3602">
      <w:pPr>
        <w:rPr>
          <w:bCs/>
        </w:rPr>
      </w:pPr>
      <w:r w:rsidRPr="002C5FD4">
        <w:rPr>
          <w:bCs/>
        </w:rPr>
        <w:t>Referente ao tipo de combinação de negócios realizado, a operação de aquisição foi realizada em 90,77% das combinações de negócios analisadas. As incorporações identificadas correspondem a 9,23% das combinações de negócios. Não foram identificadas operações de fusão e cisão, ressaltando que apenas integraram a amostra da presente pesquisa combinações de negócios em que houve transferência de controle. A Tabela 10 apresenta informações referentes às companhias observadas, como a rentabilidade do ativo, se negocia ADRs na NYSE e se foi mencionado o período de mensuração.</w:t>
      </w:r>
    </w:p>
    <w:p w:rsidR="00516A9E" w:rsidRDefault="00516A9E" w:rsidP="00AE3602">
      <w:pPr>
        <w:rPr>
          <w:bCs/>
        </w:rPr>
      </w:pPr>
    </w:p>
    <w:p w:rsidR="00516A9E" w:rsidRDefault="00516A9E" w:rsidP="00AE3602">
      <w:pPr>
        <w:rPr>
          <w:bCs/>
        </w:rPr>
      </w:pPr>
    </w:p>
    <w:p w:rsidR="00516A9E" w:rsidRPr="002C5FD4" w:rsidRDefault="00516A9E" w:rsidP="00AE3602">
      <w:pPr>
        <w:rPr>
          <w:bCs/>
        </w:rPr>
      </w:pPr>
    </w:p>
    <w:p w:rsidR="002C5FD4" w:rsidRPr="002C5FD4" w:rsidRDefault="002C5FD4" w:rsidP="00AE3602">
      <w:pPr>
        <w:ind w:firstLine="0"/>
        <w:jc w:val="center"/>
        <w:rPr>
          <w:bCs/>
        </w:rPr>
      </w:pPr>
      <w:r w:rsidRPr="002C5FD4">
        <w:rPr>
          <w:bCs/>
        </w:rPr>
        <w:lastRenderedPageBreak/>
        <w:t>Tabela 10: Rentabilidade das companhias, se negocia ADRs na NYSE e menção ao período de mensuração</w:t>
      </w:r>
    </w:p>
    <w:tbl>
      <w:tblPr>
        <w:tblW w:w="7824" w:type="dxa"/>
        <w:jc w:val="center"/>
        <w:tblInd w:w="55" w:type="dxa"/>
        <w:tblCellMar>
          <w:left w:w="70" w:type="dxa"/>
          <w:right w:w="70" w:type="dxa"/>
        </w:tblCellMar>
        <w:tblLook w:val="04A0"/>
      </w:tblPr>
      <w:tblGrid>
        <w:gridCol w:w="3417"/>
        <w:gridCol w:w="563"/>
        <w:gridCol w:w="1140"/>
        <w:gridCol w:w="807"/>
        <w:gridCol w:w="1140"/>
        <w:gridCol w:w="757"/>
      </w:tblGrid>
      <w:tr w:rsidR="002C5FD4" w:rsidRPr="002C5FD4" w:rsidTr="002C5FD4">
        <w:trPr>
          <w:trHeight w:val="341"/>
          <w:jc w:val="center"/>
        </w:trPr>
        <w:tc>
          <w:tcPr>
            <w:tcW w:w="3417" w:type="dxa"/>
            <w:vMerge w:val="restart"/>
            <w:tcBorders>
              <w:top w:val="single" w:sz="4" w:space="0" w:color="auto"/>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Rentabilidade das companhias e se negocia ADRs na NYSE</w:t>
            </w:r>
          </w:p>
        </w:tc>
        <w:tc>
          <w:tcPr>
            <w:tcW w:w="563" w:type="dxa"/>
            <w:vMerge w:val="restar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Total</w:t>
            </w:r>
          </w:p>
        </w:tc>
        <w:tc>
          <w:tcPr>
            <w:tcW w:w="1947" w:type="dxa"/>
            <w:gridSpan w:val="2"/>
            <w:tcBorders>
              <w:top w:val="single" w:sz="4" w:space="0" w:color="auto"/>
              <w:left w:val="nil"/>
              <w:bottom w:val="single" w:sz="4" w:space="0" w:color="auto"/>
              <w:right w:val="single" w:sz="4" w:space="0" w:color="auto"/>
            </w:tcBorders>
            <w:shd w:val="clear" w:color="000000" w:fill="FFFFFF"/>
            <w:vAlign w:val="bottom"/>
            <w:hideMark/>
          </w:tcPr>
          <w:p w:rsidR="002C5FD4" w:rsidRPr="002C5FD4" w:rsidRDefault="002C5FD4" w:rsidP="00AE3602">
            <w:pPr>
              <w:ind w:firstLine="0"/>
              <w:rPr>
                <w:sz w:val="20"/>
              </w:rPr>
            </w:pPr>
            <w:r w:rsidRPr="002C5FD4">
              <w:rPr>
                <w:sz w:val="20"/>
              </w:rPr>
              <w:t xml:space="preserve">Reconheceram </w:t>
            </w:r>
            <w:r w:rsidRPr="002C5FD4">
              <w:rPr>
                <w:i/>
                <w:sz w:val="20"/>
              </w:rPr>
              <w:t>Goodwill</w:t>
            </w:r>
          </w:p>
        </w:tc>
        <w:tc>
          <w:tcPr>
            <w:tcW w:w="1897" w:type="dxa"/>
            <w:gridSpan w:val="2"/>
            <w:tcBorders>
              <w:top w:val="single" w:sz="4" w:space="0" w:color="auto"/>
              <w:left w:val="nil"/>
              <w:bottom w:val="single" w:sz="4" w:space="0" w:color="auto"/>
            </w:tcBorders>
            <w:shd w:val="clear" w:color="000000" w:fill="FFFFFF"/>
            <w:vAlign w:val="bottom"/>
            <w:hideMark/>
          </w:tcPr>
          <w:p w:rsidR="002C5FD4" w:rsidRPr="002C5FD4" w:rsidRDefault="002C5FD4" w:rsidP="00AE3602">
            <w:pPr>
              <w:ind w:firstLine="0"/>
              <w:rPr>
                <w:sz w:val="20"/>
              </w:rPr>
            </w:pPr>
            <w:r w:rsidRPr="002C5FD4">
              <w:rPr>
                <w:sz w:val="20"/>
              </w:rPr>
              <w:t xml:space="preserve">Não Reconheceram </w:t>
            </w:r>
            <w:r w:rsidRPr="002C5FD4">
              <w:rPr>
                <w:i/>
                <w:sz w:val="20"/>
              </w:rPr>
              <w:t>Goodwill</w:t>
            </w:r>
          </w:p>
        </w:tc>
      </w:tr>
      <w:tr w:rsidR="002C5FD4" w:rsidRPr="002C5FD4" w:rsidTr="002C5FD4">
        <w:trPr>
          <w:trHeight w:val="305"/>
          <w:jc w:val="center"/>
        </w:trPr>
        <w:tc>
          <w:tcPr>
            <w:tcW w:w="3417" w:type="dxa"/>
            <w:vMerge/>
            <w:tcBorders>
              <w:top w:val="single" w:sz="4" w:space="0" w:color="auto"/>
              <w:left w:val="nil"/>
              <w:bottom w:val="single" w:sz="4" w:space="0" w:color="auto"/>
              <w:right w:val="single" w:sz="4" w:space="0" w:color="auto"/>
            </w:tcBorders>
            <w:vAlign w:val="center"/>
            <w:hideMark/>
          </w:tcPr>
          <w:p w:rsidR="002C5FD4" w:rsidRPr="002C5FD4" w:rsidRDefault="002C5FD4" w:rsidP="00AE3602">
            <w:pPr>
              <w:rPr>
                <w:sz w:val="20"/>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2C5FD4" w:rsidRPr="002C5FD4" w:rsidRDefault="002C5FD4" w:rsidP="00AE3602">
            <w:pPr>
              <w:rPr>
                <w:sz w:val="20"/>
              </w:rPr>
            </w:pPr>
          </w:p>
        </w:tc>
        <w:tc>
          <w:tcPr>
            <w:tcW w:w="1140" w:type="dxa"/>
            <w:tcBorders>
              <w:top w:val="nil"/>
              <w:left w:val="nil"/>
              <w:bottom w:val="single" w:sz="4" w:space="0" w:color="auto"/>
              <w:right w:val="single" w:sz="4" w:space="0" w:color="auto"/>
            </w:tcBorders>
            <w:shd w:val="clear" w:color="000000" w:fill="FFFFFF"/>
            <w:vAlign w:val="bottom"/>
            <w:hideMark/>
          </w:tcPr>
          <w:p w:rsidR="002C5FD4" w:rsidRPr="002C5FD4" w:rsidRDefault="002C5FD4" w:rsidP="00AE3602">
            <w:pPr>
              <w:ind w:firstLine="0"/>
              <w:rPr>
                <w:sz w:val="20"/>
              </w:rPr>
            </w:pPr>
            <w:r w:rsidRPr="002C5FD4">
              <w:rPr>
                <w:sz w:val="20"/>
              </w:rPr>
              <w:t>Quantidade Companhias</w:t>
            </w:r>
          </w:p>
        </w:tc>
        <w:tc>
          <w:tcPr>
            <w:tcW w:w="80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Total</w:t>
            </w:r>
          </w:p>
        </w:tc>
        <w:tc>
          <w:tcPr>
            <w:tcW w:w="1140" w:type="dxa"/>
            <w:tcBorders>
              <w:top w:val="nil"/>
              <w:left w:val="nil"/>
              <w:bottom w:val="single" w:sz="4" w:space="0" w:color="auto"/>
              <w:right w:val="single" w:sz="4" w:space="0" w:color="auto"/>
            </w:tcBorders>
            <w:shd w:val="clear" w:color="000000" w:fill="FFFFFF"/>
            <w:vAlign w:val="bottom"/>
            <w:hideMark/>
          </w:tcPr>
          <w:p w:rsidR="002C5FD4" w:rsidRPr="002C5FD4" w:rsidRDefault="002C5FD4" w:rsidP="00AE3602">
            <w:pPr>
              <w:ind w:firstLine="0"/>
              <w:rPr>
                <w:sz w:val="20"/>
              </w:rPr>
            </w:pPr>
            <w:r w:rsidRPr="002C5FD4">
              <w:rPr>
                <w:sz w:val="20"/>
              </w:rPr>
              <w:t>Quantidade Companhias</w:t>
            </w:r>
          </w:p>
        </w:tc>
        <w:tc>
          <w:tcPr>
            <w:tcW w:w="757"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rPr>
                <w:sz w:val="20"/>
              </w:rPr>
            </w:pPr>
            <w:r>
              <w:rPr>
                <w:sz w:val="20"/>
              </w:rPr>
              <w:t>T</w:t>
            </w:r>
            <w:r w:rsidRPr="002C5FD4">
              <w:rPr>
                <w:sz w:val="20"/>
              </w:rPr>
              <w:t>otal</w:t>
            </w:r>
          </w:p>
        </w:tc>
      </w:tr>
      <w:tr w:rsidR="002C5FD4" w:rsidRPr="002C5FD4" w:rsidTr="002C5FD4">
        <w:trPr>
          <w:trHeight w:val="255"/>
          <w:jc w:val="center"/>
        </w:trPr>
        <w:tc>
          <w:tcPr>
            <w:tcW w:w="341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Rentabilidade inferior a 0</w:t>
            </w:r>
          </w:p>
        </w:tc>
        <w:tc>
          <w:tcPr>
            <w:tcW w:w="56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12</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10</w:t>
            </w:r>
          </w:p>
        </w:tc>
        <w:tc>
          <w:tcPr>
            <w:tcW w:w="80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83,33 %</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757"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rPr>
                <w:sz w:val="20"/>
              </w:rPr>
            </w:pPr>
            <w:r w:rsidRPr="002C5FD4">
              <w:rPr>
                <w:sz w:val="20"/>
              </w:rPr>
              <w:t>16,67%</w:t>
            </w:r>
          </w:p>
        </w:tc>
      </w:tr>
      <w:tr w:rsidR="002C5FD4" w:rsidRPr="002C5FD4" w:rsidTr="002C5FD4">
        <w:trPr>
          <w:trHeight w:val="255"/>
          <w:jc w:val="center"/>
        </w:trPr>
        <w:tc>
          <w:tcPr>
            <w:tcW w:w="341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Rentabilidade entre 0 e 5</w:t>
            </w:r>
          </w:p>
        </w:tc>
        <w:tc>
          <w:tcPr>
            <w:tcW w:w="56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30</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20</w:t>
            </w:r>
          </w:p>
        </w:tc>
        <w:tc>
          <w:tcPr>
            <w:tcW w:w="80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66,67%</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10</w:t>
            </w:r>
          </w:p>
        </w:tc>
        <w:tc>
          <w:tcPr>
            <w:tcW w:w="757"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rPr>
                <w:sz w:val="20"/>
              </w:rPr>
            </w:pPr>
            <w:r w:rsidRPr="002C5FD4">
              <w:rPr>
                <w:sz w:val="20"/>
              </w:rPr>
              <w:t>33,33%</w:t>
            </w:r>
          </w:p>
        </w:tc>
      </w:tr>
      <w:tr w:rsidR="002C5FD4" w:rsidRPr="002C5FD4" w:rsidTr="002C5FD4">
        <w:trPr>
          <w:trHeight w:val="255"/>
          <w:jc w:val="center"/>
        </w:trPr>
        <w:tc>
          <w:tcPr>
            <w:tcW w:w="341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Rentabilidade entre 5,1 e 15</w:t>
            </w:r>
          </w:p>
        </w:tc>
        <w:tc>
          <w:tcPr>
            <w:tcW w:w="56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29</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23</w:t>
            </w:r>
          </w:p>
        </w:tc>
        <w:tc>
          <w:tcPr>
            <w:tcW w:w="80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79,31%</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6</w:t>
            </w:r>
          </w:p>
        </w:tc>
        <w:tc>
          <w:tcPr>
            <w:tcW w:w="757"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rPr>
                <w:sz w:val="20"/>
              </w:rPr>
            </w:pPr>
            <w:r w:rsidRPr="002C5FD4">
              <w:rPr>
                <w:sz w:val="20"/>
              </w:rPr>
              <w:t>20,69%</w:t>
            </w:r>
          </w:p>
        </w:tc>
      </w:tr>
      <w:tr w:rsidR="002C5FD4" w:rsidRPr="002C5FD4" w:rsidTr="002C5FD4">
        <w:trPr>
          <w:trHeight w:val="255"/>
          <w:jc w:val="center"/>
        </w:trPr>
        <w:tc>
          <w:tcPr>
            <w:tcW w:w="341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Rentabilidade acima de 15</w:t>
            </w:r>
          </w:p>
        </w:tc>
        <w:tc>
          <w:tcPr>
            <w:tcW w:w="56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5</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c>
          <w:tcPr>
            <w:tcW w:w="80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60,00%</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757"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rPr>
                <w:sz w:val="20"/>
              </w:rPr>
            </w:pPr>
            <w:r w:rsidRPr="002C5FD4">
              <w:rPr>
                <w:sz w:val="20"/>
              </w:rPr>
              <w:t>40,00%</w:t>
            </w:r>
          </w:p>
        </w:tc>
      </w:tr>
      <w:tr w:rsidR="002C5FD4" w:rsidRPr="002C5FD4" w:rsidTr="002C5FD4">
        <w:trPr>
          <w:trHeight w:val="255"/>
          <w:jc w:val="center"/>
        </w:trPr>
        <w:tc>
          <w:tcPr>
            <w:tcW w:w="341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Negocia ADRs na NYSE</w:t>
            </w:r>
          </w:p>
        </w:tc>
        <w:tc>
          <w:tcPr>
            <w:tcW w:w="56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9</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5</w:t>
            </w:r>
          </w:p>
        </w:tc>
        <w:tc>
          <w:tcPr>
            <w:tcW w:w="80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83,33%</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4</w:t>
            </w:r>
          </w:p>
        </w:tc>
        <w:tc>
          <w:tcPr>
            <w:tcW w:w="757"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rPr>
                <w:sz w:val="20"/>
              </w:rPr>
            </w:pPr>
            <w:r w:rsidRPr="002C5FD4">
              <w:rPr>
                <w:sz w:val="20"/>
              </w:rPr>
              <w:t>66,67%</w:t>
            </w:r>
          </w:p>
        </w:tc>
      </w:tr>
      <w:tr w:rsidR="002C5FD4" w:rsidRPr="002C5FD4" w:rsidTr="00910737">
        <w:trPr>
          <w:trHeight w:val="70"/>
          <w:jc w:val="center"/>
        </w:trPr>
        <w:tc>
          <w:tcPr>
            <w:tcW w:w="341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Mencionou o período de mensuração</w:t>
            </w:r>
          </w:p>
        </w:tc>
        <w:tc>
          <w:tcPr>
            <w:tcW w:w="56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20</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19</w:t>
            </w:r>
          </w:p>
        </w:tc>
        <w:tc>
          <w:tcPr>
            <w:tcW w:w="807"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95,00%</w:t>
            </w:r>
          </w:p>
        </w:tc>
        <w:tc>
          <w:tcPr>
            <w:tcW w:w="1140"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c>
          <w:tcPr>
            <w:tcW w:w="757"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rPr>
                <w:sz w:val="20"/>
              </w:rPr>
            </w:pPr>
            <w:r w:rsidRPr="002C5FD4">
              <w:rPr>
                <w:sz w:val="20"/>
              </w:rPr>
              <w:t>5,00%</w:t>
            </w:r>
          </w:p>
        </w:tc>
      </w:tr>
    </w:tbl>
    <w:p w:rsidR="002C5FD4" w:rsidRPr="002C5FD4" w:rsidRDefault="00A30F79" w:rsidP="00AE3602">
      <w:pPr>
        <w:rPr>
          <w:bCs/>
        </w:rPr>
      </w:pPr>
      <w:r>
        <w:rPr>
          <w:bCs/>
        </w:rPr>
        <w:t xml:space="preserve"> </w:t>
      </w:r>
      <w:r w:rsidR="002C5FD4" w:rsidRPr="002C5FD4">
        <w:rPr>
          <w:bCs/>
        </w:rPr>
        <w:t>Fonte: Elaborado pelos autores com base nos dados da pesquisa.</w:t>
      </w:r>
    </w:p>
    <w:p w:rsidR="002C5FD4" w:rsidRPr="002C5FD4" w:rsidRDefault="002C5FD4" w:rsidP="00AE3602">
      <w:pPr>
        <w:rPr>
          <w:bCs/>
        </w:rPr>
      </w:pPr>
      <w:r w:rsidRPr="002C5FD4">
        <w:rPr>
          <w:bCs/>
        </w:rPr>
        <w:t xml:space="preserve">Não se percebeu uma tendência relativa ao nível de rentabilidade e reconhecimento do </w:t>
      </w:r>
      <w:r w:rsidRPr="002C5FD4">
        <w:rPr>
          <w:bCs/>
          <w:i/>
        </w:rPr>
        <w:t>goodwill</w:t>
      </w:r>
      <w:r w:rsidRPr="002C5FD4">
        <w:rPr>
          <w:bCs/>
        </w:rPr>
        <w:t xml:space="preserve">, visto que em todos os níveis observados, a maioria da amostra tendeu a reconhecer </w:t>
      </w:r>
      <w:r w:rsidRPr="002C5FD4">
        <w:rPr>
          <w:bCs/>
          <w:i/>
        </w:rPr>
        <w:t>goodwill</w:t>
      </w:r>
      <w:r w:rsidRPr="002C5FD4">
        <w:rPr>
          <w:bCs/>
        </w:rPr>
        <w:t xml:space="preserve">.   </w:t>
      </w:r>
    </w:p>
    <w:p w:rsidR="002C5FD4" w:rsidRPr="002C5FD4" w:rsidRDefault="002C5FD4" w:rsidP="00AE3602">
      <w:pPr>
        <w:rPr>
          <w:bCs/>
        </w:rPr>
      </w:pPr>
      <w:r w:rsidRPr="002C5FD4">
        <w:rPr>
          <w:bCs/>
        </w:rPr>
        <w:t xml:space="preserve">Quanto à menção ao período de mensuração, na amostra analisada apenas 20 companhias mencionaram o período de mensuração, conforme é possível observar na Tabela 10 e dentre estas companhias 95,00% reconheceram o </w:t>
      </w:r>
      <w:r w:rsidRPr="002C5FD4">
        <w:rPr>
          <w:bCs/>
          <w:i/>
        </w:rPr>
        <w:t xml:space="preserve">goodwill. </w:t>
      </w:r>
      <w:r w:rsidRPr="002C5FD4">
        <w:rPr>
          <w:bCs/>
        </w:rPr>
        <w:t xml:space="preserve">Talvez esse resultado tenha relação com o fato dos ajustes permitidos no período de mensuração serem em contrapartida do </w:t>
      </w:r>
      <w:r w:rsidRPr="002C5FD4">
        <w:rPr>
          <w:bCs/>
          <w:i/>
        </w:rPr>
        <w:t>goodwill</w:t>
      </w:r>
      <w:r w:rsidRPr="002C5FD4">
        <w:rPr>
          <w:bCs/>
        </w:rPr>
        <w:t>.  Ainda a respeito do período de mensuração, ressalta-se que as companhias apenas utilizam o texto do CPC 15 (R1) sem especificar detalhes a respeito de possíveis alterações. A Tabela 11 apresenta a quantidade de companhias de acordo com o reconhecimento dos ativos intangíveis realizado nas combinações e o nível de governança em que estão classificadas.</w:t>
      </w:r>
    </w:p>
    <w:p w:rsidR="002C5FD4" w:rsidRPr="002C5FD4" w:rsidRDefault="00910737" w:rsidP="00AE3602">
      <w:pPr>
        <w:ind w:firstLine="0"/>
        <w:rPr>
          <w:bCs/>
        </w:rPr>
      </w:pPr>
      <w:r>
        <w:rPr>
          <w:bCs/>
        </w:rPr>
        <w:t xml:space="preserve">        </w:t>
      </w:r>
      <w:r w:rsidR="002C5FD4" w:rsidRPr="002C5FD4">
        <w:rPr>
          <w:bCs/>
        </w:rPr>
        <w:t>Tabela 11: Reconhecimento dos ativos intangíveis e nível de governança</w:t>
      </w:r>
    </w:p>
    <w:tbl>
      <w:tblPr>
        <w:tblW w:w="8381" w:type="dxa"/>
        <w:jc w:val="center"/>
        <w:tblCellMar>
          <w:left w:w="70" w:type="dxa"/>
          <w:right w:w="70" w:type="dxa"/>
        </w:tblCellMar>
        <w:tblLook w:val="04A0"/>
      </w:tblPr>
      <w:tblGrid>
        <w:gridCol w:w="3845"/>
        <w:gridCol w:w="1062"/>
        <w:gridCol w:w="922"/>
        <w:gridCol w:w="1134"/>
        <w:gridCol w:w="1418"/>
      </w:tblGrid>
      <w:tr w:rsidR="002C5FD4" w:rsidRPr="002C5FD4" w:rsidTr="002C5FD4">
        <w:trPr>
          <w:cantSplit/>
          <w:trHeight w:val="123"/>
          <w:jc w:val="center"/>
        </w:trPr>
        <w:tc>
          <w:tcPr>
            <w:tcW w:w="3845" w:type="dxa"/>
            <w:tcBorders>
              <w:top w:val="single" w:sz="8" w:space="0" w:color="auto"/>
              <w:left w:val="nil"/>
              <w:bottom w:val="single" w:sz="8" w:space="0" w:color="auto"/>
              <w:right w:val="single" w:sz="8" w:space="0" w:color="auto"/>
            </w:tcBorders>
            <w:shd w:val="clear" w:color="000000" w:fill="FFFFFF"/>
            <w:noWrap/>
            <w:vAlign w:val="bottom"/>
            <w:hideMark/>
          </w:tcPr>
          <w:p w:rsidR="002C5FD4" w:rsidRPr="002C5FD4" w:rsidRDefault="002C5FD4" w:rsidP="00AE3602">
            <w:pPr>
              <w:ind w:firstLine="0"/>
              <w:rPr>
                <w:sz w:val="20"/>
              </w:rPr>
            </w:pPr>
            <w:r w:rsidRPr="002C5FD4">
              <w:rPr>
                <w:sz w:val="20"/>
              </w:rPr>
              <w:t>Características</w:t>
            </w:r>
          </w:p>
        </w:tc>
        <w:tc>
          <w:tcPr>
            <w:tcW w:w="1062" w:type="dxa"/>
            <w:tcBorders>
              <w:top w:val="single" w:sz="8" w:space="0" w:color="auto"/>
              <w:left w:val="nil"/>
              <w:bottom w:val="single" w:sz="8" w:space="0" w:color="auto"/>
              <w:right w:val="single" w:sz="8" w:space="0" w:color="auto"/>
            </w:tcBorders>
            <w:shd w:val="clear" w:color="000000" w:fill="FFFFFF"/>
            <w:noWrap/>
            <w:vAlign w:val="bottom"/>
            <w:hideMark/>
          </w:tcPr>
          <w:p w:rsidR="002C5FD4" w:rsidRPr="002C5FD4" w:rsidRDefault="002C5FD4" w:rsidP="00AE3602">
            <w:pPr>
              <w:ind w:firstLine="0"/>
              <w:rPr>
                <w:sz w:val="20"/>
              </w:rPr>
            </w:pPr>
            <w:r w:rsidRPr="002C5FD4">
              <w:rPr>
                <w:sz w:val="20"/>
              </w:rPr>
              <w:t>Tradicional</w:t>
            </w:r>
          </w:p>
        </w:tc>
        <w:tc>
          <w:tcPr>
            <w:tcW w:w="922" w:type="dxa"/>
            <w:tcBorders>
              <w:top w:val="single" w:sz="8" w:space="0" w:color="auto"/>
              <w:left w:val="nil"/>
              <w:bottom w:val="single" w:sz="8" w:space="0" w:color="auto"/>
              <w:right w:val="single" w:sz="8" w:space="0" w:color="auto"/>
            </w:tcBorders>
            <w:shd w:val="clear" w:color="000000" w:fill="FFFFFF"/>
            <w:noWrap/>
            <w:vAlign w:val="bottom"/>
            <w:hideMark/>
          </w:tcPr>
          <w:p w:rsidR="002C5FD4" w:rsidRPr="002C5FD4" w:rsidRDefault="002C5FD4" w:rsidP="00AE3602">
            <w:pPr>
              <w:ind w:firstLine="0"/>
              <w:rPr>
                <w:sz w:val="20"/>
              </w:rPr>
            </w:pPr>
            <w:r w:rsidRPr="002C5FD4">
              <w:rPr>
                <w:sz w:val="20"/>
              </w:rPr>
              <w:t>Nível I</w:t>
            </w:r>
          </w:p>
        </w:tc>
        <w:tc>
          <w:tcPr>
            <w:tcW w:w="1134" w:type="dxa"/>
            <w:tcBorders>
              <w:top w:val="single" w:sz="8" w:space="0" w:color="auto"/>
              <w:left w:val="nil"/>
              <w:bottom w:val="single" w:sz="8" w:space="0" w:color="auto"/>
              <w:right w:val="single" w:sz="8" w:space="0" w:color="auto"/>
            </w:tcBorders>
            <w:shd w:val="clear" w:color="000000" w:fill="FFFFFF"/>
            <w:noWrap/>
            <w:vAlign w:val="bottom"/>
            <w:hideMark/>
          </w:tcPr>
          <w:p w:rsidR="002C5FD4" w:rsidRPr="002C5FD4" w:rsidRDefault="002C5FD4" w:rsidP="00AE3602">
            <w:pPr>
              <w:ind w:firstLine="0"/>
              <w:rPr>
                <w:sz w:val="20"/>
              </w:rPr>
            </w:pPr>
            <w:r w:rsidRPr="002C5FD4">
              <w:rPr>
                <w:sz w:val="20"/>
              </w:rPr>
              <w:t>Nível II</w:t>
            </w:r>
          </w:p>
        </w:tc>
        <w:tc>
          <w:tcPr>
            <w:tcW w:w="1418" w:type="dxa"/>
            <w:tcBorders>
              <w:top w:val="single" w:sz="8" w:space="0" w:color="auto"/>
              <w:left w:val="nil"/>
              <w:bottom w:val="single" w:sz="8" w:space="0" w:color="auto"/>
              <w:right w:val="nil"/>
            </w:tcBorders>
            <w:shd w:val="clear" w:color="000000" w:fill="FFFFFF"/>
            <w:noWrap/>
            <w:vAlign w:val="bottom"/>
            <w:hideMark/>
          </w:tcPr>
          <w:p w:rsidR="002C5FD4" w:rsidRPr="002C5FD4" w:rsidRDefault="002C5FD4" w:rsidP="00AE3602">
            <w:pPr>
              <w:ind w:firstLine="0"/>
              <w:rPr>
                <w:sz w:val="20"/>
              </w:rPr>
            </w:pPr>
            <w:r w:rsidRPr="002C5FD4">
              <w:rPr>
                <w:sz w:val="20"/>
              </w:rPr>
              <w:t>Novo Mercado</w:t>
            </w:r>
          </w:p>
        </w:tc>
      </w:tr>
      <w:tr w:rsidR="002C5FD4" w:rsidRPr="002C5FD4" w:rsidTr="002C5FD4">
        <w:trPr>
          <w:cantSplit/>
          <w:trHeight w:val="258"/>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 xml:space="preserve">Reconheceu </w:t>
            </w:r>
            <w:r w:rsidRPr="002C5FD4">
              <w:rPr>
                <w:i/>
                <w:iCs/>
                <w:sz w:val="20"/>
              </w:rPr>
              <w:t>Goodwill</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4</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4</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3</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28</w:t>
            </w:r>
          </w:p>
        </w:tc>
      </w:tr>
      <w:tr w:rsidR="002C5FD4" w:rsidRPr="002C5FD4" w:rsidTr="002C5FD4">
        <w:trPr>
          <w:cantSplit/>
          <w:trHeight w:val="262"/>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 xml:space="preserve">Não Reconheceu </w:t>
            </w:r>
            <w:r w:rsidRPr="002C5FD4">
              <w:rPr>
                <w:i/>
                <w:iCs/>
                <w:sz w:val="20"/>
              </w:rPr>
              <w:t>Goodwill</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4</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1</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7</w:t>
            </w:r>
          </w:p>
        </w:tc>
      </w:tr>
      <w:tr w:rsidR="002C5FD4" w:rsidRPr="002C5FD4" w:rsidTr="002C5FD4">
        <w:trPr>
          <w:cantSplit/>
          <w:trHeight w:val="251"/>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Reconheceu apenas Intangível Identificável</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1</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1</w:t>
            </w:r>
          </w:p>
        </w:tc>
      </w:tr>
      <w:tr w:rsidR="002C5FD4" w:rsidRPr="002C5FD4" w:rsidTr="002C5FD4">
        <w:trPr>
          <w:cantSplit/>
          <w:trHeight w:val="269"/>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Não Reconheceu Intangível Identificável</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6</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4</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3</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14</w:t>
            </w:r>
          </w:p>
        </w:tc>
      </w:tr>
      <w:tr w:rsidR="002C5FD4" w:rsidRPr="002C5FD4" w:rsidTr="002C5FD4">
        <w:trPr>
          <w:cantSplit/>
          <w:trHeight w:val="421"/>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 xml:space="preserve">Reconheceu </w:t>
            </w:r>
            <w:r w:rsidRPr="002C5FD4">
              <w:rPr>
                <w:i/>
                <w:iCs/>
                <w:sz w:val="20"/>
              </w:rPr>
              <w:t>Goodwill</w:t>
            </w:r>
            <w:r w:rsidRPr="002C5FD4">
              <w:rPr>
                <w:sz w:val="20"/>
              </w:rPr>
              <w:t xml:space="preserve"> e Intangível Identificável</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3</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10</w:t>
            </w:r>
          </w:p>
        </w:tc>
      </w:tr>
      <w:tr w:rsidR="002C5FD4" w:rsidRPr="002C5FD4" w:rsidTr="002C5FD4">
        <w:trPr>
          <w:cantSplit/>
          <w:trHeight w:val="358"/>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Reconheceu apenas Ganho por Compra Vantajosa</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4</w:t>
            </w:r>
          </w:p>
        </w:tc>
      </w:tr>
      <w:tr w:rsidR="002C5FD4" w:rsidRPr="002C5FD4" w:rsidTr="002C5FD4">
        <w:trPr>
          <w:cantSplit/>
          <w:trHeight w:val="449"/>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Reconheceu Ganho por Compra Vantajosa e Intangível Identificável</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0</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0</w:t>
            </w:r>
          </w:p>
        </w:tc>
      </w:tr>
      <w:tr w:rsidR="002C5FD4" w:rsidRPr="002C5FD4" w:rsidTr="002C5FD4">
        <w:trPr>
          <w:cantSplit/>
          <w:trHeight w:val="252"/>
          <w:jc w:val="center"/>
        </w:trPr>
        <w:tc>
          <w:tcPr>
            <w:tcW w:w="3845" w:type="dxa"/>
            <w:tcBorders>
              <w:top w:val="nil"/>
              <w:left w:val="nil"/>
              <w:bottom w:val="single" w:sz="8" w:space="0" w:color="auto"/>
              <w:right w:val="single" w:sz="8" w:space="0" w:color="auto"/>
            </w:tcBorders>
            <w:shd w:val="clear" w:color="000000" w:fill="FFFFFF"/>
            <w:vAlign w:val="bottom"/>
            <w:hideMark/>
          </w:tcPr>
          <w:p w:rsidR="002C5FD4" w:rsidRPr="002C5FD4" w:rsidRDefault="002C5FD4" w:rsidP="00AE3602">
            <w:pPr>
              <w:ind w:firstLine="0"/>
              <w:rPr>
                <w:sz w:val="20"/>
              </w:rPr>
            </w:pPr>
            <w:r w:rsidRPr="002C5FD4">
              <w:rPr>
                <w:sz w:val="20"/>
              </w:rPr>
              <w:t>Total de companhias</w:t>
            </w:r>
          </w:p>
        </w:tc>
        <w:tc>
          <w:tcPr>
            <w:tcW w:w="106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11</w:t>
            </w:r>
          </w:p>
        </w:tc>
        <w:tc>
          <w:tcPr>
            <w:tcW w:w="922"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5</w:t>
            </w:r>
          </w:p>
        </w:tc>
        <w:tc>
          <w:tcPr>
            <w:tcW w:w="1134" w:type="dxa"/>
            <w:tcBorders>
              <w:top w:val="nil"/>
              <w:left w:val="nil"/>
              <w:bottom w:val="single" w:sz="8" w:space="0" w:color="auto"/>
              <w:right w:val="single" w:sz="8" w:space="0" w:color="auto"/>
            </w:tcBorders>
            <w:shd w:val="clear" w:color="000000" w:fill="FFFFFF"/>
            <w:noWrap/>
            <w:vAlign w:val="bottom"/>
            <w:hideMark/>
          </w:tcPr>
          <w:p w:rsidR="002C5FD4" w:rsidRPr="002C5FD4" w:rsidRDefault="002C5FD4" w:rsidP="00AE3602">
            <w:pPr>
              <w:rPr>
                <w:sz w:val="20"/>
              </w:rPr>
            </w:pPr>
            <w:r w:rsidRPr="002C5FD4">
              <w:rPr>
                <w:sz w:val="20"/>
              </w:rPr>
              <w:t>3</w:t>
            </w:r>
          </w:p>
        </w:tc>
        <w:tc>
          <w:tcPr>
            <w:tcW w:w="1418" w:type="dxa"/>
            <w:tcBorders>
              <w:top w:val="nil"/>
              <w:left w:val="nil"/>
              <w:bottom w:val="single" w:sz="8" w:space="0" w:color="auto"/>
              <w:right w:val="nil"/>
            </w:tcBorders>
            <w:shd w:val="clear" w:color="000000" w:fill="FFFFFF"/>
            <w:noWrap/>
            <w:vAlign w:val="bottom"/>
            <w:hideMark/>
          </w:tcPr>
          <w:p w:rsidR="002C5FD4" w:rsidRPr="002C5FD4" w:rsidRDefault="002C5FD4" w:rsidP="00AE3602">
            <w:pPr>
              <w:rPr>
                <w:sz w:val="20"/>
              </w:rPr>
            </w:pPr>
            <w:r w:rsidRPr="002C5FD4">
              <w:rPr>
                <w:sz w:val="20"/>
              </w:rPr>
              <w:t>38</w:t>
            </w:r>
          </w:p>
        </w:tc>
      </w:tr>
    </w:tbl>
    <w:p w:rsidR="002C5FD4" w:rsidRPr="002C5FD4" w:rsidRDefault="00910737" w:rsidP="00AE3602">
      <w:pPr>
        <w:ind w:firstLine="0"/>
        <w:rPr>
          <w:bCs/>
        </w:rPr>
      </w:pPr>
      <w:r>
        <w:rPr>
          <w:bCs/>
        </w:rPr>
        <w:t xml:space="preserve">        </w:t>
      </w:r>
      <w:r w:rsidR="002C5FD4" w:rsidRPr="002C5FD4">
        <w:rPr>
          <w:bCs/>
        </w:rPr>
        <w:t>Fonte: Elaborado pelos autores com base nos dados da pesquisa.</w:t>
      </w:r>
    </w:p>
    <w:p w:rsidR="002C5FD4" w:rsidRPr="002C5FD4" w:rsidRDefault="002C5FD4" w:rsidP="00AE3602">
      <w:pPr>
        <w:rPr>
          <w:bCs/>
        </w:rPr>
      </w:pPr>
      <w:r w:rsidRPr="002C5FD4">
        <w:rPr>
          <w:bCs/>
        </w:rPr>
        <w:t xml:space="preserve">Conforme a Tabela 11, das companhias classificadas no Novo mercado, 73,68% reconheceram </w:t>
      </w:r>
      <w:r w:rsidRPr="002C5FD4">
        <w:rPr>
          <w:bCs/>
          <w:i/>
        </w:rPr>
        <w:t xml:space="preserve">goodwill, </w:t>
      </w:r>
      <w:r w:rsidRPr="002C5FD4">
        <w:rPr>
          <w:bCs/>
        </w:rPr>
        <w:t xml:space="preserve">36,84% não reconheceram intangíveis identificáveis e 26,31% reconheceram ativos intangíveis identificáveis e </w:t>
      </w:r>
      <w:r w:rsidRPr="002C5FD4">
        <w:rPr>
          <w:bCs/>
          <w:i/>
        </w:rPr>
        <w:t>goodwill</w:t>
      </w:r>
      <w:r w:rsidRPr="002C5FD4">
        <w:rPr>
          <w:bCs/>
        </w:rPr>
        <w:t xml:space="preserve">. Dentre as companhias sem </w:t>
      </w:r>
      <w:r w:rsidRPr="002C5FD4">
        <w:rPr>
          <w:bCs/>
        </w:rPr>
        <w:lastRenderedPageBreak/>
        <w:t xml:space="preserve">classificação de nível de governança, 54,54% não reconheceram intangíveis identificáveis e 36,36% reconheceram </w:t>
      </w:r>
      <w:r w:rsidRPr="002C5FD4">
        <w:rPr>
          <w:bCs/>
          <w:i/>
        </w:rPr>
        <w:t>goodwill</w:t>
      </w:r>
      <w:r w:rsidRPr="002C5FD4">
        <w:rPr>
          <w:bCs/>
        </w:rPr>
        <w:t xml:space="preserve">. </w:t>
      </w:r>
    </w:p>
    <w:p w:rsidR="002C5FD4" w:rsidRPr="002C5FD4" w:rsidRDefault="002C5FD4" w:rsidP="00AE3602">
      <w:pPr>
        <w:rPr>
          <w:bCs/>
        </w:rPr>
      </w:pPr>
      <w:r w:rsidRPr="002C5FD4">
        <w:rPr>
          <w:bCs/>
        </w:rPr>
        <w:t xml:space="preserve">Das companhias classificadas nos níveis I e II, a maioria reconheceu </w:t>
      </w:r>
      <w:r w:rsidRPr="002C5FD4">
        <w:rPr>
          <w:bCs/>
          <w:i/>
        </w:rPr>
        <w:t xml:space="preserve">goodwill. </w:t>
      </w:r>
      <w:r w:rsidRPr="002C5FD4">
        <w:rPr>
          <w:bCs/>
        </w:rPr>
        <w:t xml:space="preserve">Sendo assim, percebe-se uma tendência que as companhias classificadas em algum nível de governança realizam o reconhecimento do </w:t>
      </w:r>
      <w:r w:rsidRPr="002C5FD4">
        <w:rPr>
          <w:bCs/>
          <w:i/>
        </w:rPr>
        <w:t xml:space="preserve">goodwill </w:t>
      </w:r>
      <w:r w:rsidRPr="002C5FD4">
        <w:rPr>
          <w:bCs/>
        </w:rPr>
        <w:t>em maior proporção do que as companhias sem nível de governança.</w:t>
      </w:r>
    </w:p>
    <w:p w:rsidR="002C5FD4" w:rsidRPr="002C5FD4" w:rsidRDefault="002C5FD4" w:rsidP="00AE3602">
      <w:pPr>
        <w:rPr>
          <w:bCs/>
        </w:rPr>
      </w:pPr>
      <w:r w:rsidRPr="002C5FD4">
        <w:rPr>
          <w:bCs/>
        </w:rPr>
        <w:t>E por fim, quanto ao setor de atuação, a Tabela 12 apresenta o reconhecimento dos ativos intangíveis considerando o setor de atuação no qual as companhias estão inseridas.</w:t>
      </w:r>
    </w:p>
    <w:p w:rsidR="002C5FD4" w:rsidRPr="002C5FD4" w:rsidRDefault="002C5FD4" w:rsidP="00AE3602">
      <w:pPr>
        <w:rPr>
          <w:bCs/>
        </w:rPr>
      </w:pPr>
      <w:r w:rsidRPr="002C5FD4">
        <w:rPr>
          <w:bCs/>
        </w:rPr>
        <w:t>Tabela 12 - Setor de atuação X reconhecimento de ativos intangíveis</w:t>
      </w:r>
    </w:p>
    <w:tbl>
      <w:tblPr>
        <w:tblW w:w="7882" w:type="dxa"/>
        <w:jc w:val="center"/>
        <w:tblLayout w:type="fixed"/>
        <w:tblCellMar>
          <w:left w:w="70" w:type="dxa"/>
          <w:right w:w="70" w:type="dxa"/>
        </w:tblCellMar>
        <w:tblLook w:val="04A0"/>
      </w:tblPr>
      <w:tblGrid>
        <w:gridCol w:w="2283"/>
        <w:gridCol w:w="1828"/>
        <w:gridCol w:w="1149"/>
        <w:gridCol w:w="1276"/>
        <w:gridCol w:w="1346"/>
      </w:tblGrid>
      <w:tr w:rsidR="002C5FD4" w:rsidRPr="002C5FD4" w:rsidTr="002C5FD4">
        <w:trPr>
          <w:cantSplit/>
          <w:trHeight w:val="193"/>
          <w:jc w:val="center"/>
        </w:trPr>
        <w:tc>
          <w:tcPr>
            <w:tcW w:w="2283" w:type="dxa"/>
            <w:vMerge w:val="restart"/>
            <w:tcBorders>
              <w:top w:val="single" w:sz="4" w:space="0" w:color="auto"/>
              <w:left w:val="nil"/>
              <w:bottom w:val="single" w:sz="4" w:space="0" w:color="000000"/>
              <w:right w:val="single" w:sz="4" w:space="0" w:color="auto"/>
            </w:tcBorders>
            <w:shd w:val="clear" w:color="000000" w:fill="FFFFFF"/>
            <w:vAlign w:val="center"/>
            <w:hideMark/>
          </w:tcPr>
          <w:p w:rsidR="002C5FD4" w:rsidRPr="002C5FD4" w:rsidRDefault="002C5FD4" w:rsidP="00AE3602">
            <w:pPr>
              <w:ind w:firstLine="0"/>
              <w:rPr>
                <w:sz w:val="20"/>
              </w:rPr>
            </w:pPr>
            <w:r w:rsidRPr="002C5FD4">
              <w:rPr>
                <w:sz w:val="20"/>
              </w:rPr>
              <w:t>Setor de atuação</w:t>
            </w:r>
          </w:p>
        </w:tc>
        <w:tc>
          <w:tcPr>
            <w:tcW w:w="5599" w:type="dxa"/>
            <w:gridSpan w:val="4"/>
            <w:tcBorders>
              <w:top w:val="single" w:sz="4" w:space="0" w:color="auto"/>
              <w:left w:val="nil"/>
              <w:bottom w:val="single" w:sz="4" w:space="0" w:color="auto"/>
              <w:right w:val="nil"/>
            </w:tcBorders>
            <w:shd w:val="clear" w:color="000000" w:fill="FFFFFF"/>
            <w:noWrap/>
            <w:vAlign w:val="bottom"/>
            <w:hideMark/>
          </w:tcPr>
          <w:p w:rsidR="002C5FD4" w:rsidRPr="002C5FD4" w:rsidRDefault="002C5FD4" w:rsidP="00AE3602">
            <w:pPr>
              <w:rPr>
                <w:sz w:val="20"/>
              </w:rPr>
            </w:pPr>
            <w:r w:rsidRPr="002C5FD4">
              <w:rPr>
                <w:sz w:val="20"/>
              </w:rPr>
              <w:t>Reconhecimento dos ativos intangíveis</w:t>
            </w:r>
          </w:p>
        </w:tc>
      </w:tr>
      <w:tr w:rsidR="002C5FD4" w:rsidRPr="002C5FD4" w:rsidTr="002C5FD4">
        <w:trPr>
          <w:cantSplit/>
          <w:trHeight w:val="510"/>
          <w:jc w:val="center"/>
        </w:trPr>
        <w:tc>
          <w:tcPr>
            <w:tcW w:w="2283" w:type="dxa"/>
            <w:vMerge/>
            <w:tcBorders>
              <w:top w:val="single" w:sz="4" w:space="0" w:color="auto"/>
              <w:left w:val="nil"/>
              <w:bottom w:val="single" w:sz="4" w:space="0" w:color="000000"/>
              <w:right w:val="single" w:sz="4" w:space="0" w:color="auto"/>
            </w:tcBorders>
            <w:vAlign w:val="center"/>
            <w:hideMark/>
          </w:tcPr>
          <w:p w:rsidR="002C5FD4" w:rsidRPr="002C5FD4" w:rsidRDefault="002C5FD4" w:rsidP="00AE3602">
            <w:pPr>
              <w:rPr>
                <w:sz w:val="20"/>
              </w:rPr>
            </w:pPr>
          </w:p>
        </w:tc>
        <w:tc>
          <w:tcPr>
            <w:tcW w:w="1828" w:type="dxa"/>
            <w:tcBorders>
              <w:top w:val="nil"/>
              <w:left w:val="nil"/>
              <w:bottom w:val="single" w:sz="4" w:space="0" w:color="auto"/>
              <w:right w:val="single" w:sz="4" w:space="0" w:color="auto"/>
            </w:tcBorders>
            <w:shd w:val="clear" w:color="000000" w:fill="FFFFFF"/>
            <w:vAlign w:val="center"/>
            <w:hideMark/>
          </w:tcPr>
          <w:p w:rsidR="002C5FD4" w:rsidRPr="002C5FD4" w:rsidRDefault="002C5FD4" w:rsidP="00AE3602">
            <w:pPr>
              <w:ind w:firstLine="0"/>
              <w:rPr>
                <w:sz w:val="20"/>
              </w:rPr>
            </w:pPr>
            <w:r w:rsidRPr="002C5FD4">
              <w:rPr>
                <w:sz w:val="20"/>
              </w:rPr>
              <w:t>Total de companhias que realizaram combinações</w:t>
            </w:r>
          </w:p>
        </w:tc>
        <w:tc>
          <w:tcPr>
            <w:tcW w:w="1149" w:type="dxa"/>
            <w:tcBorders>
              <w:top w:val="nil"/>
              <w:left w:val="nil"/>
              <w:bottom w:val="single" w:sz="4" w:space="0" w:color="auto"/>
              <w:right w:val="single" w:sz="4" w:space="0" w:color="auto"/>
            </w:tcBorders>
            <w:shd w:val="clear" w:color="000000" w:fill="FFFFFF"/>
            <w:vAlign w:val="center"/>
            <w:hideMark/>
          </w:tcPr>
          <w:p w:rsidR="002C5FD4" w:rsidRPr="002C5FD4" w:rsidRDefault="002C5FD4" w:rsidP="00AE3602">
            <w:pPr>
              <w:ind w:firstLine="0"/>
              <w:rPr>
                <w:i/>
                <w:iCs/>
                <w:sz w:val="20"/>
              </w:rPr>
            </w:pPr>
            <w:r w:rsidRPr="002C5FD4">
              <w:rPr>
                <w:i/>
                <w:iCs/>
                <w:sz w:val="20"/>
              </w:rPr>
              <w:t>Goodwill</w:t>
            </w:r>
          </w:p>
        </w:tc>
        <w:tc>
          <w:tcPr>
            <w:tcW w:w="1276" w:type="dxa"/>
            <w:tcBorders>
              <w:top w:val="nil"/>
              <w:left w:val="nil"/>
              <w:bottom w:val="single" w:sz="4" w:space="0" w:color="auto"/>
              <w:right w:val="single" w:sz="4" w:space="0" w:color="auto"/>
            </w:tcBorders>
            <w:shd w:val="clear" w:color="000000" w:fill="FFFFFF"/>
            <w:vAlign w:val="center"/>
            <w:hideMark/>
          </w:tcPr>
          <w:p w:rsidR="002C5FD4" w:rsidRPr="002C5FD4" w:rsidRDefault="002C5FD4" w:rsidP="00AE3602">
            <w:pPr>
              <w:ind w:firstLine="0"/>
              <w:rPr>
                <w:sz w:val="20"/>
              </w:rPr>
            </w:pPr>
            <w:r w:rsidRPr="002C5FD4">
              <w:rPr>
                <w:sz w:val="20"/>
              </w:rPr>
              <w:t>Intangíveis identificáveis</w:t>
            </w:r>
          </w:p>
        </w:tc>
        <w:tc>
          <w:tcPr>
            <w:tcW w:w="1346" w:type="dxa"/>
            <w:tcBorders>
              <w:top w:val="nil"/>
              <w:left w:val="nil"/>
              <w:bottom w:val="single" w:sz="4" w:space="0" w:color="auto"/>
              <w:right w:val="nil"/>
            </w:tcBorders>
            <w:shd w:val="clear" w:color="000000" w:fill="FFFFFF"/>
            <w:vAlign w:val="center"/>
            <w:hideMark/>
          </w:tcPr>
          <w:p w:rsidR="002C5FD4" w:rsidRPr="002C5FD4" w:rsidRDefault="002C5FD4" w:rsidP="00AE3602">
            <w:pPr>
              <w:ind w:firstLine="0"/>
              <w:rPr>
                <w:i/>
                <w:iCs/>
                <w:sz w:val="20"/>
              </w:rPr>
            </w:pPr>
            <w:r w:rsidRPr="002C5FD4">
              <w:rPr>
                <w:i/>
                <w:iCs/>
                <w:sz w:val="20"/>
              </w:rPr>
              <w:t xml:space="preserve">Goodwill </w:t>
            </w:r>
            <w:r w:rsidRPr="002C5FD4">
              <w:rPr>
                <w:sz w:val="20"/>
              </w:rPr>
              <w:t>e intangíveis identificáveis</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Utilidade Pública</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9</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5</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0</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Bens Industriais</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0</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0</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Construção e Transporte</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6</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Consumo Cíclico</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12</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10</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7</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Consumo não Cíclico</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10</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10</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5</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Financeiro e Outros</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8</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6</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Materiais Básicos</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Não Classificados</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0</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0</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Tecnologia da Informação</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r>
      <w:tr w:rsidR="002C5FD4" w:rsidRPr="002C5FD4" w:rsidTr="002C5FD4">
        <w:trPr>
          <w:cantSplit/>
          <w:trHeight w:val="255"/>
          <w:jc w:val="center"/>
        </w:trPr>
        <w:tc>
          <w:tcPr>
            <w:tcW w:w="2283"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rPr>
                <w:sz w:val="20"/>
              </w:rPr>
            </w:pPr>
            <w:r w:rsidRPr="002C5FD4">
              <w:rPr>
                <w:sz w:val="20"/>
              </w:rPr>
              <w:t>Telecomunicações</w:t>
            </w:r>
          </w:p>
        </w:tc>
        <w:tc>
          <w:tcPr>
            <w:tcW w:w="1828"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2</w:t>
            </w:r>
          </w:p>
        </w:tc>
        <w:tc>
          <w:tcPr>
            <w:tcW w:w="1149"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c>
          <w:tcPr>
            <w:tcW w:w="1346" w:type="dxa"/>
            <w:tcBorders>
              <w:top w:val="nil"/>
              <w:left w:val="nil"/>
              <w:bottom w:val="single" w:sz="4" w:space="0" w:color="auto"/>
              <w:right w:val="nil"/>
            </w:tcBorders>
            <w:shd w:val="clear" w:color="000000" w:fill="FFFFFF"/>
            <w:noWrap/>
            <w:vAlign w:val="bottom"/>
            <w:hideMark/>
          </w:tcPr>
          <w:p w:rsidR="002C5FD4" w:rsidRPr="002C5FD4" w:rsidRDefault="002C5FD4" w:rsidP="00AE3602">
            <w:pPr>
              <w:ind w:firstLine="0"/>
              <w:jc w:val="center"/>
              <w:rPr>
                <w:sz w:val="20"/>
              </w:rPr>
            </w:pPr>
            <w:r w:rsidRPr="002C5FD4">
              <w:rPr>
                <w:sz w:val="20"/>
              </w:rPr>
              <w:t>1</w:t>
            </w:r>
          </w:p>
        </w:tc>
      </w:tr>
    </w:tbl>
    <w:p w:rsidR="002C5FD4" w:rsidRPr="002C5FD4" w:rsidRDefault="002C5FD4" w:rsidP="00AE3602">
      <w:pPr>
        <w:rPr>
          <w:bCs/>
        </w:rPr>
      </w:pPr>
      <w:r w:rsidRPr="002C5FD4">
        <w:rPr>
          <w:bCs/>
        </w:rPr>
        <w:t xml:space="preserve"> Fonte: Elaborado pelos autores com base nos dados da pesquisa.</w:t>
      </w:r>
    </w:p>
    <w:p w:rsidR="00516A9E" w:rsidRPr="00AA3FF4" w:rsidRDefault="002C5FD4" w:rsidP="00AE3602">
      <w:pPr>
        <w:rPr>
          <w:sz w:val="26"/>
          <w:szCs w:val="26"/>
        </w:rPr>
      </w:pPr>
      <w:r w:rsidRPr="002C5FD4">
        <w:t xml:space="preserve">Conforme a Tabela 12, percebe-se que a maior parte das companhias observadas estão concentradas nos setores de Consumo Cíclico, seguido do setor de Consumo não Cíclico e Utilidade pública. Das companhias classificadas no setor de Consumo Cíclico, 83,33% reconheceram </w:t>
      </w:r>
      <w:r w:rsidRPr="002C5FD4">
        <w:rPr>
          <w:i/>
        </w:rPr>
        <w:t>goodwil</w:t>
      </w:r>
      <w:r w:rsidRPr="002C5FD4">
        <w:t>,</w:t>
      </w:r>
      <w:r w:rsidRPr="002C5FD4">
        <w:rPr>
          <w:i/>
        </w:rPr>
        <w:t xml:space="preserve"> </w:t>
      </w:r>
      <w:r w:rsidRPr="002C5FD4">
        <w:t xml:space="preserve">e 16,67% reconheceram intangível identificável. Referente às companhias do setor de Consumo não cíclico, 100% reconheceram </w:t>
      </w:r>
      <w:r w:rsidRPr="002C5FD4">
        <w:rPr>
          <w:i/>
        </w:rPr>
        <w:t xml:space="preserve">goodwil </w:t>
      </w:r>
      <w:r w:rsidRPr="002C5FD4">
        <w:t>e</w:t>
      </w:r>
      <w:r w:rsidRPr="002C5FD4">
        <w:rPr>
          <w:i/>
        </w:rPr>
        <w:t xml:space="preserve"> </w:t>
      </w:r>
      <w:r w:rsidRPr="002C5FD4">
        <w:t>30% reconheceram intangível.</w:t>
      </w:r>
    </w:p>
    <w:p w:rsidR="00E24E18" w:rsidRPr="00AA3FF4" w:rsidRDefault="00E24E18" w:rsidP="00AE3602">
      <w:pPr>
        <w:pStyle w:val="Ttulo1"/>
        <w:spacing w:before="0" w:after="0"/>
        <w:ind w:left="432" w:hanging="432"/>
        <w:rPr>
          <w:sz w:val="26"/>
          <w:szCs w:val="26"/>
        </w:rPr>
      </w:pPr>
      <w:r w:rsidRPr="00AA3FF4">
        <w:rPr>
          <w:sz w:val="26"/>
          <w:szCs w:val="26"/>
        </w:rPr>
        <w:t>CONSIDERAÇÕES FINAIS</w:t>
      </w:r>
    </w:p>
    <w:p w:rsidR="002C5FD4" w:rsidRPr="002C5FD4" w:rsidRDefault="002C5FD4" w:rsidP="00AE3602">
      <w:pPr>
        <w:rPr>
          <w:bCs/>
        </w:rPr>
      </w:pPr>
      <w:r w:rsidRPr="002C5FD4">
        <w:rPr>
          <w:bCs/>
        </w:rPr>
        <w:t xml:space="preserve">Percebeu-se na amostra analisada que existe uma tendência ao reconhecimento de </w:t>
      </w:r>
      <w:r w:rsidRPr="002C5FD4">
        <w:rPr>
          <w:bCs/>
          <w:i/>
        </w:rPr>
        <w:t>goodwill</w:t>
      </w:r>
      <w:r w:rsidRPr="002C5FD4">
        <w:rPr>
          <w:bCs/>
        </w:rPr>
        <w:t xml:space="preserve"> nas combinações de negócios, destacando que a maior parte das companhias não consegue no momento da transação identificar separadamente o intangível pelo qual ela está pagando a mais na combinação realizada. Estes resultados corroboram com os achados de Souza (2015) que também encontrou resultados semelhantes analisando o período de 2010 até 2013.  </w:t>
      </w:r>
    </w:p>
    <w:p w:rsidR="002C5FD4" w:rsidRPr="002C5FD4" w:rsidRDefault="002C5FD4" w:rsidP="00AE3602">
      <w:pPr>
        <w:rPr>
          <w:bCs/>
        </w:rPr>
      </w:pPr>
      <w:r w:rsidRPr="002C5FD4">
        <w:rPr>
          <w:bCs/>
        </w:rPr>
        <w:t xml:space="preserve">No que concerne aos fatores que integram o </w:t>
      </w:r>
      <w:r w:rsidRPr="002C5FD4">
        <w:rPr>
          <w:bCs/>
          <w:i/>
        </w:rPr>
        <w:t>goodwill</w:t>
      </w:r>
      <w:r w:rsidRPr="002C5FD4">
        <w:rPr>
          <w:bCs/>
        </w:rPr>
        <w:t xml:space="preserve">, a maioria das companhias não apresentaram elementos que justificassem o reconhecimento do </w:t>
      </w:r>
      <w:r w:rsidRPr="002C5FD4">
        <w:rPr>
          <w:bCs/>
          <w:i/>
        </w:rPr>
        <w:t>goodwill</w:t>
      </w:r>
      <w:r w:rsidRPr="002C5FD4">
        <w:rPr>
          <w:bCs/>
        </w:rPr>
        <w:t xml:space="preserve">, apenas mencionaram que o </w:t>
      </w:r>
      <w:r w:rsidRPr="002C5FD4">
        <w:rPr>
          <w:bCs/>
          <w:i/>
        </w:rPr>
        <w:t>goodwill</w:t>
      </w:r>
      <w:r w:rsidRPr="002C5FD4">
        <w:rPr>
          <w:bCs/>
        </w:rPr>
        <w:t xml:space="preserve"> foi gerado com base em uma expectativa de rentabilidade futura, ou que representa o excesso (ou diferença positiva) entre o valor da contraprestação e o valor justo dos </w:t>
      </w:r>
      <w:r w:rsidRPr="002C5FD4">
        <w:rPr>
          <w:bCs/>
        </w:rPr>
        <w:lastRenderedPageBreak/>
        <w:t xml:space="preserve">ativos líquidos adquiridos. Dessa forma, percebe-se que há falta de divulgação por parte das companhias dos fatores que integram o </w:t>
      </w:r>
      <w:r w:rsidRPr="002C5FD4">
        <w:rPr>
          <w:bCs/>
          <w:i/>
        </w:rPr>
        <w:t xml:space="preserve">goodwill </w:t>
      </w:r>
      <w:r w:rsidRPr="002C5FD4">
        <w:rPr>
          <w:bCs/>
        </w:rPr>
        <w:t>reconhecido, o que contribui para sua subjetividade.</w:t>
      </w:r>
    </w:p>
    <w:p w:rsidR="002C5FD4" w:rsidRPr="002C5FD4" w:rsidRDefault="002C5FD4" w:rsidP="00AE3602">
      <w:pPr>
        <w:rPr>
          <w:bCs/>
        </w:rPr>
      </w:pPr>
      <w:r w:rsidRPr="002C5FD4">
        <w:rPr>
          <w:bCs/>
        </w:rPr>
        <w:t>Quanto ao reconhecimento dos ativos intangíveis identificáveis, percebeu-se que os tipos “Marca”, “Carteira de alunos” e acordos de “Não competição” são os ativos intangíveis identificáveis mais reconhecidos nas combinações de negócios analisadas. O estudo de Souza (2015) apresentou resultado semelhante a este.</w:t>
      </w:r>
    </w:p>
    <w:p w:rsidR="00E24E18" w:rsidRPr="00AA3FF4" w:rsidRDefault="002C5FD4" w:rsidP="00AE3602">
      <w:r w:rsidRPr="002C5FD4">
        <w:rPr>
          <w:bCs/>
        </w:rPr>
        <w:t xml:space="preserve">Quanto à menção ao período de mensuração, apenas 20 companhias mencionaram o período de mensuração, sendo que a maior parte delas reconheceu </w:t>
      </w:r>
      <w:r w:rsidRPr="002C5FD4">
        <w:rPr>
          <w:bCs/>
          <w:i/>
        </w:rPr>
        <w:t xml:space="preserve">goodwill. </w:t>
      </w:r>
      <w:r w:rsidRPr="002C5FD4">
        <w:rPr>
          <w:bCs/>
        </w:rPr>
        <w:t xml:space="preserve">Sobre o setor de atuação, o setor de Consumo cíclico foi o que apresentou o maior número das companhias analisadas, representando 21,05% do total. Quanto ao nível de governança, percebeu-se que há uma tendência de as companhias que estão classificadas em algum nível de governança reconhecerem </w:t>
      </w:r>
      <w:r w:rsidRPr="002C5FD4">
        <w:rPr>
          <w:bCs/>
          <w:i/>
        </w:rPr>
        <w:t>goodwill</w:t>
      </w:r>
      <w:r w:rsidRPr="002C5FD4">
        <w:rPr>
          <w:bCs/>
        </w:rPr>
        <w:t xml:space="preserve"> em maior proporção.</w:t>
      </w:r>
    </w:p>
    <w:p w:rsidR="00E24E18" w:rsidRPr="003C6EE4" w:rsidRDefault="00E24E18" w:rsidP="00AE3602">
      <w:pPr>
        <w:pStyle w:val="Ttulo1"/>
        <w:numPr>
          <w:ilvl w:val="0"/>
          <w:numId w:val="0"/>
        </w:numPr>
        <w:spacing w:before="0" w:after="0"/>
        <w:jc w:val="center"/>
        <w:rPr>
          <w:sz w:val="26"/>
          <w:szCs w:val="26"/>
          <w:lang w:val="pt-BR"/>
        </w:rPr>
      </w:pPr>
      <w:r w:rsidRPr="00AA3FF4">
        <w:rPr>
          <w:sz w:val="26"/>
          <w:szCs w:val="26"/>
        </w:rPr>
        <w:t>REFERÊNCIAS</w:t>
      </w:r>
    </w:p>
    <w:p w:rsidR="002C5FD4" w:rsidRPr="002C5FD4" w:rsidRDefault="002C5FD4" w:rsidP="00AE3602">
      <w:pPr>
        <w:ind w:firstLine="0"/>
        <w:rPr>
          <w:szCs w:val="26"/>
        </w:rPr>
      </w:pPr>
      <w:r w:rsidRPr="002C5FD4">
        <w:rPr>
          <w:szCs w:val="26"/>
        </w:rPr>
        <w:t xml:space="preserve">BARROS, Thiago de Souza; RODRIGUES, Ana Maria Gomes. Concentração de atividades empresariais: uma análise das combinações de negócios e dos ativos intangíveis no Brasil. </w:t>
      </w:r>
      <w:r w:rsidRPr="002C5FD4">
        <w:rPr>
          <w:b/>
          <w:szCs w:val="26"/>
        </w:rPr>
        <w:t>Revista de Gestão, Finanças e Contabilidade</w:t>
      </w:r>
      <w:r w:rsidRPr="002C5FD4">
        <w:rPr>
          <w:szCs w:val="26"/>
        </w:rPr>
        <w:t>,</w:t>
      </w:r>
      <w:r w:rsidRPr="002C5FD4">
        <w:rPr>
          <w:b/>
          <w:szCs w:val="26"/>
        </w:rPr>
        <w:t xml:space="preserve"> </w:t>
      </w:r>
      <w:r w:rsidRPr="002C5FD4">
        <w:rPr>
          <w:szCs w:val="26"/>
        </w:rPr>
        <w:t>v. 4, n. 2, p. 112-136, 2014.</w:t>
      </w:r>
    </w:p>
    <w:p w:rsidR="002C5FD4" w:rsidRPr="002C5FD4" w:rsidRDefault="002C5FD4" w:rsidP="00AE3602">
      <w:pPr>
        <w:ind w:firstLine="0"/>
        <w:rPr>
          <w:szCs w:val="26"/>
        </w:rPr>
      </w:pPr>
      <w:r w:rsidRPr="002C5FD4">
        <w:rPr>
          <w:szCs w:val="26"/>
        </w:rPr>
        <w:t>BEUREN, Ilse Maria. </w:t>
      </w:r>
      <w:r w:rsidRPr="002C5FD4">
        <w:rPr>
          <w:b/>
          <w:iCs/>
          <w:szCs w:val="26"/>
        </w:rPr>
        <w:t>Como elaborar trabalhos monográficos em contabilidade:</w:t>
      </w:r>
      <w:r w:rsidRPr="002C5FD4">
        <w:rPr>
          <w:iCs/>
          <w:szCs w:val="26"/>
        </w:rPr>
        <w:t xml:space="preserve"> teoria e prática. São Paulo:</w:t>
      </w:r>
      <w:r w:rsidRPr="002C5FD4">
        <w:rPr>
          <w:szCs w:val="26"/>
        </w:rPr>
        <w:t xml:space="preserve"> Atlas, 2003. </w:t>
      </w:r>
    </w:p>
    <w:p w:rsidR="002C5FD4" w:rsidRPr="002C5FD4" w:rsidRDefault="002C5FD4" w:rsidP="00AE3602">
      <w:pPr>
        <w:ind w:firstLine="0"/>
        <w:rPr>
          <w:szCs w:val="26"/>
        </w:rPr>
      </w:pPr>
      <w:r w:rsidRPr="002C5FD4">
        <w:rPr>
          <w:szCs w:val="26"/>
        </w:rPr>
        <w:t xml:space="preserve">CHAVES, Eduardo de Paula e Silva Chaves; JUNIOR e Tabajara Pimenta. Relação entre valor de mercado e ativo intangível na Bovespa. </w:t>
      </w:r>
      <w:r w:rsidRPr="002C5FD4">
        <w:rPr>
          <w:b/>
          <w:szCs w:val="26"/>
        </w:rPr>
        <w:t>RAIMED - Revista de Administração IMED</w:t>
      </w:r>
      <w:r w:rsidRPr="002C5FD4">
        <w:rPr>
          <w:szCs w:val="26"/>
        </w:rPr>
        <w:t>, 3(3), p. 239-251, 2013.</w:t>
      </w:r>
    </w:p>
    <w:p w:rsidR="002C5FD4" w:rsidRPr="002C5FD4" w:rsidRDefault="002C5FD4" w:rsidP="00AE3602">
      <w:pPr>
        <w:ind w:firstLine="0"/>
        <w:rPr>
          <w:szCs w:val="26"/>
        </w:rPr>
      </w:pPr>
      <w:r w:rsidRPr="002C5FD4">
        <w:rPr>
          <w:szCs w:val="26"/>
        </w:rPr>
        <w:t>COMITÊ de Pronunciamentos Contábeis. Pronunciamento Técnico CPC 04 R1, de 05 de novembro de 2010. Ativo Intangível. Disponível em: &lt; http://www.cpc.org.br/CPC&gt;. Acesso em: 27 de fevereiro de 2016.</w:t>
      </w:r>
    </w:p>
    <w:p w:rsidR="002C5FD4" w:rsidRPr="002C5FD4" w:rsidRDefault="002C5FD4" w:rsidP="00AE3602">
      <w:pPr>
        <w:ind w:firstLine="0"/>
        <w:rPr>
          <w:szCs w:val="26"/>
        </w:rPr>
      </w:pPr>
      <w:r w:rsidRPr="002C5FD4">
        <w:rPr>
          <w:szCs w:val="26"/>
        </w:rPr>
        <w:t>______. Pronunciamento Técnico CPC 15 R1, de 03 de junho de 2011. Combinação de negócios. Disponível em: &lt; http://www.cpc.org.br/CPC&gt;. Acesso em: 07 de março de 2016.</w:t>
      </w:r>
    </w:p>
    <w:p w:rsidR="002C5FD4" w:rsidRPr="002C5FD4" w:rsidRDefault="002C5FD4" w:rsidP="00AE3602">
      <w:pPr>
        <w:ind w:firstLine="0"/>
        <w:rPr>
          <w:bCs/>
          <w:szCs w:val="26"/>
        </w:rPr>
      </w:pPr>
      <w:r w:rsidRPr="002C5FD4">
        <w:rPr>
          <w:szCs w:val="26"/>
        </w:rPr>
        <w:t xml:space="preserve">COSTA, Giovanni Pacelli Carvalho Lustosa da; PAULO, Edson; BARBOSA, Glauber de Castro. </w:t>
      </w:r>
      <w:r w:rsidRPr="002C5FD4">
        <w:rPr>
          <w:bCs/>
          <w:szCs w:val="26"/>
        </w:rPr>
        <w:t xml:space="preserve">Reconhecimento do Goodwill em Combinação de Negócios: Análise das Transações com Pagamento em Ações e em Dinheiro. </w:t>
      </w:r>
      <w:r w:rsidRPr="002C5FD4">
        <w:rPr>
          <w:b/>
          <w:bCs/>
          <w:szCs w:val="26"/>
        </w:rPr>
        <w:t>Qualit@s Revista Eletrônica</w:t>
      </w:r>
      <w:r w:rsidRPr="002C5FD4">
        <w:rPr>
          <w:bCs/>
          <w:szCs w:val="26"/>
        </w:rPr>
        <w:t>, v.12, n.2, 2011.</w:t>
      </w:r>
    </w:p>
    <w:p w:rsidR="002C5FD4" w:rsidRPr="002C5FD4" w:rsidRDefault="002C5FD4" w:rsidP="00AE3602">
      <w:pPr>
        <w:ind w:firstLine="0"/>
        <w:rPr>
          <w:szCs w:val="26"/>
        </w:rPr>
      </w:pPr>
      <w:r w:rsidRPr="002C5FD4">
        <w:rPr>
          <w:szCs w:val="26"/>
        </w:rPr>
        <w:t xml:space="preserve">HENDRIKSEN, Eldon S; VAN BREDA, Michael F. </w:t>
      </w:r>
      <w:r w:rsidRPr="002C5FD4">
        <w:rPr>
          <w:b/>
          <w:szCs w:val="26"/>
        </w:rPr>
        <w:t>Teoria da Contabilidade</w:t>
      </w:r>
      <w:r w:rsidRPr="002C5FD4">
        <w:rPr>
          <w:szCs w:val="26"/>
        </w:rPr>
        <w:t xml:space="preserve">. 5. ed. São Paulo: Atlas, 2009. </w:t>
      </w:r>
    </w:p>
    <w:p w:rsidR="002C5FD4" w:rsidRPr="002C5FD4" w:rsidRDefault="002C5FD4" w:rsidP="00AE3602">
      <w:pPr>
        <w:ind w:firstLine="0"/>
        <w:rPr>
          <w:szCs w:val="26"/>
        </w:rPr>
      </w:pPr>
      <w:r w:rsidRPr="002C5FD4">
        <w:rPr>
          <w:szCs w:val="26"/>
        </w:rPr>
        <w:t>HOSS, Osni, ROJO, Claudio Antonio, GRAPEGGIA, Mariana. </w:t>
      </w:r>
      <w:r w:rsidRPr="002C5FD4">
        <w:rPr>
          <w:b/>
          <w:iCs/>
          <w:szCs w:val="26"/>
        </w:rPr>
        <w:t>Gestão de ativos intangíveis</w:t>
      </w:r>
      <w:r w:rsidRPr="002C5FD4">
        <w:rPr>
          <w:iCs/>
          <w:szCs w:val="26"/>
        </w:rPr>
        <w:t>: da mensuração à competitividade por cenários</w:t>
      </w:r>
      <w:r w:rsidRPr="002C5FD4">
        <w:rPr>
          <w:szCs w:val="26"/>
        </w:rPr>
        <w:t xml:space="preserve">. São Paulo: Atlas, 2010. </w:t>
      </w:r>
    </w:p>
    <w:p w:rsidR="002C5FD4" w:rsidRPr="002C5FD4" w:rsidRDefault="002C5FD4" w:rsidP="00AE3602">
      <w:pPr>
        <w:ind w:firstLine="0"/>
        <w:rPr>
          <w:szCs w:val="26"/>
        </w:rPr>
      </w:pPr>
      <w:r w:rsidRPr="002C5FD4">
        <w:rPr>
          <w:szCs w:val="26"/>
        </w:rPr>
        <w:t xml:space="preserve">IUDÍCIBUS, Sérgio de; MARTINS, Eliseu; GELBCKE, Ernesto Rubens. </w:t>
      </w:r>
      <w:r w:rsidRPr="002C5FD4">
        <w:rPr>
          <w:b/>
          <w:szCs w:val="26"/>
        </w:rPr>
        <w:t>Manual de Contabilidade das Sociedades por Ações</w:t>
      </w:r>
      <w:r w:rsidRPr="002C5FD4">
        <w:rPr>
          <w:szCs w:val="26"/>
        </w:rPr>
        <w:t xml:space="preserve">. 7. ed. São Paulo, Atlas, 2007. </w:t>
      </w:r>
    </w:p>
    <w:p w:rsidR="002C5FD4" w:rsidRPr="002C5FD4" w:rsidRDefault="002C5FD4" w:rsidP="00AE3602">
      <w:pPr>
        <w:ind w:firstLine="0"/>
        <w:rPr>
          <w:szCs w:val="26"/>
        </w:rPr>
      </w:pPr>
      <w:r w:rsidRPr="002C5FD4">
        <w:rPr>
          <w:szCs w:val="26"/>
        </w:rPr>
        <w:t xml:space="preserve">IUDÍCIBUS, Sérgio de. </w:t>
      </w:r>
      <w:r w:rsidRPr="002C5FD4">
        <w:rPr>
          <w:b/>
          <w:bCs/>
          <w:szCs w:val="26"/>
        </w:rPr>
        <w:t>Teoria da Contabilidade</w:t>
      </w:r>
      <w:r w:rsidRPr="002C5FD4">
        <w:rPr>
          <w:szCs w:val="26"/>
        </w:rPr>
        <w:t>. 5. ed. São Paulo, Atlas, 1997.</w:t>
      </w:r>
    </w:p>
    <w:p w:rsidR="002C5FD4" w:rsidRPr="002C5FD4" w:rsidRDefault="002C5FD4" w:rsidP="00AE3602">
      <w:pPr>
        <w:ind w:firstLine="0"/>
        <w:rPr>
          <w:szCs w:val="26"/>
        </w:rPr>
      </w:pPr>
      <w:r w:rsidRPr="002C5FD4">
        <w:rPr>
          <w:szCs w:val="26"/>
        </w:rPr>
        <w:t>______. </w:t>
      </w:r>
      <w:r w:rsidRPr="002C5FD4">
        <w:rPr>
          <w:b/>
          <w:iCs/>
          <w:szCs w:val="26"/>
        </w:rPr>
        <w:t>Teoria da Contabilidade</w:t>
      </w:r>
      <w:r w:rsidRPr="002C5FD4">
        <w:rPr>
          <w:iCs/>
          <w:szCs w:val="26"/>
        </w:rPr>
        <w:t>. 11. ed</w:t>
      </w:r>
      <w:r w:rsidRPr="002C5FD4">
        <w:rPr>
          <w:szCs w:val="26"/>
        </w:rPr>
        <w:t xml:space="preserve">. São Paulo, Atlas, 2015. </w:t>
      </w:r>
    </w:p>
    <w:p w:rsidR="002C5FD4" w:rsidRPr="002C5FD4" w:rsidRDefault="002C5FD4" w:rsidP="00AE3602">
      <w:pPr>
        <w:ind w:firstLine="0"/>
        <w:rPr>
          <w:szCs w:val="26"/>
        </w:rPr>
      </w:pPr>
      <w:r w:rsidRPr="002C5FD4">
        <w:rPr>
          <w:szCs w:val="26"/>
        </w:rPr>
        <w:t xml:space="preserve">LANZANA, Ana Paula. </w:t>
      </w:r>
      <w:r w:rsidRPr="002C5FD4">
        <w:rPr>
          <w:b/>
          <w:iCs/>
          <w:szCs w:val="26"/>
        </w:rPr>
        <w:t xml:space="preserve">Relação entre disclosure e governança corporativa das empresas </w:t>
      </w:r>
      <w:r w:rsidRPr="002C5FD4">
        <w:rPr>
          <w:b/>
          <w:iCs/>
          <w:szCs w:val="26"/>
        </w:rPr>
        <w:lastRenderedPageBreak/>
        <w:t>brasileiras</w:t>
      </w:r>
      <w:r w:rsidRPr="002C5FD4">
        <w:rPr>
          <w:b/>
          <w:szCs w:val="26"/>
        </w:rPr>
        <w:t>.</w:t>
      </w:r>
      <w:r w:rsidRPr="002C5FD4">
        <w:rPr>
          <w:szCs w:val="26"/>
        </w:rPr>
        <w:t xml:space="preserve"> 2004. P. 165. Dissertação de Mestrado – Faculdade de Economia, Administração e Contabilidade, Universidade de São Paulo, São Paulo.</w:t>
      </w:r>
    </w:p>
    <w:p w:rsidR="002C5FD4" w:rsidRPr="002C5FD4" w:rsidRDefault="002C5FD4" w:rsidP="00AE3602">
      <w:pPr>
        <w:ind w:firstLine="0"/>
        <w:rPr>
          <w:szCs w:val="26"/>
        </w:rPr>
      </w:pPr>
      <w:r w:rsidRPr="002C5FD4">
        <w:rPr>
          <w:szCs w:val="26"/>
        </w:rPr>
        <w:t>MARION, José Carlos. </w:t>
      </w:r>
      <w:r w:rsidRPr="002C5FD4">
        <w:rPr>
          <w:b/>
          <w:iCs/>
          <w:szCs w:val="26"/>
        </w:rPr>
        <w:t>Análise das demonstrações contábeis</w:t>
      </w:r>
      <w:r w:rsidRPr="002C5FD4">
        <w:rPr>
          <w:iCs/>
          <w:szCs w:val="26"/>
        </w:rPr>
        <w:t>: contabilidade empresarial, 7. ed</w:t>
      </w:r>
      <w:r w:rsidRPr="002C5FD4">
        <w:rPr>
          <w:szCs w:val="26"/>
        </w:rPr>
        <w:t>. Atlas, 2013.</w:t>
      </w:r>
    </w:p>
    <w:p w:rsidR="002C5FD4" w:rsidRPr="002C5FD4" w:rsidRDefault="002C5FD4" w:rsidP="00AE3602">
      <w:pPr>
        <w:ind w:firstLine="0"/>
        <w:rPr>
          <w:szCs w:val="26"/>
        </w:rPr>
      </w:pPr>
      <w:r w:rsidRPr="002C5FD4">
        <w:rPr>
          <w:szCs w:val="26"/>
        </w:rPr>
        <w:t xml:space="preserve">MANTOVANI, Erick Fernandes Vieira; SANTOS, Fernando de Almeida. A contabilização do ativo intangível nas 522 empresas listadas na BM&amp;FBOVESPA. </w:t>
      </w:r>
      <w:r w:rsidRPr="002C5FD4">
        <w:rPr>
          <w:b/>
          <w:szCs w:val="26"/>
        </w:rPr>
        <w:t>Revista de Administração e Inovação</w:t>
      </w:r>
      <w:r w:rsidRPr="002C5FD4">
        <w:rPr>
          <w:szCs w:val="26"/>
        </w:rPr>
        <w:t>, v.11, n.3, p.311-328, 2014.</w:t>
      </w:r>
    </w:p>
    <w:p w:rsidR="002C5FD4" w:rsidRPr="002C5FD4" w:rsidRDefault="002C5FD4" w:rsidP="00AE3602">
      <w:pPr>
        <w:ind w:firstLine="0"/>
        <w:rPr>
          <w:szCs w:val="26"/>
        </w:rPr>
      </w:pPr>
      <w:r w:rsidRPr="002C5FD4">
        <w:rPr>
          <w:szCs w:val="26"/>
        </w:rPr>
        <w:t>MARQUES, José Augusto Veiga da Costa; SANTOS, Ronaldo Francisco dos; GOUVEIA, Verônica Andréa Lima.</w:t>
      </w:r>
    </w:p>
    <w:p w:rsidR="002C5FD4" w:rsidRPr="002C5FD4" w:rsidRDefault="002C5FD4" w:rsidP="00AE3602">
      <w:pPr>
        <w:ind w:firstLine="0"/>
        <w:rPr>
          <w:szCs w:val="26"/>
        </w:rPr>
      </w:pPr>
      <w:r w:rsidRPr="002C5FD4">
        <w:rPr>
          <w:szCs w:val="26"/>
        </w:rPr>
        <w:t>MARTINS, Eliseu, GELBCKE, Ernesto Rubens, SANTOS, Ariovaldo dos, IUDÍCUBUS, Sérgio de</w:t>
      </w:r>
      <w:r w:rsidRPr="002C5FD4">
        <w:rPr>
          <w:b/>
          <w:szCs w:val="26"/>
        </w:rPr>
        <w:t xml:space="preserve">. </w:t>
      </w:r>
      <w:r w:rsidRPr="002C5FD4">
        <w:rPr>
          <w:b/>
          <w:bCs/>
          <w:szCs w:val="26"/>
        </w:rPr>
        <w:t xml:space="preserve">Manual de contabilidade societária: </w:t>
      </w:r>
      <w:r w:rsidRPr="002C5FD4">
        <w:rPr>
          <w:szCs w:val="26"/>
        </w:rPr>
        <w:t>aplicável a todas as sociedades de acordo com as normas internacionais e do CPC. 2. ed. São Paulo, Atlas, 2013.</w:t>
      </w:r>
    </w:p>
    <w:p w:rsidR="002C5FD4" w:rsidRPr="002C5FD4" w:rsidRDefault="002C5FD4" w:rsidP="00AE3602">
      <w:pPr>
        <w:ind w:firstLine="0"/>
        <w:rPr>
          <w:szCs w:val="26"/>
        </w:rPr>
      </w:pPr>
      <w:r w:rsidRPr="002C5FD4">
        <w:rPr>
          <w:szCs w:val="26"/>
        </w:rPr>
        <w:t xml:space="preserve">NAKAYAMA, Wilson Kazumi; SALOTTI, Bruno Meirelles. Fatores determinantes do nível de divulgação de informações sobre combinações de negócios com a entrada em vigor do pronunciamento técnico CPC 15. </w:t>
      </w:r>
      <w:r w:rsidRPr="002C5FD4">
        <w:rPr>
          <w:b/>
          <w:szCs w:val="26"/>
        </w:rPr>
        <w:t>Revista de Contabilidade &amp; Finanças</w:t>
      </w:r>
      <w:r w:rsidRPr="002C5FD4">
        <w:rPr>
          <w:szCs w:val="26"/>
        </w:rPr>
        <w:t>, v.25, n. 66, p. 267-280, 2014.</w:t>
      </w:r>
    </w:p>
    <w:p w:rsidR="002C5FD4" w:rsidRPr="002C5FD4" w:rsidRDefault="002C5FD4" w:rsidP="00AE3602">
      <w:pPr>
        <w:ind w:firstLine="0"/>
        <w:rPr>
          <w:szCs w:val="26"/>
        </w:rPr>
      </w:pPr>
      <w:r w:rsidRPr="002C5FD4">
        <w:rPr>
          <w:szCs w:val="26"/>
        </w:rPr>
        <w:t>NEVES, Silvério das. </w:t>
      </w:r>
      <w:r w:rsidRPr="002C5FD4">
        <w:rPr>
          <w:b/>
          <w:iCs/>
          <w:szCs w:val="26"/>
        </w:rPr>
        <w:t>Contabilidade avançada e análises das demonstrações financeiras</w:t>
      </w:r>
      <w:r w:rsidRPr="002C5FD4">
        <w:rPr>
          <w:iCs/>
          <w:szCs w:val="26"/>
        </w:rPr>
        <w:t>. 16. ed</w:t>
      </w:r>
      <w:r w:rsidRPr="002C5FD4">
        <w:rPr>
          <w:szCs w:val="26"/>
        </w:rPr>
        <w:t>. Saraiva, 2011.</w:t>
      </w:r>
    </w:p>
    <w:p w:rsidR="002C5FD4" w:rsidRPr="002C5FD4" w:rsidRDefault="002C5FD4" w:rsidP="00AE3602">
      <w:pPr>
        <w:ind w:firstLine="0"/>
        <w:rPr>
          <w:szCs w:val="26"/>
        </w:rPr>
      </w:pPr>
      <w:r w:rsidRPr="002C5FD4">
        <w:rPr>
          <w:szCs w:val="26"/>
        </w:rPr>
        <w:t xml:space="preserve">RICHARDSON, Roberto Jarry. </w:t>
      </w:r>
      <w:r w:rsidRPr="002C5FD4">
        <w:rPr>
          <w:b/>
          <w:szCs w:val="26"/>
        </w:rPr>
        <w:t>Pesquisa social</w:t>
      </w:r>
      <w:r w:rsidRPr="002C5FD4">
        <w:rPr>
          <w:szCs w:val="26"/>
        </w:rPr>
        <w:t>: métodos e técnicas. 3. ed. São Paulo, Atlas, 1999.</w:t>
      </w:r>
    </w:p>
    <w:p w:rsidR="002C5FD4" w:rsidRPr="002C5FD4" w:rsidRDefault="002C5FD4" w:rsidP="00AE3602">
      <w:pPr>
        <w:ind w:firstLine="0"/>
        <w:rPr>
          <w:szCs w:val="26"/>
        </w:rPr>
      </w:pPr>
      <w:r w:rsidRPr="002C5FD4">
        <w:rPr>
          <w:szCs w:val="26"/>
        </w:rPr>
        <w:t xml:space="preserve">SOUZA, Maíra Melo. </w:t>
      </w:r>
      <w:r w:rsidRPr="002C5FD4">
        <w:rPr>
          <w:b/>
          <w:bCs/>
          <w:szCs w:val="26"/>
        </w:rPr>
        <w:t xml:space="preserve">Value relevance do nível de disclosure das combinações de negócios e do </w:t>
      </w:r>
      <w:r w:rsidRPr="002C5FD4">
        <w:rPr>
          <w:b/>
          <w:bCs/>
          <w:i/>
          <w:szCs w:val="26"/>
        </w:rPr>
        <w:t>goodwill</w:t>
      </w:r>
      <w:r w:rsidRPr="002C5FD4">
        <w:rPr>
          <w:b/>
          <w:bCs/>
          <w:szCs w:val="26"/>
        </w:rPr>
        <w:t xml:space="preserve"> reconhecido nas empresas brasileiras. </w:t>
      </w:r>
      <w:r w:rsidRPr="002C5FD4">
        <w:rPr>
          <w:szCs w:val="26"/>
        </w:rPr>
        <w:t>2015. 183p. Tese (Doutorado) – Universidade Federal de Santa Catarina. Programa de Pós-Graduação em Administração, Florianópolis, 2015.</w:t>
      </w:r>
    </w:p>
    <w:p w:rsidR="002C5FD4" w:rsidRPr="002C5FD4" w:rsidRDefault="002C5FD4" w:rsidP="00AE3602">
      <w:pPr>
        <w:ind w:firstLine="0"/>
        <w:rPr>
          <w:szCs w:val="26"/>
        </w:rPr>
      </w:pPr>
      <w:r w:rsidRPr="002C5FD4">
        <w:rPr>
          <w:szCs w:val="26"/>
        </w:rPr>
        <w:t>SCHMIDT, Paulo, SANTOS, José dos.  </w:t>
      </w:r>
      <w:r w:rsidRPr="002C5FD4">
        <w:rPr>
          <w:b/>
          <w:iCs/>
          <w:szCs w:val="26"/>
        </w:rPr>
        <w:t>Avaliação de ativos intangíveis</w:t>
      </w:r>
      <w:r w:rsidRPr="002C5FD4">
        <w:rPr>
          <w:iCs/>
          <w:szCs w:val="26"/>
        </w:rPr>
        <w:t>. 2. ed</w:t>
      </w:r>
      <w:r w:rsidRPr="002C5FD4">
        <w:rPr>
          <w:szCs w:val="26"/>
        </w:rPr>
        <w:t xml:space="preserve">. Atlas, 2009. </w:t>
      </w:r>
    </w:p>
    <w:p w:rsidR="002C5FD4" w:rsidRPr="002C5FD4" w:rsidRDefault="002C5FD4" w:rsidP="00AE3602">
      <w:pPr>
        <w:ind w:firstLine="0"/>
        <w:rPr>
          <w:szCs w:val="26"/>
        </w:rPr>
      </w:pPr>
      <w:r w:rsidRPr="002C5FD4">
        <w:rPr>
          <w:szCs w:val="26"/>
        </w:rPr>
        <w:t>SCHMIDT, Paulo, SANTOS, José dos, FERNANDES, Alves. </w:t>
      </w:r>
      <w:r w:rsidRPr="002C5FD4">
        <w:rPr>
          <w:b/>
          <w:iCs/>
          <w:szCs w:val="26"/>
        </w:rPr>
        <w:t>Contabilidade avançada: aspectos societários e tributários</w:t>
      </w:r>
      <w:r w:rsidRPr="002C5FD4">
        <w:rPr>
          <w:iCs/>
          <w:szCs w:val="26"/>
        </w:rPr>
        <w:t>. 3. ed</w:t>
      </w:r>
      <w:r w:rsidRPr="002C5FD4">
        <w:rPr>
          <w:szCs w:val="26"/>
        </w:rPr>
        <w:t xml:space="preserve">. Atlas, 2012. </w:t>
      </w:r>
    </w:p>
    <w:p w:rsidR="002C5FD4" w:rsidRPr="002C5FD4" w:rsidRDefault="002C5FD4" w:rsidP="00AE3602">
      <w:pPr>
        <w:ind w:firstLine="0"/>
        <w:rPr>
          <w:szCs w:val="26"/>
        </w:rPr>
      </w:pPr>
      <w:r w:rsidRPr="002C5FD4">
        <w:rPr>
          <w:szCs w:val="26"/>
        </w:rPr>
        <w:t xml:space="preserve">TEIXEIRA, Juliana Pauli, PETRI, Sergio Murilo, MARQUES, Tatiane de Oliveira. O valor da marca como um ativo intangível: um estudo de caso da Weg S.A.. </w:t>
      </w:r>
      <w:r w:rsidRPr="002C5FD4">
        <w:rPr>
          <w:b/>
          <w:szCs w:val="26"/>
        </w:rPr>
        <w:t>Revista de Contabilidade do Mestrado em Ciências Contábeis da UERJ (online)</w:t>
      </w:r>
      <w:r w:rsidRPr="002C5FD4">
        <w:rPr>
          <w:szCs w:val="26"/>
        </w:rPr>
        <w:t>, v. 17, n.2, p. 45 - p. 67, 2012.</w:t>
      </w:r>
    </w:p>
    <w:p w:rsidR="002C5FD4" w:rsidRPr="002C5FD4" w:rsidRDefault="002C5FD4" w:rsidP="00AE3602">
      <w:pPr>
        <w:ind w:firstLine="0"/>
        <w:rPr>
          <w:szCs w:val="26"/>
        </w:rPr>
      </w:pPr>
      <w:r w:rsidRPr="002C5FD4">
        <w:rPr>
          <w:szCs w:val="26"/>
        </w:rPr>
        <w:t xml:space="preserve">TONERA, </w:t>
      </w:r>
      <w:r w:rsidRPr="002C5FD4">
        <w:rPr>
          <w:bCs/>
          <w:szCs w:val="26"/>
        </w:rPr>
        <w:t>Victor, SOUZA, Maíra melo. Análise da evidenciação e do desempenho pós-combinação de negócios das duas maiores empresas do setor aéreo brasileiro. In: CONGRESSO DE CONTABILIDADE, 2015, Florianópolis</w:t>
      </w:r>
      <w:r w:rsidRPr="002C5FD4">
        <w:rPr>
          <w:b/>
          <w:bCs/>
          <w:szCs w:val="26"/>
        </w:rPr>
        <w:t>. 6º Congresso de UFSC de Controladoria e Finanças, 6º Congresso de UFSC de Iniciação Científica em Contabilidade, 9º Congresso IBEROAMERICANO de Contabilidad e Gestión</w:t>
      </w:r>
      <w:r w:rsidRPr="002C5FD4">
        <w:rPr>
          <w:bCs/>
          <w:szCs w:val="26"/>
        </w:rPr>
        <w:t xml:space="preserve">. Florianópolis. p. 01-19. </w:t>
      </w:r>
    </w:p>
    <w:p w:rsidR="00EC6EDB" w:rsidRPr="00EC6EDB" w:rsidRDefault="002C5FD4" w:rsidP="00AE3602">
      <w:pPr>
        <w:ind w:firstLine="0"/>
      </w:pPr>
      <w:r w:rsidRPr="002C5FD4">
        <w:rPr>
          <w:szCs w:val="26"/>
        </w:rPr>
        <w:t xml:space="preserve">WATANABE, Sérgio, FERREIRA; Marcio Martins, JÚNIOR; Nilson Gianoto, SZUSTER, Natan. Evidenciação contábil comparativa entre Brasil e EUA das práticas contábeis realizadas na operação de combinação de negócios em uma empresa do setor de papel e celulose. </w:t>
      </w:r>
      <w:r w:rsidRPr="002C5FD4">
        <w:rPr>
          <w:b/>
          <w:bCs/>
          <w:szCs w:val="26"/>
        </w:rPr>
        <w:t>Pensar Contábil</w:t>
      </w:r>
      <w:r w:rsidRPr="002C5FD4">
        <w:rPr>
          <w:szCs w:val="26"/>
        </w:rPr>
        <w:t>, v.8, n.34, v. p. 01-16, 2006.</w:t>
      </w:r>
    </w:p>
    <w:sectPr w:rsidR="00EC6EDB" w:rsidRPr="00EC6EDB" w:rsidSect="004251EF">
      <w:pgSz w:w="12240" w:h="15840" w:code="119"/>
      <w:pgMar w:top="1701" w:right="1134" w:bottom="1134" w:left="1701" w:header="142" w:footer="11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58C" w:rsidRDefault="0001158C" w:rsidP="005840EF">
      <w:r>
        <w:separator/>
      </w:r>
    </w:p>
  </w:endnote>
  <w:endnote w:type="continuationSeparator" w:id="0">
    <w:p w:rsidR="0001158C" w:rsidRDefault="0001158C" w:rsidP="00584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8C" w:rsidRPr="00F05FBB" w:rsidRDefault="00481B8C"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607C76">
      <w:rPr>
        <w:noProof/>
        <w:sz w:val="20"/>
      </w:rPr>
      <w:t>2</w:t>
    </w:r>
    <w:r w:rsidRPr="00F05FBB">
      <w:rPr>
        <w:sz w:val="20"/>
      </w:rPr>
      <w:fldChar w:fldCharType="end"/>
    </w:r>
  </w:p>
  <w:p w:rsidR="00481B8C" w:rsidRPr="00862FD2" w:rsidRDefault="00607C76" w:rsidP="00A80641">
    <w:pPr>
      <w:pStyle w:val="Rodap"/>
      <w:ind w:firstLine="0"/>
    </w:pPr>
    <w:r>
      <w:rPr>
        <w:noProof/>
        <w:sz w:val="20"/>
        <w:lang w:val="pt-BR" w:eastAsia="pt-BR"/>
      </w:rPr>
      <w:drawing>
        <wp:inline distT="0" distB="0" distL="0" distR="0">
          <wp:extent cx="5619750" cy="1238250"/>
          <wp:effectExtent l="1905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srcRect b="9723"/>
                  <a:stretch>
                    <a:fillRect/>
                  </a:stretch>
                </pic:blipFill>
                <pic:spPr bwMode="auto">
                  <a:xfrm>
                    <a:off x="0" y="0"/>
                    <a:ext cx="5619750" cy="123825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58C" w:rsidRDefault="0001158C" w:rsidP="005840EF">
      <w:r>
        <w:separator/>
      </w:r>
    </w:p>
  </w:footnote>
  <w:footnote w:type="continuationSeparator" w:id="0">
    <w:p w:rsidR="0001158C" w:rsidRDefault="0001158C" w:rsidP="0058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8C" w:rsidRPr="004251EF" w:rsidRDefault="00481B8C" w:rsidP="00A80641">
    <w:pPr>
      <w:pStyle w:val="Cabealho"/>
      <w:ind w:firstLine="0"/>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251657728" o:connectortype="straight">
          <v:shadow type="perspective" color="#7f7f7f" opacity=".5" offset="1pt" offset2="-1pt"/>
        </v:shape>
      </w:pict>
    </w:r>
    <w:r w:rsidR="00607C76">
      <w:rPr>
        <w:noProof/>
      </w:rPr>
      <w:drawing>
        <wp:inline distT="0" distB="0" distL="0" distR="0">
          <wp:extent cx="5962650" cy="1609725"/>
          <wp:effectExtent l="1905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srcRect/>
                  <a:stretch>
                    <a:fillRect/>
                  </a:stretch>
                </pic:blipFill>
                <pic:spPr bwMode="auto">
                  <a:xfrm>
                    <a:off x="0" y="0"/>
                    <a:ext cx="5962650" cy="16097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1836"/>
    <w:multiLevelType w:val="hybridMultilevel"/>
    <w:tmpl w:val="192895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6F15104"/>
    <w:multiLevelType w:val="multilevel"/>
    <w:tmpl w:val="53F6651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B931AA3"/>
    <w:multiLevelType w:val="hybridMultilevel"/>
    <w:tmpl w:val="0CDA6822"/>
    <w:lvl w:ilvl="0" w:tplc="C380BF8C">
      <w:start w:val="1"/>
      <w:numFmt w:val="lowerRoman"/>
      <w:lvlText w:val="(%1)"/>
      <w:lvlJc w:val="left"/>
      <w:pPr>
        <w:ind w:left="1428" w:hanging="720"/>
      </w:pPr>
      <w:rPr>
        <w:rFonts w:ascii="TimesNewRomanPSMT" w:hAnsi="TimesNewRomanPSMT" w:cs="TimesNewRomanPSMT"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1CDF4002"/>
    <w:multiLevelType w:val="multilevel"/>
    <w:tmpl w:val="BBF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41F3590A"/>
    <w:multiLevelType w:val="hybridMultilevel"/>
    <w:tmpl w:val="305E0C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8"/>
  </w:num>
  <w:num w:numId="4">
    <w:abstractNumId w:val="11"/>
  </w:num>
  <w:num w:numId="5">
    <w:abstractNumId w:val="6"/>
  </w:num>
  <w:num w:numId="6">
    <w:abstractNumId w:val="2"/>
  </w:num>
  <w:num w:numId="7">
    <w:abstractNumId w:val="1"/>
  </w:num>
  <w:num w:numId="8">
    <w:abstractNumId w:val="3"/>
  </w:num>
  <w:num w:numId="9">
    <w:abstractNumId w:val="3"/>
  </w:num>
  <w:num w:numId="10">
    <w:abstractNumId w:val="9"/>
  </w:num>
  <w:num w:numId="11">
    <w:abstractNumId w:val="4"/>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rsids>
    <w:rsidRoot w:val="006D340F"/>
    <w:rsid w:val="000011A2"/>
    <w:rsid w:val="0001158C"/>
    <w:rsid w:val="00021054"/>
    <w:rsid w:val="0006261D"/>
    <w:rsid w:val="000720BF"/>
    <w:rsid w:val="000F0530"/>
    <w:rsid w:val="001457BE"/>
    <w:rsid w:val="0020354A"/>
    <w:rsid w:val="002056D7"/>
    <w:rsid w:val="00244401"/>
    <w:rsid w:val="00244C0A"/>
    <w:rsid w:val="00263CEF"/>
    <w:rsid w:val="002826C0"/>
    <w:rsid w:val="002B78FC"/>
    <w:rsid w:val="002C5FD4"/>
    <w:rsid w:val="002C7235"/>
    <w:rsid w:val="002E2FED"/>
    <w:rsid w:val="00303C6F"/>
    <w:rsid w:val="00363839"/>
    <w:rsid w:val="00371DFF"/>
    <w:rsid w:val="003923C3"/>
    <w:rsid w:val="00395244"/>
    <w:rsid w:val="003A3639"/>
    <w:rsid w:val="00406C08"/>
    <w:rsid w:val="00423365"/>
    <w:rsid w:val="004251EF"/>
    <w:rsid w:val="00472EE1"/>
    <w:rsid w:val="00481B8C"/>
    <w:rsid w:val="0048579A"/>
    <w:rsid w:val="0049262F"/>
    <w:rsid w:val="00516A9E"/>
    <w:rsid w:val="005220F0"/>
    <w:rsid w:val="00523BAB"/>
    <w:rsid w:val="00531A76"/>
    <w:rsid w:val="0055088A"/>
    <w:rsid w:val="005840EF"/>
    <w:rsid w:val="005D0785"/>
    <w:rsid w:val="005D711E"/>
    <w:rsid w:val="00606F36"/>
    <w:rsid w:val="00607C76"/>
    <w:rsid w:val="00670CFF"/>
    <w:rsid w:val="006750E6"/>
    <w:rsid w:val="00682E1C"/>
    <w:rsid w:val="00683BE5"/>
    <w:rsid w:val="00696581"/>
    <w:rsid w:val="006C284A"/>
    <w:rsid w:val="006D02CA"/>
    <w:rsid w:val="006D340F"/>
    <w:rsid w:val="00710D8D"/>
    <w:rsid w:val="00714245"/>
    <w:rsid w:val="00726906"/>
    <w:rsid w:val="0073139D"/>
    <w:rsid w:val="007B52F6"/>
    <w:rsid w:val="007C0C2C"/>
    <w:rsid w:val="007D1284"/>
    <w:rsid w:val="007F1447"/>
    <w:rsid w:val="007F6143"/>
    <w:rsid w:val="00862FD2"/>
    <w:rsid w:val="00865A23"/>
    <w:rsid w:val="00866591"/>
    <w:rsid w:val="008902BE"/>
    <w:rsid w:val="008B21BE"/>
    <w:rsid w:val="008E1A41"/>
    <w:rsid w:val="008F1B7C"/>
    <w:rsid w:val="008F67F7"/>
    <w:rsid w:val="00910737"/>
    <w:rsid w:val="009162A9"/>
    <w:rsid w:val="0092413C"/>
    <w:rsid w:val="00943459"/>
    <w:rsid w:val="00952306"/>
    <w:rsid w:val="009724D8"/>
    <w:rsid w:val="009976D2"/>
    <w:rsid w:val="009B11E7"/>
    <w:rsid w:val="009B3488"/>
    <w:rsid w:val="009C7DFA"/>
    <w:rsid w:val="009D68AF"/>
    <w:rsid w:val="00A01395"/>
    <w:rsid w:val="00A16D53"/>
    <w:rsid w:val="00A30F79"/>
    <w:rsid w:val="00A80641"/>
    <w:rsid w:val="00AB5527"/>
    <w:rsid w:val="00AC7E25"/>
    <w:rsid w:val="00AE3602"/>
    <w:rsid w:val="00B07A04"/>
    <w:rsid w:val="00B12485"/>
    <w:rsid w:val="00B169EE"/>
    <w:rsid w:val="00B25FFE"/>
    <w:rsid w:val="00B801AB"/>
    <w:rsid w:val="00C01F1F"/>
    <w:rsid w:val="00C05A91"/>
    <w:rsid w:val="00C06625"/>
    <w:rsid w:val="00C22A7A"/>
    <w:rsid w:val="00C671EC"/>
    <w:rsid w:val="00C7513F"/>
    <w:rsid w:val="00C84F71"/>
    <w:rsid w:val="00CF0D35"/>
    <w:rsid w:val="00D2342D"/>
    <w:rsid w:val="00D46DEC"/>
    <w:rsid w:val="00D508CB"/>
    <w:rsid w:val="00D86B5F"/>
    <w:rsid w:val="00D94E67"/>
    <w:rsid w:val="00DA5E5B"/>
    <w:rsid w:val="00DB058D"/>
    <w:rsid w:val="00DE1E14"/>
    <w:rsid w:val="00DE631D"/>
    <w:rsid w:val="00DE75F7"/>
    <w:rsid w:val="00E1786F"/>
    <w:rsid w:val="00E24E18"/>
    <w:rsid w:val="00E43E24"/>
    <w:rsid w:val="00E94A5E"/>
    <w:rsid w:val="00EC6EDB"/>
    <w:rsid w:val="00ED6578"/>
    <w:rsid w:val="00EE6297"/>
    <w:rsid w:val="00EF213A"/>
    <w:rsid w:val="00F05FBB"/>
    <w:rsid w:val="00F70D09"/>
    <w:rsid w:val="00FC1C7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rPr>
  </w:style>
  <w:style w:type="paragraph" w:styleId="Ttulo2">
    <w:name w:val="heading 2"/>
    <w:basedOn w:val="Normal"/>
    <w:next w:val="Normal"/>
    <w:link w:val="Ttulo2Char"/>
    <w:uiPriority w:val="9"/>
    <w:qFormat/>
    <w:rsid w:val="002056D7"/>
    <w:pPr>
      <w:keepNext/>
      <w:numPr>
        <w:ilvl w:val="1"/>
        <w:numId w:val="8"/>
      </w:numPr>
      <w:outlineLvl w:val="1"/>
    </w:pPr>
    <w:rPr>
      <w:caps/>
      <w:lang/>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2C5FD4"/>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 w:type="paragraph" w:customStyle="1" w:styleId="Default">
    <w:name w:val="Default"/>
    <w:rsid w:val="002C5FD4"/>
    <w:pPr>
      <w:autoSpaceDE w:val="0"/>
      <w:autoSpaceDN w:val="0"/>
      <w:adjustRightInd w:val="0"/>
    </w:pPr>
    <w:rPr>
      <w:rFonts w:eastAsia="Calibri"/>
      <w:color w:val="000000"/>
      <w:sz w:val="24"/>
      <w:szCs w:val="24"/>
      <w:lang w:eastAsia="en-US"/>
    </w:rPr>
  </w:style>
  <w:style w:type="character" w:styleId="nfase">
    <w:name w:val="Emphasis"/>
    <w:basedOn w:val="Fontepargpadro"/>
    <w:uiPriority w:val="20"/>
    <w:qFormat/>
    <w:rsid w:val="002C5FD4"/>
    <w:rPr>
      <w:i/>
      <w:iCs/>
    </w:rPr>
  </w:style>
</w:styles>
</file>

<file path=word/webSettings.xml><?xml version="1.0" encoding="utf-8"?>
<w:webSettings xmlns:r="http://schemas.openxmlformats.org/officeDocument/2006/relationships" xmlns:w="http://schemas.openxmlformats.org/wordprocessingml/2006/main">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59634-3709-4DE4-BB09-2546C853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7222</Words>
  <Characters>39005</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Juliana</cp:lastModifiedBy>
  <cp:revision>2</cp:revision>
  <cp:lastPrinted>2016-08-30T16:57:00Z</cp:lastPrinted>
  <dcterms:created xsi:type="dcterms:W3CDTF">2016-09-08T16:48:00Z</dcterms:created>
  <dcterms:modified xsi:type="dcterms:W3CDTF">2016-09-08T16:48:00Z</dcterms:modified>
</cp:coreProperties>
</file>