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641" w:rsidRPr="00D87F6E" w:rsidRDefault="00A80641" w:rsidP="00F4595F">
      <w:pPr>
        <w:jc w:val="center"/>
        <w:rPr>
          <w:b/>
        </w:rPr>
      </w:pPr>
    </w:p>
    <w:p w:rsidR="008B7397" w:rsidRPr="00D87F6E" w:rsidRDefault="008B7397" w:rsidP="00080401">
      <w:pPr>
        <w:jc w:val="center"/>
        <w:rPr>
          <w:b/>
          <w:i/>
          <w:szCs w:val="24"/>
        </w:rPr>
      </w:pPr>
      <w:r w:rsidRPr="00D87F6E">
        <w:rPr>
          <w:b/>
          <w:szCs w:val="24"/>
        </w:rPr>
        <w:t xml:space="preserve">EXPLICAÇÕES PARA O RECONHECIMENTO DAS PERDAS POR </w:t>
      </w:r>
      <w:r w:rsidRPr="00D87F6E">
        <w:rPr>
          <w:b/>
          <w:i/>
          <w:szCs w:val="24"/>
        </w:rPr>
        <w:t>IMPAIRMENT</w:t>
      </w:r>
      <w:r w:rsidRPr="00D87F6E">
        <w:rPr>
          <w:b/>
          <w:szCs w:val="24"/>
        </w:rPr>
        <w:t xml:space="preserve"> DO </w:t>
      </w:r>
      <w:r w:rsidRPr="00D87F6E">
        <w:rPr>
          <w:b/>
          <w:i/>
          <w:szCs w:val="24"/>
        </w:rPr>
        <w:t>GOODWILL</w:t>
      </w:r>
    </w:p>
    <w:p w:rsidR="002826C0" w:rsidRPr="00D87F6E" w:rsidRDefault="002826C0" w:rsidP="00080401">
      <w:pPr>
        <w:jc w:val="center"/>
      </w:pPr>
    </w:p>
    <w:p w:rsidR="002826C0" w:rsidRPr="00D87F6E" w:rsidRDefault="002826C0" w:rsidP="00080401"/>
    <w:p w:rsidR="008B7397" w:rsidRPr="00D87F6E" w:rsidRDefault="008B7397" w:rsidP="00080401">
      <w:pPr>
        <w:jc w:val="center"/>
        <w:rPr>
          <w:b/>
          <w:szCs w:val="24"/>
        </w:rPr>
      </w:pPr>
      <w:r w:rsidRPr="00D87F6E">
        <w:rPr>
          <w:b/>
          <w:szCs w:val="24"/>
        </w:rPr>
        <w:t>Tatiane Pacheco</w:t>
      </w:r>
    </w:p>
    <w:p w:rsidR="008B7397" w:rsidRPr="00D87F6E" w:rsidRDefault="008B7397" w:rsidP="00080401">
      <w:pPr>
        <w:jc w:val="center"/>
        <w:rPr>
          <w:szCs w:val="24"/>
        </w:rPr>
      </w:pPr>
      <w:r w:rsidRPr="00D87F6E">
        <w:rPr>
          <w:szCs w:val="24"/>
        </w:rPr>
        <w:t>Universidade Federal de Santa Catarina (UFSC)</w:t>
      </w:r>
    </w:p>
    <w:p w:rsidR="008B7397" w:rsidRPr="00D87F6E" w:rsidRDefault="008B7397" w:rsidP="00080401">
      <w:pPr>
        <w:jc w:val="center"/>
        <w:rPr>
          <w:i/>
          <w:szCs w:val="24"/>
        </w:rPr>
      </w:pPr>
      <w:r w:rsidRPr="00D87F6E">
        <w:rPr>
          <w:i/>
          <w:szCs w:val="24"/>
        </w:rPr>
        <w:t>tatianeepacheco@gmail.com</w:t>
      </w:r>
    </w:p>
    <w:p w:rsidR="002826C0" w:rsidRPr="00D87F6E" w:rsidRDefault="002826C0" w:rsidP="00080401">
      <w:pPr>
        <w:jc w:val="center"/>
        <w:rPr>
          <w:b/>
          <w:szCs w:val="24"/>
        </w:rPr>
      </w:pPr>
    </w:p>
    <w:p w:rsidR="008B7397" w:rsidRPr="00D87F6E" w:rsidRDefault="008B7397" w:rsidP="00080401">
      <w:pPr>
        <w:jc w:val="center"/>
        <w:rPr>
          <w:b/>
          <w:szCs w:val="24"/>
        </w:rPr>
      </w:pPr>
      <w:r w:rsidRPr="00D87F6E">
        <w:rPr>
          <w:b/>
          <w:szCs w:val="24"/>
        </w:rPr>
        <w:t>Suliani Rover</w:t>
      </w:r>
    </w:p>
    <w:p w:rsidR="008B7397" w:rsidRPr="00D87F6E" w:rsidRDefault="008B7397" w:rsidP="00080401">
      <w:pPr>
        <w:jc w:val="center"/>
        <w:rPr>
          <w:szCs w:val="24"/>
        </w:rPr>
      </w:pPr>
      <w:r w:rsidRPr="00D87F6E">
        <w:rPr>
          <w:szCs w:val="24"/>
        </w:rPr>
        <w:t>Universidade Federal de Santa Catarina (UFSC)</w:t>
      </w:r>
    </w:p>
    <w:p w:rsidR="008B7397" w:rsidRPr="00D87F6E" w:rsidRDefault="008B7397" w:rsidP="00080401">
      <w:pPr>
        <w:jc w:val="center"/>
        <w:rPr>
          <w:i/>
          <w:szCs w:val="24"/>
        </w:rPr>
      </w:pPr>
      <w:r w:rsidRPr="00D87F6E">
        <w:rPr>
          <w:i/>
          <w:szCs w:val="24"/>
        </w:rPr>
        <w:t>sulianirover@gmail.com</w:t>
      </w:r>
    </w:p>
    <w:p w:rsidR="002826C0" w:rsidRPr="00D87F6E" w:rsidRDefault="002826C0" w:rsidP="00080401">
      <w:pPr>
        <w:jc w:val="center"/>
        <w:rPr>
          <w:b/>
          <w:szCs w:val="24"/>
        </w:rPr>
      </w:pPr>
    </w:p>
    <w:p w:rsidR="008B7397" w:rsidRPr="00D87F6E" w:rsidRDefault="008B7397" w:rsidP="00080401">
      <w:pPr>
        <w:jc w:val="center"/>
        <w:rPr>
          <w:b/>
          <w:szCs w:val="24"/>
        </w:rPr>
      </w:pPr>
      <w:r w:rsidRPr="00D87F6E">
        <w:rPr>
          <w:b/>
          <w:szCs w:val="24"/>
        </w:rPr>
        <w:t>Mariana Campagnoni</w:t>
      </w:r>
    </w:p>
    <w:p w:rsidR="008B7397" w:rsidRPr="00D87F6E" w:rsidRDefault="008B7397" w:rsidP="00080401">
      <w:pPr>
        <w:jc w:val="center"/>
        <w:rPr>
          <w:szCs w:val="24"/>
        </w:rPr>
      </w:pPr>
      <w:r w:rsidRPr="00D87F6E">
        <w:rPr>
          <w:szCs w:val="24"/>
        </w:rPr>
        <w:t>Universidade Federal de Santa Catarina (UFSC)</w:t>
      </w:r>
    </w:p>
    <w:p w:rsidR="002826C0" w:rsidRPr="00D87F6E" w:rsidRDefault="00F4595F" w:rsidP="00080401">
      <w:pPr>
        <w:jc w:val="center"/>
        <w:rPr>
          <w:i/>
          <w:szCs w:val="24"/>
        </w:rPr>
      </w:pPr>
      <w:r w:rsidRPr="00D87F6E">
        <w:rPr>
          <w:i/>
          <w:szCs w:val="24"/>
        </w:rPr>
        <w:t>mari.campa@</w:t>
      </w:r>
      <w:r w:rsidR="008B7397" w:rsidRPr="00D87F6E">
        <w:rPr>
          <w:i/>
          <w:szCs w:val="24"/>
        </w:rPr>
        <w:t>yahoo.com.br</w:t>
      </w:r>
    </w:p>
    <w:p w:rsidR="002826C0" w:rsidRPr="00D87F6E" w:rsidRDefault="002826C0" w:rsidP="00080401">
      <w:pPr>
        <w:jc w:val="center"/>
        <w:rPr>
          <w:b/>
        </w:rPr>
      </w:pPr>
    </w:p>
    <w:p w:rsidR="002826C0" w:rsidRPr="00D87F6E" w:rsidRDefault="002826C0" w:rsidP="00080401">
      <w:pPr>
        <w:ind w:firstLine="0"/>
        <w:rPr>
          <w:b/>
          <w:szCs w:val="24"/>
        </w:rPr>
      </w:pPr>
      <w:r w:rsidRPr="00D87F6E">
        <w:rPr>
          <w:b/>
          <w:szCs w:val="24"/>
        </w:rPr>
        <w:t xml:space="preserve">Resumo </w:t>
      </w:r>
    </w:p>
    <w:p w:rsidR="002826C0" w:rsidRPr="00D87F6E" w:rsidRDefault="00195364" w:rsidP="00080401">
      <w:pPr>
        <w:ind w:firstLine="0"/>
      </w:pPr>
      <w:r w:rsidRPr="00D87F6E">
        <w:t>Este estudo objetivou identificar as explicações para o reconhecimento das perdas por</w:t>
      </w:r>
      <w:r w:rsidRPr="00D87F6E">
        <w:rPr>
          <w:i/>
        </w:rPr>
        <w:t xml:space="preserve"> impairment</w:t>
      </w:r>
      <w:r w:rsidRPr="00D87F6E">
        <w:t xml:space="preserve"> do </w:t>
      </w:r>
      <w:r w:rsidRPr="00D87F6E">
        <w:rPr>
          <w:i/>
        </w:rPr>
        <w:t>goodwill</w:t>
      </w:r>
      <w:r w:rsidRPr="00D87F6E">
        <w:t xml:space="preserve">, resultante de combinações de negócios, nas empresas listadas na Bolsa de Valores, Mercadorias e Futuros de São Paulo (BM&amp;FBOVESPA) em 2015. A pesquisa caracteriza-se como descritiva, documental e quantitativa, e sua amostra foi composta por 102 companhias nas quais foram identificados saldos de </w:t>
      </w:r>
      <w:r w:rsidRPr="00D87F6E">
        <w:rPr>
          <w:i/>
        </w:rPr>
        <w:t>goodwill</w:t>
      </w:r>
      <w:r w:rsidRPr="00D87F6E">
        <w:t xml:space="preserve"> resultantes de combinações de negócios. Os dados foram coletados das Demonstrações Financeiras Padronizadas (DFPs) e do banco de dados Economática</w:t>
      </w:r>
      <w:r w:rsidRPr="00D87F6E">
        <w:rPr>
          <w:vertAlign w:val="superscript"/>
        </w:rPr>
        <w:t>®</w:t>
      </w:r>
      <w:r w:rsidRPr="00D87F6E">
        <w:t xml:space="preserve">. De modo similar ao estudo de Klann </w:t>
      </w:r>
      <w:r w:rsidRPr="00D87F6E">
        <w:rPr>
          <w:i/>
        </w:rPr>
        <w:t>et al.</w:t>
      </w:r>
      <w:r w:rsidRPr="00D87F6E">
        <w:t xml:space="preserve"> (2015), analisou-se quais fatores se relacionam com o reconhecimento das perdas por </w:t>
      </w:r>
      <w:r w:rsidRPr="00D87F6E">
        <w:rPr>
          <w:i/>
        </w:rPr>
        <w:t>impairment</w:t>
      </w:r>
      <w:r w:rsidRPr="00D87F6E">
        <w:t xml:space="preserve"> do </w:t>
      </w:r>
      <w:r w:rsidRPr="00D87F6E">
        <w:rPr>
          <w:i/>
        </w:rPr>
        <w:t>goodwill</w:t>
      </w:r>
      <w:r w:rsidRPr="00D87F6E">
        <w:t>. Os resultados mostraram</w:t>
      </w:r>
      <w:r w:rsidR="004D37CF" w:rsidRPr="00D87F6E">
        <w:t xml:space="preserve"> que</w:t>
      </w:r>
      <w:r w:rsidRPr="00D87F6E">
        <w:t xml:space="preserve">, dentre as variáveis explicativas estudadas, os fatores Rentabilidade sobre o Ativo Total e Valor do </w:t>
      </w:r>
      <w:r w:rsidRPr="00D87F6E">
        <w:rPr>
          <w:i/>
        </w:rPr>
        <w:t xml:space="preserve">Goodwill </w:t>
      </w:r>
      <w:r w:rsidRPr="00D87F6E">
        <w:t xml:space="preserve">reconhecido pelas empresas apresentaram-se significativos na explicação do reconhecimento das perdas por </w:t>
      </w:r>
      <w:r w:rsidRPr="00D87F6E">
        <w:rPr>
          <w:i/>
        </w:rPr>
        <w:t>impairment</w:t>
      </w:r>
      <w:r w:rsidR="004D37CF" w:rsidRPr="00D87F6E">
        <w:t>desse</w:t>
      </w:r>
      <w:r w:rsidRPr="00D87F6E">
        <w:t xml:space="preserve"> ativo. Constatou-se, assim, que as empresas menos rentáveis, bem como as companhias com maiores valores de </w:t>
      </w:r>
      <w:r w:rsidRPr="00D87F6E">
        <w:rPr>
          <w:i/>
        </w:rPr>
        <w:t>goodwill</w:t>
      </w:r>
      <w:r w:rsidRPr="00D87F6E">
        <w:t xml:space="preserve"> reconhecidos em suas DFPs, tendem a registrar maiores perdas por</w:t>
      </w:r>
      <w:r w:rsidRPr="00D87F6E">
        <w:rPr>
          <w:i/>
        </w:rPr>
        <w:t xml:space="preserve"> impairment</w:t>
      </w:r>
      <w:r w:rsidRPr="00D87F6E">
        <w:t xml:space="preserve"> decorrentes de combinações de negócios.</w:t>
      </w:r>
    </w:p>
    <w:p w:rsidR="002826C0" w:rsidRPr="00D87F6E" w:rsidRDefault="002826C0" w:rsidP="00080401">
      <w:pPr>
        <w:rPr>
          <w:b/>
          <w:szCs w:val="24"/>
        </w:rPr>
      </w:pPr>
    </w:p>
    <w:p w:rsidR="002826C0" w:rsidRPr="00D87F6E" w:rsidRDefault="002826C0" w:rsidP="00080401">
      <w:pPr>
        <w:ind w:firstLine="0"/>
        <w:rPr>
          <w:szCs w:val="24"/>
        </w:rPr>
      </w:pPr>
      <w:r w:rsidRPr="00D87F6E">
        <w:rPr>
          <w:b/>
          <w:szCs w:val="24"/>
        </w:rPr>
        <w:t xml:space="preserve">Palavras-chave: </w:t>
      </w:r>
      <w:r w:rsidR="00195364" w:rsidRPr="00D87F6E">
        <w:rPr>
          <w:i/>
        </w:rPr>
        <w:t>Goodwill</w:t>
      </w:r>
      <w:r w:rsidR="00195364" w:rsidRPr="00D87F6E">
        <w:t xml:space="preserve">; Perdas por </w:t>
      </w:r>
      <w:r w:rsidR="00195364" w:rsidRPr="00D87F6E">
        <w:rPr>
          <w:i/>
        </w:rPr>
        <w:t>Impairment</w:t>
      </w:r>
      <w:r w:rsidR="00195364" w:rsidRPr="00D87F6E">
        <w:t>; Fatores Explicativos.</w:t>
      </w:r>
    </w:p>
    <w:p w:rsidR="002826C0" w:rsidRPr="00D87F6E" w:rsidRDefault="002826C0" w:rsidP="00080401">
      <w:pPr>
        <w:rPr>
          <w:b/>
          <w:szCs w:val="24"/>
        </w:rPr>
      </w:pPr>
    </w:p>
    <w:p w:rsidR="002826C0" w:rsidRPr="00D87F6E" w:rsidRDefault="002826C0" w:rsidP="00080401">
      <w:pPr>
        <w:ind w:firstLine="0"/>
        <w:rPr>
          <w:szCs w:val="24"/>
        </w:rPr>
      </w:pPr>
      <w:r w:rsidRPr="00D87F6E">
        <w:rPr>
          <w:b/>
          <w:szCs w:val="24"/>
        </w:rPr>
        <w:t>Área Temática</w:t>
      </w:r>
      <w:r w:rsidRPr="00D87F6E">
        <w:rPr>
          <w:szCs w:val="24"/>
        </w:rPr>
        <w:t>:</w:t>
      </w:r>
      <w:r w:rsidR="00195364" w:rsidRPr="00D87F6E">
        <w:rPr>
          <w:szCs w:val="24"/>
        </w:rPr>
        <w:t xml:space="preserve"> Contabilidade Financeira.</w:t>
      </w:r>
    </w:p>
    <w:p w:rsidR="00D17474" w:rsidRPr="00D87F6E" w:rsidRDefault="00D17474" w:rsidP="00080401">
      <w:pPr>
        <w:ind w:firstLine="0"/>
        <w:rPr>
          <w:szCs w:val="24"/>
        </w:rPr>
      </w:pPr>
    </w:p>
    <w:p w:rsidR="00D17474" w:rsidRPr="00D87F6E" w:rsidRDefault="00D17474" w:rsidP="00080401">
      <w:pPr>
        <w:ind w:firstLine="0"/>
        <w:rPr>
          <w:b/>
          <w:szCs w:val="24"/>
        </w:rPr>
      </w:pPr>
    </w:p>
    <w:p w:rsidR="00F05FBB" w:rsidRPr="00D87F6E" w:rsidRDefault="00F05FBB" w:rsidP="00080401">
      <w:pPr>
        <w:rPr>
          <w:b/>
          <w:szCs w:val="24"/>
        </w:rPr>
      </w:pPr>
    </w:p>
    <w:p w:rsidR="002056D7" w:rsidRPr="00D87F6E" w:rsidRDefault="002056D7" w:rsidP="00080401">
      <w:pPr>
        <w:pStyle w:val="Ttulo1"/>
        <w:numPr>
          <w:ilvl w:val="0"/>
          <w:numId w:val="0"/>
        </w:numPr>
        <w:spacing w:before="0" w:after="0"/>
        <w:ind w:left="431" w:hanging="431"/>
        <w:sectPr w:rsidR="002056D7" w:rsidRPr="00D87F6E" w:rsidSect="00080401">
          <w:headerReference w:type="default" r:id="rId8"/>
          <w:footerReference w:type="default" r:id="rId9"/>
          <w:type w:val="continuous"/>
          <w:pgSz w:w="12240" w:h="15840" w:code="119"/>
          <w:pgMar w:top="1701" w:right="1134" w:bottom="1134" w:left="1701" w:header="142" w:footer="113" w:gutter="0"/>
          <w:cols w:space="720"/>
        </w:sectPr>
      </w:pPr>
    </w:p>
    <w:p w:rsidR="007D5112" w:rsidRPr="00D87F6E" w:rsidRDefault="00B74D30" w:rsidP="00080401">
      <w:pPr>
        <w:ind w:firstLine="0"/>
        <w:rPr>
          <w:b/>
        </w:rPr>
      </w:pPr>
      <w:r w:rsidRPr="00D87F6E">
        <w:rPr>
          <w:b/>
        </w:rPr>
        <w:lastRenderedPageBreak/>
        <w:t>1 INTRODUÇÃO</w:t>
      </w:r>
    </w:p>
    <w:p w:rsidR="00ED2E94" w:rsidRPr="00D87F6E" w:rsidRDefault="00ED2E94" w:rsidP="00080401">
      <w:pPr>
        <w:ind w:firstLine="0"/>
        <w:rPr>
          <w:b/>
        </w:rPr>
      </w:pPr>
    </w:p>
    <w:p w:rsidR="00B74D30" w:rsidRPr="00D87F6E" w:rsidRDefault="00B74D30" w:rsidP="00080401">
      <w:r w:rsidRPr="00D87F6E">
        <w:t xml:space="preserve">Combinações de negócios são operações frequentemente anunciadas e realizadas no contexto empresarial, em âmbito nacional e internacional. A título de exemplo, têm-se as aquisições, incorporações, fusões e cisões, quando existir a obtenção de controle. As entidades veem </w:t>
      </w:r>
      <w:r w:rsidR="00066583" w:rsidRPr="00D87F6E">
        <w:t>essas</w:t>
      </w:r>
      <w:r w:rsidRPr="00D87F6E">
        <w:t xml:space="preserve"> operações como estratégicas para o alcance de competitividade, uma vez que por meio delas pode-se ganhar participação de mercado, reduzir custos operacionais, diminuir ou vencer a concorrência, entre outros aspectos. </w:t>
      </w:r>
    </w:p>
    <w:p w:rsidR="00B74D30" w:rsidRPr="00D87F6E" w:rsidRDefault="00066583" w:rsidP="00080401">
      <w:r w:rsidRPr="00D87F6E">
        <w:t>Essa</w:t>
      </w:r>
      <w:r w:rsidR="00B74D30" w:rsidRPr="00D87F6E">
        <w:t xml:space="preserve"> conjuntura é um dos pontos que caracteriza a globalização da economia. Com a entrada de empresas em diferentes ambientes, com vistas a aumentar sua competitividade, percebe-se ser fundamental a possibilidade de se comparar e compreender as demonstrações contábeis (DCs) de entidades situadas em diferentes lugares do mundo. Tal situação contribuiu com</w:t>
      </w:r>
      <w:r w:rsidR="00734C74" w:rsidRPr="00D87F6E">
        <w:t xml:space="preserve"> o</w:t>
      </w:r>
      <w:r w:rsidR="00B74D30" w:rsidRPr="00D87F6E">
        <w:t xml:space="preserve"> processo de convergência às normas internacionais de contabilidade, também conhecidas como </w:t>
      </w:r>
      <w:r w:rsidR="00B74D30" w:rsidRPr="00D87F6E">
        <w:rPr>
          <w:i/>
        </w:rPr>
        <w:t>International Financial Reporting Standards</w:t>
      </w:r>
      <w:r w:rsidR="00B74D30" w:rsidRPr="00D87F6E">
        <w:t xml:space="preserve"> (IFRS).</w:t>
      </w:r>
    </w:p>
    <w:p w:rsidR="00B74D30" w:rsidRPr="00D87F6E" w:rsidRDefault="00B74D30" w:rsidP="00080401">
      <w:r w:rsidRPr="00D87F6E">
        <w:t xml:space="preserve"> No Brasil esse processo teve início com a Lei n.º 11.638/2007, sendo continuado pela Medida Provisória n.º 449/2008, atual Lei n.º 11.941/2009. O órgão responsável pela promoção da convergência no país é o Comitê de Pronunciamentos Contábeis (CPC), que traduz as IFRS e emite os Pronunciamentos Técnicos, tendo como uma de suas emissões o Pronunciamento Técnico CPC 15 (R1) – Combinação de Negócios, que corresponde a IFRS 3 – </w:t>
      </w:r>
      <w:r w:rsidRPr="00D87F6E">
        <w:rPr>
          <w:i/>
        </w:rPr>
        <w:t>Business Combination</w:t>
      </w:r>
      <w:r w:rsidRPr="00D87F6E">
        <w:t>.</w:t>
      </w:r>
    </w:p>
    <w:p w:rsidR="00B74D30" w:rsidRPr="00D87F6E" w:rsidRDefault="0097021B" w:rsidP="00080401">
      <w:r w:rsidRPr="00D87F6E">
        <w:t>O</w:t>
      </w:r>
      <w:r w:rsidR="00B74D30" w:rsidRPr="00D87F6E">
        <w:t xml:space="preserve"> Pronunciamento Técnico CPC 15</w:t>
      </w:r>
      <w:r w:rsidRPr="00D87F6E">
        <w:t xml:space="preserve"> (R1)</w:t>
      </w:r>
      <w:r w:rsidR="00B74D30" w:rsidRPr="00D87F6E">
        <w:t xml:space="preserve"> deve ser aplicado na ocorrência de combinação de negócios e visa melhorar as características qualitativas das informações contábeis concernentes a </w:t>
      </w:r>
      <w:r w:rsidR="00734C74" w:rsidRPr="00D87F6E">
        <w:t>essas</w:t>
      </w:r>
      <w:r w:rsidR="00B74D30" w:rsidRPr="00D87F6E">
        <w:t xml:space="preserve"> operações e aos seus efeitos, fornecidas pelas entidades (CPC, 2011). No Brasil, quando da realização de uma combinação de negócios, as empresas podem reconhecer o denominado ágio por expectativa de rentabilidade futura (</w:t>
      </w:r>
      <w:r w:rsidR="00B74D30" w:rsidRPr="00D87F6E">
        <w:rPr>
          <w:i/>
        </w:rPr>
        <w:t>goodwill</w:t>
      </w:r>
      <w:r w:rsidR="00B74D30" w:rsidRPr="00D87F6E">
        <w:t xml:space="preserve">) (SOUZA, 2015b). De tal modo, dentre os seus princípios e exigências, o CPC 15 (R1) institui a forma pela qual o adquirente deve reconhecer e mensurar o </w:t>
      </w:r>
      <w:r w:rsidR="00B74D30" w:rsidRPr="00D87F6E">
        <w:rPr>
          <w:i/>
        </w:rPr>
        <w:t>goodwill</w:t>
      </w:r>
      <w:r w:rsidR="00B74D30" w:rsidRPr="00D87F6E">
        <w:t xml:space="preserve"> ou o ganho proveniente de compra vantajosa. </w:t>
      </w:r>
    </w:p>
    <w:p w:rsidR="00B74D30" w:rsidRPr="00D87F6E" w:rsidRDefault="00B74D30" w:rsidP="00080401">
      <w:r w:rsidRPr="00D87F6E">
        <w:t>Como uma das mudanças promovidas pelo CPC 15 (R1), pode-se citar o estabelecimento da aplicação do teste de redução ao valor recuperável (</w:t>
      </w:r>
      <w:r w:rsidRPr="00D87F6E">
        <w:rPr>
          <w:i/>
        </w:rPr>
        <w:t>impairment test</w:t>
      </w:r>
      <w:r w:rsidRPr="00D87F6E">
        <w:t xml:space="preserve">) para o </w:t>
      </w:r>
      <w:r w:rsidRPr="00D87F6E">
        <w:rPr>
          <w:i/>
        </w:rPr>
        <w:t>goodwill</w:t>
      </w:r>
      <w:r w:rsidRPr="00D87F6E">
        <w:t xml:space="preserve">, no mínimo, anualmente, em substituição a sua amortização. Assim, </w:t>
      </w:r>
      <w:r w:rsidR="00A63082" w:rsidRPr="00D87F6E">
        <w:t>esse</w:t>
      </w:r>
      <w:r w:rsidRPr="00D87F6E">
        <w:t xml:space="preserve"> Pronunciamento se relaciona com outro emitido pelo CPC, o Pronunciamento Técnico CPC 01 (R1) – Redução ao Valor Recuperável de Ativos, que estabelece procedimentos a fim de assegurar que os ativos não estejam registrados na contabilidade por valor superior ao passível de ser recuperado atravé</w:t>
      </w:r>
      <w:r w:rsidR="00A63082" w:rsidRPr="00D87F6E">
        <w:t>s de seu uso ou venda (CPC, 2010</w:t>
      </w:r>
      <w:r w:rsidRPr="00D87F6E">
        <w:t>).</w:t>
      </w:r>
    </w:p>
    <w:p w:rsidR="00B74D30" w:rsidRPr="00D87F6E" w:rsidRDefault="00B74D30" w:rsidP="00080401">
      <w:r w:rsidRPr="00D87F6E">
        <w:t xml:space="preserve">Reimann e Schmidt (2010) consideram que a mudança trazida pelo CPC 15 (R1), adicionada ao fato de não ser permitida a reversão das perdas por </w:t>
      </w:r>
      <w:r w:rsidRPr="00D87F6E">
        <w:rPr>
          <w:i/>
        </w:rPr>
        <w:t>impairment</w:t>
      </w:r>
      <w:r w:rsidRPr="00D87F6E">
        <w:t xml:space="preserve"> do </w:t>
      </w:r>
      <w:r w:rsidRPr="00D87F6E">
        <w:rPr>
          <w:i/>
        </w:rPr>
        <w:t>goodwill</w:t>
      </w:r>
      <w:r w:rsidRPr="00D87F6E">
        <w:t xml:space="preserve">, pode significar tanto uma oportunidade quanto um risco para as empresas. Oportunidade, uma vez que é possível manter o </w:t>
      </w:r>
      <w:r w:rsidRPr="00D87F6E">
        <w:rPr>
          <w:i/>
        </w:rPr>
        <w:t>goodwill</w:t>
      </w:r>
      <w:r w:rsidRPr="00D87F6E">
        <w:t xml:space="preserve"> registrado por tempo indeterminado, ao invés de amortizá-lo gradativamente (REIMANN; SCHMIDT, 2010). Risco, pois, se o </w:t>
      </w:r>
      <w:r w:rsidRPr="00D87F6E">
        <w:rPr>
          <w:i/>
        </w:rPr>
        <w:t>goodwill</w:t>
      </w:r>
      <w:r w:rsidRPr="00D87F6E">
        <w:t xml:space="preserve"> não estiver gerando </w:t>
      </w:r>
      <w:r w:rsidRPr="00D87F6E">
        <w:lastRenderedPageBreak/>
        <w:t xml:space="preserve">benefícios econômicos suficientes para que o valor recuperável da unidade geradora de caixa seja superior ao valor contábil, existe a possibilidade </w:t>
      </w:r>
      <w:r w:rsidR="00A63082" w:rsidRPr="00D87F6E">
        <w:t>desse</w:t>
      </w:r>
      <w:r w:rsidRPr="00D87F6E">
        <w:t xml:space="preserve"> ativo ser totalmente baixado no primeiro teste de </w:t>
      </w:r>
      <w:r w:rsidRPr="00D87F6E">
        <w:rPr>
          <w:i/>
        </w:rPr>
        <w:t>impairment</w:t>
      </w:r>
      <w:r w:rsidRPr="00D87F6E">
        <w:t xml:space="preserve"> aplicado (REIMANN; SCHMIDT, 2010).</w:t>
      </w:r>
    </w:p>
    <w:p w:rsidR="00B74D30" w:rsidRPr="00D87F6E" w:rsidRDefault="00B74D30" w:rsidP="00080401">
      <w:r w:rsidRPr="00D87F6E">
        <w:t>Tais oportunidades e riscos podem abrir margem para possíveis gerenciamentos de resultados, conforme destaca a literatura que versa sobre o tema (WATTS, 2003; ABUGHAZALEH</w:t>
      </w:r>
      <w:r w:rsidR="00A63082" w:rsidRPr="00D87F6E">
        <w:rPr>
          <w:i/>
          <w:szCs w:val="24"/>
        </w:rPr>
        <w:t xml:space="preserve"> et al.</w:t>
      </w:r>
      <w:r w:rsidRPr="00D87F6E">
        <w:t xml:space="preserve">, 2011; KLANN </w:t>
      </w:r>
      <w:r w:rsidRPr="00D87F6E">
        <w:rPr>
          <w:i/>
        </w:rPr>
        <w:t>et al.</w:t>
      </w:r>
      <w:r w:rsidRPr="00D87F6E">
        <w:t xml:space="preserve">, 2015). De acordo com Abughazaleh </w:t>
      </w:r>
      <w:r w:rsidR="00A63082" w:rsidRPr="00D87F6E">
        <w:rPr>
          <w:i/>
          <w:szCs w:val="24"/>
        </w:rPr>
        <w:t xml:space="preserve">et al. </w:t>
      </w:r>
      <w:r w:rsidRPr="00D87F6E">
        <w:t xml:space="preserve">(2011), a introdução do teste de </w:t>
      </w:r>
      <w:r w:rsidRPr="00D87F6E">
        <w:rPr>
          <w:i/>
        </w:rPr>
        <w:t>impairment</w:t>
      </w:r>
      <w:r w:rsidRPr="00D87F6E">
        <w:t xml:space="preserve"> no </w:t>
      </w:r>
      <w:r w:rsidRPr="00D87F6E">
        <w:rPr>
          <w:i/>
        </w:rPr>
        <w:t>goodwill</w:t>
      </w:r>
      <w:r w:rsidRPr="00D87F6E">
        <w:t xml:space="preserve"> objetiva melhorar a informação acerca desse ativo não identificável. Todavia, aumentou-se também o poder discricionário do gestor em reconhecer tais perdas no momento em que julguem apropriado fazê-las.</w:t>
      </w:r>
    </w:p>
    <w:p w:rsidR="00B74D30" w:rsidRPr="00D87F6E" w:rsidRDefault="00B74D30" w:rsidP="00080401">
      <w:r w:rsidRPr="00D87F6E">
        <w:t xml:space="preserve">Nesse sentido, espera-se que o </w:t>
      </w:r>
      <w:r w:rsidRPr="00D87F6E">
        <w:rPr>
          <w:i/>
        </w:rPr>
        <w:t>impairment</w:t>
      </w:r>
      <w:r w:rsidRPr="00D87F6E">
        <w:t xml:space="preserve"> seja um método que contribua com a verificação do valor contábil dos ativos, de forma que se ele não representa mais o valor que se espera recuperar no caso de consumo ou venda, haja um ajuste nas DCs. As demonstrações estarão, assim, mais fidedignamente representadas. Por outro lado, se a gestão pretende reduzir intencionalmente o resultado do período, ou mesmo superestimá-lo, ela pode usar dessa perda como um mecanismo para maquiar os relatórios financeiros (ABUGHAZALEH</w:t>
      </w:r>
      <w:r w:rsidR="007D5112" w:rsidRPr="00D87F6E">
        <w:rPr>
          <w:i/>
          <w:szCs w:val="24"/>
        </w:rPr>
        <w:t xml:space="preserve"> et al.</w:t>
      </w:r>
      <w:r w:rsidRPr="00D87F6E">
        <w:t xml:space="preserve">, 2011; KLANN </w:t>
      </w:r>
      <w:r w:rsidRPr="00D87F6E">
        <w:rPr>
          <w:i/>
        </w:rPr>
        <w:t>et al.</w:t>
      </w:r>
      <w:r w:rsidRPr="00D87F6E">
        <w:t>, 2015).</w:t>
      </w:r>
    </w:p>
    <w:p w:rsidR="00B74D30" w:rsidRPr="00D87F6E" w:rsidRDefault="00B74D30" w:rsidP="00080401">
      <w:r w:rsidRPr="00D87F6E">
        <w:t xml:space="preserve">Diante </w:t>
      </w:r>
      <w:r w:rsidR="007D5112" w:rsidRPr="00D87F6E">
        <w:t>dessa</w:t>
      </w:r>
      <w:r w:rsidRPr="00D87F6E">
        <w:t xml:space="preserve"> abordagem, emerge a seguinte pergunta de pesquisa: Quais fatores explicam o reconhecimento das perdas por </w:t>
      </w:r>
      <w:r w:rsidRPr="00D87F6E">
        <w:rPr>
          <w:i/>
        </w:rPr>
        <w:t xml:space="preserve">impairment </w:t>
      </w:r>
      <w:r w:rsidRPr="00D87F6E">
        <w:t xml:space="preserve">do </w:t>
      </w:r>
      <w:r w:rsidRPr="00D87F6E">
        <w:rPr>
          <w:i/>
        </w:rPr>
        <w:t xml:space="preserve">goodwill </w:t>
      </w:r>
      <w:r w:rsidRPr="00D87F6E">
        <w:t>resultante de combinações de negócios? Visando respondê-la, o objetivo do estudo é identificar as explicações para o reconhecimento das perdas por</w:t>
      </w:r>
      <w:r w:rsidRPr="00D87F6E">
        <w:rPr>
          <w:i/>
        </w:rPr>
        <w:t xml:space="preserve"> impairment</w:t>
      </w:r>
      <w:r w:rsidRPr="00D87F6E">
        <w:t xml:space="preserve"> do </w:t>
      </w:r>
      <w:r w:rsidRPr="00D87F6E">
        <w:rPr>
          <w:i/>
        </w:rPr>
        <w:t>goodwill</w:t>
      </w:r>
      <w:r w:rsidRPr="00D87F6E">
        <w:t xml:space="preserve">, resultante de combinações de negócios, nas empresas listadas na Bolsa de Valores, Mercadorias e Futuros de São Paulo (BM&amp;FBOVESPA) em 2015. </w:t>
      </w:r>
    </w:p>
    <w:p w:rsidR="00B74D30" w:rsidRPr="00D87F6E" w:rsidRDefault="00B74D30" w:rsidP="00080401">
      <w:r w:rsidRPr="00D87F6E">
        <w:t xml:space="preserve">A pesquisa está fundamentada, especialmente, no estudo de Klann </w:t>
      </w:r>
      <w:r w:rsidRPr="00D87F6E">
        <w:rPr>
          <w:i/>
        </w:rPr>
        <w:t>et al.</w:t>
      </w:r>
      <w:r w:rsidRPr="00D87F6E">
        <w:t xml:space="preserve"> (2015). Como contribuição a </w:t>
      </w:r>
      <w:r w:rsidR="007D5112" w:rsidRPr="00D87F6E">
        <w:t>essa</w:t>
      </w:r>
      <w:r w:rsidRPr="00D87F6E">
        <w:t xml:space="preserve"> pesquisa e à literatura que estuda o tema, pretende-se, no presente estudo, auxiliar na explicação de fatores que ajudem a compreender as razões que levam as empresas a reconhecerem perdas oriundas de </w:t>
      </w:r>
      <w:r w:rsidRPr="00D87F6E">
        <w:rPr>
          <w:i/>
        </w:rPr>
        <w:t>impairment</w:t>
      </w:r>
      <w:r w:rsidRPr="00D87F6E">
        <w:t xml:space="preserve"> em combinações de negócios, uma vez que elas diminuem os valores de seus negócios.</w:t>
      </w:r>
    </w:p>
    <w:p w:rsidR="002826C0" w:rsidRPr="00D87F6E" w:rsidRDefault="002826C0" w:rsidP="00080401">
      <w:pPr>
        <w:ind w:firstLine="0"/>
        <w:rPr>
          <w:sz w:val="26"/>
          <w:szCs w:val="26"/>
        </w:rPr>
      </w:pPr>
    </w:p>
    <w:p w:rsidR="007D5112" w:rsidRPr="00D87F6E" w:rsidRDefault="00494016" w:rsidP="00080401">
      <w:pPr>
        <w:pStyle w:val="Ttulo1"/>
        <w:numPr>
          <w:ilvl w:val="0"/>
          <w:numId w:val="0"/>
        </w:numPr>
        <w:spacing w:before="0" w:after="0"/>
        <w:ind w:left="431" w:hanging="431"/>
        <w:rPr>
          <w:sz w:val="24"/>
          <w:szCs w:val="24"/>
        </w:rPr>
      </w:pPr>
      <w:r w:rsidRPr="00D87F6E">
        <w:rPr>
          <w:sz w:val="24"/>
          <w:szCs w:val="24"/>
        </w:rPr>
        <w:t>2 REFERENCIAL TEÓRICO</w:t>
      </w:r>
    </w:p>
    <w:p w:rsidR="00ED2E94" w:rsidRPr="00D87F6E" w:rsidRDefault="00ED2E94" w:rsidP="00080401">
      <w:pPr>
        <w:rPr>
          <w:lang/>
        </w:rPr>
      </w:pPr>
    </w:p>
    <w:p w:rsidR="00494016" w:rsidRPr="00D87F6E" w:rsidRDefault="00494016" w:rsidP="00080401">
      <w:pPr>
        <w:rPr>
          <w:szCs w:val="24"/>
        </w:rPr>
      </w:pPr>
      <w:r w:rsidRPr="00D87F6E">
        <w:rPr>
          <w:szCs w:val="24"/>
        </w:rPr>
        <w:t xml:space="preserve">Para embasar teoricamente esta pesquisa, esta seção está dividida em três subseções. A primeira trata a respeito das perdas por redução ao valor recuperável de ativos; a segunda sobre combinação de negócios e </w:t>
      </w:r>
      <w:r w:rsidRPr="00D87F6E">
        <w:rPr>
          <w:i/>
          <w:szCs w:val="24"/>
        </w:rPr>
        <w:t>goodwill</w:t>
      </w:r>
      <w:r w:rsidRPr="00D87F6E">
        <w:rPr>
          <w:szCs w:val="24"/>
        </w:rPr>
        <w:t>; e a terceira expõe as hipóteses do estudo. As duas primeiras subseções também abrangem pesquisas anteriores que estão relacionadas ao tema.</w:t>
      </w:r>
    </w:p>
    <w:p w:rsidR="007D5112" w:rsidRPr="00D87F6E" w:rsidRDefault="007D5112" w:rsidP="00080401">
      <w:pPr>
        <w:rPr>
          <w:szCs w:val="24"/>
        </w:rPr>
      </w:pPr>
    </w:p>
    <w:p w:rsidR="007D5112" w:rsidRPr="00D87F6E" w:rsidRDefault="00494016" w:rsidP="00080401">
      <w:pPr>
        <w:ind w:firstLine="0"/>
        <w:rPr>
          <w:b/>
          <w:szCs w:val="24"/>
        </w:rPr>
      </w:pPr>
      <w:r w:rsidRPr="00D87F6E">
        <w:rPr>
          <w:b/>
          <w:szCs w:val="24"/>
        </w:rPr>
        <w:t xml:space="preserve">2.1 Perdas por Redução ao Valor Recuperável </w:t>
      </w:r>
    </w:p>
    <w:p w:rsidR="00ED2E94" w:rsidRPr="00D87F6E" w:rsidRDefault="00ED2E94" w:rsidP="00080401">
      <w:pPr>
        <w:ind w:firstLine="0"/>
        <w:rPr>
          <w:b/>
          <w:szCs w:val="24"/>
        </w:rPr>
      </w:pPr>
    </w:p>
    <w:p w:rsidR="00494016" w:rsidRPr="00D87F6E" w:rsidRDefault="00494016" w:rsidP="00080401">
      <w:pPr>
        <w:rPr>
          <w:szCs w:val="24"/>
        </w:rPr>
      </w:pPr>
      <w:r w:rsidRPr="00D87F6E">
        <w:rPr>
          <w:szCs w:val="24"/>
        </w:rPr>
        <w:t xml:space="preserve">Com base no Pronunciamento Técnico CPC 00 (R1) –Estrutura Conceitual para Elaboração e Divulgação de Relatório Contábil-Financeiro (2011), pode-se afirmar que os ativos </w:t>
      </w:r>
      <w:r w:rsidRPr="00D87F6E">
        <w:rPr>
          <w:szCs w:val="24"/>
        </w:rPr>
        <w:lastRenderedPageBreak/>
        <w:t xml:space="preserve">são recursos que se caracterizam pela capacidade de gerar benefícios econômicos futuros </w:t>
      </w:r>
      <w:r w:rsidR="000504EC" w:rsidRPr="00D87F6E">
        <w:rPr>
          <w:szCs w:val="24"/>
        </w:rPr>
        <w:t>para a entidade que os controla</w:t>
      </w:r>
      <w:r w:rsidRPr="00D87F6E">
        <w:rPr>
          <w:szCs w:val="24"/>
        </w:rPr>
        <w:t xml:space="preserve">. </w:t>
      </w:r>
      <w:r w:rsidR="002D0107" w:rsidRPr="00D87F6E">
        <w:rPr>
          <w:szCs w:val="24"/>
        </w:rPr>
        <w:t>Esses</w:t>
      </w:r>
      <w:r w:rsidRPr="00D87F6E">
        <w:rPr>
          <w:szCs w:val="24"/>
        </w:rPr>
        <w:t xml:space="preserve"> benefícios podem ser obtidos por meio do uso do ativo nas atividades da entidade ou para auferir renda; ou a partir de sua venda.</w:t>
      </w:r>
    </w:p>
    <w:p w:rsidR="00494016" w:rsidRPr="00D87F6E" w:rsidRDefault="00494016" w:rsidP="00080401">
      <w:pPr>
        <w:rPr>
          <w:szCs w:val="24"/>
        </w:rPr>
      </w:pPr>
      <w:r w:rsidRPr="00D87F6E">
        <w:rPr>
          <w:szCs w:val="24"/>
        </w:rPr>
        <w:t xml:space="preserve">Os ativos podem constituir uma unidade geradora de caixa (UGC), sendo </w:t>
      </w:r>
      <w:r w:rsidR="0031220B" w:rsidRPr="00D87F6E">
        <w:rPr>
          <w:szCs w:val="24"/>
        </w:rPr>
        <w:t>essa</w:t>
      </w:r>
      <w:r w:rsidRPr="00D87F6E">
        <w:rPr>
          <w:szCs w:val="24"/>
        </w:rPr>
        <w:t xml:space="preserve"> o menor grupo identificável de ativos que gera benefícios econômicos para a entidade independentemente de outros ativos ou grupo de ativos (CPC, 2010). Reimann e Schmidt (2010) argumentam que a divisão dos ativos </w:t>
      </w:r>
      <w:r w:rsidR="002D0107" w:rsidRPr="00D87F6E">
        <w:rPr>
          <w:szCs w:val="24"/>
        </w:rPr>
        <w:t>nessas</w:t>
      </w:r>
      <w:r w:rsidRPr="00D87F6E">
        <w:rPr>
          <w:szCs w:val="24"/>
        </w:rPr>
        <w:t xml:space="preserve"> unidades não deve ultrapassar aquela passível de ser monitorada pela administração da empresa.</w:t>
      </w:r>
    </w:p>
    <w:p w:rsidR="00494016" w:rsidRPr="00D87F6E" w:rsidRDefault="00494016" w:rsidP="00080401">
      <w:pPr>
        <w:rPr>
          <w:szCs w:val="24"/>
        </w:rPr>
      </w:pPr>
      <w:r w:rsidRPr="00D87F6E">
        <w:rPr>
          <w:szCs w:val="24"/>
        </w:rPr>
        <w:t xml:space="preserve">O CPC 01 (R1) define o valor recuperável de um ativo ou de uma UGC como sendo o maior valor entre o seu valor em uso e o seu valor justo líquido de despesas de venda. Bem como, estabelece que um ativo, ou UGC, sofre perda por redução ao valor recuperável quando está registrado(a) por um valor contábil superior ao seu valor recuperável, pois </w:t>
      </w:r>
      <w:r w:rsidR="00CD7A21" w:rsidRPr="00D87F6E">
        <w:rPr>
          <w:szCs w:val="24"/>
        </w:rPr>
        <w:t>isso</w:t>
      </w:r>
      <w:r w:rsidRPr="00D87F6E">
        <w:rPr>
          <w:szCs w:val="24"/>
        </w:rPr>
        <w:t xml:space="preserve"> significa que </w:t>
      </w:r>
      <w:r w:rsidR="00B23DFE" w:rsidRPr="00D87F6E">
        <w:rPr>
          <w:szCs w:val="24"/>
        </w:rPr>
        <w:t>esse</w:t>
      </w:r>
      <w:r w:rsidRPr="00D87F6E">
        <w:rPr>
          <w:szCs w:val="24"/>
        </w:rPr>
        <w:t xml:space="preserve"> ativo, ou sua respectiva UGC, está desvalorizado(a) (CPC, 2010).</w:t>
      </w:r>
    </w:p>
    <w:p w:rsidR="00494016" w:rsidRPr="00D87F6E" w:rsidRDefault="00494016" w:rsidP="00080401">
      <w:pPr>
        <w:rPr>
          <w:szCs w:val="24"/>
        </w:rPr>
      </w:pPr>
      <w:r w:rsidRPr="00D87F6E">
        <w:rPr>
          <w:szCs w:val="24"/>
        </w:rPr>
        <w:t xml:space="preserve">Para Klann </w:t>
      </w:r>
      <w:r w:rsidRPr="00D87F6E">
        <w:rPr>
          <w:i/>
          <w:szCs w:val="24"/>
        </w:rPr>
        <w:t>et al.</w:t>
      </w:r>
      <w:r w:rsidRPr="00D87F6E">
        <w:rPr>
          <w:szCs w:val="24"/>
        </w:rPr>
        <w:t xml:space="preserve"> (2015, p. 3), “a subjetividade referente a estimar a perda por </w:t>
      </w:r>
      <w:r w:rsidRPr="00D87F6E">
        <w:rPr>
          <w:i/>
          <w:szCs w:val="24"/>
        </w:rPr>
        <w:t>impairment</w:t>
      </w:r>
      <w:r w:rsidRPr="00D87F6E">
        <w:rPr>
          <w:szCs w:val="24"/>
        </w:rPr>
        <w:t xml:space="preserve">, com valores justos que não são verificáveis, pode reduzir o conteúdo das informações sobre essa perda”. </w:t>
      </w:r>
      <w:r w:rsidR="00ED3A08" w:rsidRPr="00D87F6E">
        <w:rPr>
          <w:szCs w:val="24"/>
        </w:rPr>
        <w:t>Esses</w:t>
      </w:r>
      <w:r w:rsidRPr="00D87F6E">
        <w:rPr>
          <w:szCs w:val="24"/>
        </w:rPr>
        <w:t xml:space="preserve"> autores trazem os preços cotados no mercado como a melhor evidência do valor justo, e que na ausência </w:t>
      </w:r>
      <w:r w:rsidR="00F52108" w:rsidRPr="00D87F6E">
        <w:rPr>
          <w:szCs w:val="24"/>
        </w:rPr>
        <w:t>desses preços</w:t>
      </w:r>
      <w:r w:rsidRPr="00D87F6E">
        <w:rPr>
          <w:szCs w:val="24"/>
        </w:rPr>
        <w:t>,</w:t>
      </w:r>
      <w:r w:rsidR="00ED3A08" w:rsidRPr="00D87F6E">
        <w:rPr>
          <w:szCs w:val="24"/>
        </w:rPr>
        <w:t xml:space="preserve"> esse</w:t>
      </w:r>
      <w:r w:rsidRPr="00D87F6E">
        <w:rPr>
          <w:szCs w:val="24"/>
        </w:rPr>
        <w:t xml:space="preserve"> valor pode ser estimado utilizando-se o valor presente.</w:t>
      </w:r>
    </w:p>
    <w:p w:rsidR="00494016" w:rsidRPr="00D87F6E" w:rsidRDefault="00494016" w:rsidP="00080401">
      <w:pPr>
        <w:rPr>
          <w:szCs w:val="24"/>
        </w:rPr>
      </w:pPr>
      <w:r w:rsidRPr="00D87F6E">
        <w:rPr>
          <w:szCs w:val="24"/>
        </w:rPr>
        <w:t xml:space="preserve">Conforme o CPC 01 (R1) (2010), pelo menos ao final de cada exercício social a entidade deve verificar se existem evidências de que seus ativos ou unidades geradoras de caixa (UGCs) estão desvalorizados. </w:t>
      </w:r>
      <w:r w:rsidR="00ED3A08" w:rsidRPr="00D87F6E">
        <w:rPr>
          <w:szCs w:val="24"/>
        </w:rPr>
        <w:t>Essas</w:t>
      </w:r>
      <w:r w:rsidRPr="00D87F6E">
        <w:rPr>
          <w:szCs w:val="24"/>
        </w:rPr>
        <w:t xml:space="preserve"> evidências podem se dar por meio de indicadores externos ou internos, sendo algumas fontes de informação arroladas pelo referido </w:t>
      </w:r>
      <w:r w:rsidR="00564DE7" w:rsidRPr="00D87F6E">
        <w:rPr>
          <w:szCs w:val="24"/>
        </w:rPr>
        <w:t>P</w:t>
      </w:r>
      <w:r w:rsidRPr="00D87F6E">
        <w:rPr>
          <w:szCs w:val="24"/>
        </w:rPr>
        <w:t>ronunciamento. Porém, este não as delimita, podendo haver outros indicativos para tal desvalorização.</w:t>
      </w:r>
    </w:p>
    <w:p w:rsidR="00494016" w:rsidRPr="00D87F6E" w:rsidRDefault="00ED3A08" w:rsidP="00080401">
      <w:pPr>
        <w:rPr>
          <w:szCs w:val="24"/>
        </w:rPr>
      </w:pPr>
      <w:r w:rsidRPr="00D87F6E">
        <w:rPr>
          <w:szCs w:val="24"/>
        </w:rPr>
        <w:t>Nesse</w:t>
      </w:r>
      <w:r w:rsidR="00494016" w:rsidRPr="00D87F6E">
        <w:rPr>
          <w:szCs w:val="24"/>
        </w:rPr>
        <w:t xml:space="preserve"> contexto, despontam estudos como o de Wrubel, Marassi e Klann (2015) que, com o objetivo de identificar os fatores determinantes do reconhecimento de perdas por </w:t>
      </w:r>
      <w:r w:rsidR="00494016" w:rsidRPr="00D87F6E">
        <w:rPr>
          <w:i/>
          <w:szCs w:val="24"/>
        </w:rPr>
        <w:t>impairment</w:t>
      </w:r>
      <w:r w:rsidR="00494016" w:rsidRPr="00D87F6E">
        <w:rPr>
          <w:szCs w:val="24"/>
        </w:rPr>
        <w:t xml:space="preserve"> em empresas brasileiras, estudaram o montante destas e sua relação com indicadores econômicos e de comportamento de incentivo de divulgação. Como resultados, constataram que a maioria das variáveis de fatores econômicos examinadas, com exceção da variação do fluxo de caixa, das receitas e do endividamento, não demonstrou relação com o reconhecimento de perdas por </w:t>
      </w:r>
      <w:r w:rsidR="00494016" w:rsidRPr="00D87F6E">
        <w:rPr>
          <w:i/>
          <w:szCs w:val="24"/>
        </w:rPr>
        <w:t>impairment</w:t>
      </w:r>
      <w:r w:rsidR="00494016" w:rsidRPr="00D87F6E">
        <w:rPr>
          <w:szCs w:val="24"/>
        </w:rPr>
        <w:t xml:space="preserve">, o que levou aos autores concluírem que é impossível assegurar se fatores econômicos, de modo geral, são determinantes para o reconhecimento das perdas por </w:t>
      </w:r>
      <w:r w:rsidR="00494016" w:rsidRPr="00D87F6E">
        <w:rPr>
          <w:i/>
          <w:szCs w:val="24"/>
        </w:rPr>
        <w:t>impairment</w:t>
      </w:r>
      <w:r w:rsidR="00494016" w:rsidRPr="00D87F6E">
        <w:rPr>
          <w:szCs w:val="24"/>
        </w:rPr>
        <w:t>. Da mesma forma, observaram para a grande parte das variáveis de incentivo de divulgação, sendo a variável ‘práticas de suavização de resultados’ (</w:t>
      </w:r>
      <w:r w:rsidR="00494016" w:rsidRPr="00D87F6E">
        <w:rPr>
          <w:i/>
          <w:szCs w:val="24"/>
        </w:rPr>
        <w:t>Smooth</w:t>
      </w:r>
      <w:r w:rsidR="00494016" w:rsidRPr="00D87F6E">
        <w:rPr>
          <w:szCs w:val="24"/>
        </w:rPr>
        <w:t xml:space="preserve">)a única determinante de perdas por </w:t>
      </w:r>
      <w:r w:rsidR="00494016" w:rsidRPr="00D87F6E">
        <w:rPr>
          <w:i/>
          <w:szCs w:val="24"/>
        </w:rPr>
        <w:t>impairment</w:t>
      </w:r>
      <w:r w:rsidR="00494016" w:rsidRPr="00D87F6E">
        <w:rPr>
          <w:szCs w:val="24"/>
        </w:rPr>
        <w:t>.</w:t>
      </w:r>
    </w:p>
    <w:p w:rsidR="00494016" w:rsidRPr="00D87F6E" w:rsidRDefault="00494016" w:rsidP="00080401">
      <w:pPr>
        <w:rPr>
          <w:szCs w:val="24"/>
        </w:rPr>
      </w:pPr>
      <w:r w:rsidRPr="00D87F6E">
        <w:rPr>
          <w:szCs w:val="24"/>
        </w:rPr>
        <w:t xml:space="preserve">Ainda, segundo o CPC 01 (R1) (2010), o teste de redução ao valor recuperável de ativos deve ser aplicado anualmente, independentemente de existirem ou não evidências de desvalorização, nos seguintes casos: (i) ativo intangível ainda não disponível para uso; (ii) ativo intangível de vida útil indefinida; e (iii) ágio pago por expectativa de rentabilidade futura, em uma combinação de negócios. A presente pesquisa tem como foco o último caso, ou seja, o </w:t>
      </w:r>
      <w:r w:rsidRPr="00D87F6E">
        <w:rPr>
          <w:szCs w:val="24"/>
        </w:rPr>
        <w:lastRenderedPageBreak/>
        <w:t xml:space="preserve">reconhecimento de perdas em ágio decorrente da expectativa de geração de renda futura, também conhecido como </w:t>
      </w:r>
      <w:r w:rsidRPr="00D87F6E">
        <w:rPr>
          <w:i/>
          <w:szCs w:val="24"/>
        </w:rPr>
        <w:t>goodwill</w:t>
      </w:r>
      <w:r w:rsidRPr="00D87F6E">
        <w:rPr>
          <w:szCs w:val="24"/>
        </w:rPr>
        <w:t>.</w:t>
      </w:r>
    </w:p>
    <w:p w:rsidR="000A6B4B" w:rsidRPr="00D87F6E" w:rsidRDefault="000A6B4B" w:rsidP="00080401">
      <w:pPr>
        <w:rPr>
          <w:szCs w:val="24"/>
        </w:rPr>
      </w:pPr>
    </w:p>
    <w:p w:rsidR="000A6B4B" w:rsidRPr="00D87F6E" w:rsidRDefault="00494016" w:rsidP="00080401">
      <w:pPr>
        <w:ind w:firstLine="0"/>
        <w:rPr>
          <w:b/>
          <w:i/>
          <w:szCs w:val="24"/>
        </w:rPr>
      </w:pPr>
      <w:r w:rsidRPr="00D87F6E">
        <w:rPr>
          <w:b/>
          <w:szCs w:val="24"/>
        </w:rPr>
        <w:t xml:space="preserve">2.2 Combinação de Negócios e </w:t>
      </w:r>
      <w:r w:rsidRPr="00D87F6E">
        <w:rPr>
          <w:b/>
          <w:i/>
          <w:szCs w:val="24"/>
        </w:rPr>
        <w:t>Goodwill</w:t>
      </w:r>
    </w:p>
    <w:p w:rsidR="00ED2E94" w:rsidRPr="00D87F6E" w:rsidRDefault="00ED2E94" w:rsidP="00080401">
      <w:pPr>
        <w:ind w:firstLine="0"/>
        <w:rPr>
          <w:b/>
          <w:i/>
          <w:szCs w:val="24"/>
        </w:rPr>
      </w:pPr>
    </w:p>
    <w:p w:rsidR="00494016" w:rsidRPr="00D87F6E" w:rsidRDefault="00494016" w:rsidP="00080401">
      <w:pPr>
        <w:rPr>
          <w:szCs w:val="24"/>
        </w:rPr>
      </w:pPr>
      <w:r w:rsidRPr="00D87F6E">
        <w:rPr>
          <w:szCs w:val="24"/>
        </w:rPr>
        <w:t>Uma combinação de negócios pode ser entendida como uma operação ou outro evento através do qual um adquirente obtém o controle de um ou mais negócios, independentemente da forma jurídica da operação (CPC, 2011). Na ocorrência desta, pode existir diferença entre o valor da contraprestação paga ou a pagar pelo adquirente e o valor justo dos ativos líquidos da adquirida, essa diferença corresponde ao ágio por expectativa de rentabilidade futura (CPC, 2011).</w:t>
      </w:r>
    </w:p>
    <w:p w:rsidR="00494016" w:rsidRPr="00D87F6E" w:rsidRDefault="00494016" w:rsidP="00080401">
      <w:pPr>
        <w:rPr>
          <w:szCs w:val="24"/>
        </w:rPr>
      </w:pPr>
      <w:r w:rsidRPr="00D87F6E">
        <w:rPr>
          <w:szCs w:val="24"/>
        </w:rPr>
        <w:t xml:space="preserve">De acordo com o CPC 15 (R1) (2011, p.21-22), o </w:t>
      </w:r>
      <w:r w:rsidRPr="00D87F6E">
        <w:rPr>
          <w:i/>
          <w:szCs w:val="24"/>
        </w:rPr>
        <w:t>goodwill</w:t>
      </w:r>
      <w:r w:rsidRPr="00D87F6E">
        <w:rPr>
          <w:szCs w:val="24"/>
        </w:rPr>
        <w:t xml:space="preserve"> “é um ativo que representa benefícios econômicos futuros resultantes de outros ativos adquiridos em uma combinação de negócios, os quais não são individualmente identificados”. Hendriksen e Breda (2009, p. 390) consideram-no o “principal exemplo de um intangível que não possui usos alternativos, não é separável, e cujos benefícios são muito incertos”. Adicionalmente, conforme Schmidt e Santos (2009, p. 54), “a definição de </w:t>
      </w:r>
      <w:r w:rsidRPr="00D87F6E">
        <w:rPr>
          <w:i/>
          <w:szCs w:val="24"/>
        </w:rPr>
        <w:t>goodwill</w:t>
      </w:r>
      <w:r w:rsidRPr="00D87F6E">
        <w:rPr>
          <w:szCs w:val="24"/>
        </w:rPr>
        <w:t>, sua natureza, sua característica de não ser separável do negócio todo e seu tratamento contábil estão entre os objetos de estudo mais difíceis e controvertidos da Teoria da Contabilidade”.</w:t>
      </w:r>
    </w:p>
    <w:p w:rsidR="00494016" w:rsidRPr="00D87F6E" w:rsidRDefault="00494016" w:rsidP="00080401">
      <w:pPr>
        <w:rPr>
          <w:szCs w:val="24"/>
        </w:rPr>
      </w:pPr>
      <w:r w:rsidRPr="00D87F6E">
        <w:rPr>
          <w:szCs w:val="24"/>
        </w:rPr>
        <w:t xml:space="preserve">Devido ao importante papel que o </w:t>
      </w:r>
      <w:r w:rsidRPr="00D87F6E">
        <w:rPr>
          <w:i/>
          <w:szCs w:val="24"/>
        </w:rPr>
        <w:t xml:space="preserve">goodwill </w:t>
      </w:r>
      <w:r w:rsidRPr="00D87F6E">
        <w:rPr>
          <w:szCs w:val="24"/>
        </w:rPr>
        <w:t xml:space="preserve">assume no contexto empresarial e ao seu complexo tratamento contábil, cabe, também, abordar aqui a respeito do estudo de Martins e Martins (2015). Os autores analisaram o fato de o </w:t>
      </w:r>
      <w:r w:rsidRPr="00D87F6E">
        <w:rPr>
          <w:i/>
          <w:szCs w:val="24"/>
        </w:rPr>
        <w:t>goodwill</w:t>
      </w:r>
      <w:r w:rsidRPr="00D87F6E">
        <w:rPr>
          <w:szCs w:val="24"/>
        </w:rPr>
        <w:t xml:space="preserve">, que pode estar subjetivo nas avaliações ou identificado por transações de mercado, sempre ser explicado por meio de sua associação com ativos, enquanto </w:t>
      </w:r>
      <w:r w:rsidR="000A6B4B" w:rsidRPr="00D87F6E">
        <w:rPr>
          <w:szCs w:val="24"/>
        </w:rPr>
        <w:t>essa</w:t>
      </w:r>
      <w:r w:rsidRPr="00D87F6E">
        <w:rPr>
          <w:szCs w:val="24"/>
        </w:rPr>
        <w:t xml:space="preserve"> situação pode não ser a real. Nesse sentido, demonstraram que </w:t>
      </w:r>
      <w:r w:rsidR="000A6B4B" w:rsidRPr="00D87F6E">
        <w:rPr>
          <w:szCs w:val="24"/>
        </w:rPr>
        <w:t>esse</w:t>
      </w:r>
      <w:r w:rsidRPr="00D87F6E">
        <w:rPr>
          <w:szCs w:val="24"/>
        </w:rPr>
        <w:t xml:space="preserve"> ativo pode também ter origem nos passivos onerosos. </w:t>
      </w:r>
    </w:p>
    <w:p w:rsidR="00494016" w:rsidRPr="00D87F6E" w:rsidRDefault="00494016" w:rsidP="00080401">
      <w:pPr>
        <w:rPr>
          <w:szCs w:val="24"/>
        </w:rPr>
      </w:pPr>
      <w:r w:rsidRPr="00D87F6E">
        <w:rPr>
          <w:szCs w:val="24"/>
        </w:rPr>
        <w:t xml:space="preserve">Com relação à mensuração do </w:t>
      </w:r>
      <w:r w:rsidRPr="00D87F6E">
        <w:rPr>
          <w:i/>
          <w:szCs w:val="24"/>
        </w:rPr>
        <w:t>goodwill</w:t>
      </w:r>
      <w:r w:rsidRPr="00D87F6E">
        <w:rPr>
          <w:szCs w:val="24"/>
        </w:rPr>
        <w:t xml:space="preserve">, retoma-se a já citada alteração promovida pelo CPC 15 (R1) (2011), que revogou a amortização </w:t>
      </w:r>
      <w:r w:rsidR="000A6B4B" w:rsidRPr="00D87F6E">
        <w:rPr>
          <w:szCs w:val="24"/>
        </w:rPr>
        <w:t>desse</w:t>
      </w:r>
      <w:r w:rsidRPr="00D87F6E">
        <w:rPr>
          <w:szCs w:val="24"/>
        </w:rPr>
        <w:t xml:space="preserve"> ativo e estabeleceu que deve ser aplicado o teste de redução ao valor recuperável, no mínimo, anualmente. Assim, caso ocorram eventos que indiquem uma possível desvalorização do </w:t>
      </w:r>
      <w:r w:rsidRPr="00D87F6E">
        <w:rPr>
          <w:i/>
          <w:szCs w:val="24"/>
        </w:rPr>
        <w:t>goodwill</w:t>
      </w:r>
      <w:r w:rsidRPr="00D87F6E">
        <w:rPr>
          <w:szCs w:val="24"/>
        </w:rPr>
        <w:t xml:space="preserve">, o teste de redução ao valor recuperável também deve ser realizado. </w:t>
      </w:r>
    </w:p>
    <w:p w:rsidR="00494016" w:rsidRPr="00D87F6E" w:rsidRDefault="00494016" w:rsidP="00080401">
      <w:pPr>
        <w:rPr>
          <w:szCs w:val="24"/>
        </w:rPr>
      </w:pPr>
      <w:r w:rsidRPr="00D87F6E">
        <w:rPr>
          <w:szCs w:val="24"/>
        </w:rPr>
        <w:t xml:space="preserve">Reimann e Schmidt (2010), através de seu estudo, evidenciaram o modo de mensurar o </w:t>
      </w:r>
      <w:r w:rsidRPr="00D87F6E">
        <w:rPr>
          <w:i/>
          <w:szCs w:val="24"/>
        </w:rPr>
        <w:t>goodwill</w:t>
      </w:r>
      <w:r w:rsidRPr="00D87F6E">
        <w:rPr>
          <w:szCs w:val="24"/>
        </w:rPr>
        <w:t xml:space="preserve"> decorrente de uma combinação de negócios e quais variáveis podem indicar ser necessária a realização de um teste de </w:t>
      </w:r>
      <w:r w:rsidRPr="00D87F6E">
        <w:rPr>
          <w:i/>
          <w:szCs w:val="24"/>
        </w:rPr>
        <w:t>impairment</w:t>
      </w:r>
      <w:r w:rsidRPr="00D87F6E">
        <w:rPr>
          <w:szCs w:val="24"/>
        </w:rPr>
        <w:t xml:space="preserve"> além do exigido anualmente. Constataram que existe uma série de indicadores externos e internos que podem implicar em uma perda por</w:t>
      </w:r>
      <w:r w:rsidRPr="00D87F6E">
        <w:rPr>
          <w:i/>
          <w:szCs w:val="24"/>
        </w:rPr>
        <w:t xml:space="preserve"> impairment</w:t>
      </w:r>
      <w:r w:rsidRPr="00D87F6E">
        <w:rPr>
          <w:szCs w:val="24"/>
        </w:rPr>
        <w:t xml:space="preserve"> do </w:t>
      </w:r>
      <w:r w:rsidRPr="00D87F6E">
        <w:rPr>
          <w:i/>
          <w:szCs w:val="24"/>
        </w:rPr>
        <w:t>goodwill</w:t>
      </w:r>
      <w:r w:rsidRPr="00D87F6E">
        <w:rPr>
          <w:szCs w:val="24"/>
        </w:rPr>
        <w:t xml:space="preserve">, sendo a administração a responsável por agir atentamente com relação a </w:t>
      </w:r>
      <w:r w:rsidR="00B2553A" w:rsidRPr="00D87F6E">
        <w:rPr>
          <w:szCs w:val="24"/>
        </w:rPr>
        <w:t>esses</w:t>
      </w:r>
      <w:r w:rsidRPr="00D87F6E">
        <w:rPr>
          <w:szCs w:val="24"/>
        </w:rPr>
        <w:t xml:space="preserve"> indicadores, ou com relação a qualquer outro que possa indicar a necessidade de realização do teste de </w:t>
      </w:r>
      <w:r w:rsidRPr="00D87F6E">
        <w:rPr>
          <w:i/>
          <w:szCs w:val="24"/>
        </w:rPr>
        <w:t>impairment</w:t>
      </w:r>
      <w:r w:rsidRPr="00D87F6E">
        <w:rPr>
          <w:szCs w:val="24"/>
        </w:rPr>
        <w:t xml:space="preserve">. Da mesma forma, concluíram ser fundamental investir tempo na segregação da importância paga a mais em uma combinação de negócios, visto que, quanto menor o valor alocado como </w:t>
      </w:r>
      <w:r w:rsidRPr="00D87F6E">
        <w:rPr>
          <w:i/>
          <w:szCs w:val="24"/>
        </w:rPr>
        <w:t>goodwill</w:t>
      </w:r>
      <w:r w:rsidRPr="00D87F6E">
        <w:rPr>
          <w:szCs w:val="24"/>
        </w:rPr>
        <w:t>, menores perdas ou gastos serão concretizados.</w:t>
      </w:r>
    </w:p>
    <w:p w:rsidR="00494016" w:rsidRPr="00D87F6E" w:rsidRDefault="00494016" w:rsidP="00080401">
      <w:pPr>
        <w:rPr>
          <w:szCs w:val="24"/>
        </w:rPr>
      </w:pPr>
      <w:r w:rsidRPr="00D87F6E">
        <w:rPr>
          <w:szCs w:val="24"/>
        </w:rPr>
        <w:lastRenderedPageBreak/>
        <w:t xml:space="preserve">Para fins de aplicação do teste de redução ao valor recuperável, o </w:t>
      </w:r>
      <w:r w:rsidRPr="00D87F6E">
        <w:rPr>
          <w:i/>
          <w:szCs w:val="24"/>
        </w:rPr>
        <w:t xml:space="preserve">goodwill </w:t>
      </w:r>
      <w:r w:rsidRPr="00D87F6E">
        <w:rPr>
          <w:szCs w:val="24"/>
        </w:rPr>
        <w:t xml:space="preserve">deve, a partir da data da combinação de negócios, ser alocado a cada uma das UGCs do adquirente, ou a grupos de UGCs, com os quais estiver relacionado (CPC, 2010). Ao ser reconhecida perda relativa à UGC (ou seu respectivo grupo) contendo </w:t>
      </w:r>
      <w:r w:rsidRPr="00D87F6E">
        <w:rPr>
          <w:i/>
          <w:szCs w:val="24"/>
        </w:rPr>
        <w:t>goodwill</w:t>
      </w:r>
      <w:r w:rsidRPr="00D87F6E">
        <w:rPr>
          <w:szCs w:val="24"/>
        </w:rPr>
        <w:t xml:space="preserve">, deve-se, inicialmente, atribuir o valor da perda a </w:t>
      </w:r>
      <w:r w:rsidR="00B2553A" w:rsidRPr="00D87F6E">
        <w:rPr>
          <w:szCs w:val="24"/>
        </w:rPr>
        <w:t>esse</w:t>
      </w:r>
      <w:r w:rsidRPr="00D87F6E">
        <w:rPr>
          <w:szCs w:val="24"/>
        </w:rPr>
        <w:t xml:space="preserve"> ativo. Se após o </w:t>
      </w:r>
      <w:r w:rsidRPr="00D87F6E">
        <w:rPr>
          <w:i/>
          <w:szCs w:val="24"/>
        </w:rPr>
        <w:t xml:space="preserve">goodwill </w:t>
      </w:r>
      <w:r w:rsidRPr="00D87F6E">
        <w:rPr>
          <w:szCs w:val="24"/>
        </w:rPr>
        <w:t>zerar houver saldo remanescente de perda, este deve ser alocado proporcionalmente a cada ativo que compõe a UGC (ou grupo de UGCs) (CPC, 2010).</w:t>
      </w:r>
    </w:p>
    <w:p w:rsidR="00494016" w:rsidRPr="00D87F6E" w:rsidRDefault="00494016" w:rsidP="00080401">
      <w:pPr>
        <w:rPr>
          <w:szCs w:val="24"/>
        </w:rPr>
      </w:pPr>
      <w:r w:rsidRPr="00D87F6E">
        <w:rPr>
          <w:szCs w:val="24"/>
        </w:rPr>
        <w:t xml:space="preserve">Klann </w:t>
      </w:r>
      <w:r w:rsidRPr="00D87F6E">
        <w:rPr>
          <w:i/>
          <w:szCs w:val="24"/>
        </w:rPr>
        <w:t>et al.</w:t>
      </w:r>
      <w:r w:rsidRPr="00D87F6E">
        <w:rPr>
          <w:szCs w:val="24"/>
        </w:rPr>
        <w:t xml:space="preserve"> (2015, p. 4) colocam que “se os gestores querem demonstrar pouco ou nenhum prejuízo, estes podem alocar o ágio para unidades onde um valor justo implícito do ágio é suficientemente alto para passar no teste de recuperabilidade”. Nessa concepção, os autores relatam a possibilidade de se utilizar o </w:t>
      </w:r>
      <w:r w:rsidRPr="00D87F6E">
        <w:rPr>
          <w:i/>
          <w:szCs w:val="24"/>
        </w:rPr>
        <w:t>goodwill</w:t>
      </w:r>
      <w:r w:rsidRPr="00D87F6E">
        <w:rPr>
          <w:szCs w:val="24"/>
        </w:rPr>
        <w:t xml:space="preserve"> com vistas a gerenciar resultados por meio da alocação desse ágio para ativos que por essência não o originaram, afetando a representação fidedigna dos relatórios.</w:t>
      </w:r>
    </w:p>
    <w:p w:rsidR="00494016" w:rsidRPr="00D87F6E" w:rsidRDefault="00494016" w:rsidP="00080401">
      <w:pPr>
        <w:rPr>
          <w:szCs w:val="24"/>
        </w:rPr>
      </w:pPr>
      <w:r w:rsidRPr="00D87F6E">
        <w:rPr>
          <w:szCs w:val="24"/>
        </w:rPr>
        <w:t xml:space="preserve">Santos, Dani e Klann (2015) tiveram como objetivo, verificar, no contexto das companhias abertas brasileiras, se a concentração de propriedade interfere na tomada de decisão relacionada ao emprego do teste de </w:t>
      </w:r>
      <w:r w:rsidRPr="00D87F6E">
        <w:rPr>
          <w:i/>
          <w:szCs w:val="24"/>
        </w:rPr>
        <w:t>impairment</w:t>
      </w:r>
      <w:r w:rsidRPr="00D87F6E">
        <w:rPr>
          <w:szCs w:val="24"/>
        </w:rPr>
        <w:t xml:space="preserve"> sobre o </w:t>
      </w:r>
      <w:r w:rsidRPr="00D87F6E">
        <w:rPr>
          <w:i/>
          <w:szCs w:val="24"/>
        </w:rPr>
        <w:t>goodwill</w:t>
      </w:r>
      <w:r w:rsidRPr="00D87F6E">
        <w:rPr>
          <w:szCs w:val="24"/>
        </w:rPr>
        <w:t xml:space="preserve">, e se a publicação de informações acessórias sobre o </w:t>
      </w:r>
      <w:r w:rsidRPr="00D87F6E">
        <w:rPr>
          <w:i/>
          <w:szCs w:val="24"/>
        </w:rPr>
        <w:t>goodwill</w:t>
      </w:r>
      <w:r w:rsidRPr="00D87F6E">
        <w:rPr>
          <w:szCs w:val="24"/>
        </w:rPr>
        <w:t xml:space="preserve"> e a governança corporativa estão associadas a </w:t>
      </w:r>
      <w:r w:rsidR="00AC77FE" w:rsidRPr="00D87F6E">
        <w:rPr>
          <w:szCs w:val="24"/>
        </w:rPr>
        <w:t>esse</w:t>
      </w:r>
      <w:r w:rsidRPr="00D87F6E">
        <w:rPr>
          <w:szCs w:val="24"/>
        </w:rPr>
        <w:t xml:space="preserve"> teste. Como resultados, encontraram que a concentração de propriedade não interfere no emprego do teste de </w:t>
      </w:r>
      <w:r w:rsidRPr="00D87F6E">
        <w:rPr>
          <w:i/>
          <w:szCs w:val="24"/>
        </w:rPr>
        <w:t>impairment</w:t>
      </w:r>
      <w:r w:rsidRPr="00D87F6E">
        <w:rPr>
          <w:szCs w:val="24"/>
        </w:rPr>
        <w:t xml:space="preserve"> sobre o </w:t>
      </w:r>
      <w:r w:rsidRPr="00D87F6E">
        <w:rPr>
          <w:i/>
          <w:szCs w:val="24"/>
        </w:rPr>
        <w:t>goodwill</w:t>
      </w:r>
      <w:r w:rsidRPr="00D87F6E">
        <w:rPr>
          <w:szCs w:val="24"/>
        </w:rPr>
        <w:t xml:space="preserve">, assim como, a publicação de informações acessórias relacionadas a </w:t>
      </w:r>
      <w:r w:rsidR="00AC77FE" w:rsidRPr="00D87F6E">
        <w:rPr>
          <w:szCs w:val="24"/>
        </w:rPr>
        <w:t>esse</w:t>
      </w:r>
      <w:r w:rsidRPr="00D87F6E">
        <w:rPr>
          <w:szCs w:val="24"/>
        </w:rPr>
        <w:t xml:space="preserve"> ativo e a governança corporativa.</w:t>
      </w:r>
    </w:p>
    <w:p w:rsidR="00494016" w:rsidRPr="00D87F6E" w:rsidRDefault="00494016" w:rsidP="00080401">
      <w:pPr>
        <w:rPr>
          <w:szCs w:val="24"/>
        </w:rPr>
      </w:pPr>
      <w:r w:rsidRPr="00D87F6E">
        <w:rPr>
          <w:szCs w:val="24"/>
        </w:rPr>
        <w:t>Souza (2015a) buscou identificar evidências no Brasil que possam indicar que, nos primeiros anos de adoção do pronunciamento CPC 01</w:t>
      </w:r>
      <w:r w:rsidRPr="00D87F6E">
        <w:rPr>
          <w:i/>
          <w:szCs w:val="24"/>
        </w:rPr>
        <w:t>,</w:t>
      </w:r>
      <w:r w:rsidRPr="00D87F6E">
        <w:rPr>
          <w:szCs w:val="24"/>
        </w:rPr>
        <w:t xml:space="preserve"> ocorreu no </w:t>
      </w:r>
      <w:r w:rsidRPr="00D87F6E">
        <w:rPr>
          <w:i/>
          <w:szCs w:val="24"/>
        </w:rPr>
        <w:t xml:space="preserve">goodwill </w:t>
      </w:r>
      <w:r w:rsidRPr="00D87F6E">
        <w:rPr>
          <w:szCs w:val="24"/>
        </w:rPr>
        <w:t xml:space="preserve">a prática de </w:t>
      </w:r>
      <w:r w:rsidRPr="00D87F6E">
        <w:rPr>
          <w:i/>
          <w:szCs w:val="24"/>
        </w:rPr>
        <w:t xml:space="preserve">big bath, </w:t>
      </w:r>
      <w:r w:rsidRPr="00D87F6E">
        <w:rPr>
          <w:szCs w:val="24"/>
        </w:rPr>
        <w:t xml:space="preserve">estratégia de reconhecimento de baixas nos ativos com o objetivo de reduzir os lucros e dar a falsa impressão de maiores ganhos em períodos subsequentes. A autora inferiu que, na adoção inicial da norma CPC 01, o comportamento das empresas brasileiras não foi o de realizar </w:t>
      </w:r>
      <w:r w:rsidRPr="00D87F6E">
        <w:rPr>
          <w:i/>
          <w:szCs w:val="24"/>
        </w:rPr>
        <w:t>big bath</w:t>
      </w:r>
      <w:r w:rsidRPr="00D87F6E">
        <w:rPr>
          <w:szCs w:val="24"/>
        </w:rPr>
        <w:t xml:space="preserve"> com o saldo de </w:t>
      </w:r>
      <w:r w:rsidRPr="00D87F6E">
        <w:rPr>
          <w:i/>
          <w:szCs w:val="24"/>
        </w:rPr>
        <w:t>goodwill</w:t>
      </w:r>
      <w:r w:rsidRPr="00D87F6E">
        <w:rPr>
          <w:szCs w:val="24"/>
        </w:rPr>
        <w:t xml:space="preserve">. Além disso, percebeu que o tratamento dado para </w:t>
      </w:r>
      <w:r w:rsidR="00AC77FE" w:rsidRPr="00D87F6E">
        <w:rPr>
          <w:szCs w:val="24"/>
        </w:rPr>
        <w:t>esse</w:t>
      </w:r>
      <w:r w:rsidRPr="00D87F6E">
        <w:rPr>
          <w:szCs w:val="24"/>
        </w:rPr>
        <w:t xml:space="preserve"> ativo pelas empresas brasileiras, nas notas explicativas, é deficiente, uma vez que não são divulgadas informações suficientes para que o usuário possa estimar a recuperabilidade do </w:t>
      </w:r>
      <w:r w:rsidRPr="00D87F6E">
        <w:rPr>
          <w:i/>
          <w:szCs w:val="24"/>
        </w:rPr>
        <w:t>goodwill.</w:t>
      </w:r>
    </w:p>
    <w:p w:rsidR="00494016" w:rsidRPr="00D87F6E" w:rsidRDefault="00494016" w:rsidP="00080401">
      <w:pPr>
        <w:rPr>
          <w:szCs w:val="24"/>
        </w:rPr>
      </w:pPr>
      <w:r w:rsidRPr="00D87F6E">
        <w:rPr>
          <w:szCs w:val="24"/>
        </w:rPr>
        <w:t xml:space="preserve">Com relação à divulgação de informações concernentes ao teste de </w:t>
      </w:r>
      <w:r w:rsidRPr="00D87F6E">
        <w:rPr>
          <w:i/>
          <w:szCs w:val="24"/>
        </w:rPr>
        <w:t>impairment</w:t>
      </w:r>
      <w:r w:rsidR="00AC77FE" w:rsidRPr="00D87F6E">
        <w:rPr>
          <w:szCs w:val="24"/>
        </w:rPr>
        <w:t>desse</w:t>
      </w:r>
      <w:r w:rsidRPr="00D87F6E">
        <w:rPr>
          <w:szCs w:val="24"/>
        </w:rPr>
        <w:t xml:space="preserve"> ativo, Barbosa </w:t>
      </w:r>
      <w:r w:rsidRPr="00D87F6E">
        <w:rPr>
          <w:i/>
          <w:szCs w:val="24"/>
        </w:rPr>
        <w:t>et al.</w:t>
      </w:r>
      <w:r w:rsidRPr="00D87F6E">
        <w:rPr>
          <w:szCs w:val="24"/>
        </w:rPr>
        <w:t xml:space="preserve"> (2014), por meio da obtenção de um índice de atendimento à norma e do levantamento de quais informações as empresas brasileiras de capital aberto têm divulgado, examinaram se estas publicaram informações sobre a redução do valor recuperável do </w:t>
      </w:r>
      <w:r w:rsidRPr="00D87F6E">
        <w:rPr>
          <w:i/>
          <w:szCs w:val="24"/>
        </w:rPr>
        <w:t>goodwill</w:t>
      </w:r>
      <w:r w:rsidRPr="00D87F6E">
        <w:rPr>
          <w:szCs w:val="24"/>
        </w:rPr>
        <w:t xml:space="preserve">. A partir dos resultados inferiram que, generalizando, as empresas negligenciam a divulgação de informações sobre o teste de </w:t>
      </w:r>
      <w:r w:rsidRPr="00D87F6E">
        <w:rPr>
          <w:i/>
          <w:szCs w:val="24"/>
        </w:rPr>
        <w:t xml:space="preserve">impairment </w:t>
      </w:r>
      <w:r w:rsidR="00AC77FE" w:rsidRPr="00D87F6E">
        <w:rPr>
          <w:szCs w:val="24"/>
        </w:rPr>
        <w:t>desse</w:t>
      </w:r>
      <w:r w:rsidRPr="00D87F6E">
        <w:rPr>
          <w:szCs w:val="24"/>
        </w:rPr>
        <w:t xml:space="preserve"> ativo.</w:t>
      </w:r>
    </w:p>
    <w:p w:rsidR="00494016" w:rsidRPr="00D87F6E" w:rsidRDefault="00494016" w:rsidP="00080401">
      <w:pPr>
        <w:rPr>
          <w:szCs w:val="24"/>
        </w:rPr>
      </w:pPr>
      <w:r w:rsidRPr="00D87F6E">
        <w:rPr>
          <w:szCs w:val="24"/>
        </w:rPr>
        <w:t xml:space="preserve">Na esfera internacional, Abughazaleh </w:t>
      </w:r>
      <w:r w:rsidRPr="00D87F6E">
        <w:rPr>
          <w:i/>
          <w:szCs w:val="24"/>
        </w:rPr>
        <w:t>et al.</w:t>
      </w:r>
      <w:r w:rsidRPr="00D87F6E">
        <w:rPr>
          <w:szCs w:val="24"/>
        </w:rPr>
        <w:t xml:space="preserve"> (2011) analisaram o uso do poder discricionário pelos gestores na determinação das perdas por </w:t>
      </w:r>
      <w:r w:rsidRPr="00D87F6E">
        <w:rPr>
          <w:i/>
          <w:szCs w:val="24"/>
        </w:rPr>
        <w:t>impairment</w:t>
      </w:r>
      <w:r w:rsidRPr="00D87F6E">
        <w:rPr>
          <w:szCs w:val="24"/>
        </w:rPr>
        <w:t xml:space="preserve"> do </w:t>
      </w:r>
      <w:r w:rsidRPr="00D87F6E">
        <w:rPr>
          <w:i/>
          <w:szCs w:val="24"/>
        </w:rPr>
        <w:t>goodwill</w:t>
      </w:r>
      <w:r w:rsidRPr="00D87F6E">
        <w:rPr>
          <w:szCs w:val="24"/>
        </w:rPr>
        <w:t xml:space="preserve"> após a adoção obrigatória da IFRS 3. Para tal, examinaram os determinantes </w:t>
      </w:r>
      <w:r w:rsidR="004213B2" w:rsidRPr="00D87F6E">
        <w:rPr>
          <w:szCs w:val="24"/>
        </w:rPr>
        <w:t>dessas</w:t>
      </w:r>
      <w:r w:rsidRPr="00D87F6E">
        <w:rPr>
          <w:szCs w:val="24"/>
        </w:rPr>
        <w:t xml:space="preserve"> perdas no Reino Unido, encontrando como resultados que, com relação às perdas por</w:t>
      </w:r>
      <w:r w:rsidRPr="00D87F6E">
        <w:rPr>
          <w:i/>
          <w:szCs w:val="24"/>
        </w:rPr>
        <w:t xml:space="preserve"> impairment</w:t>
      </w:r>
      <w:r w:rsidRPr="00D87F6E">
        <w:rPr>
          <w:szCs w:val="24"/>
        </w:rPr>
        <w:t xml:space="preserve"> do </w:t>
      </w:r>
      <w:r w:rsidRPr="00D87F6E">
        <w:rPr>
          <w:i/>
          <w:szCs w:val="24"/>
        </w:rPr>
        <w:t>goodwill</w:t>
      </w:r>
      <w:r w:rsidRPr="00D87F6E">
        <w:rPr>
          <w:szCs w:val="24"/>
        </w:rPr>
        <w:t>, a variável “</w:t>
      </w:r>
      <w:r w:rsidRPr="00D87F6E">
        <w:rPr>
          <w:i/>
          <w:szCs w:val="24"/>
        </w:rPr>
        <w:t>book to market"</w:t>
      </w:r>
      <w:r w:rsidRPr="00D87F6E">
        <w:rPr>
          <w:szCs w:val="24"/>
        </w:rPr>
        <w:t xml:space="preserve"> (que compara o valor patrimonial com o valor de mercado) se mostrou significativa e positiva, ao passo que as variáveis “variação do fluxo de caixa operacional” e </w:t>
      </w:r>
      <w:r w:rsidRPr="00D87F6E">
        <w:rPr>
          <w:szCs w:val="24"/>
        </w:rPr>
        <w:lastRenderedPageBreak/>
        <w:t xml:space="preserve">“retorno sobre o ativo” se mostraram significativamente negativas. Além disso, o “valor do </w:t>
      </w:r>
      <w:r w:rsidRPr="00D87F6E">
        <w:rPr>
          <w:i/>
          <w:szCs w:val="24"/>
        </w:rPr>
        <w:t>goodwill”</w:t>
      </w:r>
      <w:r w:rsidRPr="00D87F6E">
        <w:rPr>
          <w:szCs w:val="24"/>
        </w:rPr>
        <w:t xml:space="preserve"> se mostrou insignificante e positivo; a UGC se mostrou insignificante e positiva; e a “variação do </w:t>
      </w:r>
      <w:r w:rsidRPr="00D87F6E">
        <w:rPr>
          <w:i/>
          <w:szCs w:val="24"/>
        </w:rPr>
        <w:t xml:space="preserve">turnover” </w:t>
      </w:r>
      <w:r w:rsidRPr="00D87F6E">
        <w:rPr>
          <w:szCs w:val="24"/>
        </w:rPr>
        <w:t xml:space="preserve">se mostrou insignificante e positiva. Ademais, verificaram o efeito do </w:t>
      </w:r>
      <w:r w:rsidRPr="00D87F6E">
        <w:rPr>
          <w:i/>
          <w:szCs w:val="24"/>
        </w:rPr>
        <w:t xml:space="preserve">big bath </w:t>
      </w:r>
      <w:r w:rsidRPr="00D87F6E">
        <w:rPr>
          <w:szCs w:val="24"/>
        </w:rPr>
        <w:t>sobre o reconhecimento, que se mostrou significativo e negativo.</w:t>
      </w:r>
    </w:p>
    <w:p w:rsidR="00494016" w:rsidRPr="00D87F6E" w:rsidRDefault="00494016" w:rsidP="00080401">
      <w:pPr>
        <w:rPr>
          <w:szCs w:val="24"/>
        </w:rPr>
      </w:pPr>
      <w:r w:rsidRPr="00D87F6E">
        <w:rPr>
          <w:szCs w:val="24"/>
        </w:rPr>
        <w:t xml:space="preserve">A partir de seu estudo, Zang (2008) examinou se os gestores usam, de forma estratégica, o poder discricionário na determinação das perdas por </w:t>
      </w:r>
      <w:r w:rsidRPr="00D87F6E">
        <w:rPr>
          <w:i/>
          <w:szCs w:val="24"/>
        </w:rPr>
        <w:t xml:space="preserve">impairment </w:t>
      </w:r>
      <w:r w:rsidRPr="00D87F6E">
        <w:rPr>
          <w:szCs w:val="24"/>
        </w:rPr>
        <w:t xml:space="preserve">do </w:t>
      </w:r>
      <w:r w:rsidRPr="00D87F6E">
        <w:rPr>
          <w:i/>
          <w:szCs w:val="24"/>
        </w:rPr>
        <w:t xml:space="preserve">goodwill. </w:t>
      </w:r>
      <w:r w:rsidRPr="00D87F6E">
        <w:rPr>
          <w:szCs w:val="24"/>
        </w:rPr>
        <w:t xml:space="preserve">Dentre os resultados obtidos, identificou uma relação significativa e negativa entre a alavancagem financeira e as perdas por </w:t>
      </w:r>
      <w:r w:rsidRPr="00D87F6E">
        <w:rPr>
          <w:i/>
          <w:szCs w:val="24"/>
        </w:rPr>
        <w:t>impairment</w:t>
      </w:r>
      <w:r w:rsidRPr="00D87F6E">
        <w:rPr>
          <w:szCs w:val="24"/>
        </w:rPr>
        <w:t xml:space="preserve"> do </w:t>
      </w:r>
      <w:r w:rsidRPr="00D87F6E">
        <w:rPr>
          <w:i/>
          <w:szCs w:val="24"/>
        </w:rPr>
        <w:t>goodwill</w:t>
      </w:r>
      <w:r w:rsidRPr="00D87F6E">
        <w:rPr>
          <w:szCs w:val="24"/>
        </w:rPr>
        <w:t xml:space="preserve">, assim como para a variável “retorno sobre o ativo”. O valor do </w:t>
      </w:r>
      <w:r w:rsidRPr="00D87F6E">
        <w:rPr>
          <w:i/>
          <w:szCs w:val="24"/>
        </w:rPr>
        <w:t>goodwill</w:t>
      </w:r>
      <w:r w:rsidRPr="00D87F6E">
        <w:rPr>
          <w:szCs w:val="24"/>
        </w:rPr>
        <w:t xml:space="preserve"> se apresentou significativamente positivo.</w:t>
      </w:r>
    </w:p>
    <w:p w:rsidR="008B3D7E" w:rsidRPr="00D87F6E" w:rsidRDefault="00494016" w:rsidP="00080401">
      <w:pPr>
        <w:rPr>
          <w:szCs w:val="24"/>
        </w:rPr>
      </w:pPr>
      <w:r w:rsidRPr="00D87F6E">
        <w:rPr>
          <w:szCs w:val="24"/>
        </w:rPr>
        <w:t xml:space="preserve">O CPC 01 (R1) também disciplina sobre a reversão de perda por redução ao valor recuperável de um ativo ou de uma UGC, reconhecida em períodos anteriores. De acordo com o referido Pronunciamento, </w:t>
      </w:r>
      <w:r w:rsidR="004213B2" w:rsidRPr="00D87F6E">
        <w:rPr>
          <w:szCs w:val="24"/>
        </w:rPr>
        <w:t>essa</w:t>
      </w:r>
      <w:r w:rsidRPr="00D87F6E">
        <w:rPr>
          <w:szCs w:val="24"/>
        </w:rPr>
        <w:t xml:space="preserve"> reversão não se aplica ao </w:t>
      </w:r>
      <w:r w:rsidRPr="00D87F6E">
        <w:rPr>
          <w:i/>
          <w:szCs w:val="24"/>
        </w:rPr>
        <w:t>goodwill</w:t>
      </w:r>
      <w:r w:rsidRPr="00D87F6E">
        <w:rPr>
          <w:szCs w:val="24"/>
        </w:rPr>
        <w:t xml:space="preserve">. Reimann e Schmidt (2010, p. 57) consideram que “isso se deve ao fato de que a melhora na expectativa de geração de fluxos de caixa futuros é mais provável de ser ligada ao </w:t>
      </w:r>
      <w:r w:rsidRPr="00D87F6E">
        <w:rPr>
          <w:i/>
          <w:szCs w:val="24"/>
        </w:rPr>
        <w:t>goodwill</w:t>
      </w:r>
      <w:r w:rsidRPr="00D87F6E">
        <w:rPr>
          <w:szCs w:val="24"/>
        </w:rPr>
        <w:t xml:space="preserve"> gerado internamente pela entidade, o qual não pode ser reconhecido”. Os autores abordam ser responsabilidade da administração prevenir a ocorrência de perda por redução ao valor recuperável do </w:t>
      </w:r>
      <w:r w:rsidRPr="00D87F6E">
        <w:rPr>
          <w:i/>
          <w:szCs w:val="24"/>
        </w:rPr>
        <w:t>goodwill</w:t>
      </w:r>
      <w:r w:rsidRPr="00D87F6E">
        <w:rPr>
          <w:szCs w:val="24"/>
        </w:rPr>
        <w:t xml:space="preserve">, visto que este é o único ativo cuja perda por </w:t>
      </w:r>
      <w:r w:rsidRPr="00D87F6E">
        <w:rPr>
          <w:i/>
          <w:szCs w:val="24"/>
        </w:rPr>
        <w:t>impairment</w:t>
      </w:r>
      <w:r w:rsidRPr="00D87F6E">
        <w:rPr>
          <w:szCs w:val="24"/>
        </w:rPr>
        <w:t xml:space="preserve"> não pode sofrer reversão.</w:t>
      </w:r>
    </w:p>
    <w:p w:rsidR="008B3D7E" w:rsidRPr="00D87F6E" w:rsidRDefault="008B3D7E" w:rsidP="00080401">
      <w:pPr>
        <w:rPr>
          <w:szCs w:val="24"/>
        </w:rPr>
      </w:pPr>
      <w:r w:rsidRPr="00D87F6E">
        <w:rPr>
          <w:szCs w:val="24"/>
        </w:rPr>
        <w:t xml:space="preserve">O Quadro 1, apresentado a seguir, demonstra de maneira sucinta </w:t>
      </w:r>
      <w:r w:rsidR="002058FC" w:rsidRPr="00D87F6E">
        <w:rPr>
          <w:szCs w:val="24"/>
        </w:rPr>
        <w:t xml:space="preserve">estudos </w:t>
      </w:r>
      <w:r w:rsidRPr="00D87F6E">
        <w:rPr>
          <w:szCs w:val="24"/>
        </w:rPr>
        <w:t xml:space="preserve">que relacionam determinadas variáveis com a aplicação do teste de </w:t>
      </w:r>
      <w:r w:rsidRPr="00D87F6E">
        <w:rPr>
          <w:i/>
          <w:szCs w:val="24"/>
        </w:rPr>
        <w:t>impairment</w:t>
      </w:r>
      <w:r w:rsidRPr="00D87F6E">
        <w:rPr>
          <w:szCs w:val="24"/>
        </w:rPr>
        <w:t xml:space="preserve"> ou com o reconhecimento das perdas por </w:t>
      </w:r>
      <w:r w:rsidRPr="00D87F6E">
        <w:rPr>
          <w:i/>
          <w:szCs w:val="24"/>
        </w:rPr>
        <w:t>impairment</w:t>
      </w:r>
      <w:r w:rsidRPr="00D87F6E">
        <w:rPr>
          <w:szCs w:val="24"/>
        </w:rPr>
        <w:t>.</w:t>
      </w:r>
    </w:p>
    <w:p w:rsidR="008B3D7E" w:rsidRPr="00D87F6E" w:rsidRDefault="008B3D7E" w:rsidP="00080401">
      <w:pPr>
        <w:rPr>
          <w:szCs w:val="24"/>
        </w:rPr>
      </w:pPr>
    </w:p>
    <w:p w:rsidR="00CD68EB" w:rsidRPr="00D87F6E" w:rsidRDefault="00CD68EB" w:rsidP="00080401">
      <w:pPr>
        <w:rPr>
          <w:szCs w:val="24"/>
        </w:rPr>
      </w:pPr>
    </w:p>
    <w:p w:rsidR="00CD68EB" w:rsidRPr="00D87F6E" w:rsidRDefault="00CD68EB" w:rsidP="00080401">
      <w:pPr>
        <w:rPr>
          <w:szCs w:val="24"/>
        </w:rPr>
      </w:pPr>
    </w:p>
    <w:p w:rsidR="00CD68EB" w:rsidRPr="00D87F6E" w:rsidRDefault="00CD68EB" w:rsidP="00080401">
      <w:pPr>
        <w:rPr>
          <w:szCs w:val="24"/>
        </w:rPr>
      </w:pPr>
    </w:p>
    <w:p w:rsidR="00CD68EB" w:rsidRPr="00D87F6E" w:rsidRDefault="00CD68EB" w:rsidP="00080401">
      <w:pPr>
        <w:ind w:firstLine="0"/>
        <w:rPr>
          <w:szCs w:val="24"/>
        </w:rPr>
      </w:pPr>
    </w:p>
    <w:p w:rsidR="00CD68EB" w:rsidRPr="00D87F6E" w:rsidRDefault="00CD68EB" w:rsidP="00080401">
      <w:pPr>
        <w:rPr>
          <w:szCs w:val="24"/>
        </w:rPr>
      </w:pPr>
    </w:p>
    <w:p w:rsidR="00CD68EB" w:rsidRPr="00D87F6E" w:rsidRDefault="00CD68EB" w:rsidP="00080401">
      <w:pPr>
        <w:rPr>
          <w:szCs w:val="24"/>
        </w:rPr>
      </w:pPr>
    </w:p>
    <w:p w:rsidR="00CD68EB" w:rsidRPr="00D87F6E" w:rsidRDefault="00CD68EB" w:rsidP="00080401">
      <w:pPr>
        <w:rPr>
          <w:szCs w:val="24"/>
        </w:rPr>
      </w:pPr>
    </w:p>
    <w:p w:rsidR="00CD68EB" w:rsidRPr="00D87F6E" w:rsidRDefault="00CD68EB" w:rsidP="00080401">
      <w:pPr>
        <w:rPr>
          <w:szCs w:val="24"/>
        </w:rPr>
      </w:pPr>
    </w:p>
    <w:p w:rsidR="00CD68EB" w:rsidRPr="00D87F6E" w:rsidRDefault="00CD68EB" w:rsidP="00080401">
      <w:pPr>
        <w:rPr>
          <w:szCs w:val="24"/>
        </w:rPr>
      </w:pPr>
    </w:p>
    <w:p w:rsidR="00CD68EB" w:rsidRPr="00D87F6E" w:rsidRDefault="00CD68EB" w:rsidP="00080401">
      <w:pPr>
        <w:rPr>
          <w:szCs w:val="24"/>
        </w:rPr>
      </w:pPr>
    </w:p>
    <w:p w:rsidR="00CD68EB" w:rsidRPr="00D87F6E" w:rsidRDefault="00CD68EB" w:rsidP="00080401">
      <w:pPr>
        <w:rPr>
          <w:szCs w:val="24"/>
        </w:rPr>
      </w:pPr>
    </w:p>
    <w:p w:rsidR="00CD68EB" w:rsidRPr="00D87F6E" w:rsidRDefault="00CD68EB" w:rsidP="00080401">
      <w:pPr>
        <w:rPr>
          <w:szCs w:val="24"/>
        </w:rPr>
      </w:pPr>
    </w:p>
    <w:p w:rsidR="00CD68EB" w:rsidRPr="00D87F6E" w:rsidRDefault="00CD68EB" w:rsidP="00080401">
      <w:pPr>
        <w:rPr>
          <w:szCs w:val="24"/>
        </w:rPr>
      </w:pPr>
    </w:p>
    <w:p w:rsidR="00CD68EB" w:rsidRPr="00D87F6E" w:rsidRDefault="00CD68EB" w:rsidP="00080401">
      <w:pPr>
        <w:rPr>
          <w:szCs w:val="24"/>
        </w:rPr>
      </w:pPr>
    </w:p>
    <w:p w:rsidR="00CD68EB" w:rsidRPr="00D87F6E" w:rsidRDefault="00CD68EB" w:rsidP="00080401">
      <w:pPr>
        <w:rPr>
          <w:szCs w:val="24"/>
        </w:rPr>
      </w:pPr>
    </w:p>
    <w:p w:rsidR="00CD68EB" w:rsidRPr="00D87F6E" w:rsidRDefault="00CD68EB" w:rsidP="00080401">
      <w:pPr>
        <w:rPr>
          <w:szCs w:val="24"/>
        </w:rPr>
      </w:pPr>
    </w:p>
    <w:p w:rsidR="00CD68EB" w:rsidRPr="00D87F6E" w:rsidRDefault="00CD68EB" w:rsidP="00080401">
      <w:pPr>
        <w:rPr>
          <w:szCs w:val="24"/>
        </w:rPr>
      </w:pPr>
    </w:p>
    <w:p w:rsidR="00CD68EB" w:rsidRPr="00D87F6E" w:rsidRDefault="00CD68EB" w:rsidP="00080401">
      <w:pPr>
        <w:rPr>
          <w:szCs w:val="24"/>
        </w:rPr>
      </w:pPr>
    </w:p>
    <w:p w:rsidR="00080401" w:rsidRDefault="00080401" w:rsidP="00080401">
      <w:pPr>
        <w:widowControl/>
        <w:suppressLineNumbers w:val="0"/>
        <w:suppressAutoHyphens w:val="0"/>
        <w:ind w:firstLine="0"/>
        <w:jc w:val="center"/>
        <w:rPr>
          <w:rFonts w:eastAsia="Calibri"/>
          <w:b/>
          <w:szCs w:val="24"/>
          <w:lang w:eastAsia="en-US"/>
        </w:rPr>
      </w:pPr>
    </w:p>
    <w:p w:rsidR="00080401" w:rsidRDefault="00080401" w:rsidP="00080401">
      <w:pPr>
        <w:widowControl/>
        <w:suppressLineNumbers w:val="0"/>
        <w:suppressAutoHyphens w:val="0"/>
        <w:ind w:firstLine="0"/>
        <w:jc w:val="center"/>
        <w:rPr>
          <w:rFonts w:eastAsia="Calibri"/>
          <w:b/>
          <w:szCs w:val="24"/>
          <w:lang w:eastAsia="en-US"/>
        </w:rPr>
      </w:pPr>
    </w:p>
    <w:p w:rsidR="00080401" w:rsidRDefault="00080401" w:rsidP="00080401">
      <w:pPr>
        <w:widowControl/>
        <w:suppressLineNumbers w:val="0"/>
        <w:suppressAutoHyphens w:val="0"/>
        <w:ind w:firstLine="0"/>
        <w:jc w:val="center"/>
        <w:rPr>
          <w:rFonts w:eastAsia="Calibri"/>
          <w:b/>
          <w:szCs w:val="24"/>
          <w:lang w:eastAsia="en-US"/>
        </w:rPr>
      </w:pPr>
    </w:p>
    <w:p w:rsidR="00080401" w:rsidRDefault="00080401" w:rsidP="00080401">
      <w:pPr>
        <w:widowControl/>
        <w:suppressLineNumbers w:val="0"/>
        <w:suppressAutoHyphens w:val="0"/>
        <w:ind w:firstLine="0"/>
        <w:jc w:val="center"/>
        <w:rPr>
          <w:rFonts w:eastAsia="Calibri"/>
          <w:b/>
          <w:szCs w:val="24"/>
          <w:lang w:eastAsia="en-US"/>
        </w:rPr>
      </w:pPr>
    </w:p>
    <w:p w:rsidR="00080401" w:rsidRDefault="00080401" w:rsidP="00080401">
      <w:pPr>
        <w:widowControl/>
        <w:suppressLineNumbers w:val="0"/>
        <w:suppressAutoHyphens w:val="0"/>
        <w:ind w:firstLine="0"/>
        <w:jc w:val="center"/>
        <w:rPr>
          <w:rFonts w:eastAsia="Calibri"/>
          <w:b/>
          <w:szCs w:val="24"/>
          <w:lang w:eastAsia="en-US"/>
        </w:rPr>
      </w:pPr>
    </w:p>
    <w:p w:rsidR="00080401" w:rsidRDefault="00080401" w:rsidP="00080401">
      <w:pPr>
        <w:widowControl/>
        <w:suppressLineNumbers w:val="0"/>
        <w:suppressAutoHyphens w:val="0"/>
        <w:ind w:firstLine="0"/>
        <w:jc w:val="center"/>
        <w:rPr>
          <w:rFonts w:eastAsia="Calibri"/>
          <w:b/>
          <w:szCs w:val="24"/>
          <w:lang w:eastAsia="en-US"/>
        </w:rPr>
      </w:pPr>
    </w:p>
    <w:p w:rsidR="00CD68EB" w:rsidRPr="00D87F6E" w:rsidRDefault="00CD68EB" w:rsidP="00080401">
      <w:pPr>
        <w:widowControl/>
        <w:suppressLineNumbers w:val="0"/>
        <w:suppressAutoHyphens w:val="0"/>
        <w:ind w:firstLine="0"/>
        <w:jc w:val="center"/>
        <w:rPr>
          <w:rFonts w:eastAsia="Calibri"/>
          <w:b/>
          <w:szCs w:val="24"/>
          <w:lang w:eastAsia="en-US"/>
        </w:rPr>
      </w:pPr>
      <w:r w:rsidRPr="00D87F6E">
        <w:rPr>
          <w:rFonts w:eastAsia="Calibri"/>
          <w:b/>
          <w:szCs w:val="24"/>
          <w:lang w:eastAsia="en-US"/>
        </w:rPr>
        <w:t>Quadro 1 – Pesquisas relacionadas</w:t>
      </w:r>
    </w:p>
    <w:p w:rsidR="00CD68EB" w:rsidRPr="00D87F6E" w:rsidRDefault="006E0DEE" w:rsidP="00080401">
      <w:pPr>
        <w:ind w:firstLine="0"/>
      </w:pPr>
      <w:r w:rsidRPr="006E0DEE">
        <w:rPr>
          <w:noProof/>
        </w:rPr>
        <w:lastRenderedPageBreak/>
        <w:drawing>
          <wp:inline distT="0" distB="0" distL="0" distR="0">
            <wp:extent cx="5991225" cy="652462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91225" cy="6524625"/>
                    </a:xfrm>
                    <a:prstGeom prst="rect">
                      <a:avLst/>
                    </a:prstGeom>
                    <a:noFill/>
                    <a:ln>
                      <a:noFill/>
                    </a:ln>
                  </pic:spPr>
                </pic:pic>
              </a:graphicData>
            </a:graphic>
          </wp:inline>
        </w:drawing>
      </w:r>
    </w:p>
    <w:p w:rsidR="00CD68EB" w:rsidRPr="00D87F6E" w:rsidRDefault="00CD68EB" w:rsidP="00080401">
      <w:pPr>
        <w:ind w:firstLine="0"/>
        <w:jc w:val="left"/>
        <w:rPr>
          <w:szCs w:val="24"/>
        </w:rPr>
        <w:sectPr w:rsidR="00CD68EB" w:rsidRPr="00D87F6E" w:rsidSect="00080401">
          <w:type w:val="continuous"/>
          <w:pgSz w:w="12240" w:h="15840" w:code="119"/>
          <w:pgMar w:top="1701" w:right="1134" w:bottom="1134" w:left="1701" w:header="142" w:footer="113" w:gutter="0"/>
          <w:cols w:space="720"/>
          <w:docGrid w:linePitch="326"/>
        </w:sectPr>
      </w:pPr>
      <w:r w:rsidRPr="00D87F6E">
        <w:rPr>
          <w:rFonts w:eastAsia="Calibri"/>
          <w:sz w:val="20"/>
          <w:lang w:eastAsia="en-US"/>
        </w:rPr>
        <w:t>Fonte: Dados da Pesquisa.</w:t>
      </w:r>
    </w:p>
    <w:p w:rsidR="00701EE9" w:rsidRPr="00D87F6E" w:rsidRDefault="00BF555B" w:rsidP="00080401">
      <w:pPr>
        <w:widowControl/>
        <w:suppressLineNumbers w:val="0"/>
        <w:suppressAutoHyphens w:val="0"/>
        <w:ind w:firstLine="0"/>
        <w:rPr>
          <w:rFonts w:eastAsia="Calibri"/>
          <w:b/>
          <w:szCs w:val="24"/>
          <w:lang w:eastAsia="en-US"/>
        </w:rPr>
      </w:pPr>
      <w:r w:rsidRPr="00D87F6E">
        <w:rPr>
          <w:rFonts w:eastAsia="Calibri"/>
          <w:b/>
          <w:szCs w:val="24"/>
          <w:lang w:eastAsia="en-US"/>
        </w:rPr>
        <w:lastRenderedPageBreak/>
        <w:t>2.3 Hipóteses da Pesquisa</w:t>
      </w:r>
    </w:p>
    <w:p w:rsidR="00ED2E94" w:rsidRPr="00D87F6E" w:rsidRDefault="00ED2E94" w:rsidP="00080401">
      <w:pPr>
        <w:widowControl/>
        <w:suppressLineNumbers w:val="0"/>
        <w:suppressAutoHyphens w:val="0"/>
        <w:ind w:firstLine="0"/>
        <w:rPr>
          <w:rFonts w:eastAsia="Calibri"/>
          <w:b/>
          <w:szCs w:val="24"/>
          <w:lang w:eastAsia="en-US"/>
        </w:rPr>
      </w:pPr>
    </w:p>
    <w:p w:rsidR="00BF555B" w:rsidRPr="00D87F6E" w:rsidRDefault="00BF555B" w:rsidP="00080401">
      <w:pPr>
        <w:widowControl/>
        <w:suppressLineNumbers w:val="0"/>
        <w:suppressAutoHyphens w:val="0"/>
        <w:rPr>
          <w:rFonts w:eastAsia="Calibri"/>
          <w:szCs w:val="24"/>
          <w:lang w:eastAsia="en-US"/>
        </w:rPr>
      </w:pPr>
      <w:r w:rsidRPr="00D87F6E">
        <w:rPr>
          <w:rFonts w:eastAsia="Calibri"/>
          <w:szCs w:val="24"/>
          <w:lang w:eastAsia="en-US"/>
        </w:rPr>
        <w:t>O Quadro 2, a seguir, demonstra a definição das hipóteses investigadas na presente pesquisa.</w:t>
      </w:r>
    </w:p>
    <w:p w:rsidR="00701EE9" w:rsidRPr="00D87F6E" w:rsidRDefault="00701EE9" w:rsidP="00080401">
      <w:pPr>
        <w:widowControl/>
        <w:suppressLineNumbers w:val="0"/>
        <w:suppressAutoHyphens w:val="0"/>
        <w:rPr>
          <w:rFonts w:eastAsia="Calibri"/>
          <w:szCs w:val="24"/>
          <w:lang w:eastAsia="en-US"/>
        </w:rPr>
      </w:pPr>
    </w:p>
    <w:p w:rsidR="00BF555B" w:rsidRPr="00D87F6E" w:rsidRDefault="00BF555B" w:rsidP="00080401">
      <w:pPr>
        <w:widowControl/>
        <w:suppressLineNumbers w:val="0"/>
        <w:suppressAutoHyphens w:val="0"/>
        <w:jc w:val="center"/>
        <w:rPr>
          <w:rFonts w:eastAsia="Calibri"/>
          <w:b/>
          <w:szCs w:val="24"/>
          <w:lang w:eastAsia="en-US"/>
        </w:rPr>
      </w:pPr>
      <w:r w:rsidRPr="00D87F6E">
        <w:rPr>
          <w:rFonts w:eastAsia="Calibri"/>
          <w:b/>
          <w:szCs w:val="24"/>
          <w:lang w:eastAsia="en-US"/>
        </w:rPr>
        <w:t>Quadro 2 – Hipóteses da pesquisa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11"/>
        <w:gridCol w:w="8201"/>
      </w:tblGrid>
      <w:tr w:rsidR="00251793" w:rsidRPr="00D87F6E" w:rsidTr="009972E1">
        <w:trPr>
          <w:jc w:val="center"/>
        </w:trPr>
        <w:tc>
          <w:tcPr>
            <w:tcW w:w="1211" w:type="dxa"/>
            <w:shd w:val="clear" w:color="auto" w:fill="D9D9D9"/>
            <w:vAlign w:val="center"/>
          </w:tcPr>
          <w:p w:rsidR="00BF555B" w:rsidRPr="00D87F6E" w:rsidRDefault="00BF555B" w:rsidP="00080401">
            <w:pPr>
              <w:widowControl/>
              <w:suppressLineNumbers w:val="0"/>
              <w:suppressAutoHyphens w:val="0"/>
              <w:ind w:firstLine="0"/>
              <w:jc w:val="center"/>
              <w:rPr>
                <w:rFonts w:eastAsia="Calibri"/>
                <w:b/>
                <w:sz w:val="20"/>
                <w:szCs w:val="22"/>
                <w:lang w:eastAsia="en-US"/>
              </w:rPr>
            </w:pPr>
            <w:r w:rsidRPr="00D87F6E">
              <w:rPr>
                <w:rFonts w:eastAsia="Calibri"/>
                <w:b/>
                <w:sz w:val="20"/>
                <w:szCs w:val="22"/>
                <w:lang w:eastAsia="en-US"/>
              </w:rPr>
              <w:t>Hipóteses</w:t>
            </w:r>
          </w:p>
        </w:tc>
        <w:tc>
          <w:tcPr>
            <w:tcW w:w="8201" w:type="dxa"/>
            <w:shd w:val="clear" w:color="auto" w:fill="D9D9D9"/>
            <w:vAlign w:val="center"/>
          </w:tcPr>
          <w:p w:rsidR="00BF555B" w:rsidRPr="00D87F6E" w:rsidRDefault="00BF555B" w:rsidP="00080401">
            <w:pPr>
              <w:widowControl/>
              <w:suppressLineNumbers w:val="0"/>
              <w:suppressAutoHyphens w:val="0"/>
              <w:ind w:firstLine="0"/>
              <w:jc w:val="center"/>
              <w:rPr>
                <w:rFonts w:eastAsia="Calibri"/>
                <w:b/>
                <w:sz w:val="20"/>
                <w:szCs w:val="22"/>
                <w:lang w:eastAsia="en-US"/>
              </w:rPr>
            </w:pPr>
            <w:r w:rsidRPr="00D87F6E">
              <w:rPr>
                <w:rFonts w:eastAsia="Calibri"/>
                <w:b/>
                <w:sz w:val="20"/>
                <w:szCs w:val="22"/>
                <w:lang w:eastAsia="en-US"/>
              </w:rPr>
              <w:t>Definição</w:t>
            </w:r>
          </w:p>
        </w:tc>
      </w:tr>
      <w:tr w:rsidR="00251793" w:rsidRPr="00D87F6E" w:rsidTr="002D2ABB">
        <w:trPr>
          <w:jc w:val="center"/>
        </w:trPr>
        <w:tc>
          <w:tcPr>
            <w:tcW w:w="1211" w:type="dxa"/>
            <w:shd w:val="clear" w:color="auto" w:fill="auto"/>
            <w:vAlign w:val="center"/>
          </w:tcPr>
          <w:p w:rsidR="00BF555B" w:rsidRPr="00D87F6E" w:rsidRDefault="00BF555B" w:rsidP="00080401">
            <w:pPr>
              <w:widowControl/>
              <w:suppressLineNumbers w:val="0"/>
              <w:suppressAutoHyphens w:val="0"/>
              <w:ind w:firstLine="0"/>
              <w:jc w:val="center"/>
              <w:rPr>
                <w:rFonts w:eastAsia="Calibri"/>
                <w:b/>
                <w:sz w:val="20"/>
                <w:szCs w:val="22"/>
                <w:vertAlign w:val="subscript"/>
                <w:lang w:eastAsia="en-US"/>
              </w:rPr>
            </w:pPr>
            <w:r w:rsidRPr="00D87F6E">
              <w:rPr>
                <w:rFonts w:eastAsia="Calibri"/>
                <w:b/>
                <w:sz w:val="20"/>
                <w:szCs w:val="22"/>
                <w:lang w:eastAsia="en-US"/>
              </w:rPr>
              <w:t>H</w:t>
            </w:r>
            <w:r w:rsidRPr="00D87F6E">
              <w:rPr>
                <w:rFonts w:eastAsia="Calibri"/>
                <w:b/>
                <w:sz w:val="20"/>
                <w:szCs w:val="22"/>
                <w:vertAlign w:val="subscript"/>
                <w:lang w:eastAsia="en-US"/>
              </w:rPr>
              <w:t>1</w:t>
            </w:r>
          </w:p>
        </w:tc>
        <w:tc>
          <w:tcPr>
            <w:tcW w:w="8201" w:type="dxa"/>
            <w:shd w:val="clear" w:color="auto" w:fill="auto"/>
            <w:vAlign w:val="center"/>
          </w:tcPr>
          <w:p w:rsidR="00BF555B" w:rsidRPr="00D87F6E" w:rsidRDefault="00BF555B" w:rsidP="00080401">
            <w:pPr>
              <w:widowControl/>
              <w:suppressLineNumbers w:val="0"/>
              <w:suppressAutoHyphens w:val="0"/>
              <w:ind w:firstLine="0"/>
              <w:jc w:val="center"/>
              <w:rPr>
                <w:rFonts w:eastAsia="Calibri"/>
                <w:sz w:val="20"/>
                <w:szCs w:val="22"/>
                <w:lang w:eastAsia="en-US"/>
              </w:rPr>
            </w:pPr>
            <w:r w:rsidRPr="00D87F6E">
              <w:rPr>
                <w:rFonts w:eastAsia="Calibri"/>
                <w:sz w:val="20"/>
                <w:szCs w:val="22"/>
                <w:lang w:eastAsia="en-US"/>
              </w:rPr>
              <w:t xml:space="preserve">Existe uma relação positiva entre o </w:t>
            </w:r>
            <w:r w:rsidRPr="00D87F6E">
              <w:rPr>
                <w:rFonts w:eastAsia="Calibri"/>
                <w:i/>
                <w:sz w:val="20"/>
                <w:szCs w:val="22"/>
                <w:lang w:eastAsia="en-US"/>
              </w:rPr>
              <w:t>book to market</w:t>
            </w:r>
            <w:r w:rsidRPr="00D87F6E">
              <w:rPr>
                <w:rFonts w:eastAsia="Calibri"/>
                <w:sz w:val="20"/>
                <w:szCs w:val="22"/>
                <w:lang w:eastAsia="en-US"/>
              </w:rPr>
              <w:t xml:space="preserve"> e o reconhecimento das perdas por </w:t>
            </w:r>
            <w:r w:rsidRPr="00D87F6E">
              <w:rPr>
                <w:rFonts w:eastAsia="Calibri"/>
                <w:i/>
                <w:sz w:val="20"/>
                <w:szCs w:val="22"/>
                <w:lang w:eastAsia="en-US"/>
              </w:rPr>
              <w:t>impairment</w:t>
            </w:r>
            <w:r w:rsidRPr="00D87F6E">
              <w:rPr>
                <w:rFonts w:eastAsia="Calibri"/>
                <w:sz w:val="20"/>
                <w:szCs w:val="22"/>
                <w:lang w:eastAsia="en-US"/>
              </w:rPr>
              <w:t xml:space="preserve"> do </w:t>
            </w:r>
            <w:r w:rsidRPr="00D87F6E">
              <w:rPr>
                <w:rFonts w:eastAsia="Calibri"/>
                <w:i/>
                <w:sz w:val="20"/>
                <w:szCs w:val="22"/>
                <w:lang w:eastAsia="en-US"/>
              </w:rPr>
              <w:t>goodwill</w:t>
            </w:r>
          </w:p>
        </w:tc>
      </w:tr>
      <w:tr w:rsidR="00251793" w:rsidRPr="00D87F6E" w:rsidTr="002D2ABB">
        <w:trPr>
          <w:jc w:val="center"/>
        </w:trPr>
        <w:tc>
          <w:tcPr>
            <w:tcW w:w="1211" w:type="dxa"/>
            <w:shd w:val="clear" w:color="auto" w:fill="auto"/>
            <w:vAlign w:val="center"/>
          </w:tcPr>
          <w:p w:rsidR="00BF555B" w:rsidRPr="00D87F6E" w:rsidRDefault="00BF555B" w:rsidP="00080401">
            <w:pPr>
              <w:widowControl/>
              <w:suppressLineNumbers w:val="0"/>
              <w:suppressAutoHyphens w:val="0"/>
              <w:ind w:firstLine="0"/>
              <w:jc w:val="center"/>
              <w:rPr>
                <w:rFonts w:eastAsia="Calibri"/>
                <w:b/>
                <w:sz w:val="20"/>
                <w:szCs w:val="22"/>
                <w:vertAlign w:val="subscript"/>
                <w:lang w:eastAsia="en-US"/>
              </w:rPr>
            </w:pPr>
            <w:r w:rsidRPr="00D87F6E">
              <w:rPr>
                <w:rFonts w:eastAsia="Calibri"/>
                <w:b/>
                <w:sz w:val="20"/>
                <w:szCs w:val="22"/>
                <w:lang w:eastAsia="en-US"/>
              </w:rPr>
              <w:t>H</w:t>
            </w:r>
            <w:r w:rsidRPr="00D87F6E">
              <w:rPr>
                <w:rFonts w:eastAsia="Calibri"/>
                <w:b/>
                <w:sz w:val="20"/>
                <w:szCs w:val="22"/>
                <w:vertAlign w:val="subscript"/>
                <w:lang w:eastAsia="en-US"/>
              </w:rPr>
              <w:t>2</w:t>
            </w:r>
          </w:p>
        </w:tc>
        <w:tc>
          <w:tcPr>
            <w:tcW w:w="8201" w:type="dxa"/>
            <w:shd w:val="clear" w:color="auto" w:fill="auto"/>
            <w:vAlign w:val="center"/>
          </w:tcPr>
          <w:p w:rsidR="00BF555B" w:rsidRPr="00D87F6E" w:rsidRDefault="00BF555B" w:rsidP="00080401">
            <w:pPr>
              <w:widowControl/>
              <w:suppressLineNumbers w:val="0"/>
              <w:suppressAutoHyphens w:val="0"/>
              <w:ind w:firstLine="0"/>
              <w:jc w:val="center"/>
              <w:rPr>
                <w:rFonts w:eastAsia="Calibri"/>
                <w:b/>
                <w:sz w:val="20"/>
                <w:szCs w:val="22"/>
                <w:lang w:eastAsia="en-US"/>
              </w:rPr>
            </w:pPr>
            <w:r w:rsidRPr="00D87F6E">
              <w:rPr>
                <w:rFonts w:eastAsia="Calibri"/>
                <w:sz w:val="20"/>
                <w:szCs w:val="22"/>
                <w:lang w:eastAsia="en-US"/>
              </w:rPr>
              <w:t>Existe uma relação, sem sinal definido, entre a quantidade de unidade geradora de caixa e o reconhecimento das perdas por</w:t>
            </w:r>
            <w:r w:rsidRPr="00D87F6E">
              <w:rPr>
                <w:rFonts w:eastAsia="Calibri"/>
                <w:i/>
                <w:sz w:val="20"/>
                <w:szCs w:val="22"/>
                <w:lang w:eastAsia="en-US"/>
              </w:rPr>
              <w:t xml:space="preserve"> impairment</w:t>
            </w:r>
            <w:r w:rsidRPr="00D87F6E">
              <w:rPr>
                <w:rFonts w:eastAsia="Calibri"/>
                <w:sz w:val="20"/>
                <w:szCs w:val="22"/>
                <w:lang w:eastAsia="en-US"/>
              </w:rPr>
              <w:t xml:space="preserve"> do </w:t>
            </w:r>
            <w:r w:rsidRPr="00D87F6E">
              <w:rPr>
                <w:rFonts w:eastAsia="Calibri"/>
                <w:i/>
                <w:sz w:val="20"/>
                <w:szCs w:val="22"/>
                <w:lang w:eastAsia="en-US"/>
              </w:rPr>
              <w:t>goodwill</w:t>
            </w:r>
          </w:p>
        </w:tc>
      </w:tr>
      <w:tr w:rsidR="00251793" w:rsidRPr="00D87F6E" w:rsidTr="002D2ABB">
        <w:trPr>
          <w:jc w:val="center"/>
        </w:trPr>
        <w:tc>
          <w:tcPr>
            <w:tcW w:w="1211" w:type="dxa"/>
            <w:shd w:val="clear" w:color="auto" w:fill="auto"/>
            <w:vAlign w:val="center"/>
          </w:tcPr>
          <w:p w:rsidR="00BF555B" w:rsidRPr="00D87F6E" w:rsidRDefault="00BF555B" w:rsidP="00080401">
            <w:pPr>
              <w:widowControl/>
              <w:suppressLineNumbers w:val="0"/>
              <w:suppressAutoHyphens w:val="0"/>
              <w:ind w:firstLine="0"/>
              <w:jc w:val="center"/>
              <w:rPr>
                <w:rFonts w:eastAsia="Calibri"/>
                <w:b/>
                <w:sz w:val="20"/>
                <w:szCs w:val="22"/>
                <w:vertAlign w:val="subscript"/>
                <w:lang w:eastAsia="en-US"/>
              </w:rPr>
            </w:pPr>
            <w:r w:rsidRPr="00D87F6E">
              <w:rPr>
                <w:rFonts w:eastAsia="Calibri"/>
                <w:b/>
                <w:sz w:val="20"/>
                <w:szCs w:val="22"/>
                <w:lang w:eastAsia="en-US"/>
              </w:rPr>
              <w:t>H</w:t>
            </w:r>
            <w:r w:rsidRPr="00D87F6E">
              <w:rPr>
                <w:rFonts w:eastAsia="Calibri"/>
                <w:b/>
                <w:sz w:val="20"/>
                <w:szCs w:val="22"/>
                <w:vertAlign w:val="subscript"/>
                <w:lang w:eastAsia="en-US"/>
              </w:rPr>
              <w:t>3</w:t>
            </w:r>
          </w:p>
        </w:tc>
        <w:tc>
          <w:tcPr>
            <w:tcW w:w="8201" w:type="dxa"/>
            <w:shd w:val="clear" w:color="auto" w:fill="auto"/>
            <w:vAlign w:val="center"/>
          </w:tcPr>
          <w:p w:rsidR="00BF555B" w:rsidRPr="00D87F6E" w:rsidRDefault="00BF555B" w:rsidP="00080401">
            <w:pPr>
              <w:widowControl/>
              <w:suppressLineNumbers w:val="0"/>
              <w:suppressAutoHyphens w:val="0"/>
              <w:ind w:firstLine="0"/>
              <w:jc w:val="center"/>
              <w:rPr>
                <w:rFonts w:eastAsia="Calibri"/>
                <w:b/>
                <w:sz w:val="20"/>
                <w:szCs w:val="22"/>
                <w:lang w:eastAsia="en-US"/>
              </w:rPr>
            </w:pPr>
            <w:r w:rsidRPr="00D87F6E">
              <w:rPr>
                <w:rFonts w:eastAsia="Calibri"/>
                <w:sz w:val="20"/>
                <w:szCs w:val="22"/>
                <w:lang w:eastAsia="en-US"/>
              </w:rPr>
              <w:t>Existe uma relação negativa entre o</w:t>
            </w:r>
            <w:r w:rsidRPr="00D87F6E">
              <w:rPr>
                <w:rFonts w:eastAsia="Calibri"/>
                <w:i/>
                <w:sz w:val="20"/>
                <w:szCs w:val="22"/>
                <w:lang w:eastAsia="en-US"/>
              </w:rPr>
              <w:t xml:space="preserve"> turnover</w:t>
            </w:r>
            <w:r w:rsidRPr="00D87F6E">
              <w:rPr>
                <w:rFonts w:eastAsia="Calibri"/>
                <w:sz w:val="20"/>
                <w:szCs w:val="22"/>
                <w:lang w:eastAsia="en-US"/>
              </w:rPr>
              <w:t xml:space="preserve"> e o reconhecimento das perdas por </w:t>
            </w:r>
            <w:r w:rsidRPr="00D87F6E">
              <w:rPr>
                <w:rFonts w:eastAsia="Calibri"/>
                <w:i/>
                <w:sz w:val="20"/>
                <w:szCs w:val="22"/>
                <w:lang w:eastAsia="en-US"/>
              </w:rPr>
              <w:t>impairment</w:t>
            </w:r>
            <w:r w:rsidRPr="00D87F6E">
              <w:rPr>
                <w:rFonts w:eastAsia="Calibri"/>
                <w:sz w:val="20"/>
                <w:szCs w:val="22"/>
                <w:lang w:eastAsia="en-US"/>
              </w:rPr>
              <w:t xml:space="preserve"> do </w:t>
            </w:r>
            <w:r w:rsidRPr="00D87F6E">
              <w:rPr>
                <w:rFonts w:eastAsia="Calibri"/>
                <w:i/>
                <w:sz w:val="20"/>
                <w:szCs w:val="22"/>
                <w:lang w:eastAsia="en-US"/>
              </w:rPr>
              <w:t>goodwill</w:t>
            </w:r>
          </w:p>
        </w:tc>
      </w:tr>
      <w:tr w:rsidR="00251793" w:rsidRPr="00D87F6E" w:rsidTr="002D2ABB">
        <w:trPr>
          <w:jc w:val="center"/>
        </w:trPr>
        <w:tc>
          <w:tcPr>
            <w:tcW w:w="1211" w:type="dxa"/>
            <w:shd w:val="clear" w:color="auto" w:fill="auto"/>
            <w:vAlign w:val="center"/>
          </w:tcPr>
          <w:p w:rsidR="00BF555B" w:rsidRPr="00D87F6E" w:rsidRDefault="00BF555B" w:rsidP="00080401">
            <w:pPr>
              <w:widowControl/>
              <w:suppressLineNumbers w:val="0"/>
              <w:suppressAutoHyphens w:val="0"/>
              <w:ind w:firstLine="0"/>
              <w:jc w:val="center"/>
              <w:rPr>
                <w:rFonts w:eastAsia="Calibri"/>
                <w:b/>
                <w:sz w:val="20"/>
                <w:szCs w:val="22"/>
                <w:vertAlign w:val="subscript"/>
                <w:lang w:eastAsia="en-US"/>
              </w:rPr>
            </w:pPr>
            <w:r w:rsidRPr="00D87F6E">
              <w:rPr>
                <w:rFonts w:eastAsia="Calibri"/>
                <w:b/>
                <w:sz w:val="20"/>
                <w:szCs w:val="22"/>
                <w:lang w:eastAsia="en-US"/>
              </w:rPr>
              <w:t>H</w:t>
            </w:r>
            <w:r w:rsidRPr="00D87F6E">
              <w:rPr>
                <w:rFonts w:eastAsia="Calibri"/>
                <w:b/>
                <w:sz w:val="20"/>
                <w:szCs w:val="22"/>
                <w:vertAlign w:val="subscript"/>
                <w:lang w:eastAsia="en-US"/>
              </w:rPr>
              <w:t>4</w:t>
            </w:r>
          </w:p>
        </w:tc>
        <w:tc>
          <w:tcPr>
            <w:tcW w:w="8201" w:type="dxa"/>
            <w:shd w:val="clear" w:color="auto" w:fill="auto"/>
            <w:vAlign w:val="center"/>
          </w:tcPr>
          <w:p w:rsidR="00BF555B" w:rsidRPr="00D87F6E" w:rsidRDefault="00BF555B" w:rsidP="00080401">
            <w:pPr>
              <w:widowControl/>
              <w:suppressLineNumbers w:val="0"/>
              <w:suppressAutoHyphens w:val="0"/>
              <w:ind w:firstLine="0"/>
              <w:jc w:val="center"/>
              <w:rPr>
                <w:rFonts w:eastAsia="Calibri"/>
                <w:b/>
                <w:sz w:val="20"/>
                <w:szCs w:val="22"/>
                <w:lang w:eastAsia="en-US"/>
              </w:rPr>
            </w:pPr>
            <w:r w:rsidRPr="00D87F6E">
              <w:rPr>
                <w:rFonts w:eastAsia="Calibri"/>
                <w:sz w:val="20"/>
                <w:szCs w:val="22"/>
                <w:lang w:eastAsia="en-US"/>
              </w:rPr>
              <w:t xml:space="preserve">Existe uma relação negativa entre a variação do fluxo de caixa operacional e o reconhecimento das perdas por </w:t>
            </w:r>
            <w:r w:rsidRPr="00D87F6E">
              <w:rPr>
                <w:rFonts w:eastAsia="Calibri"/>
                <w:i/>
                <w:sz w:val="20"/>
                <w:szCs w:val="22"/>
                <w:lang w:eastAsia="en-US"/>
              </w:rPr>
              <w:t>impairment</w:t>
            </w:r>
            <w:r w:rsidRPr="00D87F6E">
              <w:rPr>
                <w:rFonts w:eastAsia="Calibri"/>
                <w:sz w:val="20"/>
                <w:szCs w:val="22"/>
                <w:lang w:eastAsia="en-US"/>
              </w:rPr>
              <w:t xml:space="preserve"> do</w:t>
            </w:r>
            <w:r w:rsidRPr="00D87F6E">
              <w:rPr>
                <w:rFonts w:eastAsia="Calibri"/>
                <w:i/>
                <w:sz w:val="20"/>
                <w:szCs w:val="22"/>
                <w:lang w:eastAsia="en-US"/>
              </w:rPr>
              <w:t xml:space="preserve"> goodwill</w:t>
            </w:r>
          </w:p>
        </w:tc>
      </w:tr>
      <w:tr w:rsidR="00251793" w:rsidRPr="00D87F6E" w:rsidTr="002D2ABB">
        <w:trPr>
          <w:jc w:val="center"/>
        </w:trPr>
        <w:tc>
          <w:tcPr>
            <w:tcW w:w="1211" w:type="dxa"/>
            <w:shd w:val="clear" w:color="auto" w:fill="auto"/>
            <w:vAlign w:val="center"/>
          </w:tcPr>
          <w:p w:rsidR="00BF555B" w:rsidRPr="00D87F6E" w:rsidRDefault="00BF555B" w:rsidP="00080401">
            <w:pPr>
              <w:widowControl/>
              <w:suppressLineNumbers w:val="0"/>
              <w:suppressAutoHyphens w:val="0"/>
              <w:ind w:firstLine="0"/>
              <w:jc w:val="center"/>
              <w:rPr>
                <w:rFonts w:eastAsia="Calibri"/>
                <w:b/>
                <w:sz w:val="20"/>
                <w:szCs w:val="22"/>
                <w:vertAlign w:val="subscript"/>
                <w:lang w:eastAsia="en-US"/>
              </w:rPr>
            </w:pPr>
            <w:r w:rsidRPr="00D87F6E">
              <w:rPr>
                <w:rFonts w:eastAsia="Calibri"/>
                <w:b/>
                <w:sz w:val="20"/>
                <w:szCs w:val="22"/>
                <w:lang w:eastAsia="en-US"/>
              </w:rPr>
              <w:t>H</w:t>
            </w:r>
            <w:r w:rsidRPr="00D87F6E">
              <w:rPr>
                <w:rFonts w:eastAsia="Calibri"/>
                <w:b/>
                <w:sz w:val="20"/>
                <w:szCs w:val="22"/>
                <w:vertAlign w:val="subscript"/>
                <w:lang w:eastAsia="en-US"/>
              </w:rPr>
              <w:t>5</w:t>
            </w:r>
          </w:p>
        </w:tc>
        <w:tc>
          <w:tcPr>
            <w:tcW w:w="8201" w:type="dxa"/>
            <w:shd w:val="clear" w:color="auto" w:fill="auto"/>
            <w:vAlign w:val="center"/>
          </w:tcPr>
          <w:p w:rsidR="00BF555B" w:rsidRPr="00D87F6E" w:rsidRDefault="00BF555B" w:rsidP="00080401">
            <w:pPr>
              <w:widowControl/>
              <w:suppressLineNumbers w:val="0"/>
              <w:suppressAutoHyphens w:val="0"/>
              <w:ind w:firstLine="0"/>
              <w:jc w:val="center"/>
              <w:rPr>
                <w:rFonts w:eastAsia="Calibri"/>
                <w:sz w:val="20"/>
                <w:szCs w:val="22"/>
                <w:lang w:eastAsia="en-US"/>
              </w:rPr>
            </w:pPr>
            <w:r w:rsidRPr="00D87F6E">
              <w:rPr>
                <w:rFonts w:eastAsia="Calibri"/>
                <w:sz w:val="20"/>
                <w:szCs w:val="22"/>
                <w:lang w:eastAsia="en-US"/>
              </w:rPr>
              <w:t xml:space="preserve">Existe uma relação negativa entre a rentabilidade do ativo e o reconhecimento das perdas por </w:t>
            </w:r>
            <w:r w:rsidRPr="00D87F6E">
              <w:rPr>
                <w:rFonts w:eastAsia="Calibri"/>
                <w:i/>
                <w:sz w:val="20"/>
                <w:szCs w:val="22"/>
                <w:lang w:eastAsia="en-US"/>
              </w:rPr>
              <w:t xml:space="preserve">impairment </w:t>
            </w:r>
            <w:r w:rsidRPr="00D87F6E">
              <w:rPr>
                <w:rFonts w:eastAsia="Calibri"/>
                <w:sz w:val="20"/>
                <w:szCs w:val="22"/>
                <w:lang w:eastAsia="en-US"/>
              </w:rPr>
              <w:t xml:space="preserve">do </w:t>
            </w:r>
            <w:r w:rsidRPr="00D87F6E">
              <w:rPr>
                <w:rFonts w:eastAsia="Calibri"/>
                <w:i/>
                <w:sz w:val="20"/>
                <w:szCs w:val="22"/>
                <w:lang w:eastAsia="en-US"/>
              </w:rPr>
              <w:t>goodwill</w:t>
            </w:r>
          </w:p>
        </w:tc>
      </w:tr>
      <w:tr w:rsidR="00251793" w:rsidRPr="00D87F6E" w:rsidTr="002D2ABB">
        <w:trPr>
          <w:jc w:val="center"/>
        </w:trPr>
        <w:tc>
          <w:tcPr>
            <w:tcW w:w="1211" w:type="dxa"/>
            <w:shd w:val="clear" w:color="auto" w:fill="auto"/>
            <w:vAlign w:val="center"/>
          </w:tcPr>
          <w:p w:rsidR="00BF555B" w:rsidRPr="00D87F6E" w:rsidRDefault="00BF555B" w:rsidP="00080401">
            <w:pPr>
              <w:widowControl/>
              <w:suppressLineNumbers w:val="0"/>
              <w:suppressAutoHyphens w:val="0"/>
              <w:ind w:firstLine="0"/>
              <w:jc w:val="center"/>
              <w:rPr>
                <w:rFonts w:eastAsia="Calibri"/>
                <w:b/>
                <w:sz w:val="20"/>
                <w:szCs w:val="22"/>
                <w:vertAlign w:val="subscript"/>
                <w:lang w:eastAsia="en-US"/>
              </w:rPr>
            </w:pPr>
            <w:r w:rsidRPr="00D87F6E">
              <w:rPr>
                <w:rFonts w:eastAsia="Calibri"/>
                <w:b/>
                <w:sz w:val="20"/>
                <w:szCs w:val="22"/>
                <w:lang w:eastAsia="en-US"/>
              </w:rPr>
              <w:t>H</w:t>
            </w:r>
            <w:r w:rsidRPr="00D87F6E">
              <w:rPr>
                <w:rFonts w:eastAsia="Calibri"/>
                <w:b/>
                <w:sz w:val="20"/>
                <w:szCs w:val="22"/>
                <w:vertAlign w:val="subscript"/>
                <w:lang w:eastAsia="en-US"/>
              </w:rPr>
              <w:t>6</w:t>
            </w:r>
          </w:p>
        </w:tc>
        <w:tc>
          <w:tcPr>
            <w:tcW w:w="8201" w:type="dxa"/>
            <w:shd w:val="clear" w:color="auto" w:fill="auto"/>
            <w:vAlign w:val="center"/>
          </w:tcPr>
          <w:p w:rsidR="00BF555B" w:rsidRPr="00D87F6E" w:rsidRDefault="00BF555B" w:rsidP="00080401">
            <w:pPr>
              <w:widowControl/>
              <w:suppressLineNumbers w:val="0"/>
              <w:suppressAutoHyphens w:val="0"/>
              <w:ind w:firstLine="0"/>
              <w:jc w:val="center"/>
              <w:rPr>
                <w:rFonts w:eastAsia="Calibri"/>
                <w:sz w:val="20"/>
                <w:szCs w:val="22"/>
                <w:lang w:eastAsia="en-US"/>
              </w:rPr>
            </w:pPr>
            <w:r w:rsidRPr="00D87F6E">
              <w:rPr>
                <w:rFonts w:eastAsia="Calibri"/>
                <w:sz w:val="20"/>
                <w:szCs w:val="22"/>
                <w:lang w:eastAsia="en-US"/>
              </w:rPr>
              <w:t xml:space="preserve">Existe uma relação positiva entre o valor do </w:t>
            </w:r>
            <w:r w:rsidRPr="00D87F6E">
              <w:rPr>
                <w:rFonts w:eastAsia="Calibri"/>
                <w:i/>
                <w:sz w:val="20"/>
                <w:szCs w:val="22"/>
                <w:lang w:eastAsia="en-US"/>
              </w:rPr>
              <w:t>goodwill</w:t>
            </w:r>
            <w:r w:rsidRPr="00D87F6E">
              <w:rPr>
                <w:rFonts w:eastAsia="Calibri"/>
                <w:sz w:val="20"/>
                <w:szCs w:val="22"/>
                <w:lang w:eastAsia="en-US"/>
              </w:rPr>
              <w:t xml:space="preserve"> e o reconhecimento das perdas por </w:t>
            </w:r>
            <w:r w:rsidRPr="00D87F6E">
              <w:rPr>
                <w:rFonts w:eastAsia="Calibri"/>
                <w:i/>
                <w:sz w:val="20"/>
                <w:szCs w:val="22"/>
                <w:lang w:eastAsia="en-US"/>
              </w:rPr>
              <w:t>impairment</w:t>
            </w:r>
            <w:r w:rsidRPr="00D87F6E">
              <w:rPr>
                <w:rFonts w:eastAsia="Calibri"/>
                <w:sz w:val="20"/>
                <w:szCs w:val="22"/>
                <w:lang w:eastAsia="en-US"/>
              </w:rPr>
              <w:t xml:space="preserve"> do </w:t>
            </w:r>
            <w:r w:rsidRPr="00D87F6E">
              <w:rPr>
                <w:rFonts w:eastAsia="Calibri"/>
                <w:i/>
                <w:sz w:val="20"/>
                <w:szCs w:val="22"/>
                <w:lang w:eastAsia="en-US"/>
              </w:rPr>
              <w:t>goodwill</w:t>
            </w:r>
          </w:p>
        </w:tc>
      </w:tr>
      <w:tr w:rsidR="00251793" w:rsidRPr="00D87F6E" w:rsidTr="002D2ABB">
        <w:trPr>
          <w:jc w:val="center"/>
        </w:trPr>
        <w:tc>
          <w:tcPr>
            <w:tcW w:w="1211" w:type="dxa"/>
            <w:shd w:val="clear" w:color="auto" w:fill="auto"/>
            <w:vAlign w:val="center"/>
          </w:tcPr>
          <w:p w:rsidR="00BF555B" w:rsidRPr="00D87F6E" w:rsidRDefault="00BF555B" w:rsidP="00080401">
            <w:pPr>
              <w:widowControl/>
              <w:suppressLineNumbers w:val="0"/>
              <w:suppressAutoHyphens w:val="0"/>
              <w:ind w:firstLine="0"/>
              <w:jc w:val="center"/>
              <w:rPr>
                <w:rFonts w:eastAsia="Calibri"/>
                <w:b/>
                <w:sz w:val="20"/>
                <w:szCs w:val="22"/>
                <w:vertAlign w:val="subscript"/>
                <w:lang w:eastAsia="en-US"/>
              </w:rPr>
            </w:pPr>
            <w:r w:rsidRPr="00D87F6E">
              <w:rPr>
                <w:rFonts w:eastAsia="Calibri"/>
                <w:b/>
                <w:sz w:val="20"/>
                <w:szCs w:val="22"/>
                <w:lang w:eastAsia="en-US"/>
              </w:rPr>
              <w:t>H</w:t>
            </w:r>
            <w:r w:rsidRPr="00D87F6E">
              <w:rPr>
                <w:rFonts w:eastAsia="Calibri"/>
                <w:b/>
                <w:sz w:val="20"/>
                <w:szCs w:val="22"/>
                <w:vertAlign w:val="subscript"/>
                <w:lang w:eastAsia="en-US"/>
              </w:rPr>
              <w:t>7</w:t>
            </w:r>
          </w:p>
        </w:tc>
        <w:tc>
          <w:tcPr>
            <w:tcW w:w="8201" w:type="dxa"/>
            <w:shd w:val="clear" w:color="auto" w:fill="auto"/>
            <w:vAlign w:val="center"/>
          </w:tcPr>
          <w:p w:rsidR="00BF555B" w:rsidRPr="00D87F6E" w:rsidRDefault="00BF555B" w:rsidP="00080401">
            <w:pPr>
              <w:widowControl/>
              <w:suppressLineNumbers w:val="0"/>
              <w:suppressAutoHyphens w:val="0"/>
              <w:ind w:firstLine="0"/>
              <w:jc w:val="center"/>
              <w:rPr>
                <w:rFonts w:eastAsia="Calibri"/>
                <w:sz w:val="20"/>
                <w:szCs w:val="22"/>
                <w:lang w:eastAsia="en-US"/>
              </w:rPr>
            </w:pPr>
            <w:r w:rsidRPr="00D87F6E">
              <w:rPr>
                <w:rFonts w:eastAsia="Calibri"/>
                <w:sz w:val="20"/>
                <w:szCs w:val="22"/>
                <w:lang w:eastAsia="en-US"/>
              </w:rPr>
              <w:t xml:space="preserve">Existe uma relação negativa entre a alavancagem financeira e o reconhecimento das perdas por </w:t>
            </w:r>
            <w:r w:rsidRPr="00D87F6E">
              <w:rPr>
                <w:rFonts w:eastAsia="Calibri"/>
                <w:i/>
                <w:sz w:val="20"/>
                <w:szCs w:val="22"/>
                <w:lang w:eastAsia="en-US"/>
              </w:rPr>
              <w:t>impairment</w:t>
            </w:r>
            <w:r w:rsidRPr="00D87F6E">
              <w:rPr>
                <w:rFonts w:eastAsia="Calibri"/>
                <w:sz w:val="20"/>
                <w:szCs w:val="22"/>
                <w:lang w:eastAsia="en-US"/>
              </w:rPr>
              <w:t xml:space="preserve"> do </w:t>
            </w:r>
            <w:r w:rsidRPr="00D87F6E">
              <w:rPr>
                <w:rFonts w:eastAsia="Calibri"/>
                <w:i/>
                <w:sz w:val="20"/>
                <w:szCs w:val="22"/>
                <w:lang w:eastAsia="en-US"/>
              </w:rPr>
              <w:t>goodwill</w:t>
            </w:r>
          </w:p>
        </w:tc>
      </w:tr>
    </w:tbl>
    <w:p w:rsidR="00BF555B" w:rsidRPr="00D87F6E" w:rsidRDefault="00BF555B" w:rsidP="00080401">
      <w:pPr>
        <w:widowControl/>
        <w:suppressLineNumbers w:val="0"/>
        <w:suppressAutoHyphens w:val="0"/>
        <w:ind w:firstLine="0"/>
        <w:rPr>
          <w:rFonts w:eastAsia="Calibri"/>
          <w:sz w:val="20"/>
          <w:lang w:eastAsia="en-US"/>
        </w:rPr>
      </w:pPr>
      <w:r w:rsidRPr="00D87F6E">
        <w:rPr>
          <w:rFonts w:eastAsia="Calibri"/>
          <w:sz w:val="20"/>
          <w:lang w:eastAsia="en-US"/>
        </w:rPr>
        <w:t xml:space="preserve">Fonte: Adaptado de Klann </w:t>
      </w:r>
      <w:r w:rsidRPr="00D87F6E">
        <w:rPr>
          <w:rFonts w:eastAsia="Calibri"/>
          <w:i/>
          <w:sz w:val="20"/>
          <w:lang w:eastAsia="en-US"/>
        </w:rPr>
        <w:t>et al.</w:t>
      </w:r>
      <w:r w:rsidRPr="00D87F6E">
        <w:rPr>
          <w:rFonts w:eastAsia="Calibri"/>
          <w:sz w:val="20"/>
          <w:lang w:eastAsia="en-US"/>
        </w:rPr>
        <w:t xml:space="preserve"> (2015).</w:t>
      </w:r>
    </w:p>
    <w:p w:rsidR="00701EE9" w:rsidRPr="00D87F6E" w:rsidRDefault="00701EE9" w:rsidP="00080401">
      <w:pPr>
        <w:widowControl/>
        <w:suppressLineNumbers w:val="0"/>
        <w:suppressAutoHyphens w:val="0"/>
        <w:ind w:firstLine="0"/>
        <w:rPr>
          <w:rFonts w:eastAsia="Calibri"/>
          <w:sz w:val="20"/>
          <w:lang w:eastAsia="en-US"/>
        </w:rPr>
      </w:pPr>
    </w:p>
    <w:p w:rsidR="00BF555B" w:rsidRPr="00D87F6E" w:rsidRDefault="00BF555B" w:rsidP="00080401">
      <w:pPr>
        <w:widowControl/>
        <w:suppressLineNumbers w:val="0"/>
        <w:suppressAutoHyphens w:val="0"/>
        <w:rPr>
          <w:rFonts w:eastAsia="Calibri"/>
          <w:szCs w:val="24"/>
          <w:lang w:eastAsia="en-US"/>
        </w:rPr>
      </w:pPr>
      <w:r w:rsidRPr="00D87F6E">
        <w:rPr>
          <w:rFonts w:eastAsia="Calibri"/>
          <w:szCs w:val="24"/>
          <w:lang w:eastAsia="en-US"/>
        </w:rPr>
        <w:t xml:space="preserve">Observa-se que, a partir da finalidade de identificar quais fatores explicam o reconhecimento das perdas por </w:t>
      </w:r>
      <w:r w:rsidRPr="00D87F6E">
        <w:rPr>
          <w:rFonts w:eastAsia="Calibri"/>
          <w:i/>
          <w:szCs w:val="24"/>
          <w:lang w:eastAsia="en-US"/>
        </w:rPr>
        <w:t xml:space="preserve">impairment </w:t>
      </w:r>
      <w:r w:rsidRPr="00D87F6E">
        <w:rPr>
          <w:rFonts w:eastAsia="Calibri"/>
          <w:szCs w:val="24"/>
          <w:lang w:eastAsia="en-US"/>
        </w:rPr>
        <w:t xml:space="preserve">do </w:t>
      </w:r>
      <w:r w:rsidRPr="00D87F6E">
        <w:rPr>
          <w:rFonts w:eastAsia="Calibri"/>
          <w:i/>
          <w:szCs w:val="24"/>
          <w:lang w:eastAsia="en-US"/>
        </w:rPr>
        <w:t xml:space="preserve">goodwill </w:t>
      </w:r>
      <w:r w:rsidRPr="00D87F6E">
        <w:rPr>
          <w:rFonts w:eastAsia="Calibri"/>
          <w:szCs w:val="24"/>
          <w:lang w:eastAsia="en-US"/>
        </w:rPr>
        <w:t xml:space="preserve">resultante de uma combinação de negócios no ano de 2015, aplicam-se a este trabalho, de forma adaptada, sete das oito hipóteses investigadas por Klann </w:t>
      </w:r>
      <w:r w:rsidRPr="00D87F6E">
        <w:rPr>
          <w:rFonts w:eastAsia="Calibri"/>
          <w:i/>
          <w:szCs w:val="24"/>
          <w:lang w:eastAsia="en-US"/>
        </w:rPr>
        <w:t>et al.</w:t>
      </w:r>
      <w:r w:rsidRPr="00D87F6E">
        <w:rPr>
          <w:rFonts w:eastAsia="Calibri"/>
          <w:szCs w:val="24"/>
          <w:lang w:eastAsia="en-US"/>
        </w:rPr>
        <w:t xml:space="preserve"> (2015). </w:t>
      </w:r>
      <w:r w:rsidR="00701EE9" w:rsidRPr="00D87F6E">
        <w:rPr>
          <w:rFonts w:eastAsia="Calibri"/>
          <w:szCs w:val="24"/>
          <w:lang w:eastAsia="en-US"/>
        </w:rPr>
        <w:t>Esses</w:t>
      </w:r>
      <w:r w:rsidRPr="00D87F6E">
        <w:rPr>
          <w:rFonts w:eastAsia="Calibri"/>
          <w:szCs w:val="24"/>
          <w:lang w:eastAsia="en-US"/>
        </w:rPr>
        <w:t xml:space="preserve"> autores, conforme já mostrado no Quadro 1, buscaram examinar os determinantes do reconhecimento das perdas por </w:t>
      </w:r>
      <w:r w:rsidRPr="00D87F6E">
        <w:rPr>
          <w:rFonts w:eastAsia="Calibri"/>
          <w:i/>
          <w:szCs w:val="24"/>
          <w:lang w:eastAsia="en-US"/>
        </w:rPr>
        <w:t>impairment</w:t>
      </w:r>
      <w:r w:rsidRPr="00D87F6E">
        <w:rPr>
          <w:rFonts w:eastAsia="Calibri"/>
          <w:szCs w:val="24"/>
          <w:lang w:eastAsia="en-US"/>
        </w:rPr>
        <w:t xml:space="preserve"> do </w:t>
      </w:r>
      <w:r w:rsidRPr="00D87F6E">
        <w:rPr>
          <w:rFonts w:eastAsia="Calibri"/>
          <w:i/>
          <w:szCs w:val="24"/>
          <w:lang w:eastAsia="en-US"/>
        </w:rPr>
        <w:t>goodwill</w:t>
      </w:r>
      <w:r w:rsidRPr="00D87F6E">
        <w:rPr>
          <w:rFonts w:eastAsia="Calibri"/>
          <w:szCs w:val="24"/>
          <w:lang w:eastAsia="en-US"/>
        </w:rPr>
        <w:t xml:space="preserve"> no período de 2009 a 2013.</w:t>
      </w:r>
    </w:p>
    <w:p w:rsidR="00E24E18" w:rsidRPr="00D87F6E" w:rsidRDefault="00BF555B" w:rsidP="00080401">
      <w:pPr>
        <w:widowControl/>
        <w:suppressLineNumbers w:val="0"/>
        <w:suppressAutoHyphens w:val="0"/>
        <w:rPr>
          <w:rFonts w:eastAsia="Calibri"/>
          <w:szCs w:val="24"/>
          <w:lang w:eastAsia="en-US"/>
        </w:rPr>
      </w:pPr>
      <w:r w:rsidRPr="00D87F6E">
        <w:rPr>
          <w:rFonts w:eastAsia="Calibri"/>
          <w:szCs w:val="24"/>
          <w:lang w:eastAsia="en-US"/>
        </w:rPr>
        <w:t xml:space="preserve">Do mesmo modo, Abughazaleh </w:t>
      </w:r>
      <w:r w:rsidRPr="00D87F6E">
        <w:rPr>
          <w:rFonts w:eastAsia="Calibri"/>
          <w:i/>
          <w:szCs w:val="24"/>
          <w:lang w:eastAsia="en-US"/>
        </w:rPr>
        <w:t>et al.</w:t>
      </w:r>
      <w:r w:rsidRPr="00D87F6E">
        <w:rPr>
          <w:rFonts w:eastAsia="Calibri"/>
          <w:szCs w:val="24"/>
          <w:lang w:eastAsia="en-US"/>
        </w:rPr>
        <w:t xml:space="preserve"> (2011) esperavam: (i) maior reconhecimento de perdas por </w:t>
      </w:r>
      <w:r w:rsidRPr="00D87F6E">
        <w:rPr>
          <w:rFonts w:eastAsia="Calibri"/>
          <w:i/>
          <w:szCs w:val="24"/>
          <w:lang w:eastAsia="en-US"/>
        </w:rPr>
        <w:t>impairment</w:t>
      </w:r>
      <w:r w:rsidRPr="00D87F6E">
        <w:rPr>
          <w:rFonts w:eastAsia="Calibri"/>
          <w:szCs w:val="24"/>
          <w:lang w:eastAsia="en-US"/>
        </w:rPr>
        <w:t xml:space="preserve"> do </w:t>
      </w:r>
      <w:r w:rsidRPr="00D87F6E">
        <w:rPr>
          <w:rFonts w:eastAsia="Calibri"/>
          <w:i/>
          <w:szCs w:val="24"/>
          <w:lang w:eastAsia="en-US"/>
        </w:rPr>
        <w:t>goodwill</w:t>
      </w:r>
      <w:r w:rsidRPr="00D87F6E">
        <w:rPr>
          <w:rFonts w:eastAsia="Calibri"/>
          <w:szCs w:val="24"/>
          <w:lang w:eastAsia="en-US"/>
        </w:rPr>
        <w:t xml:space="preserve"> pelas empresas que possuíssem maior </w:t>
      </w:r>
      <w:r w:rsidRPr="00D87F6E">
        <w:rPr>
          <w:rFonts w:eastAsia="Calibri"/>
          <w:i/>
          <w:szCs w:val="24"/>
          <w:lang w:eastAsia="en-US"/>
        </w:rPr>
        <w:t>book to market</w:t>
      </w:r>
      <w:r w:rsidRPr="00D87F6E">
        <w:rPr>
          <w:rFonts w:eastAsia="Calibri"/>
          <w:szCs w:val="24"/>
          <w:lang w:eastAsia="en-US"/>
        </w:rPr>
        <w:t xml:space="preserve">; (ii) uma relação, sem sinal definido, entre UGCs e as perdas por </w:t>
      </w:r>
      <w:r w:rsidRPr="00D87F6E">
        <w:rPr>
          <w:rFonts w:eastAsia="Calibri"/>
          <w:i/>
          <w:szCs w:val="24"/>
          <w:lang w:eastAsia="en-US"/>
        </w:rPr>
        <w:t>impairment</w:t>
      </w:r>
      <w:r w:rsidRPr="00D87F6E">
        <w:rPr>
          <w:rFonts w:eastAsia="Calibri"/>
          <w:szCs w:val="24"/>
          <w:lang w:eastAsia="en-US"/>
        </w:rPr>
        <w:t xml:space="preserve"> do </w:t>
      </w:r>
      <w:r w:rsidRPr="00D87F6E">
        <w:rPr>
          <w:rFonts w:eastAsia="Calibri"/>
          <w:i/>
          <w:szCs w:val="24"/>
          <w:lang w:eastAsia="en-US"/>
        </w:rPr>
        <w:t>goodwil</w:t>
      </w:r>
      <w:r w:rsidRPr="00D87F6E">
        <w:rPr>
          <w:rFonts w:eastAsia="Calibri"/>
          <w:szCs w:val="24"/>
          <w:lang w:eastAsia="en-US"/>
        </w:rPr>
        <w:t xml:space="preserve">, uma vez que as UGCs podem ser entendidas como uma oportunidade para serem reconhecidas perdas por </w:t>
      </w:r>
      <w:r w:rsidRPr="00D87F6E">
        <w:rPr>
          <w:rFonts w:eastAsia="Calibri"/>
          <w:i/>
          <w:szCs w:val="24"/>
          <w:lang w:eastAsia="en-US"/>
        </w:rPr>
        <w:t>impairment</w:t>
      </w:r>
      <w:r w:rsidRPr="00D87F6E">
        <w:rPr>
          <w:rFonts w:eastAsia="Calibri"/>
          <w:szCs w:val="24"/>
          <w:lang w:eastAsia="en-US"/>
        </w:rPr>
        <w:t xml:space="preserve"> do </w:t>
      </w:r>
      <w:r w:rsidRPr="00D87F6E">
        <w:rPr>
          <w:rFonts w:eastAsia="Calibri"/>
          <w:i/>
          <w:szCs w:val="24"/>
          <w:lang w:eastAsia="en-US"/>
        </w:rPr>
        <w:t>goodwill</w:t>
      </w:r>
      <w:r w:rsidRPr="00D87F6E">
        <w:rPr>
          <w:rFonts w:eastAsia="Calibri"/>
          <w:szCs w:val="24"/>
          <w:lang w:eastAsia="en-US"/>
        </w:rPr>
        <w:t xml:space="preserve">,ou como um meio para evitar tais perdas; (iii) uma associação negativa entre os fluxos de caixa e as perdas por </w:t>
      </w:r>
      <w:r w:rsidRPr="00D87F6E">
        <w:rPr>
          <w:rFonts w:eastAsia="Calibri"/>
          <w:i/>
          <w:szCs w:val="24"/>
          <w:lang w:eastAsia="en-US"/>
        </w:rPr>
        <w:t>impairment</w:t>
      </w:r>
      <w:r w:rsidRPr="00D87F6E">
        <w:rPr>
          <w:rFonts w:eastAsia="Calibri"/>
          <w:szCs w:val="24"/>
          <w:lang w:eastAsia="en-US"/>
        </w:rPr>
        <w:t xml:space="preserve"> do </w:t>
      </w:r>
      <w:r w:rsidRPr="00D87F6E">
        <w:rPr>
          <w:rFonts w:eastAsia="Calibri"/>
          <w:i/>
          <w:szCs w:val="24"/>
          <w:lang w:eastAsia="en-US"/>
        </w:rPr>
        <w:t>goodwill</w:t>
      </w:r>
      <w:r w:rsidRPr="00D87F6E">
        <w:rPr>
          <w:rFonts w:eastAsia="Calibri"/>
          <w:szCs w:val="24"/>
          <w:lang w:eastAsia="en-US"/>
        </w:rPr>
        <w:t>; e (iv)</w:t>
      </w:r>
      <w:r w:rsidR="000A2C4E" w:rsidRPr="00D87F6E">
        <w:rPr>
          <w:rFonts w:eastAsia="Calibri"/>
          <w:szCs w:val="24"/>
          <w:lang w:eastAsia="en-US"/>
        </w:rPr>
        <w:t xml:space="preserve"> uma</w:t>
      </w:r>
      <w:r w:rsidRPr="00D87F6E">
        <w:rPr>
          <w:rFonts w:eastAsia="Calibri"/>
          <w:szCs w:val="24"/>
          <w:lang w:eastAsia="en-US"/>
        </w:rPr>
        <w:t xml:space="preserve"> associação positiva entre o valor do </w:t>
      </w:r>
      <w:r w:rsidRPr="00D87F6E">
        <w:rPr>
          <w:rFonts w:eastAsia="Calibri"/>
          <w:i/>
          <w:szCs w:val="24"/>
          <w:lang w:eastAsia="en-US"/>
        </w:rPr>
        <w:t>goodwill</w:t>
      </w:r>
      <w:r w:rsidRPr="00D87F6E">
        <w:rPr>
          <w:rFonts w:eastAsia="Calibri"/>
          <w:szCs w:val="24"/>
          <w:lang w:eastAsia="en-US"/>
        </w:rPr>
        <w:t xml:space="preserve"> e as perdas por </w:t>
      </w:r>
      <w:r w:rsidRPr="00D87F6E">
        <w:rPr>
          <w:rFonts w:eastAsia="Calibri"/>
          <w:i/>
          <w:szCs w:val="24"/>
          <w:lang w:eastAsia="en-US"/>
        </w:rPr>
        <w:t>impairment</w:t>
      </w:r>
      <w:r w:rsidRPr="00D87F6E">
        <w:rPr>
          <w:rFonts w:eastAsia="Calibri"/>
          <w:szCs w:val="24"/>
          <w:lang w:eastAsia="en-US"/>
        </w:rPr>
        <w:t xml:space="preserve"> do </w:t>
      </w:r>
      <w:r w:rsidRPr="00D87F6E">
        <w:rPr>
          <w:rFonts w:eastAsia="Calibri"/>
          <w:i/>
          <w:szCs w:val="24"/>
          <w:lang w:eastAsia="en-US"/>
        </w:rPr>
        <w:t>goodwill</w:t>
      </w:r>
      <w:r w:rsidRPr="00D87F6E">
        <w:rPr>
          <w:rFonts w:eastAsia="Calibri"/>
          <w:szCs w:val="24"/>
          <w:lang w:eastAsia="en-US"/>
        </w:rPr>
        <w:t>.</w:t>
      </w:r>
    </w:p>
    <w:p w:rsidR="00F4595F" w:rsidRPr="00D87F6E" w:rsidRDefault="00F4595F" w:rsidP="00080401">
      <w:pPr>
        <w:widowControl/>
        <w:suppressLineNumbers w:val="0"/>
        <w:suppressAutoHyphens w:val="0"/>
        <w:rPr>
          <w:rFonts w:eastAsia="Calibri"/>
          <w:szCs w:val="24"/>
          <w:lang w:eastAsia="en-US"/>
        </w:rPr>
      </w:pPr>
    </w:p>
    <w:p w:rsidR="00701EE9" w:rsidRPr="00D87F6E" w:rsidRDefault="00BF555B" w:rsidP="00080401">
      <w:pPr>
        <w:pStyle w:val="Ttulo1"/>
        <w:numPr>
          <w:ilvl w:val="0"/>
          <w:numId w:val="0"/>
        </w:numPr>
        <w:spacing w:before="0" w:after="0"/>
        <w:rPr>
          <w:sz w:val="24"/>
          <w:szCs w:val="24"/>
        </w:rPr>
      </w:pPr>
      <w:r w:rsidRPr="00D87F6E">
        <w:rPr>
          <w:sz w:val="24"/>
          <w:szCs w:val="24"/>
        </w:rPr>
        <w:t>3 PROCEDIMENTOS METODOLÓGICOS</w:t>
      </w:r>
    </w:p>
    <w:p w:rsidR="00ED2E94" w:rsidRPr="00D87F6E" w:rsidRDefault="00ED2E94" w:rsidP="00080401">
      <w:pPr>
        <w:rPr>
          <w:lang/>
        </w:rPr>
      </w:pPr>
    </w:p>
    <w:p w:rsidR="00BF555B" w:rsidRPr="00D87F6E" w:rsidRDefault="00BF555B" w:rsidP="00080401">
      <w:pPr>
        <w:rPr>
          <w:szCs w:val="24"/>
        </w:rPr>
      </w:pPr>
      <w:r w:rsidRPr="00D87F6E">
        <w:rPr>
          <w:szCs w:val="24"/>
        </w:rPr>
        <w:t xml:space="preserve">Esta pesquisa é do tipo descritiva, documental e quantitativa. Descritiva, uma vez que descreve fatores que explicam o reconhecimento das perdas por </w:t>
      </w:r>
      <w:r w:rsidRPr="00D87F6E">
        <w:rPr>
          <w:i/>
          <w:szCs w:val="24"/>
        </w:rPr>
        <w:t>impairment</w:t>
      </w:r>
      <w:r w:rsidRPr="00D87F6E">
        <w:rPr>
          <w:szCs w:val="24"/>
        </w:rPr>
        <w:t xml:space="preserve"> do </w:t>
      </w:r>
      <w:r w:rsidRPr="00D87F6E">
        <w:rPr>
          <w:i/>
          <w:szCs w:val="24"/>
        </w:rPr>
        <w:t>goodwill</w:t>
      </w:r>
      <w:r w:rsidRPr="00D87F6E">
        <w:rPr>
          <w:szCs w:val="24"/>
        </w:rPr>
        <w:t xml:space="preserve">. </w:t>
      </w:r>
      <w:r w:rsidRPr="00D87F6E">
        <w:rPr>
          <w:szCs w:val="24"/>
        </w:rPr>
        <w:lastRenderedPageBreak/>
        <w:t>Documental, pois as informações foram coletadas através das Demonstrações Financeiras Padronizadas (DFPs) e por meio de base de dados. Quantitativa, visto que são empregados métodos estatísticos para o tratamento e análise dos dados.</w:t>
      </w:r>
    </w:p>
    <w:p w:rsidR="003D6538" w:rsidRPr="00D87F6E" w:rsidRDefault="003D6538" w:rsidP="00080401">
      <w:pPr>
        <w:rPr>
          <w:szCs w:val="24"/>
        </w:rPr>
      </w:pPr>
    </w:p>
    <w:p w:rsidR="003D6538" w:rsidRPr="00D87F6E" w:rsidRDefault="00BF555B" w:rsidP="00080401">
      <w:pPr>
        <w:ind w:firstLine="0"/>
        <w:rPr>
          <w:b/>
          <w:szCs w:val="24"/>
        </w:rPr>
      </w:pPr>
      <w:r w:rsidRPr="00D87F6E">
        <w:rPr>
          <w:b/>
          <w:szCs w:val="24"/>
        </w:rPr>
        <w:t>3.1 População e Amostra</w:t>
      </w:r>
    </w:p>
    <w:p w:rsidR="00ED2E94" w:rsidRPr="00D87F6E" w:rsidRDefault="00ED2E94" w:rsidP="00080401">
      <w:pPr>
        <w:ind w:firstLine="0"/>
        <w:rPr>
          <w:b/>
          <w:szCs w:val="24"/>
        </w:rPr>
      </w:pPr>
    </w:p>
    <w:p w:rsidR="00BF555B" w:rsidRPr="00D87F6E" w:rsidRDefault="00BF555B" w:rsidP="00080401">
      <w:pPr>
        <w:rPr>
          <w:szCs w:val="24"/>
        </w:rPr>
      </w:pPr>
      <w:r w:rsidRPr="00D87F6E">
        <w:rPr>
          <w:szCs w:val="24"/>
        </w:rPr>
        <w:t xml:space="preserve">O estudo teve como população as empresas listadas na BM&amp;FBOVESPA. </w:t>
      </w:r>
      <w:r w:rsidR="003D6538" w:rsidRPr="00D87F6E">
        <w:rPr>
          <w:szCs w:val="24"/>
        </w:rPr>
        <w:t xml:space="preserve">Dessa </w:t>
      </w:r>
      <w:r w:rsidRPr="00D87F6E">
        <w:rPr>
          <w:szCs w:val="24"/>
        </w:rPr>
        <w:t>população, todas as empresas que publicaram as DFPs referentes ao ano de 2015, exceto as que compõem o setor de atuação Financeiro e Outros, tiveram suas Notas Explicativas e o Balanço Patrimonial analisados. A Tabela 1 evidencia o processo que derivou na amostra final.</w:t>
      </w:r>
    </w:p>
    <w:p w:rsidR="003D6538" w:rsidRPr="00D87F6E" w:rsidRDefault="003D6538" w:rsidP="00080401">
      <w:pPr>
        <w:rPr>
          <w:szCs w:val="24"/>
        </w:rPr>
      </w:pPr>
    </w:p>
    <w:p w:rsidR="00BF555B" w:rsidRPr="00D87F6E" w:rsidRDefault="00BF555B" w:rsidP="00080401">
      <w:pPr>
        <w:jc w:val="center"/>
        <w:rPr>
          <w:b/>
          <w:szCs w:val="24"/>
        </w:rPr>
      </w:pPr>
      <w:r w:rsidRPr="00D87F6E">
        <w:rPr>
          <w:b/>
          <w:szCs w:val="24"/>
        </w:rPr>
        <w:t>Tabela 1 – Amostra da pesquisa</w:t>
      </w:r>
    </w:p>
    <w:tbl>
      <w:tblPr>
        <w:tblW w:w="0" w:type="auto"/>
        <w:jc w:val="center"/>
        <w:tblBorders>
          <w:top w:val="single" w:sz="2" w:space="0" w:color="C9C9C9"/>
          <w:bottom w:val="single" w:sz="2" w:space="0" w:color="C9C9C9"/>
          <w:insideH w:val="single" w:sz="2" w:space="0" w:color="C9C9C9"/>
          <w:insideV w:val="single" w:sz="2" w:space="0" w:color="C9C9C9"/>
        </w:tblBorders>
        <w:tblLook w:val="04A0"/>
      </w:tblPr>
      <w:tblGrid>
        <w:gridCol w:w="7434"/>
        <w:gridCol w:w="2073"/>
      </w:tblGrid>
      <w:tr w:rsidR="00251793" w:rsidRPr="00D87F6E" w:rsidTr="00BC2D14">
        <w:trPr>
          <w:jc w:val="center"/>
        </w:trPr>
        <w:tc>
          <w:tcPr>
            <w:tcW w:w="7434" w:type="dxa"/>
            <w:tcBorders>
              <w:top w:val="single" w:sz="4" w:space="0" w:color="auto"/>
              <w:bottom w:val="single" w:sz="4" w:space="0" w:color="auto"/>
              <w:right w:val="single" w:sz="4" w:space="0" w:color="auto"/>
            </w:tcBorders>
            <w:shd w:val="clear" w:color="auto" w:fill="FFFFFF"/>
            <w:vAlign w:val="center"/>
          </w:tcPr>
          <w:p w:rsidR="00BF555B" w:rsidRPr="00D87F6E" w:rsidRDefault="00BF555B" w:rsidP="00080401">
            <w:pPr>
              <w:ind w:firstLine="0"/>
              <w:jc w:val="center"/>
              <w:rPr>
                <w:rFonts w:eastAsia="Calibri"/>
                <w:b/>
                <w:bCs/>
                <w:sz w:val="20"/>
                <w:lang w:eastAsia="en-US"/>
              </w:rPr>
            </w:pPr>
            <w:r w:rsidRPr="00D87F6E">
              <w:rPr>
                <w:rFonts w:eastAsia="Calibri"/>
                <w:b/>
                <w:bCs/>
                <w:sz w:val="20"/>
                <w:lang w:eastAsia="en-US"/>
              </w:rPr>
              <w:t>Aspectos Considerados</w:t>
            </w:r>
          </w:p>
        </w:tc>
        <w:tc>
          <w:tcPr>
            <w:tcW w:w="2073" w:type="dxa"/>
            <w:tcBorders>
              <w:top w:val="single" w:sz="4" w:space="0" w:color="auto"/>
              <w:left w:val="single" w:sz="4" w:space="0" w:color="auto"/>
              <w:bottom w:val="single" w:sz="4" w:space="0" w:color="auto"/>
            </w:tcBorders>
            <w:shd w:val="clear" w:color="auto" w:fill="FFFFFF"/>
            <w:vAlign w:val="center"/>
          </w:tcPr>
          <w:p w:rsidR="00BF555B" w:rsidRPr="00D87F6E" w:rsidRDefault="008830B4" w:rsidP="00080401">
            <w:pPr>
              <w:ind w:firstLine="0"/>
              <w:jc w:val="center"/>
              <w:rPr>
                <w:rFonts w:eastAsia="Calibri"/>
                <w:b/>
                <w:bCs/>
                <w:sz w:val="20"/>
                <w:lang w:eastAsia="en-US"/>
              </w:rPr>
            </w:pPr>
            <w:r w:rsidRPr="00D87F6E">
              <w:rPr>
                <w:rFonts w:eastAsia="Calibri"/>
                <w:b/>
                <w:bCs/>
                <w:sz w:val="20"/>
                <w:lang w:eastAsia="en-US"/>
              </w:rPr>
              <w:t>N</w:t>
            </w:r>
            <w:r w:rsidR="00BF555B" w:rsidRPr="00D87F6E">
              <w:rPr>
                <w:rStyle w:val="Forte"/>
                <w:rFonts w:eastAsia="Calibri"/>
                <w:b w:val="0"/>
                <w:bCs w:val="0"/>
                <w:sz w:val="20"/>
                <w:lang w:val="pt-PT" w:eastAsia="en-US"/>
              </w:rPr>
              <w:t>º</w:t>
            </w:r>
            <w:r w:rsidR="00BF555B" w:rsidRPr="00D87F6E">
              <w:rPr>
                <w:rFonts w:eastAsia="Calibri"/>
                <w:b/>
                <w:bCs/>
                <w:sz w:val="20"/>
                <w:lang w:eastAsia="en-US"/>
              </w:rPr>
              <w:t xml:space="preserve"> de Empresas</w:t>
            </w:r>
          </w:p>
        </w:tc>
      </w:tr>
      <w:tr w:rsidR="00251793" w:rsidRPr="00D87F6E" w:rsidTr="00BC2D14">
        <w:trPr>
          <w:jc w:val="center"/>
        </w:trPr>
        <w:tc>
          <w:tcPr>
            <w:tcW w:w="7434" w:type="dxa"/>
            <w:tcBorders>
              <w:top w:val="single" w:sz="4" w:space="0" w:color="auto"/>
              <w:right w:val="single" w:sz="4" w:space="0" w:color="auto"/>
            </w:tcBorders>
            <w:shd w:val="clear" w:color="auto" w:fill="EDEDED"/>
            <w:vAlign w:val="center"/>
          </w:tcPr>
          <w:p w:rsidR="00BF555B" w:rsidRPr="00D87F6E" w:rsidRDefault="00BF555B" w:rsidP="00080401">
            <w:pPr>
              <w:ind w:firstLine="0"/>
              <w:rPr>
                <w:rFonts w:eastAsia="Calibri"/>
                <w:b/>
                <w:bCs/>
                <w:sz w:val="20"/>
                <w:lang w:eastAsia="en-US"/>
              </w:rPr>
            </w:pPr>
            <w:r w:rsidRPr="00D87F6E">
              <w:rPr>
                <w:rFonts w:eastAsia="Calibri"/>
                <w:bCs/>
                <w:sz w:val="20"/>
                <w:lang w:eastAsia="en-US"/>
              </w:rPr>
              <w:t>Empresas listadas na BM&amp;FBOVESPA, exceto as do setor Financeiro e Outros</w:t>
            </w:r>
          </w:p>
        </w:tc>
        <w:tc>
          <w:tcPr>
            <w:tcW w:w="2073" w:type="dxa"/>
            <w:tcBorders>
              <w:top w:val="single" w:sz="4" w:space="0" w:color="auto"/>
              <w:left w:val="single" w:sz="4" w:space="0" w:color="auto"/>
            </w:tcBorders>
            <w:shd w:val="clear" w:color="auto" w:fill="EDEDED"/>
            <w:vAlign w:val="center"/>
          </w:tcPr>
          <w:p w:rsidR="00BF555B" w:rsidRPr="00D87F6E" w:rsidRDefault="00BF555B" w:rsidP="00080401">
            <w:pPr>
              <w:ind w:firstLine="0"/>
              <w:jc w:val="center"/>
              <w:rPr>
                <w:rFonts w:eastAsia="Calibri"/>
                <w:sz w:val="20"/>
                <w:lang w:eastAsia="en-US"/>
              </w:rPr>
            </w:pPr>
            <w:r w:rsidRPr="00D87F6E">
              <w:rPr>
                <w:rFonts w:eastAsia="Calibri"/>
                <w:sz w:val="20"/>
                <w:lang w:eastAsia="en-US"/>
              </w:rPr>
              <w:t>346</w:t>
            </w:r>
          </w:p>
        </w:tc>
      </w:tr>
      <w:tr w:rsidR="00251793" w:rsidRPr="00D87F6E" w:rsidTr="00BC2D14">
        <w:trPr>
          <w:jc w:val="center"/>
        </w:trPr>
        <w:tc>
          <w:tcPr>
            <w:tcW w:w="7434" w:type="dxa"/>
            <w:tcBorders>
              <w:right w:val="single" w:sz="4" w:space="0" w:color="auto"/>
            </w:tcBorders>
            <w:shd w:val="clear" w:color="auto" w:fill="auto"/>
            <w:vAlign w:val="center"/>
          </w:tcPr>
          <w:p w:rsidR="00BF555B" w:rsidRPr="00D87F6E" w:rsidRDefault="00BF555B" w:rsidP="00080401">
            <w:pPr>
              <w:ind w:firstLine="0"/>
              <w:rPr>
                <w:rFonts w:eastAsia="Calibri"/>
                <w:b/>
                <w:bCs/>
                <w:sz w:val="20"/>
                <w:lang w:eastAsia="en-US"/>
              </w:rPr>
            </w:pPr>
            <w:r w:rsidRPr="00D87F6E">
              <w:rPr>
                <w:rFonts w:eastAsia="Calibri"/>
                <w:bCs/>
                <w:sz w:val="20"/>
                <w:lang w:eastAsia="en-US"/>
              </w:rPr>
              <w:t xml:space="preserve">(-) Empresas que não publicaram as DFPs referentes a 2015 (considerando a publicação através do </w:t>
            </w:r>
            <w:r w:rsidRPr="00D87F6E">
              <w:rPr>
                <w:rFonts w:eastAsia="Calibri"/>
                <w:bCs/>
                <w:i/>
                <w:sz w:val="20"/>
                <w:lang w:eastAsia="en-US"/>
              </w:rPr>
              <w:t>site</w:t>
            </w:r>
            <w:r w:rsidRPr="00D87F6E">
              <w:rPr>
                <w:rFonts w:eastAsia="Calibri"/>
                <w:bCs/>
                <w:sz w:val="20"/>
                <w:lang w:eastAsia="en-US"/>
              </w:rPr>
              <w:t xml:space="preserve"> da BM&amp;FBOVESPA e do </w:t>
            </w:r>
            <w:r w:rsidRPr="00D87F6E">
              <w:rPr>
                <w:rFonts w:eastAsia="Calibri"/>
                <w:bCs/>
                <w:i/>
                <w:sz w:val="20"/>
                <w:lang w:eastAsia="en-US"/>
              </w:rPr>
              <w:t>site</w:t>
            </w:r>
            <w:r w:rsidRPr="00D87F6E">
              <w:rPr>
                <w:rFonts w:eastAsia="Calibri"/>
                <w:bCs/>
                <w:sz w:val="20"/>
                <w:lang w:eastAsia="en-US"/>
              </w:rPr>
              <w:t xml:space="preserve"> da empresa)</w:t>
            </w:r>
          </w:p>
        </w:tc>
        <w:tc>
          <w:tcPr>
            <w:tcW w:w="2073" w:type="dxa"/>
            <w:tcBorders>
              <w:left w:val="single" w:sz="4" w:space="0" w:color="auto"/>
            </w:tcBorders>
            <w:shd w:val="clear" w:color="auto" w:fill="auto"/>
            <w:vAlign w:val="center"/>
          </w:tcPr>
          <w:p w:rsidR="00BF555B" w:rsidRPr="00D87F6E" w:rsidRDefault="00BF555B" w:rsidP="00080401">
            <w:pPr>
              <w:ind w:firstLine="0"/>
              <w:jc w:val="center"/>
              <w:rPr>
                <w:rFonts w:eastAsia="Calibri"/>
                <w:sz w:val="20"/>
                <w:lang w:eastAsia="en-US"/>
              </w:rPr>
            </w:pPr>
            <w:r w:rsidRPr="00D87F6E">
              <w:rPr>
                <w:rFonts w:eastAsia="Calibri"/>
                <w:sz w:val="20"/>
                <w:lang w:eastAsia="en-US"/>
              </w:rPr>
              <w:t>10</w:t>
            </w:r>
          </w:p>
        </w:tc>
      </w:tr>
      <w:tr w:rsidR="00251793" w:rsidRPr="00D87F6E" w:rsidTr="00BC2D14">
        <w:trPr>
          <w:jc w:val="center"/>
        </w:trPr>
        <w:tc>
          <w:tcPr>
            <w:tcW w:w="7434" w:type="dxa"/>
            <w:tcBorders>
              <w:right w:val="single" w:sz="4" w:space="0" w:color="auto"/>
            </w:tcBorders>
            <w:shd w:val="clear" w:color="auto" w:fill="EDEDED"/>
            <w:vAlign w:val="center"/>
          </w:tcPr>
          <w:p w:rsidR="00BF555B" w:rsidRPr="00D87F6E" w:rsidRDefault="00BF555B" w:rsidP="00080401">
            <w:pPr>
              <w:ind w:firstLine="0"/>
              <w:rPr>
                <w:rFonts w:eastAsia="Calibri"/>
                <w:b/>
                <w:bCs/>
                <w:sz w:val="20"/>
                <w:lang w:eastAsia="en-US"/>
              </w:rPr>
            </w:pPr>
            <w:r w:rsidRPr="00D87F6E">
              <w:rPr>
                <w:rFonts w:eastAsia="Calibri"/>
                <w:bCs/>
                <w:sz w:val="20"/>
                <w:lang w:eastAsia="en-US"/>
              </w:rPr>
              <w:t>(-) Empresas que não apresentaram saldo de</w:t>
            </w:r>
            <w:r w:rsidRPr="00D87F6E">
              <w:rPr>
                <w:rFonts w:eastAsia="Calibri"/>
                <w:bCs/>
                <w:i/>
                <w:sz w:val="20"/>
                <w:lang w:eastAsia="en-US"/>
              </w:rPr>
              <w:t xml:space="preserve"> goodwill</w:t>
            </w:r>
            <w:r w:rsidRPr="00D87F6E">
              <w:rPr>
                <w:rFonts w:eastAsia="Calibri"/>
                <w:bCs/>
                <w:sz w:val="20"/>
                <w:lang w:eastAsia="en-US"/>
              </w:rPr>
              <w:t xml:space="preserve"> resultante de combinação de negócios ou não apresentaram as informações necessárias para a realização da pesquisa</w:t>
            </w:r>
          </w:p>
        </w:tc>
        <w:tc>
          <w:tcPr>
            <w:tcW w:w="2073" w:type="dxa"/>
            <w:tcBorders>
              <w:left w:val="single" w:sz="4" w:space="0" w:color="auto"/>
            </w:tcBorders>
            <w:shd w:val="clear" w:color="auto" w:fill="EDEDED"/>
            <w:vAlign w:val="center"/>
          </w:tcPr>
          <w:p w:rsidR="00BF555B" w:rsidRPr="00D87F6E" w:rsidRDefault="00BF555B" w:rsidP="00080401">
            <w:pPr>
              <w:ind w:firstLine="0"/>
              <w:jc w:val="center"/>
              <w:rPr>
                <w:rFonts w:eastAsia="Calibri"/>
                <w:sz w:val="20"/>
                <w:lang w:eastAsia="en-US"/>
              </w:rPr>
            </w:pPr>
            <w:r w:rsidRPr="00D87F6E">
              <w:rPr>
                <w:rFonts w:eastAsia="Calibri"/>
                <w:sz w:val="20"/>
                <w:lang w:eastAsia="en-US"/>
              </w:rPr>
              <w:t>213</w:t>
            </w:r>
          </w:p>
        </w:tc>
      </w:tr>
      <w:tr w:rsidR="00251793" w:rsidRPr="00D87F6E" w:rsidTr="00BC2D14">
        <w:trPr>
          <w:jc w:val="center"/>
        </w:trPr>
        <w:tc>
          <w:tcPr>
            <w:tcW w:w="7434" w:type="dxa"/>
            <w:tcBorders>
              <w:right w:val="single" w:sz="4" w:space="0" w:color="auto"/>
            </w:tcBorders>
            <w:shd w:val="clear" w:color="auto" w:fill="auto"/>
            <w:vAlign w:val="center"/>
          </w:tcPr>
          <w:p w:rsidR="00BF555B" w:rsidRPr="00D87F6E" w:rsidRDefault="00BF555B" w:rsidP="00080401">
            <w:pPr>
              <w:ind w:firstLine="0"/>
              <w:rPr>
                <w:rFonts w:eastAsia="Calibri"/>
                <w:b/>
                <w:bCs/>
                <w:sz w:val="20"/>
                <w:lang w:eastAsia="en-US"/>
              </w:rPr>
            </w:pPr>
            <w:r w:rsidRPr="00D87F6E">
              <w:rPr>
                <w:rFonts w:eastAsia="Calibri"/>
                <w:b/>
                <w:bCs/>
                <w:sz w:val="20"/>
                <w:lang w:eastAsia="en-US"/>
              </w:rPr>
              <w:t xml:space="preserve">(=) Subtotal (empresas nas quais foi possível identificar saldo de </w:t>
            </w:r>
            <w:r w:rsidRPr="00D87F6E">
              <w:rPr>
                <w:rFonts w:eastAsia="Calibri"/>
                <w:b/>
                <w:bCs/>
                <w:i/>
                <w:sz w:val="20"/>
                <w:lang w:eastAsia="en-US"/>
              </w:rPr>
              <w:t>goodwill</w:t>
            </w:r>
            <w:r w:rsidRPr="00D87F6E">
              <w:rPr>
                <w:rFonts w:eastAsia="Calibri"/>
                <w:b/>
                <w:bCs/>
                <w:sz w:val="20"/>
                <w:lang w:eastAsia="en-US"/>
              </w:rPr>
              <w:t xml:space="preserve"> resultante de combinação de negócios)</w:t>
            </w:r>
          </w:p>
        </w:tc>
        <w:tc>
          <w:tcPr>
            <w:tcW w:w="2073" w:type="dxa"/>
            <w:tcBorders>
              <w:left w:val="single" w:sz="4" w:space="0" w:color="auto"/>
            </w:tcBorders>
            <w:shd w:val="clear" w:color="auto" w:fill="auto"/>
            <w:vAlign w:val="center"/>
          </w:tcPr>
          <w:p w:rsidR="00BF555B" w:rsidRPr="00D87F6E" w:rsidRDefault="00BF555B" w:rsidP="00080401">
            <w:pPr>
              <w:ind w:firstLine="0"/>
              <w:jc w:val="center"/>
              <w:rPr>
                <w:rFonts w:eastAsia="Calibri"/>
                <w:b/>
                <w:sz w:val="20"/>
                <w:lang w:eastAsia="en-US"/>
              </w:rPr>
            </w:pPr>
            <w:r w:rsidRPr="00D87F6E">
              <w:rPr>
                <w:rFonts w:eastAsia="Calibri"/>
                <w:b/>
                <w:sz w:val="20"/>
                <w:lang w:eastAsia="en-US"/>
              </w:rPr>
              <w:t>123</w:t>
            </w:r>
          </w:p>
        </w:tc>
      </w:tr>
      <w:tr w:rsidR="00251793" w:rsidRPr="00D87F6E" w:rsidTr="00BC2D14">
        <w:trPr>
          <w:jc w:val="center"/>
        </w:trPr>
        <w:tc>
          <w:tcPr>
            <w:tcW w:w="7434" w:type="dxa"/>
            <w:tcBorders>
              <w:right w:val="single" w:sz="4" w:space="0" w:color="auto"/>
            </w:tcBorders>
            <w:shd w:val="clear" w:color="auto" w:fill="EDEDED"/>
            <w:vAlign w:val="center"/>
          </w:tcPr>
          <w:p w:rsidR="00BF555B" w:rsidRPr="00D87F6E" w:rsidRDefault="00BF555B" w:rsidP="00080401">
            <w:pPr>
              <w:ind w:firstLine="0"/>
              <w:rPr>
                <w:rFonts w:eastAsia="Calibri"/>
                <w:b/>
                <w:bCs/>
                <w:sz w:val="20"/>
                <w:lang w:eastAsia="en-US"/>
              </w:rPr>
            </w:pPr>
            <w:r w:rsidRPr="00D87F6E">
              <w:rPr>
                <w:rFonts w:eastAsia="Calibri"/>
                <w:bCs/>
                <w:sz w:val="20"/>
                <w:lang w:eastAsia="en-US"/>
              </w:rPr>
              <w:t>(-) Empresas, cujos dados necessários para a realização da pesquisa não foram apresentados na base de dados Economática</w:t>
            </w:r>
            <w:r w:rsidRPr="00D87F6E">
              <w:rPr>
                <w:rFonts w:eastAsia="Calibri"/>
                <w:b/>
                <w:bCs/>
                <w:sz w:val="20"/>
                <w:vertAlign w:val="superscript"/>
                <w:lang w:eastAsia="en-US"/>
              </w:rPr>
              <w:t>®</w:t>
            </w:r>
          </w:p>
        </w:tc>
        <w:tc>
          <w:tcPr>
            <w:tcW w:w="2073" w:type="dxa"/>
            <w:tcBorders>
              <w:left w:val="single" w:sz="4" w:space="0" w:color="auto"/>
            </w:tcBorders>
            <w:shd w:val="clear" w:color="auto" w:fill="EDEDED"/>
            <w:vAlign w:val="center"/>
          </w:tcPr>
          <w:p w:rsidR="00BF555B" w:rsidRPr="00D87F6E" w:rsidRDefault="00BF555B" w:rsidP="00080401">
            <w:pPr>
              <w:ind w:firstLine="0"/>
              <w:jc w:val="center"/>
              <w:rPr>
                <w:rFonts w:eastAsia="Calibri"/>
                <w:sz w:val="20"/>
                <w:lang w:eastAsia="en-US"/>
              </w:rPr>
            </w:pPr>
            <w:r w:rsidRPr="00D87F6E">
              <w:rPr>
                <w:rFonts w:eastAsia="Calibri"/>
                <w:sz w:val="20"/>
                <w:lang w:eastAsia="en-US"/>
              </w:rPr>
              <w:t>21</w:t>
            </w:r>
          </w:p>
        </w:tc>
      </w:tr>
      <w:tr w:rsidR="00251793" w:rsidRPr="00D87F6E" w:rsidTr="00BC2D14">
        <w:trPr>
          <w:jc w:val="center"/>
        </w:trPr>
        <w:tc>
          <w:tcPr>
            <w:tcW w:w="7434" w:type="dxa"/>
            <w:tcBorders>
              <w:bottom w:val="single" w:sz="4" w:space="0" w:color="auto"/>
              <w:right w:val="single" w:sz="4" w:space="0" w:color="auto"/>
            </w:tcBorders>
            <w:shd w:val="clear" w:color="auto" w:fill="auto"/>
            <w:vAlign w:val="center"/>
          </w:tcPr>
          <w:p w:rsidR="00BF555B" w:rsidRPr="00D87F6E" w:rsidRDefault="00BF555B" w:rsidP="00080401">
            <w:pPr>
              <w:ind w:firstLine="0"/>
              <w:rPr>
                <w:rFonts w:eastAsia="Calibri"/>
                <w:b/>
                <w:bCs/>
                <w:sz w:val="20"/>
                <w:lang w:eastAsia="en-US"/>
              </w:rPr>
            </w:pPr>
            <w:r w:rsidRPr="00D87F6E">
              <w:rPr>
                <w:rFonts w:eastAsia="Calibri"/>
                <w:b/>
                <w:bCs/>
                <w:sz w:val="20"/>
                <w:lang w:eastAsia="en-US"/>
              </w:rPr>
              <w:t xml:space="preserve">(=) Amostra Final (empresas nas quais foi possível identificar saldo de </w:t>
            </w:r>
            <w:r w:rsidRPr="00D87F6E">
              <w:rPr>
                <w:rFonts w:eastAsia="Calibri"/>
                <w:b/>
                <w:bCs/>
                <w:i/>
                <w:sz w:val="20"/>
                <w:lang w:eastAsia="en-US"/>
              </w:rPr>
              <w:t>goodwill</w:t>
            </w:r>
            <w:r w:rsidRPr="00D87F6E">
              <w:rPr>
                <w:rFonts w:eastAsia="Calibri"/>
                <w:b/>
                <w:bCs/>
                <w:sz w:val="20"/>
                <w:lang w:eastAsia="en-US"/>
              </w:rPr>
              <w:t xml:space="preserve"> resultante de combinação de negócios e cujos dados necessários para a realização da pesquisa foram apresentados na base de dados Economática</w:t>
            </w:r>
            <w:r w:rsidRPr="00D87F6E">
              <w:rPr>
                <w:rFonts w:eastAsia="Calibri"/>
                <w:b/>
                <w:bCs/>
                <w:sz w:val="20"/>
                <w:vertAlign w:val="superscript"/>
                <w:lang w:eastAsia="en-US"/>
              </w:rPr>
              <w:t>®</w:t>
            </w:r>
            <w:r w:rsidRPr="00D87F6E">
              <w:rPr>
                <w:rFonts w:eastAsia="Calibri"/>
                <w:b/>
                <w:bCs/>
                <w:sz w:val="20"/>
                <w:lang w:eastAsia="en-US"/>
              </w:rPr>
              <w:t>)</w:t>
            </w:r>
          </w:p>
        </w:tc>
        <w:tc>
          <w:tcPr>
            <w:tcW w:w="2073" w:type="dxa"/>
            <w:tcBorders>
              <w:left w:val="single" w:sz="4" w:space="0" w:color="auto"/>
              <w:bottom w:val="single" w:sz="4" w:space="0" w:color="auto"/>
            </w:tcBorders>
            <w:shd w:val="clear" w:color="auto" w:fill="auto"/>
            <w:vAlign w:val="center"/>
          </w:tcPr>
          <w:p w:rsidR="00BF555B" w:rsidRPr="00D87F6E" w:rsidRDefault="00BF555B" w:rsidP="00080401">
            <w:pPr>
              <w:ind w:firstLine="0"/>
              <w:jc w:val="center"/>
              <w:rPr>
                <w:rFonts w:eastAsia="Calibri"/>
                <w:b/>
                <w:sz w:val="20"/>
                <w:lang w:eastAsia="en-US"/>
              </w:rPr>
            </w:pPr>
            <w:r w:rsidRPr="00D87F6E">
              <w:rPr>
                <w:rFonts w:eastAsia="Calibri"/>
                <w:b/>
                <w:sz w:val="20"/>
                <w:lang w:eastAsia="en-US"/>
              </w:rPr>
              <w:t>102</w:t>
            </w:r>
          </w:p>
        </w:tc>
      </w:tr>
    </w:tbl>
    <w:p w:rsidR="00BF555B" w:rsidRPr="00D87F6E" w:rsidRDefault="00BF555B" w:rsidP="00080401">
      <w:pPr>
        <w:ind w:firstLine="0"/>
        <w:rPr>
          <w:sz w:val="20"/>
        </w:rPr>
      </w:pPr>
      <w:r w:rsidRPr="00D87F6E">
        <w:rPr>
          <w:sz w:val="20"/>
        </w:rPr>
        <w:t>Fonte: Dados da Pesquisa.</w:t>
      </w:r>
    </w:p>
    <w:p w:rsidR="003D6538" w:rsidRPr="00D87F6E" w:rsidRDefault="003D6538" w:rsidP="00080401">
      <w:pPr>
        <w:ind w:firstLine="0"/>
        <w:rPr>
          <w:sz w:val="20"/>
        </w:rPr>
      </w:pPr>
    </w:p>
    <w:p w:rsidR="00BF555B" w:rsidRPr="00D87F6E" w:rsidRDefault="00BF555B" w:rsidP="00080401">
      <w:pPr>
        <w:rPr>
          <w:szCs w:val="24"/>
        </w:rPr>
      </w:pPr>
      <w:r w:rsidRPr="00D87F6E">
        <w:rPr>
          <w:szCs w:val="24"/>
        </w:rPr>
        <w:t xml:space="preserve">Nota-se que, a amostra final foi composta por 102 empresas, sendo importante ressaltar que foi possível identificar saldo de </w:t>
      </w:r>
      <w:r w:rsidRPr="00D87F6E">
        <w:rPr>
          <w:i/>
          <w:szCs w:val="24"/>
        </w:rPr>
        <w:t>goodwill</w:t>
      </w:r>
      <w:r w:rsidRPr="00D87F6E">
        <w:rPr>
          <w:szCs w:val="24"/>
        </w:rPr>
        <w:t xml:space="preserve"> resultante de combinação de negócios em todas elas. Todavia, não necessariamente esses saldos acarretaram em perdas em 2015.</w:t>
      </w:r>
    </w:p>
    <w:p w:rsidR="00BF555B" w:rsidRPr="00D87F6E" w:rsidRDefault="00BF555B" w:rsidP="00080401">
      <w:pPr>
        <w:rPr>
          <w:szCs w:val="24"/>
        </w:rPr>
      </w:pPr>
      <w:r w:rsidRPr="00D87F6E">
        <w:rPr>
          <w:szCs w:val="24"/>
        </w:rPr>
        <w:t xml:space="preserve">Vale abordar que, a empresa Grendene S.A., componente do setor de atuação Consumo Cíclico, evidenciou saldo de </w:t>
      </w:r>
      <w:r w:rsidRPr="00D87F6E">
        <w:rPr>
          <w:i/>
          <w:szCs w:val="24"/>
        </w:rPr>
        <w:t xml:space="preserve">goodwill </w:t>
      </w:r>
      <w:r w:rsidRPr="00D87F6E">
        <w:rPr>
          <w:szCs w:val="24"/>
        </w:rPr>
        <w:t xml:space="preserve">igual a zero, em 31 de dezembro de 2015. Entretanto, considerou-se importante mantê-la na amostra, pois o que ocorreu foi a baixa por </w:t>
      </w:r>
      <w:r w:rsidRPr="00D87F6E">
        <w:rPr>
          <w:i/>
          <w:szCs w:val="24"/>
        </w:rPr>
        <w:t>impairment</w:t>
      </w:r>
      <w:r w:rsidRPr="00D87F6E">
        <w:rPr>
          <w:szCs w:val="24"/>
        </w:rPr>
        <w:t xml:space="preserve">, no exercício de 2015, da totalidade do saldo de </w:t>
      </w:r>
      <w:r w:rsidRPr="00D87F6E">
        <w:rPr>
          <w:i/>
          <w:szCs w:val="24"/>
        </w:rPr>
        <w:t>goodwill</w:t>
      </w:r>
      <w:r w:rsidRPr="00D87F6E">
        <w:rPr>
          <w:szCs w:val="24"/>
        </w:rPr>
        <w:t xml:space="preserve"> existente em 31 de dezembro de 2014, no valor de R$ 10.931.000. A empresa Libra Terminal Rio S.A. também se enquadra </w:t>
      </w:r>
      <w:r w:rsidR="003D6538" w:rsidRPr="00D87F6E">
        <w:rPr>
          <w:szCs w:val="24"/>
        </w:rPr>
        <w:t>nessa</w:t>
      </w:r>
      <w:r w:rsidRPr="00D87F6E">
        <w:rPr>
          <w:szCs w:val="24"/>
        </w:rPr>
        <w:t xml:space="preserve"> situação, porém, não está incluída na amostra final pelo motivo explicado, anteriormente, na Tabela 1.</w:t>
      </w:r>
    </w:p>
    <w:p w:rsidR="003D6538" w:rsidRPr="00D87F6E" w:rsidRDefault="003D6538" w:rsidP="00080401">
      <w:pPr>
        <w:rPr>
          <w:szCs w:val="24"/>
        </w:rPr>
      </w:pPr>
    </w:p>
    <w:p w:rsidR="003D6538" w:rsidRPr="00D87F6E" w:rsidRDefault="00BF555B" w:rsidP="00080401">
      <w:pPr>
        <w:ind w:firstLine="0"/>
        <w:rPr>
          <w:b/>
          <w:szCs w:val="24"/>
        </w:rPr>
      </w:pPr>
      <w:r w:rsidRPr="00D87F6E">
        <w:rPr>
          <w:b/>
          <w:szCs w:val="24"/>
        </w:rPr>
        <w:t>3.2 Coleta e Tratamento dos Dados</w:t>
      </w:r>
    </w:p>
    <w:p w:rsidR="00ED2E94" w:rsidRPr="00D87F6E" w:rsidRDefault="00ED2E94" w:rsidP="00080401">
      <w:pPr>
        <w:ind w:firstLine="0"/>
        <w:rPr>
          <w:b/>
          <w:szCs w:val="24"/>
        </w:rPr>
      </w:pPr>
    </w:p>
    <w:p w:rsidR="00BF555B" w:rsidRPr="00D87F6E" w:rsidRDefault="00BF555B" w:rsidP="00080401">
      <w:pPr>
        <w:rPr>
          <w:szCs w:val="24"/>
        </w:rPr>
      </w:pPr>
      <w:r w:rsidRPr="00D87F6E">
        <w:rPr>
          <w:szCs w:val="24"/>
        </w:rPr>
        <w:t xml:space="preserve">Os dados correspondem aos anos de 2014 e 2015 e foram coletados a partir das Notas Explicativas e do Balanço Patrimonial, relativos ao período de 2015, e por meio da base de dados </w:t>
      </w:r>
      <w:r w:rsidRPr="00D87F6E">
        <w:rPr>
          <w:szCs w:val="24"/>
        </w:rPr>
        <w:lastRenderedPageBreak/>
        <w:t>Economática</w:t>
      </w:r>
      <w:r w:rsidRPr="00D87F6E">
        <w:rPr>
          <w:szCs w:val="24"/>
          <w:vertAlign w:val="superscript"/>
        </w:rPr>
        <w:t>®</w:t>
      </w:r>
      <w:r w:rsidRPr="00D87F6E">
        <w:rPr>
          <w:szCs w:val="24"/>
        </w:rPr>
        <w:t>.</w:t>
      </w:r>
    </w:p>
    <w:p w:rsidR="00F4595F" w:rsidRPr="00D87F6E" w:rsidRDefault="00BF555B" w:rsidP="00080401">
      <w:pPr>
        <w:rPr>
          <w:szCs w:val="24"/>
        </w:rPr>
      </w:pPr>
      <w:r w:rsidRPr="00D87F6E">
        <w:rPr>
          <w:szCs w:val="24"/>
        </w:rPr>
        <w:t xml:space="preserve">O Quadro 3 apresenta o conjunto de variáveis independentes (explicativas) com relação ao qual espera-se ter influência sobre a variável dependente (resposta) perda por </w:t>
      </w:r>
      <w:r w:rsidRPr="00D87F6E">
        <w:rPr>
          <w:i/>
          <w:szCs w:val="24"/>
        </w:rPr>
        <w:t>impairment</w:t>
      </w:r>
      <w:r w:rsidRPr="00D87F6E">
        <w:rPr>
          <w:szCs w:val="24"/>
        </w:rPr>
        <w:t xml:space="preserve"> do </w:t>
      </w:r>
      <w:r w:rsidRPr="00D87F6E">
        <w:rPr>
          <w:i/>
          <w:szCs w:val="24"/>
        </w:rPr>
        <w:t>goodwill</w:t>
      </w:r>
      <w:r w:rsidRPr="00D87F6E">
        <w:rPr>
          <w:szCs w:val="24"/>
        </w:rPr>
        <w:t xml:space="preserve"> referente ao exercício de 2015 (IMPG).</w:t>
      </w:r>
    </w:p>
    <w:p w:rsidR="00B6616A" w:rsidRPr="00D87F6E" w:rsidRDefault="00B6616A" w:rsidP="00080401">
      <w:pPr>
        <w:rPr>
          <w:szCs w:val="24"/>
        </w:rPr>
      </w:pPr>
    </w:p>
    <w:p w:rsidR="00B6616A" w:rsidRPr="00D87F6E" w:rsidRDefault="00B6616A" w:rsidP="00080401">
      <w:pPr>
        <w:jc w:val="center"/>
        <w:rPr>
          <w:b/>
          <w:szCs w:val="24"/>
        </w:rPr>
      </w:pPr>
      <w:r w:rsidRPr="00D87F6E">
        <w:rPr>
          <w:b/>
          <w:szCs w:val="24"/>
        </w:rPr>
        <w:t>Quadro 3 – Variáveis da pesquisa</w:t>
      </w:r>
    </w:p>
    <w:p w:rsidR="00BD36DE" w:rsidRPr="00D87F6E" w:rsidRDefault="00671E1A" w:rsidP="00080401">
      <w:pPr>
        <w:ind w:firstLine="0"/>
        <w:rPr>
          <w:szCs w:val="24"/>
        </w:rPr>
      </w:pPr>
      <w:r w:rsidRPr="00D87F6E">
        <w:rPr>
          <w:noProof/>
        </w:rPr>
        <w:drawing>
          <wp:inline distT="0" distB="0" distL="0" distR="0">
            <wp:extent cx="5981700" cy="56578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81700" cy="5657850"/>
                    </a:xfrm>
                    <a:prstGeom prst="rect">
                      <a:avLst/>
                    </a:prstGeom>
                    <a:noFill/>
                    <a:ln>
                      <a:noFill/>
                    </a:ln>
                  </pic:spPr>
                </pic:pic>
              </a:graphicData>
            </a:graphic>
          </wp:inline>
        </w:drawing>
      </w:r>
    </w:p>
    <w:p w:rsidR="00B6616A" w:rsidRPr="00D87F6E" w:rsidRDefault="00BF555B" w:rsidP="00080401">
      <w:pPr>
        <w:ind w:firstLine="0"/>
        <w:rPr>
          <w:sz w:val="20"/>
        </w:rPr>
      </w:pPr>
      <w:r w:rsidRPr="00D87F6E">
        <w:rPr>
          <w:sz w:val="20"/>
        </w:rPr>
        <w:t>Fonte: Dados da Pesquisa.</w:t>
      </w:r>
    </w:p>
    <w:p w:rsidR="00BF555B" w:rsidRPr="00D87F6E" w:rsidRDefault="00BF555B" w:rsidP="00080401">
      <w:pPr>
        <w:rPr>
          <w:szCs w:val="24"/>
          <w:lang w:val="en-US"/>
        </w:rPr>
      </w:pPr>
      <w:r w:rsidRPr="00D87F6E">
        <w:rPr>
          <w:szCs w:val="24"/>
        </w:rPr>
        <w:lastRenderedPageBreak/>
        <w:t xml:space="preserve">Observa-se que, as variáveis expostas, mediante o Quadro 3, foram adaptadas dos trabalhos de Abughazaleh </w:t>
      </w:r>
      <w:r w:rsidRPr="00D87F6E">
        <w:rPr>
          <w:i/>
          <w:szCs w:val="24"/>
        </w:rPr>
        <w:t>et al.</w:t>
      </w:r>
      <w:r w:rsidRPr="00D87F6E">
        <w:rPr>
          <w:szCs w:val="24"/>
        </w:rPr>
        <w:t xml:space="preserve"> (2011), Klann </w:t>
      </w:r>
      <w:r w:rsidRPr="00D87F6E">
        <w:rPr>
          <w:i/>
          <w:szCs w:val="24"/>
        </w:rPr>
        <w:t>et al.</w:t>
      </w:r>
      <w:r w:rsidRPr="00D87F6E">
        <w:rPr>
          <w:szCs w:val="24"/>
        </w:rPr>
        <w:t xml:space="preserve"> (2015) e Zang (2008). Da mesma forma, o modelo estudado nesta pesquisa, demonstrado a seguir, foi adaptado dos respectivos modelos elaborados por Abughazaleh </w:t>
      </w:r>
      <w:r w:rsidRPr="00D87F6E">
        <w:rPr>
          <w:i/>
          <w:szCs w:val="24"/>
        </w:rPr>
        <w:t>et al.</w:t>
      </w:r>
      <w:r w:rsidRPr="00D87F6E">
        <w:rPr>
          <w:szCs w:val="24"/>
          <w:lang w:val="en-US"/>
        </w:rPr>
        <w:t xml:space="preserve">(2011) e Klann </w:t>
      </w:r>
      <w:r w:rsidRPr="00D87F6E">
        <w:rPr>
          <w:i/>
          <w:szCs w:val="24"/>
          <w:lang w:val="en-US"/>
        </w:rPr>
        <w:t>et al.</w:t>
      </w:r>
      <w:r w:rsidRPr="00D87F6E">
        <w:rPr>
          <w:szCs w:val="24"/>
          <w:lang w:val="en-US"/>
        </w:rPr>
        <w:t xml:space="preserve"> (2015).</w:t>
      </w:r>
    </w:p>
    <w:p w:rsidR="00D024E2" w:rsidRPr="00D87F6E" w:rsidRDefault="00D024E2" w:rsidP="00080401">
      <w:pPr>
        <w:rPr>
          <w:szCs w:val="24"/>
          <w:lang w:val="en-US"/>
        </w:rPr>
      </w:pPr>
    </w:p>
    <w:p w:rsidR="00BF555B" w:rsidRPr="00D87F6E" w:rsidRDefault="00671E1A" w:rsidP="00080401">
      <w:pPr>
        <w:ind w:firstLine="0"/>
        <w:rPr>
          <w:b/>
          <w:szCs w:val="24"/>
          <w:lang w:val="en-US"/>
        </w:rPr>
      </w:pPr>
      <m:oMathPara>
        <m:oMath>
          <m:r>
            <m:rPr>
              <m:sty m:val="b"/>
            </m:rPr>
            <w:rPr>
              <w:rFonts w:ascii="Cambria Math" w:hAnsi="Cambria Math" w:cs="Arial"/>
              <w:color w:val="000000"/>
            </w:rPr>
            <m:t>IMPG</m:t>
          </m:r>
          <m:r>
            <m:rPr>
              <m:sty m:val="b"/>
            </m:rPr>
            <w:rPr>
              <w:rFonts w:ascii="Cambria Math" w:hAnsi="Cambria Math" w:cs="Arial"/>
              <w:color w:val="000000"/>
              <w:lang w:val="en-US"/>
            </w:rPr>
            <m:t xml:space="preserve">= </m:t>
          </m:r>
          <m:r>
            <m:rPr>
              <m:sty m:val="b"/>
            </m:rPr>
            <w:rPr>
              <w:rFonts w:ascii="Cambria Math" w:hAnsi="Cambria Math" w:cs="Arial"/>
              <w:color w:val="000000"/>
            </w:rPr>
            <m:t>α</m:t>
          </m:r>
          <m:r>
            <m:rPr>
              <m:sty m:val="b"/>
            </m:rPr>
            <w:rPr>
              <w:rFonts w:ascii="Cambria Math" w:hAnsi="Cambria Math" w:cs="Arial"/>
              <w:color w:val="000000"/>
              <w:lang w:val="en-US"/>
            </w:rPr>
            <m:t>+</m:t>
          </m:r>
          <m:sSub>
            <m:sSubPr>
              <m:ctrlPr>
                <w:rPr>
                  <w:rFonts w:ascii="Cambria Math" w:hAnsi="Cambria Math" w:cs="Arial"/>
                  <w:b/>
                  <w:color w:val="000000"/>
                </w:rPr>
              </m:ctrlPr>
            </m:sSubPr>
            <m:e>
              <m:r>
                <m:rPr>
                  <m:sty m:val="b"/>
                </m:rPr>
                <w:rPr>
                  <w:rFonts w:ascii="Cambria Math" w:hAnsi="Cambria Math" w:cs="Arial"/>
                  <w:color w:val="000000"/>
                </w:rPr>
                <m:t>β</m:t>
              </m:r>
            </m:e>
            <m:sub>
              <m:r>
                <m:rPr>
                  <m:sty m:val="bi"/>
                </m:rPr>
                <w:rPr>
                  <w:rFonts w:ascii="Cambria Math" w:hAnsi="Cambria Math" w:cs="Arial"/>
                  <w:color w:val="000000"/>
                </w:rPr>
                <m:t>1</m:t>
              </m:r>
            </m:sub>
          </m:sSub>
          <m:sSub>
            <m:sSubPr>
              <m:ctrlPr>
                <w:rPr>
                  <w:rFonts w:ascii="Cambria Math" w:hAnsi="Cambria Math" w:cs="Arial"/>
                  <w:b/>
                  <w:color w:val="000000"/>
                </w:rPr>
              </m:ctrlPr>
            </m:sSubPr>
            <m:e>
              <m:r>
                <m:rPr>
                  <m:sty m:val="b"/>
                </m:rPr>
                <w:rPr>
                  <w:rFonts w:ascii="Cambria Math" w:hAnsi="Cambria Math" w:cs="Arial"/>
                  <w:color w:val="000000"/>
                </w:rPr>
                <m:t>BM</m:t>
              </m:r>
            </m:e>
            <m:sub>
              <m:r>
                <m:rPr>
                  <m:sty m:val="bi"/>
                </m:rPr>
                <w:rPr>
                  <w:rFonts w:ascii="Cambria Math" w:hAnsi="Cambria Math" w:cs="Arial"/>
                  <w:color w:val="000000"/>
                </w:rPr>
                <m:t>1</m:t>
              </m:r>
            </m:sub>
          </m:sSub>
          <m:r>
            <m:rPr>
              <m:sty m:val="b"/>
            </m:rPr>
            <w:rPr>
              <w:rFonts w:ascii="Cambria Math" w:hAnsi="Cambria Math" w:cs="Arial"/>
              <w:color w:val="000000"/>
              <w:lang w:val="en-US"/>
            </w:rPr>
            <m:t xml:space="preserve">+ </m:t>
          </m:r>
          <m:sSub>
            <m:sSubPr>
              <m:ctrlPr>
                <w:rPr>
                  <w:rFonts w:ascii="Cambria Math" w:hAnsi="Cambria Math" w:cs="Arial"/>
                  <w:b/>
                  <w:color w:val="000000"/>
                </w:rPr>
              </m:ctrlPr>
            </m:sSubPr>
            <m:e>
              <m:r>
                <m:rPr>
                  <m:sty m:val="b"/>
                </m:rPr>
                <w:rPr>
                  <w:rFonts w:ascii="Cambria Math" w:hAnsi="Cambria Math" w:cs="Arial"/>
                  <w:color w:val="000000"/>
                </w:rPr>
                <m:t>β</m:t>
              </m:r>
            </m:e>
            <m:sub>
              <m:r>
                <m:rPr>
                  <m:sty m:val="bi"/>
                </m:rPr>
                <w:rPr>
                  <w:rFonts w:ascii="Cambria Math" w:hAnsi="Cambria Math" w:cs="Arial"/>
                  <w:color w:val="000000"/>
                </w:rPr>
                <m:t>2</m:t>
              </m:r>
            </m:sub>
          </m:sSub>
          <m:sSub>
            <m:sSubPr>
              <m:ctrlPr>
                <w:rPr>
                  <w:rFonts w:ascii="Cambria Math" w:hAnsi="Cambria Math" w:cs="Arial"/>
                  <w:b/>
                  <w:color w:val="000000"/>
                </w:rPr>
              </m:ctrlPr>
            </m:sSubPr>
            <m:e>
              <m:r>
                <m:rPr>
                  <m:sty m:val="b"/>
                </m:rPr>
                <w:rPr>
                  <w:rFonts w:ascii="Cambria Math" w:hAnsi="Cambria Math" w:cs="Arial"/>
                  <w:color w:val="000000"/>
                </w:rPr>
                <m:t>UGC</m:t>
              </m:r>
              <m:r>
                <m:rPr>
                  <m:sty m:val="b"/>
                </m:rPr>
                <w:rPr>
                  <w:rFonts w:ascii="Cambria Math" w:hAnsi="Cambria Math" w:cs="Arial"/>
                  <w:color w:val="000000"/>
                  <w:lang w:val="en-US"/>
                </w:rPr>
                <m:t xml:space="preserve"> (</m:t>
              </m:r>
              <m:r>
                <m:rPr>
                  <m:sty m:val="b"/>
                </m:rPr>
                <w:rPr>
                  <w:rFonts w:ascii="Cambria Math" w:hAnsi="Cambria Math" w:cs="Arial"/>
                  <w:color w:val="000000"/>
                </w:rPr>
                <m:t>n</m:t>
              </m:r>
              <m:r>
                <m:rPr>
                  <m:sty m:val="b"/>
                </m:rPr>
                <w:rPr>
                  <w:rFonts w:ascii="Cambria Math" w:hAnsi="Cambria Math" w:cs="Arial"/>
                  <w:color w:val="000000"/>
                  <w:lang w:val="en-US"/>
                </w:rPr>
                <m:t>í</m:t>
              </m:r>
              <m:r>
                <m:rPr>
                  <m:sty m:val="b"/>
                </m:rPr>
                <w:rPr>
                  <w:rFonts w:ascii="Cambria Math" w:hAnsi="Cambria Math" w:cs="Arial"/>
                  <w:color w:val="000000"/>
                </w:rPr>
                <m:t>vel1</m:t>
              </m:r>
              <m:r>
                <m:rPr>
                  <m:sty m:val="b"/>
                </m:rPr>
                <w:rPr>
                  <w:rFonts w:ascii="Cambria Math" w:hAnsi="Cambria Math" w:cs="Arial"/>
                  <w:color w:val="000000"/>
                  <w:lang w:val="en-US"/>
                </w:rPr>
                <m:t>)</m:t>
              </m:r>
            </m:e>
            <m:sub>
              <m:r>
                <m:rPr>
                  <m:sty m:val="bi"/>
                </m:rPr>
                <w:rPr>
                  <w:rFonts w:ascii="Cambria Math" w:hAnsi="Cambria Math" w:cs="Arial"/>
                  <w:color w:val="000000"/>
                </w:rPr>
                <m:t>2</m:t>
              </m:r>
            </m:sub>
          </m:sSub>
          <m:r>
            <m:rPr>
              <m:sty m:val="b"/>
            </m:rPr>
            <w:rPr>
              <w:rFonts w:ascii="Cambria Math" w:hAnsi="Cambria Math" w:cs="Arial"/>
              <w:color w:val="000000"/>
              <w:lang w:val="en-US"/>
            </w:rPr>
            <m:t>+</m:t>
          </m:r>
          <m:sSub>
            <m:sSubPr>
              <m:ctrlPr>
                <w:rPr>
                  <w:rFonts w:ascii="Cambria Math" w:hAnsi="Cambria Math" w:cs="Arial"/>
                  <w:b/>
                  <w:color w:val="000000"/>
                </w:rPr>
              </m:ctrlPr>
            </m:sSubPr>
            <m:e>
              <m:r>
                <m:rPr>
                  <m:sty m:val="b"/>
                </m:rPr>
                <w:rPr>
                  <w:rFonts w:ascii="Cambria Math" w:hAnsi="Cambria Math" w:cs="Arial"/>
                  <w:color w:val="000000"/>
                </w:rPr>
                <m:t>β</m:t>
              </m:r>
            </m:e>
            <m:sub>
              <m:r>
                <m:rPr>
                  <m:sty m:val="bi"/>
                </m:rPr>
                <w:rPr>
                  <w:rFonts w:ascii="Cambria Math" w:hAnsi="Cambria Math" w:cs="Arial"/>
                  <w:color w:val="000000"/>
                </w:rPr>
                <m:t>3</m:t>
              </m:r>
            </m:sub>
          </m:sSub>
          <m:sSub>
            <m:sSubPr>
              <m:ctrlPr>
                <w:rPr>
                  <w:rFonts w:ascii="Cambria Math" w:hAnsi="Cambria Math" w:cs="Arial"/>
                  <w:b/>
                  <w:color w:val="000000"/>
                </w:rPr>
              </m:ctrlPr>
            </m:sSubPr>
            <m:e>
              <m:r>
                <m:rPr>
                  <m:sty m:val="b"/>
                </m:rPr>
                <w:rPr>
                  <w:rFonts w:ascii="Cambria Math" w:hAnsi="Cambria Math" w:cs="Arial"/>
                  <w:color w:val="000000"/>
                </w:rPr>
                <m:t>UGC</m:t>
              </m:r>
              <m:r>
                <m:rPr>
                  <m:sty m:val="b"/>
                </m:rPr>
                <w:rPr>
                  <w:rFonts w:ascii="Cambria Math" w:hAnsi="Cambria Math" w:cs="Arial"/>
                  <w:color w:val="000000"/>
                  <w:lang w:val="en-US"/>
                </w:rPr>
                <m:t xml:space="preserve"> (</m:t>
              </m:r>
              <m:r>
                <m:rPr>
                  <m:sty m:val="b"/>
                </m:rPr>
                <w:rPr>
                  <w:rFonts w:ascii="Cambria Math" w:hAnsi="Cambria Math" w:cs="Arial"/>
                  <w:color w:val="000000"/>
                </w:rPr>
                <m:t>n</m:t>
              </m:r>
              <m:r>
                <m:rPr>
                  <m:sty m:val="b"/>
                </m:rPr>
                <w:rPr>
                  <w:rFonts w:ascii="Cambria Math" w:hAnsi="Cambria Math" w:cs="Arial"/>
                  <w:color w:val="000000"/>
                  <w:lang w:val="en-US"/>
                </w:rPr>
                <m:t>í</m:t>
              </m:r>
              <m:r>
                <m:rPr>
                  <m:sty m:val="b"/>
                </m:rPr>
                <w:rPr>
                  <w:rFonts w:ascii="Cambria Math" w:hAnsi="Cambria Math" w:cs="Arial"/>
                  <w:color w:val="000000"/>
                </w:rPr>
                <m:t>vel2</m:t>
              </m:r>
              <m:r>
                <m:rPr>
                  <m:sty m:val="b"/>
                </m:rPr>
                <w:rPr>
                  <w:rFonts w:ascii="Cambria Math" w:hAnsi="Cambria Math" w:cs="Arial"/>
                  <w:color w:val="000000"/>
                  <w:lang w:val="en-US"/>
                </w:rPr>
                <m:t>)</m:t>
              </m:r>
            </m:e>
            <m:sub>
              <m:r>
                <m:rPr>
                  <m:sty m:val="bi"/>
                </m:rPr>
                <w:rPr>
                  <w:rFonts w:ascii="Cambria Math" w:hAnsi="Cambria Math" w:cs="Arial"/>
                  <w:color w:val="000000"/>
                </w:rPr>
                <m:t>3</m:t>
              </m:r>
            </m:sub>
          </m:sSub>
          <m:r>
            <m:rPr>
              <m:sty m:val="b"/>
            </m:rPr>
            <w:rPr>
              <w:rFonts w:ascii="Cambria Math" w:hAnsi="Cambria Math" w:cs="Arial"/>
              <w:color w:val="000000"/>
              <w:lang w:val="en-US"/>
            </w:rPr>
            <m:t xml:space="preserve">+ </m:t>
          </m:r>
          <m:sSub>
            <m:sSubPr>
              <m:ctrlPr>
                <w:rPr>
                  <w:rFonts w:ascii="Cambria Math" w:hAnsi="Cambria Math" w:cs="Arial"/>
                  <w:b/>
                  <w:color w:val="000000"/>
                </w:rPr>
              </m:ctrlPr>
            </m:sSubPr>
            <m:e>
              <m:r>
                <m:rPr>
                  <m:sty m:val="b"/>
                </m:rPr>
                <w:rPr>
                  <w:rFonts w:ascii="Cambria Math" w:hAnsi="Cambria Math" w:cs="Arial"/>
                  <w:color w:val="000000"/>
                </w:rPr>
                <m:t>β</m:t>
              </m:r>
            </m:e>
            <m:sub>
              <m:r>
                <m:rPr>
                  <m:sty m:val="bi"/>
                </m:rPr>
                <w:rPr>
                  <w:rFonts w:ascii="Cambria Math" w:hAnsi="Cambria Math" w:cs="Arial"/>
                  <w:color w:val="000000"/>
                </w:rPr>
                <m:t>4</m:t>
              </m:r>
            </m:sub>
          </m:sSub>
          <m:sSub>
            <m:sSubPr>
              <m:ctrlPr>
                <w:rPr>
                  <w:rFonts w:ascii="Cambria Math" w:hAnsi="Cambria Math" w:cs="Arial"/>
                  <w:b/>
                  <w:color w:val="000000"/>
                </w:rPr>
              </m:ctrlPr>
            </m:sSubPr>
            <m:e>
              <m:r>
                <m:rPr>
                  <m:sty m:val="b"/>
                </m:rPr>
                <w:rPr>
                  <w:rFonts w:ascii="Cambria Math" w:hAnsi="Cambria Math" w:cs="Arial"/>
                  <w:color w:val="000000"/>
                </w:rPr>
                <m:t>TURN</m:t>
              </m:r>
            </m:e>
            <m:sub>
              <m:r>
                <m:rPr>
                  <m:sty m:val="bi"/>
                </m:rPr>
                <w:rPr>
                  <w:rFonts w:ascii="Cambria Math" w:hAnsi="Cambria Math" w:cs="Arial"/>
                  <w:color w:val="000000"/>
                </w:rPr>
                <m:t>4</m:t>
              </m:r>
            </m:sub>
          </m:sSub>
          <m:r>
            <m:rPr>
              <m:sty m:val="b"/>
            </m:rPr>
            <w:rPr>
              <w:rFonts w:ascii="Cambria Math" w:hAnsi="Cambria Math" w:cs="Arial"/>
              <w:color w:val="000000"/>
              <w:lang w:val="en-US"/>
            </w:rPr>
            <m:t xml:space="preserve"> +</m:t>
          </m:r>
          <m:sSub>
            <m:sSubPr>
              <m:ctrlPr>
                <w:rPr>
                  <w:rFonts w:ascii="Cambria Math" w:hAnsi="Cambria Math" w:cs="Arial"/>
                  <w:b/>
                  <w:color w:val="000000"/>
                </w:rPr>
              </m:ctrlPr>
            </m:sSubPr>
            <m:e>
              <m:r>
                <m:rPr>
                  <m:sty m:val="b"/>
                </m:rPr>
                <w:rPr>
                  <w:rFonts w:ascii="Cambria Math" w:hAnsi="Cambria Math" w:cs="Arial"/>
                  <w:color w:val="000000"/>
                </w:rPr>
                <m:t>β</m:t>
              </m:r>
            </m:e>
            <m:sub>
              <m:r>
                <m:rPr>
                  <m:sty m:val="bi"/>
                </m:rPr>
                <w:rPr>
                  <w:rFonts w:ascii="Cambria Math" w:hAnsi="Cambria Math" w:cs="Arial"/>
                  <w:color w:val="000000"/>
                </w:rPr>
                <m:t>5</m:t>
              </m:r>
            </m:sub>
          </m:sSub>
          <m:sSub>
            <m:sSubPr>
              <m:ctrlPr>
                <w:rPr>
                  <w:rFonts w:ascii="Cambria Math" w:hAnsi="Cambria Math" w:cs="Arial"/>
                  <w:b/>
                  <w:color w:val="000000"/>
                </w:rPr>
              </m:ctrlPr>
            </m:sSubPr>
            <m:e>
              <m:r>
                <m:rPr>
                  <m:sty m:val="b"/>
                </m:rPr>
                <w:rPr>
                  <w:rFonts w:ascii="Cambria Math" w:hAnsi="Cambria Math" w:cs="Arial"/>
                  <w:color w:val="000000"/>
                </w:rPr>
                <m:t>ΔFCO</m:t>
              </m:r>
            </m:e>
            <m:sub>
              <m:r>
                <m:rPr>
                  <m:sty m:val="bi"/>
                </m:rPr>
                <w:rPr>
                  <w:rFonts w:ascii="Cambria Math" w:hAnsi="Cambria Math" w:cs="Arial"/>
                  <w:color w:val="000000"/>
                </w:rPr>
                <m:t>5</m:t>
              </m:r>
            </m:sub>
          </m:sSub>
          <m:r>
            <m:rPr>
              <m:sty m:val="b"/>
            </m:rPr>
            <w:rPr>
              <w:rFonts w:ascii="Cambria Math" w:hAnsi="Cambria Math" w:cs="Arial"/>
              <w:color w:val="000000"/>
              <w:lang w:val="en-US"/>
            </w:rPr>
            <m:t xml:space="preserve">+ </m:t>
          </m:r>
          <m:sSub>
            <m:sSubPr>
              <m:ctrlPr>
                <w:rPr>
                  <w:rFonts w:ascii="Cambria Math" w:hAnsi="Cambria Math" w:cs="Arial"/>
                  <w:b/>
                  <w:color w:val="000000"/>
                </w:rPr>
              </m:ctrlPr>
            </m:sSubPr>
            <m:e>
              <m:r>
                <m:rPr>
                  <m:sty m:val="b"/>
                </m:rPr>
                <w:rPr>
                  <w:rFonts w:ascii="Cambria Math" w:hAnsi="Cambria Math" w:cs="Arial"/>
                  <w:color w:val="000000"/>
                </w:rPr>
                <m:t>β</m:t>
              </m:r>
            </m:e>
            <m:sub>
              <m:r>
                <m:rPr>
                  <m:sty m:val="bi"/>
                </m:rPr>
                <w:rPr>
                  <w:rFonts w:ascii="Cambria Math" w:hAnsi="Cambria Math" w:cs="Arial"/>
                  <w:color w:val="000000"/>
                </w:rPr>
                <m:t>6</m:t>
              </m:r>
            </m:sub>
          </m:sSub>
          <m:sSub>
            <m:sSubPr>
              <m:ctrlPr>
                <w:rPr>
                  <w:rFonts w:ascii="Cambria Math" w:hAnsi="Cambria Math" w:cs="Arial"/>
                  <w:b/>
                  <w:color w:val="000000"/>
                </w:rPr>
              </m:ctrlPr>
            </m:sSubPr>
            <m:e>
              <m:r>
                <m:rPr>
                  <m:sty m:val="b"/>
                </m:rPr>
                <w:rPr>
                  <w:rFonts w:ascii="Cambria Math" w:hAnsi="Cambria Math" w:cs="Arial"/>
                  <w:color w:val="000000"/>
                </w:rPr>
                <m:t>ROA</m:t>
              </m:r>
            </m:e>
            <m:sub>
              <m:r>
                <m:rPr>
                  <m:sty m:val="bi"/>
                </m:rPr>
                <w:rPr>
                  <w:rFonts w:ascii="Cambria Math" w:hAnsi="Cambria Math" w:cs="Arial"/>
                  <w:color w:val="000000"/>
                </w:rPr>
                <m:t>6</m:t>
              </m:r>
            </m:sub>
          </m:sSub>
          <m:r>
            <m:rPr>
              <m:sty m:val="b"/>
            </m:rPr>
            <w:rPr>
              <w:rFonts w:ascii="Cambria Math" w:hAnsi="Cambria Math" w:cs="Arial"/>
              <w:color w:val="000000"/>
              <w:lang w:val="en-US"/>
            </w:rPr>
            <m:t xml:space="preserve">+ </m:t>
          </m:r>
          <m:sSub>
            <m:sSubPr>
              <m:ctrlPr>
                <w:rPr>
                  <w:rFonts w:ascii="Cambria Math" w:hAnsi="Cambria Math" w:cs="Arial"/>
                  <w:b/>
                  <w:color w:val="000000"/>
                </w:rPr>
              </m:ctrlPr>
            </m:sSubPr>
            <m:e>
              <m:r>
                <m:rPr>
                  <m:sty m:val="b"/>
                </m:rPr>
                <w:rPr>
                  <w:rFonts w:ascii="Cambria Math" w:hAnsi="Cambria Math" w:cs="Arial"/>
                  <w:color w:val="000000"/>
                </w:rPr>
                <m:t>β</m:t>
              </m:r>
            </m:e>
            <m:sub>
              <m:r>
                <m:rPr>
                  <m:sty m:val="bi"/>
                </m:rPr>
                <w:rPr>
                  <w:rFonts w:ascii="Cambria Math" w:hAnsi="Cambria Math" w:cs="Arial"/>
                  <w:color w:val="000000"/>
                </w:rPr>
                <m:t>7</m:t>
              </m:r>
            </m:sub>
          </m:sSub>
          <m:sSub>
            <m:sSubPr>
              <m:ctrlPr>
                <w:rPr>
                  <w:rFonts w:ascii="Cambria Math" w:hAnsi="Cambria Math" w:cs="Arial"/>
                  <w:b/>
                  <w:color w:val="000000"/>
                </w:rPr>
              </m:ctrlPr>
            </m:sSubPr>
            <m:e>
              <m:r>
                <m:rPr>
                  <m:sty m:val="b"/>
                </m:rPr>
                <w:rPr>
                  <w:rFonts w:ascii="Cambria Math" w:hAnsi="Cambria Math" w:cs="Arial"/>
                  <w:color w:val="000000"/>
                </w:rPr>
                <m:t>GOOD</m:t>
              </m:r>
            </m:e>
            <m:sub>
              <m:r>
                <m:rPr>
                  <m:sty m:val="bi"/>
                </m:rPr>
                <w:rPr>
                  <w:rFonts w:ascii="Cambria Math" w:hAnsi="Cambria Math" w:cs="Arial"/>
                  <w:color w:val="000000"/>
                </w:rPr>
                <m:t>7</m:t>
              </m:r>
            </m:sub>
          </m:sSub>
          <m:r>
            <m:rPr>
              <m:sty m:val="b"/>
            </m:rPr>
            <w:rPr>
              <w:rFonts w:ascii="Cambria Math" w:hAnsi="Cambria Math" w:cs="Arial"/>
              <w:color w:val="000000"/>
              <w:lang w:val="en-US"/>
            </w:rPr>
            <m:t xml:space="preserve"> + </m:t>
          </m:r>
          <m:sSub>
            <m:sSubPr>
              <m:ctrlPr>
                <w:rPr>
                  <w:rFonts w:ascii="Cambria Math" w:hAnsi="Cambria Math" w:cs="Arial"/>
                  <w:b/>
                  <w:color w:val="000000"/>
                </w:rPr>
              </m:ctrlPr>
            </m:sSubPr>
            <m:e>
              <m:r>
                <m:rPr>
                  <m:sty m:val="b"/>
                </m:rPr>
                <w:rPr>
                  <w:rFonts w:ascii="Cambria Math" w:hAnsi="Cambria Math" w:cs="Arial"/>
                  <w:color w:val="000000"/>
                </w:rPr>
                <m:t>β</m:t>
              </m:r>
            </m:e>
            <m:sub>
              <m:r>
                <m:rPr>
                  <m:sty m:val="bi"/>
                </m:rPr>
                <w:rPr>
                  <w:rFonts w:ascii="Cambria Math" w:hAnsi="Cambria Math" w:cs="Arial"/>
                  <w:color w:val="000000"/>
                </w:rPr>
                <m:t>8</m:t>
              </m:r>
            </m:sub>
          </m:sSub>
          <m:sSub>
            <m:sSubPr>
              <m:ctrlPr>
                <w:rPr>
                  <w:rFonts w:ascii="Cambria Math" w:hAnsi="Cambria Math" w:cs="Arial"/>
                  <w:b/>
                  <w:color w:val="000000"/>
                </w:rPr>
              </m:ctrlPr>
            </m:sSubPr>
            <m:e>
              <m:r>
                <m:rPr>
                  <m:sty m:val="b"/>
                </m:rPr>
                <w:rPr>
                  <w:rFonts w:ascii="Cambria Math" w:hAnsi="Cambria Math" w:cs="Arial"/>
                  <w:color w:val="000000"/>
                </w:rPr>
                <m:t>ALAFIN</m:t>
              </m:r>
            </m:e>
            <m:sub>
              <m:r>
                <m:rPr>
                  <m:sty m:val="bi"/>
                </m:rPr>
                <w:rPr>
                  <w:rFonts w:ascii="Cambria Math" w:hAnsi="Cambria Math" w:cs="Arial"/>
                  <w:color w:val="000000"/>
                </w:rPr>
                <m:t>8</m:t>
              </m:r>
            </m:sub>
          </m:sSub>
          <m:r>
            <m:rPr>
              <m:sty m:val="b"/>
            </m:rPr>
            <w:rPr>
              <w:rFonts w:ascii="Cambria Math" w:hAnsi="Cambria Math" w:cs="Arial"/>
              <w:color w:val="000000"/>
              <w:lang w:val="en-US"/>
            </w:rPr>
            <m:t xml:space="preserve">+ </m:t>
          </m:r>
          <m:r>
            <m:rPr>
              <m:sty m:val="bi"/>
            </m:rPr>
            <w:rPr>
              <w:rFonts w:ascii="Cambria Math" w:hAnsi="Cambria Math" w:cs="Arial"/>
              <w:color w:val="000000"/>
            </w:rPr>
            <m:t>u</m:t>
          </m:r>
        </m:oMath>
      </m:oMathPara>
    </w:p>
    <w:p w:rsidR="00D024E2" w:rsidRPr="00D87F6E" w:rsidRDefault="00D024E2" w:rsidP="00080401">
      <w:pPr>
        <w:rPr>
          <w:szCs w:val="24"/>
        </w:rPr>
      </w:pPr>
    </w:p>
    <w:p w:rsidR="00BF555B" w:rsidRPr="00D87F6E" w:rsidRDefault="00BF555B" w:rsidP="00080401">
      <w:pPr>
        <w:rPr>
          <w:szCs w:val="24"/>
        </w:rPr>
      </w:pPr>
      <w:r w:rsidRPr="00D87F6E">
        <w:rPr>
          <w:szCs w:val="24"/>
        </w:rPr>
        <w:t xml:space="preserve">Diferentemente dos estudos anteriores, </w:t>
      </w:r>
      <w:r w:rsidR="00D024E2" w:rsidRPr="00D87F6E">
        <w:rPr>
          <w:szCs w:val="24"/>
        </w:rPr>
        <w:t>esta</w:t>
      </w:r>
      <w:r w:rsidRPr="00D87F6E">
        <w:rPr>
          <w:szCs w:val="24"/>
        </w:rPr>
        <w:t xml:space="preserve"> pesquisa dividiu a variável UGC em dois níveis. O primeiro nível refere-se à informação encontrada nas notas explicativas sobre as UGCs (políticas contábeis). No nível 2, as UGCs foram identificadas ou especificadas pela empresa, por exemplo, quando a empresa aborda que as UGCs são divididas por segmento operacional. Entendeu-se como relevante essa segregação porque a amostra contém empresas que apresenta</w:t>
      </w:r>
      <w:r w:rsidR="00F30B77" w:rsidRPr="00D87F6E">
        <w:rPr>
          <w:szCs w:val="24"/>
        </w:rPr>
        <w:t>r</w:t>
      </w:r>
      <w:r w:rsidRPr="00D87F6E">
        <w:rPr>
          <w:szCs w:val="24"/>
        </w:rPr>
        <w:t>am de forma mais detalhada suas UGCs.</w:t>
      </w:r>
    </w:p>
    <w:p w:rsidR="00E24E18" w:rsidRPr="00D87F6E" w:rsidRDefault="00BF555B" w:rsidP="00080401">
      <w:pPr>
        <w:rPr>
          <w:szCs w:val="24"/>
        </w:rPr>
      </w:pPr>
      <w:r w:rsidRPr="00D87F6E">
        <w:rPr>
          <w:szCs w:val="24"/>
        </w:rPr>
        <w:t>Com a finalidade de verificar as relações entre a variável dependente e as variáveis independentes, assim como rejeitar ou não as hipóteses da pesquisa, após a coleta dos dados e cálculo das variáveis, foi realizada análise de regressão linear múltipla, utilizando-se o</w:t>
      </w:r>
      <w:r w:rsidRPr="00D87F6E">
        <w:rPr>
          <w:i/>
          <w:szCs w:val="24"/>
        </w:rPr>
        <w:t xml:space="preserve"> softwareSPSS Statistics</w:t>
      </w:r>
      <w:r w:rsidRPr="00D87F6E">
        <w:rPr>
          <w:szCs w:val="24"/>
          <w:vertAlign w:val="superscript"/>
        </w:rPr>
        <w:t>®</w:t>
      </w:r>
      <w:r w:rsidRPr="00D87F6E">
        <w:rPr>
          <w:szCs w:val="24"/>
        </w:rPr>
        <w:t>.</w:t>
      </w:r>
    </w:p>
    <w:p w:rsidR="00F837AD" w:rsidRPr="00D87F6E" w:rsidRDefault="00F837AD" w:rsidP="00080401">
      <w:pPr>
        <w:ind w:firstLine="0"/>
        <w:rPr>
          <w:szCs w:val="24"/>
        </w:rPr>
      </w:pPr>
    </w:p>
    <w:p w:rsidR="00D76DB3" w:rsidRPr="00D87F6E" w:rsidRDefault="00D76DB3" w:rsidP="00080401">
      <w:pPr>
        <w:pStyle w:val="Ttulo1"/>
        <w:numPr>
          <w:ilvl w:val="0"/>
          <w:numId w:val="0"/>
        </w:numPr>
        <w:spacing w:before="0" w:after="0"/>
        <w:ind w:left="431" w:hanging="431"/>
        <w:rPr>
          <w:sz w:val="24"/>
          <w:szCs w:val="24"/>
        </w:rPr>
      </w:pPr>
      <w:r w:rsidRPr="00D87F6E">
        <w:rPr>
          <w:sz w:val="24"/>
          <w:szCs w:val="24"/>
        </w:rPr>
        <w:t>4 ANÁLISE DOS RESULTADOS</w:t>
      </w:r>
    </w:p>
    <w:p w:rsidR="00EE1A5F" w:rsidRPr="00D87F6E" w:rsidRDefault="00EE1A5F" w:rsidP="00080401">
      <w:pPr>
        <w:rPr>
          <w:lang/>
        </w:rPr>
      </w:pPr>
    </w:p>
    <w:p w:rsidR="00D76DB3" w:rsidRPr="00D87F6E" w:rsidRDefault="00D76DB3" w:rsidP="00080401">
      <w:pPr>
        <w:rPr>
          <w:szCs w:val="24"/>
        </w:rPr>
      </w:pPr>
      <w:r w:rsidRPr="00D87F6E">
        <w:rPr>
          <w:szCs w:val="24"/>
        </w:rPr>
        <w:t xml:space="preserve">Esta seção abrange a análise dos resultados. Para tal, primeiramente, a Tabela 2 arrola, por setor de atuação, o número de empresas que apresentaram saldo de </w:t>
      </w:r>
      <w:r w:rsidRPr="00D87F6E">
        <w:rPr>
          <w:i/>
          <w:szCs w:val="24"/>
        </w:rPr>
        <w:t xml:space="preserve">goodwill </w:t>
      </w:r>
      <w:r w:rsidRPr="00D87F6E">
        <w:rPr>
          <w:szCs w:val="24"/>
        </w:rPr>
        <w:t xml:space="preserve">resultante de combinação de negócios, em 31 de dezembro de 2015, e a média </w:t>
      </w:r>
      <w:r w:rsidR="00973373" w:rsidRPr="00D87F6E">
        <w:rPr>
          <w:szCs w:val="24"/>
        </w:rPr>
        <w:t>desses</w:t>
      </w:r>
      <w:r w:rsidRPr="00D87F6E">
        <w:rPr>
          <w:szCs w:val="24"/>
        </w:rPr>
        <w:t xml:space="preserve"> saldos. Também informa o número de perdas por </w:t>
      </w:r>
      <w:r w:rsidRPr="00D87F6E">
        <w:rPr>
          <w:i/>
          <w:szCs w:val="24"/>
        </w:rPr>
        <w:t xml:space="preserve">impairment </w:t>
      </w:r>
      <w:r w:rsidR="00973373" w:rsidRPr="00D87F6E">
        <w:rPr>
          <w:szCs w:val="24"/>
        </w:rPr>
        <w:t>desse</w:t>
      </w:r>
      <w:r w:rsidRPr="00D87F6E">
        <w:rPr>
          <w:szCs w:val="24"/>
        </w:rPr>
        <w:t xml:space="preserve"> ativo, referentes ao exercício de 2015, que foramidentificadas.</w:t>
      </w:r>
    </w:p>
    <w:p w:rsidR="006D0071" w:rsidRPr="00D87F6E" w:rsidRDefault="006D0071" w:rsidP="00080401">
      <w:pPr>
        <w:rPr>
          <w:szCs w:val="24"/>
        </w:rPr>
      </w:pPr>
    </w:p>
    <w:p w:rsidR="00D76DB3" w:rsidRPr="00D87F6E" w:rsidRDefault="00D76DB3" w:rsidP="00080401">
      <w:pPr>
        <w:ind w:right="49"/>
        <w:jc w:val="center"/>
        <w:rPr>
          <w:b/>
        </w:rPr>
      </w:pPr>
      <w:r w:rsidRPr="00D87F6E">
        <w:rPr>
          <w:b/>
        </w:rPr>
        <w:t xml:space="preserve">Tabela 2 – Média do saldo de </w:t>
      </w:r>
      <w:r w:rsidRPr="00D87F6E">
        <w:rPr>
          <w:b/>
          <w:i/>
        </w:rPr>
        <w:t>goodwill</w:t>
      </w:r>
      <w:r w:rsidRPr="00D87F6E">
        <w:rPr>
          <w:b/>
        </w:rPr>
        <w:t xml:space="preserve"> e número de perdas por </w:t>
      </w:r>
      <w:r w:rsidRPr="00D87F6E">
        <w:rPr>
          <w:b/>
          <w:i/>
        </w:rPr>
        <w:t>impairment</w:t>
      </w:r>
    </w:p>
    <w:tbl>
      <w:tblPr>
        <w:tblW w:w="9356" w:type="dxa"/>
        <w:tblLook w:val="04A0"/>
      </w:tblPr>
      <w:tblGrid>
        <w:gridCol w:w="2835"/>
        <w:gridCol w:w="2235"/>
        <w:gridCol w:w="2018"/>
        <w:gridCol w:w="2268"/>
      </w:tblGrid>
      <w:tr w:rsidR="00D80C8D" w:rsidRPr="00D87F6E" w:rsidTr="00C002DB">
        <w:tc>
          <w:tcPr>
            <w:tcW w:w="2835" w:type="dxa"/>
            <w:tcBorders>
              <w:top w:val="single" w:sz="4" w:space="0" w:color="auto"/>
              <w:bottom w:val="single" w:sz="4" w:space="0" w:color="auto"/>
              <w:right w:val="single" w:sz="4" w:space="0" w:color="auto"/>
            </w:tcBorders>
            <w:shd w:val="clear" w:color="auto" w:fill="FFFFFF"/>
            <w:vAlign w:val="center"/>
          </w:tcPr>
          <w:p w:rsidR="00D76DB3" w:rsidRPr="00D87F6E" w:rsidRDefault="00D76DB3" w:rsidP="00080401">
            <w:pPr>
              <w:ind w:firstLine="0"/>
              <w:jc w:val="center"/>
              <w:rPr>
                <w:b/>
                <w:i/>
                <w:iCs/>
                <w:sz w:val="20"/>
              </w:rPr>
            </w:pPr>
            <w:r w:rsidRPr="00D87F6E">
              <w:rPr>
                <w:b/>
                <w:iCs/>
                <w:sz w:val="20"/>
              </w:rPr>
              <w:t>Setor de atuação</w:t>
            </w:r>
          </w:p>
        </w:tc>
        <w:tc>
          <w:tcPr>
            <w:tcW w:w="2235" w:type="dxa"/>
            <w:tcBorders>
              <w:top w:val="single" w:sz="4" w:space="0" w:color="auto"/>
              <w:left w:val="single" w:sz="4" w:space="0" w:color="auto"/>
              <w:bottom w:val="single" w:sz="4" w:space="0" w:color="auto"/>
              <w:right w:val="single" w:sz="4" w:space="0" w:color="auto"/>
            </w:tcBorders>
            <w:shd w:val="clear" w:color="auto" w:fill="FFFFFF"/>
            <w:vAlign w:val="center"/>
          </w:tcPr>
          <w:p w:rsidR="00D76DB3" w:rsidRPr="00D87F6E" w:rsidRDefault="00D76DB3" w:rsidP="00080401">
            <w:pPr>
              <w:ind w:firstLine="0"/>
              <w:jc w:val="center"/>
              <w:rPr>
                <w:b/>
                <w:i/>
                <w:iCs/>
                <w:sz w:val="20"/>
              </w:rPr>
            </w:pPr>
            <w:r w:rsidRPr="00D87F6E">
              <w:rPr>
                <w:b/>
                <w:iCs/>
                <w:sz w:val="20"/>
              </w:rPr>
              <w:t>N</w:t>
            </w:r>
            <w:r w:rsidRPr="00D87F6E">
              <w:rPr>
                <w:rStyle w:val="Forte"/>
                <w:iCs/>
                <w:sz w:val="20"/>
                <w:lang w:val="pt-PT"/>
              </w:rPr>
              <w:t>º</w:t>
            </w:r>
            <w:r w:rsidRPr="00D87F6E">
              <w:rPr>
                <w:b/>
                <w:iCs/>
                <w:sz w:val="20"/>
              </w:rPr>
              <w:t xml:space="preserve"> de empresas por setor de atuação</w:t>
            </w:r>
          </w:p>
        </w:tc>
        <w:tc>
          <w:tcPr>
            <w:tcW w:w="2018" w:type="dxa"/>
            <w:tcBorders>
              <w:top w:val="single" w:sz="4" w:space="0" w:color="auto"/>
              <w:left w:val="single" w:sz="4" w:space="0" w:color="auto"/>
              <w:bottom w:val="single" w:sz="4" w:space="0" w:color="auto"/>
              <w:right w:val="single" w:sz="4" w:space="0" w:color="auto"/>
            </w:tcBorders>
            <w:shd w:val="clear" w:color="auto" w:fill="FFFFFF"/>
            <w:vAlign w:val="center"/>
          </w:tcPr>
          <w:p w:rsidR="00D76DB3" w:rsidRPr="00D87F6E" w:rsidRDefault="00D76DB3" w:rsidP="00080401">
            <w:pPr>
              <w:ind w:firstLine="0"/>
              <w:jc w:val="center"/>
              <w:rPr>
                <w:b/>
                <w:i/>
                <w:iCs/>
                <w:sz w:val="20"/>
              </w:rPr>
            </w:pPr>
            <w:r w:rsidRPr="00D87F6E">
              <w:rPr>
                <w:b/>
                <w:iCs/>
                <w:sz w:val="20"/>
              </w:rPr>
              <w:t xml:space="preserve">Média saldo de </w:t>
            </w:r>
            <w:r w:rsidRPr="00D87F6E">
              <w:rPr>
                <w:b/>
                <w:i/>
                <w:iCs/>
                <w:sz w:val="20"/>
              </w:rPr>
              <w:t>goodwill</w:t>
            </w:r>
          </w:p>
        </w:tc>
        <w:tc>
          <w:tcPr>
            <w:tcW w:w="2268" w:type="dxa"/>
            <w:tcBorders>
              <w:top w:val="single" w:sz="4" w:space="0" w:color="auto"/>
              <w:left w:val="single" w:sz="4" w:space="0" w:color="auto"/>
              <w:bottom w:val="single" w:sz="4" w:space="0" w:color="auto"/>
            </w:tcBorders>
            <w:shd w:val="clear" w:color="auto" w:fill="FFFFFF"/>
            <w:vAlign w:val="center"/>
          </w:tcPr>
          <w:p w:rsidR="00D76DB3" w:rsidRPr="00D87F6E" w:rsidRDefault="00D76DB3" w:rsidP="00080401">
            <w:pPr>
              <w:ind w:firstLine="0"/>
              <w:jc w:val="center"/>
              <w:rPr>
                <w:b/>
                <w:i/>
                <w:iCs/>
                <w:sz w:val="20"/>
              </w:rPr>
            </w:pPr>
            <w:r w:rsidRPr="00D87F6E">
              <w:rPr>
                <w:b/>
                <w:iCs/>
                <w:sz w:val="20"/>
              </w:rPr>
              <w:t>N</w:t>
            </w:r>
            <w:r w:rsidRPr="00D87F6E">
              <w:rPr>
                <w:rStyle w:val="Forte"/>
                <w:iCs/>
                <w:sz w:val="20"/>
                <w:lang w:val="pt-PT"/>
              </w:rPr>
              <w:t>º</w:t>
            </w:r>
            <w:r w:rsidRPr="00D87F6E">
              <w:rPr>
                <w:b/>
                <w:iCs/>
                <w:sz w:val="20"/>
              </w:rPr>
              <w:t xml:space="preserve"> de perdas por </w:t>
            </w:r>
            <w:r w:rsidRPr="00D87F6E">
              <w:rPr>
                <w:b/>
                <w:i/>
                <w:iCs/>
                <w:sz w:val="20"/>
              </w:rPr>
              <w:t>impairment</w:t>
            </w:r>
            <w:r w:rsidRPr="00D87F6E">
              <w:rPr>
                <w:b/>
                <w:iCs/>
                <w:sz w:val="20"/>
              </w:rPr>
              <w:t xml:space="preserve"> do </w:t>
            </w:r>
            <w:r w:rsidRPr="00D87F6E">
              <w:rPr>
                <w:b/>
                <w:i/>
                <w:iCs/>
                <w:sz w:val="20"/>
              </w:rPr>
              <w:t xml:space="preserve">goodwill </w:t>
            </w:r>
          </w:p>
        </w:tc>
      </w:tr>
      <w:tr w:rsidR="00D80C8D" w:rsidRPr="00D87F6E" w:rsidTr="00C002DB">
        <w:tc>
          <w:tcPr>
            <w:tcW w:w="2835" w:type="dxa"/>
            <w:tcBorders>
              <w:top w:val="single" w:sz="4" w:space="0" w:color="auto"/>
              <w:right w:val="single" w:sz="4" w:space="0" w:color="auto"/>
            </w:tcBorders>
            <w:shd w:val="clear" w:color="auto" w:fill="FFFFFF"/>
            <w:vAlign w:val="center"/>
          </w:tcPr>
          <w:p w:rsidR="00D76DB3" w:rsidRPr="00D87F6E" w:rsidRDefault="00D76DB3" w:rsidP="00080401">
            <w:pPr>
              <w:ind w:firstLine="0"/>
              <w:jc w:val="left"/>
              <w:rPr>
                <w:i/>
                <w:iCs/>
                <w:sz w:val="20"/>
              </w:rPr>
            </w:pPr>
            <w:r w:rsidRPr="00D87F6E">
              <w:rPr>
                <w:iCs/>
                <w:sz w:val="20"/>
              </w:rPr>
              <w:t>Bens Industriais</w:t>
            </w:r>
          </w:p>
        </w:tc>
        <w:tc>
          <w:tcPr>
            <w:tcW w:w="2235" w:type="dxa"/>
            <w:tcBorders>
              <w:top w:val="single" w:sz="4" w:space="0" w:color="auto"/>
              <w:left w:val="single" w:sz="4" w:space="0" w:color="auto"/>
              <w:right w:val="single" w:sz="4" w:space="0" w:color="auto"/>
            </w:tcBorders>
            <w:shd w:val="clear" w:color="auto" w:fill="F2F2F2"/>
            <w:vAlign w:val="center"/>
          </w:tcPr>
          <w:p w:rsidR="00D76DB3" w:rsidRPr="00D87F6E" w:rsidRDefault="00D76DB3" w:rsidP="00080401">
            <w:pPr>
              <w:ind w:firstLine="0"/>
              <w:jc w:val="center"/>
              <w:rPr>
                <w:rFonts w:eastAsia="Calibri"/>
                <w:sz w:val="20"/>
              </w:rPr>
            </w:pPr>
            <w:r w:rsidRPr="00D87F6E">
              <w:rPr>
                <w:rFonts w:eastAsia="Calibri"/>
                <w:sz w:val="20"/>
              </w:rPr>
              <w:t>15</w:t>
            </w:r>
          </w:p>
        </w:tc>
        <w:tc>
          <w:tcPr>
            <w:tcW w:w="2018" w:type="dxa"/>
            <w:tcBorders>
              <w:top w:val="single" w:sz="4" w:space="0" w:color="auto"/>
              <w:left w:val="single" w:sz="4" w:space="0" w:color="auto"/>
              <w:right w:val="single" w:sz="4" w:space="0" w:color="auto"/>
            </w:tcBorders>
            <w:shd w:val="clear" w:color="auto" w:fill="F2F2F2"/>
            <w:vAlign w:val="center"/>
          </w:tcPr>
          <w:p w:rsidR="00D76DB3" w:rsidRPr="00D87F6E" w:rsidRDefault="00D76DB3" w:rsidP="00080401">
            <w:pPr>
              <w:ind w:firstLine="0"/>
              <w:jc w:val="center"/>
              <w:rPr>
                <w:rFonts w:eastAsia="Calibri"/>
                <w:sz w:val="20"/>
              </w:rPr>
            </w:pPr>
            <w:r w:rsidRPr="00D87F6E">
              <w:rPr>
                <w:rFonts w:eastAsia="Calibri"/>
                <w:sz w:val="20"/>
              </w:rPr>
              <w:t>308.711.800</w:t>
            </w:r>
          </w:p>
        </w:tc>
        <w:tc>
          <w:tcPr>
            <w:tcW w:w="2268" w:type="dxa"/>
            <w:tcBorders>
              <w:top w:val="single" w:sz="4" w:space="0" w:color="auto"/>
              <w:left w:val="single" w:sz="4" w:space="0" w:color="auto"/>
            </w:tcBorders>
            <w:shd w:val="clear" w:color="auto" w:fill="F2F2F2"/>
            <w:vAlign w:val="center"/>
          </w:tcPr>
          <w:p w:rsidR="00D76DB3" w:rsidRPr="00D87F6E" w:rsidRDefault="00D76DB3" w:rsidP="00080401">
            <w:pPr>
              <w:ind w:firstLine="0"/>
              <w:jc w:val="center"/>
              <w:rPr>
                <w:rFonts w:eastAsia="Calibri"/>
                <w:sz w:val="20"/>
              </w:rPr>
            </w:pPr>
            <w:r w:rsidRPr="00D87F6E">
              <w:rPr>
                <w:rFonts w:eastAsia="Calibri"/>
                <w:sz w:val="20"/>
              </w:rPr>
              <w:t>1</w:t>
            </w:r>
          </w:p>
        </w:tc>
      </w:tr>
      <w:tr w:rsidR="00D80C8D" w:rsidRPr="00D87F6E" w:rsidTr="00C002DB">
        <w:tc>
          <w:tcPr>
            <w:tcW w:w="2835" w:type="dxa"/>
            <w:tcBorders>
              <w:right w:val="single" w:sz="4" w:space="0" w:color="auto"/>
            </w:tcBorders>
            <w:shd w:val="clear" w:color="auto" w:fill="FFFFFF"/>
            <w:vAlign w:val="center"/>
          </w:tcPr>
          <w:p w:rsidR="00D76DB3" w:rsidRPr="00D87F6E" w:rsidRDefault="00D76DB3" w:rsidP="00080401">
            <w:pPr>
              <w:ind w:firstLine="0"/>
              <w:jc w:val="left"/>
              <w:rPr>
                <w:i/>
                <w:iCs/>
                <w:sz w:val="20"/>
              </w:rPr>
            </w:pPr>
            <w:r w:rsidRPr="00D87F6E">
              <w:rPr>
                <w:iCs/>
                <w:sz w:val="20"/>
              </w:rPr>
              <w:t>Construção e Transporte</w:t>
            </w:r>
          </w:p>
        </w:tc>
        <w:tc>
          <w:tcPr>
            <w:tcW w:w="2235" w:type="dxa"/>
            <w:tcBorders>
              <w:left w:val="single" w:sz="4" w:space="0" w:color="auto"/>
              <w:right w:val="single" w:sz="4" w:space="0" w:color="auto"/>
            </w:tcBorders>
            <w:shd w:val="clear" w:color="auto" w:fill="auto"/>
            <w:vAlign w:val="center"/>
          </w:tcPr>
          <w:p w:rsidR="00D76DB3" w:rsidRPr="00D87F6E" w:rsidRDefault="00D76DB3" w:rsidP="00080401">
            <w:pPr>
              <w:ind w:firstLine="0"/>
              <w:jc w:val="center"/>
              <w:rPr>
                <w:rFonts w:eastAsia="Calibri"/>
                <w:sz w:val="20"/>
              </w:rPr>
            </w:pPr>
            <w:r w:rsidRPr="00D87F6E">
              <w:rPr>
                <w:rFonts w:eastAsia="Calibri"/>
                <w:sz w:val="20"/>
              </w:rPr>
              <w:t>14</w:t>
            </w:r>
          </w:p>
        </w:tc>
        <w:tc>
          <w:tcPr>
            <w:tcW w:w="2018" w:type="dxa"/>
            <w:tcBorders>
              <w:left w:val="single" w:sz="4" w:space="0" w:color="auto"/>
              <w:right w:val="single" w:sz="4" w:space="0" w:color="auto"/>
            </w:tcBorders>
            <w:shd w:val="clear" w:color="auto" w:fill="auto"/>
            <w:vAlign w:val="center"/>
          </w:tcPr>
          <w:p w:rsidR="00D76DB3" w:rsidRPr="00D87F6E" w:rsidRDefault="00D76DB3" w:rsidP="00080401">
            <w:pPr>
              <w:ind w:firstLine="0"/>
              <w:jc w:val="center"/>
              <w:rPr>
                <w:rFonts w:eastAsia="Calibri"/>
                <w:sz w:val="20"/>
              </w:rPr>
            </w:pPr>
            <w:r w:rsidRPr="00D87F6E">
              <w:rPr>
                <w:rFonts w:eastAsia="Calibri"/>
                <w:sz w:val="20"/>
              </w:rPr>
              <w:t>122.527.143</w:t>
            </w:r>
          </w:p>
        </w:tc>
        <w:tc>
          <w:tcPr>
            <w:tcW w:w="2268" w:type="dxa"/>
            <w:tcBorders>
              <w:left w:val="single" w:sz="4" w:space="0" w:color="auto"/>
            </w:tcBorders>
            <w:shd w:val="clear" w:color="auto" w:fill="auto"/>
            <w:vAlign w:val="center"/>
          </w:tcPr>
          <w:p w:rsidR="00D76DB3" w:rsidRPr="00D87F6E" w:rsidRDefault="00D76DB3" w:rsidP="00080401">
            <w:pPr>
              <w:ind w:firstLine="0"/>
              <w:jc w:val="center"/>
              <w:rPr>
                <w:rFonts w:eastAsia="Calibri"/>
                <w:sz w:val="20"/>
              </w:rPr>
            </w:pPr>
            <w:r w:rsidRPr="00D87F6E">
              <w:rPr>
                <w:rFonts w:eastAsia="Calibri"/>
                <w:sz w:val="20"/>
              </w:rPr>
              <w:t>4</w:t>
            </w:r>
          </w:p>
        </w:tc>
      </w:tr>
      <w:tr w:rsidR="00D80C8D" w:rsidRPr="00D87F6E" w:rsidTr="00C002DB">
        <w:tc>
          <w:tcPr>
            <w:tcW w:w="2835" w:type="dxa"/>
            <w:tcBorders>
              <w:right w:val="single" w:sz="4" w:space="0" w:color="auto"/>
            </w:tcBorders>
            <w:shd w:val="clear" w:color="auto" w:fill="FFFFFF"/>
            <w:vAlign w:val="center"/>
          </w:tcPr>
          <w:p w:rsidR="00D76DB3" w:rsidRPr="00D87F6E" w:rsidRDefault="00D76DB3" w:rsidP="00080401">
            <w:pPr>
              <w:ind w:firstLine="0"/>
              <w:jc w:val="left"/>
              <w:rPr>
                <w:i/>
                <w:iCs/>
                <w:sz w:val="20"/>
              </w:rPr>
            </w:pPr>
            <w:r w:rsidRPr="00D87F6E">
              <w:rPr>
                <w:iCs/>
                <w:sz w:val="20"/>
              </w:rPr>
              <w:t>Consumo Cíclico</w:t>
            </w:r>
          </w:p>
        </w:tc>
        <w:tc>
          <w:tcPr>
            <w:tcW w:w="2235" w:type="dxa"/>
            <w:tcBorders>
              <w:left w:val="single" w:sz="4" w:space="0" w:color="auto"/>
              <w:right w:val="single" w:sz="4" w:space="0" w:color="auto"/>
            </w:tcBorders>
            <w:shd w:val="clear" w:color="auto" w:fill="F2F2F2"/>
            <w:vAlign w:val="center"/>
          </w:tcPr>
          <w:p w:rsidR="00D76DB3" w:rsidRPr="00D87F6E" w:rsidRDefault="00D76DB3" w:rsidP="00080401">
            <w:pPr>
              <w:ind w:firstLine="0"/>
              <w:jc w:val="center"/>
              <w:rPr>
                <w:rFonts w:eastAsia="Calibri"/>
                <w:sz w:val="20"/>
              </w:rPr>
            </w:pPr>
            <w:r w:rsidRPr="00D87F6E">
              <w:rPr>
                <w:rFonts w:eastAsia="Calibri"/>
                <w:sz w:val="20"/>
              </w:rPr>
              <w:t>24</w:t>
            </w:r>
          </w:p>
        </w:tc>
        <w:tc>
          <w:tcPr>
            <w:tcW w:w="2018" w:type="dxa"/>
            <w:tcBorders>
              <w:left w:val="single" w:sz="4" w:space="0" w:color="auto"/>
              <w:right w:val="single" w:sz="4" w:space="0" w:color="auto"/>
            </w:tcBorders>
            <w:shd w:val="clear" w:color="auto" w:fill="F2F2F2"/>
            <w:vAlign w:val="center"/>
          </w:tcPr>
          <w:p w:rsidR="00D76DB3" w:rsidRPr="00D87F6E" w:rsidRDefault="00D76DB3" w:rsidP="00080401">
            <w:pPr>
              <w:ind w:firstLine="0"/>
              <w:jc w:val="center"/>
              <w:rPr>
                <w:rFonts w:eastAsia="Calibri"/>
                <w:sz w:val="20"/>
              </w:rPr>
            </w:pPr>
            <w:r w:rsidRPr="00D87F6E">
              <w:rPr>
                <w:rFonts w:eastAsia="Calibri"/>
                <w:sz w:val="20"/>
              </w:rPr>
              <w:t>1.181.524.583</w:t>
            </w:r>
          </w:p>
        </w:tc>
        <w:tc>
          <w:tcPr>
            <w:tcW w:w="2268" w:type="dxa"/>
            <w:tcBorders>
              <w:left w:val="single" w:sz="4" w:space="0" w:color="auto"/>
            </w:tcBorders>
            <w:shd w:val="clear" w:color="auto" w:fill="F2F2F2"/>
            <w:vAlign w:val="center"/>
          </w:tcPr>
          <w:p w:rsidR="00D76DB3" w:rsidRPr="00D87F6E" w:rsidRDefault="00D76DB3" w:rsidP="00080401">
            <w:pPr>
              <w:ind w:firstLine="0"/>
              <w:jc w:val="center"/>
              <w:rPr>
                <w:rFonts w:eastAsia="Calibri"/>
                <w:sz w:val="20"/>
              </w:rPr>
            </w:pPr>
            <w:r w:rsidRPr="00D87F6E">
              <w:rPr>
                <w:rFonts w:eastAsia="Calibri"/>
                <w:sz w:val="20"/>
              </w:rPr>
              <w:t>1</w:t>
            </w:r>
          </w:p>
        </w:tc>
      </w:tr>
      <w:tr w:rsidR="00D80C8D" w:rsidRPr="00D87F6E" w:rsidTr="00C002DB">
        <w:tc>
          <w:tcPr>
            <w:tcW w:w="2835" w:type="dxa"/>
            <w:tcBorders>
              <w:right w:val="single" w:sz="4" w:space="0" w:color="auto"/>
            </w:tcBorders>
            <w:shd w:val="clear" w:color="auto" w:fill="FFFFFF"/>
            <w:vAlign w:val="center"/>
          </w:tcPr>
          <w:p w:rsidR="00D76DB3" w:rsidRPr="00D87F6E" w:rsidRDefault="00D76DB3" w:rsidP="00080401">
            <w:pPr>
              <w:ind w:firstLine="0"/>
              <w:jc w:val="left"/>
              <w:rPr>
                <w:i/>
                <w:iCs/>
                <w:sz w:val="20"/>
              </w:rPr>
            </w:pPr>
            <w:r w:rsidRPr="00D87F6E">
              <w:rPr>
                <w:iCs/>
                <w:sz w:val="20"/>
              </w:rPr>
              <w:t>Consumo não Cíclico</w:t>
            </w:r>
          </w:p>
        </w:tc>
        <w:tc>
          <w:tcPr>
            <w:tcW w:w="2235" w:type="dxa"/>
            <w:tcBorders>
              <w:left w:val="single" w:sz="4" w:space="0" w:color="auto"/>
              <w:right w:val="single" w:sz="4" w:space="0" w:color="auto"/>
            </w:tcBorders>
            <w:shd w:val="clear" w:color="auto" w:fill="auto"/>
            <w:vAlign w:val="center"/>
          </w:tcPr>
          <w:p w:rsidR="00D76DB3" w:rsidRPr="00D87F6E" w:rsidRDefault="00D76DB3" w:rsidP="00080401">
            <w:pPr>
              <w:ind w:firstLine="0"/>
              <w:jc w:val="center"/>
              <w:rPr>
                <w:rFonts w:eastAsia="Calibri"/>
                <w:sz w:val="20"/>
              </w:rPr>
            </w:pPr>
            <w:r w:rsidRPr="00D87F6E">
              <w:rPr>
                <w:rFonts w:eastAsia="Calibri"/>
                <w:sz w:val="20"/>
              </w:rPr>
              <w:t>24</w:t>
            </w:r>
          </w:p>
        </w:tc>
        <w:tc>
          <w:tcPr>
            <w:tcW w:w="2018" w:type="dxa"/>
            <w:tcBorders>
              <w:left w:val="single" w:sz="4" w:space="0" w:color="auto"/>
              <w:right w:val="single" w:sz="4" w:space="0" w:color="auto"/>
            </w:tcBorders>
            <w:shd w:val="clear" w:color="auto" w:fill="auto"/>
            <w:vAlign w:val="center"/>
          </w:tcPr>
          <w:p w:rsidR="00D76DB3" w:rsidRPr="00D87F6E" w:rsidRDefault="00D76DB3" w:rsidP="00080401">
            <w:pPr>
              <w:ind w:firstLine="0"/>
              <w:jc w:val="center"/>
              <w:rPr>
                <w:rFonts w:eastAsia="Calibri"/>
                <w:sz w:val="20"/>
              </w:rPr>
            </w:pPr>
            <w:r w:rsidRPr="00D87F6E">
              <w:rPr>
                <w:rFonts w:eastAsia="Calibri"/>
                <w:sz w:val="20"/>
              </w:rPr>
              <w:t>2.280.562.958</w:t>
            </w:r>
          </w:p>
        </w:tc>
        <w:tc>
          <w:tcPr>
            <w:tcW w:w="2268" w:type="dxa"/>
            <w:tcBorders>
              <w:left w:val="single" w:sz="4" w:space="0" w:color="auto"/>
            </w:tcBorders>
            <w:shd w:val="clear" w:color="auto" w:fill="auto"/>
            <w:vAlign w:val="center"/>
          </w:tcPr>
          <w:p w:rsidR="00D76DB3" w:rsidRPr="00D87F6E" w:rsidRDefault="00D76DB3" w:rsidP="00080401">
            <w:pPr>
              <w:ind w:firstLine="0"/>
              <w:jc w:val="center"/>
              <w:rPr>
                <w:rFonts w:eastAsia="Calibri"/>
                <w:sz w:val="20"/>
              </w:rPr>
            </w:pPr>
            <w:r w:rsidRPr="00D87F6E">
              <w:rPr>
                <w:rFonts w:eastAsia="Calibri"/>
                <w:sz w:val="20"/>
              </w:rPr>
              <w:t>4</w:t>
            </w:r>
          </w:p>
        </w:tc>
      </w:tr>
      <w:tr w:rsidR="00D80C8D" w:rsidRPr="00D87F6E" w:rsidTr="00C002DB">
        <w:tc>
          <w:tcPr>
            <w:tcW w:w="2835" w:type="dxa"/>
            <w:tcBorders>
              <w:right w:val="single" w:sz="4" w:space="0" w:color="auto"/>
            </w:tcBorders>
            <w:shd w:val="clear" w:color="auto" w:fill="FFFFFF"/>
            <w:vAlign w:val="center"/>
          </w:tcPr>
          <w:p w:rsidR="00D76DB3" w:rsidRPr="00D87F6E" w:rsidRDefault="00D76DB3" w:rsidP="00080401">
            <w:pPr>
              <w:ind w:firstLine="0"/>
              <w:jc w:val="left"/>
              <w:rPr>
                <w:i/>
                <w:iCs/>
                <w:sz w:val="20"/>
              </w:rPr>
            </w:pPr>
            <w:r w:rsidRPr="00D87F6E">
              <w:rPr>
                <w:iCs/>
                <w:sz w:val="20"/>
              </w:rPr>
              <w:t>Materiais Básicos</w:t>
            </w:r>
          </w:p>
        </w:tc>
        <w:tc>
          <w:tcPr>
            <w:tcW w:w="2235" w:type="dxa"/>
            <w:tcBorders>
              <w:left w:val="single" w:sz="4" w:space="0" w:color="auto"/>
              <w:right w:val="single" w:sz="4" w:space="0" w:color="auto"/>
            </w:tcBorders>
            <w:shd w:val="clear" w:color="auto" w:fill="F2F2F2"/>
            <w:vAlign w:val="center"/>
          </w:tcPr>
          <w:p w:rsidR="00D76DB3" w:rsidRPr="00D87F6E" w:rsidRDefault="00D76DB3" w:rsidP="00080401">
            <w:pPr>
              <w:ind w:firstLine="0"/>
              <w:jc w:val="center"/>
              <w:rPr>
                <w:rFonts w:eastAsia="Calibri"/>
                <w:sz w:val="20"/>
              </w:rPr>
            </w:pPr>
            <w:r w:rsidRPr="00D87F6E">
              <w:rPr>
                <w:rFonts w:eastAsia="Calibri"/>
                <w:sz w:val="20"/>
              </w:rPr>
              <w:t>13</w:t>
            </w:r>
          </w:p>
        </w:tc>
        <w:tc>
          <w:tcPr>
            <w:tcW w:w="2018" w:type="dxa"/>
            <w:tcBorders>
              <w:left w:val="single" w:sz="4" w:space="0" w:color="auto"/>
              <w:right w:val="single" w:sz="4" w:space="0" w:color="auto"/>
            </w:tcBorders>
            <w:shd w:val="clear" w:color="auto" w:fill="F2F2F2"/>
            <w:vAlign w:val="center"/>
          </w:tcPr>
          <w:p w:rsidR="00D76DB3" w:rsidRPr="00D87F6E" w:rsidRDefault="00D76DB3" w:rsidP="00080401">
            <w:pPr>
              <w:ind w:firstLine="0"/>
              <w:jc w:val="center"/>
              <w:rPr>
                <w:rFonts w:eastAsia="Calibri"/>
                <w:sz w:val="20"/>
              </w:rPr>
            </w:pPr>
            <w:r w:rsidRPr="00D87F6E">
              <w:rPr>
                <w:rFonts w:eastAsia="Calibri"/>
                <w:sz w:val="20"/>
              </w:rPr>
              <w:t>4.156.603.538</w:t>
            </w:r>
          </w:p>
        </w:tc>
        <w:tc>
          <w:tcPr>
            <w:tcW w:w="2268" w:type="dxa"/>
            <w:tcBorders>
              <w:left w:val="single" w:sz="4" w:space="0" w:color="auto"/>
            </w:tcBorders>
            <w:shd w:val="clear" w:color="auto" w:fill="F2F2F2"/>
            <w:vAlign w:val="center"/>
          </w:tcPr>
          <w:p w:rsidR="00D76DB3" w:rsidRPr="00D87F6E" w:rsidRDefault="00D76DB3" w:rsidP="00080401">
            <w:pPr>
              <w:ind w:firstLine="0"/>
              <w:jc w:val="center"/>
              <w:rPr>
                <w:rFonts w:eastAsia="Calibri"/>
                <w:sz w:val="20"/>
              </w:rPr>
            </w:pPr>
            <w:r w:rsidRPr="00D87F6E">
              <w:rPr>
                <w:rFonts w:eastAsia="Calibri"/>
                <w:sz w:val="20"/>
              </w:rPr>
              <w:t>5</w:t>
            </w:r>
          </w:p>
        </w:tc>
      </w:tr>
      <w:tr w:rsidR="00D80C8D" w:rsidRPr="00D87F6E" w:rsidTr="00C002DB">
        <w:tc>
          <w:tcPr>
            <w:tcW w:w="2835" w:type="dxa"/>
            <w:tcBorders>
              <w:right w:val="single" w:sz="4" w:space="0" w:color="auto"/>
            </w:tcBorders>
            <w:shd w:val="clear" w:color="auto" w:fill="FFFFFF"/>
            <w:vAlign w:val="center"/>
          </w:tcPr>
          <w:p w:rsidR="00D76DB3" w:rsidRPr="00D87F6E" w:rsidRDefault="00D76DB3" w:rsidP="00080401">
            <w:pPr>
              <w:ind w:firstLine="0"/>
              <w:jc w:val="left"/>
              <w:rPr>
                <w:i/>
                <w:iCs/>
                <w:sz w:val="20"/>
              </w:rPr>
            </w:pPr>
            <w:r w:rsidRPr="00D87F6E">
              <w:rPr>
                <w:iCs/>
                <w:sz w:val="20"/>
              </w:rPr>
              <w:t>Petróleo, Gás e Biocombustíveis</w:t>
            </w:r>
          </w:p>
        </w:tc>
        <w:tc>
          <w:tcPr>
            <w:tcW w:w="2235" w:type="dxa"/>
            <w:tcBorders>
              <w:left w:val="single" w:sz="4" w:space="0" w:color="auto"/>
              <w:right w:val="single" w:sz="4" w:space="0" w:color="auto"/>
            </w:tcBorders>
            <w:shd w:val="clear" w:color="auto" w:fill="auto"/>
            <w:vAlign w:val="center"/>
          </w:tcPr>
          <w:p w:rsidR="00D76DB3" w:rsidRPr="00D87F6E" w:rsidRDefault="00D76DB3" w:rsidP="00080401">
            <w:pPr>
              <w:ind w:firstLine="0"/>
              <w:jc w:val="center"/>
              <w:rPr>
                <w:rFonts w:eastAsia="Calibri"/>
                <w:sz w:val="20"/>
              </w:rPr>
            </w:pPr>
            <w:r w:rsidRPr="00D87F6E">
              <w:rPr>
                <w:rFonts w:eastAsia="Calibri"/>
                <w:sz w:val="20"/>
              </w:rPr>
              <w:t>1</w:t>
            </w:r>
          </w:p>
        </w:tc>
        <w:tc>
          <w:tcPr>
            <w:tcW w:w="2018" w:type="dxa"/>
            <w:tcBorders>
              <w:left w:val="single" w:sz="4" w:space="0" w:color="auto"/>
              <w:right w:val="single" w:sz="4" w:space="0" w:color="auto"/>
            </w:tcBorders>
            <w:shd w:val="clear" w:color="auto" w:fill="auto"/>
            <w:vAlign w:val="center"/>
          </w:tcPr>
          <w:p w:rsidR="00D76DB3" w:rsidRPr="00D87F6E" w:rsidRDefault="00D76DB3" w:rsidP="00080401">
            <w:pPr>
              <w:ind w:firstLine="0"/>
              <w:jc w:val="center"/>
              <w:rPr>
                <w:rFonts w:eastAsia="Calibri"/>
                <w:sz w:val="20"/>
              </w:rPr>
            </w:pPr>
            <w:r w:rsidRPr="00D87F6E">
              <w:rPr>
                <w:rFonts w:eastAsia="Calibri"/>
                <w:sz w:val="20"/>
              </w:rPr>
              <w:t>1.117.000.000</w:t>
            </w:r>
          </w:p>
        </w:tc>
        <w:tc>
          <w:tcPr>
            <w:tcW w:w="2268" w:type="dxa"/>
            <w:tcBorders>
              <w:left w:val="single" w:sz="4" w:space="0" w:color="auto"/>
            </w:tcBorders>
            <w:shd w:val="clear" w:color="auto" w:fill="auto"/>
            <w:vAlign w:val="center"/>
          </w:tcPr>
          <w:p w:rsidR="00D76DB3" w:rsidRPr="00D87F6E" w:rsidRDefault="00D76DB3" w:rsidP="00080401">
            <w:pPr>
              <w:ind w:firstLine="0"/>
              <w:jc w:val="center"/>
              <w:rPr>
                <w:rFonts w:eastAsia="Calibri"/>
                <w:sz w:val="20"/>
              </w:rPr>
            </w:pPr>
            <w:r w:rsidRPr="00D87F6E">
              <w:rPr>
                <w:rFonts w:eastAsia="Calibri"/>
                <w:sz w:val="20"/>
              </w:rPr>
              <w:t>0</w:t>
            </w:r>
          </w:p>
        </w:tc>
      </w:tr>
      <w:tr w:rsidR="00D80C8D" w:rsidRPr="00D87F6E" w:rsidTr="00C002DB">
        <w:tc>
          <w:tcPr>
            <w:tcW w:w="2835" w:type="dxa"/>
            <w:tcBorders>
              <w:right w:val="single" w:sz="4" w:space="0" w:color="auto"/>
            </w:tcBorders>
            <w:shd w:val="clear" w:color="auto" w:fill="FFFFFF"/>
            <w:vAlign w:val="center"/>
          </w:tcPr>
          <w:p w:rsidR="00D76DB3" w:rsidRPr="00D87F6E" w:rsidRDefault="00D76DB3" w:rsidP="00080401">
            <w:pPr>
              <w:ind w:firstLine="0"/>
              <w:jc w:val="left"/>
              <w:rPr>
                <w:i/>
                <w:iCs/>
                <w:sz w:val="20"/>
              </w:rPr>
            </w:pPr>
            <w:r w:rsidRPr="00D87F6E">
              <w:rPr>
                <w:iCs/>
                <w:sz w:val="20"/>
              </w:rPr>
              <w:t>Tecnologia da Informação</w:t>
            </w:r>
          </w:p>
        </w:tc>
        <w:tc>
          <w:tcPr>
            <w:tcW w:w="2235" w:type="dxa"/>
            <w:tcBorders>
              <w:left w:val="single" w:sz="4" w:space="0" w:color="auto"/>
              <w:right w:val="single" w:sz="4" w:space="0" w:color="auto"/>
            </w:tcBorders>
            <w:shd w:val="clear" w:color="auto" w:fill="F2F2F2"/>
            <w:vAlign w:val="center"/>
          </w:tcPr>
          <w:p w:rsidR="00D76DB3" w:rsidRPr="00D87F6E" w:rsidRDefault="00D76DB3" w:rsidP="00080401">
            <w:pPr>
              <w:ind w:firstLine="0"/>
              <w:jc w:val="center"/>
              <w:rPr>
                <w:rFonts w:eastAsia="Calibri"/>
                <w:sz w:val="20"/>
              </w:rPr>
            </w:pPr>
            <w:r w:rsidRPr="00D87F6E">
              <w:rPr>
                <w:rFonts w:eastAsia="Calibri"/>
                <w:sz w:val="20"/>
              </w:rPr>
              <w:t>5</w:t>
            </w:r>
          </w:p>
        </w:tc>
        <w:tc>
          <w:tcPr>
            <w:tcW w:w="2018" w:type="dxa"/>
            <w:tcBorders>
              <w:left w:val="single" w:sz="4" w:space="0" w:color="auto"/>
              <w:right w:val="single" w:sz="4" w:space="0" w:color="auto"/>
            </w:tcBorders>
            <w:shd w:val="clear" w:color="auto" w:fill="F2F2F2"/>
            <w:vAlign w:val="center"/>
          </w:tcPr>
          <w:p w:rsidR="00D76DB3" w:rsidRPr="00D87F6E" w:rsidRDefault="00D76DB3" w:rsidP="00080401">
            <w:pPr>
              <w:ind w:firstLine="0"/>
              <w:jc w:val="center"/>
              <w:rPr>
                <w:rFonts w:eastAsia="Calibri"/>
                <w:sz w:val="20"/>
              </w:rPr>
            </w:pPr>
            <w:r w:rsidRPr="00D87F6E">
              <w:rPr>
                <w:rFonts w:eastAsia="Calibri"/>
                <w:sz w:val="20"/>
              </w:rPr>
              <w:t>212.315.320</w:t>
            </w:r>
          </w:p>
        </w:tc>
        <w:tc>
          <w:tcPr>
            <w:tcW w:w="2268" w:type="dxa"/>
            <w:tcBorders>
              <w:left w:val="single" w:sz="4" w:space="0" w:color="auto"/>
            </w:tcBorders>
            <w:shd w:val="clear" w:color="auto" w:fill="F2F2F2"/>
            <w:vAlign w:val="center"/>
          </w:tcPr>
          <w:p w:rsidR="00D76DB3" w:rsidRPr="00D87F6E" w:rsidRDefault="00D76DB3" w:rsidP="00080401">
            <w:pPr>
              <w:ind w:firstLine="0"/>
              <w:jc w:val="center"/>
              <w:rPr>
                <w:rFonts w:eastAsia="Calibri"/>
                <w:sz w:val="20"/>
              </w:rPr>
            </w:pPr>
            <w:r w:rsidRPr="00D87F6E">
              <w:rPr>
                <w:rFonts w:eastAsia="Calibri"/>
                <w:sz w:val="20"/>
              </w:rPr>
              <w:t>3</w:t>
            </w:r>
          </w:p>
        </w:tc>
      </w:tr>
      <w:tr w:rsidR="00D80C8D" w:rsidRPr="00D87F6E" w:rsidTr="00C002DB">
        <w:tc>
          <w:tcPr>
            <w:tcW w:w="2835" w:type="dxa"/>
            <w:tcBorders>
              <w:right w:val="single" w:sz="4" w:space="0" w:color="auto"/>
            </w:tcBorders>
            <w:shd w:val="clear" w:color="auto" w:fill="FFFFFF"/>
            <w:vAlign w:val="center"/>
          </w:tcPr>
          <w:p w:rsidR="00D76DB3" w:rsidRPr="00D87F6E" w:rsidRDefault="00D76DB3" w:rsidP="00080401">
            <w:pPr>
              <w:ind w:firstLine="0"/>
              <w:jc w:val="left"/>
              <w:rPr>
                <w:i/>
                <w:iCs/>
                <w:sz w:val="20"/>
              </w:rPr>
            </w:pPr>
            <w:r w:rsidRPr="00D87F6E">
              <w:rPr>
                <w:iCs/>
                <w:sz w:val="20"/>
              </w:rPr>
              <w:t>Telecomunicações</w:t>
            </w:r>
          </w:p>
        </w:tc>
        <w:tc>
          <w:tcPr>
            <w:tcW w:w="2235" w:type="dxa"/>
            <w:tcBorders>
              <w:left w:val="single" w:sz="4" w:space="0" w:color="auto"/>
              <w:right w:val="single" w:sz="4" w:space="0" w:color="auto"/>
            </w:tcBorders>
            <w:shd w:val="clear" w:color="auto" w:fill="auto"/>
            <w:vAlign w:val="center"/>
          </w:tcPr>
          <w:p w:rsidR="00D76DB3" w:rsidRPr="00D87F6E" w:rsidRDefault="00D76DB3" w:rsidP="00080401">
            <w:pPr>
              <w:ind w:firstLine="0"/>
              <w:jc w:val="center"/>
              <w:rPr>
                <w:rFonts w:eastAsia="Calibri"/>
                <w:sz w:val="20"/>
              </w:rPr>
            </w:pPr>
            <w:r w:rsidRPr="00D87F6E">
              <w:rPr>
                <w:rFonts w:eastAsia="Calibri"/>
                <w:sz w:val="20"/>
              </w:rPr>
              <w:t>4</w:t>
            </w:r>
          </w:p>
        </w:tc>
        <w:tc>
          <w:tcPr>
            <w:tcW w:w="2018" w:type="dxa"/>
            <w:tcBorders>
              <w:left w:val="single" w:sz="4" w:space="0" w:color="auto"/>
              <w:right w:val="single" w:sz="4" w:space="0" w:color="auto"/>
            </w:tcBorders>
            <w:shd w:val="clear" w:color="auto" w:fill="auto"/>
            <w:vAlign w:val="center"/>
          </w:tcPr>
          <w:p w:rsidR="00D76DB3" w:rsidRPr="00D87F6E" w:rsidRDefault="00D76DB3" w:rsidP="00080401">
            <w:pPr>
              <w:ind w:firstLine="0"/>
              <w:jc w:val="center"/>
              <w:rPr>
                <w:rFonts w:eastAsia="Calibri"/>
                <w:sz w:val="20"/>
              </w:rPr>
            </w:pPr>
            <w:r w:rsidRPr="00D87F6E">
              <w:rPr>
                <w:rFonts w:eastAsia="Calibri"/>
                <w:sz w:val="20"/>
              </w:rPr>
              <w:t>6.231.084.000</w:t>
            </w:r>
          </w:p>
        </w:tc>
        <w:tc>
          <w:tcPr>
            <w:tcW w:w="2268" w:type="dxa"/>
            <w:tcBorders>
              <w:left w:val="single" w:sz="4" w:space="0" w:color="auto"/>
            </w:tcBorders>
            <w:shd w:val="clear" w:color="auto" w:fill="auto"/>
            <w:vAlign w:val="center"/>
          </w:tcPr>
          <w:p w:rsidR="00D76DB3" w:rsidRPr="00D87F6E" w:rsidRDefault="00D76DB3" w:rsidP="00080401">
            <w:pPr>
              <w:ind w:firstLine="0"/>
              <w:jc w:val="center"/>
              <w:rPr>
                <w:rFonts w:eastAsia="Calibri"/>
                <w:sz w:val="20"/>
              </w:rPr>
            </w:pPr>
            <w:r w:rsidRPr="00D87F6E">
              <w:rPr>
                <w:rFonts w:eastAsia="Calibri"/>
                <w:sz w:val="20"/>
              </w:rPr>
              <w:t>0</w:t>
            </w:r>
          </w:p>
        </w:tc>
      </w:tr>
      <w:tr w:rsidR="00D80C8D" w:rsidRPr="00D87F6E" w:rsidTr="00C002DB">
        <w:tc>
          <w:tcPr>
            <w:tcW w:w="2835" w:type="dxa"/>
            <w:tcBorders>
              <w:bottom w:val="single" w:sz="4" w:space="0" w:color="auto"/>
              <w:right w:val="single" w:sz="4" w:space="0" w:color="auto"/>
            </w:tcBorders>
            <w:shd w:val="clear" w:color="auto" w:fill="FFFFFF"/>
            <w:vAlign w:val="center"/>
          </w:tcPr>
          <w:p w:rsidR="00D76DB3" w:rsidRPr="00D87F6E" w:rsidRDefault="00D76DB3" w:rsidP="00080401">
            <w:pPr>
              <w:ind w:firstLine="0"/>
              <w:jc w:val="left"/>
              <w:rPr>
                <w:i/>
                <w:iCs/>
                <w:sz w:val="20"/>
              </w:rPr>
            </w:pPr>
            <w:r w:rsidRPr="00D87F6E">
              <w:rPr>
                <w:iCs/>
                <w:sz w:val="20"/>
              </w:rPr>
              <w:t>Utilidade Pública</w:t>
            </w:r>
          </w:p>
        </w:tc>
        <w:tc>
          <w:tcPr>
            <w:tcW w:w="2235" w:type="dxa"/>
            <w:tcBorders>
              <w:left w:val="single" w:sz="4" w:space="0" w:color="auto"/>
              <w:bottom w:val="single" w:sz="4" w:space="0" w:color="auto"/>
              <w:right w:val="single" w:sz="4" w:space="0" w:color="auto"/>
            </w:tcBorders>
            <w:shd w:val="clear" w:color="auto" w:fill="F2F2F2"/>
            <w:vAlign w:val="center"/>
          </w:tcPr>
          <w:p w:rsidR="00D76DB3" w:rsidRPr="00D87F6E" w:rsidRDefault="00D76DB3" w:rsidP="00080401">
            <w:pPr>
              <w:ind w:firstLine="0"/>
              <w:jc w:val="center"/>
              <w:rPr>
                <w:rFonts w:eastAsia="Calibri"/>
                <w:sz w:val="20"/>
              </w:rPr>
            </w:pPr>
            <w:r w:rsidRPr="00D87F6E">
              <w:rPr>
                <w:rFonts w:eastAsia="Calibri"/>
                <w:sz w:val="20"/>
              </w:rPr>
              <w:t>2</w:t>
            </w:r>
          </w:p>
        </w:tc>
        <w:tc>
          <w:tcPr>
            <w:tcW w:w="2018" w:type="dxa"/>
            <w:tcBorders>
              <w:left w:val="single" w:sz="4" w:space="0" w:color="auto"/>
              <w:bottom w:val="single" w:sz="4" w:space="0" w:color="auto"/>
              <w:right w:val="single" w:sz="4" w:space="0" w:color="auto"/>
            </w:tcBorders>
            <w:shd w:val="clear" w:color="auto" w:fill="F2F2F2"/>
            <w:vAlign w:val="center"/>
          </w:tcPr>
          <w:p w:rsidR="00D76DB3" w:rsidRPr="00D87F6E" w:rsidRDefault="00D76DB3" w:rsidP="00080401">
            <w:pPr>
              <w:ind w:firstLine="0"/>
              <w:jc w:val="center"/>
              <w:rPr>
                <w:rFonts w:eastAsia="Calibri"/>
                <w:sz w:val="20"/>
              </w:rPr>
            </w:pPr>
            <w:r w:rsidRPr="00D87F6E">
              <w:rPr>
                <w:rFonts w:eastAsia="Calibri"/>
                <w:sz w:val="20"/>
              </w:rPr>
              <w:t>43.611.500</w:t>
            </w:r>
          </w:p>
        </w:tc>
        <w:tc>
          <w:tcPr>
            <w:tcW w:w="2268" w:type="dxa"/>
            <w:tcBorders>
              <w:left w:val="single" w:sz="4" w:space="0" w:color="auto"/>
              <w:bottom w:val="single" w:sz="4" w:space="0" w:color="auto"/>
            </w:tcBorders>
            <w:shd w:val="clear" w:color="auto" w:fill="F2F2F2"/>
            <w:vAlign w:val="center"/>
          </w:tcPr>
          <w:p w:rsidR="00D76DB3" w:rsidRPr="00D87F6E" w:rsidRDefault="00D76DB3" w:rsidP="00080401">
            <w:pPr>
              <w:ind w:firstLine="0"/>
              <w:jc w:val="center"/>
              <w:rPr>
                <w:rFonts w:eastAsia="Calibri"/>
                <w:sz w:val="20"/>
              </w:rPr>
            </w:pPr>
            <w:r w:rsidRPr="00D87F6E">
              <w:rPr>
                <w:rFonts w:eastAsia="Calibri"/>
                <w:sz w:val="20"/>
              </w:rPr>
              <w:t>0</w:t>
            </w:r>
          </w:p>
        </w:tc>
      </w:tr>
      <w:tr w:rsidR="00D80C8D" w:rsidRPr="00D87F6E" w:rsidTr="00C002DB">
        <w:tc>
          <w:tcPr>
            <w:tcW w:w="2835" w:type="dxa"/>
            <w:tcBorders>
              <w:top w:val="single" w:sz="4" w:space="0" w:color="auto"/>
              <w:bottom w:val="single" w:sz="4" w:space="0" w:color="auto"/>
              <w:right w:val="single" w:sz="4" w:space="0" w:color="auto"/>
            </w:tcBorders>
            <w:shd w:val="clear" w:color="auto" w:fill="FFFFFF"/>
            <w:vAlign w:val="center"/>
          </w:tcPr>
          <w:p w:rsidR="00D76DB3" w:rsidRPr="00D87F6E" w:rsidRDefault="00D76DB3" w:rsidP="00080401">
            <w:pPr>
              <w:ind w:firstLine="0"/>
              <w:jc w:val="center"/>
              <w:rPr>
                <w:b/>
                <w:i/>
                <w:iCs/>
                <w:sz w:val="20"/>
              </w:rPr>
            </w:pPr>
            <w:r w:rsidRPr="00D87F6E">
              <w:rPr>
                <w:b/>
                <w:iCs/>
                <w:sz w:val="20"/>
              </w:rPr>
              <w:t>Total</w:t>
            </w:r>
          </w:p>
        </w:tc>
        <w:tc>
          <w:tcPr>
            <w:tcW w:w="2235" w:type="dxa"/>
            <w:tcBorders>
              <w:top w:val="single" w:sz="4" w:space="0" w:color="auto"/>
              <w:left w:val="single" w:sz="4" w:space="0" w:color="auto"/>
              <w:bottom w:val="single" w:sz="4" w:space="0" w:color="auto"/>
              <w:right w:val="single" w:sz="4" w:space="0" w:color="auto"/>
            </w:tcBorders>
            <w:shd w:val="clear" w:color="auto" w:fill="auto"/>
            <w:vAlign w:val="center"/>
          </w:tcPr>
          <w:p w:rsidR="00D76DB3" w:rsidRPr="00D87F6E" w:rsidRDefault="00D76DB3" w:rsidP="00080401">
            <w:pPr>
              <w:ind w:firstLine="0"/>
              <w:jc w:val="center"/>
              <w:rPr>
                <w:rFonts w:eastAsia="Calibri"/>
                <w:b/>
                <w:sz w:val="20"/>
              </w:rPr>
            </w:pPr>
            <w:r w:rsidRPr="00D87F6E">
              <w:rPr>
                <w:rFonts w:eastAsia="Calibri"/>
                <w:b/>
                <w:sz w:val="20"/>
              </w:rPr>
              <w:t>102</w:t>
            </w:r>
          </w:p>
        </w:tc>
        <w:tc>
          <w:tcPr>
            <w:tcW w:w="2018" w:type="dxa"/>
            <w:tcBorders>
              <w:top w:val="single" w:sz="4" w:space="0" w:color="auto"/>
              <w:left w:val="single" w:sz="4" w:space="0" w:color="auto"/>
              <w:bottom w:val="single" w:sz="4" w:space="0" w:color="auto"/>
              <w:right w:val="single" w:sz="4" w:space="0" w:color="auto"/>
            </w:tcBorders>
            <w:shd w:val="clear" w:color="auto" w:fill="auto"/>
            <w:vAlign w:val="center"/>
          </w:tcPr>
          <w:p w:rsidR="00D76DB3" w:rsidRPr="00D87F6E" w:rsidRDefault="00D76DB3" w:rsidP="00080401">
            <w:pPr>
              <w:ind w:firstLine="0"/>
              <w:jc w:val="center"/>
              <w:rPr>
                <w:rFonts w:eastAsia="Calibri"/>
                <w:b/>
                <w:sz w:val="20"/>
              </w:rPr>
            </w:pPr>
            <w:r w:rsidRPr="00D87F6E">
              <w:rPr>
                <w:rFonts w:eastAsia="Calibri"/>
                <w:b/>
                <w:sz w:val="20"/>
              </w:rPr>
              <w:t>1.673.158.231</w:t>
            </w:r>
          </w:p>
        </w:tc>
        <w:tc>
          <w:tcPr>
            <w:tcW w:w="2268" w:type="dxa"/>
            <w:tcBorders>
              <w:top w:val="single" w:sz="4" w:space="0" w:color="auto"/>
              <w:left w:val="single" w:sz="4" w:space="0" w:color="auto"/>
              <w:bottom w:val="single" w:sz="4" w:space="0" w:color="auto"/>
            </w:tcBorders>
            <w:shd w:val="clear" w:color="auto" w:fill="auto"/>
            <w:vAlign w:val="center"/>
          </w:tcPr>
          <w:p w:rsidR="00D76DB3" w:rsidRPr="00D87F6E" w:rsidRDefault="00D76DB3" w:rsidP="00080401">
            <w:pPr>
              <w:ind w:firstLine="0"/>
              <w:jc w:val="center"/>
              <w:rPr>
                <w:rFonts w:eastAsia="Calibri"/>
                <w:b/>
                <w:sz w:val="20"/>
              </w:rPr>
            </w:pPr>
            <w:r w:rsidRPr="00D87F6E">
              <w:rPr>
                <w:rFonts w:eastAsia="Calibri"/>
                <w:b/>
                <w:sz w:val="20"/>
              </w:rPr>
              <w:t>18</w:t>
            </w:r>
          </w:p>
        </w:tc>
      </w:tr>
    </w:tbl>
    <w:p w:rsidR="00544566" w:rsidRPr="00D87F6E" w:rsidRDefault="00D76DB3" w:rsidP="00080401">
      <w:pPr>
        <w:ind w:firstLine="0"/>
        <w:rPr>
          <w:sz w:val="20"/>
        </w:rPr>
      </w:pPr>
      <w:r w:rsidRPr="00D87F6E">
        <w:rPr>
          <w:sz w:val="20"/>
        </w:rPr>
        <w:t>Fonte: Dados da Pesquisa.</w:t>
      </w:r>
    </w:p>
    <w:p w:rsidR="00D76DB3" w:rsidRPr="00D87F6E" w:rsidRDefault="00D76DB3" w:rsidP="00080401">
      <w:pPr>
        <w:rPr>
          <w:szCs w:val="24"/>
        </w:rPr>
      </w:pPr>
      <w:r w:rsidRPr="00D87F6E">
        <w:rPr>
          <w:szCs w:val="24"/>
        </w:rPr>
        <w:lastRenderedPageBreak/>
        <w:t>O setor que apresentou maior média do saldo de</w:t>
      </w:r>
      <w:r w:rsidRPr="00D87F6E">
        <w:rPr>
          <w:i/>
          <w:szCs w:val="24"/>
        </w:rPr>
        <w:t xml:space="preserve"> goodwill</w:t>
      </w:r>
      <w:r w:rsidRPr="00D87F6E">
        <w:rPr>
          <w:szCs w:val="24"/>
        </w:rPr>
        <w:t xml:space="preserve"> resultante de combinação de negócios, em 31 de dezembro de 2015, foi o Telecomunicações, cujo valor da média foi de R$ 6.231.084.000. Já o setor Materiais Básicos, foi o que apresentou maior quantidade de perdas por </w:t>
      </w:r>
      <w:r w:rsidRPr="00D87F6E">
        <w:rPr>
          <w:i/>
          <w:szCs w:val="24"/>
        </w:rPr>
        <w:t>impairment</w:t>
      </w:r>
      <w:r w:rsidR="006D0071" w:rsidRPr="00D87F6E">
        <w:rPr>
          <w:szCs w:val="24"/>
        </w:rPr>
        <w:t>desse</w:t>
      </w:r>
      <w:r w:rsidRPr="00D87F6E">
        <w:rPr>
          <w:szCs w:val="24"/>
        </w:rPr>
        <w:t xml:space="preserve"> ativo, relativas ao ano de 2015, apesar de uma pequena diferença entre os números de tais perdas.</w:t>
      </w:r>
    </w:p>
    <w:p w:rsidR="00D76DB3" w:rsidRPr="00D87F6E" w:rsidRDefault="00D76DB3" w:rsidP="00080401">
      <w:pPr>
        <w:rPr>
          <w:szCs w:val="24"/>
        </w:rPr>
      </w:pPr>
      <w:r w:rsidRPr="00D87F6E">
        <w:rPr>
          <w:szCs w:val="24"/>
        </w:rPr>
        <w:t xml:space="preserve">Ressalta-se que, das 102 empresas amostradas, apenas 18 reconheceram perdas por </w:t>
      </w:r>
      <w:r w:rsidRPr="00D87F6E">
        <w:rPr>
          <w:i/>
          <w:szCs w:val="24"/>
        </w:rPr>
        <w:t>impairment</w:t>
      </w:r>
      <w:r w:rsidRPr="00D87F6E">
        <w:rPr>
          <w:szCs w:val="24"/>
        </w:rPr>
        <w:t xml:space="preserve"> do </w:t>
      </w:r>
      <w:r w:rsidRPr="00D87F6E">
        <w:rPr>
          <w:i/>
          <w:szCs w:val="24"/>
        </w:rPr>
        <w:t>goodwill</w:t>
      </w:r>
      <w:r w:rsidRPr="00D87F6E">
        <w:rPr>
          <w:szCs w:val="24"/>
        </w:rPr>
        <w:t>. Isto é, um número muito pequeno, inclusive em termos percentuais, cuja representatividade foi de 17,65% da amostra final.</w:t>
      </w:r>
    </w:p>
    <w:p w:rsidR="00D76DB3" w:rsidRPr="00D87F6E" w:rsidRDefault="00D76DB3" w:rsidP="00080401">
      <w:pPr>
        <w:rPr>
          <w:szCs w:val="24"/>
        </w:rPr>
      </w:pPr>
      <w:r w:rsidRPr="00D87F6E">
        <w:rPr>
          <w:szCs w:val="24"/>
        </w:rPr>
        <w:t xml:space="preserve">A Tabela 3 traz a estatística descritiva da variável resposta e das variáveis explicativas do modelo. É possível perceber que as variáveis IMPG, UGC (nível 1), UGC (nível 2) e GOOD apresentaram valor mínimo igual a zero. No caso da variável IMPG, </w:t>
      </w:r>
      <w:r w:rsidR="00313561" w:rsidRPr="00D87F6E">
        <w:rPr>
          <w:szCs w:val="24"/>
        </w:rPr>
        <w:t>isso</w:t>
      </w:r>
      <w:r w:rsidRPr="00D87F6E">
        <w:rPr>
          <w:szCs w:val="24"/>
        </w:rPr>
        <w:t xml:space="preserve"> se deve ao fato de existirem empresas que não reconheceram perdas por </w:t>
      </w:r>
      <w:r w:rsidRPr="00D87F6E">
        <w:rPr>
          <w:i/>
          <w:szCs w:val="24"/>
        </w:rPr>
        <w:t>impairment</w:t>
      </w:r>
      <w:r w:rsidRPr="00D87F6E">
        <w:rPr>
          <w:szCs w:val="24"/>
        </w:rPr>
        <w:t xml:space="preserve"> do</w:t>
      </w:r>
      <w:r w:rsidRPr="00D87F6E">
        <w:rPr>
          <w:i/>
          <w:szCs w:val="24"/>
        </w:rPr>
        <w:t xml:space="preserve"> goodwill</w:t>
      </w:r>
      <w:r w:rsidRPr="00D87F6E">
        <w:rPr>
          <w:szCs w:val="24"/>
        </w:rPr>
        <w:t xml:space="preserve"> em 2015. Conforme abordado anteriormente, a maioria das entidades não reconheceram tais perdas. Para as variáveis UGC (nível 1) e UGC (nível 2), o valor mínimo igual a zero decorre de algumas empresas não terem compreen</w:t>
      </w:r>
      <w:r w:rsidR="00E01770" w:rsidRPr="00D87F6E">
        <w:rPr>
          <w:szCs w:val="24"/>
        </w:rPr>
        <w:t xml:space="preserve">dido em suas Notas Explicativas </w:t>
      </w:r>
      <w:r w:rsidRPr="00D87F6E">
        <w:rPr>
          <w:szCs w:val="24"/>
        </w:rPr>
        <w:t xml:space="preserve">informação sobre unidade geradora de caixa, o que leva a crer que estas não a possuem. Já para a variável GOOD, o valor mínimo igual a zero pode ser explicado pelo fato de a empresa Grendene S.A., em 2015, ter reconhecido a totalidade do saldo de </w:t>
      </w:r>
      <w:r w:rsidRPr="00D87F6E">
        <w:rPr>
          <w:i/>
          <w:szCs w:val="24"/>
        </w:rPr>
        <w:t>goodwill</w:t>
      </w:r>
      <w:r w:rsidRPr="00D87F6E">
        <w:rPr>
          <w:szCs w:val="24"/>
        </w:rPr>
        <w:t xml:space="preserve"> como perda por </w:t>
      </w:r>
      <w:r w:rsidRPr="00D87F6E">
        <w:rPr>
          <w:i/>
          <w:szCs w:val="24"/>
        </w:rPr>
        <w:t>impairment</w:t>
      </w:r>
      <w:r w:rsidRPr="00D87F6E">
        <w:rPr>
          <w:szCs w:val="24"/>
        </w:rPr>
        <w:t>. Os valores mínimos das demais variáveis foram abaixo de zero.</w:t>
      </w:r>
    </w:p>
    <w:p w:rsidR="006D0071" w:rsidRPr="00D87F6E" w:rsidRDefault="006D0071" w:rsidP="00080401">
      <w:pPr>
        <w:rPr>
          <w:szCs w:val="24"/>
        </w:rPr>
      </w:pPr>
    </w:p>
    <w:p w:rsidR="00D76DB3" w:rsidRPr="00D87F6E" w:rsidRDefault="00D76DB3" w:rsidP="00080401">
      <w:pPr>
        <w:ind w:firstLine="0"/>
        <w:jc w:val="center"/>
        <w:rPr>
          <w:b/>
        </w:rPr>
      </w:pPr>
      <w:r w:rsidRPr="00D87F6E">
        <w:rPr>
          <w:b/>
        </w:rPr>
        <w:t>Tabela 3 – Estatística Descritiva</w:t>
      </w:r>
    </w:p>
    <w:tbl>
      <w:tblPr>
        <w:tblW w:w="0" w:type="auto"/>
        <w:jc w:val="center"/>
        <w:tblLook w:val="04A0"/>
      </w:tblPr>
      <w:tblGrid>
        <w:gridCol w:w="1843"/>
        <w:gridCol w:w="2067"/>
        <w:gridCol w:w="1822"/>
        <w:gridCol w:w="1821"/>
        <w:gridCol w:w="1852"/>
      </w:tblGrid>
      <w:tr w:rsidR="00D80C8D" w:rsidRPr="00D87F6E" w:rsidTr="00C002DB">
        <w:trPr>
          <w:jc w:val="center"/>
        </w:trPr>
        <w:tc>
          <w:tcPr>
            <w:tcW w:w="1843" w:type="dxa"/>
            <w:tcBorders>
              <w:top w:val="single" w:sz="4" w:space="0" w:color="auto"/>
              <w:bottom w:val="single" w:sz="4" w:space="0" w:color="auto"/>
              <w:right w:val="single" w:sz="4" w:space="0" w:color="auto"/>
            </w:tcBorders>
            <w:shd w:val="clear" w:color="auto" w:fill="FFFFFF"/>
            <w:vAlign w:val="center"/>
          </w:tcPr>
          <w:p w:rsidR="00D76DB3" w:rsidRPr="00D87F6E" w:rsidRDefault="00D76DB3" w:rsidP="00080401">
            <w:pPr>
              <w:ind w:firstLine="0"/>
              <w:jc w:val="center"/>
              <w:rPr>
                <w:b/>
                <w:i/>
                <w:iCs/>
                <w:sz w:val="20"/>
              </w:rPr>
            </w:pPr>
            <w:r w:rsidRPr="00D87F6E">
              <w:rPr>
                <w:b/>
                <w:iCs/>
                <w:sz w:val="20"/>
              </w:rPr>
              <w:t>Variáveis</w:t>
            </w:r>
          </w:p>
        </w:tc>
        <w:tc>
          <w:tcPr>
            <w:tcW w:w="2067" w:type="dxa"/>
            <w:tcBorders>
              <w:top w:val="single" w:sz="4" w:space="0" w:color="auto"/>
              <w:left w:val="single" w:sz="4" w:space="0" w:color="auto"/>
              <w:bottom w:val="single" w:sz="4" w:space="0" w:color="auto"/>
              <w:right w:val="single" w:sz="4" w:space="0" w:color="auto"/>
            </w:tcBorders>
            <w:shd w:val="clear" w:color="auto" w:fill="FFFFFF"/>
            <w:vAlign w:val="center"/>
          </w:tcPr>
          <w:p w:rsidR="00D76DB3" w:rsidRPr="00D87F6E" w:rsidRDefault="00D76DB3" w:rsidP="00080401">
            <w:pPr>
              <w:ind w:firstLine="0"/>
              <w:jc w:val="center"/>
              <w:rPr>
                <w:b/>
                <w:i/>
                <w:iCs/>
                <w:sz w:val="20"/>
              </w:rPr>
            </w:pPr>
            <w:r w:rsidRPr="00D87F6E">
              <w:rPr>
                <w:b/>
                <w:iCs/>
                <w:sz w:val="20"/>
              </w:rPr>
              <w:t>Mínimo</w:t>
            </w:r>
          </w:p>
        </w:tc>
        <w:tc>
          <w:tcPr>
            <w:tcW w:w="1822" w:type="dxa"/>
            <w:tcBorders>
              <w:top w:val="single" w:sz="4" w:space="0" w:color="auto"/>
              <w:left w:val="single" w:sz="4" w:space="0" w:color="auto"/>
              <w:bottom w:val="single" w:sz="4" w:space="0" w:color="auto"/>
              <w:right w:val="single" w:sz="4" w:space="0" w:color="auto"/>
            </w:tcBorders>
            <w:shd w:val="clear" w:color="auto" w:fill="FFFFFF"/>
            <w:vAlign w:val="center"/>
          </w:tcPr>
          <w:p w:rsidR="00D76DB3" w:rsidRPr="00D87F6E" w:rsidRDefault="00D76DB3" w:rsidP="00080401">
            <w:pPr>
              <w:ind w:firstLine="0"/>
              <w:jc w:val="center"/>
              <w:rPr>
                <w:b/>
                <w:i/>
                <w:iCs/>
                <w:sz w:val="20"/>
              </w:rPr>
            </w:pPr>
            <w:r w:rsidRPr="00D87F6E">
              <w:rPr>
                <w:b/>
                <w:iCs/>
                <w:sz w:val="20"/>
              </w:rPr>
              <w:t>Máximo</w:t>
            </w:r>
          </w:p>
        </w:tc>
        <w:tc>
          <w:tcPr>
            <w:tcW w:w="1821" w:type="dxa"/>
            <w:tcBorders>
              <w:top w:val="single" w:sz="4" w:space="0" w:color="auto"/>
              <w:left w:val="single" w:sz="4" w:space="0" w:color="auto"/>
              <w:bottom w:val="single" w:sz="4" w:space="0" w:color="auto"/>
              <w:right w:val="single" w:sz="4" w:space="0" w:color="auto"/>
            </w:tcBorders>
            <w:shd w:val="clear" w:color="auto" w:fill="FFFFFF"/>
            <w:vAlign w:val="center"/>
          </w:tcPr>
          <w:p w:rsidR="00D76DB3" w:rsidRPr="00D87F6E" w:rsidRDefault="00D76DB3" w:rsidP="00080401">
            <w:pPr>
              <w:ind w:firstLine="0"/>
              <w:jc w:val="center"/>
              <w:rPr>
                <w:b/>
                <w:i/>
                <w:iCs/>
                <w:sz w:val="20"/>
              </w:rPr>
            </w:pPr>
            <w:r w:rsidRPr="00D87F6E">
              <w:rPr>
                <w:b/>
                <w:iCs/>
                <w:sz w:val="20"/>
              </w:rPr>
              <w:t>Média</w:t>
            </w:r>
          </w:p>
        </w:tc>
        <w:tc>
          <w:tcPr>
            <w:tcW w:w="1852" w:type="dxa"/>
            <w:tcBorders>
              <w:top w:val="single" w:sz="4" w:space="0" w:color="auto"/>
              <w:left w:val="single" w:sz="4" w:space="0" w:color="auto"/>
              <w:bottom w:val="single" w:sz="4" w:space="0" w:color="auto"/>
            </w:tcBorders>
            <w:shd w:val="clear" w:color="auto" w:fill="FFFFFF"/>
            <w:vAlign w:val="center"/>
          </w:tcPr>
          <w:p w:rsidR="00D76DB3" w:rsidRPr="00D87F6E" w:rsidRDefault="00D76DB3" w:rsidP="00080401">
            <w:pPr>
              <w:ind w:firstLine="0"/>
              <w:jc w:val="center"/>
              <w:rPr>
                <w:b/>
                <w:i/>
                <w:iCs/>
                <w:sz w:val="20"/>
              </w:rPr>
            </w:pPr>
            <w:r w:rsidRPr="00D87F6E">
              <w:rPr>
                <w:b/>
                <w:iCs/>
                <w:sz w:val="20"/>
              </w:rPr>
              <w:t>Desvio Padrão</w:t>
            </w:r>
          </w:p>
        </w:tc>
      </w:tr>
      <w:tr w:rsidR="00D80C8D" w:rsidRPr="00D87F6E" w:rsidTr="00C002DB">
        <w:trPr>
          <w:trHeight w:val="269"/>
          <w:jc w:val="center"/>
        </w:trPr>
        <w:tc>
          <w:tcPr>
            <w:tcW w:w="1843" w:type="dxa"/>
            <w:tcBorders>
              <w:top w:val="single" w:sz="4" w:space="0" w:color="auto"/>
              <w:right w:val="single" w:sz="4" w:space="0" w:color="auto"/>
            </w:tcBorders>
            <w:shd w:val="clear" w:color="auto" w:fill="FFFFFF"/>
            <w:vAlign w:val="center"/>
          </w:tcPr>
          <w:p w:rsidR="00D76DB3" w:rsidRPr="00D87F6E" w:rsidRDefault="00D76DB3" w:rsidP="00080401">
            <w:pPr>
              <w:ind w:firstLine="0"/>
              <w:jc w:val="center"/>
              <w:rPr>
                <w:b/>
                <w:i/>
                <w:iCs/>
                <w:sz w:val="20"/>
              </w:rPr>
            </w:pPr>
            <w:r w:rsidRPr="00D87F6E">
              <w:rPr>
                <w:b/>
                <w:iCs/>
                <w:sz w:val="20"/>
              </w:rPr>
              <w:t>IMPG</w:t>
            </w:r>
          </w:p>
        </w:tc>
        <w:tc>
          <w:tcPr>
            <w:tcW w:w="2067" w:type="dxa"/>
            <w:tcBorders>
              <w:top w:val="single" w:sz="4" w:space="0" w:color="auto"/>
              <w:left w:val="single" w:sz="4" w:space="0" w:color="auto"/>
              <w:right w:val="single" w:sz="4" w:space="0" w:color="auto"/>
            </w:tcBorders>
            <w:shd w:val="clear" w:color="auto" w:fill="F2F2F2"/>
            <w:vAlign w:val="bottom"/>
          </w:tcPr>
          <w:p w:rsidR="00D76DB3" w:rsidRPr="00D87F6E" w:rsidRDefault="00D76DB3" w:rsidP="00080401">
            <w:pPr>
              <w:ind w:firstLine="0"/>
              <w:jc w:val="center"/>
              <w:rPr>
                <w:rFonts w:eastAsia="Calibri"/>
                <w:sz w:val="20"/>
              </w:rPr>
            </w:pPr>
            <w:r w:rsidRPr="00D87F6E">
              <w:rPr>
                <w:rFonts w:eastAsia="Calibri"/>
                <w:sz w:val="20"/>
              </w:rPr>
              <w:t>0,0000</w:t>
            </w:r>
          </w:p>
        </w:tc>
        <w:tc>
          <w:tcPr>
            <w:tcW w:w="1822" w:type="dxa"/>
            <w:tcBorders>
              <w:top w:val="single" w:sz="4" w:space="0" w:color="auto"/>
              <w:left w:val="single" w:sz="4" w:space="0" w:color="auto"/>
              <w:right w:val="single" w:sz="4" w:space="0" w:color="auto"/>
            </w:tcBorders>
            <w:shd w:val="clear" w:color="auto" w:fill="F2F2F2"/>
            <w:vAlign w:val="bottom"/>
          </w:tcPr>
          <w:p w:rsidR="00D76DB3" w:rsidRPr="00D87F6E" w:rsidRDefault="00D76DB3" w:rsidP="00080401">
            <w:pPr>
              <w:ind w:firstLine="0"/>
              <w:jc w:val="center"/>
              <w:rPr>
                <w:rFonts w:eastAsia="Calibri"/>
                <w:sz w:val="20"/>
              </w:rPr>
            </w:pPr>
            <w:r w:rsidRPr="00D87F6E">
              <w:rPr>
                <w:rFonts w:eastAsia="Calibri"/>
                <w:sz w:val="20"/>
              </w:rPr>
              <w:t>0,1038</w:t>
            </w:r>
          </w:p>
        </w:tc>
        <w:tc>
          <w:tcPr>
            <w:tcW w:w="1821" w:type="dxa"/>
            <w:tcBorders>
              <w:top w:val="single" w:sz="4" w:space="0" w:color="auto"/>
              <w:left w:val="single" w:sz="4" w:space="0" w:color="auto"/>
              <w:right w:val="single" w:sz="4" w:space="0" w:color="auto"/>
            </w:tcBorders>
            <w:shd w:val="clear" w:color="auto" w:fill="F2F2F2"/>
            <w:vAlign w:val="bottom"/>
          </w:tcPr>
          <w:p w:rsidR="00D76DB3" w:rsidRPr="00D87F6E" w:rsidRDefault="00D76DB3" w:rsidP="00080401">
            <w:pPr>
              <w:ind w:firstLine="0"/>
              <w:jc w:val="center"/>
              <w:rPr>
                <w:rFonts w:eastAsia="Calibri"/>
                <w:sz w:val="20"/>
              </w:rPr>
            </w:pPr>
            <w:r w:rsidRPr="00D87F6E">
              <w:rPr>
                <w:rFonts w:eastAsia="Calibri"/>
                <w:sz w:val="20"/>
              </w:rPr>
              <w:t>0,0049</w:t>
            </w:r>
          </w:p>
        </w:tc>
        <w:tc>
          <w:tcPr>
            <w:tcW w:w="1852" w:type="dxa"/>
            <w:tcBorders>
              <w:top w:val="single" w:sz="4" w:space="0" w:color="auto"/>
              <w:left w:val="single" w:sz="4" w:space="0" w:color="auto"/>
            </w:tcBorders>
            <w:shd w:val="clear" w:color="auto" w:fill="F2F2F2"/>
            <w:vAlign w:val="bottom"/>
          </w:tcPr>
          <w:p w:rsidR="00D76DB3" w:rsidRPr="00D87F6E" w:rsidRDefault="00D76DB3" w:rsidP="00080401">
            <w:pPr>
              <w:ind w:firstLine="0"/>
              <w:jc w:val="center"/>
              <w:rPr>
                <w:rFonts w:eastAsia="Calibri"/>
                <w:sz w:val="20"/>
              </w:rPr>
            </w:pPr>
            <w:r w:rsidRPr="00D87F6E">
              <w:rPr>
                <w:rFonts w:eastAsia="Calibri"/>
                <w:sz w:val="20"/>
              </w:rPr>
              <w:t>0,0159</w:t>
            </w:r>
          </w:p>
        </w:tc>
      </w:tr>
      <w:tr w:rsidR="00D80C8D" w:rsidRPr="00D87F6E" w:rsidTr="00C002DB">
        <w:trPr>
          <w:jc w:val="center"/>
        </w:trPr>
        <w:tc>
          <w:tcPr>
            <w:tcW w:w="1843" w:type="dxa"/>
            <w:tcBorders>
              <w:right w:val="single" w:sz="4" w:space="0" w:color="auto"/>
            </w:tcBorders>
            <w:shd w:val="clear" w:color="auto" w:fill="FFFFFF"/>
            <w:vAlign w:val="center"/>
          </w:tcPr>
          <w:p w:rsidR="00D76DB3" w:rsidRPr="00D87F6E" w:rsidRDefault="00D76DB3" w:rsidP="00080401">
            <w:pPr>
              <w:ind w:firstLine="0"/>
              <w:jc w:val="center"/>
              <w:rPr>
                <w:b/>
                <w:i/>
                <w:iCs/>
                <w:sz w:val="20"/>
              </w:rPr>
            </w:pPr>
            <w:r w:rsidRPr="00D87F6E">
              <w:rPr>
                <w:b/>
                <w:iCs/>
                <w:sz w:val="20"/>
              </w:rPr>
              <w:t>BM</w:t>
            </w:r>
          </w:p>
        </w:tc>
        <w:tc>
          <w:tcPr>
            <w:tcW w:w="2067" w:type="dxa"/>
            <w:tcBorders>
              <w:left w:val="single" w:sz="4" w:space="0" w:color="auto"/>
              <w:right w:val="single" w:sz="4" w:space="0" w:color="auto"/>
            </w:tcBorders>
            <w:shd w:val="clear" w:color="auto" w:fill="auto"/>
            <w:vAlign w:val="bottom"/>
          </w:tcPr>
          <w:p w:rsidR="00D76DB3" w:rsidRPr="00D87F6E" w:rsidRDefault="00D76DB3" w:rsidP="00080401">
            <w:pPr>
              <w:ind w:firstLine="0"/>
              <w:jc w:val="center"/>
              <w:rPr>
                <w:rFonts w:eastAsia="Calibri"/>
                <w:sz w:val="20"/>
              </w:rPr>
            </w:pPr>
            <w:r w:rsidRPr="00D87F6E">
              <w:rPr>
                <w:rFonts w:eastAsia="Calibri"/>
                <w:sz w:val="20"/>
              </w:rPr>
              <w:t>-10,6230</w:t>
            </w:r>
          </w:p>
        </w:tc>
        <w:tc>
          <w:tcPr>
            <w:tcW w:w="1822" w:type="dxa"/>
            <w:tcBorders>
              <w:left w:val="single" w:sz="4" w:space="0" w:color="auto"/>
              <w:right w:val="single" w:sz="4" w:space="0" w:color="auto"/>
            </w:tcBorders>
            <w:shd w:val="clear" w:color="auto" w:fill="auto"/>
            <w:vAlign w:val="bottom"/>
          </w:tcPr>
          <w:p w:rsidR="00D76DB3" w:rsidRPr="00D87F6E" w:rsidRDefault="00D76DB3" w:rsidP="00080401">
            <w:pPr>
              <w:ind w:firstLine="0"/>
              <w:jc w:val="center"/>
              <w:rPr>
                <w:rFonts w:eastAsia="Calibri"/>
                <w:sz w:val="20"/>
              </w:rPr>
            </w:pPr>
            <w:r w:rsidRPr="00D87F6E">
              <w:rPr>
                <w:rFonts w:eastAsia="Calibri"/>
                <w:sz w:val="20"/>
              </w:rPr>
              <w:t>13,2921</w:t>
            </w:r>
          </w:p>
        </w:tc>
        <w:tc>
          <w:tcPr>
            <w:tcW w:w="1821" w:type="dxa"/>
            <w:tcBorders>
              <w:left w:val="single" w:sz="4" w:space="0" w:color="auto"/>
              <w:right w:val="single" w:sz="4" w:space="0" w:color="auto"/>
            </w:tcBorders>
            <w:shd w:val="clear" w:color="auto" w:fill="auto"/>
            <w:vAlign w:val="bottom"/>
          </w:tcPr>
          <w:p w:rsidR="00D76DB3" w:rsidRPr="00D87F6E" w:rsidRDefault="00D76DB3" w:rsidP="00080401">
            <w:pPr>
              <w:ind w:firstLine="0"/>
              <w:jc w:val="center"/>
              <w:rPr>
                <w:rFonts w:eastAsia="Calibri"/>
                <w:sz w:val="20"/>
              </w:rPr>
            </w:pPr>
            <w:r w:rsidRPr="00D87F6E">
              <w:rPr>
                <w:rFonts w:eastAsia="Calibri"/>
                <w:sz w:val="20"/>
              </w:rPr>
              <w:t>1,3700</w:t>
            </w:r>
          </w:p>
        </w:tc>
        <w:tc>
          <w:tcPr>
            <w:tcW w:w="1852" w:type="dxa"/>
            <w:tcBorders>
              <w:left w:val="single" w:sz="4" w:space="0" w:color="auto"/>
            </w:tcBorders>
            <w:shd w:val="clear" w:color="auto" w:fill="auto"/>
            <w:vAlign w:val="bottom"/>
          </w:tcPr>
          <w:p w:rsidR="00D76DB3" w:rsidRPr="00D87F6E" w:rsidRDefault="00D76DB3" w:rsidP="00080401">
            <w:pPr>
              <w:ind w:firstLine="0"/>
              <w:jc w:val="center"/>
              <w:rPr>
                <w:rFonts w:eastAsia="Calibri"/>
                <w:sz w:val="20"/>
              </w:rPr>
            </w:pPr>
            <w:r w:rsidRPr="00D87F6E">
              <w:rPr>
                <w:rFonts w:eastAsia="Calibri"/>
                <w:sz w:val="20"/>
              </w:rPr>
              <w:t>2,8040</w:t>
            </w:r>
          </w:p>
        </w:tc>
      </w:tr>
      <w:tr w:rsidR="00D80C8D" w:rsidRPr="00D87F6E" w:rsidTr="00C002DB">
        <w:trPr>
          <w:jc w:val="center"/>
        </w:trPr>
        <w:tc>
          <w:tcPr>
            <w:tcW w:w="1843" w:type="dxa"/>
            <w:tcBorders>
              <w:right w:val="single" w:sz="4" w:space="0" w:color="auto"/>
            </w:tcBorders>
            <w:shd w:val="clear" w:color="auto" w:fill="FFFFFF"/>
            <w:vAlign w:val="center"/>
          </w:tcPr>
          <w:p w:rsidR="00D76DB3" w:rsidRPr="00D87F6E" w:rsidRDefault="00D76DB3" w:rsidP="00080401">
            <w:pPr>
              <w:ind w:firstLine="0"/>
              <w:jc w:val="center"/>
              <w:rPr>
                <w:b/>
                <w:i/>
                <w:iCs/>
                <w:sz w:val="20"/>
              </w:rPr>
            </w:pPr>
            <w:r w:rsidRPr="00D87F6E">
              <w:rPr>
                <w:b/>
                <w:iCs/>
                <w:sz w:val="20"/>
              </w:rPr>
              <w:t>UGC (nível 1)</w:t>
            </w:r>
          </w:p>
        </w:tc>
        <w:tc>
          <w:tcPr>
            <w:tcW w:w="2067" w:type="dxa"/>
            <w:tcBorders>
              <w:left w:val="single" w:sz="4" w:space="0" w:color="auto"/>
              <w:right w:val="single" w:sz="4" w:space="0" w:color="auto"/>
            </w:tcBorders>
            <w:shd w:val="clear" w:color="auto" w:fill="F2F2F2"/>
            <w:vAlign w:val="bottom"/>
          </w:tcPr>
          <w:p w:rsidR="00D76DB3" w:rsidRPr="00D87F6E" w:rsidRDefault="00D76DB3" w:rsidP="00080401">
            <w:pPr>
              <w:ind w:firstLine="0"/>
              <w:jc w:val="center"/>
              <w:rPr>
                <w:rFonts w:eastAsia="Calibri"/>
                <w:sz w:val="20"/>
              </w:rPr>
            </w:pPr>
            <w:r w:rsidRPr="00D87F6E">
              <w:rPr>
                <w:rFonts w:eastAsia="Calibri"/>
                <w:sz w:val="20"/>
              </w:rPr>
              <w:t>0,0000</w:t>
            </w:r>
          </w:p>
        </w:tc>
        <w:tc>
          <w:tcPr>
            <w:tcW w:w="1822" w:type="dxa"/>
            <w:tcBorders>
              <w:left w:val="single" w:sz="4" w:space="0" w:color="auto"/>
              <w:right w:val="single" w:sz="4" w:space="0" w:color="auto"/>
            </w:tcBorders>
            <w:shd w:val="clear" w:color="auto" w:fill="F2F2F2"/>
            <w:vAlign w:val="bottom"/>
          </w:tcPr>
          <w:p w:rsidR="00D76DB3" w:rsidRPr="00D87F6E" w:rsidRDefault="00D76DB3" w:rsidP="00080401">
            <w:pPr>
              <w:ind w:firstLine="0"/>
              <w:jc w:val="center"/>
              <w:rPr>
                <w:rFonts w:eastAsia="Calibri"/>
                <w:sz w:val="20"/>
              </w:rPr>
            </w:pPr>
            <w:r w:rsidRPr="00D87F6E">
              <w:rPr>
                <w:rFonts w:eastAsia="Calibri"/>
                <w:sz w:val="20"/>
              </w:rPr>
              <w:t>1,0000</w:t>
            </w:r>
          </w:p>
        </w:tc>
        <w:tc>
          <w:tcPr>
            <w:tcW w:w="1821" w:type="dxa"/>
            <w:tcBorders>
              <w:left w:val="single" w:sz="4" w:space="0" w:color="auto"/>
              <w:right w:val="single" w:sz="4" w:space="0" w:color="auto"/>
            </w:tcBorders>
            <w:shd w:val="clear" w:color="auto" w:fill="F2F2F2"/>
            <w:vAlign w:val="bottom"/>
          </w:tcPr>
          <w:p w:rsidR="00D76DB3" w:rsidRPr="00D87F6E" w:rsidRDefault="00D76DB3" w:rsidP="00080401">
            <w:pPr>
              <w:ind w:firstLine="0"/>
              <w:jc w:val="center"/>
              <w:rPr>
                <w:rFonts w:eastAsia="Calibri"/>
                <w:sz w:val="20"/>
              </w:rPr>
            </w:pPr>
            <w:r w:rsidRPr="00D87F6E">
              <w:rPr>
                <w:rFonts w:eastAsia="Calibri"/>
                <w:sz w:val="20"/>
              </w:rPr>
              <w:t>0,2843</w:t>
            </w:r>
          </w:p>
        </w:tc>
        <w:tc>
          <w:tcPr>
            <w:tcW w:w="1852" w:type="dxa"/>
            <w:tcBorders>
              <w:left w:val="single" w:sz="4" w:space="0" w:color="auto"/>
            </w:tcBorders>
            <w:shd w:val="clear" w:color="auto" w:fill="F2F2F2"/>
            <w:vAlign w:val="bottom"/>
          </w:tcPr>
          <w:p w:rsidR="00D76DB3" w:rsidRPr="00D87F6E" w:rsidRDefault="00D76DB3" w:rsidP="00080401">
            <w:pPr>
              <w:ind w:firstLine="0"/>
              <w:jc w:val="center"/>
              <w:rPr>
                <w:rFonts w:eastAsia="Calibri"/>
                <w:sz w:val="20"/>
              </w:rPr>
            </w:pPr>
            <w:r w:rsidRPr="00D87F6E">
              <w:rPr>
                <w:rFonts w:eastAsia="Calibri"/>
                <w:sz w:val="20"/>
              </w:rPr>
              <w:t>0,4533</w:t>
            </w:r>
          </w:p>
        </w:tc>
      </w:tr>
      <w:tr w:rsidR="00D80C8D" w:rsidRPr="00D87F6E" w:rsidTr="00C002DB">
        <w:trPr>
          <w:jc w:val="center"/>
        </w:trPr>
        <w:tc>
          <w:tcPr>
            <w:tcW w:w="1843" w:type="dxa"/>
            <w:tcBorders>
              <w:right w:val="single" w:sz="4" w:space="0" w:color="auto"/>
            </w:tcBorders>
            <w:shd w:val="clear" w:color="auto" w:fill="FFFFFF"/>
            <w:vAlign w:val="center"/>
          </w:tcPr>
          <w:p w:rsidR="00D76DB3" w:rsidRPr="00D87F6E" w:rsidRDefault="00D76DB3" w:rsidP="00080401">
            <w:pPr>
              <w:ind w:firstLine="0"/>
              <w:jc w:val="center"/>
              <w:rPr>
                <w:b/>
                <w:i/>
                <w:iCs/>
                <w:sz w:val="20"/>
              </w:rPr>
            </w:pPr>
            <w:r w:rsidRPr="00D87F6E">
              <w:rPr>
                <w:b/>
                <w:iCs/>
                <w:sz w:val="20"/>
              </w:rPr>
              <w:t>UGC (nível 2)</w:t>
            </w:r>
          </w:p>
        </w:tc>
        <w:tc>
          <w:tcPr>
            <w:tcW w:w="2067" w:type="dxa"/>
            <w:tcBorders>
              <w:left w:val="single" w:sz="4" w:space="0" w:color="auto"/>
              <w:right w:val="single" w:sz="4" w:space="0" w:color="auto"/>
            </w:tcBorders>
            <w:shd w:val="clear" w:color="auto" w:fill="auto"/>
            <w:vAlign w:val="bottom"/>
          </w:tcPr>
          <w:p w:rsidR="00D76DB3" w:rsidRPr="00D87F6E" w:rsidRDefault="00D76DB3" w:rsidP="00080401">
            <w:pPr>
              <w:ind w:firstLine="0"/>
              <w:jc w:val="center"/>
              <w:rPr>
                <w:rFonts w:eastAsia="Calibri"/>
                <w:sz w:val="20"/>
              </w:rPr>
            </w:pPr>
            <w:r w:rsidRPr="00D87F6E">
              <w:rPr>
                <w:rFonts w:eastAsia="Calibri"/>
                <w:sz w:val="20"/>
              </w:rPr>
              <w:t>0,0000</w:t>
            </w:r>
          </w:p>
        </w:tc>
        <w:tc>
          <w:tcPr>
            <w:tcW w:w="1822" w:type="dxa"/>
            <w:tcBorders>
              <w:left w:val="single" w:sz="4" w:space="0" w:color="auto"/>
              <w:right w:val="single" w:sz="4" w:space="0" w:color="auto"/>
            </w:tcBorders>
            <w:shd w:val="clear" w:color="auto" w:fill="auto"/>
            <w:vAlign w:val="bottom"/>
          </w:tcPr>
          <w:p w:rsidR="00D76DB3" w:rsidRPr="00D87F6E" w:rsidRDefault="00D76DB3" w:rsidP="00080401">
            <w:pPr>
              <w:ind w:firstLine="0"/>
              <w:jc w:val="center"/>
              <w:rPr>
                <w:rFonts w:eastAsia="Calibri"/>
                <w:sz w:val="20"/>
              </w:rPr>
            </w:pPr>
            <w:r w:rsidRPr="00D87F6E">
              <w:rPr>
                <w:rFonts w:eastAsia="Calibri"/>
                <w:sz w:val="20"/>
              </w:rPr>
              <w:t>1,0000</w:t>
            </w:r>
          </w:p>
        </w:tc>
        <w:tc>
          <w:tcPr>
            <w:tcW w:w="1821" w:type="dxa"/>
            <w:tcBorders>
              <w:left w:val="single" w:sz="4" w:space="0" w:color="auto"/>
              <w:right w:val="single" w:sz="4" w:space="0" w:color="auto"/>
            </w:tcBorders>
            <w:shd w:val="clear" w:color="auto" w:fill="auto"/>
            <w:vAlign w:val="bottom"/>
          </w:tcPr>
          <w:p w:rsidR="00D76DB3" w:rsidRPr="00D87F6E" w:rsidRDefault="00D76DB3" w:rsidP="00080401">
            <w:pPr>
              <w:ind w:firstLine="0"/>
              <w:jc w:val="center"/>
              <w:rPr>
                <w:rFonts w:eastAsia="Calibri"/>
                <w:sz w:val="20"/>
              </w:rPr>
            </w:pPr>
            <w:r w:rsidRPr="00D87F6E">
              <w:rPr>
                <w:rFonts w:eastAsia="Calibri"/>
                <w:sz w:val="20"/>
              </w:rPr>
              <w:t>0,6863</w:t>
            </w:r>
          </w:p>
        </w:tc>
        <w:tc>
          <w:tcPr>
            <w:tcW w:w="1852" w:type="dxa"/>
            <w:tcBorders>
              <w:left w:val="single" w:sz="4" w:space="0" w:color="auto"/>
            </w:tcBorders>
            <w:shd w:val="clear" w:color="auto" w:fill="auto"/>
            <w:vAlign w:val="bottom"/>
          </w:tcPr>
          <w:p w:rsidR="00D76DB3" w:rsidRPr="00D87F6E" w:rsidRDefault="00D76DB3" w:rsidP="00080401">
            <w:pPr>
              <w:ind w:firstLine="0"/>
              <w:jc w:val="center"/>
              <w:rPr>
                <w:rFonts w:eastAsia="Calibri"/>
                <w:sz w:val="20"/>
              </w:rPr>
            </w:pPr>
            <w:r w:rsidRPr="00D87F6E">
              <w:rPr>
                <w:rFonts w:eastAsia="Calibri"/>
                <w:sz w:val="20"/>
              </w:rPr>
              <w:t>0,4663</w:t>
            </w:r>
          </w:p>
        </w:tc>
      </w:tr>
      <w:tr w:rsidR="00D80C8D" w:rsidRPr="00D87F6E" w:rsidTr="00C002DB">
        <w:trPr>
          <w:jc w:val="center"/>
        </w:trPr>
        <w:tc>
          <w:tcPr>
            <w:tcW w:w="1843" w:type="dxa"/>
            <w:tcBorders>
              <w:right w:val="single" w:sz="4" w:space="0" w:color="auto"/>
            </w:tcBorders>
            <w:shd w:val="clear" w:color="auto" w:fill="FFFFFF"/>
            <w:vAlign w:val="center"/>
          </w:tcPr>
          <w:p w:rsidR="00D76DB3" w:rsidRPr="00D87F6E" w:rsidRDefault="00D76DB3" w:rsidP="00080401">
            <w:pPr>
              <w:ind w:firstLine="0"/>
              <w:jc w:val="center"/>
              <w:rPr>
                <w:b/>
                <w:i/>
                <w:iCs/>
                <w:sz w:val="20"/>
              </w:rPr>
            </w:pPr>
            <w:r w:rsidRPr="00D87F6E">
              <w:rPr>
                <w:b/>
                <w:iCs/>
                <w:sz w:val="20"/>
              </w:rPr>
              <w:t>TURN</w:t>
            </w:r>
          </w:p>
        </w:tc>
        <w:tc>
          <w:tcPr>
            <w:tcW w:w="2067" w:type="dxa"/>
            <w:tcBorders>
              <w:left w:val="single" w:sz="4" w:space="0" w:color="auto"/>
              <w:right w:val="single" w:sz="4" w:space="0" w:color="auto"/>
            </w:tcBorders>
            <w:shd w:val="clear" w:color="auto" w:fill="F2F2F2"/>
            <w:vAlign w:val="bottom"/>
          </w:tcPr>
          <w:p w:rsidR="00D76DB3" w:rsidRPr="00D87F6E" w:rsidRDefault="00D76DB3" w:rsidP="00080401">
            <w:pPr>
              <w:ind w:firstLine="0"/>
              <w:jc w:val="center"/>
              <w:rPr>
                <w:rFonts w:eastAsia="Calibri"/>
                <w:sz w:val="20"/>
              </w:rPr>
            </w:pPr>
            <w:r w:rsidRPr="00D87F6E">
              <w:rPr>
                <w:rFonts w:eastAsia="Calibri"/>
                <w:sz w:val="20"/>
              </w:rPr>
              <w:t>-6</w:t>
            </w:r>
            <w:r w:rsidR="003C4D6D" w:rsidRPr="00D87F6E">
              <w:rPr>
                <w:rFonts w:eastAsia="Calibri"/>
                <w:sz w:val="20"/>
              </w:rPr>
              <w:t>.</w:t>
            </w:r>
            <w:r w:rsidRPr="00D87F6E">
              <w:rPr>
                <w:rFonts w:eastAsia="Calibri"/>
                <w:sz w:val="20"/>
              </w:rPr>
              <w:t>229,8755</w:t>
            </w:r>
          </w:p>
        </w:tc>
        <w:tc>
          <w:tcPr>
            <w:tcW w:w="1822" w:type="dxa"/>
            <w:tcBorders>
              <w:left w:val="single" w:sz="4" w:space="0" w:color="auto"/>
              <w:right w:val="single" w:sz="4" w:space="0" w:color="auto"/>
            </w:tcBorders>
            <w:shd w:val="clear" w:color="auto" w:fill="F2F2F2"/>
            <w:vAlign w:val="bottom"/>
          </w:tcPr>
          <w:p w:rsidR="00D76DB3" w:rsidRPr="00D87F6E" w:rsidRDefault="00D76DB3" w:rsidP="00080401">
            <w:pPr>
              <w:ind w:firstLine="0"/>
              <w:jc w:val="center"/>
              <w:rPr>
                <w:rFonts w:eastAsia="Calibri"/>
                <w:sz w:val="20"/>
              </w:rPr>
            </w:pPr>
            <w:r w:rsidRPr="00D87F6E">
              <w:rPr>
                <w:rFonts w:eastAsia="Calibri"/>
                <w:sz w:val="20"/>
              </w:rPr>
              <w:t>105,0450</w:t>
            </w:r>
          </w:p>
        </w:tc>
        <w:tc>
          <w:tcPr>
            <w:tcW w:w="1821" w:type="dxa"/>
            <w:tcBorders>
              <w:left w:val="single" w:sz="4" w:space="0" w:color="auto"/>
              <w:right w:val="single" w:sz="4" w:space="0" w:color="auto"/>
            </w:tcBorders>
            <w:shd w:val="clear" w:color="auto" w:fill="F2F2F2"/>
            <w:vAlign w:val="bottom"/>
          </w:tcPr>
          <w:p w:rsidR="00D76DB3" w:rsidRPr="00D87F6E" w:rsidRDefault="00D76DB3" w:rsidP="00080401">
            <w:pPr>
              <w:ind w:firstLine="0"/>
              <w:jc w:val="center"/>
              <w:rPr>
                <w:rFonts w:eastAsia="Calibri"/>
                <w:sz w:val="20"/>
              </w:rPr>
            </w:pPr>
            <w:r w:rsidRPr="00D87F6E">
              <w:rPr>
                <w:rFonts w:eastAsia="Calibri"/>
                <w:sz w:val="20"/>
              </w:rPr>
              <w:t>-61,8412</w:t>
            </w:r>
          </w:p>
        </w:tc>
        <w:tc>
          <w:tcPr>
            <w:tcW w:w="1852" w:type="dxa"/>
            <w:tcBorders>
              <w:left w:val="single" w:sz="4" w:space="0" w:color="auto"/>
            </w:tcBorders>
            <w:shd w:val="clear" w:color="auto" w:fill="F2F2F2"/>
            <w:vAlign w:val="bottom"/>
          </w:tcPr>
          <w:p w:rsidR="00D76DB3" w:rsidRPr="00D87F6E" w:rsidRDefault="00D76DB3" w:rsidP="00080401">
            <w:pPr>
              <w:ind w:firstLine="0"/>
              <w:jc w:val="center"/>
              <w:rPr>
                <w:rFonts w:eastAsia="Calibri"/>
                <w:sz w:val="20"/>
              </w:rPr>
            </w:pPr>
            <w:r w:rsidRPr="00D87F6E">
              <w:rPr>
                <w:rFonts w:eastAsia="Calibri"/>
                <w:sz w:val="20"/>
              </w:rPr>
              <w:t>617,3831</w:t>
            </w:r>
          </w:p>
        </w:tc>
      </w:tr>
      <w:tr w:rsidR="00D80C8D" w:rsidRPr="00D87F6E" w:rsidTr="00C002DB">
        <w:trPr>
          <w:jc w:val="center"/>
        </w:trPr>
        <w:tc>
          <w:tcPr>
            <w:tcW w:w="1843" w:type="dxa"/>
            <w:tcBorders>
              <w:right w:val="single" w:sz="4" w:space="0" w:color="auto"/>
            </w:tcBorders>
            <w:shd w:val="clear" w:color="auto" w:fill="FFFFFF"/>
            <w:vAlign w:val="center"/>
          </w:tcPr>
          <w:p w:rsidR="00D76DB3" w:rsidRPr="00D87F6E" w:rsidRDefault="00D76DB3" w:rsidP="00080401">
            <w:pPr>
              <w:ind w:firstLine="0"/>
              <w:jc w:val="center"/>
              <w:rPr>
                <w:b/>
                <w:i/>
                <w:iCs/>
                <w:sz w:val="20"/>
              </w:rPr>
            </w:pPr>
            <w:r w:rsidRPr="00D87F6E">
              <w:rPr>
                <w:b/>
                <w:iCs/>
                <w:sz w:val="20"/>
              </w:rPr>
              <w:t>ΔFCO</w:t>
            </w:r>
          </w:p>
        </w:tc>
        <w:tc>
          <w:tcPr>
            <w:tcW w:w="2067" w:type="dxa"/>
            <w:tcBorders>
              <w:left w:val="single" w:sz="4" w:space="0" w:color="auto"/>
              <w:right w:val="single" w:sz="4" w:space="0" w:color="auto"/>
            </w:tcBorders>
            <w:shd w:val="clear" w:color="auto" w:fill="auto"/>
            <w:vAlign w:val="bottom"/>
          </w:tcPr>
          <w:p w:rsidR="00D76DB3" w:rsidRPr="00D87F6E" w:rsidRDefault="00D76DB3" w:rsidP="00080401">
            <w:pPr>
              <w:ind w:firstLine="0"/>
              <w:jc w:val="center"/>
              <w:rPr>
                <w:rFonts w:eastAsia="Calibri"/>
                <w:sz w:val="20"/>
              </w:rPr>
            </w:pPr>
            <w:r w:rsidRPr="00D87F6E">
              <w:rPr>
                <w:rFonts w:eastAsia="Calibri"/>
                <w:sz w:val="20"/>
              </w:rPr>
              <w:t>-0,7028</w:t>
            </w:r>
          </w:p>
        </w:tc>
        <w:tc>
          <w:tcPr>
            <w:tcW w:w="1822" w:type="dxa"/>
            <w:tcBorders>
              <w:left w:val="single" w:sz="4" w:space="0" w:color="auto"/>
              <w:right w:val="single" w:sz="4" w:space="0" w:color="auto"/>
            </w:tcBorders>
            <w:shd w:val="clear" w:color="auto" w:fill="auto"/>
            <w:vAlign w:val="bottom"/>
          </w:tcPr>
          <w:p w:rsidR="00D76DB3" w:rsidRPr="00D87F6E" w:rsidRDefault="00D76DB3" w:rsidP="00080401">
            <w:pPr>
              <w:ind w:firstLine="0"/>
              <w:jc w:val="center"/>
              <w:rPr>
                <w:rFonts w:eastAsia="Calibri"/>
                <w:sz w:val="20"/>
              </w:rPr>
            </w:pPr>
            <w:r w:rsidRPr="00D87F6E">
              <w:rPr>
                <w:rFonts w:eastAsia="Calibri"/>
                <w:sz w:val="20"/>
              </w:rPr>
              <w:t>0,1801</w:t>
            </w:r>
          </w:p>
        </w:tc>
        <w:tc>
          <w:tcPr>
            <w:tcW w:w="1821" w:type="dxa"/>
            <w:tcBorders>
              <w:left w:val="single" w:sz="4" w:space="0" w:color="auto"/>
              <w:right w:val="single" w:sz="4" w:space="0" w:color="auto"/>
            </w:tcBorders>
            <w:shd w:val="clear" w:color="auto" w:fill="auto"/>
            <w:vAlign w:val="bottom"/>
          </w:tcPr>
          <w:p w:rsidR="00D76DB3" w:rsidRPr="00D87F6E" w:rsidRDefault="00D76DB3" w:rsidP="00080401">
            <w:pPr>
              <w:ind w:firstLine="0"/>
              <w:jc w:val="center"/>
              <w:rPr>
                <w:rFonts w:eastAsia="Calibri"/>
                <w:sz w:val="20"/>
              </w:rPr>
            </w:pPr>
            <w:r w:rsidRPr="00D87F6E">
              <w:rPr>
                <w:rFonts w:eastAsia="Calibri"/>
                <w:sz w:val="20"/>
              </w:rPr>
              <w:t>-0,1192</w:t>
            </w:r>
          </w:p>
        </w:tc>
        <w:tc>
          <w:tcPr>
            <w:tcW w:w="1852" w:type="dxa"/>
            <w:tcBorders>
              <w:left w:val="single" w:sz="4" w:space="0" w:color="auto"/>
            </w:tcBorders>
            <w:shd w:val="clear" w:color="auto" w:fill="auto"/>
            <w:vAlign w:val="bottom"/>
          </w:tcPr>
          <w:p w:rsidR="00D76DB3" w:rsidRPr="00D87F6E" w:rsidRDefault="00D76DB3" w:rsidP="00080401">
            <w:pPr>
              <w:ind w:firstLine="0"/>
              <w:jc w:val="center"/>
              <w:rPr>
                <w:rFonts w:eastAsia="Calibri"/>
                <w:sz w:val="20"/>
              </w:rPr>
            </w:pPr>
            <w:r w:rsidRPr="00D87F6E">
              <w:rPr>
                <w:rFonts w:eastAsia="Calibri"/>
                <w:sz w:val="20"/>
              </w:rPr>
              <w:t>0,1204</w:t>
            </w:r>
          </w:p>
        </w:tc>
      </w:tr>
      <w:tr w:rsidR="00D80C8D" w:rsidRPr="00D87F6E" w:rsidTr="00C002DB">
        <w:trPr>
          <w:jc w:val="center"/>
        </w:trPr>
        <w:tc>
          <w:tcPr>
            <w:tcW w:w="1843" w:type="dxa"/>
            <w:tcBorders>
              <w:right w:val="single" w:sz="4" w:space="0" w:color="auto"/>
            </w:tcBorders>
            <w:shd w:val="clear" w:color="auto" w:fill="FFFFFF"/>
            <w:vAlign w:val="center"/>
          </w:tcPr>
          <w:p w:rsidR="00D76DB3" w:rsidRPr="00D87F6E" w:rsidRDefault="00D76DB3" w:rsidP="00080401">
            <w:pPr>
              <w:ind w:firstLine="0"/>
              <w:jc w:val="center"/>
              <w:rPr>
                <w:b/>
                <w:i/>
                <w:iCs/>
                <w:sz w:val="20"/>
              </w:rPr>
            </w:pPr>
            <w:r w:rsidRPr="00D87F6E">
              <w:rPr>
                <w:b/>
                <w:iCs/>
                <w:sz w:val="20"/>
              </w:rPr>
              <w:t>ROA</w:t>
            </w:r>
          </w:p>
        </w:tc>
        <w:tc>
          <w:tcPr>
            <w:tcW w:w="2067" w:type="dxa"/>
            <w:tcBorders>
              <w:left w:val="single" w:sz="4" w:space="0" w:color="auto"/>
              <w:right w:val="single" w:sz="4" w:space="0" w:color="auto"/>
            </w:tcBorders>
            <w:shd w:val="clear" w:color="auto" w:fill="F2F2F2"/>
            <w:vAlign w:val="bottom"/>
          </w:tcPr>
          <w:p w:rsidR="00D76DB3" w:rsidRPr="00D87F6E" w:rsidRDefault="00D76DB3" w:rsidP="00080401">
            <w:pPr>
              <w:ind w:firstLine="0"/>
              <w:jc w:val="center"/>
              <w:rPr>
                <w:rFonts w:eastAsia="Calibri"/>
                <w:sz w:val="20"/>
              </w:rPr>
            </w:pPr>
            <w:r w:rsidRPr="00D87F6E">
              <w:rPr>
                <w:rFonts w:eastAsia="Calibri"/>
                <w:sz w:val="20"/>
              </w:rPr>
              <w:t>-117,8213</w:t>
            </w:r>
          </w:p>
        </w:tc>
        <w:tc>
          <w:tcPr>
            <w:tcW w:w="1822" w:type="dxa"/>
            <w:tcBorders>
              <w:left w:val="single" w:sz="4" w:space="0" w:color="auto"/>
              <w:right w:val="single" w:sz="4" w:space="0" w:color="auto"/>
            </w:tcBorders>
            <w:shd w:val="clear" w:color="auto" w:fill="F2F2F2"/>
            <w:vAlign w:val="bottom"/>
          </w:tcPr>
          <w:p w:rsidR="00D76DB3" w:rsidRPr="00D87F6E" w:rsidRDefault="00D76DB3" w:rsidP="00080401">
            <w:pPr>
              <w:ind w:firstLine="0"/>
              <w:jc w:val="center"/>
              <w:rPr>
                <w:rFonts w:eastAsia="Calibri"/>
                <w:sz w:val="20"/>
              </w:rPr>
            </w:pPr>
            <w:r w:rsidRPr="00D87F6E">
              <w:rPr>
                <w:rFonts w:eastAsia="Calibri"/>
                <w:sz w:val="20"/>
              </w:rPr>
              <w:t>18,4972</w:t>
            </w:r>
          </w:p>
        </w:tc>
        <w:tc>
          <w:tcPr>
            <w:tcW w:w="1821" w:type="dxa"/>
            <w:tcBorders>
              <w:left w:val="single" w:sz="4" w:space="0" w:color="auto"/>
              <w:right w:val="single" w:sz="4" w:space="0" w:color="auto"/>
            </w:tcBorders>
            <w:shd w:val="clear" w:color="auto" w:fill="F2F2F2"/>
            <w:vAlign w:val="bottom"/>
          </w:tcPr>
          <w:p w:rsidR="00D76DB3" w:rsidRPr="00D87F6E" w:rsidRDefault="00D76DB3" w:rsidP="00080401">
            <w:pPr>
              <w:ind w:firstLine="0"/>
              <w:jc w:val="center"/>
              <w:rPr>
                <w:rFonts w:eastAsia="Calibri"/>
                <w:sz w:val="20"/>
              </w:rPr>
            </w:pPr>
            <w:r w:rsidRPr="00D87F6E">
              <w:rPr>
                <w:rFonts w:eastAsia="Calibri"/>
                <w:sz w:val="20"/>
              </w:rPr>
              <w:t>-2,4680</w:t>
            </w:r>
          </w:p>
        </w:tc>
        <w:tc>
          <w:tcPr>
            <w:tcW w:w="1852" w:type="dxa"/>
            <w:tcBorders>
              <w:left w:val="single" w:sz="4" w:space="0" w:color="auto"/>
            </w:tcBorders>
            <w:shd w:val="clear" w:color="auto" w:fill="F2F2F2"/>
            <w:vAlign w:val="bottom"/>
          </w:tcPr>
          <w:p w:rsidR="00D76DB3" w:rsidRPr="00D87F6E" w:rsidRDefault="00D76DB3" w:rsidP="00080401">
            <w:pPr>
              <w:ind w:firstLine="0"/>
              <w:jc w:val="center"/>
              <w:rPr>
                <w:rFonts w:eastAsia="Calibri"/>
                <w:sz w:val="20"/>
              </w:rPr>
            </w:pPr>
            <w:r w:rsidRPr="00D87F6E">
              <w:rPr>
                <w:rFonts w:eastAsia="Calibri"/>
                <w:sz w:val="20"/>
              </w:rPr>
              <w:t>17,0258</w:t>
            </w:r>
          </w:p>
        </w:tc>
      </w:tr>
      <w:tr w:rsidR="00D80C8D" w:rsidRPr="00D87F6E" w:rsidTr="00C002DB">
        <w:trPr>
          <w:jc w:val="center"/>
        </w:trPr>
        <w:tc>
          <w:tcPr>
            <w:tcW w:w="1843" w:type="dxa"/>
            <w:tcBorders>
              <w:right w:val="single" w:sz="4" w:space="0" w:color="auto"/>
            </w:tcBorders>
            <w:shd w:val="clear" w:color="auto" w:fill="FFFFFF"/>
            <w:vAlign w:val="center"/>
          </w:tcPr>
          <w:p w:rsidR="00D76DB3" w:rsidRPr="00D87F6E" w:rsidRDefault="00D76DB3" w:rsidP="00080401">
            <w:pPr>
              <w:ind w:firstLine="0"/>
              <w:jc w:val="center"/>
              <w:rPr>
                <w:b/>
                <w:i/>
                <w:iCs/>
                <w:sz w:val="20"/>
              </w:rPr>
            </w:pPr>
            <w:r w:rsidRPr="00D87F6E">
              <w:rPr>
                <w:b/>
                <w:iCs/>
                <w:sz w:val="20"/>
              </w:rPr>
              <w:t>GOOD</w:t>
            </w:r>
          </w:p>
        </w:tc>
        <w:tc>
          <w:tcPr>
            <w:tcW w:w="2067" w:type="dxa"/>
            <w:tcBorders>
              <w:left w:val="single" w:sz="4" w:space="0" w:color="auto"/>
              <w:right w:val="single" w:sz="4" w:space="0" w:color="auto"/>
            </w:tcBorders>
            <w:shd w:val="clear" w:color="auto" w:fill="auto"/>
            <w:vAlign w:val="bottom"/>
          </w:tcPr>
          <w:p w:rsidR="00D76DB3" w:rsidRPr="00D87F6E" w:rsidRDefault="00D76DB3" w:rsidP="00080401">
            <w:pPr>
              <w:ind w:firstLine="0"/>
              <w:jc w:val="center"/>
              <w:rPr>
                <w:rFonts w:eastAsia="Calibri"/>
                <w:sz w:val="20"/>
              </w:rPr>
            </w:pPr>
            <w:r w:rsidRPr="00D87F6E">
              <w:rPr>
                <w:rFonts w:eastAsia="Calibri"/>
                <w:sz w:val="20"/>
              </w:rPr>
              <w:t>0,0000</w:t>
            </w:r>
          </w:p>
        </w:tc>
        <w:tc>
          <w:tcPr>
            <w:tcW w:w="1822" w:type="dxa"/>
            <w:tcBorders>
              <w:left w:val="single" w:sz="4" w:space="0" w:color="auto"/>
              <w:right w:val="single" w:sz="4" w:space="0" w:color="auto"/>
            </w:tcBorders>
            <w:shd w:val="clear" w:color="auto" w:fill="auto"/>
            <w:vAlign w:val="bottom"/>
          </w:tcPr>
          <w:p w:rsidR="00D76DB3" w:rsidRPr="00D87F6E" w:rsidRDefault="00D76DB3" w:rsidP="00080401">
            <w:pPr>
              <w:ind w:firstLine="0"/>
              <w:jc w:val="center"/>
              <w:rPr>
                <w:rFonts w:eastAsia="Calibri"/>
                <w:sz w:val="20"/>
              </w:rPr>
            </w:pPr>
            <w:r w:rsidRPr="00D87F6E">
              <w:rPr>
                <w:rFonts w:eastAsia="Calibri"/>
                <w:sz w:val="20"/>
              </w:rPr>
              <w:t>0,5722</w:t>
            </w:r>
          </w:p>
        </w:tc>
        <w:tc>
          <w:tcPr>
            <w:tcW w:w="1821" w:type="dxa"/>
            <w:tcBorders>
              <w:left w:val="single" w:sz="4" w:space="0" w:color="auto"/>
              <w:right w:val="single" w:sz="4" w:space="0" w:color="auto"/>
            </w:tcBorders>
            <w:shd w:val="clear" w:color="auto" w:fill="auto"/>
            <w:vAlign w:val="bottom"/>
          </w:tcPr>
          <w:p w:rsidR="00D76DB3" w:rsidRPr="00D87F6E" w:rsidRDefault="00D76DB3" w:rsidP="00080401">
            <w:pPr>
              <w:ind w:firstLine="0"/>
              <w:jc w:val="center"/>
              <w:rPr>
                <w:rFonts w:eastAsia="Calibri"/>
                <w:sz w:val="20"/>
              </w:rPr>
            </w:pPr>
            <w:r w:rsidRPr="00D87F6E">
              <w:rPr>
                <w:rFonts w:eastAsia="Calibri"/>
                <w:sz w:val="20"/>
              </w:rPr>
              <w:t>0,1322</w:t>
            </w:r>
          </w:p>
        </w:tc>
        <w:tc>
          <w:tcPr>
            <w:tcW w:w="1852" w:type="dxa"/>
            <w:tcBorders>
              <w:left w:val="single" w:sz="4" w:space="0" w:color="auto"/>
            </w:tcBorders>
            <w:shd w:val="clear" w:color="auto" w:fill="auto"/>
            <w:vAlign w:val="bottom"/>
          </w:tcPr>
          <w:p w:rsidR="00D76DB3" w:rsidRPr="00D87F6E" w:rsidRDefault="00D76DB3" w:rsidP="00080401">
            <w:pPr>
              <w:ind w:firstLine="0"/>
              <w:jc w:val="center"/>
              <w:rPr>
                <w:rFonts w:eastAsia="Calibri"/>
                <w:sz w:val="20"/>
              </w:rPr>
            </w:pPr>
            <w:r w:rsidRPr="00D87F6E">
              <w:rPr>
                <w:rFonts w:eastAsia="Calibri"/>
                <w:sz w:val="20"/>
              </w:rPr>
              <w:t>0,1487</w:t>
            </w:r>
          </w:p>
        </w:tc>
      </w:tr>
      <w:tr w:rsidR="00D80C8D" w:rsidRPr="00D87F6E" w:rsidTr="00C002DB">
        <w:trPr>
          <w:jc w:val="center"/>
        </w:trPr>
        <w:tc>
          <w:tcPr>
            <w:tcW w:w="1843" w:type="dxa"/>
            <w:tcBorders>
              <w:bottom w:val="single" w:sz="4" w:space="0" w:color="auto"/>
              <w:right w:val="single" w:sz="4" w:space="0" w:color="auto"/>
            </w:tcBorders>
            <w:shd w:val="clear" w:color="auto" w:fill="FFFFFF"/>
            <w:vAlign w:val="center"/>
          </w:tcPr>
          <w:p w:rsidR="00D76DB3" w:rsidRPr="00D87F6E" w:rsidRDefault="00D76DB3" w:rsidP="00080401">
            <w:pPr>
              <w:ind w:firstLine="0"/>
              <w:jc w:val="center"/>
              <w:rPr>
                <w:b/>
                <w:i/>
                <w:iCs/>
                <w:sz w:val="20"/>
              </w:rPr>
            </w:pPr>
            <w:r w:rsidRPr="00D87F6E">
              <w:rPr>
                <w:b/>
                <w:iCs/>
                <w:sz w:val="20"/>
              </w:rPr>
              <w:t>ALAFIN</w:t>
            </w:r>
          </w:p>
        </w:tc>
        <w:tc>
          <w:tcPr>
            <w:tcW w:w="2067" w:type="dxa"/>
            <w:tcBorders>
              <w:left w:val="single" w:sz="4" w:space="0" w:color="auto"/>
              <w:bottom w:val="single" w:sz="4" w:space="0" w:color="auto"/>
              <w:right w:val="single" w:sz="4" w:space="0" w:color="auto"/>
            </w:tcBorders>
            <w:shd w:val="clear" w:color="auto" w:fill="F2F2F2"/>
            <w:vAlign w:val="bottom"/>
          </w:tcPr>
          <w:p w:rsidR="00D76DB3" w:rsidRPr="00D87F6E" w:rsidRDefault="00D76DB3" w:rsidP="00080401">
            <w:pPr>
              <w:ind w:firstLine="0"/>
              <w:jc w:val="center"/>
              <w:rPr>
                <w:rFonts w:eastAsia="Calibri"/>
                <w:sz w:val="20"/>
              </w:rPr>
            </w:pPr>
            <w:r w:rsidRPr="00D87F6E">
              <w:rPr>
                <w:rFonts w:eastAsia="Calibri"/>
                <w:sz w:val="20"/>
              </w:rPr>
              <w:t>-122,5010</w:t>
            </w:r>
          </w:p>
        </w:tc>
        <w:tc>
          <w:tcPr>
            <w:tcW w:w="1822" w:type="dxa"/>
            <w:tcBorders>
              <w:left w:val="single" w:sz="4" w:space="0" w:color="auto"/>
              <w:bottom w:val="single" w:sz="4" w:space="0" w:color="auto"/>
              <w:right w:val="single" w:sz="4" w:space="0" w:color="auto"/>
            </w:tcBorders>
            <w:shd w:val="clear" w:color="auto" w:fill="F2F2F2"/>
            <w:vAlign w:val="bottom"/>
          </w:tcPr>
          <w:p w:rsidR="00D76DB3" w:rsidRPr="00D87F6E" w:rsidRDefault="00D76DB3" w:rsidP="00080401">
            <w:pPr>
              <w:ind w:firstLine="0"/>
              <w:jc w:val="center"/>
              <w:rPr>
                <w:rFonts w:eastAsia="Calibri"/>
                <w:sz w:val="20"/>
              </w:rPr>
            </w:pPr>
            <w:r w:rsidRPr="00D87F6E">
              <w:rPr>
                <w:rFonts w:eastAsia="Calibri"/>
                <w:sz w:val="20"/>
              </w:rPr>
              <w:t>108,7413</w:t>
            </w:r>
          </w:p>
        </w:tc>
        <w:tc>
          <w:tcPr>
            <w:tcW w:w="1821" w:type="dxa"/>
            <w:tcBorders>
              <w:left w:val="single" w:sz="4" w:space="0" w:color="auto"/>
              <w:bottom w:val="single" w:sz="4" w:space="0" w:color="auto"/>
              <w:right w:val="single" w:sz="4" w:space="0" w:color="auto"/>
            </w:tcBorders>
            <w:shd w:val="clear" w:color="auto" w:fill="F2F2F2"/>
            <w:vAlign w:val="bottom"/>
          </w:tcPr>
          <w:p w:rsidR="00D76DB3" w:rsidRPr="00D87F6E" w:rsidRDefault="00D76DB3" w:rsidP="00080401">
            <w:pPr>
              <w:ind w:firstLine="0"/>
              <w:jc w:val="center"/>
              <w:rPr>
                <w:rFonts w:eastAsia="Calibri"/>
                <w:sz w:val="20"/>
              </w:rPr>
            </w:pPr>
            <w:r w:rsidRPr="00D87F6E">
              <w:rPr>
                <w:rFonts w:eastAsia="Calibri"/>
                <w:sz w:val="20"/>
              </w:rPr>
              <w:t>0,5301</w:t>
            </w:r>
          </w:p>
        </w:tc>
        <w:tc>
          <w:tcPr>
            <w:tcW w:w="1852" w:type="dxa"/>
            <w:tcBorders>
              <w:left w:val="single" w:sz="4" w:space="0" w:color="auto"/>
              <w:bottom w:val="single" w:sz="4" w:space="0" w:color="auto"/>
            </w:tcBorders>
            <w:shd w:val="clear" w:color="auto" w:fill="F2F2F2"/>
            <w:vAlign w:val="bottom"/>
          </w:tcPr>
          <w:p w:rsidR="00D76DB3" w:rsidRPr="00D87F6E" w:rsidRDefault="00D76DB3" w:rsidP="00080401">
            <w:pPr>
              <w:ind w:firstLine="0"/>
              <w:jc w:val="center"/>
              <w:rPr>
                <w:rFonts w:eastAsia="Calibri"/>
                <w:sz w:val="20"/>
              </w:rPr>
            </w:pPr>
            <w:r w:rsidRPr="00D87F6E">
              <w:rPr>
                <w:rFonts w:eastAsia="Calibri"/>
                <w:sz w:val="20"/>
              </w:rPr>
              <w:t>21,8416</w:t>
            </w:r>
          </w:p>
        </w:tc>
      </w:tr>
    </w:tbl>
    <w:p w:rsidR="00D76DB3" w:rsidRPr="00D87F6E" w:rsidRDefault="00D76DB3" w:rsidP="00080401">
      <w:pPr>
        <w:ind w:firstLine="0"/>
        <w:rPr>
          <w:sz w:val="20"/>
        </w:rPr>
      </w:pPr>
      <w:r w:rsidRPr="00D87F6E">
        <w:rPr>
          <w:sz w:val="20"/>
        </w:rPr>
        <w:t>Fonte: Dados da Pesquisa.</w:t>
      </w:r>
    </w:p>
    <w:p w:rsidR="006D0071" w:rsidRPr="00D87F6E" w:rsidRDefault="006D0071" w:rsidP="00080401">
      <w:pPr>
        <w:ind w:firstLine="0"/>
        <w:rPr>
          <w:sz w:val="20"/>
        </w:rPr>
      </w:pPr>
    </w:p>
    <w:p w:rsidR="00D76DB3" w:rsidRPr="00D87F6E" w:rsidRDefault="00D76DB3" w:rsidP="00080401">
      <w:r w:rsidRPr="00D87F6E">
        <w:t xml:space="preserve">Dentre os valores obtidos para o desvio padrão, chamam atenção os das variáveis TURN, ALAFIN e ROA. Com base em Fávero </w:t>
      </w:r>
      <w:r w:rsidRPr="00D87F6E">
        <w:rPr>
          <w:i/>
        </w:rPr>
        <w:t>et al.</w:t>
      </w:r>
      <w:r w:rsidRPr="00D87F6E">
        <w:t xml:space="preserve"> (2009), pode-se afirmar que estas possuem observações com valores muito afastados da média, principalmente a variável TURN, cujo valor do desvio padrão é igual a 617,3831. As demais variáveis não apresentaram dispersão elevada.</w:t>
      </w:r>
    </w:p>
    <w:p w:rsidR="00D76DB3" w:rsidRPr="00D87F6E" w:rsidRDefault="00D76DB3" w:rsidP="00080401">
      <w:r w:rsidRPr="00D87F6E">
        <w:t xml:space="preserve">Partindo-se para a análise de regressão linear múltipla, cabe elucidar que o modelo de regressão foi aplicado para dois conjuntos de observações: (1) buscou-se verificar as relações entre a variável dependente (IMPG) e as variáveis independentes (BM, UGC (nível 1), UGC (nível 2), TURN, ΔFCO, ROA, GOOD, ALAFIN) para todas as observações que compõem a </w:t>
      </w:r>
      <w:r w:rsidRPr="00D87F6E">
        <w:lastRenderedPageBreak/>
        <w:t xml:space="preserve">amostra final, ou seja, para todas as 102 empresas que apresentaram saldo de </w:t>
      </w:r>
      <w:r w:rsidRPr="00D87F6E">
        <w:rPr>
          <w:i/>
        </w:rPr>
        <w:t>goodwill</w:t>
      </w:r>
      <w:r w:rsidRPr="00D87F6E">
        <w:t xml:space="preserve"> resultante de combinação de negócios, independentemente, destas terem reconhecido perdas por </w:t>
      </w:r>
      <w:r w:rsidRPr="00D87F6E">
        <w:rPr>
          <w:i/>
        </w:rPr>
        <w:t>impairment</w:t>
      </w:r>
      <w:r w:rsidR="006D0071" w:rsidRPr="00D87F6E">
        <w:t>desse</w:t>
      </w:r>
      <w:r w:rsidRPr="00D87F6E">
        <w:t xml:space="preserve"> ativo, em 2015, ou não; (2) buscou-se verificar as relações entre a variável dependente (IMPG) e as variáveis independentes (BM, UGC (nível 1), UGC (nível 2), TURN, ΔFCO, ROA, GOOD, ALAFIN) apenas para as 18 empresas que reconheceram perdas por </w:t>
      </w:r>
      <w:r w:rsidRPr="00D87F6E">
        <w:rPr>
          <w:i/>
        </w:rPr>
        <w:t>impairment</w:t>
      </w:r>
      <w:r w:rsidRPr="00D87F6E">
        <w:t xml:space="preserve"> do</w:t>
      </w:r>
      <w:r w:rsidRPr="00D87F6E">
        <w:rPr>
          <w:i/>
        </w:rPr>
        <w:t xml:space="preserve"> goodwill</w:t>
      </w:r>
      <w:r w:rsidRPr="00D87F6E">
        <w:t xml:space="preserve"> em 2015.</w:t>
      </w:r>
    </w:p>
    <w:p w:rsidR="00D76DB3" w:rsidRPr="00D87F6E" w:rsidRDefault="00D76DB3" w:rsidP="00080401">
      <w:r w:rsidRPr="00D87F6E">
        <w:t xml:space="preserve">A Tabela 4 traz os resultados encontrados para a aplicação do modelo de regressão considerando-se todas as 102 empresas que apresentaram saldo de </w:t>
      </w:r>
      <w:r w:rsidRPr="00D87F6E">
        <w:rPr>
          <w:i/>
        </w:rPr>
        <w:t>goodwill</w:t>
      </w:r>
      <w:r w:rsidRPr="00D87F6E">
        <w:t xml:space="preserve"> resultante de combinação de negócios, independentemente de terem reconhecido perdas por </w:t>
      </w:r>
      <w:r w:rsidRPr="00D87F6E">
        <w:rPr>
          <w:i/>
        </w:rPr>
        <w:t>impairment</w:t>
      </w:r>
      <w:r w:rsidR="006D0071" w:rsidRPr="00D87F6E">
        <w:t xml:space="preserve">desse </w:t>
      </w:r>
      <w:r w:rsidRPr="00D87F6E">
        <w:t xml:space="preserve">ativo, em 2015. Com isso, buscaram-se explicações para o reconhecimento das perdas por </w:t>
      </w:r>
      <w:r w:rsidRPr="00D87F6E">
        <w:rPr>
          <w:i/>
        </w:rPr>
        <w:t>impairment</w:t>
      </w:r>
      <w:r w:rsidRPr="00D87F6E">
        <w:t xml:space="preserve"> do</w:t>
      </w:r>
      <w:r w:rsidRPr="00D87F6E">
        <w:rPr>
          <w:i/>
        </w:rPr>
        <w:t xml:space="preserve"> goodwill</w:t>
      </w:r>
      <w:r w:rsidRPr="00D87F6E">
        <w:t xml:space="preserve"> entre as empresas que reconheceram e as qu</w:t>
      </w:r>
      <w:r w:rsidR="003A6076" w:rsidRPr="00D87F6E">
        <w:t>e não reconheceram tais perdas.</w:t>
      </w:r>
    </w:p>
    <w:p w:rsidR="006D0071" w:rsidRPr="00D87F6E" w:rsidRDefault="006D0071" w:rsidP="00080401"/>
    <w:p w:rsidR="00D76DB3" w:rsidRPr="00D87F6E" w:rsidRDefault="00D76DB3" w:rsidP="00080401">
      <w:pPr>
        <w:ind w:firstLine="0"/>
        <w:jc w:val="center"/>
        <w:rPr>
          <w:b/>
        </w:rPr>
      </w:pPr>
      <w:r w:rsidRPr="00D87F6E">
        <w:rPr>
          <w:b/>
        </w:rPr>
        <w:t>Tabela 4 – Resultados da regressão linear múltipla para todas as empresas que reconheceram</w:t>
      </w:r>
      <w:r w:rsidRPr="00D87F6E">
        <w:rPr>
          <w:b/>
          <w:i/>
        </w:rPr>
        <w:t xml:space="preserve"> goodwill</w:t>
      </w:r>
      <w:r w:rsidRPr="00D87F6E">
        <w:rPr>
          <w:b/>
        </w:rPr>
        <w:t xml:space="preserve"> (variável dependente: perdas por </w:t>
      </w:r>
      <w:r w:rsidRPr="00D87F6E">
        <w:rPr>
          <w:b/>
          <w:i/>
        </w:rPr>
        <w:t>impairment</w:t>
      </w:r>
      <w:r w:rsidRPr="00D87F6E">
        <w:rPr>
          <w:b/>
        </w:rPr>
        <w:t xml:space="preserve"> no</w:t>
      </w:r>
      <w:r w:rsidRPr="00D87F6E">
        <w:rPr>
          <w:b/>
          <w:i/>
        </w:rPr>
        <w:t xml:space="preserve"> goodwill</w:t>
      </w:r>
      <w:r w:rsidRPr="00D87F6E">
        <w:rPr>
          <w:b/>
        </w:rPr>
        <w:t>)</w:t>
      </w:r>
    </w:p>
    <w:tbl>
      <w:tblPr>
        <w:tblW w:w="0" w:type="auto"/>
        <w:tblLook w:val="04A0"/>
      </w:tblPr>
      <w:tblGrid>
        <w:gridCol w:w="2254"/>
        <w:gridCol w:w="2222"/>
        <w:gridCol w:w="1689"/>
        <w:gridCol w:w="1693"/>
        <w:gridCol w:w="1547"/>
      </w:tblGrid>
      <w:tr w:rsidR="00D80C8D" w:rsidRPr="00D87F6E" w:rsidTr="00C002DB">
        <w:tc>
          <w:tcPr>
            <w:tcW w:w="2254" w:type="dxa"/>
            <w:tcBorders>
              <w:top w:val="single" w:sz="4" w:space="0" w:color="auto"/>
              <w:bottom w:val="single" w:sz="4" w:space="0" w:color="auto"/>
              <w:right w:val="single" w:sz="4" w:space="0" w:color="auto"/>
            </w:tcBorders>
            <w:shd w:val="clear" w:color="auto" w:fill="FFFFFF"/>
            <w:vAlign w:val="center"/>
          </w:tcPr>
          <w:p w:rsidR="00D76DB3" w:rsidRPr="00D87F6E" w:rsidRDefault="00D76DB3" w:rsidP="00080401">
            <w:pPr>
              <w:ind w:firstLine="0"/>
              <w:jc w:val="center"/>
              <w:rPr>
                <w:b/>
                <w:i/>
                <w:iCs/>
                <w:sz w:val="20"/>
              </w:rPr>
            </w:pPr>
            <w:r w:rsidRPr="00D87F6E">
              <w:rPr>
                <w:b/>
                <w:iCs/>
                <w:sz w:val="20"/>
              </w:rPr>
              <w:t>Variáveis</w:t>
            </w:r>
          </w:p>
        </w:tc>
        <w:tc>
          <w:tcPr>
            <w:tcW w:w="2222" w:type="dxa"/>
            <w:tcBorders>
              <w:top w:val="single" w:sz="4" w:space="0" w:color="auto"/>
              <w:left w:val="single" w:sz="4" w:space="0" w:color="auto"/>
              <w:bottom w:val="single" w:sz="4" w:space="0" w:color="auto"/>
              <w:right w:val="single" w:sz="4" w:space="0" w:color="auto"/>
            </w:tcBorders>
            <w:shd w:val="clear" w:color="auto" w:fill="FFFFFF"/>
            <w:vAlign w:val="center"/>
          </w:tcPr>
          <w:p w:rsidR="00D76DB3" w:rsidRPr="00D87F6E" w:rsidRDefault="00D76DB3" w:rsidP="00080401">
            <w:pPr>
              <w:ind w:firstLine="0"/>
              <w:jc w:val="center"/>
              <w:rPr>
                <w:b/>
                <w:i/>
                <w:iCs/>
                <w:sz w:val="20"/>
              </w:rPr>
            </w:pPr>
            <w:r w:rsidRPr="00D87F6E">
              <w:rPr>
                <w:b/>
                <w:iCs/>
                <w:sz w:val="20"/>
              </w:rPr>
              <w:t>Coeficientes angulares</w:t>
            </w:r>
          </w:p>
        </w:tc>
        <w:tc>
          <w:tcPr>
            <w:tcW w:w="1689" w:type="dxa"/>
            <w:tcBorders>
              <w:top w:val="single" w:sz="4" w:space="0" w:color="auto"/>
              <w:left w:val="single" w:sz="4" w:space="0" w:color="auto"/>
              <w:bottom w:val="single" w:sz="4" w:space="0" w:color="auto"/>
              <w:right w:val="single" w:sz="4" w:space="0" w:color="auto"/>
            </w:tcBorders>
            <w:shd w:val="clear" w:color="auto" w:fill="FFFFFF"/>
            <w:vAlign w:val="center"/>
          </w:tcPr>
          <w:p w:rsidR="00D76DB3" w:rsidRPr="00D87F6E" w:rsidRDefault="00D76DB3" w:rsidP="00080401">
            <w:pPr>
              <w:ind w:firstLine="0"/>
              <w:jc w:val="center"/>
              <w:rPr>
                <w:b/>
                <w:i/>
                <w:iCs/>
                <w:sz w:val="20"/>
              </w:rPr>
            </w:pPr>
            <w:r w:rsidRPr="00D87F6E">
              <w:rPr>
                <w:b/>
                <w:iCs/>
                <w:sz w:val="20"/>
              </w:rPr>
              <w:t xml:space="preserve">P </w:t>
            </w:r>
            <w:r w:rsidRPr="00D87F6E">
              <w:rPr>
                <w:b/>
                <w:i/>
                <w:iCs/>
                <w:sz w:val="20"/>
              </w:rPr>
              <w:t>Value</w:t>
            </w:r>
          </w:p>
        </w:tc>
        <w:tc>
          <w:tcPr>
            <w:tcW w:w="1693" w:type="dxa"/>
            <w:tcBorders>
              <w:top w:val="single" w:sz="4" w:space="0" w:color="auto"/>
              <w:left w:val="single" w:sz="4" w:space="0" w:color="auto"/>
              <w:bottom w:val="single" w:sz="4" w:space="0" w:color="auto"/>
              <w:right w:val="single" w:sz="4" w:space="0" w:color="auto"/>
            </w:tcBorders>
            <w:shd w:val="clear" w:color="auto" w:fill="FFFFFF"/>
            <w:vAlign w:val="center"/>
          </w:tcPr>
          <w:p w:rsidR="00D76DB3" w:rsidRPr="00D87F6E" w:rsidRDefault="00D76DB3" w:rsidP="00080401">
            <w:pPr>
              <w:ind w:firstLine="0"/>
              <w:jc w:val="center"/>
              <w:rPr>
                <w:b/>
                <w:i/>
                <w:iCs/>
                <w:sz w:val="20"/>
              </w:rPr>
            </w:pPr>
            <w:r w:rsidRPr="00D87F6E">
              <w:rPr>
                <w:b/>
                <w:i/>
                <w:iCs/>
                <w:sz w:val="20"/>
              </w:rPr>
              <w:t>Tolerance</w:t>
            </w:r>
          </w:p>
        </w:tc>
        <w:tc>
          <w:tcPr>
            <w:tcW w:w="1547" w:type="dxa"/>
            <w:tcBorders>
              <w:top w:val="single" w:sz="4" w:space="0" w:color="auto"/>
              <w:left w:val="single" w:sz="4" w:space="0" w:color="auto"/>
              <w:bottom w:val="single" w:sz="4" w:space="0" w:color="auto"/>
            </w:tcBorders>
            <w:shd w:val="clear" w:color="auto" w:fill="FFFFFF"/>
            <w:vAlign w:val="center"/>
          </w:tcPr>
          <w:p w:rsidR="00D76DB3" w:rsidRPr="00D87F6E" w:rsidRDefault="00D76DB3" w:rsidP="00080401">
            <w:pPr>
              <w:ind w:firstLine="0"/>
              <w:jc w:val="center"/>
              <w:rPr>
                <w:b/>
                <w:i/>
                <w:iCs/>
                <w:sz w:val="20"/>
              </w:rPr>
            </w:pPr>
            <w:r w:rsidRPr="00D87F6E">
              <w:rPr>
                <w:b/>
                <w:iCs/>
                <w:sz w:val="20"/>
              </w:rPr>
              <w:t>VIF</w:t>
            </w:r>
          </w:p>
        </w:tc>
      </w:tr>
      <w:tr w:rsidR="00D80C8D" w:rsidRPr="00D87F6E" w:rsidTr="00C002DB">
        <w:tc>
          <w:tcPr>
            <w:tcW w:w="2254" w:type="dxa"/>
            <w:tcBorders>
              <w:top w:val="single" w:sz="4" w:space="0" w:color="auto"/>
              <w:right w:val="single" w:sz="4" w:space="0" w:color="auto"/>
            </w:tcBorders>
            <w:shd w:val="clear" w:color="auto" w:fill="FFFFFF"/>
            <w:vAlign w:val="center"/>
          </w:tcPr>
          <w:p w:rsidR="00D76DB3" w:rsidRPr="00D87F6E" w:rsidRDefault="00D76DB3" w:rsidP="00080401">
            <w:pPr>
              <w:ind w:firstLine="0"/>
              <w:jc w:val="center"/>
              <w:rPr>
                <w:b/>
                <w:i/>
                <w:iCs/>
                <w:sz w:val="20"/>
              </w:rPr>
            </w:pPr>
            <w:r w:rsidRPr="00D87F6E">
              <w:rPr>
                <w:b/>
                <w:iCs/>
                <w:sz w:val="20"/>
              </w:rPr>
              <w:t>BM</w:t>
            </w:r>
          </w:p>
        </w:tc>
        <w:tc>
          <w:tcPr>
            <w:tcW w:w="2222" w:type="dxa"/>
            <w:tcBorders>
              <w:top w:val="single" w:sz="4" w:space="0" w:color="auto"/>
              <w:left w:val="single" w:sz="4" w:space="0" w:color="auto"/>
              <w:right w:val="single" w:sz="4" w:space="0" w:color="auto"/>
            </w:tcBorders>
            <w:shd w:val="clear" w:color="auto" w:fill="F2F2F2"/>
            <w:vAlign w:val="center"/>
          </w:tcPr>
          <w:p w:rsidR="00D76DB3" w:rsidRPr="00D87F6E" w:rsidRDefault="00D76DB3" w:rsidP="00080401">
            <w:pPr>
              <w:ind w:firstLine="0"/>
              <w:jc w:val="center"/>
              <w:rPr>
                <w:rFonts w:eastAsia="Calibri"/>
                <w:sz w:val="20"/>
              </w:rPr>
            </w:pPr>
            <w:r w:rsidRPr="00D87F6E">
              <w:rPr>
                <w:rFonts w:eastAsia="Calibri"/>
                <w:sz w:val="20"/>
              </w:rPr>
              <w:t>0,139</w:t>
            </w:r>
          </w:p>
        </w:tc>
        <w:tc>
          <w:tcPr>
            <w:tcW w:w="1689" w:type="dxa"/>
            <w:tcBorders>
              <w:top w:val="single" w:sz="4" w:space="0" w:color="auto"/>
              <w:left w:val="single" w:sz="4" w:space="0" w:color="auto"/>
              <w:right w:val="single" w:sz="4" w:space="0" w:color="auto"/>
            </w:tcBorders>
            <w:shd w:val="clear" w:color="auto" w:fill="F2F2F2"/>
            <w:vAlign w:val="center"/>
          </w:tcPr>
          <w:p w:rsidR="00D76DB3" w:rsidRPr="00D87F6E" w:rsidRDefault="00D76DB3" w:rsidP="00080401">
            <w:pPr>
              <w:ind w:firstLine="0"/>
              <w:jc w:val="center"/>
              <w:rPr>
                <w:rFonts w:eastAsia="Calibri"/>
                <w:sz w:val="20"/>
              </w:rPr>
            </w:pPr>
            <w:r w:rsidRPr="00D87F6E">
              <w:rPr>
                <w:rFonts w:eastAsia="Calibri"/>
                <w:sz w:val="20"/>
              </w:rPr>
              <w:t>0,070</w:t>
            </w:r>
          </w:p>
        </w:tc>
        <w:tc>
          <w:tcPr>
            <w:tcW w:w="1693" w:type="dxa"/>
            <w:tcBorders>
              <w:top w:val="single" w:sz="4" w:space="0" w:color="auto"/>
              <w:left w:val="single" w:sz="4" w:space="0" w:color="auto"/>
              <w:right w:val="single" w:sz="4" w:space="0" w:color="auto"/>
            </w:tcBorders>
            <w:shd w:val="clear" w:color="auto" w:fill="F2F2F2"/>
            <w:vAlign w:val="center"/>
          </w:tcPr>
          <w:p w:rsidR="00D76DB3" w:rsidRPr="00D87F6E" w:rsidRDefault="00D76DB3" w:rsidP="00080401">
            <w:pPr>
              <w:ind w:firstLine="0"/>
              <w:jc w:val="center"/>
              <w:rPr>
                <w:rFonts w:eastAsia="Calibri"/>
                <w:sz w:val="20"/>
              </w:rPr>
            </w:pPr>
            <w:r w:rsidRPr="00D87F6E">
              <w:rPr>
                <w:rFonts w:eastAsia="Calibri"/>
                <w:sz w:val="20"/>
              </w:rPr>
              <w:t>0,879</w:t>
            </w:r>
          </w:p>
        </w:tc>
        <w:tc>
          <w:tcPr>
            <w:tcW w:w="1547" w:type="dxa"/>
            <w:tcBorders>
              <w:top w:val="single" w:sz="4" w:space="0" w:color="auto"/>
              <w:left w:val="single" w:sz="4" w:space="0" w:color="auto"/>
            </w:tcBorders>
            <w:shd w:val="clear" w:color="auto" w:fill="F2F2F2"/>
            <w:vAlign w:val="center"/>
          </w:tcPr>
          <w:p w:rsidR="00D76DB3" w:rsidRPr="00D87F6E" w:rsidRDefault="00D76DB3" w:rsidP="00080401">
            <w:pPr>
              <w:ind w:firstLine="0"/>
              <w:jc w:val="center"/>
              <w:rPr>
                <w:rFonts w:eastAsia="Calibri"/>
                <w:sz w:val="20"/>
              </w:rPr>
            </w:pPr>
            <w:r w:rsidRPr="00D87F6E">
              <w:rPr>
                <w:rFonts w:eastAsia="Calibri"/>
                <w:sz w:val="20"/>
              </w:rPr>
              <w:t>1,137</w:t>
            </w:r>
          </w:p>
        </w:tc>
      </w:tr>
      <w:tr w:rsidR="00D80C8D" w:rsidRPr="00D87F6E" w:rsidTr="00C002DB">
        <w:tc>
          <w:tcPr>
            <w:tcW w:w="2254" w:type="dxa"/>
            <w:tcBorders>
              <w:right w:val="single" w:sz="4" w:space="0" w:color="auto"/>
            </w:tcBorders>
            <w:shd w:val="clear" w:color="auto" w:fill="FFFFFF"/>
            <w:vAlign w:val="center"/>
          </w:tcPr>
          <w:p w:rsidR="00D76DB3" w:rsidRPr="00D87F6E" w:rsidRDefault="00D76DB3" w:rsidP="00080401">
            <w:pPr>
              <w:ind w:firstLine="0"/>
              <w:jc w:val="center"/>
              <w:rPr>
                <w:b/>
                <w:i/>
                <w:iCs/>
                <w:sz w:val="20"/>
              </w:rPr>
            </w:pPr>
            <w:r w:rsidRPr="00D87F6E">
              <w:rPr>
                <w:b/>
                <w:iCs/>
                <w:sz w:val="20"/>
              </w:rPr>
              <w:t>UGC (nível 1)</w:t>
            </w:r>
          </w:p>
        </w:tc>
        <w:tc>
          <w:tcPr>
            <w:tcW w:w="2222" w:type="dxa"/>
            <w:tcBorders>
              <w:left w:val="single" w:sz="4" w:space="0" w:color="auto"/>
              <w:right w:val="single" w:sz="4" w:space="0" w:color="auto"/>
            </w:tcBorders>
            <w:shd w:val="clear" w:color="auto" w:fill="auto"/>
            <w:vAlign w:val="center"/>
          </w:tcPr>
          <w:p w:rsidR="00D76DB3" w:rsidRPr="00D87F6E" w:rsidRDefault="00D76DB3" w:rsidP="00080401">
            <w:pPr>
              <w:ind w:firstLine="0"/>
              <w:jc w:val="center"/>
              <w:rPr>
                <w:rFonts w:eastAsia="Calibri"/>
                <w:sz w:val="20"/>
              </w:rPr>
            </w:pPr>
            <w:r w:rsidRPr="00D87F6E">
              <w:rPr>
                <w:rFonts w:eastAsia="Calibri"/>
                <w:sz w:val="20"/>
              </w:rPr>
              <w:t>-0,183</w:t>
            </w:r>
          </w:p>
        </w:tc>
        <w:tc>
          <w:tcPr>
            <w:tcW w:w="1689" w:type="dxa"/>
            <w:tcBorders>
              <w:left w:val="single" w:sz="4" w:space="0" w:color="auto"/>
              <w:right w:val="single" w:sz="4" w:space="0" w:color="auto"/>
            </w:tcBorders>
            <w:shd w:val="clear" w:color="auto" w:fill="auto"/>
            <w:vAlign w:val="center"/>
          </w:tcPr>
          <w:p w:rsidR="00D76DB3" w:rsidRPr="00D87F6E" w:rsidRDefault="00D76DB3" w:rsidP="00080401">
            <w:pPr>
              <w:ind w:firstLine="0"/>
              <w:jc w:val="center"/>
              <w:rPr>
                <w:rFonts w:eastAsia="Calibri"/>
                <w:sz w:val="20"/>
              </w:rPr>
            </w:pPr>
            <w:r w:rsidRPr="00D87F6E">
              <w:rPr>
                <w:rFonts w:eastAsia="Calibri"/>
                <w:sz w:val="20"/>
              </w:rPr>
              <w:t>0,390</w:t>
            </w:r>
          </w:p>
        </w:tc>
        <w:tc>
          <w:tcPr>
            <w:tcW w:w="1693" w:type="dxa"/>
            <w:tcBorders>
              <w:left w:val="single" w:sz="4" w:space="0" w:color="auto"/>
              <w:right w:val="single" w:sz="4" w:space="0" w:color="auto"/>
            </w:tcBorders>
            <w:shd w:val="clear" w:color="auto" w:fill="auto"/>
            <w:vAlign w:val="center"/>
          </w:tcPr>
          <w:p w:rsidR="00D76DB3" w:rsidRPr="00D87F6E" w:rsidRDefault="00D76DB3" w:rsidP="00080401">
            <w:pPr>
              <w:ind w:firstLine="0"/>
              <w:jc w:val="center"/>
              <w:rPr>
                <w:rFonts w:eastAsia="Calibri"/>
                <w:sz w:val="20"/>
              </w:rPr>
            </w:pPr>
            <w:r w:rsidRPr="00D87F6E">
              <w:rPr>
                <w:rFonts w:eastAsia="Calibri"/>
                <w:sz w:val="20"/>
              </w:rPr>
              <w:t>0,113</w:t>
            </w:r>
          </w:p>
        </w:tc>
        <w:tc>
          <w:tcPr>
            <w:tcW w:w="1547" w:type="dxa"/>
            <w:tcBorders>
              <w:left w:val="single" w:sz="4" w:space="0" w:color="auto"/>
            </w:tcBorders>
            <w:shd w:val="clear" w:color="auto" w:fill="auto"/>
            <w:vAlign w:val="center"/>
          </w:tcPr>
          <w:p w:rsidR="00D76DB3" w:rsidRPr="00D87F6E" w:rsidRDefault="00D76DB3" w:rsidP="00080401">
            <w:pPr>
              <w:ind w:firstLine="0"/>
              <w:jc w:val="center"/>
              <w:rPr>
                <w:rFonts w:eastAsia="Calibri"/>
                <w:sz w:val="20"/>
              </w:rPr>
            </w:pPr>
            <w:r w:rsidRPr="00D87F6E">
              <w:rPr>
                <w:rFonts w:eastAsia="Calibri"/>
                <w:sz w:val="20"/>
              </w:rPr>
              <w:t>8,838</w:t>
            </w:r>
          </w:p>
        </w:tc>
      </w:tr>
      <w:tr w:rsidR="00D80C8D" w:rsidRPr="00D87F6E" w:rsidTr="00C002DB">
        <w:tc>
          <w:tcPr>
            <w:tcW w:w="2254" w:type="dxa"/>
            <w:tcBorders>
              <w:right w:val="single" w:sz="4" w:space="0" w:color="auto"/>
            </w:tcBorders>
            <w:shd w:val="clear" w:color="auto" w:fill="FFFFFF"/>
            <w:vAlign w:val="center"/>
          </w:tcPr>
          <w:p w:rsidR="00D76DB3" w:rsidRPr="00D87F6E" w:rsidRDefault="00D76DB3" w:rsidP="00080401">
            <w:pPr>
              <w:ind w:firstLine="0"/>
              <w:jc w:val="center"/>
              <w:rPr>
                <w:b/>
                <w:i/>
                <w:iCs/>
                <w:sz w:val="20"/>
              </w:rPr>
            </w:pPr>
            <w:r w:rsidRPr="00D87F6E">
              <w:rPr>
                <w:b/>
                <w:iCs/>
                <w:sz w:val="20"/>
              </w:rPr>
              <w:t>UGC (nível 2)</w:t>
            </w:r>
          </w:p>
        </w:tc>
        <w:tc>
          <w:tcPr>
            <w:tcW w:w="2222" w:type="dxa"/>
            <w:tcBorders>
              <w:left w:val="single" w:sz="4" w:space="0" w:color="auto"/>
              <w:right w:val="single" w:sz="4" w:space="0" w:color="auto"/>
            </w:tcBorders>
            <w:shd w:val="clear" w:color="auto" w:fill="F2F2F2"/>
            <w:vAlign w:val="center"/>
          </w:tcPr>
          <w:p w:rsidR="00D76DB3" w:rsidRPr="00D87F6E" w:rsidRDefault="00D76DB3" w:rsidP="00080401">
            <w:pPr>
              <w:ind w:firstLine="0"/>
              <w:jc w:val="center"/>
              <w:rPr>
                <w:rFonts w:eastAsia="Calibri"/>
                <w:sz w:val="20"/>
              </w:rPr>
            </w:pPr>
            <w:r w:rsidRPr="00D87F6E">
              <w:rPr>
                <w:rFonts w:eastAsia="Calibri"/>
                <w:sz w:val="20"/>
              </w:rPr>
              <w:t>-0,195</w:t>
            </w:r>
          </w:p>
        </w:tc>
        <w:tc>
          <w:tcPr>
            <w:tcW w:w="1689" w:type="dxa"/>
            <w:tcBorders>
              <w:left w:val="single" w:sz="4" w:space="0" w:color="auto"/>
              <w:right w:val="single" w:sz="4" w:space="0" w:color="auto"/>
            </w:tcBorders>
            <w:shd w:val="clear" w:color="auto" w:fill="F2F2F2"/>
            <w:vAlign w:val="center"/>
          </w:tcPr>
          <w:p w:rsidR="00D76DB3" w:rsidRPr="00D87F6E" w:rsidRDefault="00D76DB3" w:rsidP="00080401">
            <w:pPr>
              <w:ind w:firstLine="0"/>
              <w:jc w:val="center"/>
              <w:rPr>
                <w:rFonts w:eastAsia="Calibri"/>
                <w:sz w:val="20"/>
              </w:rPr>
            </w:pPr>
            <w:r w:rsidRPr="00D87F6E">
              <w:rPr>
                <w:rFonts w:eastAsia="Calibri"/>
                <w:sz w:val="20"/>
              </w:rPr>
              <w:t>0,364</w:t>
            </w:r>
          </w:p>
        </w:tc>
        <w:tc>
          <w:tcPr>
            <w:tcW w:w="1693" w:type="dxa"/>
            <w:tcBorders>
              <w:left w:val="single" w:sz="4" w:space="0" w:color="auto"/>
              <w:right w:val="single" w:sz="4" w:space="0" w:color="auto"/>
            </w:tcBorders>
            <w:shd w:val="clear" w:color="auto" w:fill="F2F2F2"/>
            <w:vAlign w:val="center"/>
          </w:tcPr>
          <w:p w:rsidR="00D76DB3" w:rsidRPr="00D87F6E" w:rsidRDefault="00D76DB3" w:rsidP="00080401">
            <w:pPr>
              <w:ind w:firstLine="0"/>
              <w:jc w:val="center"/>
              <w:rPr>
                <w:rFonts w:eastAsia="Calibri"/>
                <w:sz w:val="20"/>
              </w:rPr>
            </w:pPr>
            <w:r w:rsidRPr="00D87F6E">
              <w:rPr>
                <w:rFonts w:eastAsia="Calibri"/>
                <w:sz w:val="20"/>
              </w:rPr>
              <w:t>0,110</w:t>
            </w:r>
          </w:p>
        </w:tc>
        <w:tc>
          <w:tcPr>
            <w:tcW w:w="1547" w:type="dxa"/>
            <w:tcBorders>
              <w:left w:val="single" w:sz="4" w:space="0" w:color="auto"/>
            </w:tcBorders>
            <w:shd w:val="clear" w:color="auto" w:fill="F2F2F2"/>
            <w:vAlign w:val="center"/>
          </w:tcPr>
          <w:p w:rsidR="00D76DB3" w:rsidRPr="00D87F6E" w:rsidRDefault="00D76DB3" w:rsidP="00080401">
            <w:pPr>
              <w:ind w:firstLine="0"/>
              <w:jc w:val="center"/>
              <w:rPr>
                <w:rFonts w:eastAsia="Calibri"/>
                <w:sz w:val="20"/>
              </w:rPr>
            </w:pPr>
            <w:r w:rsidRPr="00D87F6E">
              <w:rPr>
                <w:rFonts w:eastAsia="Calibri"/>
                <w:sz w:val="20"/>
              </w:rPr>
              <w:t>9,066</w:t>
            </w:r>
          </w:p>
        </w:tc>
      </w:tr>
      <w:tr w:rsidR="00D80C8D" w:rsidRPr="00D87F6E" w:rsidTr="00C002DB">
        <w:tc>
          <w:tcPr>
            <w:tcW w:w="2254" w:type="dxa"/>
            <w:tcBorders>
              <w:right w:val="single" w:sz="4" w:space="0" w:color="auto"/>
            </w:tcBorders>
            <w:shd w:val="clear" w:color="auto" w:fill="FFFFFF"/>
            <w:vAlign w:val="center"/>
          </w:tcPr>
          <w:p w:rsidR="00D76DB3" w:rsidRPr="00D87F6E" w:rsidRDefault="00D76DB3" w:rsidP="00080401">
            <w:pPr>
              <w:ind w:firstLine="0"/>
              <w:jc w:val="center"/>
              <w:rPr>
                <w:b/>
                <w:i/>
                <w:iCs/>
                <w:sz w:val="20"/>
              </w:rPr>
            </w:pPr>
            <w:r w:rsidRPr="00D87F6E">
              <w:rPr>
                <w:b/>
                <w:iCs/>
                <w:sz w:val="20"/>
              </w:rPr>
              <w:t>TURN</w:t>
            </w:r>
          </w:p>
        </w:tc>
        <w:tc>
          <w:tcPr>
            <w:tcW w:w="2222" w:type="dxa"/>
            <w:tcBorders>
              <w:left w:val="single" w:sz="4" w:space="0" w:color="auto"/>
              <w:right w:val="single" w:sz="4" w:space="0" w:color="auto"/>
            </w:tcBorders>
            <w:shd w:val="clear" w:color="auto" w:fill="auto"/>
            <w:vAlign w:val="center"/>
          </w:tcPr>
          <w:p w:rsidR="00D76DB3" w:rsidRPr="00D87F6E" w:rsidRDefault="00D76DB3" w:rsidP="00080401">
            <w:pPr>
              <w:ind w:firstLine="0"/>
              <w:jc w:val="center"/>
              <w:rPr>
                <w:rFonts w:eastAsia="Calibri"/>
                <w:sz w:val="20"/>
              </w:rPr>
            </w:pPr>
            <w:r w:rsidRPr="00D87F6E">
              <w:rPr>
                <w:rFonts w:eastAsia="Calibri"/>
                <w:sz w:val="20"/>
              </w:rPr>
              <w:t>0,007</w:t>
            </w:r>
          </w:p>
        </w:tc>
        <w:tc>
          <w:tcPr>
            <w:tcW w:w="1689" w:type="dxa"/>
            <w:tcBorders>
              <w:left w:val="single" w:sz="4" w:space="0" w:color="auto"/>
              <w:right w:val="single" w:sz="4" w:space="0" w:color="auto"/>
            </w:tcBorders>
            <w:shd w:val="clear" w:color="auto" w:fill="auto"/>
            <w:vAlign w:val="center"/>
          </w:tcPr>
          <w:p w:rsidR="00D76DB3" w:rsidRPr="00D87F6E" w:rsidRDefault="00D76DB3" w:rsidP="00080401">
            <w:pPr>
              <w:ind w:firstLine="0"/>
              <w:jc w:val="center"/>
              <w:rPr>
                <w:rFonts w:eastAsia="Calibri"/>
                <w:sz w:val="20"/>
              </w:rPr>
            </w:pPr>
            <w:r w:rsidRPr="00D87F6E">
              <w:rPr>
                <w:rFonts w:eastAsia="Calibri"/>
                <w:sz w:val="20"/>
              </w:rPr>
              <w:t>0,927</w:t>
            </w:r>
          </w:p>
        </w:tc>
        <w:tc>
          <w:tcPr>
            <w:tcW w:w="1693" w:type="dxa"/>
            <w:tcBorders>
              <w:left w:val="single" w:sz="4" w:space="0" w:color="auto"/>
              <w:right w:val="single" w:sz="4" w:space="0" w:color="auto"/>
            </w:tcBorders>
            <w:shd w:val="clear" w:color="auto" w:fill="auto"/>
            <w:vAlign w:val="center"/>
          </w:tcPr>
          <w:p w:rsidR="00D76DB3" w:rsidRPr="00D87F6E" w:rsidRDefault="00D76DB3" w:rsidP="00080401">
            <w:pPr>
              <w:ind w:firstLine="0"/>
              <w:jc w:val="center"/>
              <w:rPr>
                <w:rFonts w:eastAsia="Calibri"/>
                <w:sz w:val="20"/>
              </w:rPr>
            </w:pPr>
            <w:r w:rsidRPr="00D87F6E">
              <w:rPr>
                <w:rFonts w:eastAsia="Calibri"/>
                <w:sz w:val="20"/>
              </w:rPr>
              <w:t>0,972</w:t>
            </w:r>
          </w:p>
        </w:tc>
        <w:tc>
          <w:tcPr>
            <w:tcW w:w="1547" w:type="dxa"/>
            <w:tcBorders>
              <w:left w:val="single" w:sz="4" w:space="0" w:color="auto"/>
            </w:tcBorders>
            <w:shd w:val="clear" w:color="auto" w:fill="auto"/>
            <w:vAlign w:val="center"/>
          </w:tcPr>
          <w:p w:rsidR="00D76DB3" w:rsidRPr="00D87F6E" w:rsidRDefault="00D76DB3" w:rsidP="00080401">
            <w:pPr>
              <w:ind w:firstLine="0"/>
              <w:jc w:val="center"/>
              <w:rPr>
                <w:rFonts w:eastAsia="Calibri"/>
                <w:sz w:val="20"/>
              </w:rPr>
            </w:pPr>
            <w:r w:rsidRPr="00D87F6E">
              <w:rPr>
                <w:rFonts w:eastAsia="Calibri"/>
                <w:sz w:val="20"/>
              </w:rPr>
              <w:t>1,029</w:t>
            </w:r>
          </w:p>
        </w:tc>
      </w:tr>
      <w:tr w:rsidR="00D80C8D" w:rsidRPr="00D87F6E" w:rsidTr="00C002DB">
        <w:tc>
          <w:tcPr>
            <w:tcW w:w="2254" w:type="dxa"/>
            <w:tcBorders>
              <w:right w:val="single" w:sz="4" w:space="0" w:color="auto"/>
            </w:tcBorders>
            <w:shd w:val="clear" w:color="auto" w:fill="FFFFFF"/>
            <w:vAlign w:val="center"/>
          </w:tcPr>
          <w:p w:rsidR="00D76DB3" w:rsidRPr="00D87F6E" w:rsidRDefault="00D76DB3" w:rsidP="00080401">
            <w:pPr>
              <w:ind w:firstLine="0"/>
              <w:jc w:val="center"/>
              <w:rPr>
                <w:b/>
                <w:i/>
                <w:iCs/>
                <w:sz w:val="20"/>
              </w:rPr>
            </w:pPr>
            <w:r w:rsidRPr="00D87F6E">
              <w:rPr>
                <w:b/>
                <w:iCs/>
                <w:sz w:val="20"/>
              </w:rPr>
              <w:t>ΔFCO</w:t>
            </w:r>
          </w:p>
        </w:tc>
        <w:tc>
          <w:tcPr>
            <w:tcW w:w="2222" w:type="dxa"/>
            <w:tcBorders>
              <w:left w:val="single" w:sz="4" w:space="0" w:color="auto"/>
              <w:right w:val="single" w:sz="4" w:space="0" w:color="auto"/>
            </w:tcBorders>
            <w:shd w:val="clear" w:color="auto" w:fill="F2F2F2"/>
            <w:vAlign w:val="center"/>
          </w:tcPr>
          <w:p w:rsidR="00D76DB3" w:rsidRPr="00D87F6E" w:rsidRDefault="00D76DB3" w:rsidP="00080401">
            <w:pPr>
              <w:ind w:firstLine="0"/>
              <w:jc w:val="center"/>
              <w:rPr>
                <w:rFonts w:eastAsia="Calibri"/>
                <w:sz w:val="20"/>
              </w:rPr>
            </w:pPr>
            <w:r w:rsidRPr="00D87F6E">
              <w:rPr>
                <w:rFonts w:eastAsia="Calibri"/>
                <w:sz w:val="20"/>
              </w:rPr>
              <w:t>0,032</w:t>
            </w:r>
          </w:p>
        </w:tc>
        <w:tc>
          <w:tcPr>
            <w:tcW w:w="1689" w:type="dxa"/>
            <w:tcBorders>
              <w:left w:val="single" w:sz="4" w:space="0" w:color="auto"/>
              <w:right w:val="single" w:sz="4" w:space="0" w:color="auto"/>
            </w:tcBorders>
            <w:shd w:val="clear" w:color="auto" w:fill="F2F2F2"/>
            <w:vAlign w:val="center"/>
          </w:tcPr>
          <w:p w:rsidR="00D76DB3" w:rsidRPr="00D87F6E" w:rsidRDefault="00D76DB3" w:rsidP="00080401">
            <w:pPr>
              <w:ind w:firstLine="0"/>
              <w:jc w:val="center"/>
              <w:rPr>
                <w:rFonts w:eastAsia="Calibri"/>
                <w:sz w:val="20"/>
              </w:rPr>
            </w:pPr>
            <w:r w:rsidRPr="00D87F6E">
              <w:rPr>
                <w:rFonts w:eastAsia="Calibri"/>
                <w:sz w:val="20"/>
              </w:rPr>
              <w:t>0,721</w:t>
            </w:r>
          </w:p>
        </w:tc>
        <w:tc>
          <w:tcPr>
            <w:tcW w:w="1693" w:type="dxa"/>
            <w:tcBorders>
              <w:left w:val="single" w:sz="4" w:space="0" w:color="auto"/>
              <w:right w:val="single" w:sz="4" w:space="0" w:color="auto"/>
            </w:tcBorders>
            <w:shd w:val="clear" w:color="auto" w:fill="F2F2F2"/>
            <w:vAlign w:val="center"/>
          </w:tcPr>
          <w:p w:rsidR="00D76DB3" w:rsidRPr="00D87F6E" w:rsidRDefault="00D76DB3" w:rsidP="00080401">
            <w:pPr>
              <w:ind w:firstLine="0"/>
              <w:jc w:val="center"/>
              <w:rPr>
                <w:rFonts w:eastAsia="Calibri"/>
                <w:sz w:val="20"/>
              </w:rPr>
            </w:pPr>
            <w:r w:rsidRPr="00D87F6E">
              <w:rPr>
                <w:rFonts w:eastAsia="Calibri"/>
                <w:sz w:val="20"/>
              </w:rPr>
              <w:t>0,627</w:t>
            </w:r>
          </w:p>
        </w:tc>
        <w:tc>
          <w:tcPr>
            <w:tcW w:w="1547" w:type="dxa"/>
            <w:tcBorders>
              <w:left w:val="single" w:sz="4" w:space="0" w:color="auto"/>
            </w:tcBorders>
            <w:shd w:val="clear" w:color="auto" w:fill="F2F2F2"/>
            <w:vAlign w:val="center"/>
          </w:tcPr>
          <w:p w:rsidR="00D76DB3" w:rsidRPr="00D87F6E" w:rsidRDefault="00D76DB3" w:rsidP="00080401">
            <w:pPr>
              <w:ind w:firstLine="0"/>
              <w:jc w:val="center"/>
              <w:rPr>
                <w:rFonts w:eastAsia="Calibri"/>
                <w:sz w:val="20"/>
              </w:rPr>
            </w:pPr>
            <w:r w:rsidRPr="00D87F6E">
              <w:rPr>
                <w:rFonts w:eastAsia="Calibri"/>
                <w:sz w:val="20"/>
              </w:rPr>
              <w:t>1,595</w:t>
            </w:r>
          </w:p>
        </w:tc>
      </w:tr>
      <w:tr w:rsidR="00D80C8D" w:rsidRPr="00D87F6E" w:rsidTr="00C002DB">
        <w:tc>
          <w:tcPr>
            <w:tcW w:w="2254" w:type="dxa"/>
            <w:tcBorders>
              <w:right w:val="single" w:sz="4" w:space="0" w:color="auto"/>
            </w:tcBorders>
            <w:shd w:val="clear" w:color="auto" w:fill="FFFFFF"/>
            <w:vAlign w:val="center"/>
          </w:tcPr>
          <w:p w:rsidR="00D76DB3" w:rsidRPr="00D87F6E" w:rsidRDefault="00D76DB3" w:rsidP="00080401">
            <w:pPr>
              <w:ind w:firstLine="0"/>
              <w:jc w:val="center"/>
              <w:rPr>
                <w:b/>
                <w:i/>
                <w:iCs/>
                <w:sz w:val="20"/>
              </w:rPr>
            </w:pPr>
            <w:r w:rsidRPr="00D87F6E">
              <w:rPr>
                <w:b/>
                <w:iCs/>
                <w:sz w:val="20"/>
              </w:rPr>
              <w:t>ROA</w:t>
            </w:r>
          </w:p>
        </w:tc>
        <w:tc>
          <w:tcPr>
            <w:tcW w:w="2222" w:type="dxa"/>
            <w:tcBorders>
              <w:left w:val="single" w:sz="4" w:space="0" w:color="auto"/>
              <w:right w:val="single" w:sz="4" w:space="0" w:color="auto"/>
            </w:tcBorders>
            <w:shd w:val="clear" w:color="auto" w:fill="auto"/>
            <w:vAlign w:val="center"/>
          </w:tcPr>
          <w:p w:rsidR="00D76DB3" w:rsidRPr="00D87F6E" w:rsidRDefault="00D76DB3" w:rsidP="00080401">
            <w:pPr>
              <w:ind w:firstLine="0"/>
              <w:jc w:val="center"/>
              <w:rPr>
                <w:rFonts w:eastAsia="Calibri"/>
                <w:sz w:val="20"/>
              </w:rPr>
            </w:pPr>
            <w:r w:rsidRPr="00D87F6E">
              <w:rPr>
                <w:rFonts w:eastAsia="Calibri"/>
                <w:sz w:val="20"/>
              </w:rPr>
              <w:t>-0,724</w:t>
            </w:r>
          </w:p>
        </w:tc>
        <w:tc>
          <w:tcPr>
            <w:tcW w:w="1689" w:type="dxa"/>
            <w:tcBorders>
              <w:left w:val="single" w:sz="4" w:space="0" w:color="auto"/>
              <w:right w:val="single" w:sz="4" w:space="0" w:color="auto"/>
            </w:tcBorders>
            <w:shd w:val="clear" w:color="auto" w:fill="auto"/>
            <w:vAlign w:val="center"/>
          </w:tcPr>
          <w:p w:rsidR="00D76DB3" w:rsidRPr="00D87F6E" w:rsidRDefault="00D76DB3" w:rsidP="00080401">
            <w:pPr>
              <w:ind w:firstLine="0"/>
              <w:jc w:val="center"/>
              <w:rPr>
                <w:rFonts w:eastAsia="Calibri"/>
                <w:sz w:val="20"/>
              </w:rPr>
            </w:pPr>
            <w:r w:rsidRPr="00D87F6E">
              <w:rPr>
                <w:rFonts w:eastAsia="Calibri"/>
                <w:sz w:val="20"/>
              </w:rPr>
              <w:t xml:space="preserve">  0,000*</w:t>
            </w:r>
          </w:p>
        </w:tc>
        <w:tc>
          <w:tcPr>
            <w:tcW w:w="1693" w:type="dxa"/>
            <w:tcBorders>
              <w:left w:val="single" w:sz="4" w:space="0" w:color="auto"/>
              <w:right w:val="single" w:sz="4" w:space="0" w:color="auto"/>
            </w:tcBorders>
            <w:shd w:val="clear" w:color="auto" w:fill="auto"/>
            <w:vAlign w:val="center"/>
          </w:tcPr>
          <w:p w:rsidR="00D76DB3" w:rsidRPr="00D87F6E" w:rsidRDefault="00D76DB3" w:rsidP="00080401">
            <w:pPr>
              <w:ind w:firstLine="0"/>
              <w:jc w:val="center"/>
              <w:rPr>
                <w:rFonts w:eastAsia="Calibri"/>
                <w:sz w:val="20"/>
              </w:rPr>
            </w:pPr>
            <w:r w:rsidRPr="00D87F6E">
              <w:rPr>
                <w:rFonts w:eastAsia="Calibri"/>
                <w:sz w:val="20"/>
              </w:rPr>
              <w:t>0,727</w:t>
            </w:r>
          </w:p>
        </w:tc>
        <w:tc>
          <w:tcPr>
            <w:tcW w:w="1547" w:type="dxa"/>
            <w:tcBorders>
              <w:left w:val="single" w:sz="4" w:space="0" w:color="auto"/>
            </w:tcBorders>
            <w:shd w:val="clear" w:color="auto" w:fill="auto"/>
            <w:vAlign w:val="center"/>
          </w:tcPr>
          <w:p w:rsidR="00D76DB3" w:rsidRPr="00D87F6E" w:rsidRDefault="00D76DB3" w:rsidP="00080401">
            <w:pPr>
              <w:ind w:firstLine="0"/>
              <w:jc w:val="center"/>
              <w:rPr>
                <w:rFonts w:eastAsia="Calibri"/>
                <w:sz w:val="20"/>
              </w:rPr>
            </w:pPr>
            <w:r w:rsidRPr="00D87F6E">
              <w:rPr>
                <w:rFonts w:eastAsia="Calibri"/>
                <w:sz w:val="20"/>
              </w:rPr>
              <w:t>1,375</w:t>
            </w:r>
          </w:p>
        </w:tc>
      </w:tr>
      <w:tr w:rsidR="00D80C8D" w:rsidRPr="00D87F6E" w:rsidTr="00C002DB">
        <w:tc>
          <w:tcPr>
            <w:tcW w:w="2254" w:type="dxa"/>
            <w:tcBorders>
              <w:right w:val="single" w:sz="4" w:space="0" w:color="auto"/>
            </w:tcBorders>
            <w:shd w:val="clear" w:color="auto" w:fill="FFFFFF"/>
            <w:vAlign w:val="center"/>
          </w:tcPr>
          <w:p w:rsidR="00D76DB3" w:rsidRPr="00D87F6E" w:rsidRDefault="00D76DB3" w:rsidP="00080401">
            <w:pPr>
              <w:ind w:firstLine="0"/>
              <w:jc w:val="center"/>
              <w:rPr>
                <w:b/>
                <w:i/>
                <w:iCs/>
                <w:sz w:val="20"/>
              </w:rPr>
            </w:pPr>
            <w:r w:rsidRPr="00D87F6E">
              <w:rPr>
                <w:b/>
                <w:iCs/>
                <w:sz w:val="20"/>
              </w:rPr>
              <w:t>GOOD</w:t>
            </w:r>
          </w:p>
        </w:tc>
        <w:tc>
          <w:tcPr>
            <w:tcW w:w="2222" w:type="dxa"/>
            <w:tcBorders>
              <w:left w:val="single" w:sz="4" w:space="0" w:color="auto"/>
              <w:right w:val="single" w:sz="4" w:space="0" w:color="auto"/>
            </w:tcBorders>
            <w:shd w:val="clear" w:color="auto" w:fill="F2F2F2"/>
            <w:vAlign w:val="center"/>
          </w:tcPr>
          <w:p w:rsidR="00D76DB3" w:rsidRPr="00D87F6E" w:rsidRDefault="00D76DB3" w:rsidP="00080401">
            <w:pPr>
              <w:ind w:firstLine="0"/>
              <w:jc w:val="center"/>
              <w:rPr>
                <w:rFonts w:eastAsia="Calibri"/>
                <w:sz w:val="20"/>
              </w:rPr>
            </w:pPr>
            <w:r w:rsidRPr="00D87F6E">
              <w:rPr>
                <w:rFonts w:eastAsia="Calibri"/>
                <w:sz w:val="20"/>
              </w:rPr>
              <w:t>0,152</w:t>
            </w:r>
          </w:p>
        </w:tc>
        <w:tc>
          <w:tcPr>
            <w:tcW w:w="1689" w:type="dxa"/>
            <w:tcBorders>
              <w:left w:val="single" w:sz="4" w:space="0" w:color="auto"/>
              <w:right w:val="single" w:sz="4" w:space="0" w:color="auto"/>
            </w:tcBorders>
            <w:shd w:val="clear" w:color="auto" w:fill="F2F2F2"/>
            <w:vAlign w:val="center"/>
          </w:tcPr>
          <w:p w:rsidR="00D76DB3" w:rsidRPr="00D87F6E" w:rsidRDefault="00D76DB3" w:rsidP="00080401">
            <w:pPr>
              <w:ind w:firstLine="0"/>
              <w:jc w:val="center"/>
              <w:rPr>
                <w:rFonts w:eastAsia="Calibri"/>
                <w:sz w:val="20"/>
              </w:rPr>
            </w:pPr>
            <w:r w:rsidRPr="00D87F6E">
              <w:rPr>
                <w:rFonts w:eastAsia="Calibri"/>
                <w:sz w:val="20"/>
              </w:rPr>
              <w:t xml:space="preserve">  0,042*</w:t>
            </w:r>
          </w:p>
        </w:tc>
        <w:tc>
          <w:tcPr>
            <w:tcW w:w="1693" w:type="dxa"/>
            <w:tcBorders>
              <w:left w:val="single" w:sz="4" w:space="0" w:color="auto"/>
              <w:right w:val="single" w:sz="4" w:space="0" w:color="auto"/>
            </w:tcBorders>
            <w:shd w:val="clear" w:color="auto" w:fill="F2F2F2"/>
            <w:vAlign w:val="center"/>
          </w:tcPr>
          <w:p w:rsidR="00D76DB3" w:rsidRPr="00D87F6E" w:rsidRDefault="00D76DB3" w:rsidP="00080401">
            <w:pPr>
              <w:ind w:firstLine="0"/>
              <w:jc w:val="center"/>
              <w:rPr>
                <w:rFonts w:eastAsia="Calibri"/>
                <w:sz w:val="20"/>
              </w:rPr>
            </w:pPr>
            <w:r w:rsidRPr="00D87F6E">
              <w:rPr>
                <w:rFonts w:eastAsia="Calibri"/>
                <w:sz w:val="20"/>
              </w:rPr>
              <w:t>0,926</w:t>
            </w:r>
          </w:p>
        </w:tc>
        <w:tc>
          <w:tcPr>
            <w:tcW w:w="1547" w:type="dxa"/>
            <w:tcBorders>
              <w:left w:val="single" w:sz="4" w:space="0" w:color="auto"/>
            </w:tcBorders>
            <w:shd w:val="clear" w:color="auto" w:fill="F2F2F2"/>
            <w:vAlign w:val="center"/>
          </w:tcPr>
          <w:p w:rsidR="00D76DB3" w:rsidRPr="00D87F6E" w:rsidRDefault="00D76DB3" w:rsidP="00080401">
            <w:pPr>
              <w:ind w:firstLine="0"/>
              <w:jc w:val="center"/>
              <w:rPr>
                <w:rFonts w:eastAsia="Calibri"/>
                <w:sz w:val="20"/>
              </w:rPr>
            </w:pPr>
            <w:r w:rsidRPr="00D87F6E">
              <w:rPr>
                <w:rFonts w:eastAsia="Calibri"/>
                <w:sz w:val="20"/>
              </w:rPr>
              <w:t>1,080</w:t>
            </w:r>
          </w:p>
        </w:tc>
      </w:tr>
      <w:tr w:rsidR="00D80C8D" w:rsidRPr="00D87F6E" w:rsidTr="00C002DB">
        <w:tc>
          <w:tcPr>
            <w:tcW w:w="2254" w:type="dxa"/>
            <w:tcBorders>
              <w:bottom w:val="single" w:sz="4" w:space="0" w:color="auto"/>
              <w:right w:val="single" w:sz="4" w:space="0" w:color="auto"/>
            </w:tcBorders>
            <w:shd w:val="clear" w:color="auto" w:fill="FFFFFF"/>
            <w:vAlign w:val="center"/>
          </w:tcPr>
          <w:p w:rsidR="00D76DB3" w:rsidRPr="00D87F6E" w:rsidRDefault="00D76DB3" w:rsidP="00080401">
            <w:pPr>
              <w:ind w:firstLine="0"/>
              <w:jc w:val="center"/>
              <w:rPr>
                <w:b/>
                <w:i/>
                <w:iCs/>
                <w:sz w:val="20"/>
              </w:rPr>
            </w:pPr>
            <w:r w:rsidRPr="00D87F6E">
              <w:rPr>
                <w:b/>
                <w:iCs/>
                <w:sz w:val="20"/>
              </w:rPr>
              <w:t>ALAFIN</w:t>
            </w:r>
          </w:p>
        </w:tc>
        <w:tc>
          <w:tcPr>
            <w:tcW w:w="2222" w:type="dxa"/>
            <w:tcBorders>
              <w:left w:val="single" w:sz="4" w:space="0" w:color="auto"/>
              <w:bottom w:val="single" w:sz="4" w:space="0" w:color="auto"/>
              <w:right w:val="single" w:sz="4" w:space="0" w:color="auto"/>
            </w:tcBorders>
            <w:shd w:val="clear" w:color="auto" w:fill="auto"/>
            <w:vAlign w:val="center"/>
          </w:tcPr>
          <w:p w:rsidR="00D76DB3" w:rsidRPr="00D87F6E" w:rsidRDefault="00D76DB3" w:rsidP="00080401">
            <w:pPr>
              <w:ind w:firstLine="0"/>
              <w:jc w:val="center"/>
              <w:rPr>
                <w:rFonts w:eastAsia="Calibri"/>
                <w:sz w:val="20"/>
              </w:rPr>
            </w:pPr>
            <w:r w:rsidRPr="00D87F6E">
              <w:rPr>
                <w:rFonts w:eastAsia="Calibri"/>
                <w:sz w:val="20"/>
              </w:rPr>
              <w:t>0,072</w:t>
            </w:r>
          </w:p>
        </w:tc>
        <w:tc>
          <w:tcPr>
            <w:tcW w:w="1689" w:type="dxa"/>
            <w:tcBorders>
              <w:left w:val="single" w:sz="4" w:space="0" w:color="auto"/>
              <w:bottom w:val="single" w:sz="4" w:space="0" w:color="auto"/>
              <w:right w:val="single" w:sz="4" w:space="0" w:color="auto"/>
            </w:tcBorders>
            <w:shd w:val="clear" w:color="auto" w:fill="auto"/>
            <w:vAlign w:val="center"/>
          </w:tcPr>
          <w:p w:rsidR="00D76DB3" w:rsidRPr="00D87F6E" w:rsidRDefault="00D76DB3" w:rsidP="00080401">
            <w:pPr>
              <w:ind w:firstLine="0"/>
              <w:jc w:val="center"/>
              <w:rPr>
                <w:rFonts w:eastAsia="Calibri"/>
                <w:sz w:val="20"/>
              </w:rPr>
            </w:pPr>
            <w:r w:rsidRPr="00D87F6E">
              <w:rPr>
                <w:rFonts w:eastAsia="Calibri"/>
                <w:sz w:val="20"/>
              </w:rPr>
              <w:t xml:space="preserve"> 0,320</w:t>
            </w:r>
          </w:p>
        </w:tc>
        <w:tc>
          <w:tcPr>
            <w:tcW w:w="1693" w:type="dxa"/>
            <w:tcBorders>
              <w:left w:val="single" w:sz="4" w:space="0" w:color="auto"/>
              <w:bottom w:val="single" w:sz="4" w:space="0" w:color="auto"/>
              <w:right w:val="single" w:sz="4" w:space="0" w:color="auto"/>
            </w:tcBorders>
            <w:shd w:val="clear" w:color="auto" w:fill="auto"/>
            <w:vAlign w:val="center"/>
          </w:tcPr>
          <w:p w:rsidR="00D76DB3" w:rsidRPr="00D87F6E" w:rsidRDefault="00D76DB3" w:rsidP="00080401">
            <w:pPr>
              <w:ind w:firstLine="0"/>
              <w:jc w:val="center"/>
              <w:rPr>
                <w:rFonts w:eastAsia="Calibri"/>
                <w:sz w:val="20"/>
              </w:rPr>
            </w:pPr>
            <w:r w:rsidRPr="00D87F6E">
              <w:rPr>
                <w:rFonts w:eastAsia="Calibri"/>
                <w:sz w:val="20"/>
              </w:rPr>
              <w:t>0,971</w:t>
            </w:r>
          </w:p>
        </w:tc>
        <w:tc>
          <w:tcPr>
            <w:tcW w:w="1547" w:type="dxa"/>
            <w:tcBorders>
              <w:left w:val="single" w:sz="4" w:space="0" w:color="auto"/>
              <w:bottom w:val="single" w:sz="4" w:space="0" w:color="auto"/>
            </w:tcBorders>
            <w:shd w:val="clear" w:color="auto" w:fill="auto"/>
            <w:vAlign w:val="center"/>
          </w:tcPr>
          <w:p w:rsidR="00D76DB3" w:rsidRPr="00D87F6E" w:rsidRDefault="00D76DB3" w:rsidP="00080401">
            <w:pPr>
              <w:ind w:firstLine="0"/>
              <w:jc w:val="center"/>
              <w:rPr>
                <w:rFonts w:eastAsia="Calibri"/>
                <w:sz w:val="20"/>
              </w:rPr>
            </w:pPr>
            <w:r w:rsidRPr="00D87F6E">
              <w:rPr>
                <w:rFonts w:eastAsia="Calibri"/>
                <w:sz w:val="20"/>
              </w:rPr>
              <w:t>1,029</w:t>
            </w:r>
          </w:p>
        </w:tc>
      </w:tr>
      <w:tr w:rsidR="00D80C8D" w:rsidRPr="00D87F6E" w:rsidTr="00C002DB">
        <w:tc>
          <w:tcPr>
            <w:tcW w:w="2254" w:type="dxa"/>
            <w:tcBorders>
              <w:top w:val="single" w:sz="4" w:space="0" w:color="auto"/>
              <w:right w:val="single" w:sz="4" w:space="0" w:color="auto"/>
            </w:tcBorders>
            <w:shd w:val="clear" w:color="auto" w:fill="FFFFFF"/>
            <w:vAlign w:val="center"/>
          </w:tcPr>
          <w:p w:rsidR="00D76DB3" w:rsidRPr="00D87F6E" w:rsidRDefault="00D76DB3" w:rsidP="00080401">
            <w:pPr>
              <w:ind w:firstLine="0"/>
              <w:jc w:val="center"/>
              <w:rPr>
                <w:i/>
                <w:iCs/>
                <w:sz w:val="20"/>
              </w:rPr>
            </w:pPr>
            <w:r w:rsidRPr="00D87F6E">
              <w:rPr>
                <w:i/>
                <w:iCs/>
                <w:sz w:val="20"/>
              </w:rPr>
              <w:t>R</w:t>
            </w:r>
            <w:r w:rsidRPr="00D87F6E">
              <w:rPr>
                <w:iCs/>
                <w:sz w:val="20"/>
              </w:rPr>
              <w:t>²</w:t>
            </w:r>
          </w:p>
        </w:tc>
        <w:tc>
          <w:tcPr>
            <w:tcW w:w="7151" w:type="dxa"/>
            <w:gridSpan w:val="4"/>
            <w:tcBorders>
              <w:top w:val="single" w:sz="2" w:space="0" w:color="7F7F7F"/>
              <w:left w:val="single" w:sz="4" w:space="0" w:color="auto"/>
            </w:tcBorders>
            <w:shd w:val="clear" w:color="auto" w:fill="F2F2F2"/>
            <w:vAlign w:val="center"/>
          </w:tcPr>
          <w:p w:rsidR="00D76DB3" w:rsidRPr="00D87F6E" w:rsidRDefault="00D76DB3" w:rsidP="00080401">
            <w:pPr>
              <w:ind w:firstLine="0"/>
              <w:jc w:val="center"/>
              <w:rPr>
                <w:rFonts w:eastAsia="Calibri"/>
                <w:sz w:val="20"/>
              </w:rPr>
            </w:pPr>
            <w:r w:rsidRPr="00D87F6E">
              <w:rPr>
                <w:rFonts w:eastAsia="Calibri"/>
                <w:sz w:val="20"/>
              </w:rPr>
              <w:t>0,529</w:t>
            </w:r>
          </w:p>
        </w:tc>
      </w:tr>
      <w:tr w:rsidR="00D80C8D" w:rsidRPr="00D87F6E" w:rsidTr="00C002DB">
        <w:tc>
          <w:tcPr>
            <w:tcW w:w="2254" w:type="dxa"/>
            <w:tcBorders>
              <w:right w:val="single" w:sz="4" w:space="0" w:color="auto"/>
            </w:tcBorders>
            <w:shd w:val="clear" w:color="auto" w:fill="FFFFFF"/>
            <w:vAlign w:val="center"/>
          </w:tcPr>
          <w:p w:rsidR="00D76DB3" w:rsidRPr="00D87F6E" w:rsidRDefault="00D76DB3" w:rsidP="00080401">
            <w:pPr>
              <w:ind w:firstLine="0"/>
              <w:jc w:val="center"/>
              <w:rPr>
                <w:i/>
                <w:iCs/>
                <w:sz w:val="20"/>
              </w:rPr>
            </w:pPr>
            <w:r w:rsidRPr="00D87F6E">
              <w:rPr>
                <w:i/>
                <w:iCs/>
                <w:sz w:val="20"/>
              </w:rPr>
              <w:t>R</w:t>
            </w:r>
            <w:r w:rsidRPr="00D87F6E">
              <w:rPr>
                <w:iCs/>
                <w:sz w:val="20"/>
              </w:rPr>
              <w:t>² Ajustado</w:t>
            </w:r>
          </w:p>
        </w:tc>
        <w:tc>
          <w:tcPr>
            <w:tcW w:w="7151" w:type="dxa"/>
            <w:gridSpan w:val="4"/>
            <w:tcBorders>
              <w:left w:val="single" w:sz="4" w:space="0" w:color="auto"/>
            </w:tcBorders>
            <w:shd w:val="clear" w:color="auto" w:fill="auto"/>
            <w:vAlign w:val="center"/>
          </w:tcPr>
          <w:p w:rsidR="00D76DB3" w:rsidRPr="00D87F6E" w:rsidRDefault="00D76DB3" w:rsidP="00080401">
            <w:pPr>
              <w:ind w:firstLine="0"/>
              <w:jc w:val="center"/>
              <w:rPr>
                <w:rFonts w:eastAsia="Calibri"/>
                <w:sz w:val="20"/>
              </w:rPr>
            </w:pPr>
            <w:r w:rsidRPr="00D87F6E">
              <w:rPr>
                <w:rFonts w:eastAsia="Calibri"/>
                <w:sz w:val="20"/>
              </w:rPr>
              <w:t>0,488</w:t>
            </w:r>
          </w:p>
        </w:tc>
      </w:tr>
      <w:tr w:rsidR="00D80C8D" w:rsidRPr="00D87F6E" w:rsidTr="00C002DB">
        <w:tc>
          <w:tcPr>
            <w:tcW w:w="2254" w:type="dxa"/>
            <w:tcBorders>
              <w:right w:val="single" w:sz="4" w:space="0" w:color="auto"/>
            </w:tcBorders>
            <w:shd w:val="clear" w:color="auto" w:fill="FFFFFF"/>
            <w:vAlign w:val="center"/>
          </w:tcPr>
          <w:p w:rsidR="00D76DB3" w:rsidRPr="00D87F6E" w:rsidRDefault="00D76DB3" w:rsidP="00080401">
            <w:pPr>
              <w:ind w:firstLine="0"/>
              <w:jc w:val="center"/>
              <w:rPr>
                <w:i/>
                <w:iCs/>
                <w:sz w:val="20"/>
              </w:rPr>
            </w:pPr>
            <w:r w:rsidRPr="00D87F6E">
              <w:rPr>
                <w:iCs/>
                <w:sz w:val="20"/>
              </w:rPr>
              <w:t xml:space="preserve">Estatística </w:t>
            </w:r>
            <w:r w:rsidRPr="00D87F6E">
              <w:rPr>
                <w:i/>
                <w:iCs/>
                <w:sz w:val="20"/>
              </w:rPr>
              <w:t>F</w:t>
            </w:r>
          </w:p>
        </w:tc>
        <w:tc>
          <w:tcPr>
            <w:tcW w:w="7151" w:type="dxa"/>
            <w:gridSpan w:val="4"/>
            <w:tcBorders>
              <w:left w:val="single" w:sz="4" w:space="0" w:color="auto"/>
            </w:tcBorders>
            <w:shd w:val="clear" w:color="auto" w:fill="F2F2F2"/>
            <w:vAlign w:val="center"/>
          </w:tcPr>
          <w:p w:rsidR="00D76DB3" w:rsidRPr="00D87F6E" w:rsidRDefault="00D76DB3" w:rsidP="00080401">
            <w:pPr>
              <w:ind w:firstLine="0"/>
              <w:jc w:val="center"/>
              <w:rPr>
                <w:rFonts w:eastAsia="Calibri"/>
                <w:sz w:val="20"/>
              </w:rPr>
            </w:pPr>
            <w:r w:rsidRPr="00D87F6E">
              <w:rPr>
                <w:rFonts w:eastAsia="Calibri"/>
                <w:sz w:val="20"/>
              </w:rPr>
              <w:t>13,057</w:t>
            </w:r>
          </w:p>
        </w:tc>
      </w:tr>
      <w:tr w:rsidR="00D80C8D" w:rsidRPr="00D87F6E" w:rsidTr="00C002DB">
        <w:tc>
          <w:tcPr>
            <w:tcW w:w="2254" w:type="dxa"/>
            <w:tcBorders>
              <w:bottom w:val="single" w:sz="4" w:space="0" w:color="auto"/>
              <w:right w:val="single" w:sz="4" w:space="0" w:color="auto"/>
            </w:tcBorders>
            <w:shd w:val="clear" w:color="auto" w:fill="FFFFFF"/>
            <w:vAlign w:val="center"/>
          </w:tcPr>
          <w:p w:rsidR="00D76DB3" w:rsidRPr="00D87F6E" w:rsidRDefault="00D76DB3" w:rsidP="00080401">
            <w:pPr>
              <w:ind w:firstLine="0"/>
              <w:jc w:val="center"/>
              <w:rPr>
                <w:i/>
                <w:iCs/>
                <w:sz w:val="20"/>
              </w:rPr>
            </w:pPr>
            <w:r w:rsidRPr="00D87F6E">
              <w:rPr>
                <w:iCs/>
                <w:sz w:val="20"/>
              </w:rPr>
              <w:t>Sig.</w:t>
            </w:r>
          </w:p>
        </w:tc>
        <w:tc>
          <w:tcPr>
            <w:tcW w:w="7151" w:type="dxa"/>
            <w:gridSpan w:val="4"/>
            <w:tcBorders>
              <w:left w:val="single" w:sz="4" w:space="0" w:color="auto"/>
              <w:bottom w:val="single" w:sz="4" w:space="0" w:color="auto"/>
            </w:tcBorders>
            <w:shd w:val="clear" w:color="auto" w:fill="auto"/>
            <w:vAlign w:val="center"/>
          </w:tcPr>
          <w:p w:rsidR="00D76DB3" w:rsidRPr="00D87F6E" w:rsidRDefault="00D76DB3" w:rsidP="00080401">
            <w:pPr>
              <w:ind w:firstLine="0"/>
              <w:jc w:val="center"/>
              <w:rPr>
                <w:rFonts w:eastAsia="Calibri"/>
                <w:sz w:val="20"/>
              </w:rPr>
            </w:pPr>
            <w:r w:rsidRPr="00D87F6E">
              <w:rPr>
                <w:rFonts w:eastAsia="Calibri"/>
                <w:sz w:val="20"/>
              </w:rPr>
              <w:t>0,000</w:t>
            </w:r>
          </w:p>
        </w:tc>
      </w:tr>
      <w:tr w:rsidR="00D80C8D" w:rsidRPr="00D87F6E" w:rsidTr="00C002DB">
        <w:tc>
          <w:tcPr>
            <w:tcW w:w="2254" w:type="dxa"/>
            <w:tcBorders>
              <w:top w:val="single" w:sz="4" w:space="0" w:color="auto"/>
              <w:bottom w:val="single" w:sz="4" w:space="0" w:color="auto"/>
              <w:right w:val="single" w:sz="4" w:space="0" w:color="auto"/>
            </w:tcBorders>
            <w:shd w:val="clear" w:color="auto" w:fill="FFFFFF"/>
            <w:vAlign w:val="center"/>
          </w:tcPr>
          <w:p w:rsidR="00D76DB3" w:rsidRPr="00D87F6E" w:rsidRDefault="00D76DB3" w:rsidP="00080401">
            <w:pPr>
              <w:ind w:firstLine="0"/>
              <w:jc w:val="center"/>
              <w:rPr>
                <w:b/>
                <w:i/>
                <w:iCs/>
                <w:sz w:val="20"/>
              </w:rPr>
            </w:pPr>
            <w:r w:rsidRPr="00D87F6E">
              <w:rPr>
                <w:b/>
                <w:iCs/>
                <w:sz w:val="20"/>
              </w:rPr>
              <w:t>Empresas analisadas</w:t>
            </w:r>
          </w:p>
        </w:tc>
        <w:tc>
          <w:tcPr>
            <w:tcW w:w="7151" w:type="dxa"/>
            <w:gridSpan w:val="4"/>
            <w:tcBorders>
              <w:top w:val="single" w:sz="4" w:space="0" w:color="auto"/>
              <w:left w:val="single" w:sz="4" w:space="0" w:color="auto"/>
              <w:bottom w:val="single" w:sz="4" w:space="0" w:color="auto"/>
            </w:tcBorders>
            <w:shd w:val="clear" w:color="auto" w:fill="F2F2F2"/>
            <w:vAlign w:val="center"/>
          </w:tcPr>
          <w:p w:rsidR="00D76DB3" w:rsidRPr="00D87F6E" w:rsidRDefault="00D76DB3" w:rsidP="00080401">
            <w:pPr>
              <w:ind w:firstLine="0"/>
              <w:jc w:val="center"/>
              <w:rPr>
                <w:rFonts w:eastAsia="Calibri"/>
                <w:b/>
                <w:sz w:val="20"/>
              </w:rPr>
            </w:pPr>
            <w:r w:rsidRPr="00D87F6E">
              <w:rPr>
                <w:rFonts w:eastAsia="Calibri"/>
                <w:b/>
                <w:sz w:val="20"/>
              </w:rPr>
              <w:t>102</w:t>
            </w:r>
          </w:p>
        </w:tc>
      </w:tr>
    </w:tbl>
    <w:p w:rsidR="00D76DB3" w:rsidRPr="00D87F6E" w:rsidRDefault="00D76DB3" w:rsidP="00080401">
      <w:pPr>
        <w:ind w:firstLine="0"/>
        <w:rPr>
          <w:sz w:val="20"/>
        </w:rPr>
      </w:pPr>
      <w:r w:rsidRPr="00D87F6E">
        <w:rPr>
          <w:sz w:val="20"/>
        </w:rPr>
        <w:t>* significativo ao nível de 5%.</w:t>
      </w:r>
    </w:p>
    <w:p w:rsidR="00D76DB3" w:rsidRPr="00D87F6E" w:rsidRDefault="00D76DB3" w:rsidP="00080401">
      <w:pPr>
        <w:ind w:firstLine="0"/>
        <w:rPr>
          <w:sz w:val="20"/>
        </w:rPr>
      </w:pPr>
      <w:r w:rsidRPr="00D87F6E">
        <w:rPr>
          <w:sz w:val="20"/>
        </w:rPr>
        <w:t>Fonte: Dados da Pesquisa.</w:t>
      </w:r>
    </w:p>
    <w:p w:rsidR="006D0071" w:rsidRPr="00D87F6E" w:rsidRDefault="006D0071" w:rsidP="00080401">
      <w:pPr>
        <w:ind w:firstLine="0"/>
        <w:rPr>
          <w:sz w:val="20"/>
        </w:rPr>
      </w:pPr>
    </w:p>
    <w:p w:rsidR="00D76DB3" w:rsidRPr="00D87F6E" w:rsidRDefault="00D76DB3" w:rsidP="00080401">
      <w:r w:rsidRPr="00D87F6E">
        <w:t xml:space="preserve">Conforme Fávero </w:t>
      </w:r>
      <w:r w:rsidRPr="00D87F6E">
        <w:rPr>
          <w:i/>
        </w:rPr>
        <w:t>et al.</w:t>
      </w:r>
      <w:r w:rsidRPr="00D87F6E">
        <w:t xml:space="preserve"> (2009, p. 353), “a capacidade explicativa do modelo é analisada pelo </w:t>
      </w:r>
      <w:r w:rsidRPr="00D87F6E">
        <w:rPr>
          <w:i/>
        </w:rPr>
        <w:t>R</w:t>
      </w:r>
      <w:r w:rsidRPr="00D87F6E">
        <w:t>² da regressão, conhecido por coeficiente de ajuste ou explicação”. Assim, observa-se que, a capacidade explicativa do modelo de regressão aplicado considerando-se a amostra final é de 52,9%. Ou seja, 52,9% da variação da variável dependente (IMPG) é explicada pelas variáveis independentes do modelo. Ajustando-se ao poder de explicação (</w:t>
      </w:r>
      <w:r w:rsidRPr="00D87F6E">
        <w:rPr>
          <w:i/>
        </w:rPr>
        <w:t>R</w:t>
      </w:r>
      <w:r w:rsidRPr="00D87F6E">
        <w:t>² ajustado), tem-se que o modelo explica 48,8% da variação em IMPG.</w:t>
      </w:r>
    </w:p>
    <w:p w:rsidR="00D76DB3" w:rsidRPr="00D87F6E" w:rsidRDefault="00D76DB3" w:rsidP="00080401">
      <w:r w:rsidRPr="00D87F6E">
        <w:t xml:space="preserve">A estatística </w:t>
      </w:r>
      <w:r w:rsidRPr="00D87F6E">
        <w:rPr>
          <w:i/>
        </w:rPr>
        <w:t>F</w:t>
      </w:r>
      <w:r w:rsidRPr="00D87F6E">
        <w:t xml:space="preserve"> permite a análise da significância conjunta dos parâmetros do modelo, e através do Sig.</w:t>
      </w:r>
      <w:r w:rsidRPr="00D87F6E">
        <w:rPr>
          <w:i/>
        </w:rPr>
        <w:t xml:space="preserve"> F</w:t>
      </w:r>
      <w:r w:rsidRPr="00D87F6E">
        <w:t xml:space="preserve"> = 0,000 &lt; 0,05, pode-se afirmar que este é significante (FÁVERO </w:t>
      </w:r>
      <w:r w:rsidRPr="00D87F6E">
        <w:rPr>
          <w:i/>
        </w:rPr>
        <w:t>et al.</w:t>
      </w:r>
      <w:r w:rsidRPr="00D87F6E">
        <w:t xml:space="preserve">, 2009). Já com relação a significância estatística de cada parâmetro do modelo, proporcionada pela </w:t>
      </w:r>
      <w:r w:rsidRPr="00D87F6E">
        <w:lastRenderedPageBreak/>
        <w:t xml:space="preserve">estatística </w:t>
      </w:r>
      <w:r w:rsidRPr="00D87F6E">
        <w:rPr>
          <w:i/>
        </w:rPr>
        <w:t>t</w:t>
      </w:r>
      <w:r w:rsidRPr="00D87F6E">
        <w:t>, a Tabela 4 mostra que somente as variáveis ROA e GOOD se mostraram significativas, pois Sig.</w:t>
      </w:r>
      <w:r w:rsidRPr="00D87F6E">
        <w:rPr>
          <w:i/>
        </w:rPr>
        <w:t xml:space="preserve"> t</w:t>
      </w:r>
      <w:r w:rsidRPr="00D87F6E">
        <w:t xml:space="preserve"> (</w:t>
      </w:r>
      <w:r w:rsidRPr="00D87F6E">
        <w:rPr>
          <w:i/>
        </w:rPr>
        <w:t>p-value</w:t>
      </w:r>
      <w:r w:rsidRPr="00D87F6E">
        <w:t xml:space="preserve">) &lt; 0,05 (FÁVERO </w:t>
      </w:r>
      <w:r w:rsidRPr="00D87F6E">
        <w:rPr>
          <w:i/>
        </w:rPr>
        <w:t>et al.</w:t>
      </w:r>
      <w:r w:rsidRPr="00D87F6E">
        <w:t xml:space="preserve">, 2009). </w:t>
      </w:r>
    </w:p>
    <w:p w:rsidR="00D76DB3" w:rsidRPr="00D87F6E" w:rsidRDefault="00D76DB3" w:rsidP="00080401">
      <w:r w:rsidRPr="00D87F6E">
        <w:t xml:space="preserve">Verificou-se uma relação significativa e negativa entre a Rentabilidade sobre o Ativo Total e o reconhecimento das perdas por </w:t>
      </w:r>
      <w:r w:rsidRPr="00D87F6E">
        <w:rPr>
          <w:i/>
        </w:rPr>
        <w:t>impairment</w:t>
      </w:r>
      <w:r w:rsidRPr="00D87F6E">
        <w:t xml:space="preserve"> do </w:t>
      </w:r>
      <w:r w:rsidRPr="00D87F6E">
        <w:rPr>
          <w:i/>
        </w:rPr>
        <w:t>goodwill</w:t>
      </w:r>
      <w:r w:rsidRPr="00D87F6E">
        <w:t xml:space="preserve">;assim como uma relação significativa e positiva entre o Valor do </w:t>
      </w:r>
      <w:r w:rsidRPr="00D87F6E">
        <w:rPr>
          <w:i/>
        </w:rPr>
        <w:t>Goodwill</w:t>
      </w:r>
      <w:r w:rsidRPr="00D87F6E">
        <w:t xml:space="preserve"> e o reconhecimento de tais perdas.</w:t>
      </w:r>
    </w:p>
    <w:p w:rsidR="00D76DB3" w:rsidRPr="00D87F6E" w:rsidRDefault="00D76DB3" w:rsidP="00080401">
      <w:r w:rsidRPr="00D87F6E">
        <w:t xml:space="preserve">Tem-se, assim, que a rentabilidade e o saldo do </w:t>
      </w:r>
      <w:r w:rsidRPr="00D87F6E">
        <w:rPr>
          <w:i/>
        </w:rPr>
        <w:t>goodwill</w:t>
      </w:r>
      <w:r w:rsidRPr="00D87F6E">
        <w:t xml:space="preserve"> ajudam a explicar o reconhecimento de perdas por </w:t>
      </w:r>
      <w:r w:rsidRPr="00D87F6E">
        <w:rPr>
          <w:i/>
        </w:rPr>
        <w:t>impairment</w:t>
      </w:r>
      <w:r w:rsidRPr="00D87F6E">
        <w:t xml:space="preserve"> nos ativos das companhias da amostra. Além disso, os sinais </w:t>
      </w:r>
      <w:r w:rsidR="00E64842" w:rsidRPr="00D87F6E">
        <w:t>encontrados</w:t>
      </w:r>
      <w:r w:rsidRPr="00D87F6E">
        <w:t xml:space="preserve"> na relação entre esses dois fatores e a variável dependente corroboram os achados em pesquisas anteriores (ABUGHAZALEH </w:t>
      </w:r>
      <w:r w:rsidRPr="00D87F6E">
        <w:rPr>
          <w:i/>
        </w:rPr>
        <w:t>et al.</w:t>
      </w:r>
      <w:r w:rsidRPr="00D87F6E">
        <w:t xml:space="preserve">, 2011; ZANG, 2008; KLANN </w:t>
      </w:r>
      <w:r w:rsidRPr="00D87F6E">
        <w:rPr>
          <w:i/>
        </w:rPr>
        <w:t>et al.</w:t>
      </w:r>
      <w:r w:rsidRPr="00D87F6E">
        <w:t xml:space="preserve">, 2015). Dessa forma, empresas com maiores valores de </w:t>
      </w:r>
      <w:r w:rsidRPr="00D87F6E">
        <w:rPr>
          <w:i/>
        </w:rPr>
        <w:t>goodwill</w:t>
      </w:r>
      <w:r w:rsidRPr="00D87F6E">
        <w:t xml:space="preserve"> tendem a reconhecer perdas por </w:t>
      </w:r>
      <w:r w:rsidRPr="00D87F6E">
        <w:rPr>
          <w:i/>
        </w:rPr>
        <w:t>impairment</w:t>
      </w:r>
      <w:r w:rsidRPr="00D87F6E">
        <w:t xml:space="preserve"> referentes a esse ativo, e empresas menos rentáveis também tendem a ter esse reconhecimento. Portanto, as hipóteses H</w:t>
      </w:r>
      <w:r w:rsidRPr="00D87F6E">
        <w:rPr>
          <w:vertAlign w:val="subscript"/>
        </w:rPr>
        <w:t>5</w:t>
      </w:r>
      <w:r w:rsidRPr="00D87F6E">
        <w:t xml:space="preserve"> e H</w:t>
      </w:r>
      <w:r w:rsidRPr="00D87F6E">
        <w:rPr>
          <w:vertAlign w:val="subscript"/>
        </w:rPr>
        <w:t>6</w:t>
      </w:r>
      <w:r w:rsidRPr="00D87F6E">
        <w:t xml:space="preserve"> não foram rejeitadas. </w:t>
      </w:r>
    </w:p>
    <w:p w:rsidR="00D76DB3" w:rsidRPr="00D87F6E" w:rsidRDefault="00D76DB3" w:rsidP="00080401">
      <w:r w:rsidRPr="00D87F6E">
        <w:t>As hipóteses H</w:t>
      </w:r>
      <w:r w:rsidRPr="00D87F6E">
        <w:rPr>
          <w:vertAlign w:val="subscript"/>
        </w:rPr>
        <w:t>1</w:t>
      </w:r>
      <w:r w:rsidRPr="00D87F6E">
        <w:t>, H</w:t>
      </w:r>
      <w:r w:rsidRPr="00D87F6E">
        <w:rPr>
          <w:vertAlign w:val="subscript"/>
        </w:rPr>
        <w:t>2,</w:t>
      </w:r>
      <w:r w:rsidRPr="00D87F6E">
        <w:t xml:space="preserve"> H</w:t>
      </w:r>
      <w:r w:rsidRPr="00D87F6E">
        <w:rPr>
          <w:vertAlign w:val="subscript"/>
        </w:rPr>
        <w:t>3</w:t>
      </w:r>
      <w:r w:rsidRPr="00D87F6E">
        <w:t>, H</w:t>
      </w:r>
      <w:r w:rsidRPr="00D87F6E">
        <w:rPr>
          <w:vertAlign w:val="subscript"/>
        </w:rPr>
        <w:t>4</w:t>
      </w:r>
      <w:r w:rsidRPr="00D87F6E">
        <w:t xml:space="preserve"> e H</w:t>
      </w:r>
      <w:r w:rsidRPr="00D87F6E">
        <w:rPr>
          <w:vertAlign w:val="subscript"/>
        </w:rPr>
        <w:t>7</w:t>
      </w:r>
      <w:r w:rsidRPr="00D87F6E">
        <w:t xml:space="preserve"> foram rejeitadas, uma vez que as variáveis BM, UGC (nível 1), UGC (nível 2), TURN, ΔFCO e ALAFIN não se mostraram significativas. Com relação aos sinais dos coeficientes angulares destas, a variável BM foi a única que apresentou o sinal esperado. Entretanto, uma vez que não foi estabelecido sinal para a relação entre o reconhecimento das perdas e as respectivas variáveis UGC (nível 1) e UGC (nível 2), não se pode afirmar que estas não apresentaram o sinal esperado.</w:t>
      </w:r>
    </w:p>
    <w:p w:rsidR="00D76DB3" w:rsidRPr="00D87F6E" w:rsidRDefault="00D76DB3" w:rsidP="00080401">
      <w:r w:rsidRPr="00D87F6E">
        <w:t xml:space="preserve">Para verificar a existência de multicolinearidade utilizou-se as estatísticas </w:t>
      </w:r>
      <w:r w:rsidRPr="00D87F6E">
        <w:rPr>
          <w:i/>
        </w:rPr>
        <w:t>Variance Inflation Factor</w:t>
      </w:r>
      <w:r w:rsidRPr="00D87F6E">
        <w:t xml:space="preserve"> (VIF) e </w:t>
      </w:r>
      <w:r w:rsidRPr="00D87F6E">
        <w:rPr>
          <w:i/>
        </w:rPr>
        <w:t xml:space="preserve">Tolerance </w:t>
      </w:r>
      <w:r w:rsidRPr="00D87F6E">
        <w:t xml:space="preserve">(Tolerância). Percebe-se que as variáveis UGC (nível 1) e UGC (nível 2) apresentaram baixos valores de </w:t>
      </w:r>
      <w:r w:rsidRPr="00D87F6E">
        <w:rPr>
          <w:i/>
        </w:rPr>
        <w:t>Tolerance</w:t>
      </w:r>
      <w:r w:rsidRPr="00D87F6E">
        <w:t xml:space="preserve">, o que indica, de acordo com Fávero </w:t>
      </w:r>
      <w:r w:rsidRPr="00D87F6E">
        <w:rPr>
          <w:i/>
        </w:rPr>
        <w:t>et al.</w:t>
      </w:r>
      <w:r w:rsidRPr="00D87F6E">
        <w:t xml:space="preserve"> (2009), que estas compartilham um alto percentual de sua variância com as demais variáveis independentes. Nota-se, também, que os respectivos valores </w:t>
      </w:r>
      <w:r w:rsidR="00E64842" w:rsidRPr="00D87F6E">
        <w:t>dessas</w:t>
      </w:r>
      <w:r w:rsidRPr="00D87F6E">
        <w:t xml:space="preserve"> variáveis para a estatística VIF foram maiores do que 5, indicando, segundo os referidos autores, que podem ocorrer problemas de multicolinearidade. Isso pode se dar pela heterogeneidade da amostra, composta por empresas de diferentes tamanhos (em termos de ativo e rentabilidade).</w:t>
      </w:r>
    </w:p>
    <w:p w:rsidR="00D76DB3" w:rsidRPr="00D87F6E" w:rsidRDefault="00D76DB3" w:rsidP="00080401">
      <w:r w:rsidRPr="00D87F6E">
        <w:t xml:space="preserve">Diante </w:t>
      </w:r>
      <w:r w:rsidR="005C1E82" w:rsidRPr="00D87F6E">
        <w:t>disso</w:t>
      </w:r>
      <w:r w:rsidRPr="00D87F6E">
        <w:t xml:space="preserve">, considerando-se todas as 102 empresas que apresentaram saldo de </w:t>
      </w:r>
      <w:r w:rsidRPr="00D87F6E">
        <w:rPr>
          <w:i/>
        </w:rPr>
        <w:t>goodwill</w:t>
      </w:r>
      <w:r w:rsidRPr="00D87F6E">
        <w:t xml:space="preserve"> resultante de combinação de negócios, independentemente </w:t>
      </w:r>
      <w:r w:rsidR="00E62BC1" w:rsidRPr="00D87F6E">
        <w:t>de estas</w:t>
      </w:r>
      <w:r w:rsidRPr="00D87F6E">
        <w:t xml:space="preserve"> terem reconhecido ou não perdas por </w:t>
      </w:r>
      <w:r w:rsidRPr="00D87F6E">
        <w:rPr>
          <w:i/>
        </w:rPr>
        <w:t>impairment</w:t>
      </w:r>
      <w:r w:rsidR="005C1E82" w:rsidRPr="00D87F6E">
        <w:t>desse</w:t>
      </w:r>
      <w:r w:rsidRPr="00D87F6E">
        <w:t xml:space="preserve"> ativo, em 2015, os fatores Rentabilidade sobre o Ativo Total e Valor do </w:t>
      </w:r>
      <w:r w:rsidRPr="00D87F6E">
        <w:rPr>
          <w:i/>
        </w:rPr>
        <w:t xml:space="preserve">Goodwill </w:t>
      </w:r>
      <w:r w:rsidRPr="00D87F6E">
        <w:t xml:space="preserve">mostraram exercer influência sobre o reconhecimento das perdas por </w:t>
      </w:r>
      <w:r w:rsidRPr="00D87F6E">
        <w:rPr>
          <w:i/>
        </w:rPr>
        <w:t>impairment</w:t>
      </w:r>
      <w:r w:rsidRPr="00D87F6E">
        <w:t xml:space="preserve"> do </w:t>
      </w:r>
      <w:r w:rsidRPr="00D87F6E">
        <w:rPr>
          <w:i/>
        </w:rPr>
        <w:t>goodwill</w:t>
      </w:r>
      <w:r w:rsidRPr="00D87F6E">
        <w:t>.</w:t>
      </w:r>
    </w:p>
    <w:p w:rsidR="003337B5" w:rsidRPr="00D87F6E" w:rsidRDefault="00D76DB3" w:rsidP="00080401">
      <w:r w:rsidRPr="00D87F6E">
        <w:t xml:space="preserve">A Tabela 5 mostra os resultados obtidos para a aplicação do modelo de regressão levando-se em conta apenas as 18 empresas que reconheceram perdas por </w:t>
      </w:r>
      <w:r w:rsidRPr="00D87F6E">
        <w:rPr>
          <w:i/>
        </w:rPr>
        <w:t>impairment</w:t>
      </w:r>
      <w:r w:rsidRPr="00D87F6E">
        <w:t xml:space="preserve"> do</w:t>
      </w:r>
      <w:r w:rsidRPr="00D87F6E">
        <w:rPr>
          <w:i/>
        </w:rPr>
        <w:t xml:space="preserve"> goodwill</w:t>
      </w:r>
      <w:r w:rsidRPr="00D87F6E">
        <w:t>. Assim, nesse modelo estão sendo consideradas tão somente as empresas que efetivamente reconheceram perdas em 2015, diferentemente do modelo apresentad</w:t>
      </w:r>
      <w:r w:rsidR="00081B96" w:rsidRPr="00D87F6E">
        <w:t>o</w:t>
      </w:r>
      <w:r w:rsidRPr="00D87F6E">
        <w:t xml:space="preserve"> na Tabela 4.</w:t>
      </w:r>
    </w:p>
    <w:p w:rsidR="003337B5" w:rsidRPr="00D87F6E" w:rsidRDefault="003337B5" w:rsidP="00080401"/>
    <w:p w:rsidR="00D44F34" w:rsidRPr="00D87F6E" w:rsidRDefault="00D44F34" w:rsidP="00080401"/>
    <w:p w:rsidR="00D44F34" w:rsidRPr="00D87F6E" w:rsidRDefault="00D44F34" w:rsidP="00080401"/>
    <w:p w:rsidR="00D44F34" w:rsidRPr="00D87F6E" w:rsidRDefault="00D44F34" w:rsidP="00080401"/>
    <w:p w:rsidR="00D44F34" w:rsidRPr="00D87F6E" w:rsidRDefault="00D44F34" w:rsidP="00080401"/>
    <w:p w:rsidR="00D76DB3" w:rsidRPr="00D87F6E" w:rsidRDefault="00D76DB3" w:rsidP="00080401">
      <w:pPr>
        <w:jc w:val="center"/>
        <w:rPr>
          <w:b/>
          <w:i/>
        </w:rPr>
      </w:pPr>
      <w:r w:rsidRPr="00D87F6E">
        <w:rPr>
          <w:b/>
        </w:rPr>
        <w:t xml:space="preserve">Tabela 5 – Resultados da regressão linear múltipla para as empresas que </w:t>
      </w:r>
      <w:bookmarkStart w:id="0" w:name="_GoBack"/>
      <w:bookmarkEnd w:id="0"/>
      <w:r w:rsidRPr="00D87F6E">
        <w:rPr>
          <w:b/>
        </w:rPr>
        <w:t xml:space="preserve">reconheceram perdas por </w:t>
      </w:r>
      <w:r w:rsidRPr="00D87F6E">
        <w:rPr>
          <w:b/>
          <w:i/>
        </w:rPr>
        <w:t>impairment</w:t>
      </w:r>
      <w:r w:rsidRPr="00D87F6E">
        <w:rPr>
          <w:b/>
        </w:rPr>
        <w:t xml:space="preserve"> do </w:t>
      </w:r>
      <w:r w:rsidRPr="00D87F6E">
        <w:rPr>
          <w:b/>
          <w:i/>
        </w:rPr>
        <w:t>goodwill</w:t>
      </w:r>
    </w:p>
    <w:tbl>
      <w:tblPr>
        <w:tblW w:w="0" w:type="auto"/>
        <w:tblLook w:val="04A0"/>
      </w:tblPr>
      <w:tblGrid>
        <w:gridCol w:w="2254"/>
        <w:gridCol w:w="2222"/>
        <w:gridCol w:w="1689"/>
        <w:gridCol w:w="1693"/>
        <w:gridCol w:w="1547"/>
      </w:tblGrid>
      <w:tr w:rsidR="00D80C8D" w:rsidRPr="00D87F6E" w:rsidTr="00C002DB">
        <w:tc>
          <w:tcPr>
            <w:tcW w:w="2254" w:type="dxa"/>
            <w:tcBorders>
              <w:top w:val="single" w:sz="4" w:space="0" w:color="auto"/>
              <w:bottom w:val="single" w:sz="4" w:space="0" w:color="auto"/>
              <w:right w:val="single" w:sz="4" w:space="0" w:color="auto"/>
            </w:tcBorders>
            <w:shd w:val="clear" w:color="auto" w:fill="FFFFFF"/>
            <w:vAlign w:val="center"/>
          </w:tcPr>
          <w:p w:rsidR="00D76DB3" w:rsidRPr="00D87F6E" w:rsidRDefault="00D76DB3" w:rsidP="00080401">
            <w:pPr>
              <w:ind w:firstLine="0"/>
              <w:jc w:val="center"/>
              <w:rPr>
                <w:b/>
                <w:i/>
                <w:iCs/>
                <w:sz w:val="20"/>
              </w:rPr>
            </w:pPr>
            <w:r w:rsidRPr="00D87F6E">
              <w:rPr>
                <w:b/>
                <w:iCs/>
                <w:sz w:val="20"/>
              </w:rPr>
              <w:t>Variáveis</w:t>
            </w:r>
          </w:p>
        </w:tc>
        <w:tc>
          <w:tcPr>
            <w:tcW w:w="2222" w:type="dxa"/>
            <w:tcBorders>
              <w:top w:val="single" w:sz="4" w:space="0" w:color="auto"/>
              <w:left w:val="single" w:sz="4" w:space="0" w:color="auto"/>
              <w:bottom w:val="single" w:sz="4" w:space="0" w:color="auto"/>
              <w:right w:val="single" w:sz="4" w:space="0" w:color="auto"/>
            </w:tcBorders>
            <w:shd w:val="clear" w:color="auto" w:fill="FFFFFF"/>
            <w:vAlign w:val="center"/>
          </w:tcPr>
          <w:p w:rsidR="00D76DB3" w:rsidRPr="00D87F6E" w:rsidRDefault="00D76DB3" w:rsidP="00080401">
            <w:pPr>
              <w:ind w:firstLine="0"/>
              <w:jc w:val="center"/>
              <w:rPr>
                <w:b/>
                <w:i/>
                <w:iCs/>
                <w:sz w:val="20"/>
              </w:rPr>
            </w:pPr>
            <w:r w:rsidRPr="00D87F6E">
              <w:rPr>
                <w:b/>
                <w:iCs/>
                <w:sz w:val="20"/>
              </w:rPr>
              <w:t>Coeficientes angulares</w:t>
            </w:r>
          </w:p>
        </w:tc>
        <w:tc>
          <w:tcPr>
            <w:tcW w:w="1689" w:type="dxa"/>
            <w:tcBorders>
              <w:top w:val="single" w:sz="4" w:space="0" w:color="auto"/>
              <w:left w:val="single" w:sz="4" w:space="0" w:color="auto"/>
              <w:bottom w:val="single" w:sz="4" w:space="0" w:color="auto"/>
              <w:right w:val="single" w:sz="4" w:space="0" w:color="auto"/>
            </w:tcBorders>
            <w:shd w:val="clear" w:color="auto" w:fill="FFFFFF"/>
            <w:vAlign w:val="center"/>
          </w:tcPr>
          <w:p w:rsidR="00D76DB3" w:rsidRPr="00D87F6E" w:rsidRDefault="00D76DB3" w:rsidP="00080401">
            <w:pPr>
              <w:ind w:firstLine="0"/>
              <w:jc w:val="center"/>
              <w:rPr>
                <w:b/>
                <w:i/>
                <w:iCs/>
                <w:sz w:val="20"/>
              </w:rPr>
            </w:pPr>
            <w:r w:rsidRPr="00D87F6E">
              <w:rPr>
                <w:b/>
                <w:iCs/>
                <w:sz w:val="20"/>
              </w:rPr>
              <w:t xml:space="preserve">P </w:t>
            </w:r>
            <w:r w:rsidRPr="00D87F6E">
              <w:rPr>
                <w:b/>
                <w:i/>
                <w:iCs/>
                <w:sz w:val="20"/>
              </w:rPr>
              <w:t>Value</w:t>
            </w:r>
          </w:p>
        </w:tc>
        <w:tc>
          <w:tcPr>
            <w:tcW w:w="1693" w:type="dxa"/>
            <w:tcBorders>
              <w:top w:val="single" w:sz="4" w:space="0" w:color="auto"/>
              <w:left w:val="single" w:sz="4" w:space="0" w:color="auto"/>
              <w:bottom w:val="single" w:sz="4" w:space="0" w:color="auto"/>
              <w:right w:val="single" w:sz="4" w:space="0" w:color="auto"/>
            </w:tcBorders>
            <w:shd w:val="clear" w:color="auto" w:fill="FFFFFF"/>
            <w:vAlign w:val="center"/>
          </w:tcPr>
          <w:p w:rsidR="00D76DB3" w:rsidRPr="00D87F6E" w:rsidRDefault="00D76DB3" w:rsidP="00080401">
            <w:pPr>
              <w:ind w:firstLine="0"/>
              <w:jc w:val="center"/>
              <w:rPr>
                <w:b/>
                <w:i/>
                <w:iCs/>
                <w:sz w:val="20"/>
              </w:rPr>
            </w:pPr>
            <w:r w:rsidRPr="00D87F6E">
              <w:rPr>
                <w:b/>
                <w:i/>
                <w:iCs/>
                <w:sz w:val="20"/>
              </w:rPr>
              <w:t>Tolerance</w:t>
            </w:r>
          </w:p>
        </w:tc>
        <w:tc>
          <w:tcPr>
            <w:tcW w:w="1547" w:type="dxa"/>
            <w:tcBorders>
              <w:top w:val="single" w:sz="4" w:space="0" w:color="auto"/>
              <w:left w:val="single" w:sz="4" w:space="0" w:color="auto"/>
              <w:bottom w:val="single" w:sz="4" w:space="0" w:color="auto"/>
            </w:tcBorders>
            <w:shd w:val="clear" w:color="auto" w:fill="FFFFFF"/>
            <w:vAlign w:val="center"/>
          </w:tcPr>
          <w:p w:rsidR="00D76DB3" w:rsidRPr="00D87F6E" w:rsidRDefault="00D76DB3" w:rsidP="00080401">
            <w:pPr>
              <w:ind w:firstLine="0"/>
              <w:jc w:val="center"/>
              <w:rPr>
                <w:b/>
                <w:i/>
                <w:iCs/>
                <w:sz w:val="20"/>
              </w:rPr>
            </w:pPr>
            <w:r w:rsidRPr="00D87F6E">
              <w:rPr>
                <w:b/>
                <w:iCs/>
                <w:sz w:val="20"/>
              </w:rPr>
              <w:t>VIF</w:t>
            </w:r>
          </w:p>
        </w:tc>
      </w:tr>
      <w:tr w:rsidR="00D80C8D" w:rsidRPr="00D87F6E" w:rsidTr="00C002DB">
        <w:tc>
          <w:tcPr>
            <w:tcW w:w="2254" w:type="dxa"/>
            <w:tcBorders>
              <w:top w:val="single" w:sz="4" w:space="0" w:color="auto"/>
              <w:right w:val="single" w:sz="4" w:space="0" w:color="auto"/>
            </w:tcBorders>
            <w:shd w:val="clear" w:color="auto" w:fill="FFFFFF"/>
            <w:vAlign w:val="center"/>
          </w:tcPr>
          <w:p w:rsidR="00D76DB3" w:rsidRPr="00D87F6E" w:rsidRDefault="00D76DB3" w:rsidP="00080401">
            <w:pPr>
              <w:ind w:firstLine="0"/>
              <w:jc w:val="center"/>
              <w:rPr>
                <w:b/>
                <w:i/>
                <w:iCs/>
                <w:sz w:val="20"/>
              </w:rPr>
            </w:pPr>
            <w:r w:rsidRPr="00D87F6E">
              <w:rPr>
                <w:b/>
                <w:iCs/>
                <w:sz w:val="20"/>
              </w:rPr>
              <w:t>BM</w:t>
            </w:r>
          </w:p>
        </w:tc>
        <w:tc>
          <w:tcPr>
            <w:tcW w:w="2222" w:type="dxa"/>
            <w:tcBorders>
              <w:top w:val="single" w:sz="4" w:space="0" w:color="auto"/>
              <w:left w:val="single" w:sz="4" w:space="0" w:color="auto"/>
              <w:right w:val="single" w:sz="4" w:space="0" w:color="auto"/>
            </w:tcBorders>
            <w:shd w:val="clear" w:color="auto" w:fill="F2F2F2"/>
            <w:vAlign w:val="center"/>
          </w:tcPr>
          <w:p w:rsidR="00D76DB3" w:rsidRPr="00D87F6E" w:rsidRDefault="00D76DB3" w:rsidP="00080401">
            <w:pPr>
              <w:ind w:firstLine="0"/>
              <w:jc w:val="center"/>
              <w:rPr>
                <w:rFonts w:eastAsia="Calibri"/>
                <w:sz w:val="20"/>
              </w:rPr>
            </w:pPr>
            <w:r w:rsidRPr="00D87F6E">
              <w:rPr>
                <w:rFonts w:eastAsia="Calibri"/>
                <w:sz w:val="20"/>
              </w:rPr>
              <w:t>-0,211</w:t>
            </w:r>
          </w:p>
        </w:tc>
        <w:tc>
          <w:tcPr>
            <w:tcW w:w="1689" w:type="dxa"/>
            <w:tcBorders>
              <w:top w:val="single" w:sz="4" w:space="0" w:color="auto"/>
              <w:left w:val="single" w:sz="4" w:space="0" w:color="auto"/>
              <w:right w:val="single" w:sz="4" w:space="0" w:color="auto"/>
            </w:tcBorders>
            <w:shd w:val="clear" w:color="auto" w:fill="F2F2F2"/>
            <w:vAlign w:val="center"/>
          </w:tcPr>
          <w:p w:rsidR="00D76DB3" w:rsidRPr="00D87F6E" w:rsidRDefault="00D76DB3" w:rsidP="00080401">
            <w:pPr>
              <w:ind w:firstLine="0"/>
              <w:jc w:val="center"/>
              <w:rPr>
                <w:rFonts w:eastAsia="Calibri"/>
                <w:sz w:val="20"/>
              </w:rPr>
            </w:pPr>
            <w:r w:rsidRPr="00D87F6E">
              <w:rPr>
                <w:rFonts w:eastAsia="Calibri"/>
                <w:sz w:val="20"/>
              </w:rPr>
              <w:t>0,360</w:t>
            </w:r>
          </w:p>
        </w:tc>
        <w:tc>
          <w:tcPr>
            <w:tcW w:w="1693" w:type="dxa"/>
            <w:tcBorders>
              <w:top w:val="single" w:sz="4" w:space="0" w:color="auto"/>
              <w:left w:val="single" w:sz="4" w:space="0" w:color="auto"/>
              <w:right w:val="single" w:sz="4" w:space="0" w:color="auto"/>
            </w:tcBorders>
            <w:shd w:val="clear" w:color="auto" w:fill="F2F2F2"/>
            <w:vAlign w:val="center"/>
          </w:tcPr>
          <w:p w:rsidR="00D76DB3" w:rsidRPr="00D87F6E" w:rsidRDefault="00D76DB3" w:rsidP="00080401">
            <w:pPr>
              <w:ind w:firstLine="0"/>
              <w:jc w:val="center"/>
              <w:rPr>
                <w:rFonts w:eastAsia="Calibri"/>
                <w:sz w:val="20"/>
              </w:rPr>
            </w:pPr>
            <w:r w:rsidRPr="00D87F6E">
              <w:rPr>
                <w:rFonts w:eastAsia="Calibri"/>
                <w:sz w:val="20"/>
              </w:rPr>
              <w:t>0,608</w:t>
            </w:r>
          </w:p>
        </w:tc>
        <w:tc>
          <w:tcPr>
            <w:tcW w:w="1547" w:type="dxa"/>
            <w:tcBorders>
              <w:top w:val="single" w:sz="4" w:space="0" w:color="auto"/>
              <w:left w:val="single" w:sz="4" w:space="0" w:color="auto"/>
            </w:tcBorders>
            <w:shd w:val="clear" w:color="auto" w:fill="F2F2F2"/>
            <w:vAlign w:val="center"/>
          </w:tcPr>
          <w:p w:rsidR="00D76DB3" w:rsidRPr="00D87F6E" w:rsidRDefault="00D76DB3" w:rsidP="00080401">
            <w:pPr>
              <w:ind w:firstLine="0"/>
              <w:jc w:val="center"/>
              <w:rPr>
                <w:rFonts w:eastAsia="Calibri"/>
                <w:sz w:val="20"/>
              </w:rPr>
            </w:pPr>
            <w:r w:rsidRPr="00D87F6E">
              <w:rPr>
                <w:rFonts w:eastAsia="Calibri"/>
                <w:sz w:val="20"/>
              </w:rPr>
              <w:t>1,646</w:t>
            </w:r>
          </w:p>
        </w:tc>
      </w:tr>
      <w:tr w:rsidR="00D80C8D" w:rsidRPr="00D87F6E" w:rsidTr="00C002DB">
        <w:tc>
          <w:tcPr>
            <w:tcW w:w="2254" w:type="dxa"/>
            <w:tcBorders>
              <w:right w:val="single" w:sz="4" w:space="0" w:color="auto"/>
            </w:tcBorders>
            <w:shd w:val="clear" w:color="auto" w:fill="FFFFFF"/>
            <w:vAlign w:val="center"/>
          </w:tcPr>
          <w:p w:rsidR="00D76DB3" w:rsidRPr="00D87F6E" w:rsidRDefault="00D76DB3" w:rsidP="00080401">
            <w:pPr>
              <w:ind w:firstLine="0"/>
              <w:jc w:val="center"/>
              <w:rPr>
                <w:b/>
                <w:i/>
                <w:iCs/>
                <w:sz w:val="20"/>
              </w:rPr>
            </w:pPr>
            <w:r w:rsidRPr="00D87F6E">
              <w:rPr>
                <w:b/>
                <w:iCs/>
                <w:sz w:val="20"/>
              </w:rPr>
              <w:t>UGC (nível 1)</w:t>
            </w:r>
          </w:p>
        </w:tc>
        <w:tc>
          <w:tcPr>
            <w:tcW w:w="2222" w:type="dxa"/>
            <w:tcBorders>
              <w:left w:val="single" w:sz="4" w:space="0" w:color="auto"/>
              <w:right w:val="single" w:sz="4" w:space="0" w:color="auto"/>
            </w:tcBorders>
            <w:shd w:val="clear" w:color="auto" w:fill="auto"/>
            <w:vAlign w:val="center"/>
          </w:tcPr>
          <w:p w:rsidR="00D76DB3" w:rsidRPr="00D87F6E" w:rsidRDefault="00D76DB3" w:rsidP="00080401">
            <w:pPr>
              <w:ind w:firstLine="0"/>
              <w:jc w:val="center"/>
              <w:rPr>
                <w:rFonts w:eastAsia="Calibri"/>
                <w:sz w:val="20"/>
              </w:rPr>
            </w:pPr>
            <w:r w:rsidRPr="00D87F6E">
              <w:rPr>
                <w:rFonts w:eastAsia="Calibri"/>
                <w:sz w:val="20"/>
              </w:rPr>
              <w:t>-</w:t>
            </w:r>
          </w:p>
        </w:tc>
        <w:tc>
          <w:tcPr>
            <w:tcW w:w="1689" w:type="dxa"/>
            <w:tcBorders>
              <w:left w:val="single" w:sz="4" w:space="0" w:color="auto"/>
              <w:right w:val="single" w:sz="4" w:space="0" w:color="auto"/>
            </w:tcBorders>
            <w:shd w:val="clear" w:color="auto" w:fill="auto"/>
            <w:vAlign w:val="center"/>
          </w:tcPr>
          <w:p w:rsidR="00D76DB3" w:rsidRPr="00D87F6E" w:rsidRDefault="00D76DB3" w:rsidP="00080401">
            <w:pPr>
              <w:ind w:firstLine="0"/>
              <w:jc w:val="center"/>
              <w:rPr>
                <w:rFonts w:eastAsia="Calibri"/>
                <w:sz w:val="20"/>
              </w:rPr>
            </w:pPr>
            <w:r w:rsidRPr="00D87F6E">
              <w:rPr>
                <w:rFonts w:eastAsia="Calibri"/>
                <w:sz w:val="20"/>
              </w:rPr>
              <w:t>-</w:t>
            </w:r>
          </w:p>
        </w:tc>
        <w:tc>
          <w:tcPr>
            <w:tcW w:w="1693" w:type="dxa"/>
            <w:tcBorders>
              <w:left w:val="single" w:sz="4" w:space="0" w:color="auto"/>
              <w:right w:val="single" w:sz="4" w:space="0" w:color="auto"/>
            </w:tcBorders>
            <w:shd w:val="clear" w:color="auto" w:fill="auto"/>
            <w:vAlign w:val="center"/>
          </w:tcPr>
          <w:p w:rsidR="00D76DB3" w:rsidRPr="00D87F6E" w:rsidRDefault="00D76DB3" w:rsidP="00080401">
            <w:pPr>
              <w:ind w:firstLine="0"/>
              <w:jc w:val="center"/>
              <w:rPr>
                <w:rFonts w:eastAsia="Calibri"/>
                <w:sz w:val="20"/>
              </w:rPr>
            </w:pPr>
            <w:r w:rsidRPr="00D87F6E">
              <w:rPr>
                <w:rFonts w:eastAsia="Calibri"/>
                <w:sz w:val="20"/>
              </w:rPr>
              <w:t>0,000</w:t>
            </w:r>
          </w:p>
        </w:tc>
        <w:tc>
          <w:tcPr>
            <w:tcW w:w="1547" w:type="dxa"/>
            <w:tcBorders>
              <w:left w:val="single" w:sz="4" w:space="0" w:color="auto"/>
            </w:tcBorders>
            <w:shd w:val="clear" w:color="auto" w:fill="auto"/>
            <w:vAlign w:val="center"/>
          </w:tcPr>
          <w:p w:rsidR="00D76DB3" w:rsidRPr="00D87F6E" w:rsidRDefault="00D76DB3" w:rsidP="00080401">
            <w:pPr>
              <w:ind w:firstLine="0"/>
              <w:jc w:val="center"/>
              <w:rPr>
                <w:rFonts w:eastAsia="Calibri"/>
                <w:sz w:val="20"/>
              </w:rPr>
            </w:pPr>
            <w:r w:rsidRPr="00D87F6E">
              <w:rPr>
                <w:rFonts w:eastAsia="Calibri"/>
                <w:sz w:val="20"/>
              </w:rPr>
              <w:t>-</w:t>
            </w:r>
          </w:p>
        </w:tc>
      </w:tr>
      <w:tr w:rsidR="00D80C8D" w:rsidRPr="00D87F6E" w:rsidTr="00C002DB">
        <w:tc>
          <w:tcPr>
            <w:tcW w:w="2254" w:type="dxa"/>
            <w:tcBorders>
              <w:right w:val="single" w:sz="4" w:space="0" w:color="auto"/>
            </w:tcBorders>
            <w:shd w:val="clear" w:color="auto" w:fill="FFFFFF"/>
            <w:vAlign w:val="center"/>
          </w:tcPr>
          <w:p w:rsidR="00D76DB3" w:rsidRPr="00D87F6E" w:rsidRDefault="00D76DB3" w:rsidP="00080401">
            <w:pPr>
              <w:ind w:firstLine="0"/>
              <w:jc w:val="center"/>
              <w:rPr>
                <w:b/>
                <w:i/>
                <w:iCs/>
                <w:sz w:val="20"/>
              </w:rPr>
            </w:pPr>
            <w:r w:rsidRPr="00D87F6E">
              <w:rPr>
                <w:b/>
                <w:iCs/>
                <w:sz w:val="20"/>
              </w:rPr>
              <w:t>UGC (nível 2)</w:t>
            </w:r>
          </w:p>
        </w:tc>
        <w:tc>
          <w:tcPr>
            <w:tcW w:w="2222" w:type="dxa"/>
            <w:tcBorders>
              <w:left w:val="single" w:sz="4" w:space="0" w:color="auto"/>
              <w:right w:val="single" w:sz="4" w:space="0" w:color="auto"/>
            </w:tcBorders>
            <w:shd w:val="clear" w:color="auto" w:fill="F2F2F2"/>
            <w:vAlign w:val="center"/>
          </w:tcPr>
          <w:p w:rsidR="00D76DB3" w:rsidRPr="00D87F6E" w:rsidRDefault="00D76DB3" w:rsidP="00080401">
            <w:pPr>
              <w:ind w:firstLine="0"/>
              <w:jc w:val="center"/>
              <w:rPr>
                <w:rFonts w:eastAsia="Calibri"/>
                <w:sz w:val="20"/>
              </w:rPr>
            </w:pPr>
            <w:r w:rsidRPr="00D87F6E">
              <w:rPr>
                <w:rFonts w:eastAsia="Calibri"/>
                <w:sz w:val="20"/>
              </w:rPr>
              <w:t>0,037</w:t>
            </w:r>
          </w:p>
        </w:tc>
        <w:tc>
          <w:tcPr>
            <w:tcW w:w="1689" w:type="dxa"/>
            <w:tcBorders>
              <w:left w:val="single" w:sz="4" w:space="0" w:color="auto"/>
              <w:right w:val="single" w:sz="4" w:space="0" w:color="auto"/>
            </w:tcBorders>
            <w:shd w:val="clear" w:color="auto" w:fill="F2F2F2"/>
            <w:vAlign w:val="center"/>
          </w:tcPr>
          <w:p w:rsidR="00D76DB3" w:rsidRPr="00D87F6E" w:rsidRDefault="00D76DB3" w:rsidP="00080401">
            <w:pPr>
              <w:ind w:firstLine="0"/>
              <w:jc w:val="center"/>
              <w:rPr>
                <w:rFonts w:eastAsia="Calibri"/>
                <w:sz w:val="20"/>
              </w:rPr>
            </w:pPr>
            <w:r w:rsidRPr="00D87F6E">
              <w:rPr>
                <w:rFonts w:eastAsia="Calibri"/>
                <w:sz w:val="20"/>
              </w:rPr>
              <w:t>0,873</w:t>
            </w:r>
          </w:p>
        </w:tc>
        <w:tc>
          <w:tcPr>
            <w:tcW w:w="1693" w:type="dxa"/>
            <w:tcBorders>
              <w:left w:val="single" w:sz="4" w:space="0" w:color="auto"/>
              <w:right w:val="single" w:sz="4" w:space="0" w:color="auto"/>
            </w:tcBorders>
            <w:shd w:val="clear" w:color="auto" w:fill="F2F2F2"/>
            <w:vAlign w:val="center"/>
          </w:tcPr>
          <w:p w:rsidR="00D76DB3" w:rsidRPr="00D87F6E" w:rsidRDefault="00D76DB3" w:rsidP="00080401">
            <w:pPr>
              <w:ind w:firstLine="0"/>
              <w:jc w:val="center"/>
              <w:rPr>
                <w:rFonts w:eastAsia="Calibri"/>
                <w:sz w:val="20"/>
              </w:rPr>
            </w:pPr>
            <w:r w:rsidRPr="00D87F6E">
              <w:rPr>
                <w:rFonts w:eastAsia="Calibri"/>
                <w:sz w:val="20"/>
              </w:rPr>
              <w:t>0,580</w:t>
            </w:r>
          </w:p>
        </w:tc>
        <w:tc>
          <w:tcPr>
            <w:tcW w:w="1547" w:type="dxa"/>
            <w:tcBorders>
              <w:left w:val="single" w:sz="4" w:space="0" w:color="auto"/>
            </w:tcBorders>
            <w:shd w:val="clear" w:color="auto" w:fill="F2F2F2"/>
            <w:vAlign w:val="center"/>
          </w:tcPr>
          <w:p w:rsidR="00D76DB3" w:rsidRPr="00D87F6E" w:rsidRDefault="00D76DB3" w:rsidP="00080401">
            <w:pPr>
              <w:ind w:firstLine="0"/>
              <w:jc w:val="center"/>
              <w:rPr>
                <w:rFonts w:eastAsia="Calibri"/>
                <w:sz w:val="20"/>
              </w:rPr>
            </w:pPr>
            <w:r w:rsidRPr="00D87F6E">
              <w:rPr>
                <w:rFonts w:eastAsia="Calibri"/>
                <w:sz w:val="20"/>
              </w:rPr>
              <w:t>1,724</w:t>
            </w:r>
          </w:p>
        </w:tc>
      </w:tr>
      <w:tr w:rsidR="00D80C8D" w:rsidRPr="00D87F6E" w:rsidTr="00C002DB">
        <w:tc>
          <w:tcPr>
            <w:tcW w:w="2254" w:type="dxa"/>
            <w:tcBorders>
              <w:right w:val="single" w:sz="4" w:space="0" w:color="auto"/>
            </w:tcBorders>
            <w:shd w:val="clear" w:color="auto" w:fill="FFFFFF"/>
            <w:vAlign w:val="center"/>
          </w:tcPr>
          <w:p w:rsidR="00D76DB3" w:rsidRPr="00D87F6E" w:rsidRDefault="00D76DB3" w:rsidP="00080401">
            <w:pPr>
              <w:ind w:firstLine="0"/>
              <w:jc w:val="center"/>
              <w:rPr>
                <w:b/>
                <w:i/>
                <w:iCs/>
                <w:sz w:val="20"/>
              </w:rPr>
            </w:pPr>
            <w:r w:rsidRPr="00D87F6E">
              <w:rPr>
                <w:b/>
                <w:iCs/>
                <w:sz w:val="20"/>
              </w:rPr>
              <w:t>TURN</w:t>
            </w:r>
          </w:p>
        </w:tc>
        <w:tc>
          <w:tcPr>
            <w:tcW w:w="2222" w:type="dxa"/>
            <w:tcBorders>
              <w:left w:val="single" w:sz="4" w:space="0" w:color="auto"/>
              <w:right w:val="single" w:sz="4" w:space="0" w:color="auto"/>
            </w:tcBorders>
            <w:shd w:val="clear" w:color="auto" w:fill="auto"/>
            <w:vAlign w:val="center"/>
          </w:tcPr>
          <w:p w:rsidR="00D76DB3" w:rsidRPr="00D87F6E" w:rsidRDefault="00D76DB3" w:rsidP="00080401">
            <w:pPr>
              <w:ind w:firstLine="0"/>
              <w:jc w:val="center"/>
              <w:rPr>
                <w:rFonts w:eastAsia="Calibri"/>
                <w:sz w:val="20"/>
              </w:rPr>
            </w:pPr>
            <w:r w:rsidRPr="00D87F6E">
              <w:rPr>
                <w:rFonts w:eastAsia="Calibri"/>
                <w:sz w:val="20"/>
              </w:rPr>
              <w:t>0,110</w:t>
            </w:r>
          </w:p>
        </w:tc>
        <w:tc>
          <w:tcPr>
            <w:tcW w:w="1689" w:type="dxa"/>
            <w:tcBorders>
              <w:left w:val="single" w:sz="4" w:space="0" w:color="auto"/>
              <w:right w:val="single" w:sz="4" w:space="0" w:color="auto"/>
            </w:tcBorders>
            <w:shd w:val="clear" w:color="auto" w:fill="auto"/>
            <w:vAlign w:val="center"/>
          </w:tcPr>
          <w:p w:rsidR="00D76DB3" w:rsidRPr="00D87F6E" w:rsidRDefault="00D76DB3" w:rsidP="00080401">
            <w:pPr>
              <w:ind w:firstLine="0"/>
              <w:jc w:val="center"/>
              <w:rPr>
                <w:rFonts w:eastAsia="Calibri"/>
                <w:sz w:val="20"/>
              </w:rPr>
            </w:pPr>
            <w:r w:rsidRPr="00D87F6E">
              <w:rPr>
                <w:rFonts w:eastAsia="Calibri"/>
                <w:sz w:val="20"/>
              </w:rPr>
              <w:t>0,663</w:t>
            </w:r>
          </w:p>
        </w:tc>
        <w:tc>
          <w:tcPr>
            <w:tcW w:w="1693" w:type="dxa"/>
            <w:tcBorders>
              <w:left w:val="single" w:sz="4" w:space="0" w:color="auto"/>
              <w:right w:val="single" w:sz="4" w:space="0" w:color="auto"/>
            </w:tcBorders>
            <w:shd w:val="clear" w:color="auto" w:fill="auto"/>
            <w:vAlign w:val="center"/>
          </w:tcPr>
          <w:p w:rsidR="00D76DB3" w:rsidRPr="00D87F6E" w:rsidRDefault="00D76DB3" w:rsidP="00080401">
            <w:pPr>
              <w:ind w:firstLine="0"/>
              <w:jc w:val="center"/>
              <w:rPr>
                <w:rFonts w:eastAsia="Calibri"/>
                <w:sz w:val="20"/>
              </w:rPr>
            </w:pPr>
            <w:r w:rsidRPr="00D87F6E">
              <w:rPr>
                <w:rFonts w:eastAsia="Calibri"/>
                <w:sz w:val="20"/>
              </w:rPr>
              <w:t>0,494</w:t>
            </w:r>
          </w:p>
        </w:tc>
        <w:tc>
          <w:tcPr>
            <w:tcW w:w="1547" w:type="dxa"/>
            <w:tcBorders>
              <w:left w:val="single" w:sz="4" w:space="0" w:color="auto"/>
            </w:tcBorders>
            <w:shd w:val="clear" w:color="auto" w:fill="auto"/>
            <w:vAlign w:val="center"/>
          </w:tcPr>
          <w:p w:rsidR="00D76DB3" w:rsidRPr="00D87F6E" w:rsidRDefault="00D76DB3" w:rsidP="00080401">
            <w:pPr>
              <w:ind w:firstLine="0"/>
              <w:jc w:val="center"/>
              <w:rPr>
                <w:rFonts w:eastAsia="Calibri"/>
                <w:sz w:val="20"/>
              </w:rPr>
            </w:pPr>
            <w:r w:rsidRPr="00D87F6E">
              <w:rPr>
                <w:rFonts w:eastAsia="Calibri"/>
                <w:sz w:val="20"/>
              </w:rPr>
              <w:t>2,023</w:t>
            </w:r>
          </w:p>
        </w:tc>
      </w:tr>
      <w:tr w:rsidR="00D80C8D" w:rsidRPr="00D87F6E" w:rsidTr="00C002DB">
        <w:tc>
          <w:tcPr>
            <w:tcW w:w="2254" w:type="dxa"/>
            <w:tcBorders>
              <w:right w:val="single" w:sz="4" w:space="0" w:color="auto"/>
            </w:tcBorders>
            <w:shd w:val="clear" w:color="auto" w:fill="FFFFFF"/>
            <w:vAlign w:val="center"/>
          </w:tcPr>
          <w:p w:rsidR="00D76DB3" w:rsidRPr="00D87F6E" w:rsidRDefault="00D76DB3" w:rsidP="00080401">
            <w:pPr>
              <w:ind w:firstLine="0"/>
              <w:jc w:val="center"/>
              <w:rPr>
                <w:b/>
                <w:i/>
                <w:iCs/>
                <w:sz w:val="20"/>
              </w:rPr>
            </w:pPr>
            <w:r w:rsidRPr="00D87F6E">
              <w:rPr>
                <w:b/>
                <w:iCs/>
                <w:sz w:val="20"/>
              </w:rPr>
              <w:t>ΔFCO</w:t>
            </w:r>
          </w:p>
        </w:tc>
        <w:tc>
          <w:tcPr>
            <w:tcW w:w="2222" w:type="dxa"/>
            <w:tcBorders>
              <w:left w:val="single" w:sz="4" w:space="0" w:color="auto"/>
              <w:right w:val="single" w:sz="4" w:space="0" w:color="auto"/>
            </w:tcBorders>
            <w:shd w:val="clear" w:color="auto" w:fill="F2F2F2"/>
            <w:vAlign w:val="center"/>
          </w:tcPr>
          <w:p w:rsidR="00D76DB3" w:rsidRPr="00D87F6E" w:rsidRDefault="00D76DB3" w:rsidP="00080401">
            <w:pPr>
              <w:ind w:firstLine="0"/>
              <w:jc w:val="center"/>
              <w:rPr>
                <w:rFonts w:eastAsia="Calibri"/>
                <w:sz w:val="20"/>
              </w:rPr>
            </w:pPr>
            <w:r w:rsidRPr="00D87F6E">
              <w:rPr>
                <w:rFonts w:eastAsia="Calibri"/>
                <w:sz w:val="20"/>
              </w:rPr>
              <w:t>0,194</w:t>
            </w:r>
          </w:p>
        </w:tc>
        <w:tc>
          <w:tcPr>
            <w:tcW w:w="1689" w:type="dxa"/>
            <w:tcBorders>
              <w:left w:val="single" w:sz="4" w:space="0" w:color="auto"/>
              <w:right w:val="single" w:sz="4" w:space="0" w:color="auto"/>
            </w:tcBorders>
            <w:shd w:val="clear" w:color="auto" w:fill="F2F2F2"/>
            <w:vAlign w:val="center"/>
          </w:tcPr>
          <w:p w:rsidR="00D76DB3" w:rsidRPr="00D87F6E" w:rsidRDefault="00D76DB3" w:rsidP="00080401">
            <w:pPr>
              <w:ind w:firstLine="0"/>
              <w:jc w:val="center"/>
              <w:rPr>
                <w:rFonts w:eastAsia="Calibri"/>
                <w:sz w:val="20"/>
              </w:rPr>
            </w:pPr>
            <w:r w:rsidRPr="00D87F6E">
              <w:rPr>
                <w:rFonts w:eastAsia="Calibri"/>
                <w:sz w:val="20"/>
              </w:rPr>
              <w:t>0,451</w:t>
            </w:r>
          </w:p>
        </w:tc>
        <w:tc>
          <w:tcPr>
            <w:tcW w:w="1693" w:type="dxa"/>
            <w:tcBorders>
              <w:left w:val="single" w:sz="4" w:space="0" w:color="auto"/>
              <w:right w:val="single" w:sz="4" w:space="0" w:color="auto"/>
            </w:tcBorders>
            <w:shd w:val="clear" w:color="auto" w:fill="F2F2F2"/>
            <w:vAlign w:val="center"/>
          </w:tcPr>
          <w:p w:rsidR="00D76DB3" w:rsidRPr="00D87F6E" w:rsidRDefault="00D76DB3" w:rsidP="00080401">
            <w:pPr>
              <w:ind w:firstLine="0"/>
              <w:jc w:val="center"/>
              <w:rPr>
                <w:rFonts w:eastAsia="Calibri"/>
                <w:sz w:val="20"/>
              </w:rPr>
            </w:pPr>
            <w:r w:rsidRPr="00D87F6E">
              <w:rPr>
                <w:rFonts w:eastAsia="Calibri"/>
                <w:sz w:val="20"/>
              </w:rPr>
              <w:t>0,479</w:t>
            </w:r>
          </w:p>
        </w:tc>
        <w:tc>
          <w:tcPr>
            <w:tcW w:w="1547" w:type="dxa"/>
            <w:tcBorders>
              <w:left w:val="single" w:sz="4" w:space="0" w:color="auto"/>
            </w:tcBorders>
            <w:shd w:val="clear" w:color="auto" w:fill="F2F2F2"/>
            <w:vAlign w:val="center"/>
          </w:tcPr>
          <w:p w:rsidR="00D76DB3" w:rsidRPr="00D87F6E" w:rsidRDefault="00D76DB3" w:rsidP="00080401">
            <w:pPr>
              <w:ind w:firstLine="0"/>
              <w:jc w:val="center"/>
              <w:rPr>
                <w:rFonts w:eastAsia="Calibri"/>
                <w:sz w:val="20"/>
              </w:rPr>
            </w:pPr>
            <w:r w:rsidRPr="00D87F6E">
              <w:rPr>
                <w:rFonts w:eastAsia="Calibri"/>
                <w:sz w:val="20"/>
              </w:rPr>
              <w:t>2,086</w:t>
            </w:r>
          </w:p>
        </w:tc>
      </w:tr>
      <w:tr w:rsidR="00D80C8D" w:rsidRPr="00D87F6E" w:rsidTr="00C002DB">
        <w:tc>
          <w:tcPr>
            <w:tcW w:w="2254" w:type="dxa"/>
            <w:tcBorders>
              <w:right w:val="single" w:sz="4" w:space="0" w:color="auto"/>
            </w:tcBorders>
            <w:shd w:val="clear" w:color="auto" w:fill="FFFFFF"/>
            <w:vAlign w:val="center"/>
          </w:tcPr>
          <w:p w:rsidR="00D76DB3" w:rsidRPr="00D87F6E" w:rsidRDefault="00D76DB3" w:rsidP="00080401">
            <w:pPr>
              <w:ind w:firstLine="0"/>
              <w:jc w:val="center"/>
              <w:rPr>
                <w:b/>
                <w:i/>
                <w:iCs/>
                <w:sz w:val="20"/>
              </w:rPr>
            </w:pPr>
            <w:r w:rsidRPr="00D87F6E">
              <w:rPr>
                <w:b/>
                <w:iCs/>
                <w:sz w:val="20"/>
              </w:rPr>
              <w:t>ROA</w:t>
            </w:r>
          </w:p>
        </w:tc>
        <w:tc>
          <w:tcPr>
            <w:tcW w:w="2222" w:type="dxa"/>
            <w:tcBorders>
              <w:left w:val="single" w:sz="4" w:space="0" w:color="auto"/>
              <w:right w:val="single" w:sz="4" w:space="0" w:color="auto"/>
            </w:tcBorders>
            <w:shd w:val="clear" w:color="auto" w:fill="auto"/>
            <w:vAlign w:val="center"/>
          </w:tcPr>
          <w:p w:rsidR="00D76DB3" w:rsidRPr="00D87F6E" w:rsidRDefault="00D76DB3" w:rsidP="00080401">
            <w:pPr>
              <w:ind w:firstLine="0"/>
              <w:jc w:val="center"/>
              <w:rPr>
                <w:rFonts w:eastAsia="Calibri"/>
                <w:sz w:val="20"/>
              </w:rPr>
            </w:pPr>
            <w:r w:rsidRPr="00D87F6E">
              <w:rPr>
                <w:rFonts w:eastAsia="Calibri"/>
                <w:sz w:val="20"/>
              </w:rPr>
              <w:t>-0,674</w:t>
            </w:r>
          </w:p>
        </w:tc>
        <w:tc>
          <w:tcPr>
            <w:tcW w:w="1689" w:type="dxa"/>
            <w:tcBorders>
              <w:left w:val="single" w:sz="4" w:space="0" w:color="auto"/>
              <w:right w:val="single" w:sz="4" w:space="0" w:color="auto"/>
            </w:tcBorders>
            <w:shd w:val="clear" w:color="auto" w:fill="auto"/>
            <w:vAlign w:val="center"/>
          </w:tcPr>
          <w:p w:rsidR="00D76DB3" w:rsidRPr="00D87F6E" w:rsidRDefault="00D76DB3" w:rsidP="00080401">
            <w:pPr>
              <w:ind w:firstLine="0"/>
              <w:jc w:val="center"/>
              <w:rPr>
                <w:rFonts w:eastAsia="Calibri"/>
                <w:sz w:val="20"/>
              </w:rPr>
            </w:pPr>
            <w:r w:rsidRPr="00D87F6E">
              <w:rPr>
                <w:rFonts w:eastAsia="Calibri"/>
                <w:sz w:val="20"/>
              </w:rPr>
              <w:t xml:space="preserve"> 0,017*</w:t>
            </w:r>
          </w:p>
        </w:tc>
        <w:tc>
          <w:tcPr>
            <w:tcW w:w="1693" w:type="dxa"/>
            <w:tcBorders>
              <w:left w:val="single" w:sz="4" w:space="0" w:color="auto"/>
              <w:right w:val="single" w:sz="4" w:space="0" w:color="auto"/>
            </w:tcBorders>
            <w:shd w:val="clear" w:color="auto" w:fill="auto"/>
            <w:vAlign w:val="center"/>
          </w:tcPr>
          <w:p w:rsidR="00D76DB3" w:rsidRPr="00D87F6E" w:rsidRDefault="00D76DB3" w:rsidP="00080401">
            <w:pPr>
              <w:ind w:firstLine="0"/>
              <w:jc w:val="center"/>
              <w:rPr>
                <w:rFonts w:eastAsia="Calibri"/>
                <w:sz w:val="20"/>
              </w:rPr>
            </w:pPr>
            <w:r w:rsidRPr="00D87F6E">
              <w:rPr>
                <w:rFonts w:eastAsia="Calibri"/>
                <w:sz w:val="20"/>
              </w:rPr>
              <w:t>0,533</w:t>
            </w:r>
          </w:p>
        </w:tc>
        <w:tc>
          <w:tcPr>
            <w:tcW w:w="1547" w:type="dxa"/>
            <w:tcBorders>
              <w:left w:val="single" w:sz="4" w:space="0" w:color="auto"/>
            </w:tcBorders>
            <w:shd w:val="clear" w:color="auto" w:fill="auto"/>
            <w:vAlign w:val="center"/>
          </w:tcPr>
          <w:p w:rsidR="00D76DB3" w:rsidRPr="00D87F6E" w:rsidRDefault="00D76DB3" w:rsidP="00080401">
            <w:pPr>
              <w:ind w:firstLine="0"/>
              <w:jc w:val="center"/>
              <w:rPr>
                <w:rFonts w:eastAsia="Calibri"/>
                <w:sz w:val="20"/>
              </w:rPr>
            </w:pPr>
            <w:r w:rsidRPr="00D87F6E">
              <w:rPr>
                <w:rFonts w:eastAsia="Calibri"/>
                <w:sz w:val="20"/>
              </w:rPr>
              <w:t>1,876</w:t>
            </w:r>
          </w:p>
        </w:tc>
      </w:tr>
      <w:tr w:rsidR="00D80C8D" w:rsidRPr="00D87F6E" w:rsidTr="00C002DB">
        <w:tc>
          <w:tcPr>
            <w:tcW w:w="2254" w:type="dxa"/>
            <w:tcBorders>
              <w:right w:val="single" w:sz="4" w:space="0" w:color="auto"/>
            </w:tcBorders>
            <w:shd w:val="clear" w:color="auto" w:fill="FFFFFF"/>
            <w:vAlign w:val="center"/>
          </w:tcPr>
          <w:p w:rsidR="00D76DB3" w:rsidRPr="00D87F6E" w:rsidRDefault="00D76DB3" w:rsidP="00080401">
            <w:pPr>
              <w:ind w:firstLine="0"/>
              <w:jc w:val="center"/>
              <w:rPr>
                <w:b/>
                <w:i/>
                <w:iCs/>
                <w:sz w:val="20"/>
              </w:rPr>
            </w:pPr>
            <w:r w:rsidRPr="00D87F6E">
              <w:rPr>
                <w:b/>
                <w:iCs/>
                <w:sz w:val="20"/>
              </w:rPr>
              <w:t>GOOD</w:t>
            </w:r>
          </w:p>
        </w:tc>
        <w:tc>
          <w:tcPr>
            <w:tcW w:w="2222" w:type="dxa"/>
            <w:tcBorders>
              <w:left w:val="single" w:sz="4" w:space="0" w:color="auto"/>
              <w:right w:val="single" w:sz="4" w:space="0" w:color="auto"/>
            </w:tcBorders>
            <w:shd w:val="clear" w:color="auto" w:fill="F2F2F2"/>
            <w:vAlign w:val="center"/>
          </w:tcPr>
          <w:p w:rsidR="00D76DB3" w:rsidRPr="00D87F6E" w:rsidRDefault="00D76DB3" w:rsidP="00080401">
            <w:pPr>
              <w:ind w:firstLine="0"/>
              <w:jc w:val="center"/>
              <w:rPr>
                <w:rFonts w:eastAsia="Calibri"/>
                <w:sz w:val="20"/>
              </w:rPr>
            </w:pPr>
            <w:r w:rsidRPr="00D87F6E">
              <w:rPr>
                <w:rFonts w:eastAsia="Calibri"/>
                <w:sz w:val="20"/>
              </w:rPr>
              <w:t>0,277</w:t>
            </w:r>
          </w:p>
        </w:tc>
        <w:tc>
          <w:tcPr>
            <w:tcW w:w="1689" w:type="dxa"/>
            <w:tcBorders>
              <w:left w:val="single" w:sz="4" w:space="0" w:color="auto"/>
              <w:right w:val="single" w:sz="4" w:space="0" w:color="auto"/>
            </w:tcBorders>
            <w:shd w:val="clear" w:color="auto" w:fill="F2F2F2"/>
            <w:vAlign w:val="center"/>
          </w:tcPr>
          <w:p w:rsidR="00D76DB3" w:rsidRPr="00D87F6E" w:rsidRDefault="00D76DB3" w:rsidP="00080401">
            <w:pPr>
              <w:ind w:firstLine="0"/>
              <w:jc w:val="center"/>
              <w:rPr>
                <w:rFonts w:eastAsia="Calibri"/>
                <w:sz w:val="20"/>
              </w:rPr>
            </w:pPr>
            <w:r w:rsidRPr="00D87F6E">
              <w:rPr>
                <w:rFonts w:eastAsia="Calibri"/>
                <w:sz w:val="20"/>
              </w:rPr>
              <w:t>0,190</w:t>
            </w:r>
          </w:p>
        </w:tc>
        <w:tc>
          <w:tcPr>
            <w:tcW w:w="1693" w:type="dxa"/>
            <w:tcBorders>
              <w:left w:val="single" w:sz="4" w:space="0" w:color="auto"/>
              <w:right w:val="single" w:sz="4" w:space="0" w:color="auto"/>
            </w:tcBorders>
            <w:shd w:val="clear" w:color="auto" w:fill="F2F2F2"/>
            <w:vAlign w:val="center"/>
          </w:tcPr>
          <w:p w:rsidR="00D76DB3" w:rsidRPr="00D87F6E" w:rsidRDefault="00D76DB3" w:rsidP="00080401">
            <w:pPr>
              <w:ind w:firstLine="0"/>
              <w:jc w:val="center"/>
              <w:rPr>
                <w:rFonts w:eastAsia="Calibri"/>
                <w:sz w:val="20"/>
              </w:rPr>
            </w:pPr>
            <w:r w:rsidRPr="00D87F6E">
              <w:rPr>
                <w:rFonts w:eastAsia="Calibri"/>
                <w:sz w:val="20"/>
              </w:rPr>
              <w:t>0,756</w:t>
            </w:r>
          </w:p>
        </w:tc>
        <w:tc>
          <w:tcPr>
            <w:tcW w:w="1547" w:type="dxa"/>
            <w:tcBorders>
              <w:left w:val="single" w:sz="4" w:space="0" w:color="auto"/>
            </w:tcBorders>
            <w:shd w:val="clear" w:color="auto" w:fill="F2F2F2"/>
            <w:vAlign w:val="center"/>
          </w:tcPr>
          <w:p w:rsidR="00D76DB3" w:rsidRPr="00D87F6E" w:rsidRDefault="00D76DB3" w:rsidP="00080401">
            <w:pPr>
              <w:ind w:firstLine="0"/>
              <w:jc w:val="center"/>
              <w:rPr>
                <w:rFonts w:eastAsia="Calibri"/>
                <w:sz w:val="20"/>
              </w:rPr>
            </w:pPr>
            <w:r w:rsidRPr="00D87F6E">
              <w:rPr>
                <w:rFonts w:eastAsia="Calibri"/>
                <w:sz w:val="20"/>
              </w:rPr>
              <w:t>1,323</w:t>
            </w:r>
          </w:p>
        </w:tc>
      </w:tr>
      <w:tr w:rsidR="00D80C8D" w:rsidRPr="00D87F6E" w:rsidTr="00C002DB">
        <w:tc>
          <w:tcPr>
            <w:tcW w:w="2254" w:type="dxa"/>
            <w:tcBorders>
              <w:bottom w:val="single" w:sz="4" w:space="0" w:color="auto"/>
              <w:right w:val="single" w:sz="4" w:space="0" w:color="auto"/>
            </w:tcBorders>
            <w:shd w:val="clear" w:color="auto" w:fill="FFFFFF"/>
            <w:vAlign w:val="center"/>
          </w:tcPr>
          <w:p w:rsidR="00D76DB3" w:rsidRPr="00D87F6E" w:rsidRDefault="00D76DB3" w:rsidP="00080401">
            <w:pPr>
              <w:ind w:firstLine="0"/>
              <w:jc w:val="center"/>
              <w:rPr>
                <w:b/>
                <w:i/>
                <w:iCs/>
                <w:sz w:val="20"/>
              </w:rPr>
            </w:pPr>
            <w:r w:rsidRPr="00D87F6E">
              <w:rPr>
                <w:b/>
                <w:iCs/>
                <w:sz w:val="20"/>
              </w:rPr>
              <w:t>ALAFIN</w:t>
            </w:r>
          </w:p>
        </w:tc>
        <w:tc>
          <w:tcPr>
            <w:tcW w:w="2222" w:type="dxa"/>
            <w:tcBorders>
              <w:left w:val="single" w:sz="4" w:space="0" w:color="auto"/>
              <w:bottom w:val="single" w:sz="4" w:space="0" w:color="auto"/>
              <w:right w:val="single" w:sz="4" w:space="0" w:color="auto"/>
            </w:tcBorders>
            <w:shd w:val="clear" w:color="auto" w:fill="auto"/>
            <w:vAlign w:val="center"/>
          </w:tcPr>
          <w:p w:rsidR="00D76DB3" w:rsidRPr="00D87F6E" w:rsidRDefault="00D76DB3" w:rsidP="00080401">
            <w:pPr>
              <w:ind w:firstLine="0"/>
              <w:jc w:val="center"/>
              <w:rPr>
                <w:rFonts w:eastAsia="Calibri"/>
                <w:sz w:val="20"/>
              </w:rPr>
            </w:pPr>
            <w:r w:rsidRPr="00D87F6E">
              <w:rPr>
                <w:rFonts w:eastAsia="Calibri"/>
                <w:sz w:val="20"/>
              </w:rPr>
              <w:t>0,127</w:t>
            </w:r>
          </w:p>
        </w:tc>
        <w:tc>
          <w:tcPr>
            <w:tcW w:w="1689" w:type="dxa"/>
            <w:tcBorders>
              <w:left w:val="single" w:sz="4" w:space="0" w:color="auto"/>
              <w:bottom w:val="single" w:sz="4" w:space="0" w:color="auto"/>
              <w:right w:val="single" w:sz="4" w:space="0" w:color="auto"/>
            </w:tcBorders>
            <w:shd w:val="clear" w:color="auto" w:fill="auto"/>
            <w:vAlign w:val="center"/>
          </w:tcPr>
          <w:p w:rsidR="00D76DB3" w:rsidRPr="00D87F6E" w:rsidRDefault="00D76DB3" w:rsidP="00080401">
            <w:pPr>
              <w:ind w:firstLine="0"/>
              <w:jc w:val="center"/>
              <w:rPr>
                <w:rFonts w:eastAsia="Calibri"/>
                <w:sz w:val="20"/>
              </w:rPr>
            </w:pPr>
            <w:r w:rsidRPr="00D87F6E">
              <w:rPr>
                <w:rFonts w:eastAsia="Calibri"/>
                <w:sz w:val="20"/>
              </w:rPr>
              <w:t>0,591</w:t>
            </w:r>
          </w:p>
        </w:tc>
        <w:tc>
          <w:tcPr>
            <w:tcW w:w="1693" w:type="dxa"/>
            <w:tcBorders>
              <w:left w:val="single" w:sz="4" w:space="0" w:color="auto"/>
              <w:bottom w:val="single" w:sz="4" w:space="0" w:color="auto"/>
              <w:right w:val="single" w:sz="4" w:space="0" w:color="auto"/>
            </w:tcBorders>
            <w:shd w:val="clear" w:color="auto" w:fill="auto"/>
            <w:vAlign w:val="center"/>
          </w:tcPr>
          <w:p w:rsidR="00D76DB3" w:rsidRPr="00D87F6E" w:rsidRDefault="00D76DB3" w:rsidP="00080401">
            <w:pPr>
              <w:ind w:firstLine="0"/>
              <w:jc w:val="center"/>
              <w:rPr>
                <w:rFonts w:eastAsia="Calibri"/>
                <w:sz w:val="20"/>
              </w:rPr>
            </w:pPr>
            <w:r w:rsidRPr="00D87F6E">
              <w:rPr>
                <w:rFonts w:eastAsia="Calibri"/>
                <w:sz w:val="20"/>
              </w:rPr>
              <w:t>0,562</w:t>
            </w:r>
          </w:p>
        </w:tc>
        <w:tc>
          <w:tcPr>
            <w:tcW w:w="1547" w:type="dxa"/>
            <w:tcBorders>
              <w:left w:val="single" w:sz="4" w:space="0" w:color="auto"/>
              <w:bottom w:val="single" w:sz="4" w:space="0" w:color="auto"/>
            </w:tcBorders>
            <w:shd w:val="clear" w:color="auto" w:fill="auto"/>
            <w:vAlign w:val="center"/>
          </w:tcPr>
          <w:p w:rsidR="00D76DB3" w:rsidRPr="00D87F6E" w:rsidRDefault="00D76DB3" w:rsidP="00080401">
            <w:pPr>
              <w:ind w:firstLine="0"/>
              <w:jc w:val="center"/>
              <w:rPr>
                <w:rFonts w:eastAsia="Calibri"/>
                <w:sz w:val="20"/>
              </w:rPr>
            </w:pPr>
            <w:r w:rsidRPr="00D87F6E">
              <w:rPr>
                <w:rFonts w:eastAsia="Calibri"/>
                <w:sz w:val="20"/>
              </w:rPr>
              <w:t>1,778</w:t>
            </w:r>
          </w:p>
        </w:tc>
      </w:tr>
      <w:tr w:rsidR="00D80C8D" w:rsidRPr="00D87F6E" w:rsidTr="00C002DB">
        <w:tc>
          <w:tcPr>
            <w:tcW w:w="2254" w:type="dxa"/>
            <w:tcBorders>
              <w:top w:val="single" w:sz="4" w:space="0" w:color="auto"/>
              <w:right w:val="single" w:sz="4" w:space="0" w:color="auto"/>
            </w:tcBorders>
            <w:shd w:val="clear" w:color="auto" w:fill="FFFFFF"/>
            <w:vAlign w:val="center"/>
          </w:tcPr>
          <w:p w:rsidR="00D76DB3" w:rsidRPr="00D87F6E" w:rsidRDefault="00D76DB3" w:rsidP="00080401">
            <w:pPr>
              <w:ind w:firstLine="0"/>
              <w:jc w:val="center"/>
              <w:rPr>
                <w:i/>
                <w:iCs/>
                <w:sz w:val="20"/>
              </w:rPr>
            </w:pPr>
            <w:r w:rsidRPr="00D87F6E">
              <w:rPr>
                <w:i/>
                <w:iCs/>
                <w:sz w:val="20"/>
              </w:rPr>
              <w:t>R</w:t>
            </w:r>
            <w:r w:rsidRPr="00D87F6E">
              <w:rPr>
                <w:iCs/>
                <w:sz w:val="20"/>
              </w:rPr>
              <w:t>²</w:t>
            </w:r>
          </w:p>
        </w:tc>
        <w:tc>
          <w:tcPr>
            <w:tcW w:w="7151" w:type="dxa"/>
            <w:gridSpan w:val="4"/>
            <w:tcBorders>
              <w:top w:val="single" w:sz="2" w:space="0" w:color="7F7F7F"/>
              <w:left w:val="single" w:sz="4" w:space="0" w:color="auto"/>
            </w:tcBorders>
            <w:shd w:val="clear" w:color="auto" w:fill="F2F2F2"/>
            <w:vAlign w:val="center"/>
          </w:tcPr>
          <w:p w:rsidR="00D76DB3" w:rsidRPr="00D87F6E" w:rsidRDefault="00D76DB3" w:rsidP="00080401">
            <w:pPr>
              <w:ind w:firstLine="0"/>
              <w:jc w:val="center"/>
              <w:rPr>
                <w:rFonts w:eastAsia="Calibri"/>
                <w:sz w:val="20"/>
              </w:rPr>
            </w:pPr>
            <w:r w:rsidRPr="00D87F6E">
              <w:rPr>
                <w:rFonts w:eastAsia="Calibri"/>
                <w:sz w:val="20"/>
              </w:rPr>
              <w:t>0,706</w:t>
            </w:r>
          </w:p>
        </w:tc>
      </w:tr>
      <w:tr w:rsidR="00D80C8D" w:rsidRPr="00D87F6E" w:rsidTr="00C002DB">
        <w:tc>
          <w:tcPr>
            <w:tcW w:w="2254" w:type="dxa"/>
            <w:tcBorders>
              <w:right w:val="single" w:sz="4" w:space="0" w:color="auto"/>
            </w:tcBorders>
            <w:shd w:val="clear" w:color="auto" w:fill="FFFFFF"/>
            <w:vAlign w:val="center"/>
          </w:tcPr>
          <w:p w:rsidR="00D76DB3" w:rsidRPr="00D87F6E" w:rsidRDefault="00D76DB3" w:rsidP="00080401">
            <w:pPr>
              <w:ind w:firstLine="0"/>
              <w:jc w:val="center"/>
              <w:rPr>
                <w:i/>
                <w:iCs/>
                <w:sz w:val="20"/>
              </w:rPr>
            </w:pPr>
            <w:r w:rsidRPr="00D87F6E">
              <w:rPr>
                <w:i/>
                <w:iCs/>
                <w:sz w:val="20"/>
              </w:rPr>
              <w:t>R</w:t>
            </w:r>
            <w:r w:rsidRPr="00D87F6E">
              <w:rPr>
                <w:iCs/>
                <w:sz w:val="20"/>
              </w:rPr>
              <w:t>² Ajustado</w:t>
            </w:r>
          </w:p>
        </w:tc>
        <w:tc>
          <w:tcPr>
            <w:tcW w:w="7151" w:type="dxa"/>
            <w:gridSpan w:val="4"/>
            <w:tcBorders>
              <w:left w:val="single" w:sz="4" w:space="0" w:color="auto"/>
            </w:tcBorders>
            <w:shd w:val="clear" w:color="auto" w:fill="auto"/>
            <w:vAlign w:val="center"/>
          </w:tcPr>
          <w:p w:rsidR="00D76DB3" w:rsidRPr="00D87F6E" w:rsidRDefault="00D76DB3" w:rsidP="00080401">
            <w:pPr>
              <w:ind w:firstLine="0"/>
              <w:jc w:val="center"/>
              <w:rPr>
                <w:rFonts w:eastAsia="Calibri"/>
                <w:sz w:val="20"/>
              </w:rPr>
            </w:pPr>
            <w:r w:rsidRPr="00D87F6E">
              <w:rPr>
                <w:rFonts w:eastAsia="Calibri"/>
                <w:sz w:val="20"/>
              </w:rPr>
              <w:t>0,500</w:t>
            </w:r>
          </w:p>
        </w:tc>
      </w:tr>
      <w:tr w:rsidR="00D80C8D" w:rsidRPr="00D87F6E" w:rsidTr="00C002DB">
        <w:tc>
          <w:tcPr>
            <w:tcW w:w="2254" w:type="dxa"/>
            <w:tcBorders>
              <w:right w:val="single" w:sz="4" w:space="0" w:color="auto"/>
            </w:tcBorders>
            <w:shd w:val="clear" w:color="auto" w:fill="FFFFFF"/>
            <w:vAlign w:val="center"/>
          </w:tcPr>
          <w:p w:rsidR="00D76DB3" w:rsidRPr="00D87F6E" w:rsidRDefault="00D76DB3" w:rsidP="00080401">
            <w:pPr>
              <w:ind w:firstLine="0"/>
              <w:jc w:val="center"/>
              <w:rPr>
                <w:i/>
                <w:iCs/>
                <w:sz w:val="20"/>
              </w:rPr>
            </w:pPr>
            <w:r w:rsidRPr="00D87F6E">
              <w:rPr>
                <w:iCs/>
                <w:sz w:val="20"/>
              </w:rPr>
              <w:t xml:space="preserve">Estatística </w:t>
            </w:r>
            <w:r w:rsidRPr="00D87F6E">
              <w:rPr>
                <w:i/>
                <w:iCs/>
                <w:sz w:val="20"/>
              </w:rPr>
              <w:t>F</w:t>
            </w:r>
          </w:p>
        </w:tc>
        <w:tc>
          <w:tcPr>
            <w:tcW w:w="7151" w:type="dxa"/>
            <w:gridSpan w:val="4"/>
            <w:tcBorders>
              <w:left w:val="single" w:sz="4" w:space="0" w:color="auto"/>
            </w:tcBorders>
            <w:shd w:val="clear" w:color="auto" w:fill="F2F2F2"/>
            <w:vAlign w:val="center"/>
          </w:tcPr>
          <w:p w:rsidR="00D76DB3" w:rsidRPr="00D87F6E" w:rsidRDefault="00D76DB3" w:rsidP="00080401">
            <w:pPr>
              <w:ind w:firstLine="0"/>
              <w:jc w:val="center"/>
              <w:rPr>
                <w:rFonts w:eastAsia="Calibri"/>
                <w:sz w:val="20"/>
              </w:rPr>
            </w:pPr>
            <w:r w:rsidRPr="00D87F6E">
              <w:rPr>
                <w:rFonts w:eastAsia="Calibri"/>
                <w:sz w:val="20"/>
              </w:rPr>
              <w:t>3,427</w:t>
            </w:r>
          </w:p>
        </w:tc>
      </w:tr>
      <w:tr w:rsidR="00D80C8D" w:rsidRPr="00D87F6E" w:rsidTr="00C002DB">
        <w:trPr>
          <w:trHeight w:val="104"/>
        </w:trPr>
        <w:tc>
          <w:tcPr>
            <w:tcW w:w="2254" w:type="dxa"/>
            <w:tcBorders>
              <w:bottom w:val="single" w:sz="4" w:space="0" w:color="auto"/>
              <w:right w:val="single" w:sz="4" w:space="0" w:color="auto"/>
            </w:tcBorders>
            <w:shd w:val="clear" w:color="auto" w:fill="FFFFFF"/>
            <w:vAlign w:val="center"/>
          </w:tcPr>
          <w:p w:rsidR="00D76DB3" w:rsidRPr="00D87F6E" w:rsidRDefault="00D76DB3" w:rsidP="00080401">
            <w:pPr>
              <w:ind w:firstLine="0"/>
              <w:jc w:val="center"/>
              <w:rPr>
                <w:i/>
                <w:iCs/>
                <w:sz w:val="20"/>
              </w:rPr>
            </w:pPr>
            <w:r w:rsidRPr="00D87F6E">
              <w:rPr>
                <w:iCs/>
                <w:sz w:val="20"/>
              </w:rPr>
              <w:t>Sig.</w:t>
            </w:r>
          </w:p>
        </w:tc>
        <w:tc>
          <w:tcPr>
            <w:tcW w:w="7151" w:type="dxa"/>
            <w:gridSpan w:val="4"/>
            <w:tcBorders>
              <w:left w:val="single" w:sz="4" w:space="0" w:color="auto"/>
              <w:bottom w:val="single" w:sz="2" w:space="0" w:color="7F7F7F"/>
            </w:tcBorders>
            <w:shd w:val="clear" w:color="auto" w:fill="auto"/>
            <w:vAlign w:val="center"/>
          </w:tcPr>
          <w:p w:rsidR="00D76DB3" w:rsidRPr="00D87F6E" w:rsidRDefault="00D76DB3" w:rsidP="00080401">
            <w:pPr>
              <w:ind w:firstLine="0"/>
              <w:jc w:val="center"/>
              <w:rPr>
                <w:rFonts w:eastAsia="Calibri"/>
                <w:sz w:val="20"/>
              </w:rPr>
            </w:pPr>
            <w:r w:rsidRPr="00D87F6E">
              <w:rPr>
                <w:rFonts w:eastAsia="Calibri"/>
                <w:sz w:val="20"/>
              </w:rPr>
              <w:t>0,039</w:t>
            </w:r>
          </w:p>
        </w:tc>
      </w:tr>
      <w:tr w:rsidR="00D80C8D" w:rsidRPr="00D87F6E" w:rsidTr="00C002DB">
        <w:tc>
          <w:tcPr>
            <w:tcW w:w="2254" w:type="dxa"/>
            <w:tcBorders>
              <w:top w:val="single" w:sz="4" w:space="0" w:color="auto"/>
              <w:bottom w:val="single" w:sz="4" w:space="0" w:color="auto"/>
              <w:right w:val="single" w:sz="4" w:space="0" w:color="auto"/>
            </w:tcBorders>
            <w:shd w:val="clear" w:color="auto" w:fill="FFFFFF"/>
            <w:vAlign w:val="center"/>
          </w:tcPr>
          <w:p w:rsidR="00D76DB3" w:rsidRPr="00D87F6E" w:rsidRDefault="00D76DB3" w:rsidP="00080401">
            <w:pPr>
              <w:ind w:firstLine="0"/>
              <w:jc w:val="center"/>
              <w:rPr>
                <w:b/>
                <w:i/>
                <w:iCs/>
                <w:sz w:val="20"/>
              </w:rPr>
            </w:pPr>
            <w:r w:rsidRPr="00D87F6E">
              <w:rPr>
                <w:b/>
                <w:iCs/>
                <w:sz w:val="20"/>
              </w:rPr>
              <w:t>Empresas analisadas</w:t>
            </w:r>
          </w:p>
        </w:tc>
        <w:tc>
          <w:tcPr>
            <w:tcW w:w="7151" w:type="dxa"/>
            <w:gridSpan w:val="4"/>
            <w:tcBorders>
              <w:top w:val="single" w:sz="4" w:space="0" w:color="auto"/>
              <w:left w:val="single" w:sz="4" w:space="0" w:color="auto"/>
              <w:bottom w:val="single" w:sz="4" w:space="0" w:color="auto"/>
            </w:tcBorders>
            <w:shd w:val="clear" w:color="auto" w:fill="F2F2F2"/>
            <w:vAlign w:val="center"/>
          </w:tcPr>
          <w:p w:rsidR="00D76DB3" w:rsidRPr="00D87F6E" w:rsidRDefault="00D76DB3" w:rsidP="00080401">
            <w:pPr>
              <w:ind w:firstLine="0"/>
              <w:jc w:val="center"/>
              <w:rPr>
                <w:rFonts w:eastAsia="Calibri"/>
                <w:b/>
                <w:sz w:val="20"/>
              </w:rPr>
            </w:pPr>
            <w:r w:rsidRPr="00D87F6E">
              <w:rPr>
                <w:rFonts w:eastAsia="Calibri"/>
                <w:b/>
                <w:sz w:val="20"/>
              </w:rPr>
              <w:t>18</w:t>
            </w:r>
          </w:p>
        </w:tc>
      </w:tr>
    </w:tbl>
    <w:p w:rsidR="00D76DB3" w:rsidRPr="00D87F6E" w:rsidRDefault="00D76DB3" w:rsidP="00080401">
      <w:pPr>
        <w:ind w:firstLine="0"/>
        <w:rPr>
          <w:sz w:val="20"/>
        </w:rPr>
      </w:pPr>
      <w:r w:rsidRPr="00D87F6E">
        <w:rPr>
          <w:sz w:val="20"/>
        </w:rPr>
        <w:t>* significativo ao nível de 5%.</w:t>
      </w:r>
    </w:p>
    <w:p w:rsidR="00D76DB3" w:rsidRPr="00D87F6E" w:rsidRDefault="00D76DB3" w:rsidP="00080401">
      <w:pPr>
        <w:ind w:firstLine="0"/>
        <w:rPr>
          <w:sz w:val="20"/>
        </w:rPr>
      </w:pPr>
      <w:r w:rsidRPr="00D87F6E">
        <w:rPr>
          <w:sz w:val="20"/>
        </w:rPr>
        <w:t>Fonte: Dados da Pesquisa.</w:t>
      </w:r>
    </w:p>
    <w:p w:rsidR="005C1E82" w:rsidRPr="00D87F6E" w:rsidRDefault="005C1E82" w:rsidP="00080401">
      <w:pPr>
        <w:ind w:firstLine="0"/>
        <w:rPr>
          <w:sz w:val="20"/>
        </w:rPr>
      </w:pPr>
    </w:p>
    <w:p w:rsidR="00D76DB3" w:rsidRPr="00D87F6E" w:rsidRDefault="00D76DB3" w:rsidP="00080401">
      <w:r w:rsidRPr="00D87F6E">
        <w:t xml:space="preserve">Relativo ao </w:t>
      </w:r>
      <w:r w:rsidRPr="00D87F6E">
        <w:rPr>
          <w:i/>
        </w:rPr>
        <w:t>R</w:t>
      </w:r>
      <w:r w:rsidRPr="00D87F6E">
        <w:t xml:space="preserve">² da regressão, este indica que as variáveis independentes do modelo explicam 50% da variação da variável IMPG, considerando o </w:t>
      </w:r>
      <w:r w:rsidRPr="00D87F6E">
        <w:rPr>
          <w:i/>
        </w:rPr>
        <w:t>R</w:t>
      </w:r>
      <w:r w:rsidRPr="00D87F6E">
        <w:t>² ajustado. Por meio do Sig.</w:t>
      </w:r>
      <w:r w:rsidRPr="00D87F6E">
        <w:rPr>
          <w:i/>
        </w:rPr>
        <w:t xml:space="preserve"> F</w:t>
      </w:r>
      <w:r w:rsidRPr="00D87F6E">
        <w:t xml:space="preserve"> = 0,039 &lt; 0,05 tem-se que o modelo é significante e, a partir do </w:t>
      </w:r>
      <w:r w:rsidRPr="00D87F6E">
        <w:rPr>
          <w:i/>
        </w:rPr>
        <w:t>p-value</w:t>
      </w:r>
      <w:r w:rsidRPr="00D87F6E">
        <w:t>, é possível afirmar que a única variável que se mostrou significativa foi o ROA, pois Sig.</w:t>
      </w:r>
      <w:r w:rsidRPr="00D87F6E">
        <w:rPr>
          <w:i/>
        </w:rPr>
        <w:t xml:space="preserve"> t</w:t>
      </w:r>
      <w:r w:rsidRPr="00D87F6E">
        <w:t xml:space="preserve">&lt; 0,05 (FÁVERO </w:t>
      </w:r>
      <w:r w:rsidRPr="00D87F6E">
        <w:rPr>
          <w:i/>
        </w:rPr>
        <w:t>et al.</w:t>
      </w:r>
      <w:r w:rsidRPr="00D87F6E">
        <w:t xml:space="preserve">, 2009). </w:t>
      </w:r>
    </w:p>
    <w:p w:rsidR="005C1E82" w:rsidRPr="00D87F6E" w:rsidRDefault="00D76DB3" w:rsidP="00080401">
      <w:r w:rsidRPr="00D87F6E">
        <w:t xml:space="preserve">Somando-se a </w:t>
      </w:r>
      <w:r w:rsidR="005C1E82" w:rsidRPr="00D87F6E">
        <w:t>isso</w:t>
      </w:r>
      <w:r w:rsidRPr="00D87F6E">
        <w:t xml:space="preserve"> o fato do coeficiente angular </w:t>
      </w:r>
      <w:r w:rsidR="00081B96" w:rsidRPr="00D87F6E">
        <w:t>dessa</w:t>
      </w:r>
      <w:r w:rsidRPr="00D87F6E">
        <w:t xml:space="preserve"> variável ser negativo, a hipótese H</w:t>
      </w:r>
      <w:r w:rsidRPr="00D87F6E">
        <w:rPr>
          <w:vertAlign w:val="subscript"/>
        </w:rPr>
        <w:t xml:space="preserve">5 </w:t>
      </w:r>
      <w:r w:rsidRPr="00D87F6E">
        <w:t xml:space="preserve">não foi rejeitada. Logo,verificou-se uma relação significativa e negativa entre a Rentabilidade sobre o Ativo Total e o reconhecimento das perdas por </w:t>
      </w:r>
      <w:r w:rsidRPr="00D87F6E">
        <w:rPr>
          <w:i/>
        </w:rPr>
        <w:t xml:space="preserve">impairment </w:t>
      </w:r>
      <w:r w:rsidRPr="00D87F6E">
        <w:t xml:space="preserve">do </w:t>
      </w:r>
      <w:r w:rsidRPr="00D87F6E">
        <w:rPr>
          <w:i/>
        </w:rPr>
        <w:t>goodwill</w:t>
      </w:r>
      <w:r w:rsidR="00081B96" w:rsidRPr="00D87F6E">
        <w:t>, corroborando</w:t>
      </w:r>
      <w:r w:rsidRPr="00D87F6E">
        <w:t xml:space="preserve">o primeiro modelo analisado (Tabela 4) e as pesquisas adjacentes ao tema (ABUGHAZALEH </w:t>
      </w:r>
      <w:r w:rsidRPr="00D87F6E">
        <w:rPr>
          <w:i/>
        </w:rPr>
        <w:t>et al.</w:t>
      </w:r>
      <w:r w:rsidRPr="00D87F6E">
        <w:t xml:space="preserve">, 2011; </w:t>
      </w:r>
      <w:r w:rsidR="005C1E82" w:rsidRPr="00D87F6E">
        <w:t>ZANG, 2008</w:t>
      </w:r>
      <w:r w:rsidRPr="00D87F6E">
        <w:t xml:space="preserve">). Assim, empresas menos rentáveis tendem a reconhecer tais perdas. </w:t>
      </w:r>
    </w:p>
    <w:p w:rsidR="00D76DB3" w:rsidRPr="00D87F6E" w:rsidRDefault="00D76DB3" w:rsidP="00080401">
      <w:r w:rsidRPr="00D87F6E">
        <w:t xml:space="preserve">Adicionalmente, tem-se que o sinal </w:t>
      </w:r>
      <w:r w:rsidR="005C1E82" w:rsidRPr="00D87F6E">
        <w:t>encontrado</w:t>
      </w:r>
      <w:r w:rsidRPr="00D87F6E">
        <w:t xml:space="preserve"> na relação entre esse fator e a variável dependente corrobora os achados em pesquisas anteriores (ABUGHAZALEH </w:t>
      </w:r>
      <w:r w:rsidRPr="00D87F6E">
        <w:rPr>
          <w:i/>
        </w:rPr>
        <w:t>et al.</w:t>
      </w:r>
      <w:r w:rsidRPr="00D87F6E">
        <w:t xml:space="preserve">, 2011; ZANG, 2008; KLANN </w:t>
      </w:r>
      <w:r w:rsidRPr="00D87F6E">
        <w:rPr>
          <w:i/>
        </w:rPr>
        <w:t>et al</w:t>
      </w:r>
      <w:r w:rsidRPr="00D87F6E">
        <w:t>., 2015).</w:t>
      </w:r>
    </w:p>
    <w:p w:rsidR="00D76DB3" w:rsidRPr="00D87F6E" w:rsidRDefault="00D76DB3" w:rsidP="00080401">
      <w:r w:rsidRPr="00D87F6E">
        <w:t>Com relação à multicolinearidade, verifica-se que a variável UGC (nível 1) foi excluída do modelo por possuir</w:t>
      </w:r>
      <w:r w:rsidRPr="00D87F6E">
        <w:rPr>
          <w:i/>
        </w:rPr>
        <w:t xml:space="preserve"> Tolerance</w:t>
      </w:r>
      <w:r w:rsidRPr="00D87F6E">
        <w:t xml:space="preserve"> igual a zero. Para as demais variáveis, a partir da estatística VIF, pode-se inferir que não ocorreram problemas de multicolinearidade. Da mesma forma, a amostra, em relação a primeira aplicação do modelo, é menor.</w:t>
      </w:r>
    </w:p>
    <w:p w:rsidR="00D76DB3" w:rsidRPr="00D87F6E" w:rsidRDefault="00D76DB3" w:rsidP="00080401">
      <w:r w:rsidRPr="00D87F6E">
        <w:t>Uma vez que as variáveis BM, UGC (nível 2), TURN, ΔFCO, GOOD e ALAFIN não se mostraram significativas, as hipóteses H</w:t>
      </w:r>
      <w:r w:rsidRPr="00D87F6E">
        <w:rPr>
          <w:vertAlign w:val="subscript"/>
        </w:rPr>
        <w:t>1</w:t>
      </w:r>
      <w:r w:rsidRPr="00D87F6E">
        <w:t>, H</w:t>
      </w:r>
      <w:r w:rsidRPr="00D87F6E">
        <w:rPr>
          <w:vertAlign w:val="subscript"/>
        </w:rPr>
        <w:t>2,</w:t>
      </w:r>
      <w:r w:rsidRPr="00D87F6E">
        <w:t xml:space="preserve"> H</w:t>
      </w:r>
      <w:r w:rsidRPr="00D87F6E">
        <w:rPr>
          <w:vertAlign w:val="subscript"/>
        </w:rPr>
        <w:t>3</w:t>
      </w:r>
      <w:r w:rsidRPr="00D87F6E">
        <w:t>, H</w:t>
      </w:r>
      <w:r w:rsidRPr="00D87F6E">
        <w:rPr>
          <w:vertAlign w:val="subscript"/>
        </w:rPr>
        <w:t>4</w:t>
      </w:r>
      <w:r w:rsidRPr="00D87F6E">
        <w:t>, H</w:t>
      </w:r>
      <w:r w:rsidRPr="00D87F6E">
        <w:rPr>
          <w:vertAlign w:val="subscript"/>
        </w:rPr>
        <w:t xml:space="preserve">6 </w:t>
      </w:r>
      <w:r w:rsidRPr="00D87F6E">
        <w:t>e H</w:t>
      </w:r>
      <w:r w:rsidRPr="00D87F6E">
        <w:rPr>
          <w:vertAlign w:val="subscript"/>
        </w:rPr>
        <w:t>7</w:t>
      </w:r>
      <w:r w:rsidRPr="00D87F6E">
        <w:t xml:space="preserve"> foram rejeitadas. Relativo aos sinais dos coeficientes angulares </w:t>
      </w:r>
      <w:r w:rsidR="006E5510" w:rsidRPr="00D87F6E">
        <w:t>dessas</w:t>
      </w:r>
      <w:r w:rsidRPr="00D87F6E">
        <w:t xml:space="preserve"> variáveis, a variável GOOD foi a única que apresentou o sinal esperado. Todavia, como já abordado, não foi estabelecido sinal para a relação entre a perda por </w:t>
      </w:r>
      <w:r w:rsidRPr="00D87F6E">
        <w:rPr>
          <w:i/>
        </w:rPr>
        <w:t xml:space="preserve">impairment </w:t>
      </w:r>
      <w:r w:rsidRPr="00D87F6E">
        <w:t xml:space="preserve">e as respectivas variáveis UGC (nível 1) e UGC (nível 2). Assim, considerando </w:t>
      </w:r>
      <w:r w:rsidRPr="00D87F6E">
        <w:lastRenderedPageBreak/>
        <w:t>que a variável UGC (nível 1) foi excluída, não se pode afirmar que a variável UGC (nível 2) não apresentou o sinal esperado.</w:t>
      </w:r>
    </w:p>
    <w:p w:rsidR="006E5510" w:rsidRPr="00D87F6E" w:rsidRDefault="004011F6" w:rsidP="00080401">
      <w:r w:rsidRPr="00D87F6E">
        <w:t>Dessa forma</w:t>
      </w:r>
      <w:r w:rsidR="00D76DB3" w:rsidRPr="00D87F6E">
        <w:t xml:space="preserve">, considerando-se apenas as 18 empresas que reconheceram perdas por </w:t>
      </w:r>
      <w:r w:rsidR="00D76DB3" w:rsidRPr="00D87F6E">
        <w:rPr>
          <w:i/>
        </w:rPr>
        <w:t>impairment</w:t>
      </w:r>
      <w:r w:rsidR="00D76DB3" w:rsidRPr="00D87F6E">
        <w:t xml:space="preserve"> do </w:t>
      </w:r>
      <w:r w:rsidR="00D76DB3" w:rsidRPr="00D87F6E">
        <w:rPr>
          <w:i/>
        </w:rPr>
        <w:t>goodwill</w:t>
      </w:r>
      <w:r w:rsidR="00D76DB3" w:rsidRPr="00D87F6E">
        <w:t xml:space="preserve">, o fator Rentabilidade sobre o Ativo Total foi o único que mostrou exercer influência sobre o reconhecimento das perdas por </w:t>
      </w:r>
      <w:r w:rsidR="00D76DB3" w:rsidRPr="00D87F6E">
        <w:rPr>
          <w:i/>
        </w:rPr>
        <w:t>impairment</w:t>
      </w:r>
      <w:r w:rsidR="006E5510" w:rsidRPr="00D87F6E">
        <w:t>desse</w:t>
      </w:r>
      <w:r w:rsidR="00D76DB3" w:rsidRPr="00D87F6E">
        <w:t xml:space="preserve"> ativo. </w:t>
      </w:r>
    </w:p>
    <w:p w:rsidR="00D76DB3" w:rsidRPr="00D87F6E" w:rsidRDefault="00D76DB3" w:rsidP="00080401">
      <w:r w:rsidRPr="00D87F6E">
        <w:t>Em ambas as situações o teste de Durbin-Watson, utilizado para fins de verificação da autocorrelação dos resíduos, não foi efetuado, uma vez que os dados do modelo de regressão referem-se somente ao ano de 2015.</w:t>
      </w:r>
    </w:p>
    <w:p w:rsidR="00E24E18" w:rsidRPr="00D87F6E" w:rsidRDefault="00D76DB3" w:rsidP="00080401">
      <w:r w:rsidRPr="00D87F6E">
        <w:t xml:space="preserve">Vale observar que os resultados encontrados se diferem dos obtidos por Klann </w:t>
      </w:r>
      <w:r w:rsidRPr="00D87F6E">
        <w:rPr>
          <w:i/>
        </w:rPr>
        <w:t>et al.</w:t>
      </w:r>
      <w:r w:rsidRPr="00D87F6E">
        <w:t xml:space="preserve"> (2015). Através de sua pesquisa, </w:t>
      </w:r>
      <w:r w:rsidR="006E5510" w:rsidRPr="00D87F6E">
        <w:t>esses</w:t>
      </w:r>
      <w:r w:rsidRPr="00D87F6E">
        <w:t xml:space="preserve"> autores encontraram que as variáveis UGC e </w:t>
      </w:r>
      <w:r w:rsidRPr="00D87F6E">
        <w:rPr>
          <w:i/>
        </w:rPr>
        <w:t>Turnover</w:t>
      </w:r>
      <w:r w:rsidRPr="00D87F6E">
        <w:t xml:space="preserve"> são significantes com relação ao reconhecimento das perdas por </w:t>
      </w:r>
      <w:r w:rsidRPr="00D87F6E">
        <w:rPr>
          <w:i/>
        </w:rPr>
        <w:t>impairment</w:t>
      </w:r>
      <w:r w:rsidRPr="00D87F6E">
        <w:t xml:space="preserve"> do </w:t>
      </w:r>
      <w:r w:rsidRPr="00D87F6E">
        <w:rPr>
          <w:i/>
        </w:rPr>
        <w:t>goodwill</w:t>
      </w:r>
      <w:r w:rsidRPr="00D87F6E">
        <w:t xml:space="preserve">, enquanto que, para as variáveis Variação da Rentabilidade sobre o Ativo Total e Valor do </w:t>
      </w:r>
      <w:r w:rsidRPr="00D87F6E">
        <w:rPr>
          <w:i/>
        </w:rPr>
        <w:t>Goodwill</w:t>
      </w:r>
      <w:r w:rsidRPr="00D87F6E">
        <w:t>, tal significância não foi constatada.</w:t>
      </w:r>
    </w:p>
    <w:p w:rsidR="00E24E18" w:rsidRPr="00D87F6E" w:rsidRDefault="00E24E18" w:rsidP="00080401">
      <w:pPr>
        <w:ind w:firstLine="0"/>
        <w:rPr>
          <w:szCs w:val="24"/>
        </w:rPr>
      </w:pPr>
    </w:p>
    <w:p w:rsidR="003A6076" w:rsidRPr="00D87F6E" w:rsidRDefault="003A6076" w:rsidP="00080401">
      <w:pPr>
        <w:pStyle w:val="Ttulo1"/>
        <w:numPr>
          <w:ilvl w:val="0"/>
          <w:numId w:val="0"/>
        </w:numPr>
        <w:spacing w:before="0" w:after="0"/>
        <w:ind w:left="431" w:hanging="431"/>
        <w:rPr>
          <w:sz w:val="24"/>
          <w:szCs w:val="24"/>
        </w:rPr>
      </w:pPr>
      <w:r w:rsidRPr="00D87F6E">
        <w:rPr>
          <w:sz w:val="24"/>
          <w:szCs w:val="24"/>
        </w:rPr>
        <w:t>5 CONSIDERAÇÕES FINAIS</w:t>
      </w:r>
    </w:p>
    <w:p w:rsidR="00E273C2" w:rsidRPr="00D87F6E" w:rsidRDefault="00E273C2" w:rsidP="00080401">
      <w:pPr>
        <w:rPr>
          <w:lang/>
        </w:rPr>
      </w:pPr>
    </w:p>
    <w:p w:rsidR="003A6076" w:rsidRPr="00D87F6E" w:rsidRDefault="003A6076" w:rsidP="00080401">
      <w:pPr>
        <w:rPr>
          <w:szCs w:val="24"/>
        </w:rPr>
      </w:pPr>
      <w:r w:rsidRPr="00D87F6E">
        <w:rPr>
          <w:szCs w:val="24"/>
        </w:rPr>
        <w:t>O presente estudo objetivou identificar as explicações para o reconhecimento das perdas por</w:t>
      </w:r>
      <w:r w:rsidRPr="00D87F6E">
        <w:rPr>
          <w:i/>
          <w:szCs w:val="24"/>
        </w:rPr>
        <w:t xml:space="preserve"> impairment</w:t>
      </w:r>
      <w:r w:rsidRPr="00D87F6E">
        <w:rPr>
          <w:szCs w:val="24"/>
        </w:rPr>
        <w:t xml:space="preserve"> do </w:t>
      </w:r>
      <w:r w:rsidRPr="00D87F6E">
        <w:rPr>
          <w:i/>
          <w:szCs w:val="24"/>
        </w:rPr>
        <w:t>goodwill</w:t>
      </w:r>
      <w:r w:rsidRPr="00D87F6E">
        <w:rPr>
          <w:szCs w:val="24"/>
        </w:rPr>
        <w:t>, resultante de uma combinação de negócios, nas empresas listadas na BM&amp;FBOVESPA em 2015. Os dados foram coletados das DFPs e do banco de dados Economática</w:t>
      </w:r>
      <w:r w:rsidRPr="00D87F6E">
        <w:rPr>
          <w:szCs w:val="24"/>
          <w:vertAlign w:val="superscript"/>
        </w:rPr>
        <w:t>®</w:t>
      </w:r>
      <w:r w:rsidRPr="00D87F6E">
        <w:rPr>
          <w:szCs w:val="24"/>
        </w:rPr>
        <w:t xml:space="preserve"> e, para a aplicação do modelo de regressão linear múltipla, foi utilizado o </w:t>
      </w:r>
      <w:r w:rsidRPr="00D87F6E">
        <w:rPr>
          <w:i/>
          <w:szCs w:val="24"/>
        </w:rPr>
        <w:t>softwareSPSS Statistics</w:t>
      </w:r>
      <w:r w:rsidRPr="00D87F6E">
        <w:rPr>
          <w:szCs w:val="24"/>
          <w:vertAlign w:val="superscript"/>
        </w:rPr>
        <w:t>®</w:t>
      </w:r>
      <w:r w:rsidRPr="00D87F6E">
        <w:rPr>
          <w:szCs w:val="24"/>
        </w:rPr>
        <w:t xml:space="preserve">. Assim, de modo similar ao estudo de Klann </w:t>
      </w:r>
      <w:r w:rsidRPr="00D87F6E">
        <w:rPr>
          <w:i/>
          <w:szCs w:val="24"/>
        </w:rPr>
        <w:t>et al.</w:t>
      </w:r>
      <w:r w:rsidRPr="00D87F6E">
        <w:rPr>
          <w:szCs w:val="24"/>
        </w:rPr>
        <w:t xml:space="preserve"> (2015), analisou-se quais fatores estão relacionados ao reconhecimento das perdas por </w:t>
      </w:r>
      <w:r w:rsidRPr="00D87F6E">
        <w:rPr>
          <w:i/>
          <w:szCs w:val="24"/>
        </w:rPr>
        <w:t>impairment</w:t>
      </w:r>
      <w:r w:rsidRPr="00D87F6E">
        <w:rPr>
          <w:szCs w:val="24"/>
        </w:rPr>
        <w:t xml:space="preserve"> do </w:t>
      </w:r>
      <w:r w:rsidRPr="00D87F6E">
        <w:rPr>
          <w:i/>
          <w:szCs w:val="24"/>
        </w:rPr>
        <w:t>goodwill</w:t>
      </w:r>
      <w:r w:rsidRPr="00D87F6E">
        <w:rPr>
          <w:szCs w:val="24"/>
        </w:rPr>
        <w:t xml:space="preserve">. </w:t>
      </w:r>
    </w:p>
    <w:p w:rsidR="003A6076" w:rsidRPr="00D87F6E" w:rsidRDefault="003A6076" w:rsidP="00080401">
      <w:pPr>
        <w:rPr>
          <w:szCs w:val="24"/>
        </w:rPr>
      </w:pPr>
      <w:r w:rsidRPr="00D87F6E">
        <w:rPr>
          <w:szCs w:val="24"/>
        </w:rPr>
        <w:t xml:space="preserve">Primeiramente, aplicou-se o modelo de regressão para todas as 102 empresas que apresentaram saldo de </w:t>
      </w:r>
      <w:r w:rsidRPr="00D87F6E">
        <w:rPr>
          <w:i/>
          <w:szCs w:val="24"/>
        </w:rPr>
        <w:t>goodwill</w:t>
      </w:r>
      <w:r w:rsidRPr="00D87F6E">
        <w:rPr>
          <w:szCs w:val="24"/>
        </w:rPr>
        <w:t xml:space="preserve"> resultante de combinação de negócios, independentemente, destas terem reconhecido perdas por </w:t>
      </w:r>
      <w:r w:rsidRPr="00D87F6E">
        <w:rPr>
          <w:i/>
          <w:szCs w:val="24"/>
        </w:rPr>
        <w:t>impairment</w:t>
      </w:r>
      <w:r w:rsidR="00E273C2" w:rsidRPr="00D87F6E">
        <w:rPr>
          <w:szCs w:val="24"/>
        </w:rPr>
        <w:t>desse</w:t>
      </w:r>
      <w:r w:rsidRPr="00D87F6E">
        <w:rPr>
          <w:szCs w:val="24"/>
        </w:rPr>
        <w:t xml:space="preserve"> ativo, em 2015, ou não. Após, aplicou-se o modelo apenas para as 18 empresas que reconheceram perdas por </w:t>
      </w:r>
      <w:r w:rsidRPr="00D87F6E">
        <w:rPr>
          <w:i/>
          <w:szCs w:val="24"/>
        </w:rPr>
        <w:t>impairment</w:t>
      </w:r>
      <w:r w:rsidRPr="00D87F6E">
        <w:rPr>
          <w:szCs w:val="24"/>
        </w:rPr>
        <w:t xml:space="preserve"> do</w:t>
      </w:r>
      <w:r w:rsidRPr="00D87F6E">
        <w:rPr>
          <w:i/>
          <w:szCs w:val="24"/>
        </w:rPr>
        <w:t xml:space="preserve"> goodwill</w:t>
      </w:r>
      <w:r w:rsidRPr="00D87F6E">
        <w:rPr>
          <w:szCs w:val="24"/>
        </w:rPr>
        <w:t xml:space="preserve"> em 2015. Para a primeira aplicação do modelo, os fatores Rentabilidade sobre o Ativo Total e Valor do </w:t>
      </w:r>
      <w:r w:rsidRPr="00D87F6E">
        <w:rPr>
          <w:i/>
          <w:szCs w:val="24"/>
        </w:rPr>
        <w:t xml:space="preserve">Goodwill </w:t>
      </w:r>
      <w:r w:rsidRPr="00D87F6E">
        <w:rPr>
          <w:szCs w:val="24"/>
        </w:rPr>
        <w:t xml:space="preserve">se mostraram significativos com relação ao reconhecimento das perdas por </w:t>
      </w:r>
      <w:r w:rsidRPr="00D87F6E">
        <w:rPr>
          <w:i/>
          <w:szCs w:val="24"/>
        </w:rPr>
        <w:t>impairment</w:t>
      </w:r>
      <w:r w:rsidRPr="00D87F6E">
        <w:rPr>
          <w:szCs w:val="24"/>
        </w:rPr>
        <w:t xml:space="preserve"> do </w:t>
      </w:r>
      <w:r w:rsidRPr="00D87F6E">
        <w:rPr>
          <w:i/>
          <w:szCs w:val="24"/>
        </w:rPr>
        <w:t>goodwill</w:t>
      </w:r>
      <w:r w:rsidRPr="00D87F6E">
        <w:rPr>
          <w:szCs w:val="24"/>
        </w:rPr>
        <w:t xml:space="preserve">. Por sua vez, para a segunda aplicação do modelo, constatou-se a Rentabilidade sobre o Ativo Total como único fator significativo. </w:t>
      </w:r>
    </w:p>
    <w:p w:rsidR="00E273C2" w:rsidRPr="00D87F6E" w:rsidRDefault="003A6076" w:rsidP="00080401">
      <w:pPr>
        <w:rPr>
          <w:szCs w:val="24"/>
        </w:rPr>
      </w:pPr>
      <w:r w:rsidRPr="00D87F6E">
        <w:rPr>
          <w:szCs w:val="24"/>
        </w:rPr>
        <w:t xml:space="preserve">Os demais fatores analisados, </w:t>
      </w:r>
      <w:r w:rsidRPr="00D87F6E">
        <w:rPr>
          <w:i/>
          <w:szCs w:val="24"/>
        </w:rPr>
        <w:t>Book to Market</w:t>
      </w:r>
      <w:r w:rsidRPr="00D87F6E">
        <w:rPr>
          <w:szCs w:val="24"/>
        </w:rPr>
        <w:t xml:space="preserve">, UGC (nível 1 e nível 2), </w:t>
      </w:r>
      <w:r w:rsidRPr="00D87F6E">
        <w:rPr>
          <w:i/>
          <w:szCs w:val="24"/>
        </w:rPr>
        <w:t>Turnover</w:t>
      </w:r>
      <w:r w:rsidRPr="00D87F6E">
        <w:rPr>
          <w:szCs w:val="24"/>
        </w:rPr>
        <w:t xml:space="preserve">, Variação do Fluxo de Caixa Operacional e Alavancagem Financeira não se mostraram significantes para as duas aplicações do modelo de regressão. </w:t>
      </w:r>
    </w:p>
    <w:p w:rsidR="003A6076" w:rsidRPr="00D87F6E" w:rsidRDefault="003A6076" w:rsidP="00080401">
      <w:pPr>
        <w:rPr>
          <w:szCs w:val="24"/>
        </w:rPr>
      </w:pPr>
      <w:r w:rsidRPr="00D87F6E">
        <w:rPr>
          <w:szCs w:val="24"/>
        </w:rPr>
        <w:t xml:space="preserve">Assim, tendo-se uma relação significativa e positiva entre o Valor do </w:t>
      </w:r>
      <w:r w:rsidRPr="00D87F6E">
        <w:rPr>
          <w:i/>
          <w:szCs w:val="24"/>
        </w:rPr>
        <w:t>Goodwill</w:t>
      </w:r>
      <w:r w:rsidRPr="00D87F6E">
        <w:rPr>
          <w:szCs w:val="24"/>
        </w:rPr>
        <w:t xml:space="preserve"> e o reconhecimento das perdas por </w:t>
      </w:r>
      <w:r w:rsidRPr="00D87F6E">
        <w:rPr>
          <w:i/>
          <w:szCs w:val="24"/>
        </w:rPr>
        <w:t xml:space="preserve">impairment </w:t>
      </w:r>
      <w:r w:rsidRPr="00D87F6E">
        <w:rPr>
          <w:szCs w:val="24"/>
        </w:rPr>
        <w:t xml:space="preserve">do </w:t>
      </w:r>
      <w:r w:rsidRPr="00D87F6E">
        <w:rPr>
          <w:i/>
          <w:szCs w:val="24"/>
        </w:rPr>
        <w:t>goodwill</w:t>
      </w:r>
      <w:r w:rsidRPr="00D87F6E">
        <w:rPr>
          <w:szCs w:val="24"/>
        </w:rPr>
        <w:t xml:space="preserve">, infere-se, de acordo com Klann </w:t>
      </w:r>
      <w:r w:rsidRPr="00D87F6E">
        <w:rPr>
          <w:i/>
          <w:szCs w:val="24"/>
        </w:rPr>
        <w:t>et al.</w:t>
      </w:r>
      <w:r w:rsidRPr="00D87F6E">
        <w:rPr>
          <w:szCs w:val="24"/>
        </w:rPr>
        <w:t xml:space="preserve"> (2015), que as empresas com maior quantidade </w:t>
      </w:r>
      <w:r w:rsidR="00E273C2" w:rsidRPr="00D87F6E">
        <w:rPr>
          <w:szCs w:val="24"/>
        </w:rPr>
        <w:t>desse</w:t>
      </w:r>
      <w:r w:rsidRPr="00D87F6E">
        <w:rPr>
          <w:szCs w:val="24"/>
        </w:rPr>
        <w:t xml:space="preserve"> ativo estão reconhecendo maiores perdas por </w:t>
      </w:r>
      <w:r w:rsidRPr="00D87F6E">
        <w:rPr>
          <w:i/>
          <w:szCs w:val="24"/>
        </w:rPr>
        <w:t xml:space="preserve">impairment </w:t>
      </w:r>
      <w:r w:rsidRPr="00D87F6E">
        <w:rPr>
          <w:szCs w:val="24"/>
        </w:rPr>
        <w:t xml:space="preserve">do </w:t>
      </w:r>
      <w:r w:rsidRPr="00D87F6E">
        <w:rPr>
          <w:i/>
          <w:szCs w:val="24"/>
        </w:rPr>
        <w:t>goodwill</w:t>
      </w:r>
      <w:r w:rsidRPr="00D87F6E">
        <w:rPr>
          <w:szCs w:val="24"/>
        </w:rPr>
        <w:t xml:space="preserve">. </w:t>
      </w:r>
    </w:p>
    <w:p w:rsidR="003A6076" w:rsidRPr="00D87F6E" w:rsidRDefault="003A6076" w:rsidP="00080401">
      <w:pPr>
        <w:rPr>
          <w:i/>
          <w:szCs w:val="24"/>
        </w:rPr>
      </w:pPr>
      <w:r w:rsidRPr="00D87F6E">
        <w:rPr>
          <w:szCs w:val="24"/>
        </w:rPr>
        <w:t xml:space="preserve">Concernente à relação entre a Rentabilidade sobre o Ativo Total e o reconhecimento das perdas por </w:t>
      </w:r>
      <w:r w:rsidRPr="00D87F6E">
        <w:rPr>
          <w:i/>
          <w:szCs w:val="24"/>
        </w:rPr>
        <w:t>impairment</w:t>
      </w:r>
      <w:r w:rsidRPr="00D87F6E">
        <w:rPr>
          <w:szCs w:val="24"/>
        </w:rPr>
        <w:t xml:space="preserve"> do </w:t>
      </w:r>
      <w:r w:rsidRPr="00D87F6E">
        <w:rPr>
          <w:i/>
          <w:szCs w:val="24"/>
        </w:rPr>
        <w:t>goodwill</w:t>
      </w:r>
      <w:r w:rsidRPr="00D87F6E">
        <w:rPr>
          <w:szCs w:val="24"/>
        </w:rPr>
        <w:t xml:space="preserve">, tem-se que esta é significativa e negativa. Logo, as empresas </w:t>
      </w:r>
      <w:r w:rsidRPr="00D87F6E">
        <w:rPr>
          <w:szCs w:val="24"/>
        </w:rPr>
        <w:lastRenderedPageBreak/>
        <w:t>menos rentáveis tendem a reconhecer mais perdas por</w:t>
      </w:r>
      <w:r w:rsidRPr="00D87F6E">
        <w:rPr>
          <w:i/>
          <w:szCs w:val="24"/>
        </w:rPr>
        <w:t xml:space="preserve"> impairment</w:t>
      </w:r>
      <w:r w:rsidRPr="00D87F6E">
        <w:rPr>
          <w:szCs w:val="24"/>
        </w:rPr>
        <w:t xml:space="preserve"> do </w:t>
      </w:r>
      <w:r w:rsidRPr="00D87F6E">
        <w:rPr>
          <w:i/>
          <w:szCs w:val="24"/>
        </w:rPr>
        <w:t>goodwill</w:t>
      </w:r>
      <w:r w:rsidRPr="00D87F6E">
        <w:rPr>
          <w:szCs w:val="24"/>
        </w:rPr>
        <w:t xml:space="preserve">, apontando, por exemplo, que </w:t>
      </w:r>
      <w:r w:rsidR="00E273C2" w:rsidRPr="00D87F6E">
        <w:rPr>
          <w:szCs w:val="24"/>
        </w:rPr>
        <w:t>essas</w:t>
      </w:r>
      <w:r w:rsidRPr="00D87F6E">
        <w:rPr>
          <w:szCs w:val="24"/>
        </w:rPr>
        <w:t xml:space="preserve"> entidades podem estar realizando práticas de </w:t>
      </w:r>
      <w:r w:rsidRPr="00D87F6E">
        <w:rPr>
          <w:i/>
          <w:szCs w:val="24"/>
        </w:rPr>
        <w:t>big bath</w:t>
      </w:r>
      <w:r w:rsidRPr="00D87F6E">
        <w:rPr>
          <w:szCs w:val="24"/>
        </w:rPr>
        <w:t>, uma vez que é possível estarem reconhecendo mais perdas, no presente, para que os resultados seguintes ‘pareçam’ maiores.</w:t>
      </w:r>
    </w:p>
    <w:p w:rsidR="003A6076" w:rsidRPr="00D87F6E" w:rsidRDefault="003A6076" w:rsidP="00080401">
      <w:pPr>
        <w:rPr>
          <w:szCs w:val="24"/>
        </w:rPr>
      </w:pPr>
      <w:r w:rsidRPr="00D87F6E">
        <w:rPr>
          <w:szCs w:val="24"/>
        </w:rPr>
        <w:t xml:space="preserve">Em consonância com as pesquisas de Souza (2015a) e Barbosa </w:t>
      </w:r>
      <w:r w:rsidRPr="00D87F6E">
        <w:rPr>
          <w:i/>
          <w:szCs w:val="24"/>
        </w:rPr>
        <w:t>et al</w:t>
      </w:r>
      <w:r w:rsidRPr="00D87F6E">
        <w:rPr>
          <w:szCs w:val="24"/>
        </w:rPr>
        <w:t xml:space="preserve">. (2014), este estudo também constatou deficiência na divulgação de informações a respeito do </w:t>
      </w:r>
      <w:r w:rsidRPr="00D87F6E">
        <w:rPr>
          <w:i/>
          <w:szCs w:val="24"/>
        </w:rPr>
        <w:t>goodwill</w:t>
      </w:r>
      <w:r w:rsidRPr="00D87F6E">
        <w:rPr>
          <w:szCs w:val="24"/>
        </w:rPr>
        <w:t xml:space="preserve"> e de seu teste de </w:t>
      </w:r>
      <w:r w:rsidRPr="00D87F6E">
        <w:rPr>
          <w:i/>
          <w:szCs w:val="24"/>
        </w:rPr>
        <w:t>impairment</w:t>
      </w:r>
      <w:r w:rsidRPr="00D87F6E">
        <w:rPr>
          <w:szCs w:val="24"/>
        </w:rPr>
        <w:t xml:space="preserve">. Adicionalmente, tem-se que muitas empresas deixaram de ser consideradas nesta pesquisa em decorrência de sua análise ter sido prejudicada, ou até mesmo não ter sido possível, visto que muitas DFPs apresentaram falta de coerência com as normas ou proporcionaram informações incompletas para os usuários. </w:t>
      </w:r>
    </w:p>
    <w:p w:rsidR="003A6076" w:rsidRPr="00D87F6E" w:rsidRDefault="003A6076" w:rsidP="00080401">
      <w:pPr>
        <w:rPr>
          <w:szCs w:val="24"/>
        </w:rPr>
      </w:pPr>
      <w:r w:rsidRPr="00D87F6E">
        <w:rPr>
          <w:szCs w:val="24"/>
        </w:rPr>
        <w:t xml:space="preserve">Este estudo possui como limitação o fato de não terem sido consideradas todas as variáveis que podem se enquadrar como fatores que explicam o reconhecimento das perdas por </w:t>
      </w:r>
      <w:r w:rsidRPr="00D87F6E">
        <w:rPr>
          <w:i/>
          <w:szCs w:val="24"/>
        </w:rPr>
        <w:t>impairment</w:t>
      </w:r>
      <w:r w:rsidRPr="00D87F6E">
        <w:rPr>
          <w:szCs w:val="24"/>
        </w:rPr>
        <w:t xml:space="preserve"> do </w:t>
      </w:r>
      <w:r w:rsidRPr="00D87F6E">
        <w:rPr>
          <w:i/>
          <w:szCs w:val="24"/>
        </w:rPr>
        <w:t>goodwill</w:t>
      </w:r>
      <w:r w:rsidRPr="00D87F6E">
        <w:rPr>
          <w:szCs w:val="24"/>
        </w:rPr>
        <w:t>. Logo, sugere-se para trabalhos futuros a continuação desta pesquisa com a inclusão de novas variáveis ao modelo.</w:t>
      </w:r>
    </w:p>
    <w:p w:rsidR="00E24E18" w:rsidRPr="00D87F6E" w:rsidRDefault="00E24E18" w:rsidP="00080401">
      <w:pPr>
        <w:rPr>
          <w:sz w:val="26"/>
          <w:szCs w:val="26"/>
        </w:rPr>
      </w:pPr>
    </w:p>
    <w:p w:rsidR="003A6076" w:rsidRPr="00D87F6E" w:rsidRDefault="00E24E18" w:rsidP="00080401">
      <w:pPr>
        <w:pStyle w:val="Ttulo1"/>
        <w:numPr>
          <w:ilvl w:val="0"/>
          <w:numId w:val="0"/>
        </w:numPr>
        <w:spacing w:before="0" w:after="0"/>
        <w:jc w:val="center"/>
        <w:rPr>
          <w:sz w:val="24"/>
          <w:szCs w:val="24"/>
        </w:rPr>
      </w:pPr>
      <w:r w:rsidRPr="00D87F6E">
        <w:rPr>
          <w:sz w:val="24"/>
          <w:szCs w:val="24"/>
        </w:rPr>
        <w:t>REFERÊNCIAS</w:t>
      </w:r>
    </w:p>
    <w:p w:rsidR="00E273C2" w:rsidRPr="00D87F6E" w:rsidRDefault="00E273C2" w:rsidP="00080401">
      <w:pPr>
        <w:rPr>
          <w:rFonts w:eastAsia="Calibri"/>
          <w:lang/>
        </w:rPr>
      </w:pPr>
    </w:p>
    <w:p w:rsidR="003A6076" w:rsidRPr="00D87F6E" w:rsidRDefault="003A6076" w:rsidP="00080401">
      <w:pPr>
        <w:widowControl/>
        <w:suppressLineNumbers w:val="0"/>
        <w:suppressAutoHyphens w:val="0"/>
        <w:ind w:firstLine="0"/>
        <w:jc w:val="left"/>
        <w:rPr>
          <w:rFonts w:eastAsia="Calibri"/>
          <w:szCs w:val="24"/>
          <w:lang w:val="en-US" w:eastAsia="en-US"/>
        </w:rPr>
      </w:pPr>
      <w:r w:rsidRPr="00D87F6E">
        <w:rPr>
          <w:rFonts w:eastAsia="Calibri"/>
          <w:szCs w:val="24"/>
          <w:lang w:val="en-US" w:eastAsia="en-US"/>
        </w:rPr>
        <w:t xml:space="preserve">ABUGHAZALEH, N. M.; AL-HARES, O. M.; ROBERTS, C. Accounting discretion in goodwill impairments: UK evidence. </w:t>
      </w:r>
      <w:r w:rsidRPr="00D87F6E">
        <w:rPr>
          <w:rFonts w:eastAsia="Calibri"/>
          <w:b/>
          <w:szCs w:val="24"/>
          <w:lang w:val="en-US" w:eastAsia="en-US"/>
        </w:rPr>
        <w:t>Journal of International Financial Management &amp; Accounting</w:t>
      </w:r>
      <w:r w:rsidRPr="00D87F6E">
        <w:rPr>
          <w:rFonts w:eastAsia="Calibri"/>
          <w:szCs w:val="24"/>
          <w:lang w:val="en-US" w:eastAsia="en-US"/>
        </w:rPr>
        <w:t>, v. 22, n.3, p. 165-204, 2011.</w:t>
      </w:r>
    </w:p>
    <w:p w:rsidR="003A6076" w:rsidRPr="00D87F6E" w:rsidRDefault="003A6076" w:rsidP="00080401">
      <w:pPr>
        <w:widowControl/>
        <w:suppressLineNumbers w:val="0"/>
        <w:suppressAutoHyphens w:val="0"/>
        <w:ind w:firstLine="0"/>
        <w:jc w:val="left"/>
        <w:rPr>
          <w:rFonts w:eastAsia="Calibri"/>
          <w:szCs w:val="24"/>
          <w:lang w:val="en-US" w:eastAsia="en-US"/>
        </w:rPr>
      </w:pPr>
    </w:p>
    <w:p w:rsidR="003A6076" w:rsidRPr="00D87F6E" w:rsidRDefault="003A6076" w:rsidP="00080401">
      <w:pPr>
        <w:widowControl/>
        <w:suppressLineNumbers w:val="0"/>
        <w:suppressAutoHyphens w:val="0"/>
        <w:ind w:firstLine="0"/>
        <w:jc w:val="left"/>
        <w:rPr>
          <w:rFonts w:eastAsia="Calibri"/>
          <w:szCs w:val="24"/>
          <w:lang w:eastAsia="en-US"/>
        </w:rPr>
      </w:pPr>
      <w:r w:rsidRPr="00D87F6E">
        <w:rPr>
          <w:rFonts w:eastAsia="Calibri"/>
          <w:szCs w:val="24"/>
          <w:lang w:val="en-US" w:eastAsia="en-US"/>
        </w:rPr>
        <w:t>Bolsa de Mercadorias e Futuros da Bov</w:t>
      </w:r>
      <w:r w:rsidRPr="00D87F6E">
        <w:rPr>
          <w:rFonts w:eastAsia="Calibri"/>
          <w:szCs w:val="24"/>
          <w:lang w:eastAsia="en-US"/>
        </w:rPr>
        <w:t xml:space="preserve">espa - BM&amp;FBOVESPA. </w:t>
      </w:r>
      <w:r w:rsidRPr="00D87F6E">
        <w:rPr>
          <w:rFonts w:eastAsia="Calibri"/>
          <w:b/>
          <w:szCs w:val="24"/>
          <w:lang w:eastAsia="en-US"/>
        </w:rPr>
        <w:t>Empresas listadas.</w:t>
      </w:r>
      <w:r w:rsidRPr="00D87F6E">
        <w:rPr>
          <w:rFonts w:eastAsia="Calibri"/>
          <w:szCs w:val="24"/>
          <w:lang w:eastAsia="en-US"/>
        </w:rPr>
        <w:t xml:space="preserve"> Disponível em: &lt;http://www.bmfbovespa.com.br/pt_br/produtos/listados-a-vista-e-derivativos/renda-variavel/empresas-listadas.htm&gt; Acesso em: junho de 2016.</w:t>
      </w:r>
    </w:p>
    <w:p w:rsidR="003A6076" w:rsidRPr="00D87F6E" w:rsidRDefault="003A6076" w:rsidP="00080401">
      <w:pPr>
        <w:widowControl/>
        <w:suppressLineNumbers w:val="0"/>
        <w:suppressAutoHyphens w:val="0"/>
        <w:ind w:firstLine="0"/>
        <w:jc w:val="left"/>
        <w:rPr>
          <w:rFonts w:eastAsia="Calibri"/>
          <w:szCs w:val="24"/>
          <w:lang w:eastAsia="en-US"/>
        </w:rPr>
      </w:pPr>
    </w:p>
    <w:p w:rsidR="003A6076" w:rsidRPr="00D87F6E" w:rsidRDefault="003A6076" w:rsidP="00080401">
      <w:pPr>
        <w:widowControl/>
        <w:suppressLineNumbers w:val="0"/>
        <w:suppressAutoHyphens w:val="0"/>
        <w:ind w:firstLine="0"/>
        <w:jc w:val="left"/>
        <w:rPr>
          <w:rFonts w:eastAsia="Calibri"/>
          <w:szCs w:val="24"/>
          <w:lang w:eastAsia="en-US"/>
        </w:rPr>
      </w:pPr>
      <w:r w:rsidRPr="00D87F6E">
        <w:rPr>
          <w:rFonts w:eastAsia="Calibri"/>
          <w:szCs w:val="24"/>
          <w:lang w:eastAsia="en-US"/>
        </w:rPr>
        <w:t xml:space="preserve">BARBOSA, J. S.; CONSONI, S.; SCHERER, L. M; CLEMENTE, A. </w:t>
      </w:r>
      <w:r w:rsidRPr="00D87F6E">
        <w:rPr>
          <w:rFonts w:eastAsia="Calibri"/>
          <w:i/>
          <w:szCs w:val="24"/>
          <w:lang w:eastAsia="en-US"/>
        </w:rPr>
        <w:t xml:space="preserve">Impairment </w:t>
      </w:r>
      <w:r w:rsidRPr="00D87F6E">
        <w:rPr>
          <w:rFonts w:eastAsia="Calibri"/>
          <w:szCs w:val="24"/>
          <w:lang w:eastAsia="en-US"/>
        </w:rPr>
        <w:t>no</w:t>
      </w:r>
      <w:r w:rsidRPr="00D87F6E">
        <w:rPr>
          <w:rFonts w:eastAsia="Calibri"/>
          <w:i/>
          <w:szCs w:val="24"/>
          <w:lang w:eastAsia="en-US"/>
        </w:rPr>
        <w:t xml:space="preserve"> goodwill</w:t>
      </w:r>
      <w:r w:rsidRPr="00D87F6E">
        <w:rPr>
          <w:rFonts w:eastAsia="Calibri"/>
          <w:szCs w:val="24"/>
          <w:lang w:eastAsia="en-US"/>
        </w:rPr>
        <w:t xml:space="preserve">: uma análise baseada na divulgação contábil. </w:t>
      </w:r>
      <w:r w:rsidRPr="00D87F6E">
        <w:rPr>
          <w:rFonts w:eastAsia="Calibri"/>
          <w:b/>
          <w:szCs w:val="24"/>
          <w:lang w:eastAsia="en-US"/>
        </w:rPr>
        <w:t>REPeC –Revista de Educação e Pesquisa em Contabilidade</w:t>
      </w:r>
      <w:r w:rsidRPr="00D87F6E">
        <w:rPr>
          <w:rFonts w:eastAsia="Calibri"/>
          <w:szCs w:val="24"/>
          <w:lang w:eastAsia="en-US"/>
        </w:rPr>
        <w:t>, Brasília, v. 8, n. 2, art. 3, p. 159-179, abr./jun. 2014.</w:t>
      </w:r>
    </w:p>
    <w:p w:rsidR="003A6076" w:rsidRPr="00D87F6E" w:rsidRDefault="003A6076" w:rsidP="00080401">
      <w:pPr>
        <w:widowControl/>
        <w:suppressLineNumbers w:val="0"/>
        <w:suppressAutoHyphens w:val="0"/>
        <w:ind w:firstLine="0"/>
        <w:jc w:val="left"/>
        <w:rPr>
          <w:rFonts w:eastAsia="Calibri"/>
          <w:szCs w:val="24"/>
          <w:lang w:eastAsia="en-US"/>
        </w:rPr>
      </w:pPr>
    </w:p>
    <w:p w:rsidR="003A6076" w:rsidRPr="00D87F6E" w:rsidRDefault="003A6076" w:rsidP="00080401">
      <w:pPr>
        <w:widowControl/>
        <w:suppressLineNumbers w:val="0"/>
        <w:suppressAutoHyphens w:val="0"/>
        <w:ind w:firstLine="0"/>
        <w:jc w:val="left"/>
        <w:rPr>
          <w:rFonts w:eastAsia="Calibri"/>
          <w:szCs w:val="24"/>
          <w:lang w:eastAsia="en-US"/>
        </w:rPr>
      </w:pPr>
      <w:r w:rsidRPr="00D87F6E">
        <w:rPr>
          <w:rFonts w:eastAsia="Calibri"/>
          <w:szCs w:val="24"/>
          <w:lang w:eastAsia="en-US"/>
        </w:rPr>
        <w:t>CPC. Comitê de Pronunciamentos Contábeis. Disponível em: &lt;http://www.cpc.org.br/CPC/Documentos-Emitidos/Pronunciamentos&gt;. Acesso em: 20 de maio de 2016.</w:t>
      </w:r>
    </w:p>
    <w:p w:rsidR="003A6076" w:rsidRPr="00D87F6E" w:rsidRDefault="003A6076" w:rsidP="00080401">
      <w:pPr>
        <w:widowControl/>
        <w:suppressLineNumbers w:val="0"/>
        <w:suppressAutoHyphens w:val="0"/>
        <w:ind w:firstLine="0"/>
        <w:jc w:val="left"/>
        <w:rPr>
          <w:rFonts w:eastAsia="Calibri"/>
          <w:szCs w:val="24"/>
          <w:lang w:eastAsia="en-US"/>
        </w:rPr>
      </w:pPr>
    </w:p>
    <w:p w:rsidR="003A6076" w:rsidRDefault="003A6076" w:rsidP="00080401">
      <w:pPr>
        <w:widowControl/>
        <w:suppressLineNumbers w:val="0"/>
        <w:suppressAutoHyphens w:val="0"/>
        <w:ind w:firstLine="0"/>
        <w:jc w:val="left"/>
        <w:rPr>
          <w:rFonts w:eastAsia="Calibri"/>
          <w:szCs w:val="24"/>
          <w:lang w:eastAsia="en-US"/>
        </w:rPr>
      </w:pPr>
      <w:r w:rsidRPr="00D87F6E">
        <w:rPr>
          <w:rFonts w:eastAsia="Calibri"/>
          <w:szCs w:val="24"/>
          <w:lang w:eastAsia="en-US"/>
        </w:rPr>
        <w:t xml:space="preserve">______. Pronunciamento Técnico CPC 00 (R1) - </w:t>
      </w:r>
      <w:r w:rsidRPr="00D87F6E">
        <w:rPr>
          <w:rFonts w:eastAsia="Calibri"/>
          <w:b/>
          <w:szCs w:val="24"/>
          <w:lang w:eastAsia="en-US"/>
        </w:rPr>
        <w:t xml:space="preserve">Estrutura Conceitual para Elaboração e Divulgação de Relatório Contábil-Financeiro. </w:t>
      </w:r>
      <w:r w:rsidRPr="00D87F6E">
        <w:rPr>
          <w:rFonts w:eastAsia="Calibri"/>
          <w:szCs w:val="24"/>
          <w:lang w:eastAsia="en-US"/>
        </w:rPr>
        <w:t>Brasília, 02 de dezembro de 2011. Disponível em: &lt;http://www.cpc.org.br/CPC/Documentos-Emitidos/Pronunciamentos/Pronunciamento?Id=80&gt;.</w:t>
      </w:r>
      <w:r w:rsidR="00D47860">
        <w:rPr>
          <w:rFonts w:eastAsia="Calibri"/>
          <w:szCs w:val="24"/>
          <w:lang w:eastAsia="en-US"/>
        </w:rPr>
        <w:t xml:space="preserve"> Acesso em: 20 de maio de 2016.</w:t>
      </w:r>
    </w:p>
    <w:p w:rsidR="00D47860" w:rsidRPr="00D87F6E" w:rsidRDefault="00D47860" w:rsidP="00080401">
      <w:pPr>
        <w:widowControl/>
        <w:suppressLineNumbers w:val="0"/>
        <w:suppressAutoHyphens w:val="0"/>
        <w:ind w:firstLine="0"/>
        <w:jc w:val="left"/>
        <w:rPr>
          <w:rFonts w:eastAsia="Calibri"/>
          <w:szCs w:val="24"/>
          <w:lang w:eastAsia="en-US"/>
        </w:rPr>
      </w:pPr>
    </w:p>
    <w:p w:rsidR="003A6076" w:rsidRPr="00D87F6E" w:rsidRDefault="003A6076" w:rsidP="00080401">
      <w:pPr>
        <w:widowControl/>
        <w:suppressLineNumbers w:val="0"/>
        <w:suppressAutoHyphens w:val="0"/>
        <w:ind w:firstLine="0"/>
        <w:jc w:val="left"/>
        <w:rPr>
          <w:rFonts w:eastAsia="Calibri"/>
          <w:szCs w:val="24"/>
          <w:lang w:eastAsia="en-US"/>
        </w:rPr>
      </w:pPr>
      <w:r w:rsidRPr="00D87F6E">
        <w:rPr>
          <w:rFonts w:eastAsia="Calibri"/>
          <w:szCs w:val="24"/>
          <w:lang w:eastAsia="en-US"/>
        </w:rPr>
        <w:lastRenderedPageBreak/>
        <w:t xml:space="preserve">______. Pronunciamento Técnico CPC 01 (R1) - </w:t>
      </w:r>
      <w:r w:rsidRPr="00D87F6E">
        <w:rPr>
          <w:rFonts w:eastAsia="Calibri"/>
          <w:b/>
          <w:szCs w:val="24"/>
          <w:lang w:eastAsia="en-US"/>
        </w:rPr>
        <w:t xml:space="preserve">Redução ao Valor Recuperável de Ativos. </w:t>
      </w:r>
      <w:r w:rsidRPr="00D87F6E">
        <w:rPr>
          <w:rFonts w:eastAsia="Calibri"/>
          <w:szCs w:val="24"/>
          <w:lang w:eastAsia="en-US"/>
        </w:rPr>
        <w:t>Brasília, 06 de agosto de 2010. Disponível em: &lt;http://www.cpc.org.br/CPC/Documentos-Emitidos/Pronunciamentos/Pronunciamento?Id=2&gt;. Acesso em: 20 de maio de 2016.</w:t>
      </w:r>
    </w:p>
    <w:p w:rsidR="003A6076" w:rsidRPr="00D87F6E" w:rsidRDefault="003A6076" w:rsidP="00080401">
      <w:pPr>
        <w:widowControl/>
        <w:suppressLineNumbers w:val="0"/>
        <w:suppressAutoHyphens w:val="0"/>
        <w:ind w:firstLine="0"/>
        <w:jc w:val="left"/>
        <w:rPr>
          <w:rFonts w:eastAsia="Calibri"/>
          <w:szCs w:val="24"/>
          <w:lang w:eastAsia="en-US"/>
        </w:rPr>
      </w:pPr>
    </w:p>
    <w:p w:rsidR="003A6076" w:rsidRPr="00D87F6E" w:rsidRDefault="003A6076" w:rsidP="00080401">
      <w:pPr>
        <w:widowControl/>
        <w:suppressLineNumbers w:val="0"/>
        <w:suppressAutoHyphens w:val="0"/>
        <w:ind w:firstLine="0"/>
        <w:jc w:val="left"/>
        <w:rPr>
          <w:rFonts w:eastAsia="Calibri"/>
          <w:szCs w:val="24"/>
          <w:lang w:eastAsia="en-US"/>
        </w:rPr>
      </w:pPr>
      <w:r w:rsidRPr="00D87F6E">
        <w:rPr>
          <w:rFonts w:eastAsia="Calibri"/>
          <w:szCs w:val="24"/>
          <w:lang w:eastAsia="en-US"/>
        </w:rPr>
        <w:t xml:space="preserve">______. Pronunciamento Técnico CPC 15 (R1) - </w:t>
      </w:r>
      <w:r w:rsidRPr="00D87F6E">
        <w:rPr>
          <w:rFonts w:eastAsia="Calibri"/>
          <w:b/>
          <w:szCs w:val="24"/>
          <w:lang w:eastAsia="en-US"/>
        </w:rPr>
        <w:t>Combinação de Negócios.</w:t>
      </w:r>
      <w:r w:rsidRPr="00D87F6E">
        <w:rPr>
          <w:rFonts w:eastAsia="Calibri"/>
          <w:szCs w:val="24"/>
          <w:lang w:eastAsia="en-US"/>
        </w:rPr>
        <w:t xml:space="preserve"> Brasília, 03 de junho de 2011. Disponível em: &lt;http://www.cpc.org.br/CPC/Documentos-Emitidos/Pronunciamentos/Pronunciamento?Id=46&gt;. Acesso em: 20 de maio de 2016.</w:t>
      </w:r>
    </w:p>
    <w:p w:rsidR="003A6076" w:rsidRPr="00D87F6E" w:rsidRDefault="003A6076" w:rsidP="00080401">
      <w:pPr>
        <w:widowControl/>
        <w:suppressLineNumbers w:val="0"/>
        <w:suppressAutoHyphens w:val="0"/>
        <w:ind w:firstLine="0"/>
        <w:jc w:val="left"/>
        <w:rPr>
          <w:rFonts w:eastAsia="Calibri"/>
          <w:szCs w:val="24"/>
          <w:lang w:eastAsia="en-US"/>
        </w:rPr>
      </w:pPr>
    </w:p>
    <w:p w:rsidR="003A6076" w:rsidRPr="00D87F6E" w:rsidRDefault="003A6076" w:rsidP="00080401">
      <w:pPr>
        <w:widowControl/>
        <w:suppressLineNumbers w:val="0"/>
        <w:suppressAutoHyphens w:val="0"/>
        <w:ind w:firstLine="0"/>
        <w:jc w:val="left"/>
        <w:rPr>
          <w:rFonts w:eastAsia="Calibri"/>
          <w:szCs w:val="24"/>
          <w:lang w:eastAsia="en-US"/>
        </w:rPr>
      </w:pPr>
      <w:r w:rsidRPr="00D87F6E">
        <w:rPr>
          <w:rFonts w:eastAsia="Calibri"/>
          <w:szCs w:val="24"/>
          <w:lang w:eastAsia="en-US"/>
        </w:rPr>
        <w:t xml:space="preserve">FÁVERO, L. P.; BELFIORE, P.; SILVA, F. L.; CHAN, B. L. </w:t>
      </w:r>
      <w:r w:rsidRPr="00D87F6E">
        <w:rPr>
          <w:rFonts w:eastAsia="Calibri"/>
          <w:b/>
          <w:szCs w:val="24"/>
          <w:lang w:eastAsia="en-US"/>
        </w:rPr>
        <w:t>Análise de dados:</w:t>
      </w:r>
      <w:r w:rsidRPr="00D87F6E">
        <w:rPr>
          <w:rFonts w:eastAsia="Calibri"/>
          <w:szCs w:val="24"/>
          <w:lang w:eastAsia="en-US"/>
        </w:rPr>
        <w:t xml:space="preserve"> modelagem multivariada para tomada de decisões. Rio de Janeiro: Elsevier, 2009.</w:t>
      </w:r>
    </w:p>
    <w:p w:rsidR="003A6076" w:rsidRPr="00D87F6E" w:rsidRDefault="003A6076" w:rsidP="00080401">
      <w:pPr>
        <w:widowControl/>
        <w:suppressLineNumbers w:val="0"/>
        <w:suppressAutoHyphens w:val="0"/>
        <w:ind w:firstLine="0"/>
        <w:jc w:val="left"/>
        <w:rPr>
          <w:rFonts w:eastAsia="Calibri"/>
          <w:szCs w:val="24"/>
          <w:lang w:eastAsia="en-US"/>
        </w:rPr>
      </w:pPr>
    </w:p>
    <w:p w:rsidR="003A6076" w:rsidRPr="00D87F6E" w:rsidRDefault="003A6076" w:rsidP="00080401">
      <w:pPr>
        <w:widowControl/>
        <w:suppressLineNumbers w:val="0"/>
        <w:suppressAutoHyphens w:val="0"/>
        <w:ind w:firstLine="0"/>
        <w:jc w:val="left"/>
        <w:rPr>
          <w:rFonts w:eastAsia="Calibri"/>
          <w:szCs w:val="24"/>
          <w:lang w:eastAsia="en-US"/>
        </w:rPr>
      </w:pPr>
      <w:r w:rsidRPr="00D87F6E">
        <w:rPr>
          <w:rFonts w:eastAsia="Calibri"/>
          <w:szCs w:val="24"/>
          <w:lang w:eastAsia="en-US"/>
        </w:rPr>
        <w:t xml:space="preserve">HENDRIKSEN, E. S.; BREDA, M. F. V. Tradução: Antonio Zoratto Sanvicente. </w:t>
      </w:r>
      <w:r w:rsidRPr="00D87F6E">
        <w:rPr>
          <w:rFonts w:eastAsia="Calibri"/>
          <w:b/>
          <w:szCs w:val="24"/>
          <w:lang w:eastAsia="en-US"/>
        </w:rPr>
        <w:t>Teoria da contabilidade.</w:t>
      </w:r>
      <w:r w:rsidRPr="00D87F6E">
        <w:rPr>
          <w:rFonts w:eastAsia="Calibri"/>
          <w:szCs w:val="24"/>
          <w:lang w:eastAsia="en-US"/>
        </w:rPr>
        <w:t xml:space="preserve"> 1. ed. 7. reimpr. São Paulo: Atlas, 2009. </w:t>
      </w:r>
    </w:p>
    <w:p w:rsidR="003A6076" w:rsidRPr="00D87F6E" w:rsidRDefault="003A6076" w:rsidP="00080401">
      <w:pPr>
        <w:widowControl/>
        <w:suppressLineNumbers w:val="0"/>
        <w:suppressAutoHyphens w:val="0"/>
        <w:ind w:firstLine="0"/>
        <w:jc w:val="left"/>
        <w:rPr>
          <w:rFonts w:eastAsia="Calibri"/>
          <w:szCs w:val="24"/>
          <w:lang w:eastAsia="en-US"/>
        </w:rPr>
      </w:pPr>
    </w:p>
    <w:p w:rsidR="003A6076" w:rsidRPr="00D87F6E" w:rsidRDefault="003A6076" w:rsidP="00080401">
      <w:pPr>
        <w:widowControl/>
        <w:suppressLineNumbers w:val="0"/>
        <w:suppressAutoHyphens w:val="0"/>
        <w:ind w:firstLine="0"/>
        <w:jc w:val="left"/>
        <w:rPr>
          <w:rFonts w:eastAsia="Calibri"/>
          <w:szCs w:val="24"/>
          <w:lang w:eastAsia="en-US"/>
        </w:rPr>
      </w:pPr>
      <w:r w:rsidRPr="00D87F6E">
        <w:rPr>
          <w:rFonts w:eastAsia="Calibri"/>
          <w:szCs w:val="24"/>
          <w:lang w:eastAsia="en-US"/>
        </w:rPr>
        <w:t xml:space="preserve">KLANN, R. C.; PLETSCH, C. S.; VOGT, M.; MORÁS, V. R. Determinantes do reconhecimento das perdas por </w:t>
      </w:r>
      <w:r w:rsidRPr="00D87F6E">
        <w:rPr>
          <w:rFonts w:eastAsia="Calibri"/>
          <w:i/>
          <w:szCs w:val="24"/>
          <w:lang w:eastAsia="en-US"/>
        </w:rPr>
        <w:t>impairment</w:t>
      </w:r>
      <w:r w:rsidRPr="00D87F6E">
        <w:rPr>
          <w:rFonts w:eastAsia="Calibri"/>
          <w:szCs w:val="24"/>
          <w:lang w:eastAsia="en-US"/>
        </w:rPr>
        <w:t xml:space="preserve"> do </w:t>
      </w:r>
      <w:r w:rsidRPr="00D87F6E">
        <w:rPr>
          <w:rFonts w:eastAsia="Calibri"/>
          <w:i/>
          <w:szCs w:val="24"/>
          <w:lang w:eastAsia="en-US"/>
        </w:rPr>
        <w:t>goodwill</w:t>
      </w:r>
      <w:r w:rsidRPr="00D87F6E">
        <w:rPr>
          <w:rFonts w:eastAsia="Calibri"/>
          <w:szCs w:val="24"/>
          <w:lang w:eastAsia="en-US"/>
        </w:rPr>
        <w:t xml:space="preserve">. In: </w:t>
      </w:r>
      <w:r w:rsidRPr="00D87F6E">
        <w:rPr>
          <w:rFonts w:eastAsia="Calibri"/>
          <w:b/>
          <w:szCs w:val="24"/>
          <w:lang w:eastAsia="en-US"/>
        </w:rPr>
        <w:t>Congresso USP de Controladoria e Contabilidade</w:t>
      </w:r>
      <w:r w:rsidRPr="00D87F6E">
        <w:rPr>
          <w:rFonts w:eastAsia="Calibri"/>
          <w:szCs w:val="24"/>
          <w:lang w:eastAsia="en-US"/>
        </w:rPr>
        <w:t>, 15., 2015, São Paulo, SP, Brasil – 29 a 31 de julho de 2015.</w:t>
      </w:r>
    </w:p>
    <w:p w:rsidR="003A6076" w:rsidRPr="00D87F6E" w:rsidRDefault="003A6076" w:rsidP="00080401">
      <w:pPr>
        <w:widowControl/>
        <w:suppressLineNumbers w:val="0"/>
        <w:suppressAutoHyphens w:val="0"/>
        <w:ind w:firstLine="0"/>
        <w:jc w:val="left"/>
        <w:rPr>
          <w:rFonts w:eastAsia="Calibri"/>
          <w:szCs w:val="24"/>
          <w:lang w:eastAsia="en-US"/>
        </w:rPr>
      </w:pPr>
    </w:p>
    <w:p w:rsidR="003A6076" w:rsidRPr="00D87F6E" w:rsidRDefault="003A6076" w:rsidP="00080401">
      <w:pPr>
        <w:widowControl/>
        <w:suppressLineNumbers w:val="0"/>
        <w:suppressAutoHyphens w:val="0"/>
        <w:ind w:firstLine="0"/>
        <w:jc w:val="left"/>
        <w:rPr>
          <w:rFonts w:eastAsia="Calibri"/>
          <w:szCs w:val="24"/>
          <w:lang w:eastAsia="en-US"/>
        </w:rPr>
      </w:pPr>
      <w:r w:rsidRPr="00D87F6E">
        <w:rPr>
          <w:rFonts w:eastAsia="Calibri"/>
          <w:szCs w:val="24"/>
          <w:lang w:eastAsia="en-US"/>
        </w:rPr>
        <w:t>MARTINS, E.; MARTINS, V. A.Contabilidade e finanças: a temerária utilização do WACC.</w:t>
      </w:r>
      <w:r w:rsidRPr="00D87F6E">
        <w:rPr>
          <w:rFonts w:eastAsia="Calibri"/>
          <w:b/>
          <w:szCs w:val="24"/>
          <w:lang w:eastAsia="en-US"/>
        </w:rPr>
        <w:t xml:space="preserve"> Revista Universo Contábil</w:t>
      </w:r>
      <w:r w:rsidRPr="00D87F6E">
        <w:rPr>
          <w:rFonts w:eastAsia="Calibri"/>
          <w:szCs w:val="24"/>
          <w:lang w:eastAsia="en-US"/>
        </w:rPr>
        <w:t>, FURB, Blumenau, v. 11, n. 1, p. 25-46, jan./mar., 2015.</w:t>
      </w:r>
    </w:p>
    <w:p w:rsidR="003A6076" w:rsidRPr="00D87F6E" w:rsidRDefault="003A6076" w:rsidP="00080401">
      <w:pPr>
        <w:widowControl/>
        <w:suppressLineNumbers w:val="0"/>
        <w:suppressAutoHyphens w:val="0"/>
        <w:ind w:firstLine="0"/>
        <w:jc w:val="left"/>
        <w:rPr>
          <w:rFonts w:eastAsia="Calibri"/>
          <w:szCs w:val="24"/>
          <w:lang w:eastAsia="en-US"/>
        </w:rPr>
      </w:pPr>
    </w:p>
    <w:p w:rsidR="003A6076" w:rsidRPr="00D87F6E" w:rsidRDefault="003A6076" w:rsidP="00080401">
      <w:pPr>
        <w:widowControl/>
        <w:suppressLineNumbers w:val="0"/>
        <w:suppressAutoHyphens w:val="0"/>
        <w:ind w:firstLine="0"/>
        <w:jc w:val="left"/>
        <w:rPr>
          <w:rFonts w:eastAsia="Calibri"/>
          <w:szCs w:val="24"/>
          <w:lang w:eastAsia="en-US"/>
        </w:rPr>
      </w:pPr>
      <w:r w:rsidRPr="00D87F6E">
        <w:rPr>
          <w:rFonts w:eastAsia="Calibri"/>
          <w:szCs w:val="24"/>
          <w:lang w:eastAsia="en-US"/>
        </w:rPr>
        <w:t xml:space="preserve">REIMANN, L. B.; SCHMIDT, P. Teste de impairment do goodwill adquirido em uma combinação de negócios. </w:t>
      </w:r>
      <w:r w:rsidRPr="00D87F6E">
        <w:rPr>
          <w:rFonts w:eastAsia="Calibri"/>
          <w:b/>
          <w:szCs w:val="24"/>
          <w:lang w:eastAsia="en-US"/>
        </w:rPr>
        <w:t>ConTexto</w:t>
      </w:r>
      <w:r w:rsidRPr="00D87F6E">
        <w:rPr>
          <w:rFonts w:eastAsia="Calibri"/>
          <w:szCs w:val="24"/>
          <w:lang w:eastAsia="en-US"/>
        </w:rPr>
        <w:t>, Porto Alegre, v. 10, n. 18, p. 49-62, 2010.</w:t>
      </w:r>
    </w:p>
    <w:p w:rsidR="003A6076" w:rsidRPr="00D87F6E" w:rsidRDefault="003A6076" w:rsidP="00080401">
      <w:pPr>
        <w:widowControl/>
        <w:suppressLineNumbers w:val="0"/>
        <w:suppressAutoHyphens w:val="0"/>
        <w:ind w:firstLine="0"/>
        <w:jc w:val="left"/>
        <w:rPr>
          <w:rFonts w:eastAsia="Calibri"/>
          <w:szCs w:val="24"/>
          <w:lang w:eastAsia="en-US"/>
        </w:rPr>
      </w:pPr>
    </w:p>
    <w:p w:rsidR="003A6076" w:rsidRPr="00D87F6E" w:rsidRDefault="003A6076" w:rsidP="00080401">
      <w:pPr>
        <w:widowControl/>
        <w:suppressLineNumbers w:val="0"/>
        <w:suppressAutoHyphens w:val="0"/>
        <w:ind w:firstLine="0"/>
        <w:jc w:val="left"/>
        <w:rPr>
          <w:rFonts w:eastAsia="Calibri"/>
          <w:szCs w:val="24"/>
          <w:lang w:eastAsia="en-US"/>
        </w:rPr>
      </w:pPr>
      <w:r w:rsidRPr="00D87F6E">
        <w:rPr>
          <w:rFonts w:eastAsia="Calibri"/>
          <w:szCs w:val="24"/>
          <w:lang w:eastAsia="en-US"/>
        </w:rPr>
        <w:t xml:space="preserve">SANTOS, P. S. A.; DANI, A. C.; KLANN, R. C. Concentração de propriedade e o impairment loss sobre o goodwill: investigação empírica no contexto das companhias abertas brasileiras. </w:t>
      </w:r>
      <w:r w:rsidRPr="00D87F6E">
        <w:rPr>
          <w:rFonts w:eastAsia="Calibri"/>
          <w:b/>
          <w:szCs w:val="24"/>
          <w:lang w:eastAsia="en-US"/>
        </w:rPr>
        <w:t xml:space="preserve">Revista de la Facultad de Ciencias Económicas de la Universidad Militar Nueva Granada. </w:t>
      </w:r>
      <w:r w:rsidRPr="00D87F6E">
        <w:rPr>
          <w:rFonts w:eastAsia="Calibri"/>
          <w:szCs w:val="24"/>
          <w:lang w:eastAsia="en-US"/>
        </w:rPr>
        <w:t>rev.fac.cienc.econ, XXIII (1), Junho 2015, 175-188.</w:t>
      </w:r>
    </w:p>
    <w:p w:rsidR="003A6076" w:rsidRPr="00D87F6E" w:rsidRDefault="003A6076" w:rsidP="00080401">
      <w:pPr>
        <w:widowControl/>
        <w:suppressLineNumbers w:val="0"/>
        <w:suppressAutoHyphens w:val="0"/>
        <w:ind w:firstLine="0"/>
        <w:jc w:val="left"/>
        <w:rPr>
          <w:rFonts w:eastAsia="Calibri"/>
          <w:szCs w:val="24"/>
          <w:lang w:eastAsia="en-US"/>
        </w:rPr>
      </w:pPr>
    </w:p>
    <w:p w:rsidR="003A6076" w:rsidRPr="00D87F6E" w:rsidRDefault="00917A48" w:rsidP="00080401">
      <w:pPr>
        <w:widowControl/>
        <w:suppressLineNumbers w:val="0"/>
        <w:suppressAutoHyphens w:val="0"/>
        <w:ind w:firstLine="0"/>
        <w:jc w:val="left"/>
        <w:rPr>
          <w:rFonts w:eastAsia="Calibri"/>
          <w:szCs w:val="24"/>
          <w:lang w:eastAsia="en-US"/>
        </w:rPr>
      </w:pPr>
      <w:r w:rsidRPr="00D87F6E">
        <w:rPr>
          <w:rFonts w:eastAsia="Calibri"/>
          <w:szCs w:val="24"/>
          <w:lang w:eastAsia="en-US"/>
        </w:rPr>
        <w:t>SCHMIDT, P</w:t>
      </w:r>
      <w:r w:rsidR="00865CB7" w:rsidRPr="00D87F6E">
        <w:rPr>
          <w:rFonts w:eastAsia="Calibri"/>
          <w:szCs w:val="24"/>
          <w:lang w:eastAsia="en-US"/>
        </w:rPr>
        <w:t>.</w:t>
      </w:r>
      <w:r w:rsidRPr="00D87F6E">
        <w:rPr>
          <w:rFonts w:eastAsia="Calibri"/>
          <w:szCs w:val="24"/>
          <w:lang w:eastAsia="en-US"/>
        </w:rPr>
        <w:t>; SANTOS, J. L.</w:t>
      </w:r>
      <w:r w:rsidR="003A6076" w:rsidRPr="00D87F6E">
        <w:rPr>
          <w:rFonts w:eastAsia="Calibri"/>
          <w:b/>
          <w:szCs w:val="24"/>
          <w:lang w:eastAsia="en-US"/>
        </w:rPr>
        <w:t>Avaliação de ativos intangíveis.</w:t>
      </w:r>
      <w:r w:rsidR="003A6076" w:rsidRPr="00D87F6E">
        <w:rPr>
          <w:rFonts w:eastAsia="Calibri"/>
          <w:szCs w:val="24"/>
          <w:lang w:eastAsia="en-US"/>
        </w:rPr>
        <w:t xml:space="preserve"> 2. ed. São Paulo: Atlas, 2009.</w:t>
      </w:r>
    </w:p>
    <w:p w:rsidR="003A6076" w:rsidRPr="00D87F6E" w:rsidRDefault="003A6076" w:rsidP="00080401">
      <w:pPr>
        <w:widowControl/>
        <w:suppressLineNumbers w:val="0"/>
        <w:suppressAutoHyphens w:val="0"/>
        <w:ind w:firstLine="0"/>
        <w:jc w:val="left"/>
        <w:rPr>
          <w:rFonts w:eastAsia="Calibri"/>
          <w:szCs w:val="24"/>
          <w:lang w:eastAsia="en-US"/>
        </w:rPr>
      </w:pPr>
    </w:p>
    <w:p w:rsidR="003A6076" w:rsidRPr="00D87F6E" w:rsidRDefault="003A6076" w:rsidP="00080401">
      <w:pPr>
        <w:widowControl/>
        <w:suppressLineNumbers w:val="0"/>
        <w:suppressAutoHyphens w:val="0"/>
        <w:ind w:firstLine="0"/>
        <w:jc w:val="left"/>
        <w:rPr>
          <w:rFonts w:eastAsia="Calibri"/>
          <w:szCs w:val="24"/>
          <w:lang w:eastAsia="en-US"/>
        </w:rPr>
      </w:pPr>
      <w:r w:rsidRPr="00D87F6E">
        <w:rPr>
          <w:rFonts w:eastAsia="Calibri"/>
          <w:szCs w:val="24"/>
          <w:lang w:eastAsia="en-US"/>
        </w:rPr>
        <w:t xml:space="preserve">SOUZA, M. M. Big Bath: evidências brasileiras na adoção inicial da norma que trata de redução no valor recuperável do goodwill. </w:t>
      </w:r>
      <w:r w:rsidRPr="00D87F6E">
        <w:rPr>
          <w:rFonts w:eastAsia="Calibri"/>
          <w:b/>
          <w:szCs w:val="24"/>
          <w:lang w:eastAsia="en-US"/>
        </w:rPr>
        <w:t>Revista Ambiente Contábil</w:t>
      </w:r>
      <w:r w:rsidRPr="00D87F6E">
        <w:rPr>
          <w:rFonts w:eastAsia="Calibri"/>
          <w:szCs w:val="24"/>
          <w:lang w:eastAsia="en-US"/>
        </w:rPr>
        <w:t>, UFRN, Natal-RN, v. 7. n. 1, p. 35-50, jan./jun. 2015a.</w:t>
      </w:r>
    </w:p>
    <w:p w:rsidR="003A6076" w:rsidRPr="00D87F6E" w:rsidRDefault="003A6076" w:rsidP="00080401">
      <w:pPr>
        <w:widowControl/>
        <w:suppressLineNumbers w:val="0"/>
        <w:suppressAutoHyphens w:val="0"/>
        <w:ind w:firstLine="0"/>
        <w:jc w:val="left"/>
        <w:rPr>
          <w:rFonts w:eastAsia="Calibri"/>
          <w:szCs w:val="24"/>
          <w:lang w:eastAsia="en-US"/>
        </w:rPr>
      </w:pPr>
    </w:p>
    <w:p w:rsidR="003A6076" w:rsidRPr="00D87F6E" w:rsidRDefault="003A6076" w:rsidP="00080401">
      <w:pPr>
        <w:widowControl/>
        <w:suppressLineNumbers w:val="0"/>
        <w:suppressAutoHyphens w:val="0"/>
        <w:ind w:firstLine="0"/>
        <w:jc w:val="left"/>
        <w:rPr>
          <w:rFonts w:eastAsia="Calibri"/>
          <w:szCs w:val="24"/>
          <w:lang w:eastAsia="en-US"/>
        </w:rPr>
      </w:pPr>
      <w:r w:rsidRPr="00D87F6E">
        <w:rPr>
          <w:rFonts w:eastAsia="Calibri"/>
          <w:szCs w:val="24"/>
          <w:lang w:eastAsia="en-US"/>
        </w:rPr>
        <w:t>SOUZA, M. M.</w:t>
      </w:r>
      <w:r w:rsidRPr="00D87F6E">
        <w:rPr>
          <w:rFonts w:eastAsia="Calibri"/>
          <w:b/>
          <w:szCs w:val="24"/>
          <w:lang w:eastAsia="en-US"/>
        </w:rPr>
        <w:t xml:space="preserve"> Value relevance do nível de </w:t>
      </w:r>
      <w:r w:rsidRPr="00D87F6E">
        <w:rPr>
          <w:rFonts w:eastAsia="Calibri"/>
          <w:b/>
          <w:i/>
          <w:szCs w:val="24"/>
          <w:lang w:eastAsia="en-US"/>
        </w:rPr>
        <w:t>disclosure</w:t>
      </w:r>
      <w:r w:rsidRPr="00D87F6E">
        <w:rPr>
          <w:rFonts w:eastAsia="Calibri"/>
          <w:b/>
          <w:szCs w:val="24"/>
          <w:lang w:eastAsia="en-US"/>
        </w:rPr>
        <w:t xml:space="preserve"> das combinações de negócios e do </w:t>
      </w:r>
      <w:r w:rsidRPr="00D87F6E">
        <w:rPr>
          <w:rFonts w:eastAsia="Calibri"/>
          <w:b/>
          <w:i/>
          <w:szCs w:val="24"/>
          <w:lang w:eastAsia="en-US"/>
        </w:rPr>
        <w:t>goodwill</w:t>
      </w:r>
      <w:r w:rsidRPr="00D87F6E">
        <w:rPr>
          <w:rFonts w:eastAsia="Calibri"/>
          <w:b/>
          <w:szCs w:val="24"/>
          <w:lang w:eastAsia="en-US"/>
        </w:rPr>
        <w:t xml:space="preserve"> reconhecido nas empresas brasileiras. </w:t>
      </w:r>
      <w:r w:rsidRPr="00D87F6E">
        <w:rPr>
          <w:rFonts w:eastAsia="Calibri"/>
          <w:szCs w:val="24"/>
          <w:lang w:eastAsia="en-US"/>
        </w:rPr>
        <w:t>2015b. 183f. Tese (Doutorado em Administração), Programa de Pós-Graduação em Administração, Universidade Federal de Santa Catarina, Florianópolis.</w:t>
      </w:r>
    </w:p>
    <w:p w:rsidR="003A6076" w:rsidRPr="00D87F6E" w:rsidRDefault="003A6076" w:rsidP="00080401">
      <w:pPr>
        <w:widowControl/>
        <w:suppressLineNumbers w:val="0"/>
        <w:suppressAutoHyphens w:val="0"/>
        <w:ind w:firstLine="0"/>
        <w:jc w:val="left"/>
        <w:rPr>
          <w:rFonts w:eastAsia="Calibri"/>
          <w:szCs w:val="24"/>
          <w:lang w:eastAsia="en-US"/>
        </w:rPr>
      </w:pPr>
    </w:p>
    <w:p w:rsidR="003A6076" w:rsidRPr="00D87F6E" w:rsidRDefault="003A6076" w:rsidP="00080401">
      <w:pPr>
        <w:widowControl/>
        <w:suppressLineNumbers w:val="0"/>
        <w:suppressAutoHyphens w:val="0"/>
        <w:ind w:firstLine="0"/>
        <w:jc w:val="left"/>
        <w:rPr>
          <w:rFonts w:eastAsia="Calibri"/>
          <w:szCs w:val="24"/>
          <w:lang w:val="en-US" w:eastAsia="en-US"/>
        </w:rPr>
      </w:pPr>
      <w:r w:rsidRPr="00D87F6E">
        <w:rPr>
          <w:rFonts w:eastAsia="Calibri"/>
          <w:szCs w:val="24"/>
          <w:lang w:val="en-US" w:eastAsia="en-US"/>
        </w:rPr>
        <w:t xml:space="preserve">WATTS, R. L. Conservatism in Accounting. Part 1: Explanations and Implications. </w:t>
      </w:r>
      <w:r w:rsidRPr="00D87F6E">
        <w:rPr>
          <w:rFonts w:eastAsia="Calibri"/>
          <w:b/>
          <w:szCs w:val="24"/>
          <w:lang w:val="en-US" w:eastAsia="en-US"/>
        </w:rPr>
        <w:t xml:space="preserve">Accounting Horizons, </w:t>
      </w:r>
      <w:r w:rsidRPr="00D87F6E">
        <w:rPr>
          <w:rFonts w:eastAsia="Calibri"/>
          <w:szCs w:val="24"/>
          <w:lang w:val="en-US" w:eastAsia="en-US"/>
        </w:rPr>
        <w:t>v. 17, p. 207-221, 2003.</w:t>
      </w:r>
    </w:p>
    <w:p w:rsidR="003A6076" w:rsidRPr="00D87F6E" w:rsidRDefault="003A6076" w:rsidP="00080401">
      <w:pPr>
        <w:widowControl/>
        <w:suppressLineNumbers w:val="0"/>
        <w:suppressAutoHyphens w:val="0"/>
        <w:ind w:firstLine="0"/>
        <w:jc w:val="left"/>
        <w:rPr>
          <w:rFonts w:eastAsia="Calibri"/>
          <w:szCs w:val="24"/>
          <w:lang w:val="en-US" w:eastAsia="en-US"/>
        </w:rPr>
      </w:pPr>
    </w:p>
    <w:p w:rsidR="003A6076" w:rsidRPr="00D87F6E" w:rsidRDefault="003A6076" w:rsidP="00080401">
      <w:pPr>
        <w:widowControl/>
        <w:suppressLineNumbers w:val="0"/>
        <w:suppressAutoHyphens w:val="0"/>
        <w:ind w:firstLine="0"/>
        <w:jc w:val="left"/>
        <w:rPr>
          <w:rFonts w:eastAsia="Calibri"/>
          <w:szCs w:val="24"/>
          <w:lang w:eastAsia="en-US"/>
        </w:rPr>
      </w:pPr>
      <w:r w:rsidRPr="00D87F6E">
        <w:rPr>
          <w:rFonts w:eastAsia="Calibri"/>
          <w:szCs w:val="24"/>
          <w:lang w:eastAsia="en-US"/>
        </w:rPr>
        <w:t xml:space="preserve">WRUBEL, F.; MARASSI, R. B.; KLANN, R. C. Determinantes do reconhecimento de perdas por impairment em empresas brasileiras. </w:t>
      </w:r>
      <w:r w:rsidRPr="00D87F6E">
        <w:rPr>
          <w:rFonts w:eastAsia="Calibri"/>
          <w:b/>
          <w:szCs w:val="24"/>
          <w:lang w:eastAsia="en-US"/>
        </w:rPr>
        <w:t xml:space="preserve">RACEF – Revista de Administração, Contabilidade e Economia da Fundace. </w:t>
      </w:r>
      <w:r w:rsidRPr="00D87F6E">
        <w:rPr>
          <w:rFonts w:eastAsia="Calibri"/>
          <w:szCs w:val="24"/>
          <w:lang w:eastAsia="en-US"/>
        </w:rPr>
        <w:t>v. 6, n. 1, p. 127-128, 2015.</w:t>
      </w:r>
    </w:p>
    <w:p w:rsidR="003A6076" w:rsidRPr="00D87F6E" w:rsidRDefault="003A6076" w:rsidP="00080401">
      <w:pPr>
        <w:widowControl/>
        <w:suppressLineNumbers w:val="0"/>
        <w:suppressAutoHyphens w:val="0"/>
        <w:ind w:firstLine="0"/>
        <w:jc w:val="left"/>
        <w:rPr>
          <w:rFonts w:eastAsia="Calibri"/>
          <w:szCs w:val="24"/>
          <w:lang w:eastAsia="en-US"/>
        </w:rPr>
      </w:pPr>
    </w:p>
    <w:p w:rsidR="003A6076" w:rsidRPr="00D87F6E" w:rsidRDefault="003A6076" w:rsidP="00080401">
      <w:pPr>
        <w:widowControl/>
        <w:suppressLineNumbers w:val="0"/>
        <w:suppressAutoHyphens w:val="0"/>
        <w:ind w:firstLine="0"/>
        <w:jc w:val="left"/>
        <w:rPr>
          <w:rFonts w:eastAsia="Calibri"/>
          <w:szCs w:val="24"/>
          <w:lang w:val="en-US" w:eastAsia="en-US"/>
        </w:rPr>
      </w:pPr>
      <w:r w:rsidRPr="00D87F6E">
        <w:rPr>
          <w:rFonts w:eastAsia="Calibri"/>
          <w:szCs w:val="24"/>
          <w:lang w:val="en-US" w:eastAsia="en-US"/>
        </w:rPr>
        <w:t xml:space="preserve">ZANG, Y. Discretionary behavior with respect to the adoption of SFAS 142 and the behavior of security prices. </w:t>
      </w:r>
      <w:r w:rsidRPr="00D87F6E">
        <w:rPr>
          <w:rFonts w:eastAsia="Calibri"/>
          <w:b/>
          <w:szCs w:val="24"/>
          <w:lang w:val="en-US" w:eastAsia="en-US"/>
        </w:rPr>
        <w:t>Review of Accounting and Finance</w:t>
      </w:r>
      <w:r w:rsidRPr="00D87F6E">
        <w:rPr>
          <w:rFonts w:eastAsia="Calibri"/>
          <w:szCs w:val="24"/>
          <w:lang w:val="en-US" w:eastAsia="en-US"/>
        </w:rPr>
        <w:t>, v. 7, n. 1, p. 38-68, 2008.</w:t>
      </w:r>
    </w:p>
    <w:p w:rsidR="003A6076" w:rsidRPr="003A6076" w:rsidRDefault="003A6076" w:rsidP="00080401">
      <w:pPr>
        <w:widowControl/>
        <w:suppressLineNumbers w:val="0"/>
        <w:suppressAutoHyphens w:val="0"/>
        <w:ind w:firstLine="0"/>
        <w:jc w:val="left"/>
        <w:rPr>
          <w:rFonts w:eastAsia="Calibri"/>
          <w:szCs w:val="24"/>
          <w:lang w:val="en-US" w:eastAsia="en-US"/>
        </w:rPr>
      </w:pPr>
    </w:p>
    <w:p w:rsidR="003A6076" w:rsidRPr="003A6076" w:rsidRDefault="003A6076" w:rsidP="00080401">
      <w:pPr>
        <w:widowControl/>
        <w:suppressLineNumbers w:val="0"/>
        <w:suppressAutoHyphens w:val="0"/>
        <w:ind w:firstLine="0"/>
        <w:jc w:val="left"/>
        <w:rPr>
          <w:rFonts w:eastAsia="Calibri"/>
          <w:szCs w:val="24"/>
          <w:lang w:val="en-US" w:eastAsia="en-US"/>
        </w:rPr>
      </w:pPr>
    </w:p>
    <w:p w:rsidR="003A6076" w:rsidRPr="003A6076" w:rsidRDefault="003A6076" w:rsidP="00080401">
      <w:pPr>
        <w:widowControl/>
        <w:suppressLineNumbers w:val="0"/>
        <w:suppressAutoHyphens w:val="0"/>
        <w:ind w:firstLine="0"/>
        <w:rPr>
          <w:rFonts w:eastAsia="Calibri"/>
          <w:b/>
          <w:szCs w:val="24"/>
          <w:lang w:val="en-US" w:eastAsia="en-US"/>
        </w:rPr>
      </w:pPr>
    </w:p>
    <w:p w:rsidR="00EC6EDB" w:rsidRPr="003A6076" w:rsidRDefault="00EC6EDB" w:rsidP="00080401">
      <w:pPr>
        <w:rPr>
          <w:szCs w:val="24"/>
        </w:rPr>
      </w:pPr>
    </w:p>
    <w:sectPr w:rsidR="00EC6EDB" w:rsidRPr="003A6076" w:rsidSect="00080401">
      <w:pgSz w:w="12240" w:h="15840" w:code="119"/>
      <w:pgMar w:top="1701" w:right="1134" w:bottom="1134" w:left="1701" w:header="142" w:footer="113"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0EF5" w:rsidRDefault="00D40EF5" w:rsidP="005840EF">
      <w:r>
        <w:separator/>
      </w:r>
    </w:p>
  </w:endnote>
  <w:endnote w:type="continuationSeparator" w:id="1">
    <w:p w:rsidR="00D40EF5" w:rsidRDefault="00D40EF5" w:rsidP="005840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401" w:rsidRPr="00F05FBB" w:rsidRDefault="000E5125" w:rsidP="00D2342D">
    <w:pPr>
      <w:pStyle w:val="Rodap"/>
      <w:jc w:val="right"/>
      <w:rPr>
        <w:sz w:val="20"/>
      </w:rPr>
    </w:pPr>
    <w:r w:rsidRPr="00F05FBB">
      <w:rPr>
        <w:sz w:val="20"/>
      </w:rPr>
      <w:fldChar w:fldCharType="begin"/>
    </w:r>
    <w:r w:rsidR="00080401" w:rsidRPr="00F05FBB">
      <w:rPr>
        <w:sz w:val="20"/>
      </w:rPr>
      <w:instrText>PAGE   \* MERGEFORMAT</w:instrText>
    </w:r>
    <w:r w:rsidRPr="00F05FBB">
      <w:rPr>
        <w:sz w:val="20"/>
      </w:rPr>
      <w:fldChar w:fldCharType="separate"/>
    </w:r>
    <w:r w:rsidR="00564CB9">
      <w:rPr>
        <w:noProof/>
        <w:sz w:val="20"/>
      </w:rPr>
      <w:t>1</w:t>
    </w:r>
    <w:r w:rsidRPr="00F05FBB">
      <w:rPr>
        <w:sz w:val="20"/>
      </w:rPr>
      <w:fldChar w:fldCharType="end"/>
    </w:r>
  </w:p>
  <w:p w:rsidR="00080401" w:rsidRPr="00862FD2" w:rsidRDefault="00080401" w:rsidP="006E7067">
    <w:pPr>
      <w:pStyle w:val="Rodap"/>
      <w:ind w:firstLine="0"/>
      <w:jc w:val="center"/>
    </w:pPr>
    <w:r w:rsidRPr="000406C1">
      <w:rPr>
        <w:noProof/>
        <w:sz w:val="20"/>
        <w:lang w:val="pt-BR" w:eastAsia="pt-BR"/>
      </w:rPr>
      <w:drawing>
        <wp:inline distT="0" distB="0" distL="0" distR="0">
          <wp:extent cx="5619750" cy="1238250"/>
          <wp:effectExtent l="0" t="0" r="0" b="0"/>
          <wp:docPr id="1" name="Picture 9" descr="C:\Users\desenv.prof2\Desktop\Agende-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senv.prof2\Desktop\Agende-se.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9723"/>
                  <a:stretch>
                    <a:fillRect/>
                  </a:stretch>
                </pic:blipFill>
                <pic:spPr bwMode="auto">
                  <a:xfrm>
                    <a:off x="0" y="0"/>
                    <a:ext cx="5619750" cy="1238250"/>
                  </a:xfrm>
                  <a:prstGeom prst="rect">
                    <a:avLst/>
                  </a:prstGeom>
                  <a:noFill/>
                  <a:ln>
                    <a:noFill/>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0EF5" w:rsidRDefault="00D40EF5" w:rsidP="005840EF">
      <w:r>
        <w:separator/>
      </w:r>
    </w:p>
  </w:footnote>
  <w:footnote w:type="continuationSeparator" w:id="1">
    <w:p w:rsidR="00D40EF5" w:rsidRDefault="00D40EF5" w:rsidP="005840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401" w:rsidRPr="004251EF" w:rsidRDefault="000E5125" w:rsidP="006E7067">
    <w:pPr>
      <w:pStyle w:val="Cabealho"/>
      <w:ind w:firstLine="0"/>
      <w:jc w:val="center"/>
    </w:pPr>
    <w:r>
      <w:rPr>
        <w:noProof/>
      </w:rPr>
      <w:pict>
        <v:shapetype id="_x0000_t32" coordsize="21600,21600" o:spt="32" o:oned="t" path="m,l21600,21600e" filled="f">
          <v:path arrowok="t" fillok="f" o:connecttype="none"/>
          <o:lock v:ext="edit" shapetype="t"/>
        </v:shapetype>
        <v:shape id="AutoShape 2" o:spid="_x0000_s4097" type="#_x0000_t32" style="position:absolute;left:0;text-align:left;margin-left:-15.3pt;margin-top:126.4pt;width:508.5pt;height:0;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">
          <v:shadow color="#7f7f7f" opacity=".5" offset="1pt"/>
        </v:shape>
      </w:pict>
    </w:r>
    <w:r w:rsidR="00080401">
      <w:rPr>
        <w:noProof/>
      </w:rPr>
      <w:drawing>
        <wp:inline distT="0" distB="0" distL="0" distR="0">
          <wp:extent cx="5962650" cy="1609725"/>
          <wp:effectExtent l="0" t="0" r="0" b="9525"/>
          <wp:docPr id="2" name="Imagem 2" descr="capa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a facebook"/>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62650" cy="1609725"/>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4">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5">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7">
    <w:nsid w:val="72917D1D"/>
    <w:multiLevelType w:val="hybridMultilevel"/>
    <w:tmpl w:val="F0EC33BA"/>
    <w:lvl w:ilvl="0" w:tplc="CCDCC29E">
      <w:start w:val="1"/>
      <w:numFmt w:val="lowerLetter"/>
      <w:lvlText w:val="%1)"/>
      <w:lvlJc w:val="left"/>
      <w:pPr>
        <w:tabs>
          <w:tab w:val="num" w:pos="360"/>
        </w:tabs>
        <w:ind w:left="360" w:hanging="360"/>
      </w:pPr>
      <w:rPr>
        <w:rFonts w:hint="default"/>
        <w:b/>
        <w:i w:val="0"/>
        <w:color w:val="000000"/>
        <w:sz w:val="24"/>
        <w:szCs w:val="24"/>
      </w:rPr>
    </w:lvl>
    <w:lvl w:ilvl="1" w:tplc="B32E7F88" w:tentative="1">
      <w:start w:val="1"/>
      <w:numFmt w:val="bullet"/>
      <w:lvlText w:val="o"/>
      <w:lvlJc w:val="left"/>
      <w:pPr>
        <w:tabs>
          <w:tab w:val="num" w:pos="1440"/>
        </w:tabs>
        <w:ind w:left="1440" w:hanging="360"/>
      </w:pPr>
      <w:rPr>
        <w:rFonts w:ascii="Courier New" w:hAnsi="Courier New" w:cs="Courier New" w:hint="default"/>
      </w:rPr>
    </w:lvl>
    <w:lvl w:ilvl="2" w:tplc="11E25CA0" w:tentative="1">
      <w:start w:val="1"/>
      <w:numFmt w:val="bullet"/>
      <w:lvlText w:val=""/>
      <w:lvlJc w:val="left"/>
      <w:pPr>
        <w:tabs>
          <w:tab w:val="num" w:pos="2160"/>
        </w:tabs>
        <w:ind w:left="2160" w:hanging="360"/>
      </w:pPr>
      <w:rPr>
        <w:rFonts w:ascii="Wingdings" w:hAnsi="Wingdings" w:hint="default"/>
      </w:rPr>
    </w:lvl>
    <w:lvl w:ilvl="3" w:tplc="DC9CEFC6" w:tentative="1">
      <w:start w:val="1"/>
      <w:numFmt w:val="bullet"/>
      <w:lvlText w:val=""/>
      <w:lvlJc w:val="left"/>
      <w:pPr>
        <w:tabs>
          <w:tab w:val="num" w:pos="2880"/>
        </w:tabs>
        <w:ind w:left="2880" w:hanging="360"/>
      </w:pPr>
      <w:rPr>
        <w:rFonts w:ascii="Symbol" w:hAnsi="Symbol" w:hint="default"/>
      </w:rPr>
    </w:lvl>
    <w:lvl w:ilvl="4" w:tplc="1D3E2AC8" w:tentative="1">
      <w:start w:val="1"/>
      <w:numFmt w:val="bullet"/>
      <w:lvlText w:val="o"/>
      <w:lvlJc w:val="left"/>
      <w:pPr>
        <w:tabs>
          <w:tab w:val="num" w:pos="3600"/>
        </w:tabs>
        <w:ind w:left="3600" w:hanging="360"/>
      </w:pPr>
      <w:rPr>
        <w:rFonts w:ascii="Courier New" w:hAnsi="Courier New" w:cs="Courier New" w:hint="default"/>
      </w:rPr>
    </w:lvl>
    <w:lvl w:ilvl="5" w:tplc="9C281B20" w:tentative="1">
      <w:start w:val="1"/>
      <w:numFmt w:val="bullet"/>
      <w:lvlText w:val=""/>
      <w:lvlJc w:val="left"/>
      <w:pPr>
        <w:tabs>
          <w:tab w:val="num" w:pos="4320"/>
        </w:tabs>
        <w:ind w:left="4320" w:hanging="360"/>
      </w:pPr>
      <w:rPr>
        <w:rFonts w:ascii="Wingdings" w:hAnsi="Wingdings" w:hint="default"/>
      </w:rPr>
    </w:lvl>
    <w:lvl w:ilvl="6" w:tplc="E548ADCC" w:tentative="1">
      <w:start w:val="1"/>
      <w:numFmt w:val="bullet"/>
      <w:lvlText w:val=""/>
      <w:lvlJc w:val="left"/>
      <w:pPr>
        <w:tabs>
          <w:tab w:val="num" w:pos="5040"/>
        </w:tabs>
        <w:ind w:left="5040" w:hanging="360"/>
      </w:pPr>
      <w:rPr>
        <w:rFonts w:ascii="Symbol" w:hAnsi="Symbol" w:hint="default"/>
      </w:rPr>
    </w:lvl>
    <w:lvl w:ilvl="7" w:tplc="08343240" w:tentative="1">
      <w:start w:val="1"/>
      <w:numFmt w:val="bullet"/>
      <w:lvlText w:val="o"/>
      <w:lvlJc w:val="left"/>
      <w:pPr>
        <w:tabs>
          <w:tab w:val="num" w:pos="5760"/>
        </w:tabs>
        <w:ind w:left="5760" w:hanging="360"/>
      </w:pPr>
      <w:rPr>
        <w:rFonts w:ascii="Courier New" w:hAnsi="Courier New" w:cs="Courier New" w:hint="default"/>
      </w:rPr>
    </w:lvl>
    <w:lvl w:ilvl="8" w:tplc="177894EC"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4"/>
  </w:num>
  <w:num w:numId="3">
    <w:abstractNumId w:val="5"/>
  </w:num>
  <w:num w:numId="4">
    <w:abstractNumId w:val="7"/>
  </w:num>
  <w:num w:numId="5">
    <w:abstractNumId w:val="3"/>
  </w:num>
  <w:num w:numId="6">
    <w:abstractNumId w:val="1"/>
  </w:num>
  <w:num w:numId="7">
    <w:abstractNumId w:val="0"/>
  </w:num>
  <w:num w:numId="8">
    <w:abstractNumId w:val="2"/>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5122" fill="f" fillcolor="white" stroke="f">
      <v:fill color="white" on="f"/>
      <v:stroke on="f"/>
    </o:shapedefaults>
    <o:shapelayout v:ext="edit">
      <o:idmap v:ext="edit" data="4"/>
      <o:rules v:ext="edit">
        <o:r id="V:Rule1" type="connector" idref="#AutoShape 2"/>
      </o:rules>
    </o:shapelayout>
  </w:hdrShapeDefaults>
  <w:footnotePr>
    <w:footnote w:id="0"/>
    <w:footnote w:id="1"/>
  </w:footnotePr>
  <w:endnotePr>
    <w:endnote w:id="0"/>
    <w:endnote w:id="1"/>
  </w:endnotePr>
  <w:compat>
    <w:doNotUseHTMLParagraphAutoSpacing/>
  </w:compat>
  <w:rsids>
    <w:rsidRoot w:val="006D340F"/>
    <w:rsid w:val="000011A2"/>
    <w:rsid w:val="000033F3"/>
    <w:rsid w:val="00005226"/>
    <w:rsid w:val="0002062B"/>
    <w:rsid w:val="00021054"/>
    <w:rsid w:val="000504EC"/>
    <w:rsid w:val="00053464"/>
    <w:rsid w:val="00053A19"/>
    <w:rsid w:val="0006261D"/>
    <w:rsid w:val="00066583"/>
    <w:rsid w:val="000720BF"/>
    <w:rsid w:val="0007359B"/>
    <w:rsid w:val="00076AB9"/>
    <w:rsid w:val="00080401"/>
    <w:rsid w:val="00081B96"/>
    <w:rsid w:val="000A2C4E"/>
    <w:rsid w:val="000A52AA"/>
    <w:rsid w:val="000A6B4B"/>
    <w:rsid w:val="000A7AA6"/>
    <w:rsid w:val="000B523C"/>
    <w:rsid w:val="000E5125"/>
    <w:rsid w:val="000F0530"/>
    <w:rsid w:val="000F385B"/>
    <w:rsid w:val="00135478"/>
    <w:rsid w:val="001457BE"/>
    <w:rsid w:val="001657FA"/>
    <w:rsid w:val="00195364"/>
    <w:rsid w:val="001A28F2"/>
    <w:rsid w:val="001B045D"/>
    <w:rsid w:val="0020354A"/>
    <w:rsid w:val="002040B7"/>
    <w:rsid w:val="002056D7"/>
    <w:rsid w:val="002058FC"/>
    <w:rsid w:val="00216542"/>
    <w:rsid w:val="00227C31"/>
    <w:rsid w:val="00231429"/>
    <w:rsid w:val="00244401"/>
    <w:rsid w:val="00244C0A"/>
    <w:rsid w:val="00251793"/>
    <w:rsid w:val="00263CEF"/>
    <w:rsid w:val="00264A62"/>
    <w:rsid w:val="002826C0"/>
    <w:rsid w:val="00285319"/>
    <w:rsid w:val="002B1473"/>
    <w:rsid w:val="002B78FC"/>
    <w:rsid w:val="002C11FE"/>
    <w:rsid w:val="002C7235"/>
    <w:rsid w:val="002D0107"/>
    <w:rsid w:val="002D2ABB"/>
    <w:rsid w:val="002D5E27"/>
    <w:rsid w:val="002E6030"/>
    <w:rsid w:val="00303C6F"/>
    <w:rsid w:val="0031220B"/>
    <w:rsid w:val="00313561"/>
    <w:rsid w:val="003337B5"/>
    <w:rsid w:val="00347D98"/>
    <w:rsid w:val="00360029"/>
    <w:rsid w:val="00371DFF"/>
    <w:rsid w:val="003759C0"/>
    <w:rsid w:val="00383B83"/>
    <w:rsid w:val="003904D6"/>
    <w:rsid w:val="003923C3"/>
    <w:rsid w:val="00395244"/>
    <w:rsid w:val="003A3639"/>
    <w:rsid w:val="003A6076"/>
    <w:rsid w:val="003B0D1E"/>
    <w:rsid w:val="003B59F0"/>
    <w:rsid w:val="003C4D6D"/>
    <w:rsid w:val="003D6538"/>
    <w:rsid w:val="004011F6"/>
    <w:rsid w:val="00406C08"/>
    <w:rsid w:val="00416CC1"/>
    <w:rsid w:val="004213B2"/>
    <w:rsid w:val="00422272"/>
    <w:rsid w:val="00423365"/>
    <w:rsid w:val="004251EF"/>
    <w:rsid w:val="00446B82"/>
    <w:rsid w:val="00472EE1"/>
    <w:rsid w:val="0048579A"/>
    <w:rsid w:val="0049262F"/>
    <w:rsid w:val="00494016"/>
    <w:rsid w:val="004D37CF"/>
    <w:rsid w:val="00523BAB"/>
    <w:rsid w:val="00531A76"/>
    <w:rsid w:val="00544566"/>
    <w:rsid w:val="0055088A"/>
    <w:rsid w:val="00564CB9"/>
    <w:rsid w:val="00564DE7"/>
    <w:rsid w:val="00570B6C"/>
    <w:rsid w:val="005840EF"/>
    <w:rsid w:val="00587A7F"/>
    <w:rsid w:val="005A1D0A"/>
    <w:rsid w:val="005C1E82"/>
    <w:rsid w:val="005D0785"/>
    <w:rsid w:val="005D5AFB"/>
    <w:rsid w:val="005D711E"/>
    <w:rsid w:val="005E7836"/>
    <w:rsid w:val="00606F36"/>
    <w:rsid w:val="00611BFB"/>
    <w:rsid w:val="00616ADD"/>
    <w:rsid w:val="00625B6A"/>
    <w:rsid w:val="006408A0"/>
    <w:rsid w:val="00645114"/>
    <w:rsid w:val="00646906"/>
    <w:rsid w:val="00654EB4"/>
    <w:rsid w:val="00664EB5"/>
    <w:rsid w:val="00671E1A"/>
    <w:rsid w:val="006750E6"/>
    <w:rsid w:val="00677D3D"/>
    <w:rsid w:val="00683BE5"/>
    <w:rsid w:val="006C284A"/>
    <w:rsid w:val="006D0071"/>
    <w:rsid w:val="006D02CA"/>
    <w:rsid w:val="006D340F"/>
    <w:rsid w:val="006E0DEE"/>
    <w:rsid w:val="006E5510"/>
    <w:rsid w:val="006E7067"/>
    <w:rsid w:val="00701EE9"/>
    <w:rsid w:val="007079F4"/>
    <w:rsid w:val="00710D8D"/>
    <w:rsid w:val="00714245"/>
    <w:rsid w:val="00734C74"/>
    <w:rsid w:val="00746F9A"/>
    <w:rsid w:val="0076620E"/>
    <w:rsid w:val="00784B6B"/>
    <w:rsid w:val="007B277A"/>
    <w:rsid w:val="007C0C2C"/>
    <w:rsid w:val="007D262B"/>
    <w:rsid w:val="007D356C"/>
    <w:rsid w:val="007D5043"/>
    <w:rsid w:val="007D5112"/>
    <w:rsid w:val="007D6A50"/>
    <w:rsid w:val="007F1447"/>
    <w:rsid w:val="007F78BC"/>
    <w:rsid w:val="00806C3F"/>
    <w:rsid w:val="00862FD2"/>
    <w:rsid w:val="00865A23"/>
    <w:rsid w:val="00865CB7"/>
    <w:rsid w:val="00866591"/>
    <w:rsid w:val="0086676A"/>
    <w:rsid w:val="00876F9E"/>
    <w:rsid w:val="008830B4"/>
    <w:rsid w:val="008902BE"/>
    <w:rsid w:val="008A521F"/>
    <w:rsid w:val="008B0CB1"/>
    <w:rsid w:val="008B21BE"/>
    <w:rsid w:val="008B3D7E"/>
    <w:rsid w:val="008B7397"/>
    <w:rsid w:val="008E0AB4"/>
    <w:rsid w:val="008E49EC"/>
    <w:rsid w:val="008F1B7C"/>
    <w:rsid w:val="008F67F7"/>
    <w:rsid w:val="00917A48"/>
    <w:rsid w:val="0092413C"/>
    <w:rsid w:val="00943459"/>
    <w:rsid w:val="00946F46"/>
    <w:rsid w:val="00952306"/>
    <w:rsid w:val="0097021B"/>
    <w:rsid w:val="009724D8"/>
    <w:rsid w:val="00973373"/>
    <w:rsid w:val="009874C1"/>
    <w:rsid w:val="009972E1"/>
    <w:rsid w:val="009976D2"/>
    <w:rsid w:val="009B11E7"/>
    <w:rsid w:val="009B3488"/>
    <w:rsid w:val="009C7DFA"/>
    <w:rsid w:val="009D68AF"/>
    <w:rsid w:val="00A01395"/>
    <w:rsid w:val="00A13BD9"/>
    <w:rsid w:val="00A16D53"/>
    <w:rsid w:val="00A2397E"/>
    <w:rsid w:val="00A4092D"/>
    <w:rsid w:val="00A5776B"/>
    <w:rsid w:val="00A63082"/>
    <w:rsid w:val="00A649EC"/>
    <w:rsid w:val="00A80641"/>
    <w:rsid w:val="00AA703E"/>
    <w:rsid w:val="00AB00D0"/>
    <w:rsid w:val="00AB078E"/>
    <w:rsid w:val="00AB5527"/>
    <w:rsid w:val="00AC77FE"/>
    <w:rsid w:val="00AC7E25"/>
    <w:rsid w:val="00AD4833"/>
    <w:rsid w:val="00B12485"/>
    <w:rsid w:val="00B169EE"/>
    <w:rsid w:val="00B211FC"/>
    <w:rsid w:val="00B23DFE"/>
    <w:rsid w:val="00B2553A"/>
    <w:rsid w:val="00B25FFE"/>
    <w:rsid w:val="00B3035E"/>
    <w:rsid w:val="00B34C5F"/>
    <w:rsid w:val="00B46895"/>
    <w:rsid w:val="00B47AD6"/>
    <w:rsid w:val="00B6616A"/>
    <w:rsid w:val="00B74D30"/>
    <w:rsid w:val="00B801AB"/>
    <w:rsid w:val="00BC2D14"/>
    <w:rsid w:val="00BD36DE"/>
    <w:rsid w:val="00BF3BDF"/>
    <w:rsid w:val="00BF555B"/>
    <w:rsid w:val="00BF63B7"/>
    <w:rsid w:val="00C002DB"/>
    <w:rsid w:val="00C01F1F"/>
    <w:rsid w:val="00C1528E"/>
    <w:rsid w:val="00C22A7A"/>
    <w:rsid w:val="00C4525F"/>
    <w:rsid w:val="00C50F1C"/>
    <w:rsid w:val="00C671EC"/>
    <w:rsid w:val="00C84F71"/>
    <w:rsid w:val="00C9407B"/>
    <w:rsid w:val="00C979DC"/>
    <w:rsid w:val="00CD4601"/>
    <w:rsid w:val="00CD68EB"/>
    <w:rsid w:val="00CD7A21"/>
    <w:rsid w:val="00CF0D35"/>
    <w:rsid w:val="00D01A5D"/>
    <w:rsid w:val="00D024E2"/>
    <w:rsid w:val="00D17474"/>
    <w:rsid w:val="00D2342D"/>
    <w:rsid w:val="00D402AB"/>
    <w:rsid w:val="00D40EF5"/>
    <w:rsid w:val="00D4266A"/>
    <w:rsid w:val="00D44F34"/>
    <w:rsid w:val="00D47860"/>
    <w:rsid w:val="00D64099"/>
    <w:rsid w:val="00D73971"/>
    <w:rsid w:val="00D76DB3"/>
    <w:rsid w:val="00D80C8D"/>
    <w:rsid w:val="00D86B5F"/>
    <w:rsid w:val="00D87F6E"/>
    <w:rsid w:val="00D94E67"/>
    <w:rsid w:val="00DA5E5B"/>
    <w:rsid w:val="00DB58F8"/>
    <w:rsid w:val="00DE1E14"/>
    <w:rsid w:val="00DE252E"/>
    <w:rsid w:val="00DE3C14"/>
    <w:rsid w:val="00DE631D"/>
    <w:rsid w:val="00DE75F7"/>
    <w:rsid w:val="00DF793F"/>
    <w:rsid w:val="00DF7BE1"/>
    <w:rsid w:val="00E01770"/>
    <w:rsid w:val="00E1786F"/>
    <w:rsid w:val="00E246FD"/>
    <w:rsid w:val="00E24E18"/>
    <w:rsid w:val="00E273C2"/>
    <w:rsid w:val="00E45D8F"/>
    <w:rsid w:val="00E53AE0"/>
    <w:rsid w:val="00E62BC1"/>
    <w:rsid w:val="00E64842"/>
    <w:rsid w:val="00E94A5E"/>
    <w:rsid w:val="00EB57D2"/>
    <w:rsid w:val="00EB68EB"/>
    <w:rsid w:val="00EC6EDB"/>
    <w:rsid w:val="00ED2E94"/>
    <w:rsid w:val="00ED3A08"/>
    <w:rsid w:val="00ED6578"/>
    <w:rsid w:val="00EE1A5F"/>
    <w:rsid w:val="00EF213A"/>
    <w:rsid w:val="00F05FBB"/>
    <w:rsid w:val="00F30B77"/>
    <w:rsid w:val="00F4595F"/>
    <w:rsid w:val="00F52108"/>
    <w:rsid w:val="00F5677D"/>
    <w:rsid w:val="00F70D09"/>
    <w:rsid w:val="00F837AD"/>
    <w:rsid w:val="00F84A13"/>
    <w:rsid w:val="00F939A4"/>
    <w:rsid w:val="00FC1C75"/>
    <w:rsid w:val="00FC4DE3"/>
    <w:rsid w:val="00FE3F8B"/>
    <w:rsid w:val="00FF2FBB"/>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lang/>
    </w:rPr>
  </w:style>
  <w:style w:type="paragraph" w:styleId="Ttulo2">
    <w:name w:val="heading 2"/>
    <w:basedOn w:val="Normal"/>
    <w:next w:val="Normal"/>
    <w:link w:val="Ttulo2Char"/>
    <w:uiPriority w:val="9"/>
    <w:qFormat/>
    <w:rsid w:val="002056D7"/>
    <w:pPr>
      <w:keepNext/>
      <w:numPr>
        <w:ilvl w:val="1"/>
        <w:numId w:val="8"/>
      </w:numPr>
      <w:outlineLvl w:val="1"/>
    </w:pPr>
    <w:rPr>
      <w:caps/>
      <w:lang/>
    </w:rPr>
  </w:style>
  <w:style w:type="paragraph" w:styleId="Ttulo3">
    <w:name w:val="heading 3"/>
    <w:basedOn w:val="Normal"/>
    <w:next w:val="Normal"/>
    <w:link w:val="Ttulo3Char"/>
    <w:uiPriority w:val="9"/>
    <w:qFormat/>
    <w:rsid w:val="000E5125"/>
    <w:pPr>
      <w:keepNext/>
      <w:numPr>
        <w:ilvl w:val="2"/>
        <w:numId w:val="8"/>
      </w:numPr>
      <w:tabs>
        <w:tab w:val="left" w:pos="0"/>
      </w:tabs>
      <w:outlineLvl w:val="2"/>
    </w:pPr>
    <w:rPr>
      <w:b/>
      <w:sz w:val="22"/>
      <w:u w:val="single"/>
      <w:lang/>
    </w:rPr>
  </w:style>
  <w:style w:type="paragraph" w:styleId="Ttulo4">
    <w:name w:val="heading 4"/>
    <w:basedOn w:val="Normal"/>
    <w:next w:val="Normal"/>
    <w:link w:val="Ttulo4Char"/>
    <w:uiPriority w:val="9"/>
    <w:qFormat/>
    <w:rsid w:val="000E5125"/>
    <w:pPr>
      <w:keepNext/>
      <w:numPr>
        <w:ilvl w:val="3"/>
        <w:numId w:val="8"/>
      </w:numPr>
      <w:outlineLvl w:val="3"/>
    </w:pPr>
    <w:rPr>
      <w:rFonts w:ascii="Arial" w:hAnsi="Arial"/>
      <w:szCs w:val="24"/>
      <w:lang/>
    </w:rPr>
  </w:style>
  <w:style w:type="paragraph" w:styleId="Ttulo5">
    <w:name w:val="heading 5"/>
    <w:basedOn w:val="Normal"/>
    <w:next w:val="Normal"/>
    <w:link w:val="Ttulo5Char"/>
    <w:uiPriority w:val="9"/>
    <w:qFormat/>
    <w:rsid w:val="000E5125"/>
    <w:pPr>
      <w:keepNext/>
      <w:numPr>
        <w:ilvl w:val="4"/>
        <w:numId w:val="8"/>
      </w:numPr>
      <w:tabs>
        <w:tab w:val="left" w:pos="0"/>
      </w:tabs>
      <w:jc w:val="center"/>
      <w:outlineLvl w:val="4"/>
    </w:pPr>
    <w:rPr>
      <w:b/>
      <w:sz w:val="22"/>
      <w:lang/>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rsid w:val="000E5125"/>
    <w:pPr>
      <w:tabs>
        <w:tab w:val="left" w:pos="0"/>
      </w:tabs>
    </w:pPr>
    <w:rPr>
      <w:sz w:val="22"/>
    </w:rPr>
  </w:style>
  <w:style w:type="paragraph" w:styleId="Rodap">
    <w:name w:val="footer"/>
    <w:basedOn w:val="Normal"/>
    <w:link w:val="RodapChar"/>
    <w:uiPriority w:val="99"/>
    <w:rsid w:val="000E5125"/>
    <w:pPr>
      <w:tabs>
        <w:tab w:val="center" w:pos="4419"/>
        <w:tab w:val="right" w:pos="8838"/>
      </w:tabs>
    </w:pPr>
    <w:rPr>
      <w:szCs w:val="24"/>
      <w:lang/>
    </w:rPr>
  </w:style>
  <w:style w:type="character" w:styleId="Hyperlink">
    <w:name w:val="Hyperlink"/>
    <w:uiPriority w:val="99"/>
    <w:rsid w:val="000E5125"/>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eastAsia="en-US"/>
    </w:rPr>
  </w:style>
  <w:style w:type="character" w:customStyle="1" w:styleId="Ttulo7Char">
    <w:name w:val="Título 7 Char"/>
    <w:link w:val="Ttulo7"/>
    <w:uiPriority w:val="9"/>
    <w:semiHidden/>
    <w:rsid w:val="00E24E18"/>
    <w:rPr>
      <w:rFonts w:ascii="Calibri" w:hAnsi="Calibri"/>
      <w:sz w:val="24"/>
      <w:szCs w:val="24"/>
      <w:lang w:eastAsia="en-US"/>
    </w:rPr>
  </w:style>
  <w:style w:type="character" w:customStyle="1" w:styleId="Ttulo8Char">
    <w:name w:val="Título 8 Char"/>
    <w:link w:val="Ttulo8"/>
    <w:uiPriority w:val="9"/>
    <w:semiHidden/>
    <w:rsid w:val="00E24E18"/>
    <w:rPr>
      <w:rFonts w:ascii="Calibri" w:hAnsi="Calibri"/>
      <w:i/>
      <w:iCs/>
      <w:sz w:val="24"/>
      <w:szCs w:val="24"/>
      <w:lang w:eastAsia="en-US"/>
    </w:rPr>
  </w:style>
  <w:style w:type="character" w:customStyle="1" w:styleId="Ttulo9Char">
    <w:name w:val="Título 9 Char"/>
    <w:link w:val="Ttulo9"/>
    <w:uiPriority w:val="9"/>
    <w:semiHidden/>
    <w:rsid w:val="00E24E18"/>
    <w:rPr>
      <w:rFonts w:ascii="Cambria" w:hAnsi="Cambria"/>
      <w:sz w:val="22"/>
      <w:szCs w:val="22"/>
      <w:lang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elacomgrade">
    <w:name w:val="Table Grid"/>
    <w:basedOn w:val="Tabelanormal"/>
    <w:uiPriority w:val="39"/>
    <w:rsid w:val="00E24E18"/>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table" w:customStyle="1" w:styleId="Tabelacomgrade2">
    <w:name w:val="Tabela com grade2"/>
    <w:basedOn w:val="Tabelanormal"/>
    <w:next w:val="Tabelacomgrade"/>
    <w:uiPriority w:val="39"/>
    <w:rsid w:val="00C9407B"/>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3">
    <w:name w:val="Tabela com grade3"/>
    <w:basedOn w:val="Tabelanormal"/>
    <w:next w:val="Tabelacomgrade"/>
    <w:uiPriority w:val="39"/>
    <w:rsid w:val="00645114"/>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4">
    <w:name w:val="Tabela com grade4"/>
    <w:basedOn w:val="Tabelanormal"/>
    <w:next w:val="Tabelacomgrade"/>
    <w:uiPriority w:val="39"/>
    <w:rsid w:val="00BF555B"/>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deGrade2-nfase31">
    <w:name w:val="Tabela de Grade 2 - Ênfase 31"/>
    <w:basedOn w:val="Tabelanormal"/>
    <w:uiPriority w:val="47"/>
    <w:rsid w:val="00BF555B"/>
    <w:rPr>
      <w:rFonts w:ascii="Calibri" w:eastAsia="Calibri" w:hAnsi="Calibri"/>
      <w:sz w:val="22"/>
      <w:szCs w:val="22"/>
      <w:lang w:eastAsia="en-US"/>
    </w:rPr>
    <w:tblPr>
      <w:tblStyleRowBandSize w:val="1"/>
      <w:tblStyleColBandSize w:val="1"/>
      <w:tblInd w:w="0" w:type="dxa"/>
      <w:tblBorders>
        <w:top w:val="single" w:sz="2" w:space="0" w:color="C9C9C9"/>
        <w:bottom w:val="single" w:sz="2" w:space="0" w:color="C9C9C9"/>
        <w:insideH w:val="single" w:sz="2" w:space="0" w:color="C9C9C9"/>
        <w:insideV w:val="single" w:sz="2" w:space="0" w:color="C9C9C9"/>
      </w:tblBorders>
      <w:tblCellMar>
        <w:top w:w="0" w:type="dxa"/>
        <w:left w:w="108" w:type="dxa"/>
        <w:bottom w:w="0" w:type="dxa"/>
        <w:right w:w="108" w:type="dxa"/>
      </w:tblCellMar>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TabelaSimples51">
    <w:name w:val="Tabela Simples 51"/>
    <w:basedOn w:val="Tabelanormal"/>
    <w:uiPriority w:val="45"/>
    <w:rsid w:val="00D76DB3"/>
    <w:rPr>
      <w:rFonts w:ascii="Calibri" w:eastAsia="Calibri" w:hAnsi="Calibri"/>
      <w:sz w:val="22"/>
      <w:szCs w:val="22"/>
      <w:lang w:eastAsia="en-US"/>
    </w:rPr>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comgrade5">
    <w:name w:val="Tabela com grade5"/>
    <w:basedOn w:val="Tabelanormal"/>
    <w:next w:val="Tabelacomgrade"/>
    <w:uiPriority w:val="39"/>
    <w:rsid w:val="00664EB5"/>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281D4A-4479-42D2-8240-1C5F95ED7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7010</Words>
  <Characters>37859</Characters>
  <Application>Microsoft Office Word</Application>
  <DocSecurity>0</DocSecurity>
  <Lines>315</Lines>
  <Paragraphs>89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À</vt:lpstr>
      <vt:lpstr>À</vt:lpstr>
    </vt:vector>
  </TitlesOfParts>
  <Company>FIA</Company>
  <LinksUpToDate>false</LinksUpToDate>
  <CharactersWithSpaces>44780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À</dc:title>
  <dc:creator>PACTO FIA</dc:creator>
  <cp:lastModifiedBy>SMP-UFSC</cp:lastModifiedBy>
  <cp:revision>2</cp:revision>
  <cp:lastPrinted>2016-08-30T16:57:00Z</cp:lastPrinted>
  <dcterms:created xsi:type="dcterms:W3CDTF">2016-09-13T10:29:00Z</dcterms:created>
  <dcterms:modified xsi:type="dcterms:W3CDTF">2016-09-13T10:29:00Z</dcterms:modified>
</cp:coreProperties>
</file>