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1A93E" w14:textId="77777777" w:rsidR="00A80641" w:rsidRPr="003A42FD" w:rsidRDefault="00A80641" w:rsidP="002826C0">
      <w:pPr>
        <w:jc w:val="center"/>
        <w:rPr>
          <w:b/>
        </w:rPr>
      </w:pPr>
    </w:p>
    <w:p w14:paraId="11FC1499" w14:textId="6CE853AB" w:rsidR="002826C0" w:rsidRPr="007940C0" w:rsidRDefault="00DB482E" w:rsidP="00DB482E">
      <w:pPr>
        <w:ind w:firstLine="0"/>
        <w:jc w:val="center"/>
        <w:rPr>
          <w:b/>
        </w:rPr>
      </w:pPr>
      <w:r w:rsidRPr="007940C0">
        <w:rPr>
          <w:b/>
        </w:rPr>
        <w:t>O CONHECIMENTO TRIBUTÁRIO DOS ESTUDANTES DO CURSO DE CIÊNCIAS CONTÁBEIS DE INSTITUIÇÕES DE ENSINO PUBLICO DA REGIÃO DA GRANDE FLORIANÓPOLIS</w:t>
      </w:r>
    </w:p>
    <w:p w14:paraId="0EAEE4B0" w14:textId="77777777" w:rsidR="002826C0" w:rsidRDefault="002826C0" w:rsidP="002826C0"/>
    <w:p w14:paraId="65A63560" w14:textId="77777777" w:rsidR="00DD4A32" w:rsidRDefault="00DD4A32" w:rsidP="002826C0"/>
    <w:p w14:paraId="345A83EF" w14:textId="51BBA901" w:rsidR="00DD4A32" w:rsidRPr="00DD4A32" w:rsidRDefault="00DD4A32" w:rsidP="00DD4A32">
      <w:pPr>
        <w:jc w:val="right"/>
        <w:rPr>
          <w:b/>
        </w:rPr>
      </w:pPr>
      <w:r w:rsidRPr="00DD4A32">
        <w:rPr>
          <w:b/>
        </w:rPr>
        <w:t>JOSUÉ DE CAMPOS</w:t>
      </w:r>
    </w:p>
    <w:p w14:paraId="5F0EB17B" w14:textId="04C14BFF" w:rsidR="00DD4A32" w:rsidRPr="007940C0" w:rsidRDefault="00DD4A32" w:rsidP="00DD4A32">
      <w:pPr>
        <w:jc w:val="right"/>
      </w:pPr>
      <w:r w:rsidRPr="00DD4A32">
        <w:rPr>
          <w:i/>
        </w:rPr>
        <w:t>Universidade Federal de Santa Catarina</w:t>
      </w:r>
    </w:p>
    <w:p w14:paraId="6B5D0116" w14:textId="77777777" w:rsidR="00DD4A32" w:rsidRDefault="00DD4A32" w:rsidP="002826C0">
      <w:pPr>
        <w:jc w:val="center"/>
        <w:rPr>
          <w:b/>
          <w:szCs w:val="24"/>
        </w:rPr>
      </w:pPr>
      <w:bookmarkStart w:id="0" w:name="_GoBack"/>
      <w:bookmarkEnd w:id="0"/>
    </w:p>
    <w:p w14:paraId="66636B7A" w14:textId="56848699" w:rsidR="00DD4A32" w:rsidRPr="00DD4A32" w:rsidRDefault="00DD4A32" w:rsidP="00DD4A32">
      <w:pPr>
        <w:jc w:val="right"/>
        <w:rPr>
          <w:b/>
        </w:rPr>
      </w:pPr>
      <w:r>
        <w:rPr>
          <w:b/>
        </w:rPr>
        <w:t>FILIPY FURTADO SELL</w:t>
      </w:r>
    </w:p>
    <w:p w14:paraId="0F1F2102" w14:textId="728B76E4" w:rsidR="00DD4A32" w:rsidRPr="007940C0" w:rsidRDefault="00DD4A32" w:rsidP="00DD4A32">
      <w:pPr>
        <w:jc w:val="right"/>
      </w:pPr>
      <w:r w:rsidRPr="00DD4A32">
        <w:rPr>
          <w:i/>
        </w:rPr>
        <w:t>Universidade Federal de Santa Catarina</w:t>
      </w:r>
    </w:p>
    <w:p w14:paraId="5A9B4BEF" w14:textId="77777777" w:rsidR="00DD4A32" w:rsidRDefault="00DD4A32" w:rsidP="00DD4A32">
      <w:pPr>
        <w:rPr>
          <w:b/>
          <w:szCs w:val="24"/>
        </w:rPr>
      </w:pPr>
    </w:p>
    <w:p w14:paraId="75F17AA6" w14:textId="3C96581E" w:rsidR="001F64A2" w:rsidRPr="00DD4A32" w:rsidRDefault="001F64A2" w:rsidP="001F64A2">
      <w:pPr>
        <w:jc w:val="right"/>
        <w:rPr>
          <w:b/>
        </w:rPr>
      </w:pPr>
      <w:r>
        <w:rPr>
          <w:b/>
        </w:rPr>
        <w:t>SERGIO MURILO PETRI</w:t>
      </w:r>
    </w:p>
    <w:p w14:paraId="4BFB31E9" w14:textId="77777777" w:rsidR="001F64A2" w:rsidRPr="007940C0" w:rsidRDefault="001F64A2" w:rsidP="001F64A2">
      <w:pPr>
        <w:jc w:val="right"/>
      </w:pPr>
      <w:r w:rsidRPr="00DD4A32">
        <w:rPr>
          <w:i/>
        </w:rPr>
        <w:t>Universidade Federal de Santa Catarina</w:t>
      </w:r>
    </w:p>
    <w:p w14:paraId="01FD855A" w14:textId="77777777" w:rsidR="001F64A2" w:rsidRPr="007940C0" w:rsidRDefault="001F64A2" w:rsidP="00DD4A32">
      <w:pPr>
        <w:rPr>
          <w:b/>
          <w:szCs w:val="24"/>
        </w:rPr>
      </w:pPr>
    </w:p>
    <w:p w14:paraId="69B1D0B7" w14:textId="77777777" w:rsidR="002826C0" w:rsidRPr="007940C0" w:rsidRDefault="002826C0" w:rsidP="002826C0">
      <w:pPr>
        <w:jc w:val="center"/>
        <w:rPr>
          <w:b/>
        </w:rPr>
      </w:pPr>
    </w:p>
    <w:p w14:paraId="65A0E587" w14:textId="77777777" w:rsidR="002826C0" w:rsidRPr="007940C0" w:rsidRDefault="002826C0" w:rsidP="002826C0">
      <w:pPr>
        <w:ind w:firstLine="0"/>
        <w:rPr>
          <w:rFonts w:cs="Arial"/>
          <w:b/>
          <w:szCs w:val="22"/>
        </w:rPr>
      </w:pPr>
      <w:r w:rsidRPr="007940C0">
        <w:rPr>
          <w:rFonts w:cs="Arial"/>
          <w:b/>
          <w:szCs w:val="22"/>
        </w:rPr>
        <w:t xml:space="preserve">Resumo </w:t>
      </w:r>
    </w:p>
    <w:p w14:paraId="59D86E35" w14:textId="77777777" w:rsidR="00F52BAD" w:rsidRPr="00F52BAD" w:rsidRDefault="00F52BAD" w:rsidP="00F52BAD">
      <w:pPr>
        <w:ind w:firstLine="0"/>
        <w:rPr>
          <w:rFonts w:cs="Arial"/>
          <w:szCs w:val="22"/>
        </w:rPr>
      </w:pPr>
      <w:r w:rsidRPr="00F52BAD">
        <w:rPr>
          <w:rFonts w:cs="Arial"/>
          <w:szCs w:val="22"/>
        </w:rPr>
        <w:t xml:space="preserve">A pesquisa tem por objetivo identificar o conhecimento dos estudantes da 7ª e 8ª fase do curso de Ciências Contábeis de instituições de ensino púbico da região Metropolitana da Grande Florianópolis, referente aos aspectos tributários do anexo VI do Simples Nacional frente ao Lucro Presumido. Para tanto, aplicou-se um questionário em instituições, Federal e Municipal, para a obtenção dos dados, que foram analisados quantitativamente com base na análise descritiva, de frequência e na aplicação dos testes </w:t>
      </w:r>
      <w:r w:rsidRPr="00F52BAD">
        <w:rPr>
          <w:rFonts w:cs="Arial"/>
          <w:i/>
          <w:iCs/>
          <w:szCs w:val="22"/>
        </w:rPr>
        <w:t xml:space="preserve">t-Student </w:t>
      </w:r>
      <w:r w:rsidRPr="00F52BAD">
        <w:rPr>
          <w:rFonts w:cs="Arial"/>
          <w:szCs w:val="22"/>
        </w:rPr>
        <w:t xml:space="preserve">e de </w:t>
      </w:r>
      <w:r w:rsidRPr="00F52BAD">
        <w:rPr>
          <w:rFonts w:cs="Arial"/>
          <w:i/>
          <w:iCs/>
          <w:szCs w:val="22"/>
        </w:rPr>
        <w:t>Mann-Whitney</w:t>
      </w:r>
      <w:r w:rsidRPr="00F52BAD">
        <w:rPr>
          <w:rFonts w:cs="Arial"/>
          <w:szCs w:val="22"/>
        </w:rPr>
        <w:t xml:space="preserve">. A mostra </w:t>
      </w:r>
      <w:proofErr w:type="gramStart"/>
      <w:r w:rsidRPr="00F52BAD">
        <w:rPr>
          <w:rFonts w:cs="Arial"/>
          <w:szCs w:val="22"/>
        </w:rPr>
        <w:t>analisada</w:t>
      </w:r>
      <w:proofErr w:type="gramEnd"/>
      <w:r w:rsidRPr="00F52BAD">
        <w:rPr>
          <w:rFonts w:cs="Arial"/>
          <w:szCs w:val="22"/>
        </w:rPr>
        <w:t xml:space="preserve"> compreende 105 estudantes, sendo 75 estudantes da instituição Federal (40 noturno e 35 matutino) e 30 estudantes da instituição Municipal, sendo que a instituição municipal conta apenas com o período noturno. Como resultado tem-se que os acadêmicos analisados possuem um conhecimento superficial quanto a tributação com base no Lucro Presumido e no Anexo VI do Simples Nacional por tenderam às respostas neutras ao serem questionados especificamente sobre às diferenças e determinantes da escolha entre as duas possibilidades tributárias. Nota-se, também, a percepção de insegurança na tomada de decisão e discussão sobre temas relacionados às diferenças nas formas de tributação abordadas. Adicionalmente, verificou-se que não há diferenças entre as médias da instituição Federal e Municipal, entre os turnos da instituição Federal (matutino e noturno) e entre os turnos de toda a amostra.</w:t>
      </w:r>
    </w:p>
    <w:p w14:paraId="525B550F" w14:textId="627912F0" w:rsidR="002826C0" w:rsidRDefault="002826C0" w:rsidP="00F52BAD">
      <w:pPr>
        <w:ind w:firstLine="0"/>
        <w:rPr>
          <w:rFonts w:cs="Arial"/>
          <w:b/>
          <w:szCs w:val="22"/>
        </w:rPr>
      </w:pPr>
    </w:p>
    <w:p w14:paraId="2806C176" w14:textId="77777777" w:rsidR="00DD4A32" w:rsidRDefault="00DD4A32" w:rsidP="00F52BAD">
      <w:pPr>
        <w:ind w:firstLine="0"/>
        <w:rPr>
          <w:rFonts w:cs="Arial"/>
          <w:b/>
          <w:szCs w:val="22"/>
        </w:rPr>
      </w:pPr>
    </w:p>
    <w:p w14:paraId="0AFC286D" w14:textId="77777777" w:rsidR="00DD4A32" w:rsidRPr="007940C0" w:rsidRDefault="00DD4A32" w:rsidP="00F52BAD">
      <w:pPr>
        <w:ind w:firstLine="0"/>
        <w:rPr>
          <w:rFonts w:cs="Arial"/>
          <w:b/>
          <w:szCs w:val="22"/>
        </w:rPr>
      </w:pPr>
    </w:p>
    <w:p w14:paraId="14DB145E" w14:textId="77777777" w:rsidR="002826C0" w:rsidRDefault="002826C0" w:rsidP="002826C0">
      <w:pPr>
        <w:ind w:firstLine="0"/>
        <w:rPr>
          <w:rFonts w:cs="Arial"/>
          <w:szCs w:val="22"/>
        </w:rPr>
      </w:pPr>
      <w:r w:rsidRPr="007940C0">
        <w:rPr>
          <w:rFonts w:cs="Arial"/>
          <w:b/>
          <w:szCs w:val="22"/>
        </w:rPr>
        <w:t xml:space="preserve">Palavras-chave: </w:t>
      </w:r>
      <w:r w:rsidR="00D735E0" w:rsidRPr="007940C0">
        <w:rPr>
          <w:rFonts w:cs="Arial"/>
          <w:szCs w:val="22"/>
        </w:rPr>
        <w:t>Simples Nacional</w:t>
      </w:r>
      <w:r w:rsidRPr="007940C0">
        <w:rPr>
          <w:rFonts w:cs="Arial"/>
          <w:szCs w:val="22"/>
        </w:rPr>
        <w:t>,</w:t>
      </w:r>
      <w:r w:rsidR="00D735E0" w:rsidRPr="007940C0">
        <w:rPr>
          <w:rFonts w:cs="Arial"/>
          <w:szCs w:val="22"/>
        </w:rPr>
        <w:t xml:space="preserve"> Lucro Presumido</w:t>
      </w:r>
      <w:r w:rsidRPr="007940C0">
        <w:rPr>
          <w:rFonts w:cs="Arial"/>
          <w:szCs w:val="22"/>
        </w:rPr>
        <w:t xml:space="preserve">, </w:t>
      </w:r>
      <w:r w:rsidR="00D735E0" w:rsidRPr="007940C0">
        <w:rPr>
          <w:rFonts w:cs="Arial"/>
          <w:szCs w:val="22"/>
        </w:rPr>
        <w:t>Contabilidade Tributária.</w:t>
      </w:r>
      <w:r w:rsidRPr="007940C0">
        <w:rPr>
          <w:rFonts w:cs="Arial"/>
          <w:szCs w:val="22"/>
        </w:rPr>
        <w:t xml:space="preserve"> </w:t>
      </w:r>
    </w:p>
    <w:p w14:paraId="5D463614" w14:textId="77777777" w:rsidR="00DD4A32" w:rsidRDefault="00DD4A32" w:rsidP="002826C0">
      <w:pPr>
        <w:ind w:firstLine="0"/>
        <w:rPr>
          <w:rFonts w:cs="Arial"/>
          <w:szCs w:val="22"/>
        </w:rPr>
      </w:pPr>
    </w:p>
    <w:p w14:paraId="69958471" w14:textId="77777777" w:rsidR="00DD4A32" w:rsidRPr="007940C0" w:rsidRDefault="00DD4A32" w:rsidP="002826C0">
      <w:pPr>
        <w:ind w:firstLine="0"/>
        <w:rPr>
          <w:rFonts w:cs="Arial"/>
          <w:szCs w:val="22"/>
        </w:rPr>
      </w:pPr>
    </w:p>
    <w:p w14:paraId="33A90D8D" w14:textId="77777777" w:rsidR="002826C0" w:rsidRPr="007940C0" w:rsidRDefault="002826C0" w:rsidP="002826C0">
      <w:pPr>
        <w:rPr>
          <w:rFonts w:cs="Arial"/>
          <w:b/>
          <w:szCs w:val="22"/>
        </w:rPr>
      </w:pPr>
    </w:p>
    <w:p w14:paraId="7779A4EC" w14:textId="77777777" w:rsidR="002826C0" w:rsidRPr="007940C0" w:rsidRDefault="002826C0" w:rsidP="002826C0">
      <w:pPr>
        <w:ind w:firstLine="0"/>
        <w:rPr>
          <w:rFonts w:cs="Arial"/>
          <w:b/>
          <w:szCs w:val="22"/>
        </w:rPr>
      </w:pPr>
      <w:r w:rsidRPr="007940C0">
        <w:rPr>
          <w:rFonts w:cs="Arial"/>
          <w:b/>
          <w:szCs w:val="22"/>
        </w:rPr>
        <w:t>Área Temática</w:t>
      </w:r>
      <w:r w:rsidRPr="007940C0">
        <w:rPr>
          <w:rFonts w:cs="Arial"/>
          <w:szCs w:val="22"/>
        </w:rPr>
        <w:t>:</w:t>
      </w:r>
      <w:r w:rsidR="00D735E0" w:rsidRPr="007940C0">
        <w:rPr>
          <w:rFonts w:cs="Arial"/>
          <w:szCs w:val="22"/>
        </w:rPr>
        <w:t xml:space="preserve"> Contabilidade Tributária: Regimes de Tributação</w:t>
      </w:r>
    </w:p>
    <w:p w14:paraId="10B8F59D" w14:textId="77777777" w:rsidR="00F05FBB" w:rsidRPr="007940C0" w:rsidRDefault="00F05FBB" w:rsidP="00F05FBB">
      <w:pPr>
        <w:rPr>
          <w:rFonts w:cs="Arial"/>
          <w:b/>
          <w:szCs w:val="22"/>
        </w:rPr>
      </w:pPr>
    </w:p>
    <w:p w14:paraId="22B32F86" w14:textId="77777777" w:rsidR="002056D7" w:rsidRPr="007940C0" w:rsidRDefault="002056D7" w:rsidP="002056D7">
      <w:pPr>
        <w:pStyle w:val="Ttulo1"/>
        <w:sectPr w:rsidR="002056D7" w:rsidRPr="007940C0" w:rsidSect="000103E0">
          <w:headerReference w:type="even" r:id="rId9"/>
          <w:headerReference w:type="default" r:id="rId10"/>
          <w:footerReference w:type="even" r:id="rId11"/>
          <w:footerReference w:type="default" r:id="rId12"/>
          <w:headerReference w:type="first" r:id="rId13"/>
          <w:footerReference w:type="first" r:id="rId14"/>
          <w:pgSz w:w="12240" w:h="15840" w:code="119"/>
          <w:pgMar w:top="1701" w:right="1134" w:bottom="1701" w:left="1701" w:header="142" w:footer="0" w:gutter="0"/>
          <w:cols w:space="720"/>
        </w:sectPr>
      </w:pPr>
    </w:p>
    <w:p w14:paraId="4F32F6F4" w14:textId="77777777" w:rsidR="00E24E18" w:rsidRPr="007940C0" w:rsidRDefault="00E24E18" w:rsidP="002056D7">
      <w:pPr>
        <w:pStyle w:val="Ttulo1"/>
        <w:rPr>
          <w:rFonts w:cs="Arial"/>
          <w:szCs w:val="22"/>
        </w:rPr>
      </w:pPr>
      <w:r w:rsidRPr="007940C0">
        <w:rPr>
          <w:rFonts w:cs="Arial"/>
          <w:szCs w:val="22"/>
        </w:rPr>
        <w:lastRenderedPageBreak/>
        <w:t>INTRODUÇÃO</w:t>
      </w:r>
    </w:p>
    <w:p w14:paraId="7138CF38" w14:textId="77777777" w:rsidR="00D735E0" w:rsidRPr="007940C0" w:rsidRDefault="00D735E0" w:rsidP="00D735E0">
      <w:pPr>
        <w:rPr>
          <w:lang w:val="x-none" w:eastAsia="x-none"/>
        </w:rPr>
      </w:pPr>
    </w:p>
    <w:p w14:paraId="2B729CB8" w14:textId="3FFB5DD1" w:rsidR="00D735E0" w:rsidRPr="007940C0" w:rsidRDefault="00D735E0" w:rsidP="00D735E0">
      <w:pPr>
        <w:spacing w:after="120" w:line="360" w:lineRule="auto"/>
        <w:ind w:firstLine="567"/>
        <w:rPr>
          <w:rFonts w:cs="Arial"/>
        </w:rPr>
      </w:pPr>
      <w:r w:rsidRPr="007940C0">
        <w:rPr>
          <w:rFonts w:cs="Arial"/>
        </w:rPr>
        <w:t>Na visão de Mendes et al., (2011)</w:t>
      </w:r>
      <w:r w:rsidR="002A6A99" w:rsidRPr="007940C0">
        <w:rPr>
          <w:rFonts w:cs="Arial"/>
        </w:rPr>
        <w:t>,</w:t>
      </w:r>
      <w:r w:rsidRPr="007940C0">
        <w:rPr>
          <w:rFonts w:cs="Arial"/>
        </w:rPr>
        <w:t xml:space="preserve"> no mundo corporativo</w:t>
      </w:r>
      <w:r w:rsidR="002A6A99" w:rsidRPr="007940C0">
        <w:rPr>
          <w:rFonts w:cs="Arial"/>
        </w:rPr>
        <w:t xml:space="preserve"> face as</w:t>
      </w:r>
      <w:r w:rsidRPr="007940C0">
        <w:rPr>
          <w:rFonts w:cs="Arial"/>
        </w:rPr>
        <w:t xml:space="preserve"> constantes transformações no cenário globalizado, o profissional de Ciências Contábeis precisa estar em constante </w:t>
      </w:r>
      <w:r w:rsidR="002A6A99" w:rsidRPr="007940C0">
        <w:rPr>
          <w:rFonts w:cs="Arial"/>
        </w:rPr>
        <w:t>atualização e formação adequada</w:t>
      </w:r>
      <w:r w:rsidRPr="007940C0">
        <w:rPr>
          <w:rFonts w:cs="Arial"/>
        </w:rPr>
        <w:t xml:space="preserve"> para que seu desempenho possa corresponder ao mercado contábil e a sociedade. Para se destacar no ramo contábil o profissional precisa buscar e estar a</w:t>
      </w:r>
      <w:r w:rsidR="002A6A99" w:rsidRPr="007940C0">
        <w:rPr>
          <w:rFonts w:cs="Arial"/>
        </w:rPr>
        <w:t xml:space="preserve">tento às mudanças legislativas, observando </w:t>
      </w:r>
      <w:r w:rsidRPr="007940C0">
        <w:rPr>
          <w:rFonts w:cs="Arial"/>
        </w:rPr>
        <w:t>forma</w:t>
      </w:r>
      <w:r w:rsidR="002A6A99" w:rsidRPr="007940C0">
        <w:rPr>
          <w:rFonts w:cs="Arial"/>
        </w:rPr>
        <w:t>s</w:t>
      </w:r>
      <w:r w:rsidRPr="007940C0">
        <w:rPr>
          <w:rFonts w:cs="Arial"/>
        </w:rPr>
        <w:t xml:space="preserve"> lega</w:t>
      </w:r>
      <w:r w:rsidR="002A6A99" w:rsidRPr="007940C0">
        <w:rPr>
          <w:rFonts w:cs="Arial"/>
        </w:rPr>
        <w:t>is</w:t>
      </w:r>
      <w:r w:rsidRPr="007940C0">
        <w:rPr>
          <w:rFonts w:cs="Arial"/>
        </w:rPr>
        <w:t xml:space="preserve"> de reduzir o pagamento de tributos (NAZÁRIO; MENDES; AQUINO, 2008).</w:t>
      </w:r>
    </w:p>
    <w:p w14:paraId="66F2FE9B" w14:textId="5EE590AF" w:rsidR="00D735E0" w:rsidRPr="007940C0" w:rsidRDefault="00D735E0" w:rsidP="00D735E0">
      <w:pPr>
        <w:spacing w:after="120" w:line="360" w:lineRule="auto"/>
        <w:ind w:firstLine="567"/>
        <w:rPr>
          <w:rFonts w:cs="Arial"/>
        </w:rPr>
      </w:pPr>
      <w:r w:rsidRPr="007940C0">
        <w:rPr>
          <w:rFonts w:cs="Arial"/>
        </w:rPr>
        <w:t>Uma das maiores discussões no Brasil é sua vultuosa e onerosa carga tributária</w:t>
      </w:r>
      <w:r w:rsidR="00E30283" w:rsidRPr="007940C0">
        <w:rPr>
          <w:rFonts w:cs="Arial"/>
        </w:rPr>
        <w:t>.</w:t>
      </w:r>
      <w:r w:rsidRPr="007940C0">
        <w:rPr>
          <w:rFonts w:cs="Arial"/>
        </w:rPr>
        <w:t xml:space="preserve"> </w:t>
      </w:r>
      <w:r w:rsidR="00E30283" w:rsidRPr="007940C0">
        <w:rPr>
          <w:rFonts w:cs="Arial"/>
        </w:rPr>
        <w:t>D</w:t>
      </w:r>
      <w:r w:rsidRPr="007940C0">
        <w:rPr>
          <w:rFonts w:cs="Arial"/>
        </w:rPr>
        <w:t xml:space="preserve">e acordo com a Receita Federal do Brasil (2015), os tributos </w:t>
      </w:r>
      <w:r w:rsidR="00B7052E" w:rsidRPr="007940C0">
        <w:rPr>
          <w:rFonts w:cs="Arial"/>
        </w:rPr>
        <w:t xml:space="preserve">em 2015 </w:t>
      </w:r>
      <w:r w:rsidRPr="007940C0">
        <w:rPr>
          <w:rFonts w:cs="Arial"/>
        </w:rPr>
        <w:t xml:space="preserve">corresponderam a 32,66% do Produto Interno Bruto (PIB) e </w:t>
      </w:r>
      <w:r w:rsidR="00B7052E" w:rsidRPr="007940C0">
        <w:rPr>
          <w:rFonts w:cs="Arial"/>
        </w:rPr>
        <w:t>n</w:t>
      </w:r>
      <w:r w:rsidRPr="007940C0">
        <w:rPr>
          <w:rFonts w:cs="Arial"/>
        </w:rPr>
        <w:t xml:space="preserve">o ano anterior </w:t>
      </w:r>
      <w:r w:rsidR="00B7052E" w:rsidRPr="007940C0">
        <w:rPr>
          <w:rFonts w:cs="Arial"/>
        </w:rPr>
        <w:t>(20</w:t>
      </w:r>
      <w:r w:rsidRPr="007940C0">
        <w:rPr>
          <w:rFonts w:cs="Arial"/>
        </w:rPr>
        <w:t>14</w:t>
      </w:r>
      <w:r w:rsidR="00B7052E" w:rsidRPr="007940C0">
        <w:rPr>
          <w:rFonts w:cs="Arial"/>
        </w:rPr>
        <w:t>)</w:t>
      </w:r>
      <w:r w:rsidRPr="007940C0">
        <w:rPr>
          <w:rFonts w:cs="Arial"/>
        </w:rPr>
        <w:t xml:space="preserve"> a tributação correspondeu a 32,42% do PIB, um acréscimo de 0,24% </w:t>
      </w:r>
      <w:r w:rsidR="00B7052E" w:rsidRPr="007940C0">
        <w:rPr>
          <w:rFonts w:cs="Arial"/>
        </w:rPr>
        <w:t xml:space="preserve">na </w:t>
      </w:r>
      <w:r w:rsidRPr="007940C0">
        <w:rPr>
          <w:rFonts w:cs="Arial"/>
        </w:rPr>
        <w:t xml:space="preserve">relação </w:t>
      </w:r>
      <w:r w:rsidR="00B7052E" w:rsidRPr="007940C0">
        <w:rPr>
          <w:rFonts w:cs="Arial"/>
        </w:rPr>
        <w:t>entre 2015 e 2014.</w:t>
      </w:r>
    </w:p>
    <w:p w14:paraId="131E7041" w14:textId="6BE5AF50" w:rsidR="00D735E0" w:rsidRPr="007940C0" w:rsidRDefault="00D735E0" w:rsidP="00D735E0">
      <w:pPr>
        <w:spacing w:after="120" w:line="360" w:lineRule="auto"/>
        <w:ind w:firstLine="567"/>
        <w:rPr>
          <w:rFonts w:cs="Arial"/>
        </w:rPr>
      </w:pPr>
      <w:r w:rsidRPr="007940C0">
        <w:rPr>
          <w:rFonts w:cs="Arial"/>
        </w:rPr>
        <w:t>Conforme os dados divulgados pela Receita Federal no Brasil (2015), em 2014 e 2015, o aumento da carga tributária em relação ao PIB, ocorreu pela diminuição na produção e, consequentemente, uma queda do PIB. De acordo com os dados da Receita federal (2015) houve também, a retração na economia do país, que chegou a 3,8% do PIB, fazendo com que os impostos representassem uma porcentagem maior do total do PIB.</w:t>
      </w:r>
      <w:r w:rsidR="00735C7C" w:rsidRPr="007940C0">
        <w:rPr>
          <w:rFonts w:cs="Arial"/>
        </w:rPr>
        <w:t xml:space="preserve"> Corroborando com Domingues (2000), visto que o autor ressalta, na relação entre a arrecadação de impostos e os custos de funcionamento do Governo, uma elevada carga tributária.</w:t>
      </w:r>
    </w:p>
    <w:p w14:paraId="11C52F54" w14:textId="28B7F7DB" w:rsidR="00D735E0" w:rsidRPr="007940C0" w:rsidRDefault="00D735E0" w:rsidP="00D735E0">
      <w:pPr>
        <w:spacing w:after="120" w:line="360" w:lineRule="auto"/>
        <w:ind w:firstLine="567"/>
        <w:rPr>
          <w:rFonts w:cs="Arial"/>
        </w:rPr>
      </w:pPr>
      <w:r w:rsidRPr="007940C0">
        <w:rPr>
          <w:rFonts w:cs="Arial"/>
        </w:rPr>
        <w:t>Nesse sentido, Barros (2007) observa que o planejamento tributário pode se enquadrar como uma ferramenta ideal e de solução eficaz</w:t>
      </w:r>
      <w:r w:rsidR="00AC267B" w:rsidRPr="007940C0">
        <w:rPr>
          <w:rFonts w:cs="Arial"/>
        </w:rPr>
        <w:t>,</w:t>
      </w:r>
      <w:r w:rsidRPr="007940C0">
        <w:rPr>
          <w:rFonts w:cs="Arial"/>
        </w:rPr>
        <w:t xml:space="preserve"> já que propõe alternativas legais aplicáveis na tributação das Pessoas Físicas e Jurídicas</w:t>
      </w:r>
      <w:r w:rsidR="00AC267B" w:rsidRPr="007940C0">
        <w:rPr>
          <w:rFonts w:cs="Arial"/>
        </w:rPr>
        <w:t xml:space="preserve"> para </w:t>
      </w:r>
      <w:r w:rsidRPr="007940C0">
        <w:rPr>
          <w:rFonts w:cs="Arial"/>
        </w:rPr>
        <w:t xml:space="preserve">gerar operações tributárias menos onerosas. Nesta linha, </w:t>
      </w:r>
      <w:proofErr w:type="spellStart"/>
      <w:r w:rsidRPr="007940C0">
        <w:rPr>
          <w:rFonts w:cs="Arial"/>
        </w:rPr>
        <w:t>Fabretti</w:t>
      </w:r>
      <w:proofErr w:type="spellEnd"/>
      <w:r w:rsidRPr="007940C0">
        <w:rPr>
          <w:rFonts w:cs="Arial"/>
        </w:rPr>
        <w:t xml:space="preserve"> (2005) ressalta que a contabilidade tributária é um dos ramos que fazem parte da contabilidade geral, visando a aplicação dos conceitos e normas aplicadas a contabilidade e a legislação tributária nas empresas.</w:t>
      </w:r>
    </w:p>
    <w:p w14:paraId="54B56874" w14:textId="77777777" w:rsidR="00D735E0" w:rsidRPr="007940C0" w:rsidRDefault="00D735E0" w:rsidP="00D735E0">
      <w:pPr>
        <w:autoSpaceDE w:val="0"/>
        <w:autoSpaceDN w:val="0"/>
        <w:adjustRightInd w:val="0"/>
        <w:spacing w:after="120" w:line="360" w:lineRule="auto"/>
        <w:ind w:firstLine="567"/>
        <w:rPr>
          <w:rFonts w:cs="Arial"/>
        </w:rPr>
      </w:pPr>
      <w:r w:rsidRPr="007940C0">
        <w:rPr>
          <w:rFonts w:cs="Arial"/>
        </w:rPr>
        <w:t xml:space="preserve">De acordo com Castro et al., (2007), o sistema tributário nacional é um conjunto de leis e princípios que impõem uma série de tributos. Com isso, os responsáveis pela administração da empresa deverão escolher o regime de tributação menos oneroso em termos de tributos e de burocracia (HIGUCHI; HIGUCHI; HIGUCHI, 2011). </w:t>
      </w:r>
    </w:p>
    <w:p w14:paraId="4E751A28" w14:textId="550A767D" w:rsidR="00D735E0" w:rsidRPr="007940C0" w:rsidRDefault="00D735E0" w:rsidP="00D735E0">
      <w:pPr>
        <w:autoSpaceDE w:val="0"/>
        <w:autoSpaceDN w:val="0"/>
        <w:adjustRightInd w:val="0"/>
        <w:spacing w:after="120" w:line="360" w:lineRule="auto"/>
        <w:ind w:firstLine="567"/>
        <w:rPr>
          <w:rFonts w:cs="Arial"/>
        </w:rPr>
      </w:pPr>
      <w:r w:rsidRPr="007940C0">
        <w:rPr>
          <w:rFonts w:cs="Arial"/>
        </w:rPr>
        <w:t xml:space="preserve">Deste modo, observa-se dois regimes tributário, um definido pela Lei Complementar nº. </w:t>
      </w:r>
      <w:r w:rsidRPr="007940C0">
        <w:rPr>
          <w:rFonts w:cs="Arial"/>
        </w:rPr>
        <w:lastRenderedPageBreak/>
        <w:t>123/2006, qual seja: o Simples Nacional (SN), sendo um regime unificado de arrecadação de impostos voltado para as microempresas e empresas de pequeno porte</w:t>
      </w:r>
      <w:r w:rsidR="00D2179B" w:rsidRPr="007940C0">
        <w:rPr>
          <w:rFonts w:cs="Arial"/>
        </w:rPr>
        <w:t>, e</w:t>
      </w:r>
      <w:r w:rsidRPr="007940C0">
        <w:rPr>
          <w:rFonts w:cs="Arial"/>
        </w:rPr>
        <w:t xml:space="preserve"> regulamentado pela mesma, </w:t>
      </w:r>
      <w:r w:rsidR="00D2179B" w:rsidRPr="007940C0">
        <w:rPr>
          <w:rFonts w:cs="Arial"/>
        </w:rPr>
        <w:t xml:space="preserve">sendo um </w:t>
      </w:r>
      <w:r w:rsidRPr="007940C0">
        <w:rPr>
          <w:rFonts w:cs="Arial"/>
        </w:rPr>
        <w:t xml:space="preserve">sistema tributário compartilhado entre as três esferas: Municipal, Estadual e Federal; e o outro </w:t>
      </w:r>
      <w:r w:rsidR="00A56D18" w:rsidRPr="007940C0">
        <w:rPr>
          <w:rFonts w:cs="Arial"/>
        </w:rPr>
        <w:t xml:space="preserve">regime tributário é </w:t>
      </w:r>
      <w:r w:rsidRPr="007940C0">
        <w:rPr>
          <w:rFonts w:cs="Arial"/>
        </w:rPr>
        <w:t>regulamentado pelos artigos 516 a 528 do Regulamento de Imposto de Renda (Decreto 3.000/1999, qual seja: o Lucro Presumido (LP), sendo caracterizado pela simplificação na determinação da base de cálculo para o Imposto de Renda da Pessoa Jurídica (IRPJ) e da Contribuição Social sobre o Lucro Líquido (CSLL).</w:t>
      </w:r>
    </w:p>
    <w:p w14:paraId="7D795F92" w14:textId="10B49FA3" w:rsidR="00D735E0" w:rsidRPr="007940C0" w:rsidRDefault="00D735E0" w:rsidP="00D735E0">
      <w:pPr>
        <w:spacing w:after="120" w:line="360" w:lineRule="auto"/>
        <w:ind w:firstLine="567"/>
        <w:rPr>
          <w:rFonts w:cs="Arial"/>
        </w:rPr>
      </w:pPr>
      <w:r w:rsidRPr="007940C0">
        <w:rPr>
          <w:rFonts w:cs="Arial"/>
        </w:rPr>
        <w:t>Partindo da relevância do conhecimento tributário para os acadêmicos do curso de Ciências Contábeis e das duas formas de tributação (SN e LP), emerge o objetivo de pesquisa</w:t>
      </w:r>
      <w:r w:rsidR="008129D8" w:rsidRPr="007940C0">
        <w:rPr>
          <w:rFonts w:cs="Arial"/>
        </w:rPr>
        <w:t>, qual seja</w:t>
      </w:r>
      <w:r w:rsidRPr="007940C0">
        <w:rPr>
          <w:rFonts w:cs="Arial"/>
        </w:rPr>
        <w:t xml:space="preserve">: </w:t>
      </w:r>
      <w:r w:rsidRPr="007940C0">
        <w:rPr>
          <w:rFonts w:cs="Arial"/>
          <w:b/>
        </w:rPr>
        <w:t>identificar</w:t>
      </w:r>
      <w:r w:rsidR="008129D8" w:rsidRPr="007940C0">
        <w:rPr>
          <w:rFonts w:cs="Arial"/>
          <w:b/>
        </w:rPr>
        <w:t xml:space="preserve"> o</w:t>
      </w:r>
      <w:r w:rsidRPr="007940C0">
        <w:rPr>
          <w:rFonts w:cs="Arial"/>
          <w:b/>
        </w:rPr>
        <w:t xml:space="preserve"> conhecimento dos estudantes da 7º e 8º fase do curso de Ciências Contábeis de instituições de ensino púbico da região metropolitana da grande Florianópolis, referente aos aspectos tributários do anexo VI do Simples Nacional frente ao Lucro Presumido</w:t>
      </w:r>
      <w:r w:rsidRPr="007940C0">
        <w:rPr>
          <w:rFonts w:cs="Arial"/>
        </w:rPr>
        <w:t>.</w:t>
      </w:r>
    </w:p>
    <w:p w14:paraId="34546B96" w14:textId="23B7660C" w:rsidR="00D735E0" w:rsidRPr="007940C0" w:rsidRDefault="00D735E0" w:rsidP="00DD4A32">
      <w:pPr>
        <w:spacing w:after="120" w:line="360" w:lineRule="auto"/>
        <w:ind w:firstLine="567"/>
        <w:rPr>
          <w:rFonts w:cs="Arial"/>
        </w:rPr>
      </w:pPr>
      <w:r w:rsidRPr="007940C0">
        <w:rPr>
          <w:rFonts w:cs="Arial"/>
        </w:rPr>
        <w:t xml:space="preserve">Neste cenário, a pesquisa torna-se relevante por observar profissionais de contabilidade em seu último ano de formação acadêmica, dos quais se espera a capacidade de buscar e identificar novas formas legais de redução da carga tributária de uma organização (CARDOSO; SOUZA; ALMEIDA, 2006; NAZÁRIO; MENDES; AQUINO, 2008). </w:t>
      </w:r>
      <w:r w:rsidR="00A24570" w:rsidRPr="007940C0">
        <w:rPr>
          <w:rFonts w:cs="Arial"/>
        </w:rPr>
        <w:t>O</w:t>
      </w:r>
      <w:r w:rsidRPr="007940C0">
        <w:rPr>
          <w:rFonts w:cs="Arial"/>
        </w:rPr>
        <w:t xml:space="preserve">s autores ainda salientam que os profissionais de contabilidade necessitam capacitar-se continuamente com as </w:t>
      </w:r>
      <w:r w:rsidR="00A24570" w:rsidRPr="007940C0">
        <w:rPr>
          <w:rFonts w:cs="Arial"/>
        </w:rPr>
        <w:t xml:space="preserve">mais variadas </w:t>
      </w:r>
      <w:r w:rsidRPr="007940C0">
        <w:rPr>
          <w:rFonts w:cs="Arial"/>
        </w:rPr>
        <w:t xml:space="preserve">práticas </w:t>
      </w:r>
      <w:r w:rsidR="00A24570" w:rsidRPr="007940C0">
        <w:rPr>
          <w:rFonts w:cs="Arial"/>
        </w:rPr>
        <w:t>e</w:t>
      </w:r>
      <w:r w:rsidRPr="007940C0">
        <w:rPr>
          <w:rFonts w:cs="Arial"/>
        </w:rPr>
        <w:t xml:space="preserve"> mudanças na legislação para indicar </w:t>
      </w:r>
      <w:r w:rsidR="00A24570" w:rsidRPr="007940C0">
        <w:rPr>
          <w:rFonts w:cs="Arial"/>
        </w:rPr>
        <w:t>à</w:t>
      </w:r>
      <w:r w:rsidRPr="007940C0">
        <w:rPr>
          <w:rFonts w:cs="Arial"/>
        </w:rPr>
        <w:t>s empresas a melhor forma de tributação</w:t>
      </w:r>
      <w:r w:rsidR="00A24570" w:rsidRPr="007940C0">
        <w:rPr>
          <w:rFonts w:cs="Arial"/>
        </w:rPr>
        <w:t>, ou seja, a</w:t>
      </w:r>
      <w:r w:rsidRPr="007940C0">
        <w:rPr>
          <w:rFonts w:cs="Arial"/>
        </w:rPr>
        <w:t xml:space="preserve"> que gere o menor dispêndio financeiro.</w:t>
      </w:r>
    </w:p>
    <w:p w14:paraId="25B02399" w14:textId="77777777" w:rsidR="00D735E0" w:rsidRPr="007940C0" w:rsidRDefault="00D735E0" w:rsidP="00D735E0">
      <w:pPr>
        <w:spacing w:after="120" w:line="360" w:lineRule="auto"/>
        <w:ind w:firstLine="567"/>
        <w:rPr>
          <w:rFonts w:cs="Arial"/>
        </w:rPr>
      </w:pPr>
      <w:r w:rsidRPr="007940C0">
        <w:rPr>
          <w:rFonts w:cs="Arial"/>
        </w:rPr>
        <w:t>Ressalta-se também como relevante a região a ser estudada face a recente criação da Região Metropolitana da Grande Florianópolis, pela Lei Complementar Estadual nº 636/2014, demandando necessidade dos mais diversos estudos para o conhecimento de assuntos relacionados as características dos acadêmicos e futuros contadores integrantes dessa região. No próximo tópico será discorrido sobre a fundamentação teórica do estudo.</w:t>
      </w:r>
    </w:p>
    <w:p w14:paraId="715270B5" w14:textId="77777777" w:rsidR="002826C0" w:rsidRDefault="002826C0" w:rsidP="002826C0">
      <w:pPr>
        <w:rPr>
          <w:rFonts w:cs="Arial"/>
          <w:szCs w:val="22"/>
        </w:rPr>
      </w:pPr>
    </w:p>
    <w:p w14:paraId="679DFD8A" w14:textId="77777777" w:rsidR="00632CDA" w:rsidRPr="007940C0" w:rsidRDefault="00632CDA" w:rsidP="002826C0">
      <w:pPr>
        <w:rPr>
          <w:rFonts w:cs="Arial"/>
          <w:szCs w:val="22"/>
        </w:rPr>
      </w:pPr>
    </w:p>
    <w:p w14:paraId="02BABE94" w14:textId="21D6AFAD" w:rsidR="00E24E18" w:rsidRDefault="0018656B" w:rsidP="0095091A">
      <w:pPr>
        <w:pStyle w:val="Ttulo1"/>
        <w:spacing w:before="0" w:after="0" w:line="360" w:lineRule="auto"/>
        <w:ind w:left="432" w:hanging="432"/>
        <w:rPr>
          <w:rFonts w:cs="Arial"/>
          <w:szCs w:val="22"/>
        </w:rPr>
      </w:pPr>
      <w:r w:rsidRPr="0018656B">
        <w:rPr>
          <w:rFonts w:cs="Arial"/>
          <w:szCs w:val="22"/>
        </w:rPr>
        <w:t>REFERENCIAL TEÓRICO</w:t>
      </w:r>
    </w:p>
    <w:p w14:paraId="347D43EF" w14:textId="77777777" w:rsidR="001370F5" w:rsidRPr="001370F5" w:rsidRDefault="001370F5" w:rsidP="001370F5">
      <w:pPr>
        <w:rPr>
          <w:lang w:val="x-none" w:eastAsia="x-none"/>
        </w:rPr>
      </w:pPr>
    </w:p>
    <w:p w14:paraId="67079E79" w14:textId="582DC0FA" w:rsidR="00D735E0" w:rsidRPr="007940C0" w:rsidRDefault="00D735E0" w:rsidP="00D735E0">
      <w:pPr>
        <w:spacing w:after="120" w:line="360" w:lineRule="auto"/>
        <w:ind w:firstLine="567"/>
        <w:rPr>
          <w:rFonts w:cs="Arial"/>
        </w:rPr>
      </w:pPr>
      <w:r w:rsidRPr="007940C0">
        <w:rPr>
          <w:rFonts w:cs="Arial"/>
        </w:rPr>
        <w:t xml:space="preserve">Para Oliveira et.al. (2005), o planejamento tributário é um procedimento </w:t>
      </w:r>
      <w:r w:rsidR="00F6391A" w:rsidRPr="007940C0">
        <w:rPr>
          <w:rFonts w:cs="Arial"/>
        </w:rPr>
        <w:t>lícito</w:t>
      </w:r>
      <w:r w:rsidRPr="007940C0">
        <w:rPr>
          <w:rFonts w:cs="Arial"/>
        </w:rPr>
        <w:t xml:space="preserve"> de reduzir a carga fiscal e tributária da empresa, </w:t>
      </w:r>
      <w:r w:rsidR="00F6391A" w:rsidRPr="007940C0">
        <w:rPr>
          <w:rFonts w:cs="Arial"/>
        </w:rPr>
        <w:t xml:space="preserve">demandando dos </w:t>
      </w:r>
      <w:r w:rsidRPr="007940C0">
        <w:rPr>
          <w:rFonts w:cs="Arial"/>
        </w:rPr>
        <w:t xml:space="preserve">responsáveis </w:t>
      </w:r>
      <w:r w:rsidR="006952E6" w:rsidRPr="007940C0">
        <w:rPr>
          <w:rFonts w:cs="Arial"/>
        </w:rPr>
        <w:t xml:space="preserve">pelo planejamento tributário </w:t>
      </w:r>
      <w:r w:rsidRPr="007940C0">
        <w:rPr>
          <w:rFonts w:cs="Arial"/>
        </w:rPr>
        <w:lastRenderedPageBreak/>
        <w:t>conhecimento técnico para a escolha</w:t>
      </w:r>
      <w:r w:rsidR="00EF026B" w:rsidRPr="007940C0">
        <w:rPr>
          <w:rFonts w:cs="Arial"/>
        </w:rPr>
        <w:t xml:space="preserve"> </w:t>
      </w:r>
      <w:r w:rsidRPr="007940C0">
        <w:rPr>
          <w:rFonts w:cs="Arial"/>
        </w:rPr>
        <w:t>da carga tributária</w:t>
      </w:r>
      <w:r w:rsidR="00EF026B" w:rsidRPr="007940C0">
        <w:rPr>
          <w:rFonts w:cs="Arial"/>
        </w:rPr>
        <w:t xml:space="preserve"> mais vantajosa pra a empresa</w:t>
      </w:r>
      <w:r w:rsidRPr="007940C0">
        <w:rPr>
          <w:rFonts w:cs="Arial"/>
        </w:rPr>
        <w:t>. Conforme Marion (2002)</w:t>
      </w:r>
      <w:r w:rsidR="006C4007" w:rsidRPr="007940C0">
        <w:rPr>
          <w:rFonts w:cs="Arial"/>
        </w:rPr>
        <w:t>,</w:t>
      </w:r>
      <w:r w:rsidRPr="007940C0">
        <w:rPr>
          <w:rFonts w:cs="Arial"/>
        </w:rPr>
        <w:t xml:space="preserve"> o planejamento fiscal ou tributário busca analisar o conjunto de atividades atuais e das futuras atividades financeiras da empresa e alinhar o melhor regime tributário para as atividades econômicas da mesma, </w:t>
      </w:r>
      <w:r w:rsidR="006C4007" w:rsidRPr="007940C0">
        <w:rPr>
          <w:rFonts w:cs="Arial"/>
        </w:rPr>
        <w:t>organizando</w:t>
      </w:r>
      <w:r w:rsidRPr="007940C0">
        <w:rPr>
          <w:rFonts w:cs="Arial"/>
        </w:rPr>
        <w:t xml:space="preserve"> suas receitas e tributação, de modo que tenha o menor ônus fiscal possível.</w:t>
      </w:r>
    </w:p>
    <w:p w14:paraId="2A57853D" w14:textId="6EFFD7CE" w:rsidR="00D735E0" w:rsidRPr="007940C0" w:rsidRDefault="00D735E0" w:rsidP="00D735E0">
      <w:pPr>
        <w:spacing w:after="120" w:line="360" w:lineRule="auto"/>
        <w:ind w:firstLine="567"/>
        <w:rPr>
          <w:rFonts w:cs="Arial"/>
        </w:rPr>
      </w:pPr>
      <w:r w:rsidRPr="007940C0">
        <w:rPr>
          <w:rFonts w:cs="Arial"/>
        </w:rPr>
        <w:t>Conforme acima destacado, o exercício do planejamento tributário pode beneficiar</w:t>
      </w:r>
      <w:r w:rsidR="00552214" w:rsidRPr="007940C0">
        <w:rPr>
          <w:rFonts w:cs="Arial"/>
        </w:rPr>
        <w:t>a empresa em</w:t>
      </w:r>
      <w:r w:rsidRPr="007940C0">
        <w:rPr>
          <w:rFonts w:cs="Arial"/>
        </w:rPr>
        <w:t xml:space="preserve"> várias formas, evita</w:t>
      </w:r>
      <w:r w:rsidR="00552214" w:rsidRPr="007940C0">
        <w:rPr>
          <w:rFonts w:cs="Arial"/>
        </w:rPr>
        <w:t>ndo</w:t>
      </w:r>
      <w:r w:rsidRPr="007940C0">
        <w:rPr>
          <w:rFonts w:cs="Arial"/>
        </w:rPr>
        <w:t xml:space="preserve"> a incidência d</w:t>
      </w:r>
      <w:r w:rsidR="00552214" w:rsidRPr="007940C0">
        <w:rPr>
          <w:rFonts w:cs="Arial"/>
        </w:rPr>
        <w:t>e determinados</w:t>
      </w:r>
      <w:r w:rsidRPr="007940C0">
        <w:rPr>
          <w:rFonts w:cs="Arial"/>
        </w:rPr>
        <w:t xml:space="preserve"> tributo</w:t>
      </w:r>
      <w:r w:rsidR="00552214" w:rsidRPr="007940C0">
        <w:rPr>
          <w:rFonts w:cs="Arial"/>
        </w:rPr>
        <w:t>s</w:t>
      </w:r>
      <w:r w:rsidRPr="007940C0">
        <w:rPr>
          <w:rFonts w:cs="Arial"/>
        </w:rPr>
        <w:t>, reduzi</w:t>
      </w:r>
      <w:r w:rsidR="00552214" w:rsidRPr="007940C0">
        <w:rPr>
          <w:rFonts w:cs="Arial"/>
        </w:rPr>
        <w:t>ndo</w:t>
      </w:r>
      <w:r w:rsidRPr="007940C0">
        <w:rPr>
          <w:rFonts w:cs="Arial"/>
        </w:rPr>
        <w:t xml:space="preserve"> o montante do tributo devido </w:t>
      </w:r>
      <w:r w:rsidR="00552214" w:rsidRPr="007940C0">
        <w:rPr>
          <w:rFonts w:cs="Arial"/>
        </w:rPr>
        <w:t xml:space="preserve">e/ou </w:t>
      </w:r>
      <w:r w:rsidRPr="007940C0">
        <w:rPr>
          <w:rFonts w:cs="Arial"/>
        </w:rPr>
        <w:t>posterga</w:t>
      </w:r>
      <w:r w:rsidR="00552214" w:rsidRPr="007940C0">
        <w:rPr>
          <w:rFonts w:cs="Arial"/>
        </w:rPr>
        <w:t>ndo</w:t>
      </w:r>
      <w:r w:rsidRPr="007940C0">
        <w:rPr>
          <w:rFonts w:cs="Arial"/>
        </w:rPr>
        <w:t xml:space="preserve"> o momento </w:t>
      </w:r>
      <w:r w:rsidR="00552214" w:rsidRPr="007940C0">
        <w:rPr>
          <w:rFonts w:cs="Arial"/>
        </w:rPr>
        <w:t>da</w:t>
      </w:r>
      <w:r w:rsidRPr="007940C0">
        <w:rPr>
          <w:rFonts w:cs="Arial"/>
        </w:rPr>
        <w:t xml:space="preserve"> exigibilidade</w:t>
      </w:r>
      <w:r w:rsidR="00552214" w:rsidRPr="007940C0">
        <w:rPr>
          <w:rFonts w:cs="Arial"/>
        </w:rPr>
        <w:t xml:space="preserve"> do tributo</w:t>
      </w:r>
      <w:r w:rsidRPr="007940C0">
        <w:rPr>
          <w:rFonts w:cs="Arial"/>
        </w:rPr>
        <w:t>. Com efeito, o que pode ser observado para a realização de um planejamento tributário responsável são os procedimentos contábeis e operacionais da empresa. Deste modo, destaca-se duas formas de tributação que possuem uma linha tênue em sua aplicação nas empresas o Simples Nacional e o Lucro Presumido.</w:t>
      </w:r>
    </w:p>
    <w:p w14:paraId="7A9F439B" w14:textId="77777777" w:rsidR="00D735E0" w:rsidRPr="007940C0" w:rsidRDefault="00D735E0" w:rsidP="00D735E0">
      <w:pPr>
        <w:spacing w:after="120" w:line="360" w:lineRule="auto"/>
        <w:ind w:firstLine="567"/>
        <w:rPr>
          <w:rFonts w:cs="Arial"/>
          <w:b/>
        </w:rPr>
      </w:pPr>
    </w:p>
    <w:p w14:paraId="4AF19854" w14:textId="77777777" w:rsidR="00D735E0" w:rsidRPr="007940C0" w:rsidRDefault="00D735E0" w:rsidP="00D735E0">
      <w:pPr>
        <w:autoSpaceDE w:val="0"/>
        <w:autoSpaceDN w:val="0"/>
        <w:adjustRightInd w:val="0"/>
        <w:spacing w:after="120" w:line="360" w:lineRule="auto"/>
        <w:rPr>
          <w:rFonts w:cs="Arial"/>
          <w:b/>
          <w:bCs/>
        </w:rPr>
      </w:pPr>
      <w:r w:rsidRPr="007940C0">
        <w:rPr>
          <w:rFonts w:cs="Arial"/>
          <w:b/>
          <w:bCs/>
        </w:rPr>
        <w:t>2.1 Simples Nacional</w:t>
      </w:r>
    </w:p>
    <w:p w14:paraId="316DB4A5" w14:textId="3355F69B" w:rsidR="00D735E0" w:rsidRPr="007940C0" w:rsidRDefault="00D735E0" w:rsidP="00D735E0">
      <w:pPr>
        <w:autoSpaceDE w:val="0"/>
        <w:autoSpaceDN w:val="0"/>
        <w:adjustRightInd w:val="0"/>
        <w:spacing w:after="120" w:line="360" w:lineRule="auto"/>
        <w:ind w:firstLine="567"/>
        <w:rPr>
          <w:rFonts w:cs="Arial"/>
        </w:rPr>
      </w:pPr>
      <w:r w:rsidRPr="007940C0">
        <w:rPr>
          <w:rFonts w:cs="Arial"/>
        </w:rPr>
        <w:t xml:space="preserve">O Simples Nacional é um sistema tributário diferenciado, simplificado, que estabelece normas gerais sobre o tratamento dado às Micro Empresas e Empresas de Pequeno Porte, especialmente quanto à apuração e recolhimento de impostos e contribuições da União, dos Estados, do Distrito Federal e dos Municípios, mediante regime único de arrecadação; ao cumprimento de obrigações trabalhistas e previdenciárias; </w:t>
      </w:r>
      <w:r w:rsidR="003D01E1" w:rsidRPr="007940C0">
        <w:rPr>
          <w:rFonts w:cs="Arial"/>
        </w:rPr>
        <w:t xml:space="preserve">e </w:t>
      </w:r>
      <w:r w:rsidRPr="007940C0">
        <w:rPr>
          <w:rFonts w:cs="Arial"/>
        </w:rPr>
        <w:t>inclusive suas respectivas obrigações acessórias, visto os preceitos da Lei complementar 123/2006.</w:t>
      </w:r>
    </w:p>
    <w:p w14:paraId="58B7E785" w14:textId="6C51BECB" w:rsidR="00D735E0" w:rsidRPr="007940C0" w:rsidRDefault="00D735E0" w:rsidP="00D735E0">
      <w:pPr>
        <w:autoSpaceDE w:val="0"/>
        <w:autoSpaceDN w:val="0"/>
        <w:adjustRightInd w:val="0"/>
        <w:spacing w:after="120" w:line="360" w:lineRule="auto"/>
        <w:ind w:firstLine="567"/>
        <w:rPr>
          <w:rFonts w:cs="Arial"/>
        </w:rPr>
      </w:pPr>
      <w:r w:rsidRPr="007940C0">
        <w:rPr>
          <w:rFonts w:cs="Arial"/>
        </w:rPr>
        <w:t xml:space="preserve">Na visão de Ono, Geovanni e Oliveira (2009) o SN é um </w:t>
      </w:r>
      <w:r w:rsidR="003D01E1" w:rsidRPr="007940C0">
        <w:rPr>
          <w:rFonts w:cs="Arial"/>
        </w:rPr>
        <w:t>r</w:t>
      </w:r>
      <w:r w:rsidRPr="007940C0">
        <w:rPr>
          <w:rFonts w:cs="Arial"/>
        </w:rPr>
        <w:t>egime</w:t>
      </w:r>
      <w:r w:rsidR="003D01E1" w:rsidRPr="007940C0">
        <w:rPr>
          <w:rFonts w:cs="Arial"/>
        </w:rPr>
        <w:t xml:space="preserve"> tributário</w:t>
      </w:r>
      <w:r w:rsidRPr="007940C0">
        <w:rPr>
          <w:rFonts w:cs="Arial"/>
        </w:rPr>
        <w:t xml:space="preserve"> que apura e recolhe os impostos de forma unificada, dessa maneira esse regime não vem realizar concessões de isenções de impostos e sim trazer uma nova modalidade para a realização d</w:t>
      </w:r>
      <w:r w:rsidR="003D01E1" w:rsidRPr="007940C0">
        <w:rPr>
          <w:rFonts w:cs="Arial"/>
        </w:rPr>
        <w:t>a</w:t>
      </w:r>
      <w:r w:rsidRPr="007940C0">
        <w:rPr>
          <w:rFonts w:cs="Arial"/>
        </w:rPr>
        <w:t xml:space="preserve"> apuração de impostos para as microempresas e empresas de pequeno porte. A vigência do SN iniciou a partir de 1º de julho de 2007, sendo que as empresas podem optar voluntariamente por esta forma de tributação, desde que obedecem alguns critérios estabelecidos na Lei.</w:t>
      </w:r>
    </w:p>
    <w:p w14:paraId="2239C165" w14:textId="77777777" w:rsidR="00D735E0" w:rsidRPr="007940C0" w:rsidRDefault="00D735E0" w:rsidP="00D735E0">
      <w:pPr>
        <w:autoSpaceDE w:val="0"/>
        <w:autoSpaceDN w:val="0"/>
        <w:adjustRightInd w:val="0"/>
        <w:spacing w:after="120" w:line="360" w:lineRule="auto"/>
        <w:ind w:firstLine="567"/>
        <w:rPr>
          <w:rFonts w:cs="Arial"/>
        </w:rPr>
      </w:pPr>
      <w:r w:rsidRPr="007940C0">
        <w:rPr>
          <w:rFonts w:cs="Arial"/>
        </w:rPr>
        <w:t xml:space="preserve">Ono, Geovanni e Oliveira (2009) complementam afirmando que o Simples Nacional veio para limitar as competências dos entes tributários. Com isso os Estados, munícipios e a União, não poderão alterar as regras tributárias das empresas vinculadas a esse regime de tributação </w:t>
      </w:r>
      <w:r w:rsidRPr="007940C0">
        <w:rPr>
          <w:rFonts w:cs="Arial"/>
        </w:rPr>
        <w:lastRenderedPageBreak/>
        <w:t xml:space="preserve">pelas leis ordinárias de cada ente, salvo algumas exceções. Com essa nova regra, aplica-se o regime tributário e suas obrigações acessórias em todo território nacional. </w:t>
      </w:r>
    </w:p>
    <w:p w14:paraId="19815682" w14:textId="12F9ECDA" w:rsidR="00D735E0" w:rsidRPr="007940C0" w:rsidRDefault="00D735E0" w:rsidP="00D735E0">
      <w:pPr>
        <w:autoSpaceDE w:val="0"/>
        <w:autoSpaceDN w:val="0"/>
        <w:adjustRightInd w:val="0"/>
        <w:spacing w:after="120" w:line="360" w:lineRule="auto"/>
        <w:ind w:firstLine="567"/>
        <w:rPr>
          <w:rFonts w:cs="Arial"/>
        </w:rPr>
      </w:pPr>
      <w:r w:rsidRPr="007940C0">
        <w:rPr>
          <w:rFonts w:cs="Arial"/>
        </w:rPr>
        <w:t>Deste modo, o Simples Nacional abrange os seguintes impostos: Imposto de Renda da Pessoa Jurídica (IRPJ); Imposto sobre os Produtos Industrializados (IPI); Contribuição Social sobre o Lucro Líquido (CSLL); Contribuição para o Financiamento da Seguridade Social (COFINS); Contribuição para o PIS/PASEP; Contribuição Patronal Previdenciária (CPP – INSS Patronal); Imposto Sobre operações relativas a Circulação de Mercadorias e sobre Prestação de Serviços de Transporte Intermunicipal e Interestadual e de Comunicação (ICMS); Imposto Sobre Serviço de Qualquer Natureza (ISSQN).</w:t>
      </w:r>
      <w:r w:rsidR="00200045" w:rsidRPr="007940C0">
        <w:rPr>
          <w:rFonts w:cs="Arial"/>
        </w:rPr>
        <w:t xml:space="preserve"> Tem-se que as</w:t>
      </w:r>
      <w:r w:rsidRPr="007940C0">
        <w:rPr>
          <w:rFonts w:cs="Arial"/>
        </w:rPr>
        <w:t xml:space="preserve"> alíquotas destes impostos são diferenciadas de outros regimes tributários (Lucro Presumido ou Lucro Real), e reduzidas obedecendo ao critério das atividades econômicas das empresas. </w:t>
      </w:r>
    </w:p>
    <w:p w14:paraId="11E081E9" w14:textId="77777777" w:rsidR="00D735E0" w:rsidRPr="007940C0" w:rsidRDefault="00D735E0" w:rsidP="00D735E0">
      <w:pPr>
        <w:autoSpaceDE w:val="0"/>
        <w:autoSpaceDN w:val="0"/>
        <w:adjustRightInd w:val="0"/>
        <w:spacing w:after="120" w:line="360" w:lineRule="auto"/>
        <w:ind w:firstLine="567"/>
        <w:rPr>
          <w:rFonts w:cs="Arial"/>
        </w:rPr>
      </w:pPr>
      <w:r w:rsidRPr="007940C0">
        <w:rPr>
          <w:rFonts w:cs="Arial"/>
        </w:rPr>
        <w:t>Observa-se que, para fins de opção e permanência no Simples Nacional, a Lei Complementar 123/2006 traz algumas restrições, entre elas alguns tipos de atividades econômicas, além do limite de faturamento anual de R$ 3.600.000,00. Assim, atualmente no anexo VI, i</w:t>
      </w:r>
      <w:r w:rsidRPr="007940C0">
        <w:rPr>
          <w:rFonts w:cs="Arial"/>
          <w:bCs/>
        </w:rPr>
        <w:t>ncluem-se</w:t>
      </w:r>
      <w:r w:rsidRPr="007940C0">
        <w:rPr>
          <w:rFonts w:cs="Arial"/>
        </w:rPr>
        <w:t xml:space="preserve"> atividades a ser tributadas no Simples Nacional, que anteriormente eram tributadas apenas pelo Lucro Presumido ou Real.</w:t>
      </w:r>
    </w:p>
    <w:p w14:paraId="6CE48276" w14:textId="77777777" w:rsidR="00D735E0" w:rsidRPr="007940C0" w:rsidRDefault="00D735E0" w:rsidP="00D735E0">
      <w:pPr>
        <w:autoSpaceDE w:val="0"/>
        <w:autoSpaceDN w:val="0"/>
        <w:adjustRightInd w:val="0"/>
        <w:spacing w:after="120" w:line="360" w:lineRule="auto"/>
        <w:ind w:firstLine="567"/>
        <w:rPr>
          <w:rFonts w:cs="Arial"/>
        </w:rPr>
      </w:pPr>
      <w:r w:rsidRPr="007940C0">
        <w:rPr>
          <w:rFonts w:cs="Arial"/>
        </w:rPr>
        <w:t>Conforme o artigo 18, § 5° da Lei Complementar 123/2006 (atualizada pela Lei Complementar 147/2014), as seguintes atividades de prestação de serviços serão tributadas na forma do anexo VI:</w:t>
      </w:r>
    </w:p>
    <w:p w14:paraId="156DD943" w14:textId="77777777" w:rsidR="00D735E0" w:rsidRPr="007940C0" w:rsidRDefault="00D735E0" w:rsidP="00807E96">
      <w:pPr>
        <w:autoSpaceDE w:val="0"/>
        <w:autoSpaceDN w:val="0"/>
        <w:adjustRightInd w:val="0"/>
        <w:ind w:left="2268" w:firstLine="0"/>
        <w:rPr>
          <w:rFonts w:cs="Arial"/>
          <w:sz w:val="20"/>
        </w:rPr>
      </w:pPr>
      <w:r w:rsidRPr="007940C0">
        <w:rPr>
          <w:rFonts w:cs="Arial"/>
          <w:iCs/>
          <w:sz w:val="20"/>
        </w:rPr>
        <w:t>I - medicina, inclusive laboratorial e enfermagem;</w:t>
      </w:r>
    </w:p>
    <w:p w14:paraId="3234A480" w14:textId="77777777" w:rsidR="00D735E0" w:rsidRPr="007940C0" w:rsidRDefault="00D735E0" w:rsidP="00807E96">
      <w:pPr>
        <w:autoSpaceDE w:val="0"/>
        <w:autoSpaceDN w:val="0"/>
        <w:adjustRightInd w:val="0"/>
        <w:ind w:left="2268" w:firstLine="0"/>
        <w:rPr>
          <w:rFonts w:cs="Arial"/>
          <w:iCs/>
          <w:sz w:val="20"/>
        </w:rPr>
      </w:pPr>
      <w:r w:rsidRPr="007940C0">
        <w:rPr>
          <w:rFonts w:cs="Arial"/>
          <w:iCs/>
          <w:sz w:val="20"/>
        </w:rPr>
        <w:t>II - medicina veterinária;</w:t>
      </w:r>
    </w:p>
    <w:p w14:paraId="28978F14" w14:textId="77777777" w:rsidR="00D735E0" w:rsidRPr="007940C0" w:rsidRDefault="00D735E0" w:rsidP="00807E96">
      <w:pPr>
        <w:autoSpaceDE w:val="0"/>
        <w:autoSpaceDN w:val="0"/>
        <w:adjustRightInd w:val="0"/>
        <w:ind w:left="2268" w:firstLine="0"/>
        <w:rPr>
          <w:rFonts w:cs="Arial"/>
          <w:iCs/>
          <w:sz w:val="20"/>
        </w:rPr>
      </w:pPr>
      <w:r w:rsidRPr="007940C0">
        <w:rPr>
          <w:rFonts w:cs="Arial"/>
          <w:iCs/>
          <w:sz w:val="20"/>
        </w:rPr>
        <w:t>III - odontologia;</w:t>
      </w:r>
    </w:p>
    <w:p w14:paraId="3C845189" w14:textId="4E3B052A" w:rsidR="00D735E0" w:rsidRPr="007940C0" w:rsidRDefault="00D735E0" w:rsidP="00807E96">
      <w:pPr>
        <w:autoSpaceDE w:val="0"/>
        <w:autoSpaceDN w:val="0"/>
        <w:adjustRightInd w:val="0"/>
        <w:ind w:left="2268" w:firstLine="0"/>
        <w:rPr>
          <w:rFonts w:cs="Arial"/>
          <w:iCs/>
          <w:sz w:val="20"/>
        </w:rPr>
      </w:pPr>
      <w:r w:rsidRPr="007940C0">
        <w:rPr>
          <w:rFonts w:cs="Arial"/>
          <w:iCs/>
          <w:sz w:val="20"/>
        </w:rPr>
        <w:t>IV - psicologia, psicanálise, terapia ocupacional, acupuntura,</w:t>
      </w:r>
      <w:r w:rsidR="00807E96" w:rsidRPr="007940C0">
        <w:rPr>
          <w:rFonts w:cs="Arial"/>
          <w:iCs/>
          <w:sz w:val="20"/>
        </w:rPr>
        <w:t xml:space="preserve"> </w:t>
      </w:r>
      <w:proofErr w:type="spellStart"/>
      <w:r w:rsidRPr="007940C0">
        <w:rPr>
          <w:rFonts w:cs="Arial"/>
          <w:iCs/>
          <w:sz w:val="20"/>
        </w:rPr>
        <w:t>podologia</w:t>
      </w:r>
      <w:proofErr w:type="spellEnd"/>
      <w:r w:rsidRPr="007940C0">
        <w:rPr>
          <w:rFonts w:cs="Arial"/>
          <w:iCs/>
          <w:sz w:val="20"/>
        </w:rPr>
        <w:t>, fonoaudiologia, clínicas de nutrição e de vacinação e bancos</w:t>
      </w:r>
      <w:r w:rsidR="00807E96" w:rsidRPr="007940C0">
        <w:rPr>
          <w:rFonts w:cs="Arial"/>
          <w:iCs/>
          <w:sz w:val="20"/>
        </w:rPr>
        <w:t xml:space="preserve"> </w:t>
      </w:r>
      <w:r w:rsidRPr="007940C0">
        <w:rPr>
          <w:rFonts w:cs="Arial"/>
          <w:iCs/>
          <w:sz w:val="20"/>
        </w:rPr>
        <w:t>de leite;</w:t>
      </w:r>
    </w:p>
    <w:p w14:paraId="0D2D0A6B" w14:textId="1BD83DA4" w:rsidR="00D735E0" w:rsidRPr="007940C0" w:rsidRDefault="00D735E0" w:rsidP="00807E96">
      <w:pPr>
        <w:autoSpaceDE w:val="0"/>
        <w:autoSpaceDN w:val="0"/>
        <w:adjustRightInd w:val="0"/>
        <w:ind w:left="2268" w:firstLine="0"/>
        <w:rPr>
          <w:rFonts w:cs="Arial"/>
          <w:iCs/>
          <w:sz w:val="20"/>
        </w:rPr>
      </w:pPr>
      <w:r w:rsidRPr="007940C0">
        <w:rPr>
          <w:rFonts w:cs="Arial"/>
          <w:iCs/>
          <w:sz w:val="20"/>
        </w:rPr>
        <w:t xml:space="preserve">V - serviços de </w:t>
      </w:r>
      <w:r w:rsidR="003D7546" w:rsidRPr="007940C0">
        <w:rPr>
          <w:rFonts w:cs="Arial"/>
          <w:iCs/>
          <w:sz w:val="20"/>
        </w:rPr>
        <w:t>comissária</w:t>
      </w:r>
      <w:r w:rsidRPr="007940C0">
        <w:rPr>
          <w:rFonts w:cs="Arial"/>
          <w:iCs/>
          <w:sz w:val="20"/>
        </w:rPr>
        <w:t>, de despachantes, de tradução e de</w:t>
      </w:r>
      <w:r w:rsidR="00807E96" w:rsidRPr="007940C0">
        <w:rPr>
          <w:rFonts w:cs="Arial"/>
          <w:iCs/>
          <w:sz w:val="20"/>
        </w:rPr>
        <w:t xml:space="preserve"> </w:t>
      </w:r>
      <w:r w:rsidRPr="007940C0">
        <w:rPr>
          <w:rFonts w:cs="Arial"/>
          <w:iCs/>
          <w:sz w:val="20"/>
        </w:rPr>
        <w:t>interpretação;</w:t>
      </w:r>
    </w:p>
    <w:p w14:paraId="2C484A28" w14:textId="07F4183B" w:rsidR="00D735E0" w:rsidRPr="007940C0" w:rsidRDefault="00D735E0" w:rsidP="00807E96">
      <w:pPr>
        <w:autoSpaceDE w:val="0"/>
        <w:autoSpaceDN w:val="0"/>
        <w:adjustRightInd w:val="0"/>
        <w:ind w:left="2268" w:firstLine="0"/>
        <w:rPr>
          <w:rFonts w:cs="Arial"/>
          <w:iCs/>
          <w:sz w:val="20"/>
        </w:rPr>
      </w:pPr>
      <w:r w:rsidRPr="007940C0">
        <w:rPr>
          <w:rFonts w:cs="Arial"/>
          <w:iCs/>
          <w:sz w:val="20"/>
        </w:rPr>
        <w:t>VI - arquitetura, engenharia, medição, cartografia, topografia</w:t>
      </w:r>
      <w:r w:rsidR="00807E96" w:rsidRPr="007940C0">
        <w:rPr>
          <w:rFonts w:cs="Arial"/>
          <w:iCs/>
          <w:sz w:val="20"/>
        </w:rPr>
        <w:t xml:space="preserve">, </w:t>
      </w:r>
      <w:r w:rsidRPr="007940C0">
        <w:rPr>
          <w:rFonts w:cs="Arial"/>
          <w:iCs/>
          <w:sz w:val="20"/>
        </w:rPr>
        <w:t xml:space="preserve">geologia, </w:t>
      </w:r>
      <w:r w:rsidR="003D7546" w:rsidRPr="007940C0">
        <w:rPr>
          <w:rFonts w:cs="Arial"/>
          <w:iCs/>
          <w:sz w:val="20"/>
        </w:rPr>
        <w:t>geodesia</w:t>
      </w:r>
      <w:r w:rsidRPr="007940C0">
        <w:rPr>
          <w:rFonts w:cs="Arial"/>
          <w:iCs/>
          <w:sz w:val="20"/>
        </w:rPr>
        <w:t>, testes, suporte e análises técnicas e tecnológicas,</w:t>
      </w:r>
      <w:r w:rsidR="00807E96" w:rsidRPr="007940C0">
        <w:rPr>
          <w:rFonts w:cs="Arial"/>
          <w:iCs/>
          <w:sz w:val="20"/>
        </w:rPr>
        <w:t xml:space="preserve"> </w:t>
      </w:r>
      <w:r w:rsidRPr="007940C0">
        <w:rPr>
          <w:rFonts w:cs="Arial"/>
          <w:iCs/>
          <w:sz w:val="20"/>
        </w:rPr>
        <w:t>pesquisa, design, desenho e agronomia;</w:t>
      </w:r>
    </w:p>
    <w:p w14:paraId="56607582" w14:textId="43198395" w:rsidR="00D735E0" w:rsidRPr="007940C0" w:rsidRDefault="00D735E0" w:rsidP="00807E96">
      <w:pPr>
        <w:autoSpaceDE w:val="0"/>
        <w:autoSpaceDN w:val="0"/>
        <w:adjustRightInd w:val="0"/>
        <w:ind w:left="2268" w:firstLine="0"/>
        <w:rPr>
          <w:rFonts w:cs="Arial"/>
          <w:iCs/>
          <w:sz w:val="20"/>
        </w:rPr>
      </w:pPr>
      <w:r w:rsidRPr="007940C0">
        <w:rPr>
          <w:rFonts w:cs="Arial"/>
          <w:iCs/>
          <w:sz w:val="20"/>
        </w:rPr>
        <w:t>VII - representação comercial e demais atividades de intermediação</w:t>
      </w:r>
      <w:r w:rsidR="00807E96" w:rsidRPr="007940C0">
        <w:rPr>
          <w:rFonts w:cs="Arial"/>
          <w:iCs/>
          <w:sz w:val="20"/>
        </w:rPr>
        <w:t xml:space="preserve"> </w:t>
      </w:r>
      <w:r w:rsidRPr="007940C0">
        <w:rPr>
          <w:rFonts w:cs="Arial"/>
          <w:iCs/>
          <w:sz w:val="20"/>
        </w:rPr>
        <w:t>de negócios e serviços de terceiros;</w:t>
      </w:r>
      <w:r w:rsidR="00807E96" w:rsidRPr="007940C0">
        <w:rPr>
          <w:rFonts w:cs="Arial"/>
          <w:iCs/>
          <w:sz w:val="20"/>
        </w:rPr>
        <w:t xml:space="preserve"> </w:t>
      </w:r>
      <w:r w:rsidRPr="007940C0">
        <w:rPr>
          <w:rFonts w:cs="Arial"/>
          <w:iCs/>
          <w:sz w:val="20"/>
        </w:rPr>
        <w:t>VIII - perícia, leilão e avaliação;</w:t>
      </w:r>
    </w:p>
    <w:p w14:paraId="15C57922" w14:textId="6F9D2453" w:rsidR="00D735E0" w:rsidRPr="007940C0" w:rsidRDefault="00D735E0" w:rsidP="00807E96">
      <w:pPr>
        <w:autoSpaceDE w:val="0"/>
        <w:autoSpaceDN w:val="0"/>
        <w:adjustRightInd w:val="0"/>
        <w:ind w:left="2268" w:firstLine="0"/>
        <w:rPr>
          <w:rFonts w:cs="Arial"/>
          <w:iCs/>
          <w:sz w:val="20"/>
        </w:rPr>
      </w:pPr>
      <w:r w:rsidRPr="007940C0">
        <w:rPr>
          <w:rFonts w:cs="Arial"/>
          <w:iCs/>
          <w:sz w:val="20"/>
        </w:rPr>
        <w:t>IX - auditoria, economia, consultoria, gestão, organização, controle</w:t>
      </w:r>
      <w:r w:rsidR="00807E96" w:rsidRPr="007940C0">
        <w:rPr>
          <w:rFonts w:cs="Arial"/>
          <w:iCs/>
          <w:sz w:val="20"/>
        </w:rPr>
        <w:t xml:space="preserve"> </w:t>
      </w:r>
      <w:r w:rsidRPr="007940C0">
        <w:rPr>
          <w:rFonts w:cs="Arial"/>
          <w:iCs/>
          <w:sz w:val="20"/>
        </w:rPr>
        <w:t>e administração;</w:t>
      </w:r>
    </w:p>
    <w:p w14:paraId="53C4DCED" w14:textId="77777777" w:rsidR="00D735E0" w:rsidRPr="007940C0" w:rsidRDefault="00D735E0" w:rsidP="00807E96">
      <w:pPr>
        <w:autoSpaceDE w:val="0"/>
        <w:autoSpaceDN w:val="0"/>
        <w:adjustRightInd w:val="0"/>
        <w:ind w:left="2268" w:firstLine="0"/>
        <w:rPr>
          <w:rFonts w:cs="Arial"/>
          <w:iCs/>
          <w:sz w:val="20"/>
        </w:rPr>
      </w:pPr>
      <w:r w:rsidRPr="007940C0">
        <w:rPr>
          <w:rFonts w:cs="Arial"/>
          <w:iCs/>
          <w:sz w:val="20"/>
        </w:rPr>
        <w:t>X - jornalismo e publicidade;</w:t>
      </w:r>
    </w:p>
    <w:p w14:paraId="425C4631" w14:textId="77777777" w:rsidR="00D735E0" w:rsidRPr="007940C0" w:rsidRDefault="00D735E0" w:rsidP="00807E96">
      <w:pPr>
        <w:autoSpaceDE w:val="0"/>
        <w:autoSpaceDN w:val="0"/>
        <w:adjustRightInd w:val="0"/>
        <w:ind w:left="2268" w:firstLine="0"/>
        <w:rPr>
          <w:rFonts w:cs="Arial"/>
          <w:iCs/>
          <w:sz w:val="20"/>
        </w:rPr>
      </w:pPr>
      <w:r w:rsidRPr="007940C0">
        <w:rPr>
          <w:rFonts w:cs="Arial"/>
          <w:iCs/>
          <w:sz w:val="20"/>
        </w:rPr>
        <w:t>XI - agenciamento, exceto de mão de obra;</w:t>
      </w:r>
    </w:p>
    <w:p w14:paraId="203F96DF" w14:textId="7B1A8564" w:rsidR="00D735E0" w:rsidRPr="007940C0" w:rsidRDefault="00D735E0" w:rsidP="00807E96">
      <w:pPr>
        <w:autoSpaceDE w:val="0"/>
        <w:autoSpaceDN w:val="0"/>
        <w:adjustRightInd w:val="0"/>
        <w:ind w:left="2268" w:firstLine="0"/>
        <w:rPr>
          <w:rFonts w:cs="Arial"/>
          <w:sz w:val="20"/>
        </w:rPr>
      </w:pPr>
      <w:r w:rsidRPr="007940C0">
        <w:rPr>
          <w:rFonts w:cs="Arial"/>
          <w:iCs/>
          <w:sz w:val="20"/>
        </w:rPr>
        <w:t>XII - outras atividades do setor de serviços que tenham por</w:t>
      </w:r>
      <w:r w:rsidR="00807E96" w:rsidRPr="007940C0">
        <w:rPr>
          <w:rFonts w:cs="Arial"/>
          <w:iCs/>
          <w:sz w:val="20"/>
        </w:rPr>
        <w:t xml:space="preserve"> </w:t>
      </w:r>
      <w:r w:rsidRPr="007940C0">
        <w:rPr>
          <w:rFonts w:cs="Arial"/>
          <w:iCs/>
          <w:sz w:val="20"/>
        </w:rPr>
        <w:t>finalidade a prestação de serviços decorrentes do exercício de atividade</w:t>
      </w:r>
      <w:r w:rsidR="00807E96" w:rsidRPr="007940C0">
        <w:rPr>
          <w:rFonts w:cs="Arial"/>
          <w:iCs/>
          <w:sz w:val="20"/>
        </w:rPr>
        <w:t xml:space="preserve"> </w:t>
      </w:r>
      <w:r w:rsidRPr="007940C0">
        <w:rPr>
          <w:rFonts w:cs="Arial"/>
          <w:iCs/>
          <w:sz w:val="20"/>
        </w:rPr>
        <w:t xml:space="preserve">intelectual, de </w:t>
      </w:r>
      <w:r w:rsidRPr="007940C0">
        <w:rPr>
          <w:rFonts w:cs="Arial"/>
          <w:iCs/>
          <w:sz w:val="20"/>
        </w:rPr>
        <w:lastRenderedPageBreak/>
        <w:t>natureza técnica, científica, desportiva, artística ou cultural,</w:t>
      </w:r>
      <w:r w:rsidR="00807E96" w:rsidRPr="007940C0">
        <w:rPr>
          <w:rFonts w:cs="Arial"/>
          <w:iCs/>
          <w:sz w:val="20"/>
        </w:rPr>
        <w:t xml:space="preserve"> </w:t>
      </w:r>
      <w:r w:rsidRPr="007940C0">
        <w:rPr>
          <w:rFonts w:cs="Arial"/>
          <w:iCs/>
          <w:sz w:val="20"/>
        </w:rPr>
        <w:t>que constitua profissão regulamentada ou não, desde que não sujeitas à</w:t>
      </w:r>
      <w:r w:rsidR="00807E96" w:rsidRPr="007940C0">
        <w:rPr>
          <w:rFonts w:cs="Arial"/>
          <w:iCs/>
          <w:sz w:val="20"/>
        </w:rPr>
        <w:t xml:space="preserve"> </w:t>
      </w:r>
      <w:r w:rsidRPr="007940C0">
        <w:rPr>
          <w:rFonts w:cs="Arial"/>
          <w:iCs/>
          <w:sz w:val="20"/>
        </w:rPr>
        <w:t>tributação na forma dos Anexos III, IV ou V desta Lei Complementar.</w:t>
      </w:r>
    </w:p>
    <w:p w14:paraId="428BB8F6" w14:textId="77777777" w:rsidR="00D735E0" w:rsidRPr="007940C0" w:rsidRDefault="00D735E0" w:rsidP="00D735E0">
      <w:pPr>
        <w:autoSpaceDE w:val="0"/>
        <w:autoSpaceDN w:val="0"/>
        <w:adjustRightInd w:val="0"/>
        <w:spacing w:line="360" w:lineRule="auto"/>
        <w:ind w:firstLine="567"/>
        <w:rPr>
          <w:rFonts w:cs="Arial"/>
          <w:szCs w:val="24"/>
        </w:rPr>
      </w:pPr>
    </w:p>
    <w:p w14:paraId="054387F1" w14:textId="36BB0B40" w:rsidR="00D735E0" w:rsidRPr="007940C0" w:rsidRDefault="00D735E0" w:rsidP="00D735E0">
      <w:pPr>
        <w:autoSpaceDE w:val="0"/>
        <w:autoSpaceDN w:val="0"/>
        <w:adjustRightInd w:val="0"/>
        <w:spacing w:after="120" w:line="360" w:lineRule="auto"/>
        <w:ind w:firstLine="567"/>
        <w:rPr>
          <w:rFonts w:cs="Arial"/>
        </w:rPr>
      </w:pPr>
      <w:r w:rsidRPr="007940C0">
        <w:rPr>
          <w:rFonts w:cs="Arial"/>
          <w:shd w:val="clear" w:color="auto" w:fill="FFFFFF"/>
        </w:rPr>
        <w:t xml:space="preserve">Observa-se que para analisar o melhor regime tributário entre o Simples Nacional e o Lucro Presumido, é levado em conta </w:t>
      </w:r>
      <w:r w:rsidR="00D83AC3" w:rsidRPr="007940C0">
        <w:rPr>
          <w:rFonts w:cs="Arial"/>
          <w:shd w:val="clear" w:color="auto" w:fill="FFFFFF"/>
        </w:rPr>
        <w:t>a</w:t>
      </w:r>
      <w:r w:rsidRPr="007940C0">
        <w:rPr>
          <w:rFonts w:cs="Arial"/>
          <w:shd w:val="clear" w:color="auto" w:fill="FFFFFF"/>
        </w:rPr>
        <w:t xml:space="preserve"> tríplice </w:t>
      </w:r>
      <w:r w:rsidR="00D83AC3" w:rsidRPr="007940C0">
        <w:rPr>
          <w:rFonts w:cs="Arial"/>
          <w:shd w:val="clear" w:color="auto" w:fill="FFFFFF"/>
        </w:rPr>
        <w:t xml:space="preserve">de </w:t>
      </w:r>
      <w:r w:rsidRPr="007940C0">
        <w:rPr>
          <w:rFonts w:cs="Arial"/>
          <w:shd w:val="clear" w:color="auto" w:fill="FFFFFF"/>
        </w:rPr>
        <w:t xml:space="preserve">tributos, a CPP – Contribuição Previdenciária Patronal (folha de salários), o ICMS e o ISS, este último, quando adotado o regime de recolhimento fixo. </w:t>
      </w:r>
    </w:p>
    <w:p w14:paraId="0AC2E279" w14:textId="0807016D" w:rsidR="00D735E0" w:rsidRPr="007940C0" w:rsidRDefault="00D735E0" w:rsidP="00D735E0">
      <w:pPr>
        <w:autoSpaceDE w:val="0"/>
        <w:autoSpaceDN w:val="0"/>
        <w:adjustRightInd w:val="0"/>
        <w:spacing w:after="120" w:line="360" w:lineRule="auto"/>
        <w:ind w:firstLine="567"/>
        <w:rPr>
          <w:rFonts w:cs="Arial"/>
          <w:shd w:val="clear" w:color="auto" w:fill="FFFFFF"/>
        </w:rPr>
      </w:pPr>
      <w:r w:rsidRPr="007940C0">
        <w:rPr>
          <w:rFonts w:cs="Arial"/>
          <w:shd w:val="clear" w:color="auto" w:fill="FFFFFF"/>
        </w:rPr>
        <w:t>Dentre as principais vantagens do Simples Nacional, está a simplificação na apuração dos impostos devidos</w:t>
      </w:r>
      <w:r w:rsidR="00BB235D" w:rsidRPr="007940C0">
        <w:rPr>
          <w:rFonts w:cs="Arial"/>
          <w:shd w:val="clear" w:color="auto" w:fill="FFFFFF"/>
        </w:rPr>
        <w:t xml:space="preserve">, sendo o </w:t>
      </w:r>
      <w:r w:rsidRPr="007940C0">
        <w:rPr>
          <w:rFonts w:cs="Arial"/>
          <w:shd w:val="clear" w:color="auto" w:fill="FFFFFF"/>
        </w:rPr>
        <w:t>recolhimento através de uma única “guia”, o DAS (Documento de Arrecadação do Simples Nacional).</w:t>
      </w:r>
    </w:p>
    <w:p w14:paraId="6C30D7DA" w14:textId="0FCE5A50" w:rsidR="00F86C69" w:rsidRPr="007940C0" w:rsidRDefault="00D735E0" w:rsidP="00D735E0">
      <w:pPr>
        <w:autoSpaceDE w:val="0"/>
        <w:autoSpaceDN w:val="0"/>
        <w:adjustRightInd w:val="0"/>
        <w:spacing w:after="120" w:line="360" w:lineRule="auto"/>
        <w:ind w:firstLine="567"/>
        <w:rPr>
          <w:rFonts w:cs="Arial"/>
          <w:shd w:val="clear" w:color="auto" w:fill="FFFFFF"/>
        </w:rPr>
      </w:pPr>
      <w:r w:rsidRPr="007940C0">
        <w:rPr>
          <w:rFonts w:cs="Arial"/>
          <w:shd w:val="clear" w:color="auto" w:fill="FFFFFF"/>
        </w:rPr>
        <w:t xml:space="preserve">Destaca-se que no Anexo VI do SN, deve-se levar em consideração na apuração do imposto devido e na comparação com os demais regimes de tributação para obtenção da menor carga tributária, o montante do faturamento das empresas e o montante gasto com a folha de pagamento, </w:t>
      </w:r>
      <w:r w:rsidR="00F86C69" w:rsidRPr="007940C0">
        <w:rPr>
          <w:rFonts w:cs="Arial"/>
          <w:shd w:val="clear" w:color="auto" w:fill="FFFFFF"/>
        </w:rPr>
        <w:t>pois</w:t>
      </w:r>
      <w:r w:rsidRPr="007940C0">
        <w:rPr>
          <w:rFonts w:cs="Arial"/>
          <w:shd w:val="clear" w:color="auto" w:fill="FFFFFF"/>
        </w:rPr>
        <w:t xml:space="preserve"> a parte da folha de pagamento é decisiva na opção pela forma de tributação menos onerosa. </w:t>
      </w:r>
    </w:p>
    <w:p w14:paraId="7D250BF7" w14:textId="64CFE223" w:rsidR="00D735E0" w:rsidRPr="007940C0" w:rsidRDefault="00F86C69" w:rsidP="00D735E0">
      <w:pPr>
        <w:autoSpaceDE w:val="0"/>
        <w:autoSpaceDN w:val="0"/>
        <w:adjustRightInd w:val="0"/>
        <w:spacing w:after="120" w:line="360" w:lineRule="auto"/>
        <w:ind w:firstLine="567"/>
        <w:rPr>
          <w:rFonts w:cs="Arial"/>
          <w:shd w:val="clear" w:color="auto" w:fill="FFFFFF"/>
        </w:rPr>
      </w:pPr>
      <w:r w:rsidRPr="007940C0">
        <w:rPr>
          <w:rFonts w:cs="Arial"/>
          <w:shd w:val="clear" w:color="auto" w:fill="FFFFFF"/>
        </w:rPr>
        <w:t>A apuração pelo Anexo VI do SN, de</w:t>
      </w:r>
      <w:r w:rsidR="00D735E0" w:rsidRPr="007940C0">
        <w:rPr>
          <w:rFonts w:cs="Arial"/>
          <w:shd w:val="clear" w:color="auto" w:fill="FFFFFF"/>
        </w:rPr>
        <w:t xml:space="preserve"> decorre d</w:t>
      </w:r>
      <w:r w:rsidRPr="007940C0">
        <w:rPr>
          <w:rFonts w:cs="Arial"/>
          <w:shd w:val="clear" w:color="auto" w:fill="FFFFFF"/>
        </w:rPr>
        <w:t>e uma</w:t>
      </w:r>
      <w:r w:rsidR="00D735E0" w:rsidRPr="007940C0">
        <w:rPr>
          <w:rFonts w:cs="Arial"/>
          <w:shd w:val="clear" w:color="auto" w:fill="FFFFFF"/>
        </w:rPr>
        <w:t xml:space="preserve"> metodologia de cálculo própria para o cálculo das Contribuições Patronais, sendo obtidas e devidas através dos montantes percentuais determinados pelo fator “</w:t>
      </w:r>
      <w:r w:rsidR="00D735E0" w:rsidRPr="007940C0">
        <w:rPr>
          <w:rFonts w:cs="Arial"/>
          <w:i/>
          <w:shd w:val="clear" w:color="auto" w:fill="FFFFFF"/>
        </w:rPr>
        <w:t>r</w:t>
      </w:r>
      <w:r w:rsidR="00D735E0" w:rsidRPr="007940C0">
        <w:rPr>
          <w:rFonts w:cs="Arial"/>
          <w:shd w:val="clear" w:color="auto" w:fill="FFFFFF"/>
        </w:rPr>
        <w:t>”</w:t>
      </w:r>
      <w:r w:rsidR="00D735E0" w:rsidRPr="007940C0">
        <w:rPr>
          <w:rFonts w:cs="Arial"/>
          <w:i/>
          <w:shd w:val="clear" w:color="auto" w:fill="FFFFFF"/>
        </w:rPr>
        <w:t>.</w:t>
      </w:r>
      <w:r w:rsidR="00D735E0" w:rsidRPr="007940C0">
        <w:rPr>
          <w:rFonts w:cs="Arial"/>
          <w:shd w:val="clear" w:color="auto" w:fill="FFFFFF"/>
        </w:rPr>
        <w:t xml:space="preserve"> No próximo tópico será evidenciado aspectos tributários do Lucro Presumido.</w:t>
      </w:r>
    </w:p>
    <w:p w14:paraId="1148F141" w14:textId="77777777" w:rsidR="00D735E0" w:rsidRPr="007940C0" w:rsidRDefault="00D735E0" w:rsidP="00D735E0">
      <w:pPr>
        <w:autoSpaceDE w:val="0"/>
        <w:autoSpaceDN w:val="0"/>
        <w:adjustRightInd w:val="0"/>
        <w:spacing w:after="120" w:line="360" w:lineRule="auto"/>
        <w:ind w:firstLine="567"/>
        <w:rPr>
          <w:rFonts w:cs="Arial"/>
          <w:shd w:val="clear" w:color="auto" w:fill="FFFFFF"/>
        </w:rPr>
      </w:pPr>
    </w:p>
    <w:p w14:paraId="365BFB18" w14:textId="77777777" w:rsidR="00D735E0" w:rsidRPr="007940C0" w:rsidRDefault="00D735E0" w:rsidP="00D735E0">
      <w:pPr>
        <w:autoSpaceDE w:val="0"/>
        <w:autoSpaceDN w:val="0"/>
        <w:adjustRightInd w:val="0"/>
        <w:spacing w:after="120" w:line="360" w:lineRule="auto"/>
        <w:rPr>
          <w:rFonts w:cs="Arial"/>
          <w:b/>
          <w:bCs/>
          <w:szCs w:val="24"/>
        </w:rPr>
      </w:pPr>
      <w:r w:rsidRPr="007940C0">
        <w:rPr>
          <w:rFonts w:cs="Arial"/>
          <w:b/>
          <w:bCs/>
          <w:szCs w:val="24"/>
        </w:rPr>
        <w:t>2.2 Lucro Presumido</w:t>
      </w:r>
    </w:p>
    <w:p w14:paraId="01BC8F34" w14:textId="77777777" w:rsidR="00D735E0" w:rsidRPr="007940C0" w:rsidRDefault="00D735E0" w:rsidP="00807E96">
      <w:pPr>
        <w:autoSpaceDE w:val="0"/>
        <w:autoSpaceDN w:val="0"/>
        <w:adjustRightInd w:val="0"/>
        <w:spacing w:line="360" w:lineRule="auto"/>
        <w:ind w:firstLine="567"/>
        <w:rPr>
          <w:rFonts w:cs="Arial"/>
          <w:szCs w:val="22"/>
        </w:rPr>
      </w:pPr>
      <w:r w:rsidRPr="007940C0">
        <w:rPr>
          <w:rFonts w:cs="Arial"/>
          <w:szCs w:val="22"/>
        </w:rPr>
        <w:t>O Decreto 3.000/1999 determina que o Lucro Presumido como um sistema de determinação de alíquotas pela presunção de lucro, que serão aplicadas à base de cálculo para cálculo de alguns tributos. Este sistema de apuração tributária possui limitações, tanto no que se refere às atividades e tipos de empresas, quanto no valor total do faturamento anual.</w:t>
      </w:r>
    </w:p>
    <w:p w14:paraId="39CE7C4E" w14:textId="77777777" w:rsidR="00D735E0" w:rsidRPr="007940C0" w:rsidRDefault="00D735E0" w:rsidP="00807E96">
      <w:pPr>
        <w:spacing w:line="360" w:lineRule="auto"/>
        <w:ind w:firstLine="567"/>
        <w:rPr>
          <w:rFonts w:cs="Arial"/>
          <w:szCs w:val="22"/>
        </w:rPr>
      </w:pPr>
      <w:r w:rsidRPr="007940C0">
        <w:rPr>
          <w:rFonts w:cs="Arial"/>
          <w:szCs w:val="22"/>
        </w:rPr>
        <w:t>O Lucro Presumido possui algumas limitações, em geral, as empresas obrigadas à forma de tributação do Lucro Real estão impedidas de optar pelo Lucro Presumido. De acordo com a Lei 9.718/1998 não podem optar por essa modalidade, mesmo que o faturamento esteja abaixo do limite, às empresas:</w:t>
      </w:r>
    </w:p>
    <w:p w14:paraId="4183A1F1" w14:textId="77777777" w:rsidR="00D735E0" w:rsidRPr="007940C0" w:rsidRDefault="00D735E0" w:rsidP="006C54F8">
      <w:pPr>
        <w:autoSpaceDE w:val="0"/>
        <w:autoSpaceDN w:val="0"/>
        <w:adjustRightInd w:val="0"/>
        <w:ind w:left="2268" w:firstLine="0"/>
        <w:rPr>
          <w:rFonts w:cs="Arial"/>
          <w:iCs/>
          <w:sz w:val="20"/>
        </w:rPr>
      </w:pPr>
      <w:r w:rsidRPr="007940C0">
        <w:rPr>
          <w:rFonts w:cs="Arial"/>
          <w:iCs/>
          <w:sz w:val="20"/>
        </w:rPr>
        <w:lastRenderedPageBreak/>
        <w:t>I - cuja receita total, no ano-calendário anterior seja superior ao limite de R$78.000.000,00 (quarenta e oito milhões de reais), ou proporcional ao número de meses do período, quando inferior a 12 (doze) meses;</w:t>
      </w:r>
    </w:p>
    <w:p w14:paraId="71E870B7" w14:textId="77777777" w:rsidR="00D735E0" w:rsidRPr="007940C0" w:rsidRDefault="00D735E0" w:rsidP="006C54F8">
      <w:pPr>
        <w:autoSpaceDE w:val="0"/>
        <w:autoSpaceDN w:val="0"/>
        <w:adjustRightInd w:val="0"/>
        <w:ind w:left="2268" w:firstLine="0"/>
        <w:rPr>
          <w:rFonts w:cs="Arial"/>
          <w:iCs/>
          <w:sz w:val="20"/>
        </w:rPr>
      </w:pPr>
      <w:r w:rsidRPr="007940C0">
        <w:rPr>
          <w:rFonts w:cs="Arial"/>
          <w:iCs/>
          <w:sz w:val="20"/>
        </w:rPr>
        <w:t xml:space="preserve"> II - cujas atividades sejam de bancos comerciais, bancos de investimentos, bancos de desenvolvimento, caixas econômicas, sociedades de crédito, financiamento e investimento, sociedades de crédito imobiliário, sociedades corretoras de títulos, valores mobiliários e câmbio, distribuidoras de títulos e valores mobiliários, empresas de arrendamento mercantil, cooperativas de crédito, empresas de seguros privados e de capitalização e entidades de previdência privada aberta; </w:t>
      </w:r>
    </w:p>
    <w:p w14:paraId="7D391855" w14:textId="77777777" w:rsidR="00D735E0" w:rsidRPr="007940C0" w:rsidRDefault="00D735E0" w:rsidP="006C54F8">
      <w:pPr>
        <w:autoSpaceDE w:val="0"/>
        <w:autoSpaceDN w:val="0"/>
        <w:adjustRightInd w:val="0"/>
        <w:ind w:left="2268" w:firstLine="0"/>
        <w:rPr>
          <w:rFonts w:cs="Arial"/>
          <w:iCs/>
          <w:sz w:val="20"/>
        </w:rPr>
      </w:pPr>
      <w:r w:rsidRPr="007940C0">
        <w:rPr>
          <w:rFonts w:cs="Arial"/>
          <w:iCs/>
          <w:sz w:val="20"/>
        </w:rPr>
        <w:t xml:space="preserve">III - que tiverem lucros, rendimentos ou ganhos de capitais oriundos do exterior; </w:t>
      </w:r>
    </w:p>
    <w:p w14:paraId="12677ED3" w14:textId="77777777" w:rsidR="00D735E0" w:rsidRPr="007940C0" w:rsidRDefault="00D735E0" w:rsidP="006C54F8">
      <w:pPr>
        <w:autoSpaceDE w:val="0"/>
        <w:autoSpaceDN w:val="0"/>
        <w:adjustRightInd w:val="0"/>
        <w:ind w:left="2268" w:firstLine="0"/>
        <w:rPr>
          <w:rFonts w:cs="Arial"/>
          <w:iCs/>
          <w:sz w:val="20"/>
        </w:rPr>
      </w:pPr>
      <w:r w:rsidRPr="007940C0">
        <w:rPr>
          <w:rFonts w:cs="Arial"/>
          <w:iCs/>
          <w:sz w:val="20"/>
        </w:rPr>
        <w:t xml:space="preserve">IV - que, autorizadas pela legislação tributária, usufruam de benefícios fiscais relativos à isenção ou redução do imposto; </w:t>
      </w:r>
    </w:p>
    <w:p w14:paraId="27792791" w14:textId="77777777" w:rsidR="00D735E0" w:rsidRPr="007940C0" w:rsidRDefault="00D735E0" w:rsidP="006C54F8">
      <w:pPr>
        <w:autoSpaceDE w:val="0"/>
        <w:autoSpaceDN w:val="0"/>
        <w:adjustRightInd w:val="0"/>
        <w:ind w:left="2268" w:firstLine="0"/>
        <w:rPr>
          <w:rFonts w:cs="Arial"/>
          <w:iCs/>
          <w:sz w:val="20"/>
        </w:rPr>
      </w:pPr>
      <w:r w:rsidRPr="007940C0">
        <w:rPr>
          <w:rFonts w:cs="Arial"/>
          <w:iCs/>
          <w:sz w:val="20"/>
        </w:rPr>
        <w:t xml:space="preserve">V - que, no decorrer do ano-calendário, tenham efetuado pagamento mensal pelo regime de estimativa, na forma do art. 2º da Lei nº 9.430, de 1996; </w:t>
      </w:r>
    </w:p>
    <w:p w14:paraId="6DEFA104" w14:textId="77777777" w:rsidR="00D735E0" w:rsidRPr="007940C0" w:rsidRDefault="00D735E0" w:rsidP="006C54F8">
      <w:pPr>
        <w:autoSpaceDE w:val="0"/>
        <w:autoSpaceDN w:val="0"/>
        <w:adjustRightInd w:val="0"/>
        <w:ind w:left="2268" w:firstLine="0"/>
        <w:rPr>
          <w:rFonts w:cs="Arial"/>
          <w:iCs/>
          <w:sz w:val="20"/>
        </w:rPr>
      </w:pPr>
      <w:r w:rsidRPr="007940C0">
        <w:rPr>
          <w:rFonts w:cs="Arial"/>
          <w:iCs/>
          <w:sz w:val="20"/>
        </w:rPr>
        <w:t>VI - que explorem as atividades de prestação cumulativa e contínua de serviços de assessoria creditícia, mercadológica, gestão de crédito, seleção e riscos, administração de contas a pagar e a receber, compras de direitos creditórios resultantes de vendas mercantis a prazo ou de prestação de serviços (</w:t>
      </w:r>
      <w:proofErr w:type="spellStart"/>
      <w:r w:rsidRPr="007940C0">
        <w:rPr>
          <w:rFonts w:cs="Arial"/>
          <w:iCs/>
          <w:sz w:val="20"/>
        </w:rPr>
        <w:t>factoring</w:t>
      </w:r>
      <w:proofErr w:type="spellEnd"/>
      <w:r w:rsidRPr="007940C0">
        <w:rPr>
          <w:rFonts w:cs="Arial"/>
          <w:iCs/>
          <w:sz w:val="20"/>
        </w:rPr>
        <w:t>). VII - que explorem as atividades de securitização de créditos imobiliários, financeiros e do agronegócio.</w:t>
      </w:r>
    </w:p>
    <w:p w14:paraId="1D011143" w14:textId="77777777" w:rsidR="00D735E0" w:rsidRPr="007940C0" w:rsidRDefault="00D735E0" w:rsidP="00D735E0">
      <w:pPr>
        <w:spacing w:after="120"/>
        <w:ind w:left="2268"/>
        <w:rPr>
          <w:rFonts w:cs="Arial"/>
          <w:sz w:val="20"/>
        </w:rPr>
      </w:pPr>
    </w:p>
    <w:p w14:paraId="4D000617" w14:textId="63415D09" w:rsidR="00D735E0" w:rsidRPr="007940C0" w:rsidRDefault="00D735E0" w:rsidP="00D735E0">
      <w:pPr>
        <w:autoSpaceDE w:val="0"/>
        <w:autoSpaceDN w:val="0"/>
        <w:adjustRightInd w:val="0"/>
        <w:spacing w:after="120" w:line="360" w:lineRule="auto"/>
        <w:ind w:firstLine="567"/>
        <w:rPr>
          <w:rFonts w:cs="Arial"/>
          <w:szCs w:val="22"/>
        </w:rPr>
      </w:pPr>
      <w:r w:rsidRPr="007940C0">
        <w:rPr>
          <w:rFonts w:cs="Arial"/>
          <w:szCs w:val="22"/>
        </w:rPr>
        <w:t>As empresas que não estiverem obrigadas ao lucro real, poderão optar pelo lucro presumido</w:t>
      </w:r>
      <w:r w:rsidR="009C563B" w:rsidRPr="007940C0">
        <w:rPr>
          <w:rFonts w:cs="Arial"/>
          <w:szCs w:val="22"/>
        </w:rPr>
        <w:t>,</w:t>
      </w:r>
      <w:r w:rsidRPr="007940C0">
        <w:rPr>
          <w:rFonts w:cs="Arial"/>
          <w:szCs w:val="22"/>
        </w:rPr>
        <w:t xml:space="preserve"> </w:t>
      </w:r>
      <w:r w:rsidR="009C563B" w:rsidRPr="007940C0">
        <w:rPr>
          <w:rFonts w:cs="Arial"/>
          <w:szCs w:val="22"/>
        </w:rPr>
        <w:t>c</w:t>
      </w:r>
      <w:r w:rsidRPr="007940C0">
        <w:rPr>
          <w:rFonts w:cs="Arial"/>
          <w:szCs w:val="22"/>
        </w:rPr>
        <w:t xml:space="preserve">om base na Lei 9.718/1998, a partir do ano calendário de 1999, a opção por este critério é definitiva e será aplicada em todo período de atividade da empresa em cada ano-calendário </w:t>
      </w:r>
      <w:r w:rsidR="009C563B" w:rsidRPr="007940C0">
        <w:rPr>
          <w:rFonts w:cs="Arial"/>
          <w:szCs w:val="22"/>
        </w:rPr>
        <w:t>sendo</w:t>
      </w:r>
      <w:r w:rsidRPr="007940C0">
        <w:rPr>
          <w:rFonts w:cs="Arial"/>
          <w:szCs w:val="22"/>
        </w:rPr>
        <w:t xml:space="preserve"> manifestad</w:t>
      </w:r>
      <w:r w:rsidR="009C563B" w:rsidRPr="007940C0">
        <w:rPr>
          <w:rFonts w:cs="Arial"/>
          <w:szCs w:val="22"/>
        </w:rPr>
        <w:t>o</w:t>
      </w:r>
      <w:r w:rsidRPr="007940C0">
        <w:rPr>
          <w:rFonts w:cs="Arial"/>
          <w:szCs w:val="22"/>
        </w:rPr>
        <w:t xml:space="preserve"> com o pagamento da primeira ou única quota de imposto devido correspondente ao primeiro período de apuração.</w:t>
      </w:r>
    </w:p>
    <w:p w14:paraId="14F67687" w14:textId="68F99BAA" w:rsidR="00D735E0" w:rsidRPr="007940C0" w:rsidRDefault="008419D8" w:rsidP="00D735E0">
      <w:pPr>
        <w:autoSpaceDE w:val="0"/>
        <w:autoSpaceDN w:val="0"/>
        <w:adjustRightInd w:val="0"/>
        <w:spacing w:after="120" w:line="360" w:lineRule="auto"/>
        <w:ind w:firstLine="567"/>
        <w:rPr>
          <w:rFonts w:cs="Arial"/>
          <w:szCs w:val="22"/>
        </w:rPr>
      </w:pPr>
      <w:r w:rsidRPr="007940C0">
        <w:rPr>
          <w:rFonts w:cs="Arial"/>
          <w:szCs w:val="22"/>
        </w:rPr>
        <w:t xml:space="preserve">A </w:t>
      </w:r>
      <w:r w:rsidR="00D735E0" w:rsidRPr="007940C0">
        <w:rPr>
          <w:rFonts w:cs="Arial"/>
          <w:szCs w:val="22"/>
        </w:rPr>
        <w:t>Contribuição Social sobre o Lucro Líquido (CSLL) é determinada a partir de um percentual de presunção sobre o valor do faturamento trimestral da empresa, que varia de acordo com a atividade. Já o Imposto de Renda da Pessoa Jurídica (IRPJ), Pinto (2012)</w:t>
      </w:r>
      <w:r w:rsidR="00FA0C59" w:rsidRPr="007940C0">
        <w:rPr>
          <w:rFonts w:cs="Arial"/>
          <w:szCs w:val="22"/>
        </w:rPr>
        <w:t>,</w:t>
      </w:r>
      <w:r w:rsidR="00D735E0" w:rsidRPr="007940C0">
        <w:rPr>
          <w:rFonts w:cs="Arial"/>
          <w:szCs w:val="22"/>
        </w:rPr>
        <w:t xml:space="preserve"> em um breve resumo, destaca que a base de cálculo do</w:t>
      </w:r>
      <w:r w:rsidR="00FA0C59" w:rsidRPr="007940C0">
        <w:rPr>
          <w:rFonts w:cs="Arial"/>
          <w:szCs w:val="22"/>
        </w:rPr>
        <w:t xml:space="preserve"> IPRJ</w:t>
      </w:r>
      <w:r w:rsidR="00D735E0" w:rsidRPr="007940C0">
        <w:rPr>
          <w:rFonts w:cs="Arial"/>
          <w:szCs w:val="22"/>
        </w:rPr>
        <w:t xml:space="preserve"> é determinada por percentuais aplicáveis sobre a receita bruta, variando de 1,6% </w:t>
      </w:r>
      <w:r w:rsidR="00FA0C59" w:rsidRPr="007940C0">
        <w:rPr>
          <w:rFonts w:cs="Arial"/>
          <w:szCs w:val="22"/>
        </w:rPr>
        <w:t>à</w:t>
      </w:r>
      <w:r w:rsidR="00D735E0" w:rsidRPr="007940C0">
        <w:rPr>
          <w:rFonts w:cs="Arial"/>
          <w:szCs w:val="22"/>
        </w:rPr>
        <w:t xml:space="preserve"> 32% dependendo da atividade da empresa. </w:t>
      </w:r>
    </w:p>
    <w:p w14:paraId="4D65237D" w14:textId="028C0515" w:rsidR="00D735E0" w:rsidRPr="007940C0" w:rsidRDefault="00D735E0" w:rsidP="00D735E0">
      <w:pPr>
        <w:autoSpaceDE w:val="0"/>
        <w:autoSpaceDN w:val="0"/>
        <w:adjustRightInd w:val="0"/>
        <w:spacing w:after="120" w:line="360" w:lineRule="auto"/>
        <w:ind w:firstLine="567"/>
        <w:rPr>
          <w:rFonts w:cs="Arial"/>
          <w:szCs w:val="22"/>
        </w:rPr>
      </w:pPr>
      <w:r w:rsidRPr="007940C0">
        <w:rPr>
          <w:rFonts w:cs="Arial"/>
          <w:szCs w:val="22"/>
        </w:rPr>
        <w:t>Depois de calculada a presunção do lucro, são calculados o IRPJ e a CSLL, às alíquotas de 15% e 9%, respectivamente. Sobre o excedente a R$ 60.000,00 de presunção de lucro trimestral, é calculado, caso necessário, o adicional de IRPJ, à alíquota de 10%.</w:t>
      </w:r>
      <w:r w:rsidR="00FA0C59" w:rsidRPr="007940C0">
        <w:rPr>
          <w:rFonts w:cs="Arial"/>
          <w:szCs w:val="22"/>
        </w:rPr>
        <w:t xml:space="preserve"> </w:t>
      </w:r>
      <w:r w:rsidRPr="007940C0">
        <w:rPr>
          <w:rFonts w:cs="Arial"/>
          <w:szCs w:val="22"/>
        </w:rPr>
        <w:t>Já as contribuições para o Programa de Integração Social (PIS) e a Contribuição para o Financiamento da Seguridade Social (COFINS), são calculados sobre o faturamento mensal da empresa, com as alíquotas de 3% e 0,65%, respectivamente e sem a presunção determinadas para o IRP</w:t>
      </w:r>
      <w:r w:rsidR="00FA0C59" w:rsidRPr="007940C0">
        <w:rPr>
          <w:rFonts w:cs="Arial"/>
          <w:szCs w:val="22"/>
        </w:rPr>
        <w:t>J</w:t>
      </w:r>
      <w:r w:rsidRPr="007940C0">
        <w:rPr>
          <w:rFonts w:cs="Arial"/>
          <w:szCs w:val="22"/>
        </w:rPr>
        <w:t xml:space="preserve"> e CSLL.</w:t>
      </w:r>
    </w:p>
    <w:p w14:paraId="3C0F54A4" w14:textId="65FCD038" w:rsidR="00D735E0" w:rsidRPr="007940C0" w:rsidRDefault="00D735E0" w:rsidP="00D735E0">
      <w:pPr>
        <w:autoSpaceDE w:val="0"/>
        <w:autoSpaceDN w:val="0"/>
        <w:adjustRightInd w:val="0"/>
        <w:spacing w:after="120" w:line="360" w:lineRule="auto"/>
        <w:ind w:firstLine="567"/>
        <w:rPr>
          <w:rFonts w:cs="Arial"/>
          <w:szCs w:val="22"/>
        </w:rPr>
      </w:pPr>
      <w:r w:rsidRPr="007940C0">
        <w:rPr>
          <w:rFonts w:cs="Arial"/>
          <w:szCs w:val="22"/>
        </w:rPr>
        <w:lastRenderedPageBreak/>
        <w:t>Conforme a atividade econômica de cada empresa, tem-se tributos que não são unificados, sendo apurados e devidos à esfera competente. No caso de prestadora de serviços, ainda é devido o ISS, Imposto Sobre Serviço de qualquer natureza, de competência municipal, regulamentado pela Lei Complementar 116/2003 fixa a alíquota mínima do ISS em 2% e máxima em 5%</w:t>
      </w:r>
      <w:r w:rsidR="001E2774" w:rsidRPr="007940C0">
        <w:rPr>
          <w:rFonts w:cs="Arial"/>
          <w:szCs w:val="22"/>
        </w:rPr>
        <w:t>,</w:t>
      </w:r>
      <w:r w:rsidRPr="007940C0">
        <w:rPr>
          <w:rFonts w:cs="Arial"/>
          <w:szCs w:val="22"/>
        </w:rPr>
        <w:t xml:space="preserve"> cabe</w:t>
      </w:r>
      <w:r w:rsidR="001E2774" w:rsidRPr="007940C0">
        <w:rPr>
          <w:rFonts w:cs="Arial"/>
          <w:szCs w:val="22"/>
        </w:rPr>
        <w:t>ndo</w:t>
      </w:r>
      <w:r w:rsidRPr="007940C0">
        <w:rPr>
          <w:rFonts w:cs="Arial"/>
          <w:szCs w:val="22"/>
        </w:rPr>
        <w:t xml:space="preserve"> aos municípios distinguir variação da alíquota por tipo de serviço. No próximo tópico será determinado os procedimentos metodológicos para a pesquisa.</w:t>
      </w:r>
    </w:p>
    <w:p w14:paraId="3694D61F" w14:textId="77777777" w:rsidR="00E24E18" w:rsidRPr="007940C0" w:rsidRDefault="00E24E18" w:rsidP="00E24E18">
      <w:pPr>
        <w:spacing w:line="360" w:lineRule="auto"/>
        <w:rPr>
          <w:rFonts w:cs="Arial"/>
          <w:szCs w:val="22"/>
        </w:rPr>
      </w:pPr>
    </w:p>
    <w:p w14:paraId="06E721FB" w14:textId="3A24A136" w:rsidR="00E24E18" w:rsidRDefault="0018656B" w:rsidP="00E24E18">
      <w:pPr>
        <w:pStyle w:val="Ttulo1"/>
        <w:spacing w:before="0" w:after="0" w:line="360" w:lineRule="auto"/>
        <w:ind w:left="432" w:hanging="432"/>
        <w:rPr>
          <w:rFonts w:cs="Arial"/>
          <w:szCs w:val="22"/>
        </w:rPr>
      </w:pPr>
      <w:r w:rsidRPr="0018656B">
        <w:rPr>
          <w:rFonts w:cs="Arial"/>
          <w:szCs w:val="22"/>
        </w:rPr>
        <w:t>METODOLOGIA DA PESQUISA</w:t>
      </w:r>
    </w:p>
    <w:p w14:paraId="44A3F47A" w14:textId="77777777" w:rsidR="001370F5" w:rsidRPr="001370F5" w:rsidRDefault="001370F5" w:rsidP="001370F5">
      <w:pPr>
        <w:rPr>
          <w:lang w:val="x-none" w:eastAsia="x-none"/>
        </w:rPr>
      </w:pPr>
    </w:p>
    <w:p w14:paraId="713D43F2"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A presente pesquisa classifica-se como descritiva e com enfoque quantitativo, uma vez que tem por objetivo analisar o conhecimento dos estudantes da 7º e 8º fase do curso de ciências contábeis de universidades federais e municipais da região metropolitana da grande Florianópolis, referente aos aspectos tributários do Simples Nacional do anexo VI frente ao Lucro Presumido. Para Cervo, </w:t>
      </w:r>
      <w:proofErr w:type="spellStart"/>
      <w:r w:rsidRPr="007940C0">
        <w:rPr>
          <w:rFonts w:cs="Arial"/>
          <w:szCs w:val="22"/>
        </w:rPr>
        <w:t>Bervian</w:t>
      </w:r>
      <w:proofErr w:type="spellEnd"/>
      <w:r w:rsidRPr="007940C0">
        <w:rPr>
          <w:rFonts w:cs="Arial"/>
          <w:szCs w:val="22"/>
        </w:rPr>
        <w:t xml:space="preserve"> e Silva (2007), a pesquisa descritiva faz a correlação sem manipular os fatos, buscando, por meio de variáveis como observação, registro e análise, alcançar maior precisão de um fato.</w:t>
      </w:r>
    </w:p>
    <w:p w14:paraId="56649EB6" w14:textId="2ECCF12D" w:rsidR="00D90E6B" w:rsidRPr="007940C0" w:rsidRDefault="00D90E6B" w:rsidP="00D90E6B">
      <w:pPr>
        <w:autoSpaceDE w:val="0"/>
        <w:autoSpaceDN w:val="0"/>
        <w:adjustRightInd w:val="0"/>
        <w:spacing w:line="360" w:lineRule="auto"/>
        <w:ind w:firstLine="851"/>
        <w:rPr>
          <w:rStyle w:val="apple-converted-space"/>
          <w:rFonts w:cs="Arial"/>
          <w:szCs w:val="22"/>
          <w:shd w:val="clear" w:color="auto" w:fill="FFFFFF"/>
        </w:rPr>
      </w:pPr>
      <w:r w:rsidRPr="007940C0">
        <w:rPr>
          <w:rFonts w:cs="Arial"/>
          <w:szCs w:val="22"/>
        </w:rPr>
        <w:t xml:space="preserve">Conforme Klein et al. (2015, p. 88) “dados quantitativos são aqueles que originalmente estão na forma numérica [...] e também aqueles coletados por meio de questões fechadas e questionários e convertidos em dados numéricos”, </w:t>
      </w:r>
      <w:r w:rsidRPr="007940C0">
        <w:rPr>
          <w:rFonts w:cs="Arial"/>
          <w:szCs w:val="22"/>
          <w:shd w:val="clear" w:color="auto" w:fill="FFFFFF"/>
        </w:rPr>
        <w:t xml:space="preserve">Nesta pesquisa utilizou-se uma escala </w:t>
      </w:r>
      <w:r w:rsidRPr="007940C0">
        <w:rPr>
          <w:rFonts w:cs="Arial"/>
          <w:i/>
          <w:szCs w:val="22"/>
          <w:shd w:val="clear" w:color="auto" w:fill="FFFFFF"/>
        </w:rPr>
        <w:t>Likert</w:t>
      </w:r>
      <w:r w:rsidRPr="007940C0">
        <w:rPr>
          <w:rFonts w:cs="Arial"/>
          <w:szCs w:val="22"/>
          <w:shd w:val="clear" w:color="auto" w:fill="FFFFFF"/>
        </w:rPr>
        <w:t xml:space="preserve"> de sete pontos, variando de discordo totalmente (1) e concordo totalmente (7), visto que quanto maior for a escala de pontuação, maior será a exatidão na extração da percepção do indivíduos quanto a concordância com a assertiva </w:t>
      </w:r>
      <w:r w:rsidRPr="007940C0">
        <w:rPr>
          <w:rFonts w:cs="Arial"/>
          <w:szCs w:val="22"/>
        </w:rPr>
        <w:t>(HAIR et al., 2005).</w:t>
      </w:r>
    </w:p>
    <w:p w14:paraId="6D29996F" w14:textId="074D165B"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Para a coleta dos dados, aplicou-se um questionário aos alunos do curso de graduação em Ciências Contábeis da Universidade Federal de Santa Catarina e </w:t>
      </w:r>
      <w:r w:rsidR="003323FE">
        <w:rPr>
          <w:rFonts w:cs="Arial"/>
          <w:szCs w:val="22"/>
        </w:rPr>
        <w:t>da Universidade Municipal de São José</w:t>
      </w:r>
      <w:r w:rsidRPr="007940C0">
        <w:rPr>
          <w:rFonts w:cs="Arial"/>
          <w:szCs w:val="22"/>
        </w:rPr>
        <w:t>, situados em municípios distintos. Os questionários impressos foram respondidos por alunos matriculados da 7º e 8º Fase, em seus locais de estudo, sendo a amostra pesquisada definida por acessibilidade.</w:t>
      </w:r>
    </w:p>
    <w:p w14:paraId="6FF0380C" w14:textId="6A354935"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O instrumento de pesquisa utilizado foi validado por meio de um pré-teste</w:t>
      </w:r>
      <w:r w:rsidR="001C0C25">
        <w:rPr>
          <w:rFonts w:cs="Arial"/>
          <w:szCs w:val="22"/>
        </w:rPr>
        <w:t>, visando</w:t>
      </w:r>
      <w:r w:rsidRPr="007940C0">
        <w:rPr>
          <w:rFonts w:cs="Arial"/>
          <w:szCs w:val="22"/>
        </w:rPr>
        <w:t xml:space="preserve"> analisar se as assertivas medem o que foi proposto no objetivo da pesquisa, bem como sua confiabilidade interna. Deste modo observou-se os preceitos de </w:t>
      </w:r>
      <w:proofErr w:type="spellStart"/>
      <w:r w:rsidRPr="007940C0">
        <w:rPr>
          <w:rFonts w:cs="Arial"/>
          <w:szCs w:val="22"/>
        </w:rPr>
        <w:t>Lakatos</w:t>
      </w:r>
      <w:proofErr w:type="spellEnd"/>
      <w:r w:rsidRPr="007940C0">
        <w:rPr>
          <w:rFonts w:cs="Arial"/>
          <w:szCs w:val="22"/>
        </w:rPr>
        <w:t xml:space="preserve"> e Marconi (2010) para quantidade de respondentes necessários para realização do pré-teste e as definições de </w:t>
      </w:r>
      <w:proofErr w:type="spellStart"/>
      <w:r w:rsidRPr="007940C0">
        <w:rPr>
          <w:rFonts w:cs="Arial"/>
          <w:szCs w:val="22"/>
        </w:rPr>
        <w:t>Hair</w:t>
      </w:r>
      <w:proofErr w:type="spellEnd"/>
      <w:r w:rsidRPr="007940C0">
        <w:rPr>
          <w:rFonts w:cs="Arial"/>
          <w:szCs w:val="22"/>
        </w:rPr>
        <w:t xml:space="preserve"> </w:t>
      </w:r>
      <w:r w:rsidRPr="007940C0">
        <w:rPr>
          <w:rFonts w:cs="Arial"/>
          <w:szCs w:val="22"/>
        </w:rPr>
        <w:lastRenderedPageBreak/>
        <w:t xml:space="preserve">Jr. et al., (2009) quanto a validade interna medida pelo </w:t>
      </w:r>
      <w:r w:rsidRPr="007940C0">
        <w:rPr>
          <w:rFonts w:cs="Arial"/>
          <w:i/>
          <w:szCs w:val="22"/>
        </w:rPr>
        <w:t>Alpha de Crombach</w:t>
      </w:r>
      <w:r w:rsidRPr="007940C0">
        <w:rPr>
          <w:rFonts w:cs="Arial"/>
          <w:szCs w:val="22"/>
        </w:rPr>
        <w:t>.</w:t>
      </w:r>
    </w:p>
    <w:p w14:paraId="6DA326F5" w14:textId="3E9EE2F8"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 Nesta perspectiva excluiu-se a Questão 02 e a 04 do instrumento de pesquisa por fragilizar a validade interna do constructo. Após a exclusão </w:t>
      </w:r>
      <w:r w:rsidR="001C0C25">
        <w:rPr>
          <w:rFonts w:cs="Arial"/>
          <w:szCs w:val="22"/>
        </w:rPr>
        <w:t xml:space="preserve">das alternativas, </w:t>
      </w:r>
      <w:r w:rsidRPr="007940C0">
        <w:rPr>
          <w:rFonts w:cs="Arial"/>
          <w:szCs w:val="22"/>
        </w:rPr>
        <w:t>as definições</w:t>
      </w:r>
      <w:r w:rsidR="001C0C25">
        <w:rPr>
          <w:rFonts w:cs="Arial"/>
          <w:szCs w:val="22"/>
        </w:rPr>
        <w:t xml:space="preserve"> de</w:t>
      </w:r>
      <w:r w:rsidRPr="007940C0">
        <w:rPr>
          <w:rFonts w:cs="Arial"/>
          <w:szCs w:val="22"/>
        </w:rPr>
        <w:t xml:space="preserve"> </w:t>
      </w:r>
      <w:proofErr w:type="spellStart"/>
      <w:r w:rsidRPr="007940C0">
        <w:rPr>
          <w:rFonts w:cs="Arial"/>
          <w:szCs w:val="22"/>
        </w:rPr>
        <w:t>Hair</w:t>
      </w:r>
      <w:proofErr w:type="spellEnd"/>
      <w:r w:rsidRPr="007940C0">
        <w:rPr>
          <w:rFonts w:cs="Arial"/>
          <w:szCs w:val="22"/>
        </w:rPr>
        <w:t xml:space="preserve"> Jr. et al., (2009) para o </w:t>
      </w:r>
      <w:r w:rsidRPr="007940C0">
        <w:rPr>
          <w:rFonts w:cs="Arial"/>
          <w:i/>
          <w:szCs w:val="22"/>
        </w:rPr>
        <w:t>Alpha de Crombach</w:t>
      </w:r>
      <w:r w:rsidRPr="007940C0">
        <w:rPr>
          <w:rFonts w:cs="Arial"/>
          <w:szCs w:val="22"/>
        </w:rPr>
        <w:t xml:space="preserve"> foram alcançadas, sendo o validado o instrumento de pesquisa para aplicação a amostra.</w:t>
      </w:r>
    </w:p>
    <w:p w14:paraId="271A75EC"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Obteve-se um total de 106 respondentes, sendo 76 da instituição Federal e 30 da Municipal. A análise quantitativa foi feita com base nas seguintes análises: descritiva, frequência, Teste </w:t>
      </w:r>
      <w:r w:rsidRPr="007940C0">
        <w:rPr>
          <w:rFonts w:cs="Arial"/>
          <w:i/>
          <w:szCs w:val="22"/>
        </w:rPr>
        <w:t>t-Student</w:t>
      </w:r>
      <w:r w:rsidRPr="007940C0">
        <w:rPr>
          <w:rFonts w:cs="Arial"/>
          <w:szCs w:val="22"/>
        </w:rPr>
        <w:t xml:space="preserve"> para amostras independentes e Teste de Mann-Whitney para confirmar os achados no Teste </w:t>
      </w:r>
      <w:r w:rsidRPr="007940C0">
        <w:rPr>
          <w:rFonts w:cs="Arial"/>
          <w:i/>
          <w:szCs w:val="22"/>
        </w:rPr>
        <w:t>t-Student</w:t>
      </w:r>
      <w:r w:rsidRPr="007940C0">
        <w:rPr>
          <w:rFonts w:cs="Arial"/>
          <w:szCs w:val="22"/>
        </w:rPr>
        <w:t xml:space="preserve">. Ressalta-se que foi excluído um respondente da instituição Federal por configurar-se como </w:t>
      </w:r>
      <w:r w:rsidRPr="007940C0">
        <w:rPr>
          <w:rFonts w:cs="Arial"/>
          <w:i/>
          <w:szCs w:val="22"/>
        </w:rPr>
        <w:t>Outleir</w:t>
      </w:r>
      <w:r w:rsidRPr="007940C0">
        <w:rPr>
          <w:rFonts w:cs="Arial"/>
          <w:szCs w:val="22"/>
        </w:rPr>
        <w:t>, sendo a amostra final de 105 respondentes, sendo 75 da instituição Federal e 30 da Municipal.</w:t>
      </w:r>
    </w:p>
    <w:p w14:paraId="3D2AAE62"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No próximo tópico serão apresentados os resultados e a discussão dos resultados da pesquisa.</w:t>
      </w:r>
    </w:p>
    <w:p w14:paraId="603987BE" w14:textId="77777777" w:rsidR="00E24E18" w:rsidRPr="007940C0" w:rsidRDefault="00E24E18" w:rsidP="00E24E18">
      <w:pPr>
        <w:spacing w:line="360" w:lineRule="auto"/>
        <w:rPr>
          <w:rFonts w:cs="Arial"/>
          <w:szCs w:val="22"/>
          <w:shd w:val="clear" w:color="auto" w:fill="FFFFFF"/>
        </w:rPr>
      </w:pPr>
    </w:p>
    <w:p w14:paraId="5D32366D" w14:textId="62B69677" w:rsidR="00E24E18" w:rsidRPr="007940C0" w:rsidRDefault="00E24E18" w:rsidP="002056D7">
      <w:pPr>
        <w:pStyle w:val="Ttulo1"/>
        <w:spacing w:before="0" w:after="0" w:line="360" w:lineRule="auto"/>
        <w:ind w:left="432" w:hanging="432"/>
        <w:rPr>
          <w:rFonts w:cs="Arial"/>
          <w:szCs w:val="22"/>
        </w:rPr>
      </w:pPr>
      <w:r w:rsidRPr="007940C0">
        <w:rPr>
          <w:rFonts w:cs="Arial"/>
          <w:szCs w:val="22"/>
        </w:rPr>
        <w:t xml:space="preserve">APRESENTAÇÃO E DISCUSSÃO DOS RESULTADOS </w:t>
      </w:r>
    </w:p>
    <w:p w14:paraId="7C5B38B9" w14:textId="77777777" w:rsidR="00D90E6B" w:rsidRPr="007940C0" w:rsidRDefault="00D90E6B" w:rsidP="00D90E6B">
      <w:pPr>
        <w:rPr>
          <w:rFonts w:cs="Arial"/>
          <w:b/>
          <w:szCs w:val="22"/>
        </w:rPr>
      </w:pPr>
    </w:p>
    <w:p w14:paraId="529C1C0C"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Neste tópico apresenta-se a descrição e análise dos resultados obtidos sendo apresentado a análise descritiva e de frequência das respostas, bem como os resultados dos testes</w:t>
      </w:r>
      <w:r w:rsidRPr="007940C0">
        <w:rPr>
          <w:rFonts w:cs="Arial"/>
          <w:i/>
          <w:szCs w:val="22"/>
        </w:rPr>
        <w:t xml:space="preserve"> t-Student </w:t>
      </w:r>
      <w:r w:rsidRPr="007940C0">
        <w:rPr>
          <w:rFonts w:cs="Arial"/>
          <w:szCs w:val="22"/>
        </w:rPr>
        <w:t>e de Mann-Whitney para identificar se há diferenças no conhecimento dos estudantes da 7º e 8º fase do curso de ciências contábeis de universidades federais e municipais da região metropolitana da grande Florianópolis, referente aos aspectos tributários do Simples Nacional do anexo VI frente ao Lucro Presumido.</w:t>
      </w:r>
    </w:p>
    <w:p w14:paraId="49ECE887" w14:textId="77777777" w:rsidR="00D90E6B" w:rsidRPr="007940C0" w:rsidRDefault="00D90E6B" w:rsidP="00D90E6B">
      <w:pPr>
        <w:autoSpaceDE w:val="0"/>
        <w:autoSpaceDN w:val="0"/>
        <w:adjustRightInd w:val="0"/>
        <w:spacing w:after="120" w:line="360" w:lineRule="auto"/>
        <w:ind w:firstLine="567"/>
        <w:rPr>
          <w:rFonts w:cs="Arial"/>
        </w:rPr>
      </w:pPr>
    </w:p>
    <w:p w14:paraId="20A159AA" w14:textId="77777777" w:rsidR="00D90E6B" w:rsidRPr="007940C0" w:rsidRDefault="00D90E6B" w:rsidP="00D90E6B">
      <w:pPr>
        <w:spacing w:line="360" w:lineRule="auto"/>
        <w:rPr>
          <w:rFonts w:cs="Arial"/>
          <w:b/>
          <w:bCs/>
          <w:szCs w:val="22"/>
        </w:rPr>
      </w:pPr>
      <w:r w:rsidRPr="007940C0">
        <w:rPr>
          <w:rFonts w:cs="Arial"/>
          <w:b/>
          <w:bCs/>
        </w:rPr>
        <w:t>4.</w:t>
      </w:r>
      <w:r w:rsidRPr="007940C0">
        <w:rPr>
          <w:rFonts w:cs="Arial"/>
          <w:b/>
          <w:bCs/>
          <w:szCs w:val="22"/>
        </w:rPr>
        <w:t>1. Análise descritiva e de Frequência</w:t>
      </w:r>
    </w:p>
    <w:p w14:paraId="46E38B05" w14:textId="76C08EFA"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Esta etapa da pesquisa demonstra </w:t>
      </w:r>
      <w:r w:rsidR="007940C0">
        <w:rPr>
          <w:rFonts w:cs="Arial"/>
          <w:szCs w:val="22"/>
        </w:rPr>
        <w:t>a</w:t>
      </w:r>
      <w:r w:rsidRPr="007940C0">
        <w:rPr>
          <w:rFonts w:cs="Arial"/>
          <w:szCs w:val="22"/>
        </w:rPr>
        <w:t xml:space="preserve"> análise descritiva dos resultados obtidos pelo instrumento de pesquisa, sendo evidenciado o intervalo teórico, intervalo real, média, mediana, desvio-padrão e frequência das respostas. Para tanto, observa-se a Tabela 01</w:t>
      </w:r>
      <w:r w:rsidR="007940C0">
        <w:rPr>
          <w:rFonts w:cs="Arial"/>
          <w:szCs w:val="22"/>
        </w:rPr>
        <w:t>.</w:t>
      </w:r>
    </w:p>
    <w:p w14:paraId="132DAA1D" w14:textId="77777777" w:rsidR="00807E96" w:rsidRPr="007940C0" w:rsidRDefault="00807E96" w:rsidP="00D90E6B">
      <w:pPr>
        <w:autoSpaceDE w:val="0"/>
        <w:autoSpaceDN w:val="0"/>
        <w:adjustRightInd w:val="0"/>
        <w:spacing w:line="360" w:lineRule="auto"/>
        <w:ind w:firstLine="851"/>
        <w:rPr>
          <w:rFonts w:cs="Arial"/>
        </w:rPr>
      </w:pPr>
    </w:p>
    <w:p w14:paraId="2259234C" w14:textId="77777777" w:rsidR="00D90E6B" w:rsidRPr="007940C0" w:rsidRDefault="00D90E6B" w:rsidP="00D90E6B">
      <w:pPr>
        <w:pStyle w:val="Tabela"/>
        <w:spacing w:before="0"/>
      </w:pPr>
      <w:bookmarkStart w:id="1" w:name="_Toc476321307"/>
      <w:r w:rsidRPr="007940C0">
        <w:t xml:space="preserve">Tabela 1 - Análise descritiva dos dados </w:t>
      </w:r>
      <w:bookmarkEnd w:id="1"/>
    </w:p>
    <w:tbl>
      <w:tblPr>
        <w:tblW w:w="5000" w:type="pct"/>
        <w:jc w:val="center"/>
        <w:tblLayout w:type="fixed"/>
        <w:tblCellMar>
          <w:left w:w="70" w:type="dxa"/>
          <w:right w:w="70" w:type="dxa"/>
        </w:tblCellMar>
        <w:tblLook w:val="04A0" w:firstRow="1" w:lastRow="0" w:firstColumn="1" w:lastColumn="0" w:noHBand="0" w:noVBand="1"/>
      </w:tblPr>
      <w:tblGrid>
        <w:gridCol w:w="5435"/>
        <w:gridCol w:w="882"/>
        <w:gridCol w:w="733"/>
        <w:gridCol w:w="735"/>
        <w:gridCol w:w="1027"/>
        <w:gridCol w:w="733"/>
      </w:tblGrid>
      <w:tr w:rsidR="00D90E6B" w:rsidRPr="007940C0" w14:paraId="0F2596AD" w14:textId="77777777" w:rsidTr="006A5420">
        <w:trPr>
          <w:trHeight w:val="255"/>
          <w:jc w:val="center"/>
        </w:trPr>
        <w:tc>
          <w:tcPr>
            <w:tcW w:w="2847" w:type="pct"/>
            <w:tcBorders>
              <w:top w:val="single" w:sz="18" w:space="0" w:color="auto"/>
              <w:left w:val="single" w:sz="8" w:space="0" w:color="FFFFFF" w:themeColor="background1"/>
              <w:bottom w:val="nil"/>
              <w:right w:val="single" w:sz="8" w:space="0" w:color="000000"/>
            </w:tcBorders>
            <w:shd w:val="clear" w:color="auto" w:fill="auto"/>
            <w:noWrap/>
            <w:vAlign w:val="center"/>
            <w:hideMark/>
          </w:tcPr>
          <w:p w14:paraId="50ABE457" w14:textId="77777777" w:rsidR="00D90E6B" w:rsidRPr="007940C0" w:rsidRDefault="00D90E6B" w:rsidP="00D90E6B">
            <w:pPr>
              <w:ind w:firstLine="0"/>
              <w:jc w:val="center"/>
              <w:rPr>
                <w:b/>
                <w:sz w:val="20"/>
              </w:rPr>
            </w:pPr>
            <w:r w:rsidRPr="007940C0">
              <w:rPr>
                <w:b/>
                <w:sz w:val="20"/>
              </w:rPr>
              <w:t>Questões</w:t>
            </w:r>
          </w:p>
        </w:tc>
        <w:tc>
          <w:tcPr>
            <w:tcW w:w="462" w:type="pct"/>
            <w:tcBorders>
              <w:top w:val="single" w:sz="18" w:space="0" w:color="auto"/>
              <w:left w:val="single" w:sz="8" w:space="0" w:color="000000"/>
              <w:bottom w:val="nil"/>
              <w:right w:val="single" w:sz="8" w:space="0" w:color="000000"/>
            </w:tcBorders>
            <w:shd w:val="clear" w:color="auto" w:fill="auto"/>
            <w:noWrap/>
            <w:vAlign w:val="center"/>
            <w:hideMark/>
          </w:tcPr>
          <w:p w14:paraId="6D63AD40" w14:textId="77777777" w:rsidR="00D90E6B" w:rsidRPr="007940C0" w:rsidRDefault="00D90E6B" w:rsidP="00D90E6B">
            <w:pPr>
              <w:ind w:firstLine="0"/>
              <w:jc w:val="center"/>
              <w:rPr>
                <w:b/>
                <w:sz w:val="20"/>
              </w:rPr>
            </w:pPr>
            <w:r w:rsidRPr="007940C0">
              <w:rPr>
                <w:b/>
                <w:sz w:val="20"/>
              </w:rPr>
              <w:t>Int. Teórico</w:t>
            </w:r>
          </w:p>
        </w:tc>
        <w:tc>
          <w:tcPr>
            <w:tcW w:w="384" w:type="pct"/>
            <w:tcBorders>
              <w:top w:val="single" w:sz="18" w:space="0" w:color="auto"/>
              <w:left w:val="single" w:sz="8" w:space="0" w:color="000000"/>
              <w:bottom w:val="nil"/>
              <w:right w:val="single" w:sz="8" w:space="0" w:color="000000"/>
            </w:tcBorders>
            <w:shd w:val="clear" w:color="auto" w:fill="auto"/>
            <w:noWrap/>
            <w:vAlign w:val="center"/>
            <w:hideMark/>
          </w:tcPr>
          <w:p w14:paraId="23FA73AD" w14:textId="77777777" w:rsidR="00D90E6B" w:rsidRPr="007940C0" w:rsidRDefault="00D90E6B" w:rsidP="00D90E6B">
            <w:pPr>
              <w:ind w:firstLine="0"/>
              <w:jc w:val="center"/>
              <w:rPr>
                <w:b/>
                <w:sz w:val="20"/>
              </w:rPr>
            </w:pPr>
            <w:r w:rsidRPr="007940C0">
              <w:rPr>
                <w:b/>
                <w:sz w:val="20"/>
              </w:rPr>
              <w:t>Int. Real</w:t>
            </w:r>
          </w:p>
        </w:tc>
        <w:tc>
          <w:tcPr>
            <w:tcW w:w="385" w:type="pct"/>
            <w:tcBorders>
              <w:top w:val="single" w:sz="18" w:space="0" w:color="auto"/>
              <w:left w:val="single" w:sz="8" w:space="0" w:color="000000"/>
              <w:bottom w:val="nil"/>
              <w:right w:val="single" w:sz="8" w:space="0" w:color="000000"/>
            </w:tcBorders>
            <w:shd w:val="clear" w:color="auto" w:fill="auto"/>
            <w:noWrap/>
            <w:vAlign w:val="center"/>
            <w:hideMark/>
          </w:tcPr>
          <w:p w14:paraId="5A347E66" w14:textId="77777777" w:rsidR="00D90E6B" w:rsidRPr="007940C0" w:rsidRDefault="00D90E6B" w:rsidP="00D90E6B">
            <w:pPr>
              <w:ind w:firstLine="0"/>
              <w:jc w:val="center"/>
              <w:rPr>
                <w:b/>
                <w:sz w:val="20"/>
              </w:rPr>
            </w:pPr>
            <w:r w:rsidRPr="007940C0">
              <w:rPr>
                <w:b/>
                <w:sz w:val="20"/>
              </w:rPr>
              <w:t>Média</w:t>
            </w:r>
          </w:p>
        </w:tc>
        <w:tc>
          <w:tcPr>
            <w:tcW w:w="538" w:type="pct"/>
            <w:tcBorders>
              <w:top w:val="single" w:sz="18" w:space="0" w:color="auto"/>
              <w:left w:val="single" w:sz="8" w:space="0" w:color="000000"/>
              <w:bottom w:val="nil"/>
              <w:right w:val="single" w:sz="8" w:space="0" w:color="000000"/>
            </w:tcBorders>
            <w:shd w:val="clear" w:color="auto" w:fill="auto"/>
            <w:noWrap/>
            <w:vAlign w:val="center"/>
            <w:hideMark/>
          </w:tcPr>
          <w:p w14:paraId="2AE204FE" w14:textId="77777777" w:rsidR="00D90E6B" w:rsidRPr="007940C0" w:rsidRDefault="00D90E6B" w:rsidP="00D90E6B">
            <w:pPr>
              <w:ind w:firstLine="0"/>
              <w:jc w:val="center"/>
              <w:rPr>
                <w:b/>
                <w:sz w:val="20"/>
              </w:rPr>
            </w:pPr>
            <w:r w:rsidRPr="007940C0">
              <w:rPr>
                <w:b/>
                <w:sz w:val="20"/>
              </w:rPr>
              <w:t>Mediana</w:t>
            </w:r>
          </w:p>
        </w:tc>
        <w:tc>
          <w:tcPr>
            <w:tcW w:w="384" w:type="pct"/>
            <w:tcBorders>
              <w:top w:val="single" w:sz="18" w:space="0" w:color="auto"/>
              <w:left w:val="single" w:sz="8" w:space="0" w:color="000000"/>
              <w:bottom w:val="nil"/>
              <w:right w:val="single" w:sz="8" w:space="0" w:color="000000"/>
            </w:tcBorders>
            <w:shd w:val="clear" w:color="auto" w:fill="auto"/>
            <w:noWrap/>
            <w:vAlign w:val="center"/>
            <w:hideMark/>
          </w:tcPr>
          <w:p w14:paraId="3BE65A5E" w14:textId="77777777" w:rsidR="00D90E6B" w:rsidRPr="007940C0" w:rsidRDefault="00D90E6B" w:rsidP="00D90E6B">
            <w:pPr>
              <w:ind w:firstLine="0"/>
              <w:jc w:val="center"/>
              <w:rPr>
                <w:b/>
                <w:sz w:val="20"/>
              </w:rPr>
            </w:pPr>
            <w:r w:rsidRPr="007940C0">
              <w:rPr>
                <w:b/>
                <w:sz w:val="20"/>
              </w:rPr>
              <w:t>DP</w:t>
            </w:r>
          </w:p>
        </w:tc>
      </w:tr>
      <w:tr w:rsidR="00D90E6B" w:rsidRPr="007940C0" w14:paraId="72448AC5" w14:textId="77777777" w:rsidTr="006A5420">
        <w:trPr>
          <w:trHeight w:val="255"/>
          <w:jc w:val="center"/>
        </w:trPr>
        <w:tc>
          <w:tcPr>
            <w:tcW w:w="2847"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hideMark/>
          </w:tcPr>
          <w:p w14:paraId="30122C1D" w14:textId="77777777" w:rsidR="00D90E6B" w:rsidRPr="007940C0" w:rsidRDefault="00D90E6B" w:rsidP="00D90E6B">
            <w:pPr>
              <w:ind w:firstLine="0"/>
              <w:rPr>
                <w:sz w:val="20"/>
              </w:rPr>
            </w:pPr>
            <w:r w:rsidRPr="007940C0">
              <w:rPr>
                <w:sz w:val="20"/>
              </w:rPr>
              <w:t xml:space="preserve">Q01 - Os conteúdos ministrados na disciplina de </w:t>
            </w:r>
            <w:r w:rsidRPr="007940C0">
              <w:rPr>
                <w:sz w:val="20"/>
              </w:rPr>
              <w:lastRenderedPageBreak/>
              <w:t>Contabilidade Tributária são suficientes para você decidir entre escolher a tributação com base no Lucro Presumido ou Anexo VI do Simples Nacional.</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44331007" w14:textId="77777777" w:rsidR="00D90E6B" w:rsidRPr="007940C0" w:rsidRDefault="00D90E6B" w:rsidP="00D90E6B">
            <w:pPr>
              <w:ind w:firstLine="0"/>
              <w:jc w:val="center"/>
              <w:rPr>
                <w:sz w:val="20"/>
              </w:rPr>
            </w:pPr>
            <w:r w:rsidRPr="007940C0">
              <w:rPr>
                <w:sz w:val="20"/>
              </w:rPr>
              <w:lastRenderedPageBreak/>
              <w:t>1-7</w:t>
            </w:r>
          </w:p>
        </w:tc>
        <w:tc>
          <w:tcPr>
            <w:tcW w:w="384" w:type="pct"/>
            <w:tcBorders>
              <w:top w:val="single" w:sz="4" w:space="0" w:color="auto"/>
              <w:left w:val="nil"/>
              <w:bottom w:val="single" w:sz="4" w:space="0" w:color="auto"/>
              <w:right w:val="single" w:sz="4" w:space="0" w:color="auto"/>
            </w:tcBorders>
            <w:shd w:val="clear" w:color="auto" w:fill="auto"/>
            <w:noWrap/>
            <w:vAlign w:val="center"/>
            <w:hideMark/>
          </w:tcPr>
          <w:p w14:paraId="75FABEEC" w14:textId="77777777" w:rsidR="00D90E6B" w:rsidRPr="007940C0" w:rsidRDefault="00D90E6B" w:rsidP="00D90E6B">
            <w:pPr>
              <w:ind w:firstLine="0"/>
              <w:jc w:val="center"/>
              <w:rPr>
                <w:sz w:val="20"/>
              </w:rPr>
            </w:pPr>
            <w:r w:rsidRPr="007940C0">
              <w:rPr>
                <w:sz w:val="20"/>
              </w:rPr>
              <w:t>1-7</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2F7B5088" w14:textId="77777777" w:rsidR="00D90E6B" w:rsidRPr="007940C0" w:rsidRDefault="00D90E6B" w:rsidP="00D90E6B">
            <w:pPr>
              <w:ind w:firstLine="0"/>
              <w:jc w:val="center"/>
              <w:rPr>
                <w:sz w:val="20"/>
              </w:rPr>
            </w:pPr>
            <w:r w:rsidRPr="007940C0">
              <w:rPr>
                <w:sz w:val="20"/>
              </w:rPr>
              <w:t>4,25</w:t>
            </w:r>
          </w:p>
        </w:tc>
        <w:tc>
          <w:tcPr>
            <w:tcW w:w="538" w:type="pct"/>
            <w:tcBorders>
              <w:top w:val="single" w:sz="4" w:space="0" w:color="auto"/>
              <w:left w:val="nil"/>
              <w:bottom w:val="single" w:sz="4" w:space="0" w:color="auto"/>
              <w:right w:val="single" w:sz="4" w:space="0" w:color="auto"/>
            </w:tcBorders>
            <w:shd w:val="clear" w:color="auto" w:fill="auto"/>
            <w:noWrap/>
            <w:vAlign w:val="center"/>
          </w:tcPr>
          <w:p w14:paraId="28CD415B" w14:textId="77777777" w:rsidR="00D90E6B" w:rsidRPr="007940C0" w:rsidRDefault="00D90E6B" w:rsidP="00D90E6B">
            <w:pPr>
              <w:ind w:firstLine="0"/>
              <w:jc w:val="center"/>
              <w:rPr>
                <w:sz w:val="20"/>
              </w:rPr>
            </w:pPr>
            <w:r w:rsidRPr="007940C0">
              <w:rPr>
                <w:sz w:val="20"/>
              </w:rPr>
              <w:t>4,00</w:t>
            </w:r>
          </w:p>
        </w:tc>
        <w:tc>
          <w:tcPr>
            <w:tcW w:w="384" w:type="pct"/>
            <w:tcBorders>
              <w:top w:val="single" w:sz="4" w:space="0" w:color="auto"/>
              <w:left w:val="nil"/>
              <w:bottom w:val="single" w:sz="4" w:space="0" w:color="auto"/>
              <w:right w:val="single" w:sz="4" w:space="0" w:color="auto"/>
            </w:tcBorders>
            <w:shd w:val="clear" w:color="auto" w:fill="auto"/>
            <w:noWrap/>
            <w:vAlign w:val="center"/>
          </w:tcPr>
          <w:p w14:paraId="655112A1" w14:textId="77777777" w:rsidR="00D90E6B" w:rsidRPr="007940C0" w:rsidRDefault="00D90E6B" w:rsidP="00D90E6B">
            <w:pPr>
              <w:ind w:firstLine="0"/>
              <w:jc w:val="center"/>
              <w:rPr>
                <w:sz w:val="20"/>
              </w:rPr>
            </w:pPr>
            <w:r w:rsidRPr="007940C0">
              <w:rPr>
                <w:sz w:val="20"/>
              </w:rPr>
              <w:t>1,90</w:t>
            </w:r>
          </w:p>
        </w:tc>
      </w:tr>
      <w:tr w:rsidR="00D90E6B" w:rsidRPr="007940C0" w14:paraId="33A90BAF" w14:textId="77777777" w:rsidTr="006A5420">
        <w:trPr>
          <w:trHeight w:val="255"/>
          <w:jc w:val="center"/>
        </w:trPr>
        <w:tc>
          <w:tcPr>
            <w:tcW w:w="2847"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tcPr>
          <w:p w14:paraId="4A8C9111" w14:textId="77777777" w:rsidR="00D90E6B" w:rsidRPr="007940C0" w:rsidRDefault="00D90E6B" w:rsidP="00D90E6B">
            <w:pPr>
              <w:ind w:firstLine="0"/>
              <w:rPr>
                <w:sz w:val="20"/>
              </w:rPr>
            </w:pPr>
            <w:r w:rsidRPr="007940C0">
              <w:rPr>
                <w:sz w:val="20"/>
              </w:rPr>
              <w:lastRenderedPageBreak/>
              <w:t>Q03 - Sinto-me confortável em tomar decisões sobre temas relacionados a diferenças de tributação com base no Lucro Presumido e no Simples Nacional.</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0DA6096D" w14:textId="77777777" w:rsidR="00D90E6B" w:rsidRPr="007940C0" w:rsidRDefault="00D90E6B" w:rsidP="00D90E6B">
            <w:pPr>
              <w:ind w:firstLine="0"/>
              <w:jc w:val="center"/>
              <w:rPr>
                <w:sz w:val="20"/>
              </w:rPr>
            </w:pPr>
            <w:r w:rsidRPr="007940C0">
              <w:rPr>
                <w:sz w:val="20"/>
              </w:rPr>
              <w:t>1-7</w:t>
            </w:r>
          </w:p>
        </w:tc>
        <w:tc>
          <w:tcPr>
            <w:tcW w:w="384" w:type="pct"/>
            <w:tcBorders>
              <w:top w:val="single" w:sz="4" w:space="0" w:color="auto"/>
              <w:left w:val="nil"/>
              <w:bottom w:val="single" w:sz="4" w:space="0" w:color="auto"/>
              <w:right w:val="single" w:sz="4" w:space="0" w:color="auto"/>
            </w:tcBorders>
            <w:shd w:val="clear" w:color="auto" w:fill="auto"/>
            <w:noWrap/>
            <w:vAlign w:val="center"/>
          </w:tcPr>
          <w:p w14:paraId="35C462AE" w14:textId="77777777" w:rsidR="00D90E6B" w:rsidRPr="007940C0" w:rsidRDefault="00D90E6B" w:rsidP="00D90E6B">
            <w:pPr>
              <w:ind w:firstLine="0"/>
              <w:jc w:val="center"/>
              <w:rPr>
                <w:sz w:val="20"/>
              </w:rPr>
            </w:pPr>
            <w:r w:rsidRPr="007940C0">
              <w:rPr>
                <w:sz w:val="20"/>
              </w:rPr>
              <w:t>1-7</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A0A7D02" w14:textId="77777777" w:rsidR="00D90E6B" w:rsidRPr="007940C0" w:rsidRDefault="00D90E6B" w:rsidP="00D90E6B">
            <w:pPr>
              <w:ind w:firstLine="0"/>
              <w:jc w:val="center"/>
              <w:rPr>
                <w:sz w:val="20"/>
              </w:rPr>
            </w:pPr>
            <w:r w:rsidRPr="007940C0">
              <w:rPr>
                <w:sz w:val="20"/>
              </w:rPr>
              <w:t>3,53</w:t>
            </w:r>
          </w:p>
        </w:tc>
        <w:tc>
          <w:tcPr>
            <w:tcW w:w="538" w:type="pct"/>
            <w:tcBorders>
              <w:top w:val="single" w:sz="4" w:space="0" w:color="auto"/>
              <w:left w:val="nil"/>
              <w:bottom w:val="single" w:sz="4" w:space="0" w:color="auto"/>
              <w:right w:val="single" w:sz="4" w:space="0" w:color="auto"/>
            </w:tcBorders>
            <w:shd w:val="clear" w:color="auto" w:fill="auto"/>
            <w:noWrap/>
            <w:vAlign w:val="center"/>
          </w:tcPr>
          <w:p w14:paraId="0F6AA0BA" w14:textId="77777777" w:rsidR="00D90E6B" w:rsidRPr="007940C0" w:rsidRDefault="00D90E6B" w:rsidP="00D90E6B">
            <w:pPr>
              <w:ind w:firstLine="0"/>
              <w:jc w:val="center"/>
              <w:rPr>
                <w:sz w:val="20"/>
              </w:rPr>
            </w:pPr>
            <w:r w:rsidRPr="007940C0">
              <w:rPr>
                <w:sz w:val="20"/>
              </w:rPr>
              <w:t>3,00</w:t>
            </w:r>
          </w:p>
        </w:tc>
        <w:tc>
          <w:tcPr>
            <w:tcW w:w="384" w:type="pct"/>
            <w:tcBorders>
              <w:top w:val="single" w:sz="4" w:space="0" w:color="auto"/>
              <w:left w:val="nil"/>
              <w:bottom w:val="single" w:sz="4" w:space="0" w:color="auto"/>
              <w:right w:val="single" w:sz="4" w:space="0" w:color="auto"/>
            </w:tcBorders>
            <w:shd w:val="clear" w:color="auto" w:fill="auto"/>
            <w:noWrap/>
            <w:vAlign w:val="center"/>
          </w:tcPr>
          <w:p w14:paraId="08A4C1BC" w14:textId="77777777" w:rsidR="00D90E6B" w:rsidRPr="007940C0" w:rsidRDefault="00D90E6B" w:rsidP="00D90E6B">
            <w:pPr>
              <w:ind w:firstLine="0"/>
              <w:jc w:val="center"/>
              <w:rPr>
                <w:sz w:val="20"/>
              </w:rPr>
            </w:pPr>
            <w:r w:rsidRPr="007940C0">
              <w:rPr>
                <w:sz w:val="20"/>
              </w:rPr>
              <w:t>1,59</w:t>
            </w:r>
          </w:p>
        </w:tc>
      </w:tr>
      <w:tr w:rsidR="00D90E6B" w:rsidRPr="007940C0" w14:paraId="2F004F38" w14:textId="77777777" w:rsidTr="006A5420">
        <w:trPr>
          <w:trHeight w:val="255"/>
          <w:jc w:val="center"/>
        </w:trPr>
        <w:tc>
          <w:tcPr>
            <w:tcW w:w="2847"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tcPr>
          <w:p w14:paraId="77320FDD" w14:textId="77777777" w:rsidR="00D90E6B" w:rsidRPr="007940C0" w:rsidRDefault="00D90E6B" w:rsidP="00D90E6B">
            <w:pPr>
              <w:ind w:firstLine="0"/>
              <w:rPr>
                <w:sz w:val="20"/>
              </w:rPr>
            </w:pPr>
            <w:r w:rsidRPr="007940C0">
              <w:rPr>
                <w:sz w:val="20"/>
              </w:rPr>
              <w:t>Q05 - Se a empresa tiver uma redução de 50% da folha de pagamento haverá alterações nas alíquotas dispostas no quadro das alíquotas dos impostos.</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56978293" w14:textId="77777777" w:rsidR="00D90E6B" w:rsidRPr="007940C0" w:rsidRDefault="00D90E6B" w:rsidP="00D90E6B">
            <w:pPr>
              <w:ind w:firstLine="0"/>
              <w:jc w:val="center"/>
              <w:rPr>
                <w:sz w:val="20"/>
              </w:rPr>
            </w:pPr>
            <w:r w:rsidRPr="007940C0">
              <w:rPr>
                <w:sz w:val="20"/>
              </w:rPr>
              <w:t>1-7</w:t>
            </w:r>
          </w:p>
        </w:tc>
        <w:tc>
          <w:tcPr>
            <w:tcW w:w="384" w:type="pct"/>
            <w:tcBorders>
              <w:top w:val="single" w:sz="4" w:space="0" w:color="auto"/>
              <w:left w:val="nil"/>
              <w:bottom w:val="single" w:sz="4" w:space="0" w:color="auto"/>
              <w:right w:val="single" w:sz="4" w:space="0" w:color="auto"/>
            </w:tcBorders>
            <w:shd w:val="clear" w:color="auto" w:fill="auto"/>
            <w:noWrap/>
            <w:vAlign w:val="center"/>
          </w:tcPr>
          <w:p w14:paraId="0D7933D2" w14:textId="77777777" w:rsidR="00D90E6B" w:rsidRPr="007940C0" w:rsidRDefault="00D90E6B" w:rsidP="00D90E6B">
            <w:pPr>
              <w:ind w:firstLine="0"/>
              <w:jc w:val="center"/>
              <w:rPr>
                <w:sz w:val="20"/>
              </w:rPr>
            </w:pPr>
            <w:r w:rsidRPr="007940C0">
              <w:rPr>
                <w:sz w:val="20"/>
              </w:rPr>
              <w:t>1-7</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7DC5C0C6" w14:textId="77777777" w:rsidR="00D90E6B" w:rsidRPr="007940C0" w:rsidRDefault="00D90E6B" w:rsidP="00D90E6B">
            <w:pPr>
              <w:ind w:firstLine="0"/>
              <w:jc w:val="center"/>
              <w:rPr>
                <w:sz w:val="20"/>
              </w:rPr>
            </w:pPr>
            <w:r w:rsidRPr="007940C0">
              <w:rPr>
                <w:sz w:val="20"/>
              </w:rPr>
              <w:t>3,90</w:t>
            </w:r>
          </w:p>
        </w:tc>
        <w:tc>
          <w:tcPr>
            <w:tcW w:w="538" w:type="pct"/>
            <w:tcBorders>
              <w:top w:val="single" w:sz="4" w:space="0" w:color="auto"/>
              <w:left w:val="nil"/>
              <w:bottom w:val="single" w:sz="4" w:space="0" w:color="auto"/>
              <w:right w:val="single" w:sz="4" w:space="0" w:color="auto"/>
            </w:tcBorders>
            <w:shd w:val="clear" w:color="auto" w:fill="auto"/>
            <w:noWrap/>
            <w:vAlign w:val="center"/>
          </w:tcPr>
          <w:p w14:paraId="268162B1" w14:textId="77777777" w:rsidR="00D90E6B" w:rsidRPr="007940C0" w:rsidRDefault="00D90E6B" w:rsidP="00D90E6B">
            <w:pPr>
              <w:ind w:firstLine="0"/>
              <w:jc w:val="center"/>
              <w:rPr>
                <w:sz w:val="20"/>
              </w:rPr>
            </w:pPr>
            <w:r w:rsidRPr="007940C0">
              <w:rPr>
                <w:sz w:val="20"/>
              </w:rPr>
              <w:t>4,00</w:t>
            </w:r>
          </w:p>
        </w:tc>
        <w:tc>
          <w:tcPr>
            <w:tcW w:w="384" w:type="pct"/>
            <w:tcBorders>
              <w:top w:val="single" w:sz="4" w:space="0" w:color="auto"/>
              <w:left w:val="nil"/>
              <w:bottom w:val="single" w:sz="4" w:space="0" w:color="auto"/>
              <w:right w:val="single" w:sz="4" w:space="0" w:color="auto"/>
            </w:tcBorders>
            <w:shd w:val="clear" w:color="auto" w:fill="auto"/>
            <w:noWrap/>
            <w:vAlign w:val="center"/>
          </w:tcPr>
          <w:p w14:paraId="4CB3F665" w14:textId="77777777" w:rsidR="00D90E6B" w:rsidRPr="007940C0" w:rsidRDefault="00D90E6B" w:rsidP="00D90E6B">
            <w:pPr>
              <w:ind w:firstLine="0"/>
              <w:jc w:val="center"/>
              <w:rPr>
                <w:sz w:val="20"/>
              </w:rPr>
            </w:pPr>
            <w:r w:rsidRPr="007940C0">
              <w:rPr>
                <w:sz w:val="20"/>
              </w:rPr>
              <w:t>1,92</w:t>
            </w:r>
          </w:p>
        </w:tc>
      </w:tr>
      <w:tr w:rsidR="00D90E6B" w:rsidRPr="007940C0" w14:paraId="16A89354" w14:textId="77777777" w:rsidTr="006A5420">
        <w:trPr>
          <w:trHeight w:val="255"/>
          <w:jc w:val="center"/>
        </w:trPr>
        <w:tc>
          <w:tcPr>
            <w:tcW w:w="2847"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tcPr>
          <w:p w14:paraId="39EBD89B" w14:textId="77777777" w:rsidR="00D90E6B" w:rsidRPr="007940C0" w:rsidRDefault="00D90E6B" w:rsidP="00D90E6B">
            <w:pPr>
              <w:ind w:firstLine="0"/>
              <w:rPr>
                <w:sz w:val="20"/>
              </w:rPr>
            </w:pPr>
            <w:r w:rsidRPr="007940C0">
              <w:rPr>
                <w:sz w:val="20"/>
              </w:rPr>
              <w:t>Q06 - Se a empresa optar pela tributação no Anexo VI (do Simples Nacional) a Contribuição para a Seguridade Social (INSS Patronal) será calculado com base no Fator “r”.</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27E1942B" w14:textId="77777777" w:rsidR="00D90E6B" w:rsidRPr="007940C0" w:rsidRDefault="00D90E6B" w:rsidP="00D90E6B">
            <w:pPr>
              <w:ind w:firstLine="0"/>
              <w:jc w:val="center"/>
              <w:rPr>
                <w:sz w:val="20"/>
              </w:rPr>
            </w:pPr>
            <w:r w:rsidRPr="007940C0">
              <w:rPr>
                <w:sz w:val="20"/>
              </w:rPr>
              <w:t>1-7</w:t>
            </w:r>
          </w:p>
        </w:tc>
        <w:tc>
          <w:tcPr>
            <w:tcW w:w="384" w:type="pct"/>
            <w:tcBorders>
              <w:top w:val="single" w:sz="4" w:space="0" w:color="auto"/>
              <w:left w:val="nil"/>
              <w:bottom w:val="single" w:sz="4" w:space="0" w:color="auto"/>
              <w:right w:val="single" w:sz="4" w:space="0" w:color="auto"/>
            </w:tcBorders>
            <w:shd w:val="clear" w:color="auto" w:fill="auto"/>
            <w:noWrap/>
            <w:vAlign w:val="center"/>
          </w:tcPr>
          <w:p w14:paraId="13FDF1A4" w14:textId="77777777" w:rsidR="00D90E6B" w:rsidRPr="007940C0" w:rsidRDefault="00D90E6B" w:rsidP="00D90E6B">
            <w:pPr>
              <w:ind w:firstLine="0"/>
              <w:jc w:val="center"/>
              <w:rPr>
                <w:sz w:val="20"/>
              </w:rPr>
            </w:pPr>
            <w:r w:rsidRPr="007940C0">
              <w:rPr>
                <w:sz w:val="20"/>
              </w:rPr>
              <w:t>1-7</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102BE704" w14:textId="77777777" w:rsidR="00D90E6B" w:rsidRPr="007940C0" w:rsidRDefault="00D90E6B" w:rsidP="00D90E6B">
            <w:pPr>
              <w:ind w:firstLine="0"/>
              <w:jc w:val="center"/>
              <w:rPr>
                <w:sz w:val="20"/>
              </w:rPr>
            </w:pPr>
            <w:r w:rsidRPr="007940C0">
              <w:rPr>
                <w:sz w:val="20"/>
              </w:rPr>
              <w:t>4,38</w:t>
            </w:r>
          </w:p>
        </w:tc>
        <w:tc>
          <w:tcPr>
            <w:tcW w:w="538" w:type="pct"/>
            <w:tcBorders>
              <w:top w:val="single" w:sz="4" w:space="0" w:color="auto"/>
              <w:left w:val="nil"/>
              <w:bottom w:val="single" w:sz="4" w:space="0" w:color="auto"/>
              <w:right w:val="single" w:sz="4" w:space="0" w:color="auto"/>
            </w:tcBorders>
            <w:shd w:val="clear" w:color="auto" w:fill="auto"/>
            <w:noWrap/>
            <w:vAlign w:val="center"/>
          </w:tcPr>
          <w:p w14:paraId="7F4A2E09" w14:textId="77777777" w:rsidR="00D90E6B" w:rsidRPr="007940C0" w:rsidRDefault="00D90E6B" w:rsidP="00D90E6B">
            <w:pPr>
              <w:ind w:firstLine="0"/>
              <w:jc w:val="center"/>
              <w:rPr>
                <w:sz w:val="20"/>
              </w:rPr>
            </w:pPr>
            <w:r w:rsidRPr="007940C0">
              <w:rPr>
                <w:sz w:val="20"/>
              </w:rPr>
              <w:t>4,00</w:t>
            </w:r>
          </w:p>
        </w:tc>
        <w:tc>
          <w:tcPr>
            <w:tcW w:w="384" w:type="pct"/>
            <w:tcBorders>
              <w:top w:val="single" w:sz="4" w:space="0" w:color="auto"/>
              <w:left w:val="nil"/>
              <w:bottom w:val="single" w:sz="4" w:space="0" w:color="auto"/>
              <w:right w:val="single" w:sz="4" w:space="0" w:color="auto"/>
            </w:tcBorders>
            <w:shd w:val="clear" w:color="auto" w:fill="auto"/>
            <w:noWrap/>
            <w:vAlign w:val="center"/>
          </w:tcPr>
          <w:p w14:paraId="5BD50834" w14:textId="77777777" w:rsidR="00D90E6B" w:rsidRPr="007940C0" w:rsidRDefault="00D90E6B" w:rsidP="00D90E6B">
            <w:pPr>
              <w:ind w:firstLine="0"/>
              <w:jc w:val="center"/>
              <w:rPr>
                <w:sz w:val="20"/>
              </w:rPr>
            </w:pPr>
            <w:r w:rsidRPr="007940C0">
              <w:rPr>
                <w:sz w:val="20"/>
              </w:rPr>
              <w:t>1,94</w:t>
            </w:r>
          </w:p>
        </w:tc>
      </w:tr>
      <w:tr w:rsidR="00D90E6B" w:rsidRPr="007940C0" w14:paraId="5714DEFA" w14:textId="77777777" w:rsidTr="006A5420">
        <w:trPr>
          <w:trHeight w:val="255"/>
          <w:jc w:val="center"/>
        </w:trPr>
        <w:tc>
          <w:tcPr>
            <w:tcW w:w="2847"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tcPr>
          <w:p w14:paraId="5C28A839" w14:textId="77777777" w:rsidR="00D90E6B" w:rsidRPr="007940C0" w:rsidRDefault="00D90E6B" w:rsidP="00D90E6B">
            <w:pPr>
              <w:ind w:firstLine="0"/>
              <w:rPr>
                <w:sz w:val="20"/>
              </w:rPr>
            </w:pPr>
            <w:r w:rsidRPr="007940C0">
              <w:rPr>
                <w:sz w:val="20"/>
              </w:rPr>
              <w:t>Q07 - Na comparação entre a tributação com base no Lucro Presumido e no Anexo VI do Simples Nacional deve-se levar em consideração a alíquota de ISS e/ou INSS.</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1ECA8114" w14:textId="77777777" w:rsidR="00D90E6B" w:rsidRPr="007940C0" w:rsidRDefault="00D90E6B" w:rsidP="00D90E6B">
            <w:pPr>
              <w:ind w:firstLine="0"/>
              <w:jc w:val="center"/>
              <w:rPr>
                <w:sz w:val="20"/>
              </w:rPr>
            </w:pPr>
            <w:r w:rsidRPr="007940C0">
              <w:rPr>
                <w:sz w:val="20"/>
              </w:rPr>
              <w:t>1-7</w:t>
            </w:r>
          </w:p>
        </w:tc>
        <w:tc>
          <w:tcPr>
            <w:tcW w:w="384" w:type="pct"/>
            <w:tcBorders>
              <w:top w:val="single" w:sz="4" w:space="0" w:color="auto"/>
              <w:left w:val="nil"/>
              <w:bottom w:val="single" w:sz="4" w:space="0" w:color="auto"/>
              <w:right w:val="single" w:sz="4" w:space="0" w:color="auto"/>
            </w:tcBorders>
            <w:shd w:val="clear" w:color="auto" w:fill="auto"/>
            <w:noWrap/>
            <w:vAlign w:val="center"/>
          </w:tcPr>
          <w:p w14:paraId="59C6A518" w14:textId="77777777" w:rsidR="00D90E6B" w:rsidRPr="007940C0" w:rsidRDefault="00D90E6B" w:rsidP="00D90E6B">
            <w:pPr>
              <w:ind w:firstLine="0"/>
              <w:jc w:val="center"/>
              <w:rPr>
                <w:sz w:val="20"/>
              </w:rPr>
            </w:pPr>
            <w:r w:rsidRPr="007940C0">
              <w:rPr>
                <w:sz w:val="20"/>
              </w:rPr>
              <w:t>1-7</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34B878D7" w14:textId="77777777" w:rsidR="00D90E6B" w:rsidRPr="007940C0" w:rsidRDefault="00D90E6B" w:rsidP="00D90E6B">
            <w:pPr>
              <w:ind w:firstLine="0"/>
              <w:jc w:val="center"/>
              <w:rPr>
                <w:sz w:val="20"/>
              </w:rPr>
            </w:pPr>
            <w:r w:rsidRPr="007940C0">
              <w:rPr>
                <w:sz w:val="20"/>
              </w:rPr>
              <w:t>4,64</w:t>
            </w:r>
          </w:p>
        </w:tc>
        <w:tc>
          <w:tcPr>
            <w:tcW w:w="538" w:type="pct"/>
            <w:tcBorders>
              <w:top w:val="single" w:sz="4" w:space="0" w:color="auto"/>
              <w:left w:val="nil"/>
              <w:bottom w:val="single" w:sz="4" w:space="0" w:color="auto"/>
              <w:right w:val="single" w:sz="4" w:space="0" w:color="auto"/>
            </w:tcBorders>
            <w:shd w:val="clear" w:color="auto" w:fill="auto"/>
            <w:noWrap/>
            <w:vAlign w:val="center"/>
          </w:tcPr>
          <w:p w14:paraId="240091E5" w14:textId="77777777" w:rsidR="00D90E6B" w:rsidRPr="007940C0" w:rsidRDefault="00D90E6B" w:rsidP="00D90E6B">
            <w:pPr>
              <w:ind w:firstLine="0"/>
              <w:jc w:val="center"/>
              <w:rPr>
                <w:sz w:val="20"/>
              </w:rPr>
            </w:pPr>
            <w:r w:rsidRPr="007940C0">
              <w:rPr>
                <w:sz w:val="20"/>
              </w:rPr>
              <w:t>5,00</w:t>
            </w:r>
          </w:p>
        </w:tc>
        <w:tc>
          <w:tcPr>
            <w:tcW w:w="384" w:type="pct"/>
            <w:tcBorders>
              <w:top w:val="single" w:sz="4" w:space="0" w:color="auto"/>
              <w:left w:val="nil"/>
              <w:bottom w:val="single" w:sz="4" w:space="0" w:color="auto"/>
              <w:right w:val="single" w:sz="4" w:space="0" w:color="auto"/>
            </w:tcBorders>
            <w:shd w:val="clear" w:color="auto" w:fill="auto"/>
            <w:noWrap/>
            <w:vAlign w:val="center"/>
          </w:tcPr>
          <w:p w14:paraId="44E9C419" w14:textId="77777777" w:rsidR="00D90E6B" w:rsidRPr="007940C0" w:rsidRDefault="00D90E6B" w:rsidP="00D90E6B">
            <w:pPr>
              <w:ind w:firstLine="0"/>
              <w:jc w:val="center"/>
              <w:rPr>
                <w:sz w:val="20"/>
              </w:rPr>
            </w:pPr>
            <w:r w:rsidRPr="007940C0">
              <w:rPr>
                <w:sz w:val="20"/>
              </w:rPr>
              <w:t>1,91</w:t>
            </w:r>
          </w:p>
        </w:tc>
      </w:tr>
      <w:tr w:rsidR="00D90E6B" w:rsidRPr="007940C0" w14:paraId="55A39B3B" w14:textId="77777777" w:rsidTr="006A5420">
        <w:trPr>
          <w:trHeight w:val="255"/>
          <w:jc w:val="center"/>
        </w:trPr>
        <w:tc>
          <w:tcPr>
            <w:tcW w:w="2847"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tcPr>
          <w:p w14:paraId="56BB0C3D" w14:textId="77777777" w:rsidR="00D90E6B" w:rsidRPr="007940C0" w:rsidRDefault="00D90E6B" w:rsidP="00D90E6B">
            <w:pPr>
              <w:ind w:firstLine="0"/>
              <w:rPr>
                <w:sz w:val="20"/>
              </w:rPr>
            </w:pPr>
            <w:r w:rsidRPr="007940C0">
              <w:rPr>
                <w:sz w:val="20"/>
              </w:rPr>
              <w:t>Q08 - Na comparação entre a tributação com base no Lucro Presumido e no Anexo VI do Simples Nacional deve-se levar em consideração a Contribuição Previdenciária Patronal (que contempla a Contribuição para a Seguridade Social)</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60D15DD2" w14:textId="77777777" w:rsidR="00D90E6B" w:rsidRPr="007940C0" w:rsidRDefault="00D90E6B" w:rsidP="00D90E6B">
            <w:pPr>
              <w:ind w:firstLine="0"/>
              <w:jc w:val="center"/>
              <w:rPr>
                <w:sz w:val="20"/>
              </w:rPr>
            </w:pPr>
            <w:r w:rsidRPr="007940C0">
              <w:rPr>
                <w:sz w:val="20"/>
              </w:rPr>
              <w:t>1-7</w:t>
            </w:r>
          </w:p>
        </w:tc>
        <w:tc>
          <w:tcPr>
            <w:tcW w:w="384" w:type="pct"/>
            <w:tcBorders>
              <w:top w:val="single" w:sz="4" w:space="0" w:color="auto"/>
              <w:left w:val="nil"/>
              <w:bottom w:val="single" w:sz="4" w:space="0" w:color="auto"/>
              <w:right w:val="single" w:sz="4" w:space="0" w:color="auto"/>
            </w:tcBorders>
            <w:shd w:val="clear" w:color="auto" w:fill="auto"/>
            <w:noWrap/>
            <w:vAlign w:val="center"/>
          </w:tcPr>
          <w:p w14:paraId="5B091D13" w14:textId="77777777" w:rsidR="00D90E6B" w:rsidRPr="007940C0" w:rsidRDefault="00D90E6B" w:rsidP="00D90E6B">
            <w:pPr>
              <w:ind w:firstLine="0"/>
              <w:jc w:val="center"/>
              <w:rPr>
                <w:sz w:val="20"/>
              </w:rPr>
            </w:pPr>
            <w:r w:rsidRPr="007940C0">
              <w:rPr>
                <w:sz w:val="20"/>
              </w:rPr>
              <w:t>1-7</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07AD4F4D" w14:textId="77777777" w:rsidR="00D90E6B" w:rsidRPr="007940C0" w:rsidRDefault="00D90E6B" w:rsidP="00D90E6B">
            <w:pPr>
              <w:ind w:firstLine="0"/>
              <w:jc w:val="center"/>
              <w:rPr>
                <w:sz w:val="20"/>
              </w:rPr>
            </w:pPr>
            <w:r w:rsidRPr="007940C0">
              <w:rPr>
                <w:sz w:val="20"/>
              </w:rPr>
              <w:t>4,30</w:t>
            </w:r>
          </w:p>
        </w:tc>
        <w:tc>
          <w:tcPr>
            <w:tcW w:w="538" w:type="pct"/>
            <w:tcBorders>
              <w:top w:val="single" w:sz="4" w:space="0" w:color="auto"/>
              <w:left w:val="nil"/>
              <w:bottom w:val="single" w:sz="4" w:space="0" w:color="auto"/>
              <w:right w:val="single" w:sz="4" w:space="0" w:color="auto"/>
            </w:tcBorders>
            <w:shd w:val="clear" w:color="auto" w:fill="auto"/>
            <w:noWrap/>
            <w:vAlign w:val="center"/>
          </w:tcPr>
          <w:p w14:paraId="1EC7F7F2" w14:textId="77777777" w:rsidR="00D90E6B" w:rsidRPr="007940C0" w:rsidRDefault="00D90E6B" w:rsidP="00D90E6B">
            <w:pPr>
              <w:ind w:firstLine="0"/>
              <w:jc w:val="center"/>
              <w:rPr>
                <w:sz w:val="20"/>
              </w:rPr>
            </w:pPr>
            <w:r w:rsidRPr="007940C0">
              <w:rPr>
                <w:sz w:val="20"/>
              </w:rPr>
              <w:t>4,00</w:t>
            </w:r>
          </w:p>
        </w:tc>
        <w:tc>
          <w:tcPr>
            <w:tcW w:w="384" w:type="pct"/>
            <w:tcBorders>
              <w:top w:val="single" w:sz="4" w:space="0" w:color="auto"/>
              <w:left w:val="nil"/>
              <w:bottom w:val="single" w:sz="4" w:space="0" w:color="auto"/>
              <w:right w:val="single" w:sz="4" w:space="0" w:color="auto"/>
            </w:tcBorders>
            <w:shd w:val="clear" w:color="auto" w:fill="auto"/>
            <w:noWrap/>
            <w:vAlign w:val="center"/>
          </w:tcPr>
          <w:p w14:paraId="787FB083" w14:textId="77777777" w:rsidR="00D90E6B" w:rsidRPr="007940C0" w:rsidRDefault="00D90E6B" w:rsidP="00D90E6B">
            <w:pPr>
              <w:ind w:firstLine="0"/>
              <w:jc w:val="center"/>
              <w:rPr>
                <w:sz w:val="20"/>
              </w:rPr>
            </w:pPr>
            <w:r w:rsidRPr="007940C0">
              <w:rPr>
                <w:sz w:val="20"/>
              </w:rPr>
              <w:t>1,75</w:t>
            </w:r>
          </w:p>
        </w:tc>
      </w:tr>
      <w:tr w:rsidR="00D90E6B" w:rsidRPr="007940C0" w14:paraId="2840938C" w14:textId="77777777" w:rsidTr="006A5420">
        <w:trPr>
          <w:trHeight w:val="255"/>
          <w:jc w:val="center"/>
        </w:trPr>
        <w:tc>
          <w:tcPr>
            <w:tcW w:w="2847"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tcPr>
          <w:p w14:paraId="00871A34" w14:textId="77777777" w:rsidR="00D90E6B" w:rsidRPr="007940C0" w:rsidRDefault="00D90E6B" w:rsidP="00D90E6B">
            <w:pPr>
              <w:ind w:firstLine="0"/>
              <w:rPr>
                <w:sz w:val="20"/>
              </w:rPr>
            </w:pPr>
            <w:r w:rsidRPr="007940C0">
              <w:rPr>
                <w:sz w:val="20"/>
              </w:rPr>
              <w:t>Q09 - Torna-se atrativo a tributação com base no Anexo VI do Simples Nacional, em detrimento da tributação com base no Lucro Presumido, pelas “facilidades” das declarações acessórias que são exigidas.</w:t>
            </w:r>
          </w:p>
        </w:tc>
        <w:tc>
          <w:tcPr>
            <w:tcW w:w="462" w:type="pct"/>
            <w:tcBorders>
              <w:top w:val="single" w:sz="4" w:space="0" w:color="auto"/>
              <w:left w:val="nil"/>
              <w:bottom w:val="single" w:sz="4" w:space="0" w:color="auto"/>
              <w:right w:val="single" w:sz="4" w:space="0" w:color="auto"/>
            </w:tcBorders>
            <w:shd w:val="clear" w:color="auto" w:fill="auto"/>
            <w:noWrap/>
            <w:vAlign w:val="center"/>
          </w:tcPr>
          <w:p w14:paraId="5A04E25A" w14:textId="77777777" w:rsidR="00D90E6B" w:rsidRPr="007940C0" w:rsidRDefault="00D90E6B" w:rsidP="00D90E6B">
            <w:pPr>
              <w:ind w:firstLine="0"/>
              <w:jc w:val="center"/>
              <w:rPr>
                <w:sz w:val="20"/>
              </w:rPr>
            </w:pPr>
            <w:r w:rsidRPr="007940C0">
              <w:rPr>
                <w:sz w:val="20"/>
              </w:rPr>
              <w:t>1-7</w:t>
            </w:r>
          </w:p>
        </w:tc>
        <w:tc>
          <w:tcPr>
            <w:tcW w:w="384" w:type="pct"/>
            <w:tcBorders>
              <w:top w:val="single" w:sz="4" w:space="0" w:color="auto"/>
              <w:left w:val="nil"/>
              <w:bottom w:val="single" w:sz="4" w:space="0" w:color="auto"/>
              <w:right w:val="single" w:sz="4" w:space="0" w:color="auto"/>
            </w:tcBorders>
            <w:shd w:val="clear" w:color="auto" w:fill="auto"/>
            <w:noWrap/>
            <w:vAlign w:val="center"/>
          </w:tcPr>
          <w:p w14:paraId="086C9002" w14:textId="77777777" w:rsidR="00D90E6B" w:rsidRPr="007940C0" w:rsidRDefault="00D90E6B" w:rsidP="00D90E6B">
            <w:pPr>
              <w:ind w:firstLine="0"/>
              <w:jc w:val="center"/>
              <w:rPr>
                <w:sz w:val="20"/>
              </w:rPr>
            </w:pPr>
            <w:r w:rsidRPr="007940C0">
              <w:rPr>
                <w:sz w:val="20"/>
              </w:rPr>
              <w:t>1-7</w:t>
            </w:r>
          </w:p>
        </w:tc>
        <w:tc>
          <w:tcPr>
            <w:tcW w:w="385" w:type="pct"/>
            <w:tcBorders>
              <w:top w:val="single" w:sz="4" w:space="0" w:color="auto"/>
              <w:left w:val="nil"/>
              <w:bottom w:val="single" w:sz="4" w:space="0" w:color="auto"/>
              <w:right w:val="single" w:sz="4" w:space="0" w:color="auto"/>
            </w:tcBorders>
            <w:shd w:val="clear" w:color="auto" w:fill="auto"/>
            <w:noWrap/>
            <w:vAlign w:val="center"/>
          </w:tcPr>
          <w:p w14:paraId="47DD5E97" w14:textId="77777777" w:rsidR="00D90E6B" w:rsidRPr="007940C0" w:rsidRDefault="00D90E6B" w:rsidP="00D90E6B">
            <w:pPr>
              <w:ind w:firstLine="0"/>
              <w:jc w:val="center"/>
              <w:rPr>
                <w:sz w:val="20"/>
              </w:rPr>
            </w:pPr>
            <w:r w:rsidRPr="007940C0">
              <w:rPr>
                <w:sz w:val="20"/>
              </w:rPr>
              <w:t>4,36</w:t>
            </w:r>
          </w:p>
        </w:tc>
        <w:tc>
          <w:tcPr>
            <w:tcW w:w="538" w:type="pct"/>
            <w:tcBorders>
              <w:top w:val="single" w:sz="4" w:space="0" w:color="auto"/>
              <w:left w:val="nil"/>
              <w:bottom w:val="single" w:sz="4" w:space="0" w:color="auto"/>
              <w:right w:val="single" w:sz="4" w:space="0" w:color="auto"/>
            </w:tcBorders>
            <w:shd w:val="clear" w:color="auto" w:fill="auto"/>
            <w:noWrap/>
            <w:vAlign w:val="center"/>
          </w:tcPr>
          <w:p w14:paraId="128293BC" w14:textId="77777777" w:rsidR="00D90E6B" w:rsidRPr="007940C0" w:rsidRDefault="00D90E6B" w:rsidP="00D90E6B">
            <w:pPr>
              <w:ind w:firstLine="0"/>
              <w:jc w:val="center"/>
              <w:rPr>
                <w:sz w:val="20"/>
              </w:rPr>
            </w:pPr>
            <w:r w:rsidRPr="007940C0">
              <w:rPr>
                <w:sz w:val="20"/>
              </w:rPr>
              <w:t>4,00</w:t>
            </w:r>
          </w:p>
        </w:tc>
        <w:tc>
          <w:tcPr>
            <w:tcW w:w="384" w:type="pct"/>
            <w:tcBorders>
              <w:top w:val="single" w:sz="4" w:space="0" w:color="auto"/>
              <w:left w:val="nil"/>
              <w:bottom w:val="single" w:sz="4" w:space="0" w:color="auto"/>
              <w:right w:val="single" w:sz="4" w:space="0" w:color="auto"/>
            </w:tcBorders>
            <w:shd w:val="clear" w:color="auto" w:fill="auto"/>
            <w:noWrap/>
            <w:vAlign w:val="center"/>
          </w:tcPr>
          <w:p w14:paraId="366A54B6" w14:textId="77777777" w:rsidR="00D90E6B" w:rsidRPr="007940C0" w:rsidRDefault="00D90E6B" w:rsidP="00D90E6B">
            <w:pPr>
              <w:ind w:firstLine="0"/>
              <w:jc w:val="center"/>
              <w:rPr>
                <w:sz w:val="20"/>
              </w:rPr>
            </w:pPr>
            <w:r w:rsidRPr="007940C0">
              <w:rPr>
                <w:sz w:val="20"/>
              </w:rPr>
              <w:t>1,85</w:t>
            </w:r>
          </w:p>
        </w:tc>
      </w:tr>
      <w:tr w:rsidR="00D90E6B" w:rsidRPr="007940C0" w14:paraId="0C800771" w14:textId="77777777" w:rsidTr="006A5420">
        <w:trPr>
          <w:trHeight w:val="255"/>
          <w:jc w:val="center"/>
        </w:trPr>
        <w:tc>
          <w:tcPr>
            <w:tcW w:w="2847" w:type="pct"/>
            <w:tcBorders>
              <w:top w:val="single" w:sz="4" w:space="0" w:color="auto"/>
              <w:left w:val="single" w:sz="8" w:space="0" w:color="FFFFFF" w:themeColor="background1"/>
              <w:bottom w:val="single" w:sz="18" w:space="0" w:color="auto"/>
              <w:right w:val="single" w:sz="4" w:space="0" w:color="auto"/>
            </w:tcBorders>
            <w:shd w:val="clear" w:color="auto" w:fill="auto"/>
            <w:noWrap/>
            <w:vAlign w:val="center"/>
            <w:hideMark/>
          </w:tcPr>
          <w:p w14:paraId="50693BFF" w14:textId="77777777" w:rsidR="00D90E6B" w:rsidRPr="007940C0" w:rsidRDefault="00D90E6B" w:rsidP="00D90E6B">
            <w:pPr>
              <w:ind w:firstLine="0"/>
              <w:rPr>
                <w:sz w:val="20"/>
              </w:rPr>
            </w:pPr>
            <w:r w:rsidRPr="007940C0">
              <w:rPr>
                <w:sz w:val="20"/>
              </w:rPr>
              <w:t>Q10 - Sinto-me confortável em conversar sobre temas relacionados a diferenças de tributação entre Lucro Presumido e Simples Nacional.</w:t>
            </w:r>
          </w:p>
        </w:tc>
        <w:tc>
          <w:tcPr>
            <w:tcW w:w="462" w:type="pct"/>
            <w:tcBorders>
              <w:top w:val="single" w:sz="4" w:space="0" w:color="auto"/>
              <w:left w:val="nil"/>
              <w:bottom w:val="single" w:sz="18" w:space="0" w:color="auto"/>
              <w:right w:val="single" w:sz="4" w:space="0" w:color="auto"/>
            </w:tcBorders>
            <w:shd w:val="clear" w:color="auto" w:fill="auto"/>
            <w:noWrap/>
            <w:vAlign w:val="center"/>
            <w:hideMark/>
          </w:tcPr>
          <w:p w14:paraId="702F932E" w14:textId="77777777" w:rsidR="00D90E6B" w:rsidRPr="007940C0" w:rsidRDefault="00D90E6B" w:rsidP="00D90E6B">
            <w:pPr>
              <w:ind w:firstLine="0"/>
              <w:jc w:val="center"/>
              <w:rPr>
                <w:sz w:val="20"/>
              </w:rPr>
            </w:pPr>
            <w:r w:rsidRPr="007940C0">
              <w:rPr>
                <w:sz w:val="20"/>
              </w:rPr>
              <w:t>1-7</w:t>
            </w:r>
          </w:p>
        </w:tc>
        <w:tc>
          <w:tcPr>
            <w:tcW w:w="384" w:type="pct"/>
            <w:tcBorders>
              <w:top w:val="single" w:sz="4" w:space="0" w:color="auto"/>
              <w:left w:val="nil"/>
              <w:bottom w:val="single" w:sz="18" w:space="0" w:color="auto"/>
              <w:right w:val="single" w:sz="4" w:space="0" w:color="auto"/>
            </w:tcBorders>
            <w:shd w:val="clear" w:color="auto" w:fill="auto"/>
            <w:noWrap/>
            <w:vAlign w:val="center"/>
            <w:hideMark/>
          </w:tcPr>
          <w:p w14:paraId="6C2E3AFA" w14:textId="77777777" w:rsidR="00D90E6B" w:rsidRPr="007940C0" w:rsidRDefault="00D90E6B" w:rsidP="00D90E6B">
            <w:pPr>
              <w:ind w:firstLine="0"/>
              <w:jc w:val="center"/>
              <w:rPr>
                <w:sz w:val="20"/>
              </w:rPr>
            </w:pPr>
            <w:r w:rsidRPr="007940C0">
              <w:rPr>
                <w:sz w:val="20"/>
              </w:rPr>
              <w:t>1-7</w:t>
            </w:r>
          </w:p>
        </w:tc>
        <w:tc>
          <w:tcPr>
            <w:tcW w:w="385" w:type="pct"/>
            <w:tcBorders>
              <w:top w:val="single" w:sz="4" w:space="0" w:color="auto"/>
              <w:left w:val="nil"/>
              <w:bottom w:val="single" w:sz="18" w:space="0" w:color="auto"/>
              <w:right w:val="single" w:sz="4" w:space="0" w:color="auto"/>
            </w:tcBorders>
            <w:shd w:val="clear" w:color="auto" w:fill="auto"/>
            <w:noWrap/>
            <w:vAlign w:val="center"/>
          </w:tcPr>
          <w:p w14:paraId="44997EFB" w14:textId="77777777" w:rsidR="00D90E6B" w:rsidRPr="007940C0" w:rsidRDefault="00D90E6B" w:rsidP="00D90E6B">
            <w:pPr>
              <w:ind w:firstLine="0"/>
              <w:jc w:val="center"/>
              <w:rPr>
                <w:sz w:val="20"/>
              </w:rPr>
            </w:pPr>
            <w:r w:rsidRPr="007940C0">
              <w:rPr>
                <w:sz w:val="20"/>
              </w:rPr>
              <w:t>3,46</w:t>
            </w:r>
          </w:p>
        </w:tc>
        <w:tc>
          <w:tcPr>
            <w:tcW w:w="538" w:type="pct"/>
            <w:tcBorders>
              <w:top w:val="single" w:sz="4" w:space="0" w:color="auto"/>
              <w:left w:val="nil"/>
              <w:bottom w:val="single" w:sz="18" w:space="0" w:color="auto"/>
              <w:right w:val="single" w:sz="4" w:space="0" w:color="auto"/>
            </w:tcBorders>
            <w:shd w:val="clear" w:color="auto" w:fill="auto"/>
            <w:noWrap/>
            <w:vAlign w:val="center"/>
          </w:tcPr>
          <w:p w14:paraId="4FA94E41" w14:textId="77777777" w:rsidR="00D90E6B" w:rsidRPr="007940C0" w:rsidRDefault="00D90E6B" w:rsidP="00D90E6B">
            <w:pPr>
              <w:ind w:firstLine="0"/>
              <w:jc w:val="center"/>
              <w:rPr>
                <w:sz w:val="20"/>
              </w:rPr>
            </w:pPr>
            <w:r w:rsidRPr="007940C0">
              <w:rPr>
                <w:sz w:val="20"/>
              </w:rPr>
              <w:t>3,00</w:t>
            </w:r>
          </w:p>
        </w:tc>
        <w:tc>
          <w:tcPr>
            <w:tcW w:w="384" w:type="pct"/>
            <w:tcBorders>
              <w:top w:val="single" w:sz="4" w:space="0" w:color="auto"/>
              <w:left w:val="nil"/>
              <w:bottom w:val="single" w:sz="18" w:space="0" w:color="auto"/>
              <w:right w:val="single" w:sz="4" w:space="0" w:color="auto"/>
            </w:tcBorders>
            <w:shd w:val="clear" w:color="auto" w:fill="auto"/>
            <w:noWrap/>
            <w:vAlign w:val="center"/>
          </w:tcPr>
          <w:p w14:paraId="2D2C031C" w14:textId="77777777" w:rsidR="00D90E6B" w:rsidRPr="007940C0" w:rsidRDefault="00D90E6B" w:rsidP="00D90E6B">
            <w:pPr>
              <w:ind w:firstLine="0"/>
              <w:jc w:val="center"/>
              <w:rPr>
                <w:sz w:val="20"/>
              </w:rPr>
            </w:pPr>
            <w:r w:rsidRPr="007940C0">
              <w:rPr>
                <w:sz w:val="20"/>
              </w:rPr>
              <w:t>1,77</w:t>
            </w:r>
          </w:p>
        </w:tc>
      </w:tr>
    </w:tbl>
    <w:p w14:paraId="26AA2B5B" w14:textId="77777777" w:rsidR="00D90E6B" w:rsidRPr="007940C0" w:rsidRDefault="00D90E6B" w:rsidP="00D90E6B">
      <w:pPr>
        <w:ind w:firstLine="0"/>
        <w:rPr>
          <w:sz w:val="20"/>
        </w:rPr>
      </w:pPr>
      <w:r w:rsidRPr="007940C0">
        <w:rPr>
          <w:sz w:val="20"/>
        </w:rPr>
        <w:t>Fonte: Dados da Pesquisa.</w:t>
      </w:r>
      <w:r w:rsidRPr="007940C0">
        <w:rPr>
          <w:sz w:val="20"/>
        </w:rPr>
        <w:tab/>
      </w:r>
    </w:p>
    <w:p w14:paraId="694E0977" w14:textId="77777777" w:rsidR="00D90E6B" w:rsidRPr="007940C0" w:rsidRDefault="00D90E6B" w:rsidP="00D90E6B">
      <w:pPr>
        <w:rPr>
          <w:sz w:val="20"/>
        </w:rPr>
      </w:pPr>
    </w:p>
    <w:p w14:paraId="71CDF80A" w14:textId="5439F126"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Observa-se na Tabela 01 que todas as questões foram respondidas dentro do intervalo proposto pela escala Likert de 7 pontos, sendo o intervalo real igual ao intervalo teórico (1-7). Quanto a médias das respostas</w:t>
      </w:r>
      <w:r w:rsidR="00B1596F">
        <w:rPr>
          <w:rFonts w:cs="Arial"/>
          <w:szCs w:val="22"/>
        </w:rPr>
        <w:t>,</w:t>
      </w:r>
      <w:r w:rsidRPr="007940C0">
        <w:rPr>
          <w:rFonts w:cs="Arial"/>
          <w:szCs w:val="22"/>
        </w:rPr>
        <w:t xml:space="preserve"> nota-se a Q10 com a menor média e a Q07 com a maior média, sendo acompanhadas pela mediana de 3 e 5, respectivamente. </w:t>
      </w:r>
    </w:p>
    <w:p w14:paraId="05B1815C" w14:textId="7CD00B2D"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Observa-se que o Desvio Padrão de todas as questões ficou entre 1,5 e 2,0 demonstrando alta variabilidade nas respostas, sendo que ao observar a média e o desvio padrão das questões pode-se ter uma mudança de, praticamente, dois pontos na escala estabelecida para a pesquisa. Assim, torna-se pertinente observar a mediana das respostas obtidas, visto </w:t>
      </w:r>
      <w:r w:rsidR="00B1596F">
        <w:rPr>
          <w:rFonts w:cs="Arial"/>
          <w:szCs w:val="22"/>
        </w:rPr>
        <w:t>a menor</w:t>
      </w:r>
      <w:r w:rsidRPr="007940C0">
        <w:rPr>
          <w:rFonts w:cs="Arial"/>
          <w:szCs w:val="22"/>
        </w:rPr>
        <w:t xml:space="preserve"> </w:t>
      </w:r>
      <w:r w:rsidR="00B1596F" w:rsidRPr="007940C0">
        <w:rPr>
          <w:rFonts w:cs="Arial"/>
          <w:szCs w:val="22"/>
        </w:rPr>
        <w:t>sensi</w:t>
      </w:r>
      <w:r w:rsidR="00B1596F">
        <w:rPr>
          <w:rFonts w:cs="Arial"/>
          <w:szCs w:val="22"/>
        </w:rPr>
        <w:t>bilidade em relação à média, quanto d</w:t>
      </w:r>
      <w:r w:rsidRPr="007940C0">
        <w:rPr>
          <w:rFonts w:cs="Arial"/>
          <w:szCs w:val="22"/>
        </w:rPr>
        <w:t>as extremidades das respostas.</w:t>
      </w:r>
    </w:p>
    <w:p w14:paraId="05BC654A"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Deste modo analisando a média, desvio padrão e mediana, nota-se uma tendência dos alunos da 7ª e 8ª fase dos cursos de ciências contábeis das universidades pesquisadas não sentirem-se confortáveis para conversar sobre temas relacionados sobre as diferenças entre </w:t>
      </w:r>
      <w:r w:rsidRPr="007940C0">
        <w:rPr>
          <w:rFonts w:cs="Arial"/>
          <w:szCs w:val="22"/>
        </w:rPr>
        <w:lastRenderedPageBreak/>
        <w:t>Lucro Presumido e Simples Nacional (Q10), mesmo tendo uma tendência em concordarem que na comparação entre o Anexo VI do Simples Nacional e o Lucro Presumido há de se observar a alíquota de ISS e/ou INSS (Q7).</w:t>
      </w:r>
    </w:p>
    <w:p w14:paraId="27868A92"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Ressalta-se a coerência entre as Questões 03 e 10, por demonstrar que os respondentes não sentem-se confortáveis em conversar e tomar decisões sobre as diferenças entre a tributação com base no Lucro Presumido e no Simples Nacional, demonstrando médias próximas (3,53 e 3,46, respectivamente) e medianas iguais (3). </w:t>
      </w:r>
    </w:p>
    <w:p w14:paraId="6F7ECFD7"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Na Tabela 02 demonstra-se a frequências das respostas obtidas, demonstrando quantidade de marcações dos respondentes (Frequência) e percentual relativo (%).</w:t>
      </w:r>
    </w:p>
    <w:p w14:paraId="6EF84BE9" w14:textId="77777777" w:rsidR="00D90E6B" w:rsidRPr="007940C0" w:rsidRDefault="00D90E6B" w:rsidP="00D90E6B">
      <w:pPr>
        <w:rPr>
          <w:rFonts w:cs="Arial"/>
          <w:b/>
        </w:rPr>
      </w:pPr>
    </w:p>
    <w:p w14:paraId="46851D8F" w14:textId="77777777" w:rsidR="00D90E6B" w:rsidRPr="007940C0" w:rsidRDefault="00D90E6B" w:rsidP="00D90E6B">
      <w:pPr>
        <w:pStyle w:val="Tabela"/>
        <w:spacing w:before="0"/>
      </w:pPr>
      <w:r w:rsidRPr="007940C0">
        <w:t>Tabela 2 - Frequência das respostas</w:t>
      </w:r>
    </w:p>
    <w:tbl>
      <w:tblPr>
        <w:tblW w:w="5398" w:type="pct"/>
        <w:jc w:val="center"/>
        <w:tblLayout w:type="fixed"/>
        <w:tblCellMar>
          <w:left w:w="70" w:type="dxa"/>
          <w:right w:w="70" w:type="dxa"/>
        </w:tblCellMar>
        <w:tblLook w:val="04A0" w:firstRow="1" w:lastRow="0" w:firstColumn="1" w:lastColumn="0" w:noHBand="0" w:noVBand="1"/>
      </w:tblPr>
      <w:tblGrid>
        <w:gridCol w:w="737"/>
        <w:gridCol w:w="746"/>
        <w:gridCol w:w="602"/>
        <w:gridCol w:w="752"/>
        <w:gridCol w:w="600"/>
        <w:gridCol w:w="897"/>
        <w:gridCol w:w="596"/>
        <w:gridCol w:w="750"/>
        <w:gridCol w:w="598"/>
        <w:gridCol w:w="748"/>
        <w:gridCol w:w="600"/>
        <w:gridCol w:w="746"/>
        <w:gridCol w:w="598"/>
        <w:gridCol w:w="748"/>
        <w:gridCol w:w="587"/>
      </w:tblGrid>
      <w:tr w:rsidR="00D90E6B" w:rsidRPr="007940C0" w14:paraId="43C703C6" w14:textId="77777777" w:rsidTr="006A5420">
        <w:trPr>
          <w:trHeight w:val="255"/>
          <w:jc w:val="center"/>
        </w:trPr>
        <w:tc>
          <w:tcPr>
            <w:tcW w:w="358" w:type="pct"/>
            <w:vMerge w:val="restart"/>
            <w:tcBorders>
              <w:top w:val="single" w:sz="18" w:space="0" w:color="auto"/>
              <w:left w:val="single" w:sz="8" w:space="0" w:color="FFFFFF" w:themeColor="background1"/>
              <w:right w:val="single" w:sz="8" w:space="0" w:color="000000"/>
            </w:tcBorders>
            <w:shd w:val="clear" w:color="auto" w:fill="auto"/>
            <w:noWrap/>
            <w:vAlign w:val="center"/>
            <w:hideMark/>
          </w:tcPr>
          <w:p w14:paraId="7BCBD0C9" w14:textId="77777777" w:rsidR="00D90E6B" w:rsidRPr="007940C0" w:rsidRDefault="00D90E6B" w:rsidP="00D90E6B">
            <w:pPr>
              <w:ind w:firstLine="0"/>
              <w:jc w:val="center"/>
              <w:rPr>
                <w:b/>
                <w:sz w:val="20"/>
              </w:rPr>
            </w:pPr>
            <w:proofErr w:type="spellStart"/>
            <w:r w:rsidRPr="007940C0">
              <w:rPr>
                <w:b/>
                <w:sz w:val="20"/>
              </w:rPr>
              <w:t>Ques-tões</w:t>
            </w:r>
            <w:proofErr w:type="spellEnd"/>
          </w:p>
        </w:tc>
        <w:tc>
          <w:tcPr>
            <w:tcW w:w="654" w:type="pct"/>
            <w:gridSpan w:val="2"/>
            <w:tcBorders>
              <w:top w:val="single" w:sz="18" w:space="0" w:color="auto"/>
              <w:left w:val="single" w:sz="8" w:space="0" w:color="000000"/>
              <w:bottom w:val="nil"/>
              <w:right w:val="single" w:sz="8" w:space="0" w:color="000000"/>
            </w:tcBorders>
            <w:shd w:val="clear" w:color="auto" w:fill="auto"/>
            <w:noWrap/>
            <w:vAlign w:val="center"/>
            <w:hideMark/>
          </w:tcPr>
          <w:p w14:paraId="5515A70E" w14:textId="77777777" w:rsidR="00D90E6B" w:rsidRPr="007940C0" w:rsidRDefault="00D90E6B" w:rsidP="00D90E6B">
            <w:pPr>
              <w:ind w:firstLine="0"/>
              <w:jc w:val="center"/>
              <w:rPr>
                <w:b/>
                <w:sz w:val="20"/>
              </w:rPr>
            </w:pPr>
            <w:r w:rsidRPr="007940C0">
              <w:rPr>
                <w:b/>
                <w:sz w:val="20"/>
              </w:rPr>
              <w:t>1 – Discordo Totalmente</w:t>
            </w:r>
          </w:p>
        </w:tc>
        <w:tc>
          <w:tcPr>
            <w:tcW w:w="656" w:type="pct"/>
            <w:gridSpan w:val="2"/>
            <w:tcBorders>
              <w:top w:val="single" w:sz="18" w:space="0" w:color="auto"/>
              <w:left w:val="single" w:sz="8" w:space="0" w:color="000000"/>
              <w:bottom w:val="nil"/>
              <w:right w:val="single" w:sz="8" w:space="0" w:color="000000"/>
            </w:tcBorders>
            <w:vAlign w:val="center"/>
          </w:tcPr>
          <w:p w14:paraId="3AB69DA0" w14:textId="77777777" w:rsidR="00D90E6B" w:rsidRPr="007940C0" w:rsidRDefault="00D90E6B" w:rsidP="00D90E6B">
            <w:pPr>
              <w:ind w:firstLine="0"/>
              <w:jc w:val="center"/>
              <w:rPr>
                <w:b/>
                <w:sz w:val="20"/>
              </w:rPr>
            </w:pPr>
            <w:r w:rsidRPr="007940C0">
              <w:rPr>
                <w:b/>
                <w:sz w:val="20"/>
              </w:rPr>
              <w:t>2 – Discordo</w:t>
            </w:r>
          </w:p>
        </w:tc>
        <w:tc>
          <w:tcPr>
            <w:tcW w:w="724" w:type="pct"/>
            <w:gridSpan w:val="2"/>
            <w:tcBorders>
              <w:top w:val="single" w:sz="18" w:space="0" w:color="auto"/>
              <w:left w:val="single" w:sz="8" w:space="0" w:color="000000"/>
              <w:bottom w:val="nil"/>
              <w:right w:val="single" w:sz="8" w:space="0" w:color="000000"/>
            </w:tcBorders>
            <w:vAlign w:val="center"/>
          </w:tcPr>
          <w:p w14:paraId="0AC9DF4A" w14:textId="77777777" w:rsidR="00D90E6B" w:rsidRPr="007940C0" w:rsidRDefault="00D90E6B" w:rsidP="00D90E6B">
            <w:pPr>
              <w:ind w:firstLine="0"/>
              <w:jc w:val="center"/>
              <w:rPr>
                <w:b/>
                <w:sz w:val="20"/>
              </w:rPr>
            </w:pPr>
            <w:r w:rsidRPr="007940C0">
              <w:rPr>
                <w:b/>
                <w:sz w:val="20"/>
              </w:rPr>
              <w:t>3 – Discordo Parcialmente</w:t>
            </w:r>
          </w:p>
        </w:tc>
        <w:tc>
          <w:tcPr>
            <w:tcW w:w="654" w:type="pct"/>
            <w:gridSpan w:val="2"/>
            <w:tcBorders>
              <w:top w:val="single" w:sz="18" w:space="0" w:color="auto"/>
              <w:left w:val="single" w:sz="8" w:space="0" w:color="000000"/>
              <w:bottom w:val="nil"/>
              <w:right w:val="single" w:sz="8" w:space="0" w:color="000000"/>
            </w:tcBorders>
            <w:vAlign w:val="center"/>
          </w:tcPr>
          <w:p w14:paraId="7D87DD64" w14:textId="77777777" w:rsidR="00D90E6B" w:rsidRPr="007940C0" w:rsidRDefault="00D90E6B" w:rsidP="00D90E6B">
            <w:pPr>
              <w:ind w:firstLine="0"/>
              <w:jc w:val="center"/>
              <w:rPr>
                <w:b/>
                <w:sz w:val="20"/>
              </w:rPr>
            </w:pPr>
            <w:r w:rsidRPr="007940C0">
              <w:rPr>
                <w:b/>
                <w:sz w:val="20"/>
              </w:rPr>
              <w:t>4 – Neutro</w:t>
            </w:r>
          </w:p>
        </w:tc>
        <w:tc>
          <w:tcPr>
            <w:tcW w:w="654" w:type="pct"/>
            <w:gridSpan w:val="2"/>
            <w:tcBorders>
              <w:top w:val="single" w:sz="18" w:space="0" w:color="auto"/>
              <w:left w:val="single" w:sz="8" w:space="0" w:color="000000"/>
              <w:bottom w:val="nil"/>
              <w:right w:val="single" w:sz="8" w:space="0" w:color="000000"/>
            </w:tcBorders>
            <w:vAlign w:val="center"/>
          </w:tcPr>
          <w:p w14:paraId="6045386B" w14:textId="77777777" w:rsidR="00D90E6B" w:rsidRPr="007940C0" w:rsidRDefault="00D90E6B" w:rsidP="00D90E6B">
            <w:pPr>
              <w:ind w:firstLine="0"/>
              <w:jc w:val="center"/>
              <w:rPr>
                <w:b/>
                <w:sz w:val="20"/>
              </w:rPr>
            </w:pPr>
            <w:r w:rsidRPr="007940C0">
              <w:rPr>
                <w:b/>
                <w:sz w:val="20"/>
              </w:rPr>
              <w:t>5 –Concordo Parcialmente</w:t>
            </w:r>
          </w:p>
        </w:tc>
        <w:tc>
          <w:tcPr>
            <w:tcW w:w="652" w:type="pct"/>
            <w:gridSpan w:val="2"/>
            <w:tcBorders>
              <w:top w:val="single" w:sz="18" w:space="0" w:color="auto"/>
              <w:left w:val="single" w:sz="8" w:space="0" w:color="000000"/>
              <w:bottom w:val="nil"/>
              <w:right w:val="single" w:sz="2" w:space="0" w:color="auto"/>
            </w:tcBorders>
            <w:vAlign w:val="center"/>
          </w:tcPr>
          <w:p w14:paraId="5A923AB5" w14:textId="77777777" w:rsidR="00D90E6B" w:rsidRPr="007940C0" w:rsidRDefault="00D90E6B" w:rsidP="00D90E6B">
            <w:pPr>
              <w:ind w:firstLine="0"/>
              <w:jc w:val="center"/>
              <w:rPr>
                <w:b/>
                <w:sz w:val="20"/>
              </w:rPr>
            </w:pPr>
            <w:r w:rsidRPr="007940C0">
              <w:rPr>
                <w:b/>
                <w:sz w:val="20"/>
              </w:rPr>
              <w:t>6 –Concordo</w:t>
            </w:r>
          </w:p>
        </w:tc>
        <w:tc>
          <w:tcPr>
            <w:tcW w:w="649" w:type="pct"/>
            <w:gridSpan w:val="2"/>
            <w:tcBorders>
              <w:top w:val="single" w:sz="18" w:space="0" w:color="auto"/>
              <w:left w:val="single" w:sz="2" w:space="0" w:color="auto"/>
              <w:bottom w:val="single" w:sz="18" w:space="0" w:color="auto"/>
            </w:tcBorders>
            <w:vAlign w:val="center"/>
          </w:tcPr>
          <w:p w14:paraId="36E329CA" w14:textId="2A4DA259" w:rsidR="00D90E6B" w:rsidRPr="007940C0" w:rsidRDefault="00E926FA" w:rsidP="00D90E6B">
            <w:pPr>
              <w:ind w:firstLine="0"/>
              <w:jc w:val="center"/>
              <w:rPr>
                <w:b/>
                <w:sz w:val="20"/>
              </w:rPr>
            </w:pPr>
            <w:r w:rsidRPr="007940C0">
              <w:rPr>
                <w:b/>
                <w:sz w:val="20"/>
              </w:rPr>
              <w:t>7</w:t>
            </w:r>
            <w:r w:rsidR="00D90E6B" w:rsidRPr="007940C0">
              <w:rPr>
                <w:b/>
                <w:sz w:val="20"/>
              </w:rPr>
              <w:t xml:space="preserve"> –Concordo Totalmente</w:t>
            </w:r>
          </w:p>
        </w:tc>
      </w:tr>
      <w:tr w:rsidR="00D90E6B" w:rsidRPr="007940C0" w14:paraId="43481742" w14:textId="77777777" w:rsidTr="006A5420">
        <w:trPr>
          <w:trHeight w:val="255"/>
          <w:jc w:val="center"/>
        </w:trPr>
        <w:tc>
          <w:tcPr>
            <w:tcW w:w="358" w:type="pct"/>
            <w:vMerge/>
            <w:tcBorders>
              <w:left w:val="single" w:sz="8" w:space="0" w:color="FFFFFF" w:themeColor="background1"/>
              <w:bottom w:val="nil"/>
              <w:right w:val="single" w:sz="8" w:space="0" w:color="000000"/>
            </w:tcBorders>
            <w:shd w:val="clear" w:color="auto" w:fill="auto"/>
            <w:noWrap/>
            <w:vAlign w:val="center"/>
          </w:tcPr>
          <w:p w14:paraId="44E89128" w14:textId="77777777" w:rsidR="00D90E6B" w:rsidRPr="007940C0" w:rsidRDefault="00D90E6B" w:rsidP="00D90E6B">
            <w:pPr>
              <w:ind w:firstLine="0"/>
              <w:jc w:val="center"/>
              <w:rPr>
                <w:b/>
                <w:sz w:val="20"/>
              </w:rPr>
            </w:pPr>
          </w:p>
        </w:tc>
        <w:tc>
          <w:tcPr>
            <w:tcW w:w="362" w:type="pct"/>
            <w:tcBorders>
              <w:top w:val="single" w:sz="18" w:space="0" w:color="auto"/>
              <w:left w:val="single" w:sz="8" w:space="0" w:color="000000"/>
              <w:bottom w:val="single" w:sz="4" w:space="0" w:color="auto"/>
              <w:right w:val="single" w:sz="8" w:space="0" w:color="000000"/>
            </w:tcBorders>
            <w:shd w:val="clear" w:color="auto" w:fill="auto"/>
            <w:noWrap/>
            <w:vAlign w:val="center"/>
          </w:tcPr>
          <w:p w14:paraId="29157749" w14:textId="77777777" w:rsidR="00D90E6B" w:rsidRPr="007940C0" w:rsidRDefault="00D90E6B" w:rsidP="00D90E6B">
            <w:pPr>
              <w:ind w:firstLine="0"/>
              <w:jc w:val="center"/>
              <w:rPr>
                <w:b/>
                <w:sz w:val="20"/>
              </w:rPr>
            </w:pPr>
            <w:r w:rsidRPr="007940C0">
              <w:rPr>
                <w:b/>
                <w:sz w:val="20"/>
              </w:rPr>
              <w:t>Freq.</w:t>
            </w:r>
          </w:p>
        </w:tc>
        <w:tc>
          <w:tcPr>
            <w:tcW w:w="291" w:type="pct"/>
            <w:tcBorders>
              <w:top w:val="single" w:sz="18" w:space="0" w:color="auto"/>
              <w:left w:val="single" w:sz="8" w:space="0" w:color="000000"/>
              <w:bottom w:val="single" w:sz="4" w:space="0" w:color="auto"/>
              <w:right w:val="single" w:sz="8" w:space="0" w:color="000000"/>
            </w:tcBorders>
            <w:vAlign w:val="center"/>
          </w:tcPr>
          <w:p w14:paraId="378DF77F" w14:textId="77777777" w:rsidR="00D90E6B" w:rsidRPr="007940C0" w:rsidRDefault="00D90E6B" w:rsidP="00D90E6B">
            <w:pPr>
              <w:ind w:firstLine="0"/>
              <w:jc w:val="center"/>
              <w:rPr>
                <w:b/>
                <w:sz w:val="20"/>
              </w:rPr>
            </w:pPr>
            <w:r w:rsidRPr="007940C0">
              <w:rPr>
                <w:b/>
                <w:sz w:val="20"/>
              </w:rPr>
              <w:t>%</w:t>
            </w:r>
          </w:p>
        </w:tc>
        <w:tc>
          <w:tcPr>
            <w:tcW w:w="365" w:type="pct"/>
            <w:tcBorders>
              <w:top w:val="single" w:sz="18" w:space="0" w:color="auto"/>
              <w:left w:val="single" w:sz="8" w:space="0" w:color="000000"/>
              <w:bottom w:val="single" w:sz="4" w:space="0" w:color="auto"/>
              <w:right w:val="single" w:sz="8" w:space="0" w:color="000000"/>
            </w:tcBorders>
            <w:vAlign w:val="center"/>
          </w:tcPr>
          <w:p w14:paraId="5C5CA405" w14:textId="77777777" w:rsidR="00D90E6B" w:rsidRPr="007940C0" w:rsidRDefault="00D90E6B" w:rsidP="00D90E6B">
            <w:pPr>
              <w:ind w:firstLine="0"/>
              <w:jc w:val="center"/>
              <w:rPr>
                <w:b/>
                <w:sz w:val="20"/>
              </w:rPr>
            </w:pPr>
            <w:r w:rsidRPr="007940C0">
              <w:rPr>
                <w:b/>
                <w:sz w:val="20"/>
              </w:rPr>
              <w:t>Freq.</w:t>
            </w:r>
          </w:p>
        </w:tc>
        <w:tc>
          <w:tcPr>
            <w:tcW w:w="291" w:type="pct"/>
            <w:tcBorders>
              <w:top w:val="single" w:sz="18" w:space="0" w:color="auto"/>
              <w:left w:val="single" w:sz="8" w:space="0" w:color="000000"/>
              <w:bottom w:val="single" w:sz="4" w:space="0" w:color="auto"/>
              <w:right w:val="single" w:sz="8" w:space="0" w:color="000000"/>
            </w:tcBorders>
            <w:vAlign w:val="center"/>
          </w:tcPr>
          <w:p w14:paraId="690D2855" w14:textId="77777777" w:rsidR="00D90E6B" w:rsidRPr="007940C0" w:rsidRDefault="00D90E6B" w:rsidP="00D90E6B">
            <w:pPr>
              <w:ind w:firstLine="0"/>
              <w:jc w:val="center"/>
              <w:rPr>
                <w:b/>
                <w:sz w:val="20"/>
              </w:rPr>
            </w:pPr>
            <w:r w:rsidRPr="007940C0">
              <w:rPr>
                <w:b/>
                <w:sz w:val="20"/>
              </w:rPr>
              <w:t>%</w:t>
            </w:r>
          </w:p>
        </w:tc>
        <w:tc>
          <w:tcPr>
            <w:tcW w:w="435" w:type="pct"/>
            <w:tcBorders>
              <w:top w:val="single" w:sz="18" w:space="0" w:color="auto"/>
              <w:left w:val="single" w:sz="8" w:space="0" w:color="000000"/>
              <w:bottom w:val="single" w:sz="4" w:space="0" w:color="auto"/>
              <w:right w:val="single" w:sz="8" w:space="0" w:color="000000"/>
            </w:tcBorders>
            <w:vAlign w:val="center"/>
          </w:tcPr>
          <w:p w14:paraId="38D140E3" w14:textId="77777777" w:rsidR="00D90E6B" w:rsidRPr="007940C0" w:rsidRDefault="00D90E6B" w:rsidP="00D90E6B">
            <w:pPr>
              <w:ind w:firstLine="0"/>
              <w:jc w:val="center"/>
              <w:rPr>
                <w:b/>
                <w:sz w:val="20"/>
              </w:rPr>
            </w:pPr>
            <w:r w:rsidRPr="007940C0">
              <w:rPr>
                <w:b/>
                <w:sz w:val="20"/>
              </w:rPr>
              <w:t>Freq.</w:t>
            </w:r>
          </w:p>
        </w:tc>
        <w:tc>
          <w:tcPr>
            <w:tcW w:w="289" w:type="pct"/>
            <w:tcBorders>
              <w:top w:val="single" w:sz="18" w:space="0" w:color="auto"/>
              <w:left w:val="single" w:sz="8" w:space="0" w:color="000000"/>
              <w:bottom w:val="single" w:sz="4" w:space="0" w:color="auto"/>
              <w:right w:val="single" w:sz="8" w:space="0" w:color="000000"/>
            </w:tcBorders>
            <w:vAlign w:val="center"/>
          </w:tcPr>
          <w:p w14:paraId="4EB30F8B" w14:textId="77777777" w:rsidR="00D90E6B" w:rsidRPr="007940C0" w:rsidRDefault="00D90E6B" w:rsidP="00D90E6B">
            <w:pPr>
              <w:ind w:firstLine="0"/>
              <w:jc w:val="center"/>
              <w:rPr>
                <w:b/>
                <w:sz w:val="20"/>
              </w:rPr>
            </w:pPr>
            <w:r w:rsidRPr="007940C0">
              <w:rPr>
                <w:b/>
                <w:sz w:val="20"/>
              </w:rPr>
              <w:t>%</w:t>
            </w:r>
          </w:p>
        </w:tc>
        <w:tc>
          <w:tcPr>
            <w:tcW w:w="364" w:type="pct"/>
            <w:tcBorders>
              <w:top w:val="single" w:sz="18" w:space="0" w:color="auto"/>
              <w:left w:val="single" w:sz="8" w:space="0" w:color="000000"/>
              <w:bottom w:val="single" w:sz="4" w:space="0" w:color="auto"/>
              <w:right w:val="single" w:sz="8" w:space="0" w:color="000000"/>
            </w:tcBorders>
            <w:vAlign w:val="center"/>
          </w:tcPr>
          <w:p w14:paraId="4668217C" w14:textId="77777777" w:rsidR="00D90E6B" w:rsidRPr="007940C0" w:rsidRDefault="00D90E6B" w:rsidP="00D90E6B">
            <w:pPr>
              <w:ind w:firstLine="0"/>
              <w:jc w:val="center"/>
              <w:rPr>
                <w:b/>
                <w:sz w:val="20"/>
              </w:rPr>
            </w:pPr>
            <w:r w:rsidRPr="007940C0">
              <w:rPr>
                <w:b/>
                <w:sz w:val="20"/>
              </w:rPr>
              <w:t>Freq.</w:t>
            </w:r>
          </w:p>
        </w:tc>
        <w:tc>
          <w:tcPr>
            <w:tcW w:w="290" w:type="pct"/>
            <w:tcBorders>
              <w:top w:val="single" w:sz="18" w:space="0" w:color="auto"/>
              <w:left w:val="single" w:sz="8" w:space="0" w:color="000000"/>
              <w:bottom w:val="single" w:sz="4" w:space="0" w:color="auto"/>
              <w:right w:val="single" w:sz="8" w:space="0" w:color="000000"/>
            </w:tcBorders>
            <w:vAlign w:val="center"/>
          </w:tcPr>
          <w:p w14:paraId="23D971A8" w14:textId="77777777" w:rsidR="00D90E6B" w:rsidRPr="007940C0" w:rsidRDefault="00D90E6B" w:rsidP="00D90E6B">
            <w:pPr>
              <w:ind w:firstLine="0"/>
              <w:jc w:val="center"/>
              <w:rPr>
                <w:b/>
                <w:sz w:val="20"/>
              </w:rPr>
            </w:pPr>
            <w:r w:rsidRPr="007940C0">
              <w:rPr>
                <w:b/>
                <w:sz w:val="20"/>
              </w:rPr>
              <w:t>%</w:t>
            </w:r>
          </w:p>
        </w:tc>
        <w:tc>
          <w:tcPr>
            <w:tcW w:w="363" w:type="pct"/>
            <w:tcBorders>
              <w:top w:val="single" w:sz="18" w:space="0" w:color="auto"/>
              <w:left w:val="single" w:sz="8" w:space="0" w:color="000000"/>
              <w:bottom w:val="single" w:sz="4" w:space="0" w:color="auto"/>
              <w:right w:val="single" w:sz="8" w:space="0" w:color="000000"/>
            </w:tcBorders>
            <w:vAlign w:val="center"/>
          </w:tcPr>
          <w:p w14:paraId="67EA0B2D" w14:textId="77777777" w:rsidR="00D90E6B" w:rsidRPr="007940C0" w:rsidRDefault="00D90E6B" w:rsidP="00D90E6B">
            <w:pPr>
              <w:ind w:firstLine="0"/>
              <w:jc w:val="center"/>
              <w:rPr>
                <w:b/>
                <w:sz w:val="20"/>
              </w:rPr>
            </w:pPr>
            <w:r w:rsidRPr="007940C0">
              <w:rPr>
                <w:b/>
                <w:sz w:val="20"/>
              </w:rPr>
              <w:t>Freq.</w:t>
            </w:r>
          </w:p>
        </w:tc>
        <w:tc>
          <w:tcPr>
            <w:tcW w:w="291" w:type="pct"/>
            <w:tcBorders>
              <w:top w:val="single" w:sz="18" w:space="0" w:color="auto"/>
              <w:left w:val="single" w:sz="8" w:space="0" w:color="000000"/>
              <w:bottom w:val="single" w:sz="4" w:space="0" w:color="auto"/>
              <w:right w:val="single" w:sz="8" w:space="0" w:color="000000"/>
            </w:tcBorders>
            <w:vAlign w:val="center"/>
          </w:tcPr>
          <w:p w14:paraId="18BBB2B0" w14:textId="77777777" w:rsidR="00D90E6B" w:rsidRPr="007940C0" w:rsidRDefault="00D90E6B" w:rsidP="00D90E6B">
            <w:pPr>
              <w:ind w:firstLine="0"/>
              <w:jc w:val="center"/>
              <w:rPr>
                <w:b/>
                <w:sz w:val="20"/>
              </w:rPr>
            </w:pPr>
            <w:r w:rsidRPr="007940C0">
              <w:rPr>
                <w:b/>
                <w:sz w:val="20"/>
              </w:rPr>
              <w:t>%</w:t>
            </w:r>
          </w:p>
        </w:tc>
        <w:tc>
          <w:tcPr>
            <w:tcW w:w="362" w:type="pct"/>
            <w:tcBorders>
              <w:top w:val="single" w:sz="18" w:space="0" w:color="auto"/>
              <w:left w:val="single" w:sz="8" w:space="0" w:color="000000"/>
              <w:bottom w:val="nil"/>
              <w:right w:val="single" w:sz="8" w:space="0" w:color="000000"/>
            </w:tcBorders>
            <w:vAlign w:val="center"/>
          </w:tcPr>
          <w:p w14:paraId="73C2CEA5" w14:textId="77777777" w:rsidR="00D90E6B" w:rsidRPr="007940C0" w:rsidRDefault="00D90E6B" w:rsidP="00D90E6B">
            <w:pPr>
              <w:ind w:firstLine="0"/>
              <w:jc w:val="center"/>
              <w:rPr>
                <w:b/>
                <w:sz w:val="20"/>
              </w:rPr>
            </w:pPr>
            <w:r w:rsidRPr="007940C0">
              <w:rPr>
                <w:b/>
                <w:sz w:val="20"/>
              </w:rPr>
              <w:t>Freq.</w:t>
            </w:r>
          </w:p>
        </w:tc>
        <w:tc>
          <w:tcPr>
            <w:tcW w:w="290" w:type="pct"/>
            <w:tcBorders>
              <w:top w:val="single" w:sz="18" w:space="0" w:color="auto"/>
              <w:left w:val="single" w:sz="8" w:space="0" w:color="000000"/>
              <w:bottom w:val="nil"/>
              <w:right w:val="single" w:sz="8" w:space="0" w:color="000000"/>
            </w:tcBorders>
            <w:vAlign w:val="center"/>
          </w:tcPr>
          <w:p w14:paraId="137E7F70" w14:textId="77777777" w:rsidR="00D90E6B" w:rsidRPr="007940C0" w:rsidRDefault="00D90E6B" w:rsidP="00D90E6B">
            <w:pPr>
              <w:ind w:firstLine="0"/>
              <w:jc w:val="center"/>
              <w:rPr>
                <w:b/>
                <w:sz w:val="20"/>
              </w:rPr>
            </w:pPr>
            <w:r w:rsidRPr="007940C0">
              <w:rPr>
                <w:b/>
                <w:sz w:val="20"/>
              </w:rPr>
              <w:t>%</w:t>
            </w:r>
          </w:p>
        </w:tc>
        <w:tc>
          <w:tcPr>
            <w:tcW w:w="363" w:type="pct"/>
            <w:tcBorders>
              <w:top w:val="single" w:sz="18" w:space="0" w:color="auto"/>
              <w:left w:val="single" w:sz="8" w:space="0" w:color="000000"/>
              <w:bottom w:val="single" w:sz="4" w:space="0" w:color="auto"/>
              <w:right w:val="single" w:sz="4" w:space="0" w:color="auto"/>
            </w:tcBorders>
            <w:vAlign w:val="center"/>
          </w:tcPr>
          <w:p w14:paraId="76EBA9F3" w14:textId="77777777" w:rsidR="00D90E6B" w:rsidRPr="007940C0" w:rsidRDefault="00D90E6B" w:rsidP="00D90E6B">
            <w:pPr>
              <w:ind w:firstLine="0"/>
              <w:jc w:val="center"/>
              <w:rPr>
                <w:b/>
                <w:sz w:val="20"/>
              </w:rPr>
            </w:pPr>
            <w:r w:rsidRPr="007940C0">
              <w:rPr>
                <w:b/>
                <w:sz w:val="20"/>
              </w:rPr>
              <w:t>Freq.</w:t>
            </w:r>
          </w:p>
        </w:tc>
        <w:tc>
          <w:tcPr>
            <w:tcW w:w="286" w:type="pct"/>
            <w:tcBorders>
              <w:top w:val="single" w:sz="18" w:space="0" w:color="auto"/>
              <w:left w:val="single" w:sz="4" w:space="0" w:color="auto"/>
              <w:bottom w:val="single" w:sz="4" w:space="0" w:color="auto"/>
            </w:tcBorders>
            <w:shd w:val="clear" w:color="auto" w:fill="auto"/>
            <w:noWrap/>
            <w:vAlign w:val="center"/>
          </w:tcPr>
          <w:p w14:paraId="49E3CD4E" w14:textId="77777777" w:rsidR="00D90E6B" w:rsidRPr="007940C0" w:rsidRDefault="00D90E6B" w:rsidP="00D90E6B">
            <w:pPr>
              <w:ind w:firstLine="0"/>
              <w:jc w:val="center"/>
              <w:rPr>
                <w:b/>
                <w:sz w:val="20"/>
              </w:rPr>
            </w:pPr>
            <w:r w:rsidRPr="007940C0">
              <w:rPr>
                <w:b/>
                <w:sz w:val="20"/>
              </w:rPr>
              <w:t>%</w:t>
            </w:r>
          </w:p>
        </w:tc>
      </w:tr>
      <w:tr w:rsidR="00D90E6B" w:rsidRPr="007940C0" w14:paraId="3A08A79E" w14:textId="77777777" w:rsidTr="006A5420">
        <w:trPr>
          <w:trHeight w:val="255"/>
          <w:jc w:val="center"/>
        </w:trPr>
        <w:tc>
          <w:tcPr>
            <w:tcW w:w="358"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hideMark/>
          </w:tcPr>
          <w:p w14:paraId="3FB1045C" w14:textId="77777777" w:rsidR="00D90E6B" w:rsidRPr="007940C0" w:rsidRDefault="00D90E6B" w:rsidP="00D90E6B">
            <w:pPr>
              <w:ind w:firstLine="0"/>
              <w:jc w:val="center"/>
              <w:rPr>
                <w:sz w:val="20"/>
              </w:rPr>
            </w:pPr>
            <w:r w:rsidRPr="007940C0">
              <w:rPr>
                <w:sz w:val="20"/>
              </w:rPr>
              <w:t>Q01</w:t>
            </w:r>
          </w:p>
        </w:tc>
        <w:tc>
          <w:tcPr>
            <w:tcW w:w="362" w:type="pct"/>
            <w:tcBorders>
              <w:top w:val="single" w:sz="4" w:space="0" w:color="auto"/>
              <w:left w:val="nil"/>
              <w:bottom w:val="single" w:sz="4" w:space="0" w:color="auto"/>
              <w:right w:val="single" w:sz="4" w:space="0" w:color="auto"/>
            </w:tcBorders>
            <w:shd w:val="clear" w:color="auto" w:fill="auto"/>
            <w:noWrap/>
            <w:vAlign w:val="center"/>
          </w:tcPr>
          <w:p w14:paraId="05011EE8" w14:textId="77777777" w:rsidR="00D90E6B" w:rsidRPr="007940C0" w:rsidRDefault="00D90E6B" w:rsidP="00D90E6B">
            <w:pPr>
              <w:ind w:firstLine="0"/>
              <w:jc w:val="center"/>
              <w:rPr>
                <w:sz w:val="20"/>
              </w:rPr>
            </w:pPr>
            <w:r w:rsidRPr="007940C0">
              <w:rPr>
                <w:sz w:val="20"/>
              </w:rPr>
              <w:t>11</w:t>
            </w:r>
          </w:p>
        </w:tc>
        <w:tc>
          <w:tcPr>
            <w:tcW w:w="291" w:type="pct"/>
            <w:tcBorders>
              <w:top w:val="single" w:sz="4" w:space="0" w:color="auto"/>
              <w:left w:val="single" w:sz="4" w:space="0" w:color="auto"/>
              <w:bottom w:val="single" w:sz="4" w:space="0" w:color="auto"/>
              <w:right w:val="single" w:sz="4" w:space="0" w:color="auto"/>
            </w:tcBorders>
            <w:vAlign w:val="center"/>
          </w:tcPr>
          <w:p w14:paraId="170B69D3" w14:textId="77777777" w:rsidR="00D90E6B" w:rsidRPr="007940C0" w:rsidRDefault="00D90E6B" w:rsidP="00D90E6B">
            <w:pPr>
              <w:ind w:firstLine="0"/>
              <w:jc w:val="center"/>
              <w:rPr>
                <w:sz w:val="20"/>
              </w:rPr>
            </w:pPr>
            <w:r w:rsidRPr="007940C0">
              <w:rPr>
                <w:sz w:val="20"/>
              </w:rPr>
              <w:t>10,5</w:t>
            </w:r>
          </w:p>
        </w:tc>
        <w:tc>
          <w:tcPr>
            <w:tcW w:w="365" w:type="pct"/>
            <w:tcBorders>
              <w:top w:val="single" w:sz="4" w:space="0" w:color="auto"/>
              <w:left w:val="single" w:sz="4" w:space="0" w:color="auto"/>
              <w:bottom w:val="single" w:sz="4" w:space="0" w:color="auto"/>
              <w:right w:val="single" w:sz="4" w:space="0" w:color="auto"/>
            </w:tcBorders>
            <w:vAlign w:val="center"/>
          </w:tcPr>
          <w:p w14:paraId="2BE77854" w14:textId="77777777" w:rsidR="00D90E6B" w:rsidRPr="007940C0" w:rsidRDefault="00D90E6B" w:rsidP="00D90E6B">
            <w:pPr>
              <w:ind w:firstLine="0"/>
              <w:jc w:val="center"/>
              <w:rPr>
                <w:sz w:val="20"/>
              </w:rPr>
            </w:pPr>
            <w:r w:rsidRPr="007940C0">
              <w:rPr>
                <w:sz w:val="20"/>
              </w:rPr>
              <w:t>12</w:t>
            </w:r>
          </w:p>
        </w:tc>
        <w:tc>
          <w:tcPr>
            <w:tcW w:w="291" w:type="pct"/>
            <w:tcBorders>
              <w:top w:val="single" w:sz="4" w:space="0" w:color="auto"/>
              <w:left w:val="single" w:sz="4" w:space="0" w:color="auto"/>
              <w:bottom w:val="single" w:sz="4" w:space="0" w:color="auto"/>
              <w:right w:val="single" w:sz="4" w:space="0" w:color="auto"/>
            </w:tcBorders>
            <w:vAlign w:val="center"/>
          </w:tcPr>
          <w:p w14:paraId="69FFFC97" w14:textId="77777777" w:rsidR="00D90E6B" w:rsidRPr="007940C0" w:rsidRDefault="00D90E6B" w:rsidP="00D90E6B">
            <w:pPr>
              <w:ind w:firstLine="0"/>
              <w:jc w:val="center"/>
              <w:rPr>
                <w:sz w:val="20"/>
              </w:rPr>
            </w:pPr>
            <w:r w:rsidRPr="007940C0">
              <w:rPr>
                <w:sz w:val="20"/>
              </w:rPr>
              <w:t>11,4</w:t>
            </w:r>
          </w:p>
        </w:tc>
        <w:tc>
          <w:tcPr>
            <w:tcW w:w="435" w:type="pct"/>
            <w:tcBorders>
              <w:top w:val="single" w:sz="4" w:space="0" w:color="auto"/>
              <w:left w:val="single" w:sz="4" w:space="0" w:color="auto"/>
              <w:bottom w:val="single" w:sz="4" w:space="0" w:color="auto"/>
              <w:right w:val="single" w:sz="4" w:space="0" w:color="auto"/>
            </w:tcBorders>
            <w:vAlign w:val="center"/>
          </w:tcPr>
          <w:p w14:paraId="1C8A1109" w14:textId="77777777" w:rsidR="00D90E6B" w:rsidRPr="007940C0" w:rsidRDefault="00D90E6B" w:rsidP="00D90E6B">
            <w:pPr>
              <w:ind w:firstLine="0"/>
              <w:jc w:val="center"/>
              <w:rPr>
                <w:sz w:val="20"/>
              </w:rPr>
            </w:pPr>
            <w:r w:rsidRPr="007940C0">
              <w:rPr>
                <w:sz w:val="20"/>
              </w:rPr>
              <w:t>11</w:t>
            </w:r>
          </w:p>
        </w:tc>
        <w:tc>
          <w:tcPr>
            <w:tcW w:w="289" w:type="pct"/>
            <w:tcBorders>
              <w:top w:val="single" w:sz="4" w:space="0" w:color="auto"/>
              <w:left w:val="single" w:sz="4" w:space="0" w:color="auto"/>
              <w:bottom w:val="single" w:sz="4" w:space="0" w:color="auto"/>
              <w:right w:val="single" w:sz="4" w:space="0" w:color="auto"/>
            </w:tcBorders>
            <w:vAlign w:val="center"/>
          </w:tcPr>
          <w:p w14:paraId="77BC5A7C" w14:textId="77777777" w:rsidR="00D90E6B" w:rsidRPr="007940C0" w:rsidRDefault="00D90E6B" w:rsidP="00D90E6B">
            <w:pPr>
              <w:ind w:firstLine="0"/>
              <w:jc w:val="center"/>
              <w:rPr>
                <w:sz w:val="20"/>
              </w:rPr>
            </w:pPr>
            <w:r w:rsidRPr="007940C0">
              <w:rPr>
                <w:sz w:val="20"/>
              </w:rPr>
              <w:t>10,5</w:t>
            </w:r>
          </w:p>
        </w:tc>
        <w:tc>
          <w:tcPr>
            <w:tcW w:w="364" w:type="pct"/>
            <w:tcBorders>
              <w:top w:val="single" w:sz="4" w:space="0" w:color="auto"/>
              <w:left w:val="single" w:sz="4" w:space="0" w:color="auto"/>
              <w:bottom w:val="single" w:sz="4" w:space="0" w:color="auto"/>
              <w:right w:val="single" w:sz="4" w:space="0" w:color="auto"/>
            </w:tcBorders>
            <w:vAlign w:val="center"/>
          </w:tcPr>
          <w:p w14:paraId="0FE84D8C" w14:textId="77777777" w:rsidR="00D90E6B" w:rsidRPr="007940C0" w:rsidRDefault="00D90E6B" w:rsidP="00D90E6B">
            <w:pPr>
              <w:ind w:firstLine="0"/>
              <w:jc w:val="center"/>
              <w:rPr>
                <w:sz w:val="20"/>
              </w:rPr>
            </w:pPr>
            <w:r w:rsidRPr="007940C0">
              <w:rPr>
                <w:sz w:val="20"/>
              </w:rPr>
              <w:t>23</w:t>
            </w:r>
          </w:p>
        </w:tc>
        <w:tc>
          <w:tcPr>
            <w:tcW w:w="290" w:type="pct"/>
            <w:tcBorders>
              <w:top w:val="single" w:sz="4" w:space="0" w:color="auto"/>
              <w:left w:val="single" w:sz="4" w:space="0" w:color="auto"/>
              <w:bottom w:val="single" w:sz="4" w:space="0" w:color="auto"/>
              <w:right w:val="single" w:sz="4" w:space="0" w:color="auto"/>
            </w:tcBorders>
            <w:vAlign w:val="center"/>
          </w:tcPr>
          <w:p w14:paraId="5DF3A922" w14:textId="77777777" w:rsidR="00D90E6B" w:rsidRPr="007940C0" w:rsidRDefault="00D90E6B" w:rsidP="00D90E6B">
            <w:pPr>
              <w:ind w:firstLine="0"/>
              <w:jc w:val="center"/>
              <w:rPr>
                <w:sz w:val="20"/>
              </w:rPr>
            </w:pPr>
            <w:r w:rsidRPr="007940C0">
              <w:rPr>
                <w:sz w:val="20"/>
              </w:rPr>
              <w:t>21,9</w:t>
            </w:r>
          </w:p>
        </w:tc>
        <w:tc>
          <w:tcPr>
            <w:tcW w:w="363" w:type="pct"/>
            <w:tcBorders>
              <w:top w:val="single" w:sz="4" w:space="0" w:color="auto"/>
              <w:left w:val="single" w:sz="4" w:space="0" w:color="auto"/>
              <w:bottom w:val="single" w:sz="4" w:space="0" w:color="auto"/>
              <w:right w:val="single" w:sz="4" w:space="0" w:color="auto"/>
            </w:tcBorders>
            <w:vAlign w:val="center"/>
          </w:tcPr>
          <w:p w14:paraId="67AC5CCF" w14:textId="77777777" w:rsidR="00D90E6B" w:rsidRPr="007940C0" w:rsidRDefault="00D90E6B" w:rsidP="00D90E6B">
            <w:pPr>
              <w:ind w:firstLine="0"/>
              <w:jc w:val="center"/>
              <w:rPr>
                <w:sz w:val="20"/>
              </w:rPr>
            </w:pPr>
            <w:r w:rsidRPr="007940C0">
              <w:rPr>
                <w:sz w:val="20"/>
              </w:rPr>
              <w:t>20</w:t>
            </w:r>
          </w:p>
        </w:tc>
        <w:tc>
          <w:tcPr>
            <w:tcW w:w="291" w:type="pct"/>
            <w:tcBorders>
              <w:top w:val="single" w:sz="4" w:space="0" w:color="auto"/>
              <w:left w:val="single" w:sz="4" w:space="0" w:color="auto"/>
              <w:bottom w:val="single" w:sz="4" w:space="0" w:color="auto"/>
              <w:right w:val="single" w:sz="4" w:space="0" w:color="auto"/>
            </w:tcBorders>
            <w:vAlign w:val="center"/>
          </w:tcPr>
          <w:p w14:paraId="5A715AC6" w14:textId="77777777" w:rsidR="00D90E6B" w:rsidRPr="007940C0" w:rsidRDefault="00D90E6B" w:rsidP="00D90E6B">
            <w:pPr>
              <w:ind w:firstLine="0"/>
              <w:jc w:val="center"/>
              <w:rPr>
                <w:sz w:val="20"/>
              </w:rPr>
            </w:pPr>
            <w:r w:rsidRPr="007940C0">
              <w:rPr>
                <w:sz w:val="20"/>
              </w:rPr>
              <w:t>19</w:t>
            </w:r>
          </w:p>
        </w:tc>
        <w:tc>
          <w:tcPr>
            <w:tcW w:w="362" w:type="pct"/>
            <w:tcBorders>
              <w:top w:val="single" w:sz="4" w:space="0" w:color="auto"/>
              <w:left w:val="nil"/>
              <w:bottom w:val="single" w:sz="4" w:space="0" w:color="auto"/>
              <w:right w:val="single" w:sz="4" w:space="0" w:color="auto"/>
            </w:tcBorders>
            <w:vAlign w:val="center"/>
          </w:tcPr>
          <w:p w14:paraId="49B43525" w14:textId="77777777" w:rsidR="00D90E6B" w:rsidRPr="007940C0" w:rsidRDefault="00D90E6B" w:rsidP="00D90E6B">
            <w:pPr>
              <w:ind w:firstLine="0"/>
              <w:jc w:val="center"/>
              <w:rPr>
                <w:sz w:val="20"/>
              </w:rPr>
            </w:pPr>
            <w:r w:rsidRPr="007940C0">
              <w:rPr>
                <w:sz w:val="20"/>
              </w:rPr>
              <w:t>10</w:t>
            </w:r>
          </w:p>
        </w:tc>
        <w:tc>
          <w:tcPr>
            <w:tcW w:w="290" w:type="pct"/>
            <w:tcBorders>
              <w:top w:val="single" w:sz="4" w:space="0" w:color="auto"/>
              <w:left w:val="nil"/>
              <w:bottom w:val="single" w:sz="4" w:space="0" w:color="auto"/>
              <w:right w:val="single" w:sz="4" w:space="0" w:color="auto"/>
            </w:tcBorders>
            <w:vAlign w:val="center"/>
          </w:tcPr>
          <w:p w14:paraId="2167B6C4" w14:textId="77777777" w:rsidR="00D90E6B" w:rsidRPr="007940C0" w:rsidRDefault="00D90E6B" w:rsidP="00D90E6B">
            <w:pPr>
              <w:ind w:firstLine="0"/>
              <w:jc w:val="center"/>
              <w:rPr>
                <w:sz w:val="20"/>
              </w:rPr>
            </w:pPr>
            <w:r w:rsidRPr="007940C0">
              <w:rPr>
                <w:sz w:val="20"/>
              </w:rPr>
              <w:t>9,5</w:t>
            </w:r>
          </w:p>
        </w:tc>
        <w:tc>
          <w:tcPr>
            <w:tcW w:w="363" w:type="pct"/>
            <w:tcBorders>
              <w:top w:val="single" w:sz="4" w:space="0" w:color="auto"/>
              <w:left w:val="nil"/>
              <w:bottom w:val="single" w:sz="4" w:space="0" w:color="auto"/>
              <w:right w:val="single" w:sz="4" w:space="0" w:color="auto"/>
            </w:tcBorders>
            <w:vAlign w:val="center"/>
          </w:tcPr>
          <w:p w14:paraId="22DB4D61" w14:textId="77777777" w:rsidR="00D90E6B" w:rsidRPr="007940C0" w:rsidRDefault="00D90E6B" w:rsidP="00D90E6B">
            <w:pPr>
              <w:ind w:firstLine="0"/>
              <w:jc w:val="center"/>
              <w:rPr>
                <w:sz w:val="20"/>
              </w:rPr>
            </w:pPr>
            <w:r w:rsidRPr="007940C0">
              <w:rPr>
                <w:sz w:val="20"/>
              </w:rPr>
              <w:t>18</w:t>
            </w:r>
          </w:p>
        </w:tc>
        <w:tc>
          <w:tcPr>
            <w:tcW w:w="286" w:type="pct"/>
            <w:tcBorders>
              <w:top w:val="single" w:sz="4" w:space="0" w:color="auto"/>
              <w:left w:val="single" w:sz="4" w:space="0" w:color="auto"/>
              <w:bottom w:val="single" w:sz="4" w:space="0" w:color="auto"/>
            </w:tcBorders>
            <w:shd w:val="clear" w:color="auto" w:fill="auto"/>
            <w:noWrap/>
            <w:vAlign w:val="center"/>
          </w:tcPr>
          <w:p w14:paraId="5234435A" w14:textId="77777777" w:rsidR="00D90E6B" w:rsidRPr="007940C0" w:rsidRDefault="00D90E6B" w:rsidP="00D90E6B">
            <w:pPr>
              <w:ind w:firstLine="0"/>
              <w:jc w:val="center"/>
              <w:rPr>
                <w:sz w:val="20"/>
              </w:rPr>
            </w:pPr>
            <w:r w:rsidRPr="007940C0">
              <w:rPr>
                <w:sz w:val="20"/>
              </w:rPr>
              <w:t>17,1</w:t>
            </w:r>
          </w:p>
        </w:tc>
      </w:tr>
      <w:tr w:rsidR="00D90E6B" w:rsidRPr="007940C0" w14:paraId="08CB4833" w14:textId="77777777" w:rsidTr="006A5420">
        <w:trPr>
          <w:trHeight w:val="255"/>
          <w:jc w:val="center"/>
        </w:trPr>
        <w:tc>
          <w:tcPr>
            <w:tcW w:w="358"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tcPr>
          <w:p w14:paraId="79131CA8" w14:textId="77777777" w:rsidR="00D90E6B" w:rsidRPr="007940C0" w:rsidRDefault="00D90E6B" w:rsidP="00D90E6B">
            <w:pPr>
              <w:ind w:firstLine="0"/>
              <w:jc w:val="center"/>
              <w:rPr>
                <w:sz w:val="20"/>
              </w:rPr>
            </w:pPr>
            <w:r w:rsidRPr="007940C0">
              <w:rPr>
                <w:sz w:val="20"/>
              </w:rPr>
              <w:t>Q03</w:t>
            </w:r>
          </w:p>
        </w:tc>
        <w:tc>
          <w:tcPr>
            <w:tcW w:w="362" w:type="pct"/>
            <w:tcBorders>
              <w:top w:val="single" w:sz="4" w:space="0" w:color="auto"/>
              <w:left w:val="nil"/>
              <w:bottom w:val="single" w:sz="4" w:space="0" w:color="auto"/>
              <w:right w:val="single" w:sz="4" w:space="0" w:color="auto"/>
            </w:tcBorders>
            <w:shd w:val="clear" w:color="auto" w:fill="auto"/>
            <w:noWrap/>
            <w:vAlign w:val="center"/>
          </w:tcPr>
          <w:p w14:paraId="6D3F4513" w14:textId="77777777" w:rsidR="00D90E6B" w:rsidRPr="007940C0" w:rsidRDefault="00D90E6B" w:rsidP="00D90E6B">
            <w:pPr>
              <w:ind w:firstLine="0"/>
              <w:jc w:val="center"/>
              <w:rPr>
                <w:sz w:val="20"/>
              </w:rPr>
            </w:pPr>
            <w:r w:rsidRPr="007940C0">
              <w:rPr>
                <w:sz w:val="20"/>
              </w:rPr>
              <w:t>12</w:t>
            </w:r>
          </w:p>
        </w:tc>
        <w:tc>
          <w:tcPr>
            <w:tcW w:w="291" w:type="pct"/>
            <w:tcBorders>
              <w:top w:val="single" w:sz="4" w:space="0" w:color="auto"/>
              <w:left w:val="single" w:sz="4" w:space="0" w:color="auto"/>
              <w:bottom w:val="single" w:sz="4" w:space="0" w:color="auto"/>
              <w:right w:val="single" w:sz="4" w:space="0" w:color="auto"/>
            </w:tcBorders>
            <w:vAlign w:val="center"/>
          </w:tcPr>
          <w:p w14:paraId="2F49E769" w14:textId="77777777" w:rsidR="00D90E6B" w:rsidRPr="007940C0" w:rsidRDefault="00D90E6B" w:rsidP="00D90E6B">
            <w:pPr>
              <w:ind w:firstLine="0"/>
              <w:jc w:val="center"/>
              <w:rPr>
                <w:sz w:val="20"/>
              </w:rPr>
            </w:pPr>
            <w:r w:rsidRPr="007940C0">
              <w:rPr>
                <w:sz w:val="20"/>
              </w:rPr>
              <w:t>11,4</w:t>
            </w:r>
          </w:p>
        </w:tc>
        <w:tc>
          <w:tcPr>
            <w:tcW w:w="365" w:type="pct"/>
            <w:tcBorders>
              <w:top w:val="single" w:sz="4" w:space="0" w:color="auto"/>
              <w:left w:val="single" w:sz="4" w:space="0" w:color="auto"/>
              <w:bottom w:val="single" w:sz="4" w:space="0" w:color="auto"/>
              <w:right w:val="single" w:sz="4" w:space="0" w:color="auto"/>
            </w:tcBorders>
            <w:vAlign w:val="center"/>
          </w:tcPr>
          <w:p w14:paraId="413F6436" w14:textId="77777777" w:rsidR="00D90E6B" w:rsidRPr="007940C0" w:rsidRDefault="00D90E6B" w:rsidP="00D90E6B">
            <w:pPr>
              <w:ind w:firstLine="0"/>
              <w:jc w:val="center"/>
              <w:rPr>
                <w:sz w:val="20"/>
              </w:rPr>
            </w:pPr>
            <w:r w:rsidRPr="007940C0">
              <w:rPr>
                <w:sz w:val="20"/>
              </w:rPr>
              <w:t>16</w:t>
            </w:r>
          </w:p>
        </w:tc>
        <w:tc>
          <w:tcPr>
            <w:tcW w:w="291" w:type="pct"/>
            <w:tcBorders>
              <w:top w:val="single" w:sz="4" w:space="0" w:color="auto"/>
              <w:left w:val="single" w:sz="4" w:space="0" w:color="auto"/>
              <w:bottom w:val="single" w:sz="4" w:space="0" w:color="auto"/>
              <w:right w:val="single" w:sz="4" w:space="0" w:color="auto"/>
            </w:tcBorders>
            <w:vAlign w:val="center"/>
          </w:tcPr>
          <w:p w14:paraId="37F446E1" w14:textId="77777777" w:rsidR="00D90E6B" w:rsidRPr="007940C0" w:rsidRDefault="00D90E6B" w:rsidP="00D90E6B">
            <w:pPr>
              <w:ind w:firstLine="0"/>
              <w:jc w:val="center"/>
              <w:rPr>
                <w:sz w:val="20"/>
              </w:rPr>
            </w:pPr>
            <w:r w:rsidRPr="007940C0">
              <w:rPr>
                <w:sz w:val="20"/>
              </w:rPr>
              <w:t>15,2</w:t>
            </w:r>
          </w:p>
        </w:tc>
        <w:tc>
          <w:tcPr>
            <w:tcW w:w="435" w:type="pct"/>
            <w:tcBorders>
              <w:top w:val="single" w:sz="4" w:space="0" w:color="auto"/>
              <w:left w:val="single" w:sz="4" w:space="0" w:color="auto"/>
              <w:bottom w:val="single" w:sz="4" w:space="0" w:color="auto"/>
              <w:right w:val="single" w:sz="4" w:space="0" w:color="auto"/>
            </w:tcBorders>
            <w:vAlign w:val="center"/>
          </w:tcPr>
          <w:p w14:paraId="315008B8" w14:textId="77777777" w:rsidR="00D90E6B" w:rsidRPr="007940C0" w:rsidRDefault="00D90E6B" w:rsidP="00D90E6B">
            <w:pPr>
              <w:ind w:firstLine="0"/>
              <w:jc w:val="center"/>
              <w:rPr>
                <w:sz w:val="20"/>
              </w:rPr>
            </w:pPr>
            <w:r w:rsidRPr="007940C0">
              <w:rPr>
                <w:sz w:val="20"/>
              </w:rPr>
              <w:t>28</w:t>
            </w:r>
          </w:p>
        </w:tc>
        <w:tc>
          <w:tcPr>
            <w:tcW w:w="289" w:type="pct"/>
            <w:tcBorders>
              <w:top w:val="single" w:sz="4" w:space="0" w:color="auto"/>
              <w:left w:val="single" w:sz="4" w:space="0" w:color="auto"/>
              <w:bottom w:val="single" w:sz="4" w:space="0" w:color="auto"/>
              <w:right w:val="single" w:sz="4" w:space="0" w:color="auto"/>
            </w:tcBorders>
            <w:vAlign w:val="center"/>
          </w:tcPr>
          <w:p w14:paraId="666B52A8" w14:textId="77777777" w:rsidR="00D90E6B" w:rsidRPr="007940C0" w:rsidRDefault="00D90E6B" w:rsidP="00D90E6B">
            <w:pPr>
              <w:ind w:firstLine="0"/>
              <w:jc w:val="center"/>
              <w:rPr>
                <w:sz w:val="20"/>
              </w:rPr>
            </w:pPr>
            <w:r w:rsidRPr="007940C0">
              <w:rPr>
                <w:sz w:val="20"/>
              </w:rPr>
              <w:t>26,7</w:t>
            </w:r>
          </w:p>
        </w:tc>
        <w:tc>
          <w:tcPr>
            <w:tcW w:w="364" w:type="pct"/>
            <w:tcBorders>
              <w:top w:val="single" w:sz="4" w:space="0" w:color="auto"/>
              <w:left w:val="single" w:sz="4" w:space="0" w:color="auto"/>
              <w:bottom w:val="single" w:sz="4" w:space="0" w:color="auto"/>
              <w:right w:val="single" w:sz="4" w:space="0" w:color="auto"/>
            </w:tcBorders>
            <w:vAlign w:val="center"/>
          </w:tcPr>
          <w:p w14:paraId="3E4EF2BD" w14:textId="77777777" w:rsidR="00D90E6B" w:rsidRPr="007940C0" w:rsidRDefault="00D90E6B" w:rsidP="00D90E6B">
            <w:pPr>
              <w:ind w:firstLine="0"/>
              <w:jc w:val="center"/>
              <w:rPr>
                <w:sz w:val="20"/>
              </w:rPr>
            </w:pPr>
            <w:r w:rsidRPr="007940C0">
              <w:rPr>
                <w:sz w:val="20"/>
              </w:rPr>
              <w:t>19</w:t>
            </w:r>
          </w:p>
        </w:tc>
        <w:tc>
          <w:tcPr>
            <w:tcW w:w="290" w:type="pct"/>
            <w:tcBorders>
              <w:top w:val="single" w:sz="4" w:space="0" w:color="auto"/>
              <w:left w:val="single" w:sz="4" w:space="0" w:color="auto"/>
              <w:bottom w:val="single" w:sz="4" w:space="0" w:color="auto"/>
              <w:right w:val="single" w:sz="4" w:space="0" w:color="auto"/>
            </w:tcBorders>
            <w:vAlign w:val="center"/>
          </w:tcPr>
          <w:p w14:paraId="75C3123A" w14:textId="77777777" w:rsidR="00D90E6B" w:rsidRPr="007940C0" w:rsidRDefault="00D90E6B" w:rsidP="00D90E6B">
            <w:pPr>
              <w:ind w:firstLine="0"/>
              <w:jc w:val="center"/>
              <w:rPr>
                <w:sz w:val="20"/>
              </w:rPr>
            </w:pPr>
            <w:r w:rsidRPr="007940C0">
              <w:rPr>
                <w:sz w:val="20"/>
              </w:rPr>
              <w:t>18,1</w:t>
            </w:r>
          </w:p>
        </w:tc>
        <w:tc>
          <w:tcPr>
            <w:tcW w:w="363" w:type="pct"/>
            <w:tcBorders>
              <w:top w:val="single" w:sz="4" w:space="0" w:color="auto"/>
              <w:left w:val="single" w:sz="4" w:space="0" w:color="auto"/>
              <w:bottom w:val="single" w:sz="4" w:space="0" w:color="auto"/>
              <w:right w:val="single" w:sz="4" w:space="0" w:color="auto"/>
            </w:tcBorders>
            <w:vAlign w:val="center"/>
          </w:tcPr>
          <w:p w14:paraId="579F258B" w14:textId="77777777" w:rsidR="00D90E6B" w:rsidRPr="007940C0" w:rsidRDefault="00D90E6B" w:rsidP="00D90E6B">
            <w:pPr>
              <w:ind w:firstLine="0"/>
              <w:jc w:val="center"/>
              <w:rPr>
                <w:sz w:val="20"/>
              </w:rPr>
            </w:pPr>
            <w:r w:rsidRPr="007940C0">
              <w:rPr>
                <w:sz w:val="20"/>
              </w:rPr>
              <w:t>16</w:t>
            </w:r>
          </w:p>
        </w:tc>
        <w:tc>
          <w:tcPr>
            <w:tcW w:w="291" w:type="pct"/>
            <w:tcBorders>
              <w:top w:val="single" w:sz="4" w:space="0" w:color="auto"/>
              <w:left w:val="single" w:sz="4" w:space="0" w:color="auto"/>
              <w:bottom w:val="single" w:sz="4" w:space="0" w:color="auto"/>
              <w:right w:val="single" w:sz="4" w:space="0" w:color="auto"/>
            </w:tcBorders>
            <w:vAlign w:val="center"/>
          </w:tcPr>
          <w:p w14:paraId="0F7023AF" w14:textId="77777777" w:rsidR="00D90E6B" w:rsidRPr="007940C0" w:rsidRDefault="00D90E6B" w:rsidP="00D90E6B">
            <w:pPr>
              <w:ind w:firstLine="0"/>
              <w:jc w:val="center"/>
              <w:rPr>
                <w:sz w:val="20"/>
              </w:rPr>
            </w:pPr>
            <w:r w:rsidRPr="007940C0">
              <w:rPr>
                <w:sz w:val="20"/>
              </w:rPr>
              <w:t>15,2</w:t>
            </w:r>
          </w:p>
        </w:tc>
        <w:tc>
          <w:tcPr>
            <w:tcW w:w="362" w:type="pct"/>
            <w:tcBorders>
              <w:top w:val="single" w:sz="4" w:space="0" w:color="auto"/>
              <w:left w:val="nil"/>
              <w:bottom w:val="single" w:sz="4" w:space="0" w:color="auto"/>
              <w:right w:val="single" w:sz="4" w:space="0" w:color="auto"/>
            </w:tcBorders>
            <w:vAlign w:val="center"/>
          </w:tcPr>
          <w:p w14:paraId="5C15B069" w14:textId="77777777" w:rsidR="00D90E6B" w:rsidRPr="007940C0" w:rsidRDefault="00D90E6B" w:rsidP="00D90E6B">
            <w:pPr>
              <w:ind w:firstLine="0"/>
              <w:jc w:val="center"/>
              <w:rPr>
                <w:sz w:val="20"/>
              </w:rPr>
            </w:pPr>
            <w:r w:rsidRPr="007940C0">
              <w:rPr>
                <w:sz w:val="20"/>
              </w:rPr>
              <w:t>11</w:t>
            </w:r>
          </w:p>
        </w:tc>
        <w:tc>
          <w:tcPr>
            <w:tcW w:w="290" w:type="pct"/>
            <w:tcBorders>
              <w:top w:val="single" w:sz="4" w:space="0" w:color="auto"/>
              <w:left w:val="nil"/>
              <w:bottom w:val="single" w:sz="4" w:space="0" w:color="auto"/>
              <w:right w:val="single" w:sz="4" w:space="0" w:color="auto"/>
            </w:tcBorders>
            <w:vAlign w:val="center"/>
          </w:tcPr>
          <w:p w14:paraId="471DA30E" w14:textId="77777777" w:rsidR="00D90E6B" w:rsidRPr="007940C0" w:rsidRDefault="00D90E6B" w:rsidP="00D90E6B">
            <w:pPr>
              <w:ind w:firstLine="0"/>
              <w:jc w:val="center"/>
              <w:rPr>
                <w:sz w:val="20"/>
              </w:rPr>
            </w:pPr>
            <w:r w:rsidRPr="007940C0">
              <w:rPr>
                <w:sz w:val="20"/>
              </w:rPr>
              <w:t>10,5</w:t>
            </w:r>
          </w:p>
        </w:tc>
        <w:tc>
          <w:tcPr>
            <w:tcW w:w="363" w:type="pct"/>
            <w:tcBorders>
              <w:top w:val="single" w:sz="4" w:space="0" w:color="auto"/>
              <w:left w:val="nil"/>
              <w:bottom w:val="single" w:sz="4" w:space="0" w:color="auto"/>
              <w:right w:val="single" w:sz="4" w:space="0" w:color="auto"/>
            </w:tcBorders>
            <w:vAlign w:val="center"/>
          </w:tcPr>
          <w:p w14:paraId="5705340A" w14:textId="77777777" w:rsidR="00D90E6B" w:rsidRPr="007940C0" w:rsidRDefault="00D90E6B" w:rsidP="00D90E6B">
            <w:pPr>
              <w:ind w:firstLine="0"/>
              <w:jc w:val="center"/>
              <w:rPr>
                <w:sz w:val="20"/>
              </w:rPr>
            </w:pPr>
            <w:r w:rsidRPr="007940C0">
              <w:rPr>
                <w:sz w:val="20"/>
              </w:rPr>
              <w:t>3</w:t>
            </w:r>
          </w:p>
        </w:tc>
        <w:tc>
          <w:tcPr>
            <w:tcW w:w="286" w:type="pct"/>
            <w:tcBorders>
              <w:top w:val="single" w:sz="4" w:space="0" w:color="auto"/>
              <w:left w:val="single" w:sz="4" w:space="0" w:color="auto"/>
              <w:bottom w:val="single" w:sz="4" w:space="0" w:color="auto"/>
            </w:tcBorders>
            <w:shd w:val="clear" w:color="auto" w:fill="auto"/>
            <w:noWrap/>
            <w:vAlign w:val="center"/>
          </w:tcPr>
          <w:p w14:paraId="7DAA494F" w14:textId="77777777" w:rsidR="00D90E6B" w:rsidRPr="007940C0" w:rsidRDefault="00D90E6B" w:rsidP="00D90E6B">
            <w:pPr>
              <w:ind w:firstLine="0"/>
              <w:jc w:val="center"/>
              <w:rPr>
                <w:sz w:val="20"/>
              </w:rPr>
            </w:pPr>
            <w:r w:rsidRPr="007940C0">
              <w:rPr>
                <w:sz w:val="20"/>
              </w:rPr>
              <w:t>2,9</w:t>
            </w:r>
          </w:p>
        </w:tc>
      </w:tr>
      <w:tr w:rsidR="00D90E6B" w:rsidRPr="007940C0" w14:paraId="4DFFE6FF" w14:textId="77777777" w:rsidTr="006A5420">
        <w:trPr>
          <w:trHeight w:val="255"/>
          <w:jc w:val="center"/>
        </w:trPr>
        <w:tc>
          <w:tcPr>
            <w:tcW w:w="358"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tcPr>
          <w:p w14:paraId="799D8099" w14:textId="77777777" w:rsidR="00D90E6B" w:rsidRPr="007940C0" w:rsidRDefault="00D90E6B" w:rsidP="00D90E6B">
            <w:pPr>
              <w:ind w:firstLine="0"/>
              <w:jc w:val="center"/>
              <w:rPr>
                <w:sz w:val="20"/>
              </w:rPr>
            </w:pPr>
            <w:r w:rsidRPr="007940C0">
              <w:rPr>
                <w:sz w:val="20"/>
              </w:rPr>
              <w:t>Q05</w:t>
            </w:r>
          </w:p>
        </w:tc>
        <w:tc>
          <w:tcPr>
            <w:tcW w:w="362" w:type="pct"/>
            <w:tcBorders>
              <w:top w:val="single" w:sz="4" w:space="0" w:color="auto"/>
              <w:left w:val="nil"/>
              <w:bottom w:val="single" w:sz="4" w:space="0" w:color="auto"/>
              <w:right w:val="single" w:sz="4" w:space="0" w:color="auto"/>
            </w:tcBorders>
            <w:shd w:val="clear" w:color="auto" w:fill="auto"/>
            <w:noWrap/>
            <w:vAlign w:val="center"/>
          </w:tcPr>
          <w:p w14:paraId="2A5B7701" w14:textId="77777777" w:rsidR="00D90E6B" w:rsidRPr="007940C0" w:rsidRDefault="00D90E6B" w:rsidP="00D90E6B">
            <w:pPr>
              <w:ind w:firstLine="0"/>
              <w:jc w:val="center"/>
              <w:rPr>
                <w:sz w:val="20"/>
              </w:rPr>
            </w:pPr>
            <w:r w:rsidRPr="007940C0">
              <w:rPr>
                <w:sz w:val="20"/>
              </w:rPr>
              <w:t>20</w:t>
            </w:r>
          </w:p>
        </w:tc>
        <w:tc>
          <w:tcPr>
            <w:tcW w:w="291" w:type="pct"/>
            <w:tcBorders>
              <w:top w:val="single" w:sz="4" w:space="0" w:color="auto"/>
              <w:left w:val="single" w:sz="4" w:space="0" w:color="auto"/>
              <w:bottom w:val="single" w:sz="4" w:space="0" w:color="auto"/>
              <w:right w:val="single" w:sz="4" w:space="0" w:color="auto"/>
            </w:tcBorders>
            <w:vAlign w:val="center"/>
          </w:tcPr>
          <w:p w14:paraId="11F119F0" w14:textId="77777777" w:rsidR="00D90E6B" w:rsidRPr="007940C0" w:rsidRDefault="00D90E6B" w:rsidP="00D90E6B">
            <w:pPr>
              <w:ind w:firstLine="0"/>
              <w:jc w:val="center"/>
              <w:rPr>
                <w:sz w:val="20"/>
              </w:rPr>
            </w:pPr>
            <w:r w:rsidRPr="007940C0">
              <w:rPr>
                <w:sz w:val="20"/>
              </w:rPr>
              <w:t>19</w:t>
            </w:r>
          </w:p>
        </w:tc>
        <w:tc>
          <w:tcPr>
            <w:tcW w:w="365" w:type="pct"/>
            <w:tcBorders>
              <w:top w:val="single" w:sz="4" w:space="0" w:color="auto"/>
              <w:left w:val="single" w:sz="4" w:space="0" w:color="auto"/>
              <w:bottom w:val="single" w:sz="4" w:space="0" w:color="auto"/>
              <w:right w:val="single" w:sz="4" w:space="0" w:color="auto"/>
            </w:tcBorders>
            <w:vAlign w:val="center"/>
          </w:tcPr>
          <w:p w14:paraId="697CC4FB" w14:textId="77777777" w:rsidR="00D90E6B" w:rsidRPr="007940C0" w:rsidRDefault="00D90E6B" w:rsidP="00D90E6B">
            <w:pPr>
              <w:ind w:firstLine="0"/>
              <w:jc w:val="center"/>
              <w:rPr>
                <w:sz w:val="20"/>
              </w:rPr>
            </w:pPr>
            <w:r w:rsidRPr="007940C0">
              <w:rPr>
                <w:sz w:val="20"/>
              </w:rPr>
              <w:t>6</w:t>
            </w:r>
          </w:p>
        </w:tc>
        <w:tc>
          <w:tcPr>
            <w:tcW w:w="291" w:type="pct"/>
            <w:tcBorders>
              <w:top w:val="single" w:sz="4" w:space="0" w:color="auto"/>
              <w:left w:val="single" w:sz="4" w:space="0" w:color="auto"/>
              <w:bottom w:val="single" w:sz="4" w:space="0" w:color="auto"/>
              <w:right w:val="single" w:sz="4" w:space="0" w:color="auto"/>
            </w:tcBorders>
            <w:vAlign w:val="center"/>
          </w:tcPr>
          <w:p w14:paraId="729DC53F" w14:textId="77777777" w:rsidR="00D90E6B" w:rsidRPr="007940C0" w:rsidRDefault="00D90E6B" w:rsidP="00D90E6B">
            <w:pPr>
              <w:ind w:firstLine="0"/>
              <w:jc w:val="center"/>
              <w:rPr>
                <w:sz w:val="20"/>
              </w:rPr>
            </w:pPr>
            <w:r w:rsidRPr="007940C0">
              <w:rPr>
                <w:sz w:val="20"/>
              </w:rPr>
              <w:t>5,7</w:t>
            </w:r>
          </w:p>
        </w:tc>
        <w:tc>
          <w:tcPr>
            <w:tcW w:w="435" w:type="pct"/>
            <w:tcBorders>
              <w:top w:val="single" w:sz="4" w:space="0" w:color="auto"/>
              <w:left w:val="single" w:sz="4" w:space="0" w:color="auto"/>
              <w:bottom w:val="single" w:sz="4" w:space="0" w:color="auto"/>
              <w:right w:val="single" w:sz="4" w:space="0" w:color="auto"/>
            </w:tcBorders>
            <w:vAlign w:val="center"/>
          </w:tcPr>
          <w:p w14:paraId="29A4E997" w14:textId="77777777" w:rsidR="00D90E6B" w:rsidRPr="007940C0" w:rsidRDefault="00D90E6B" w:rsidP="00D90E6B">
            <w:pPr>
              <w:ind w:firstLine="0"/>
              <w:jc w:val="center"/>
              <w:rPr>
                <w:sz w:val="20"/>
              </w:rPr>
            </w:pPr>
            <w:r w:rsidRPr="007940C0">
              <w:rPr>
                <w:sz w:val="20"/>
              </w:rPr>
              <w:t>11</w:t>
            </w:r>
          </w:p>
        </w:tc>
        <w:tc>
          <w:tcPr>
            <w:tcW w:w="289" w:type="pct"/>
            <w:tcBorders>
              <w:top w:val="single" w:sz="4" w:space="0" w:color="auto"/>
              <w:left w:val="single" w:sz="4" w:space="0" w:color="auto"/>
              <w:bottom w:val="single" w:sz="4" w:space="0" w:color="auto"/>
              <w:right w:val="single" w:sz="4" w:space="0" w:color="auto"/>
            </w:tcBorders>
            <w:vAlign w:val="center"/>
          </w:tcPr>
          <w:p w14:paraId="36A20851" w14:textId="77777777" w:rsidR="00D90E6B" w:rsidRPr="007940C0" w:rsidRDefault="00D90E6B" w:rsidP="00D90E6B">
            <w:pPr>
              <w:ind w:firstLine="0"/>
              <w:jc w:val="center"/>
              <w:rPr>
                <w:sz w:val="20"/>
              </w:rPr>
            </w:pPr>
            <w:r w:rsidRPr="007940C0">
              <w:rPr>
                <w:sz w:val="20"/>
              </w:rPr>
              <w:t>10,5</w:t>
            </w:r>
          </w:p>
        </w:tc>
        <w:tc>
          <w:tcPr>
            <w:tcW w:w="364" w:type="pct"/>
            <w:tcBorders>
              <w:top w:val="single" w:sz="4" w:space="0" w:color="auto"/>
              <w:left w:val="single" w:sz="4" w:space="0" w:color="auto"/>
              <w:bottom w:val="single" w:sz="4" w:space="0" w:color="auto"/>
              <w:right w:val="single" w:sz="4" w:space="0" w:color="auto"/>
            </w:tcBorders>
            <w:vAlign w:val="center"/>
          </w:tcPr>
          <w:p w14:paraId="0125E9B1" w14:textId="77777777" w:rsidR="00D90E6B" w:rsidRPr="007940C0" w:rsidRDefault="00D90E6B" w:rsidP="00D90E6B">
            <w:pPr>
              <w:ind w:firstLine="0"/>
              <w:jc w:val="center"/>
              <w:rPr>
                <w:sz w:val="20"/>
              </w:rPr>
            </w:pPr>
            <w:r w:rsidRPr="007940C0">
              <w:rPr>
                <w:sz w:val="20"/>
              </w:rPr>
              <w:t>30</w:t>
            </w:r>
          </w:p>
        </w:tc>
        <w:tc>
          <w:tcPr>
            <w:tcW w:w="290" w:type="pct"/>
            <w:tcBorders>
              <w:top w:val="single" w:sz="4" w:space="0" w:color="auto"/>
              <w:left w:val="single" w:sz="4" w:space="0" w:color="auto"/>
              <w:bottom w:val="single" w:sz="4" w:space="0" w:color="auto"/>
              <w:right w:val="single" w:sz="4" w:space="0" w:color="auto"/>
            </w:tcBorders>
            <w:vAlign w:val="center"/>
          </w:tcPr>
          <w:p w14:paraId="2682CBBF" w14:textId="77777777" w:rsidR="00D90E6B" w:rsidRPr="007940C0" w:rsidRDefault="00D90E6B" w:rsidP="00D90E6B">
            <w:pPr>
              <w:ind w:firstLine="0"/>
              <w:jc w:val="center"/>
              <w:rPr>
                <w:sz w:val="20"/>
              </w:rPr>
            </w:pPr>
            <w:r w:rsidRPr="007940C0">
              <w:rPr>
                <w:sz w:val="20"/>
              </w:rPr>
              <w:t>28,6</w:t>
            </w:r>
          </w:p>
        </w:tc>
        <w:tc>
          <w:tcPr>
            <w:tcW w:w="363" w:type="pct"/>
            <w:tcBorders>
              <w:top w:val="single" w:sz="4" w:space="0" w:color="auto"/>
              <w:left w:val="single" w:sz="4" w:space="0" w:color="auto"/>
              <w:bottom w:val="single" w:sz="4" w:space="0" w:color="auto"/>
              <w:right w:val="single" w:sz="4" w:space="0" w:color="auto"/>
            </w:tcBorders>
            <w:vAlign w:val="center"/>
          </w:tcPr>
          <w:p w14:paraId="02CF2AD2" w14:textId="77777777" w:rsidR="00D90E6B" w:rsidRPr="007940C0" w:rsidRDefault="00D90E6B" w:rsidP="00D90E6B">
            <w:pPr>
              <w:ind w:firstLine="0"/>
              <w:jc w:val="center"/>
              <w:rPr>
                <w:sz w:val="20"/>
              </w:rPr>
            </w:pPr>
            <w:r w:rsidRPr="007940C0">
              <w:rPr>
                <w:sz w:val="20"/>
              </w:rPr>
              <w:t>18</w:t>
            </w:r>
          </w:p>
        </w:tc>
        <w:tc>
          <w:tcPr>
            <w:tcW w:w="291" w:type="pct"/>
            <w:tcBorders>
              <w:top w:val="single" w:sz="4" w:space="0" w:color="auto"/>
              <w:left w:val="single" w:sz="4" w:space="0" w:color="auto"/>
              <w:bottom w:val="single" w:sz="4" w:space="0" w:color="auto"/>
              <w:right w:val="single" w:sz="4" w:space="0" w:color="auto"/>
            </w:tcBorders>
            <w:vAlign w:val="center"/>
          </w:tcPr>
          <w:p w14:paraId="60AA5D64" w14:textId="77777777" w:rsidR="00D90E6B" w:rsidRPr="007940C0" w:rsidRDefault="00D90E6B" w:rsidP="00D90E6B">
            <w:pPr>
              <w:ind w:firstLine="0"/>
              <w:jc w:val="center"/>
              <w:rPr>
                <w:sz w:val="20"/>
              </w:rPr>
            </w:pPr>
            <w:r w:rsidRPr="007940C0">
              <w:rPr>
                <w:sz w:val="20"/>
              </w:rPr>
              <w:t>17,1</w:t>
            </w:r>
          </w:p>
        </w:tc>
        <w:tc>
          <w:tcPr>
            <w:tcW w:w="362" w:type="pct"/>
            <w:tcBorders>
              <w:top w:val="single" w:sz="4" w:space="0" w:color="auto"/>
              <w:left w:val="nil"/>
              <w:bottom w:val="single" w:sz="4" w:space="0" w:color="auto"/>
              <w:right w:val="single" w:sz="4" w:space="0" w:color="auto"/>
            </w:tcBorders>
            <w:vAlign w:val="center"/>
          </w:tcPr>
          <w:p w14:paraId="02CDB624" w14:textId="77777777" w:rsidR="00D90E6B" w:rsidRPr="007940C0" w:rsidRDefault="00D90E6B" w:rsidP="00D90E6B">
            <w:pPr>
              <w:ind w:firstLine="0"/>
              <w:jc w:val="center"/>
              <w:rPr>
                <w:sz w:val="20"/>
              </w:rPr>
            </w:pPr>
            <w:r w:rsidRPr="007940C0">
              <w:rPr>
                <w:sz w:val="20"/>
              </w:rPr>
              <w:t>6</w:t>
            </w:r>
          </w:p>
        </w:tc>
        <w:tc>
          <w:tcPr>
            <w:tcW w:w="290" w:type="pct"/>
            <w:tcBorders>
              <w:top w:val="single" w:sz="4" w:space="0" w:color="auto"/>
              <w:left w:val="nil"/>
              <w:bottom w:val="single" w:sz="4" w:space="0" w:color="auto"/>
              <w:right w:val="single" w:sz="4" w:space="0" w:color="auto"/>
            </w:tcBorders>
            <w:vAlign w:val="center"/>
          </w:tcPr>
          <w:p w14:paraId="28D1259F" w14:textId="77777777" w:rsidR="00D90E6B" w:rsidRPr="007940C0" w:rsidRDefault="00D90E6B" w:rsidP="00D90E6B">
            <w:pPr>
              <w:ind w:firstLine="0"/>
              <w:jc w:val="center"/>
              <w:rPr>
                <w:sz w:val="20"/>
              </w:rPr>
            </w:pPr>
            <w:r w:rsidRPr="007940C0">
              <w:rPr>
                <w:sz w:val="20"/>
              </w:rPr>
              <w:t>5,7</w:t>
            </w:r>
          </w:p>
        </w:tc>
        <w:tc>
          <w:tcPr>
            <w:tcW w:w="363" w:type="pct"/>
            <w:tcBorders>
              <w:top w:val="single" w:sz="4" w:space="0" w:color="auto"/>
              <w:left w:val="nil"/>
              <w:bottom w:val="single" w:sz="4" w:space="0" w:color="auto"/>
              <w:right w:val="single" w:sz="4" w:space="0" w:color="auto"/>
            </w:tcBorders>
            <w:vAlign w:val="center"/>
          </w:tcPr>
          <w:p w14:paraId="7A9D147C" w14:textId="77777777" w:rsidR="00D90E6B" w:rsidRPr="007940C0" w:rsidRDefault="00D90E6B" w:rsidP="00D90E6B">
            <w:pPr>
              <w:ind w:firstLine="0"/>
              <w:jc w:val="center"/>
              <w:rPr>
                <w:sz w:val="20"/>
              </w:rPr>
            </w:pPr>
            <w:r w:rsidRPr="007940C0">
              <w:rPr>
                <w:sz w:val="20"/>
              </w:rPr>
              <w:t>14</w:t>
            </w:r>
          </w:p>
        </w:tc>
        <w:tc>
          <w:tcPr>
            <w:tcW w:w="286" w:type="pct"/>
            <w:tcBorders>
              <w:top w:val="single" w:sz="4" w:space="0" w:color="auto"/>
              <w:left w:val="single" w:sz="4" w:space="0" w:color="auto"/>
              <w:bottom w:val="single" w:sz="4" w:space="0" w:color="auto"/>
            </w:tcBorders>
            <w:shd w:val="clear" w:color="auto" w:fill="auto"/>
            <w:noWrap/>
            <w:vAlign w:val="center"/>
          </w:tcPr>
          <w:p w14:paraId="7727D413" w14:textId="77777777" w:rsidR="00D90E6B" w:rsidRPr="007940C0" w:rsidRDefault="00D90E6B" w:rsidP="00D90E6B">
            <w:pPr>
              <w:ind w:firstLine="0"/>
              <w:jc w:val="center"/>
              <w:rPr>
                <w:sz w:val="20"/>
              </w:rPr>
            </w:pPr>
            <w:r w:rsidRPr="007940C0">
              <w:rPr>
                <w:sz w:val="20"/>
              </w:rPr>
              <w:t>13,3</w:t>
            </w:r>
          </w:p>
        </w:tc>
      </w:tr>
      <w:tr w:rsidR="00D90E6B" w:rsidRPr="007940C0" w14:paraId="3CB1B819" w14:textId="77777777" w:rsidTr="006A5420">
        <w:trPr>
          <w:trHeight w:val="255"/>
          <w:jc w:val="center"/>
        </w:trPr>
        <w:tc>
          <w:tcPr>
            <w:tcW w:w="358"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tcPr>
          <w:p w14:paraId="6D4D957B" w14:textId="77777777" w:rsidR="00D90E6B" w:rsidRPr="007940C0" w:rsidRDefault="00D90E6B" w:rsidP="00D90E6B">
            <w:pPr>
              <w:ind w:firstLine="0"/>
              <w:jc w:val="center"/>
              <w:rPr>
                <w:sz w:val="20"/>
              </w:rPr>
            </w:pPr>
            <w:r w:rsidRPr="007940C0">
              <w:rPr>
                <w:sz w:val="20"/>
              </w:rPr>
              <w:t>Q06</w:t>
            </w:r>
          </w:p>
        </w:tc>
        <w:tc>
          <w:tcPr>
            <w:tcW w:w="362" w:type="pct"/>
            <w:tcBorders>
              <w:top w:val="single" w:sz="4" w:space="0" w:color="auto"/>
              <w:left w:val="nil"/>
              <w:bottom w:val="single" w:sz="4" w:space="0" w:color="auto"/>
              <w:right w:val="single" w:sz="4" w:space="0" w:color="auto"/>
            </w:tcBorders>
            <w:shd w:val="clear" w:color="auto" w:fill="auto"/>
            <w:noWrap/>
            <w:vAlign w:val="center"/>
          </w:tcPr>
          <w:p w14:paraId="546C8F83" w14:textId="77777777" w:rsidR="00D90E6B" w:rsidRPr="007940C0" w:rsidRDefault="00D90E6B" w:rsidP="00D90E6B">
            <w:pPr>
              <w:ind w:firstLine="0"/>
              <w:jc w:val="center"/>
              <w:rPr>
                <w:sz w:val="20"/>
              </w:rPr>
            </w:pPr>
            <w:r w:rsidRPr="007940C0">
              <w:rPr>
                <w:sz w:val="20"/>
              </w:rPr>
              <w:t>13</w:t>
            </w:r>
          </w:p>
        </w:tc>
        <w:tc>
          <w:tcPr>
            <w:tcW w:w="291" w:type="pct"/>
            <w:tcBorders>
              <w:top w:val="single" w:sz="4" w:space="0" w:color="auto"/>
              <w:left w:val="single" w:sz="4" w:space="0" w:color="auto"/>
              <w:bottom w:val="single" w:sz="4" w:space="0" w:color="auto"/>
              <w:right w:val="single" w:sz="4" w:space="0" w:color="auto"/>
            </w:tcBorders>
            <w:vAlign w:val="center"/>
          </w:tcPr>
          <w:p w14:paraId="63CA69EE" w14:textId="77777777" w:rsidR="00D90E6B" w:rsidRPr="007940C0" w:rsidRDefault="00D90E6B" w:rsidP="00D90E6B">
            <w:pPr>
              <w:ind w:firstLine="0"/>
              <w:jc w:val="center"/>
              <w:rPr>
                <w:sz w:val="20"/>
              </w:rPr>
            </w:pPr>
            <w:r w:rsidRPr="007940C0">
              <w:rPr>
                <w:sz w:val="20"/>
              </w:rPr>
              <w:t>12,4</w:t>
            </w:r>
          </w:p>
        </w:tc>
        <w:tc>
          <w:tcPr>
            <w:tcW w:w="365" w:type="pct"/>
            <w:tcBorders>
              <w:top w:val="single" w:sz="4" w:space="0" w:color="auto"/>
              <w:left w:val="single" w:sz="4" w:space="0" w:color="auto"/>
              <w:bottom w:val="single" w:sz="4" w:space="0" w:color="auto"/>
              <w:right w:val="single" w:sz="4" w:space="0" w:color="auto"/>
            </w:tcBorders>
            <w:vAlign w:val="center"/>
          </w:tcPr>
          <w:p w14:paraId="674ECB64" w14:textId="77777777" w:rsidR="00D90E6B" w:rsidRPr="007940C0" w:rsidRDefault="00D90E6B" w:rsidP="00D90E6B">
            <w:pPr>
              <w:ind w:firstLine="0"/>
              <w:jc w:val="center"/>
              <w:rPr>
                <w:sz w:val="20"/>
              </w:rPr>
            </w:pPr>
            <w:r w:rsidRPr="007940C0">
              <w:rPr>
                <w:sz w:val="20"/>
              </w:rPr>
              <w:t>7</w:t>
            </w:r>
          </w:p>
        </w:tc>
        <w:tc>
          <w:tcPr>
            <w:tcW w:w="291" w:type="pct"/>
            <w:tcBorders>
              <w:top w:val="single" w:sz="4" w:space="0" w:color="auto"/>
              <w:left w:val="single" w:sz="4" w:space="0" w:color="auto"/>
              <w:bottom w:val="single" w:sz="4" w:space="0" w:color="auto"/>
              <w:right w:val="single" w:sz="4" w:space="0" w:color="auto"/>
            </w:tcBorders>
            <w:vAlign w:val="center"/>
          </w:tcPr>
          <w:p w14:paraId="54DDA5CD" w14:textId="77777777" w:rsidR="00D90E6B" w:rsidRPr="007940C0" w:rsidRDefault="00D90E6B" w:rsidP="00D90E6B">
            <w:pPr>
              <w:ind w:firstLine="0"/>
              <w:jc w:val="center"/>
              <w:rPr>
                <w:sz w:val="20"/>
              </w:rPr>
            </w:pPr>
            <w:r w:rsidRPr="007940C0">
              <w:rPr>
                <w:sz w:val="20"/>
              </w:rPr>
              <w:t>6,7</w:t>
            </w:r>
          </w:p>
        </w:tc>
        <w:tc>
          <w:tcPr>
            <w:tcW w:w="435" w:type="pct"/>
            <w:tcBorders>
              <w:top w:val="single" w:sz="4" w:space="0" w:color="auto"/>
              <w:left w:val="single" w:sz="4" w:space="0" w:color="auto"/>
              <w:bottom w:val="single" w:sz="4" w:space="0" w:color="auto"/>
              <w:right w:val="single" w:sz="4" w:space="0" w:color="auto"/>
            </w:tcBorders>
            <w:vAlign w:val="center"/>
          </w:tcPr>
          <w:p w14:paraId="562E8795" w14:textId="77777777" w:rsidR="00D90E6B" w:rsidRPr="007940C0" w:rsidRDefault="00D90E6B" w:rsidP="00D90E6B">
            <w:pPr>
              <w:ind w:firstLine="0"/>
              <w:jc w:val="center"/>
              <w:rPr>
                <w:sz w:val="20"/>
              </w:rPr>
            </w:pPr>
            <w:r w:rsidRPr="007940C0">
              <w:rPr>
                <w:sz w:val="20"/>
              </w:rPr>
              <w:t>8</w:t>
            </w:r>
          </w:p>
        </w:tc>
        <w:tc>
          <w:tcPr>
            <w:tcW w:w="289" w:type="pct"/>
            <w:tcBorders>
              <w:top w:val="single" w:sz="4" w:space="0" w:color="auto"/>
              <w:left w:val="single" w:sz="4" w:space="0" w:color="auto"/>
              <w:bottom w:val="single" w:sz="4" w:space="0" w:color="auto"/>
              <w:right w:val="single" w:sz="4" w:space="0" w:color="auto"/>
            </w:tcBorders>
            <w:vAlign w:val="center"/>
          </w:tcPr>
          <w:p w14:paraId="52143E5D" w14:textId="77777777" w:rsidR="00D90E6B" w:rsidRPr="007940C0" w:rsidRDefault="00D90E6B" w:rsidP="00D90E6B">
            <w:pPr>
              <w:ind w:firstLine="0"/>
              <w:jc w:val="center"/>
              <w:rPr>
                <w:sz w:val="20"/>
              </w:rPr>
            </w:pPr>
            <w:r w:rsidRPr="007940C0">
              <w:rPr>
                <w:sz w:val="20"/>
              </w:rPr>
              <w:t>7,6</w:t>
            </w:r>
          </w:p>
        </w:tc>
        <w:tc>
          <w:tcPr>
            <w:tcW w:w="364" w:type="pct"/>
            <w:tcBorders>
              <w:top w:val="single" w:sz="4" w:space="0" w:color="auto"/>
              <w:left w:val="single" w:sz="4" w:space="0" w:color="auto"/>
              <w:bottom w:val="single" w:sz="4" w:space="0" w:color="auto"/>
              <w:right w:val="single" w:sz="4" w:space="0" w:color="auto"/>
            </w:tcBorders>
            <w:vAlign w:val="center"/>
          </w:tcPr>
          <w:p w14:paraId="6DA94A74" w14:textId="77777777" w:rsidR="00D90E6B" w:rsidRPr="007940C0" w:rsidRDefault="00D90E6B" w:rsidP="00D90E6B">
            <w:pPr>
              <w:ind w:firstLine="0"/>
              <w:jc w:val="center"/>
              <w:rPr>
                <w:sz w:val="20"/>
              </w:rPr>
            </w:pPr>
            <w:r w:rsidRPr="007940C0">
              <w:rPr>
                <w:sz w:val="20"/>
              </w:rPr>
              <w:t>31</w:t>
            </w:r>
          </w:p>
        </w:tc>
        <w:tc>
          <w:tcPr>
            <w:tcW w:w="290" w:type="pct"/>
            <w:tcBorders>
              <w:top w:val="single" w:sz="4" w:space="0" w:color="auto"/>
              <w:left w:val="single" w:sz="4" w:space="0" w:color="auto"/>
              <w:bottom w:val="single" w:sz="4" w:space="0" w:color="auto"/>
              <w:right w:val="single" w:sz="4" w:space="0" w:color="auto"/>
            </w:tcBorders>
            <w:vAlign w:val="center"/>
          </w:tcPr>
          <w:p w14:paraId="129A27B9" w14:textId="77777777" w:rsidR="00D90E6B" w:rsidRPr="007940C0" w:rsidRDefault="00D90E6B" w:rsidP="00D90E6B">
            <w:pPr>
              <w:ind w:firstLine="0"/>
              <w:jc w:val="center"/>
              <w:rPr>
                <w:sz w:val="20"/>
              </w:rPr>
            </w:pPr>
            <w:r w:rsidRPr="007940C0">
              <w:rPr>
                <w:sz w:val="20"/>
              </w:rPr>
              <w:t>29,5</w:t>
            </w:r>
          </w:p>
        </w:tc>
        <w:tc>
          <w:tcPr>
            <w:tcW w:w="363" w:type="pct"/>
            <w:tcBorders>
              <w:top w:val="single" w:sz="4" w:space="0" w:color="auto"/>
              <w:left w:val="single" w:sz="4" w:space="0" w:color="auto"/>
              <w:bottom w:val="single" w:sz="4" w:space="0" w:color="auto"/>
              <w:right w:val="single" w:sz="4" w:space="0" w:color="auto"/>
            </w:tcBorders>
            <w:vAlign w:val="center"/>
          </w:tcPr>
          <w:p w14:paraId="3EF2A71E" w14:textId="77777777" w:rsidR="00D90E6B" w:rsidRPr="007940C0" w:rsidRDefault="00D90E6B" w:rsidP="00D90E6B">
            <w:pPr>
              <w:ind w:firstLine="0"/>
              <w:jc w:val="center"/>
              <w:rPr>
                <w:sz w:val="20"/>
              </w:rPr>
            </w:pPr>
            <w:r w:rsidRPr="007940C0">
              <w:rPr>
                <w:sz w:val="20"/>
              </w:rPr>
              <w:t>12</w:t>
            </w:r>
          </w:p>
        </w:tc>
        <w:tc>
          <w:tcPr>
            <w:tcW w:w="291" w:type="pct"/>
            <w:tcBorders>
              <w:top w:val="single" w:sz="4" w:space="0" w:color="auto"/>
              <w:left w:val="single" w:sz="4" w:space="0" w:color="auto"/>
              <w:bottom w:val="single" w:sz="4" w:space="0" w:color="auto"/>
              <w:right w:val="single" w:sz="4" w:space="0" w:color="auto"/>
            </w:tcBorders>
            <w:vAlign w:val="center"/>
          </w:tcPr>
          <w:p w14:paraId="7E020B9A" w14:textId="77777777" w:rsidR="00D90E6B" w:rsidRPr="007940C0" w:rsidRDefault="00D90E6B" w:rsidP="00D90E6B">
            <w:pPr>
              <w:ind w:firstLine="0"/>
              <w:jc w:val="center"/>
              <w:rPr>
                <w:sz w:val="20"/>
              </w:rPr>
            </w:pPr>
            <w:r w:rsidRPr="007940C0">
              <w:rPr>
                <w:sz w:val="20"/>
              </w:rPr>
              <w:t>11,4</w:t>
            </w:r>
          </w:p>
        </w:tc>
        <w:tc>
          <w:tcPr>
            <w:tcW w:w="362" w:type="pct"/>
            <w:tcBorders>
              <w:top w:val="single" w:sz="4" w:space="0" w:color="auto"/>
              <w:left w:val="nil"/>
              <w:bottom w:val="single" w:sz="4" w:space="0" w:color="auto"/>
              <w:right w:val="single" w:sz="4" w:space="0" w:color="auto"/>
            </w:tcBorders>
            <w:vAlign w:val="center"/>
          </w:tcPr>
          <w:p w14:paraId="2F840DC1" w14:textId="77777777" w:rsidR="00D90E6B" w:rsidRPr="007940C0" w:rsidRDefault="00D90E6B" w:rsidP="00D90E6B">
            <w:pPr>
              <w:ind w:firstLine="0"/>
              <w:jc w:val="center"/>
              <w:rPr>
                <w:sz w:val="20"/>
              </w:rPr>
            </w:pPr>
            <w:r w:rsidRPr="007940C0">
              <w:rPr>
                <w:sz w:val="20"/>
              </w:rPr>
              <w:t>13</w:t>
            </w:r>
          </w:p>
        </w:tc>
        <w:tc>
          <w:tcPr>
            <w:tcW w:w="290" w:type="pct"/>
            <w:tcBorders>
              <w:top w:val="single" w:sz="4" w:space="0" w:color="auto"/>
              <w:left w:val="nil"/>
              <w:bottom w:val="single" w:sz="4" w:space="0" w:color="auto"/>
              <w:right w:val="single" w:sz="4" w:space="0" w:color="auto"/>
            </w:tcBorders>
            <w:vAlign w:val="center"/>
          </w:tcPr>
          <w:p w14:paraId="781073DC" w14:textId="77777777" w:rsidR="00D90E6B" w:rsidRPr="007940C0" w:rsidRDefault="00D90E6B" w:rsidP="00D90E6B">
            <w:pPr>
              <w:ind w:firstLine="0"/>
              <w:jc w:val="center"/>
              <w:rPr>
                <w:sz w:val="20"/>
              </w:rPr>
            </w:pPr>
            <w:r w:rsidRPr="007940C0">
              <w:rPr>
                <w:sz w:val="20"/>
              </w:rPr>
              <w:t>12,4</w:t>
            </w:r>
          </w:p>
        </w:tc>
        <w:tc>
          <w:tcPr>
            <w:tcW w:w="363" w:type="pct"/>
            <w:tcBorders>
              <w:top w:val="single" w:sz="4" w:space="0" w:color="auto"/>
              <w:left w:val="nil"/>
              <w:bottom w:val="single" w:sz="4" w:space="0" w:color="auto"/>
              <w:right w:val="single" w:sz="4" w:space="0" w:color="auto"/>
            </w:tcBorders>
            <w:vAlign w:val="center"/>
          </w:tcPr>
          <w:p w14:paraId="2A39BB74" w14:textId="77777777" w:rsidR="00D90E6B" w:rsidRPr="007940C0" w:rsidRDefault="00D90E6B" w:rsidP="00D90E6B">
            <w:pPr>
              <w:ind w:firstLine="0"/>
              <w:jc w:val="center"/>
              <w:rPr>
                <w:sz w:val="20"/>
              </w:rPr>
            </w:pPr>
            <w:r w:rsidRPr="007940C0">
              <w:rPr>
                <w:sz w:val="20"/>
              </w:rPr>
              <w:t>21</w:t>
            </w:r>
          </w:p>
        </w:tc>
        <w:tc>
          <w:tcPr>
            <w:tcW w:w="286" w:type="pct"/>
            <w:tcBorders>
              <w:top w:val="single" w:sz="4" w:space="0" w:color="auto"/>
              <w:left w:val="single" w:sz="4" w:space="0" w:color="auto"/>
              <w:bottom w:val="single" w:sz="4" w:space="0" w:color="auto"/>
            </w:tcBorders>
            <w:shd w:val="clear" w:color="auto" w:fill="auto"/>
            <w:noWrap/>
            <w:vAlign w:val="center"/>
          </w:tcPr>
          <w:p w14:paraId="03D926CA" w14:textId="77777777" w:rsidR="00D90E6B" w:rsidRPr="007940C0" w:rsidRDefault="00D90E6B" w:rsidP="00D90E6B">
            <w:pPr>
              <w:ind w:firstLine="0"/>
              <w:jc w:val="center"/>
              <w:rPr>
                <w:sz w:val="20"/>
              </w:rPr>
            </w:pPr>
            <w:r w:rsidRPr="007940C0">
              <w:rPr>
                <w:sz w:val="20"/>
              </w:rPr>
              <w:t>20</w:t>
            </w:r>
          </w:p>
        </w:tc>
      </w:tr>
      <w:tr w:rsidR="00D90E6B" w:rsidRPr="007940C0" w14:paraId="2E789B7A" w14:textId="77777777" w:rsidTr="006A5420">
        <w:trPr>
          <w:trHeight w:val="255"/>
          <w:jc w:val="center"/>
        </w:trPr>
        <w:tc>
          <w:tcPr>
            <w:tcW w:w="358"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tcPr>
          <w:p w14:paraId="08F07113" w14:textId="77777777" w:rsidR="00D90E6B" w:rsidRPr="007940C0" w:rsidRDefault="00D90E6B" w:rsidP="00D90E6B">
            <w:pPr>
              <w:ind w:firstLine="0"/>
              <w:jc w:val="center"/>
              <w:rPr>
                <w:sz w:val="20"/>
              </w:rPr>
            </w:pPr>
            <w:r w:rsidRPr="007940C0">
              <w:rPr>
                <w:sz w:val="20"/>
              </w:rPr>
              <w:t>Q07</w:t>
            </w:r>
          </w:p>
        </w:tc>
        <w:tc>
          <w:tcPr>
            <w:tcW w:w="362" w:type="pct"/>
            <w:tcBorders>
              <w:top w:val="single" w:sz="4" w:space="0" w:color="auto"/>
              <w:left w:val="nil"/>
              <w:bottom w:val="single" w:sz="4" w:space="0" w:color="auto"/>
              <w:right w:val="single" w:sz="4" w:space="0" w:color="auto"/>
            </w:tcBorders>
            <w:shd w:val="clear" w:color="auto" w:fill="auto"/>
            <w:noWrap/>
            <w:vAlign w:val="center"/>
          </w:tcPr>
          <w:p w14:paraId="0B2E9F27" w14:textId="77777777" w:rsidR="00D90E6B" w:rsidRPr="007940C0" w:rsidRDefault="00D90E6B" w:rsidP="00D90E6B">
            <w:pPr>
              <w:ind w:firstLine="0"/>
              <w:jc w:val="center"/>
              <w:rPr>
                <w:sz w:val="20"/>
              </w:rPr>
            </w:pPr>
            <w:r w:rsidRPr="007940C0">
              <w:rPr>
                <w:sz w:val="20"/>
              </w:rPr>
              <w:t>13</w:t>
            </w:r>
          </w:p>
        </w:tc>
        <w:tc>
          <w:tcPr>
            <w:tcW w:w="291" w:type="pct"/>
            <w:tcBorders>
              <w:top w:val="single" w:sz="4" w:space="0" w:color="auto"/>
              <w:left w:val="single" w:sz="4" w:space="0" w:color="auto"/>
              <w:bottom w:val="single" w:sz="4" w:space="0" w:color="auto"/>
              <w:right w:val="single" w:sz="4" w:space="0" w:color="auto"/>
            </w:tcBorders>
            <w:vAlign w:val="center"/>
          </w:tcPr>
          <w:p w14:paraId="169C45F4" w14:textId="77777777" w:rsidR="00D90E6B" w:rsidRPr="007940C0" w:rsidRDefault="00D90E6B" w:rsidP="00D90E6B">
            <w:pPr>
              <w:ind w:firstLine="0"/>
              <w:jc w:val="center"/>
              <w:rPr>
                <w:sz w:val="20"/>
              </w:rPr>
            </w:pPr>
            <w:r w:rsidRPr="007940C0">
              <w:rPr>
                <w:sz w:val="20"/>
              </w:rPr>
              <w:t>12,4</w:t>
            </w:r>
          </w:p>
        </w:tc>
        <w:tc>
          <w:tcPr>
            <w:tcW w:w="365" w:type="pct"/>
            <w:tcBorders>
              <w:top w:val="single" w:sz="4" w:space="0" w:color="auto"/>
              <w:left w:val="single" w:sz="4" w:space="0" w:color="auto"/>
              <w:bottom w:val="single" w:sz="4" w:space="0" w:color="auto"/>
              <w:right w:val="single" w:sz="4" w:space="0" w:color="auto"/>
            </w:tcBorders>
            <w:vAlign w:val="center"/>
          </w:tcPr>
          <w:p w14:paraId="0434709E" w14:textId="77777777" w:rsidR="00D90E6B" w:rsidRPr="007940C0" w:rsidRDefault="00D90E6B" w:rsidP="00D90E6B">
            <w:pPr>
              <w:ind w:firstLine="0"/>
              <w:jc w:val="center"/>
              <w:rPr>
                <w:sz w:val="20"/>
              </w:rPr>
            </w:pPr>
            <w:r w:rsidRPr="007940C0">
              <w:rPr>
                <w:sz w:val="20"/>
              </w:rPr>
              <w:t>3</w:t>
            </w:r>
          </w:p>
        </w:tc>
        <w:tc>
          <w:tcPr>
            <w:tcW w:w="291" w:type="pct"/>
            <w:tcBorders>
              <w:top w:val="single" w:sz="4" w:space="0" w:color="auto"/>
              <w:left w:val="single" w:sz="4" w:space="0" w:color="auto"/>
              <w:bottom w:val="single" w:sz="4" w:space="0" w:color="auto"/>
              <w:right w:val="single" w:sz="4" w:space="0" w:color="auto"/>
            </w:tcBorders>
            <w:vAlign w:val="center"/>
          </w:tcPr>
          <w:p w14:paraId="6AD1221B" w14:textId="77777777" w:rsidR="00D90E6B" w:rsidRPr="007940C0" w:rsidRDefault="00D90E6B" w:rsidP="00D90E6B">
            <w:pPr>
              <w:ind w:firstLine="0"/>
              <w:jc w:val="center"/>
              <w:rPr>
                <w:sz w:val="20"/>
              </w:rPr>
            </w:pPr>
            <w:r w:rsidRPr="007940C0">
              <w:rPr>
                <w:sz w:val="20"/>
              </w:rPr>
              <w:t>2,9</w:t>
            </w:r>
          </w:p>
        </w:tc>
        <w:tc>
          <w:tcPr>
            <w:tcW w:w="435" w:type="pct"/>
            <w:tcBorders>
              <w:top w:val="single" w:sz="4" w:space="0" w:color="auto"/>
              <w:left w:val="single" w:sz="4" w:space="0" w:color="auto"/>
              <w:bottom w:val="single" w:sz="4" w:space="0" w:color="auto"/>
              <w:right w:val="single" w:sz="4" w:space="0" w:color="auto"/>
            </w:tcBorders>
            <w:vAlign w:val="center"/>
          </w:tcPr>
          <w:p w14:paraId="7416554D" w14:textId="77777777" w:rsidR="00D90E6B" w:rsidRPr="007940C0" w:rsidRDefault="00D90E6B" w:rsidP="00D90E6B">
            <w:pPr>
              <w:ind w:firstLine="0"/>
              <w:jc w:val="center"/>
              <w:rPr>
                <w:sz w:val="20"/>
              </w:rPr>
            </w:pPr>
            <w:r w:rsidRPr="007940C0">
              <w:rPr>
                <w:sz w:val="20"/>
              </w:rPr>
              <w:t>6</w:t>
            </w:r>
          </w:p>
        </w:tc>
        <w:tc>
          <w:tcPr>
            <w:tcW w:w="289" w:type="pct"/>
            <w:tcBorders>
              <w:top w:val="single" w:sz="4" w:space="0" w:color="auto"/>
              <w:left w:val="single" w:sz="4" w:space="0" w:color="auto"/>
              <w:bottom w:val="single" w:sz="4" w:space="0" w:color="auto"/>
              <w:right w:val="single" w:sz="4" w:space="0" w:color="auto"/>
            </w:tcBorders>
            <w:vAlign w:val="center"/>
          </w:tcPr>
          <w:p w14:paraId="17D34F9B" w14:textId="77777777" w:rsidR="00D90E6B" w:rsidRPr="007940C0" w:rsidRDefault="00D90E6B" w:rsidP="00D90E6B">
            <w:pPr>
              <w:ind w:firstLine="0"/>
              <w:jc w:val="center"/>
              <w:rPr>
                <w:sz w:val="20"/>
              </w:rPr>
            </w:pPr>
            <w:r w:rsidRPr="007940C0">
              <w:rPr>
                <w:sz w:val="20"/>
              </w:rPr>
              <w:t>5,7</w:t>
            </w:r>
          </w:p>
        </w:tc>
        <w:tc>
          <w:tcPr>
            <w:tcW w:w="364" w:type="pct"/>
            <w:tcBorders>
              <w:top w:val="single" w:sz="4" w:space="0" w:color="auto"/>
              <w:left w:val="single" w:sz="4" w:space="0" w:color="auto"/>
              <w:bottom w:val="single" w:sz="4" w:space="0" w:color="auto"/>
              <w:right w:val="single" w:sz="4" w:space="0" w:color="auto"/>
            </w:tcBorders>
            <w:vAlign w:val="center"/>
          </w:tcPr>
          <w:p w14:paraId="20A19EB0" w14:textId="77777777" w:rsidR="00D90E6B" w:rsidRPr="007940C0" w:rsidRDefault="00D90E6B" w:rsidP="00D90E6B">
            <w:pPr>
              <w:ind w:firstLine="0"/>
              <w:jc w:val="center"/>
              <w:rPr>
                <w:sz w:val="20"/>
              </w:rPr>
            </w:pPr>
            <w:r w:rsidRPr="007940C0">
              <w:rPr>
                <w:sz w:val="20"/>
              </w:rPr>
              <w:t>28</w:t>
            </w:r>
          </w:p>
        </w:tc>
        <w:tc>
          <w:tcPr>
            <w:tcW w:w="290" w:type="pct"/>
            <w:tcBorders>
              <w:top w:val="single" w:sz="4" w:space="0" w:color="auto"/>
              <w:left w:val="single" w:sz="4" w:space="0" w:color="auto"/>
              <w:bottom w:val="single" w:sz="4" w:space="0" w:color="auto"/>
              <w:right w:val="single" w:sz="4" w:space="0" w:color="auto"/>
            </w:tcBorders>
            <w:vAlign w:val="center"/>
          </w:tcPr>
          <w:p w14:paraId="7351944F" w14:textId="77777777" w:rsidR="00D90E6B" w:rsidRPr="007940C0" w:rsidRDefault="00D90E6B" w:rsidP="00D90E6B">
            <w:pPr>
              <w:ind w:firstLine="0"/>
              <w:jc w:val="center"/>
              <w:rPr>
                <w:sz w:val="20"/>
              </w:rPr>
            </w:pPr>
            <w:r w:rsidRPr="007940C0">
              <w:rPr>
                <w:sz w:val="20"/>
              </w:rPr>
              <w:t>26,7</w:t>
            </w:r>
          </w:p>
        </w:tc>
        <w:tc>
          <w:tcPr>
            <w:tcW w:w="363" w:type="pct"/>
            <w:tcBorders>
              <w:top w:val="single" w:sz="4" w:space="0" w:color="auto"/>
              <w:left w:val="single" w:sz="4" w:space="0" w:color="auto"/>
              <w:bottom w:val="single" w:sz="4" w:space="0" w:color="auto"/>
              <w:right w:val="single" w:sz="4" w:space="0" w:color="auto"/>
            </w:tcBorders>
            <w:vAlign w:val="center"/>
          </w:tcPr>
          <w:p w14:paraId="1BB39AC1" w14:textId="77777777" w:rsidR="00D90E6B" w:rsidRPr="007940C0" w:rsidRDefault="00D90E6B" w:rsidP="00D90E6B">
            <w:pPr>
              <w:ind w:firstLine="0"/>
              <w:jc w:val="center"/>
              <w:rPr>
                <w:sz w:val="20"/>
              </w:rPr>
            </w:pPr>
            <w:r w:rsidRPr="007940C0">
              <w:rPr>
                <w:sz w:val="20"/>
              </w:rPr>
              <w:t>13</w:t>
            </w:r>
          </w:p>
        </w:tc>
        <w:tc>
          <w:tcPr>
            <w:tcW w:w="291" w:type="pct"/>
            <w:tcBorders>
              <w:top w:val="single" w:sz="4" w:space="0" w:color="auto"/>
              <w:left w:val="single" w:sz="4" w:space="0" w:color="auto"/>
              <w:bottom w:val="single" w:sz="4" w:space="0" w:color="auto"/>
              <w:right w:val="single" w:sz="4" w:space="0" w:color="auto"/>
            </w:tcBorders>
            <w:vAlign w:val="center"/>
          </w:tcPr>
          <w:p w14:paraId="5444A1EC" w14:textId="77777777" w:rsidR="00D90E6B" w:rsidRPr="007940C0" w:rsidRDefault="00D90E6B" w:rsidP="00D90E6B">
            <w:pPr>
              <w:ind w:firstLine="0"/>
              <w:jc w:val="center"/>
              <w:rPr>
                <w:sz w:val="20"/>
              </w:rPr>
            </w:pPr>
            <w:r w:rsidRPr="007940C0">
              <w:rPr>
                <w:sz w:val="20"/>
              </w:rPr>
              <w:t>12,4</w:t>
            </w:r>
          </w:p>
        </w:tc>
        <w:tc>
          <w:tcPr>
            <w:tcW w:w="362" w:type="pct"/>
            <w:tcBorders>
              <w:top w:val="single" w:sz="4" w:space="0" w:color="auto"/>
              <w:left w:val="nil"/>
              <w:bottom w:val="single" w:sz="4" w:space="0" w:color="auto"/>
              <w:right w:val="single" w:sz="4" w:space="0" w:color="auto"/>
            </w:tcBorders>
            <w:vAlign w:val="center"/>
          </w:tcPr>
          <w:p w14:paraId="6804C355" w14:textId="77777777" w:rsidR="00D90E6B" w:rsidRPr="007940C0" w:rsidRDefault="00D90E6B" w:rsidP="00D90E6B">
            <w:pPr>
              <w:ind w:firstLine="0"/>
              <w:jc w:val="center"/>
              <w:rPr>
                <w:sz w:val="20"/>
              </w:rPr>
            </w:pPr>
            <w:r w:rsidRPr="007940C0">
              <w:rPr>
                <w:sz w:val="20"/>
              </w:rPr>
              <w:t>21</w:t>
            </w:r>
          </w:p>
        </w:tc>
        <w:tc>
          <w:tcPr>
            <w:tcW w:w="290" w:type="pct"/>
            <w:tcBorders>
              <w:top w:val="single" w:sz="4" w:space="0" w:color="auto"/>
              <w:left w:val="nil"/>
              <w:bottom w:val="single" w:sz="4" w:space="0" w:color="auto"/>
              <w:right w:val="single" w:sz="4" w:space="0" w:color="auto"/>
            </w:tcBorders>
            <w:vAlign w:val="center"/>
          </w:tcPr>
          <w:p w14:paraId="19C6839A" w14:textId="77777777" w:rsidR="00D90E6B" w:rsidRPr="007940C0" w:rsidRDefault="00D90E6B" w:rsidP="00D90E6B">
            <w:pPr>
              <w:ind w:firstLine="0"/>
              <w:jc w:val="center"/>
              <w:rPr>
                <w:sz w:val="20"/>
              </w:rPr>
            </w:pPr>
            <w:r w:rsidRPr="007940C0">
              <w:rPr>
                <w:sz w:val="20"/>
              </w:rPr>
              <w:t>20</w:t>
            </w:r>
          </w:p>
        </w:tc>
        <w:tc>
          <w:tcPr>
            <w:tcW w:w="363" w:type="pct"/>
            <w:tcBorders>
              <w:top w:val="single" w:sz="4" w:space="0" w:color="auto"/>
              <w:left w:val="nil"/>
              <w:bottom w:val="single" w:sz="4" w:space="0" w:color="auto"/>
              <w:right w:val="single" w:sz="4" w:space="0" w:color="auto"/>
            </w:tcBorders>
            <w:vAlign w:val="center"/>
          </w:tcPr>
          <w:p w14:paraId="6FB357C0" w14:textId="77777777" w:rsidR="00D90E6B" w:rsidRPr="007940C0" w:rsidRDefault="00D90E6B" w:rsidP="00D90E6B">
            <w:pPr>
              <w:ind w:firstLine="0"/>
              <w:jc w:val="center"/>
              <w:rPr>
                <w:sz w:val="20"/>
              </w:rPr>
            </w:pPr>
            <w:r w:rsidRPr="007940C0">
              <w:rPr>
                <w:sz w:val="20"/>
              </w:rPr>
              <w:t>21</w:t>
            </w:r>
          </w:p>
        </w:tc>
        <w:tc>
          <w:tcPr>
            <w:tcW w:w="286" w:type="pct"/>
            <w:tcBorders>
              <w:top w:val="single" w:sz="4" w:space="0" w:color="auto"/>
              <w:left w:val="single" w:sz="4" w:space="0" w:color="auto"/>
              <w:bottom w:val="single" w:sz="4" w:space="0" w:color="auto"/>
            </w:tcBorders>
            <w:shd w:val="clear" w:color="auto" w:fill="auto"/>
            <w:noWrap/>
            <w:vAlign w:val="center"/>
          </w:tcPr>
          <w:p w14:paraId="4E3A526A" w14:textId="77777777" w:rsidR="00D90E6B" w:rsidRPr="007940C0" w:rsidRDefault="00D90E6B" w:rsidP="00D90E6B">
            <w:pPr>
              <w:ind w:firstLine="0"/>
              <w:jc w:val="center"/>
              <w:rPr>
                <w:sz w:val="20"/>
              </w:rPr>
            </w:pPr>
            <w:r w:rsidRPr="007940C0">
              <w:rPr>
                <w:sz w:val="20"/>
              </w:rPr>
              <w:t>20</w:t>
            </w:r>
          </w:p>
        </w:tc>
      </w:tr>
      <w:tr w:rsidR="00D90E6B" w:rsidRPr="007940C0" w14:paraId="28A55159" w14:textId="77777777" w:rsidTr="006A5420">
        <w:trPr>
          <w:trHeight w:val="255"/>
          <w:jc w:val="center"/>
        </w:trPr>
        <w:tc>
          <w:tcPr>
            <w:tcW w:w="358"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tcPr>
          <w:p w14:paraId="63F17188" w14:textId="77777777" w:rsidR="00D90E6B" w:rsidRPr="007940C0" w:rsidRDefault="00D90E6B" w:rsidP="00D90E6B">
            <w:pPr>
              <w:ind w:firstLine="0"/>
              <w:jc w:val="center"/>
              <w:rPr>
                <w:sz w:val="20"/>
              </w:rPr>
            </w:pPr>
            <w:r w:rsidRPr="007940C0">
              <w:rPr>
                <w:sz w:val="20"/>
              </w:rPr>
              <w:t>Q08</w:t>
            </w:r>
          </w:p>
        </w:tc>
        <w:tc>
          <w:tcPr>
            <w:tcW w:w="362" w:type="pct"/>
            <w:tcBorders>
              <w:top w:val="single" w:sz="4" w:space="0" w:color="auto"/>
              <w:left w:val="nil"/>
              <w:bottom w:val="single" w:sz="4" w:space="0" w:color="auto"/>
              <w:right w:val="single" w:sz="4" w:space="0" w:color="auto"/>
            </w:tcBorders>
            <w:shd w:val="clear" w:color="auto" w:fill="auto"/>
            <w:noWrap/>
            <w:vAlign w:val="center"/>
          </w:tcPr>
          <w:p w14:paraId="409D62EC" w14:textId="77777777" w:rsidR="00D90E6B" w:rsidRPr="007940C0" w:rsidRDefault="00D90E6B" w:rsidP="00D90E6B">
            <w:pPr>
              <w:ind w:firstLine="0"/>
              <w:jc w:val="center"/>
              <w:rPr>
                <w:sz w:val="20"/>
              </w:rPr>
            </w:pPr>
            <w:r w:rsidRPr="007940C0">
              <w:rPr>
                <w:sz w:val="20"/>
              </w:rPr>
              <w:t>10</w:t>
            </w:r>
          </w:p>
        </w:tc>
        <w:tc>
          <w:tcPr>
            <w:tcW w:w="291" w:type="pct"/>
            <w:tcBorders>
              <w:top w:val="single" w:sz="4" w:space="0" w:color="auto"/>
              <w:left w:val="single" w:sz="4" w:space="0" w:color="auto"/>
              <w:bottom w:val="single" w:sz="4" w:space="0" w:color="auto"/>
              <w:right w:val="single" w:sz="4" w:space="0" w:color="auto"/>
            </w:tcBorders>
            <w:vAlign w:val="center"/>
          </w:tcPr>
          <w:p w14:paraId="70E8BC84" w14:textId="77777777" w:rsidR="00D90E6B" w:rsidRPr="007940C0" w:rsidRDefault="00D90E6B" w:rsidP="00D90E6B">
            <w:pPr>
              <w:ind w:firstLine="0"/>
              <w:jc w:val="center"/>
              <w:rPr>
                <w:sz w:val="20"/>
              </w:rPr>
            </w:pPr>
            <w:r w:rsidRPr="007940C0">
              <w:rPr>
                <w:sz w:val="20"/>
              </w:rPr>
              <w:t>9,5</w:t>
            </w:r>
          </w:p>
        </w:tc>
        <w:tc>
          <w:tcPr>
            <w:tcW w:w="365" w:type="pct"/>
            <w:tcBorders>
              <w:top w:val="single" w:sz="4" w:space="0" w:color="auto"/>
              <w:left w:val="single" w:sz="4" w:space="0" w:color="auto"/>
              <w:bottom w:val="single" w:sz="4" w:space="0" w:color="auto"/>
              <w:right w:val="single" w:sz="4" w:space="0" w:color="auto"/>
            </w:tcBorders>
            <w:vAlign w:val="center"/>
          </w:tcPr>
          <w:p w14:paraId="2B950A6B" w14:textId="77777777" w:rsidR="00D90E6B" w:rsidRPr="007940C0" w:rsidRDefault="00D90E6B" w:rsidP="00D90E6B">
            <w:pPr>
              <w:ind w:firstLine="0"/>
              <w:jc w:val="center"/>
              <w:rPr>
                <w:sz w:val="20"/>
              </w:rPr>
            </w:pPr>
            <w:r w:rsidRPr="007940C0">
              <w:rPr>
                <w:sz w:val="20"/>
              </w:rPr>
              <w:t>6</w:t>
            </w:r>
          </w:p>
        </w:tc>
        <w:tc>
          <w:tcPr>
            <w:tcW w:w="291" w:type="pct"/>
            <w:tcBorders>
              <w:top w:val="single" w:sz="4" w:space="0" w:color="auto"/>
              <w:left w:val="single" w:sz="4" w:space="0" w:color="auto"/>
              <w:bottom w:val="single" w:sz="4" w:space="0" w:color="auto"/>
              <w:right w:val="single" w:sz="4" w:space="0" w:color="auto"/>
            </w:tcBorders>
            <w:vAlign w:val="center"/>
          </w:tcPr>
          <w:p w14:paraId="0FBD6518" w14:textId="77777777" w:rsidR="00D90E6B" w:rsidRPr="007940C0" w:rsidRDefault="00D90E6B" w:rsidP="00D90E6B">
            <w:pPr>
              <w:ind w:firstLine="0"/>
              <w:jc w:val="center"/>
              <w:rPr>
                <w:sz w:val="20"/>
              </w:rPr>
            </w:pPr>
            <w:r w:rsidRPr="007940C0">
              <w:rPr>
                <w:sz w:val="20"/>
              </w:rPr>
              <w:t>5,7</w:t>
            </w:r>
          </w:p>
        </w:tc>
        <w:tc>
          <w:tcPr>
            <w:tcW w:w="435" w:type="pct"/>
            <w:tcBorders>
              <w:top w:val="single" w:sz="4" w:space="0" w:color="auto"/>
              <w:left w:val="single" w:sz="4" w:space="0" w:color="auto"/>
              <w:bottom w:val="single" w:sz="4" w:space="0" w:color="auto"/>
              <w:right w:val="single" w:sz="4" w:space="0" w:color="auto"/>
            </w:tcBorders>
            <w:vAlign w:val="center"/>
          </w:tcPr>
          <w:p w14:paraId="6FDC025D" w14:textId="77777777" w:rsidR="00D90E6B" w:rsidRPr="007940C0" w:rsidRDefault="00D90E6B" w:rsidP="00D90E6B">
            <w:pPr>
              <w:ind w:firstLine="0"/>
              <w:jc w:val="center"/>
              <w:rPr>
                <w:sz w:val="20"/>
              </w:rPr>
            </w:pPr>
            <w:r w:rsidRPr="007940C0">
              <w:rPr>
                <w:sz w:val="20"/>
              </w:rPr>
              <w:t>11</w:t>
            </w:r>
          </w:p>
        </w:tc>
        <w:tc>
          <w:tcPr>
            <w:tcW w:w="289" w:type="pct"/>
            <w:tcBorders>
              <w:top w:val="single" w:sz="4" w:space="0" w:color="auto"/>
              <w:left w:val="single" w:sz="4" w:space="0" w:color="auto"/>
              <w:bottom w:val="single" w:sz="4" w:space="0" w:color="auto"/>
              <w:right w:val="single" w:sz="4" w:space="0" w:color="auto"/>
            </w:tcBorders>
            <w:vAlign w:val="center"/>
          </w:tcPr>
          <w:p w14:paraId="66538FE9" w14:textId="77777777" w:rsidR="00D90E6B" w:rsidRPr="007940C0" w:rsidRDefault="00D90E6B" w:rsidP="00D90E6B">
            <w:pPr>
              <w:ind w:firstLine="0"/>
              <w:jc w:val="center"/>
              <w:rPr>
                <w:sz w:val="20"/>
              </w:rPr>
            </w:pPr>
            <w:r w:rsidRPr="007940C0">
              <w:rPr>
                <w:sz w:val="20"/>
              </w:rPr>
              <w:t>10,5</w:t>
            </w:r>
          </w:p>
        </w:tc>
        <w:tc>
          <w:tcPr>
            <w:tcW w:w="364" w:type="pct"/>
            <w:tcBorders>
              <w:top w:val="single" w:sz="4" w:space="0" w:color="auto"/>
              <w:left w:val="single" w:sz="4" w:space="0" w:color="auto"/>
              <w:bottom w:val="single" w:sz="4" w:space="0" w:color="auto"/>
              <w:right w:val="single" w:sz="4" w:space="0" w:color="auto"/>
            </w:tcBorders>
            <w:vAlign w:val="center"/>
          </w:tcPr>
          <w:p w14:paraId="2EC4CDAA" w14:textId="77777777" w:rsidR="00D90E6B" w:rsidRPr="007940C0" w:rsidRDefault="00D90E6B" w:rsidP="00D90E6B">
            <w:pPr>
              <w:ind w:firstLine="0"/>
              <w:jc w:val="center"/>
              <w:rPr>
                <w:sz w:val="20"/>
              </w:rPr>
            </w:pPr>
            <w:r w:rsidRPr="007940C0">
              <w:rPr>
                <w:sz w:val="20"/>
              </w:rPr>
              <w:t>37</w:t>
            </w:r>
          </w:p>
        </w:tc>
        <w:tc>
          <w:tcPr>
            <w:tcW w:w="290" w:type="pct"/>
            <w:tcBorders>
              <w:top w:val="single" w:sz="4" w:space="0" w:color="auto"/>
              <w:left w:val="single" w:sz="4" w:space="0" w:color="auto"/>
              <w:bottom w:val="single" w:sz="4" w:space="0" w:color="auto"/>
              <w:right w:val="single" w:sz="4" w:space="0" w:color="auto"/>
            </w:tcBorders>
            <w:vAlign w:val="center"/>
          </w:tcPr>
          <w:p w14:paraId="4F12BB70" w14:textId="77777777" w:rsidR="00D90E6B" w:rsidRPr="007940C0" w:rsidRDefault="00D90E6B" w:rsidP="00D90E6B">
            <w:pPr>
              <w:ind w:firstLine="0"/>
              <w:jc w:val="center"/>
              <w:rPr>
                <w:sz w:val="20"/>
              </w:rPr>
            </w:pPr>
            <w:r w:rsidRPr="007940C0">
              <w:rPr>
                <w:sz w:val="20"/>
              </w:rPr>
              <w:t>35,2</w:t>
            </w:r>
          </w:p>
        </w:tc>
        <w:tc>
          <w:tcPr>
            <w:tcW w:w="363" w:type="pct"/>
            <w:tcBorders>
              <w:top w:val="single" w:sz="4" w:space="0" w:color="auto"/>
              <w:left w:val="single" w:sz="4" w:space="0" w:color="auto"/>
              <w:bottom w:val="single" w:sz="4" w:space="0" w:color="auto"/>
              <w:right w:val="single" w:sz="4" w:space="0" w:color="auto"/>
            </w:tcBorders>
            <w:vAlign w:val="center"/>
          </w:tcPr>
          <w:p w14:paraId="1CAD98DF" w14:textId="77777777" w:rsidR="00D90E6B" w:rsidRPr="007940C0" w:rsidRDefault="00D90E6B" w:rsidP="00D90E6B">
            <w:pPr>
              <w:ind w:firstLine="0"/>
              <w:jc w:val="center"/>
              <w:rPr>
                <w:sz w:val="20"/>
              </w:rPr>
            </w:pPr>
            <w:r w:rsidRPr="007940C0">
              <w:rPr>
                <w:sz w:val="20"/>
              </w:rPr>
              <w:t>12</w:t>
            </w:r>
          </w:p>
        </w:tc>
        <w:tc>
          <w:tcPr>
            <w:tcW w:w="291" w:type="pct"/>
            <w:tcBorders>
              <w:top w:val="single" w:sz="4" w:space="0" w:color="auto"/>
              <w:left w:val="single" w:sz="4" w:space="0" w:color="auto"/>
              <w:bottom w:val="single" w:sz="4" w:space="0" w:color="auto"/>
              <w:right w:val="single" w:sz="4" w:space="0" w:color="auto"/>
            </w:tcBorders>
            <w:vAlign w:val="center"/>
          </w:tcPr>
          <w:p w14:paraId="4ACE6D0A" w14:textId="77777777" w:rsidR="00D90E6B" w:rsidRPr="007940C0" w:rsidRDefault="00D90E6B" w:rsidP="00D90E6B">
            <w:pPr>
              <w:ind w:firstLine="0"/>
              <w:jc w:val="center"/>
              <w:rPr>
                <w:sz w:val="20"/>
              </w:rPr>
            </w:pPr>
            <w:r w:rsidRPr="007940C0">
              <w:rPr>
                <w:sz w:val="20"/>
              </w:rPr>
              <w:t>11,4</w:t>
            </w:r>
          </w:p>
        </w:tc>
        <w:tc>
          <w:tcPr>
            <w:tcW w:w="362" w:type="pct"/>
            <w:tcBorders>
              <w:top w:val="single" w:sz="4" w:space="0" w:color="auto"/>
              <w:left w:val="nil"/>
              <w:bottom w:val="single" w:sz="4" w:space="0" w:color="auto"/>
              <w:right w:val="single" w:sz="4" w:space="0" w:color="auto"/>
            </w:tcBorders>
            <w:shd w:val="clear" w:color="auto" w:fill="auto"/>
            <w:vAlign w:val="center"/>
          </w:tcPr>
          <w:p w14:paraId="6C3A0427" w14:textId="77777777" w:rsidR="00D90E6B" w:rsidRPr="007940C0" w:rsidRDefault="00D90E6B" w:rsidP="00D90E6B">
            <w:pPr>
              <w:ind w:firstLine="0"/>
              <w:jc w:val="center"/>
              <w:rPr>
                <w:sz w:val="20"/>
              </w:rPr>
            </w:pPr>
            <w:r w:rsidRPr="007940C0">
              <w:rPr>
                <w:sz w:val="20"/>
              </w:rPr>
              <w:t>14</w:t>
            </w:r>
          </w:p>
        </w:tc>
        <w:tc>
          <w:tcPr>
            <w:tcW w:w="290" w:type="pct"/>
            <w:tcBorders>
              <w:top w:val="single" w:sz="4" w:space="0" w:color="auto"/>
              <w:left w:val="nil"/>
              <w:bottom w:val="single" w:sz="4" w:space="0" w:color="auto"/>
              <w:right w:val="single" w:sz="4" w:space="0" w:color="auto"/>
            </w:tcBorders>
            <w:vAlign w:val="center"/>
          </w:tcPr>
          <w:p w14:paraId="08BE3F1D" w14:textId="77777777" w:rsidR="00D90E6B" w:rsidRPr="007940C0" w:rsidRDefault="00D90E6B" w:rsidP="00D90E6B">
            <w:pPr>
              <w:ind w:firstLine="0"/>
              <w:jc w:val="center"/>
              <w:rPr>
                <w:sz w:val="20"/>
              </w:rPr>
            </w:pPr>
            <w:r w:rsidRPr="007940C0">
              <w:rPr>
                <w:sz w:val="20"/>
              </w:rPr>
              <w:t>13,3</w:t>
            </w:r>
          </w:p>
        </w:tc>
        <w:tc>
          <w:tcPr>
            <w:tcW w:w="363" w:type="pct"/>
            <w:tcBorders>
              <w:top w:val="single" w:sz="4" w:space="0" w:color="auto"/>
              <w:left w:val="nil"/>
              <w:bottom w:val="single" w:sz="4" w:space="0" w:color="auto"/>
              <w:right w:val="single" w:sz="4" w:space="0" w:color="auto"/>
            </w:tcBorders>
            <w:vAlign w:val="center"/>
          </w:tcPr>
          <w:p w14:paraId="0587E13A" w14:textId="77777777" w:rsidR="00D90E6B" w:rsidRPr="007940C0" w:rsidRDefault="00D90E6B" w:rsidP="00D90E6B">
            <w:pPr>
              <w:ind w:firstLine="0"/>
              <w:jc w:val="center"/>
              <w:rPr>
                <w:sz w:val="20"/>
              </w:rPr>
            </w:pPr>
            <w:r w:rsidRPr="007940C0">
              <w:rPr>
                <w:sz w:val="20"/>
              </w:rPr>
              <w:t>15</w:t>
            </w:r>
          </w:p>
        </w:tc>
        <w:tc>
          <w:tcPr>
            <w:tcW w:w="286" w:type="pct"/>
            <w:tcBorders>
              <w:top w:val="single" w:sz="4" w:space="0" w:color="auto"/>
              <w:left w:val="single" w:sz="4" w:space="0" w:color="auto"/>
              <w:bottom w:val="single" w:sz="4" w:space="0" w:color="auto"/>
            </w:tcBorders>
            <w:shd w:val="clear" w:color="auto" w:fill="auto"/>
            <w:noWrap/>
            <w:vAlign w:val="center"/>
          </w:tcPr>
          <w:p w14:paraId="48D82F8F" w14:textId="77777777" w:rsidR="00D90E6B" w:rsidRPr="007940C0" w:rsidRDefault="00D90E6B" w:rsidP="00D90E6B">
            <w:pPr>
              <w:ind w:firstLine="0"/>
              <w:jc w:val="center"/>
              <w:rPr>
                <w:sz w:val="20"/>
              </w:rPr>
            </w:pPr>
            <w:r w:rsidRPr="007940C0">
              <w:rPr>
                <w:sz w:val="20"/>
              </w:rPr>
              <w:t>14,3</w:t>
            </w:r>
          </w:p>
        </w:tc>
      </w:tr>
      <w:tr w:rsidR="00D90E6B" w:rsidRPr="007940C0" w14:paraId="2B4B2FEA" w14:textId="77777777" w:rsidTr="006A5420">
        <w:trPr>
          <w:trHeight w:val="255"/>
          <w:jc w:val="center"/>
        </w:trPr>
        <w:tc>
          <w:tcPr>
            <w:tcW w:w="358" w:type="pct"/>
            <w:tcBorders>
              <w:top w:val="single" w:sz="2" w:space="0" w:color="000000"/>
              <w:left w:val="single" w:sz="8" w:space="0" w:color="FFFFFF" w:themeColor="background1"/>
              <w:bottom w:val="single" w:sz="4" w:space="0" w:color="auto"/>
              <w:right w:val="single" w:sz="4" w:space="0" w:color="auto"/>
            </w:tcBorders>
            <w:shd w:val="clear" w:color="auto" w:fill="auto"/>
            <w:noWrap/>
            <w:vAlign w:val="center"/>
          </w:tcPr>
          <w:p w14:paraId="692E9959" w14:textId="77777777" w:rsidR="00D90E6B" w:rsidRPr="007940C0" w:rsidRDefault="00D90E6B" w:rsidP="00D90E6B">
            <w:pPr>
              <w:ind w:firstLine="0"/>
              <w:jc w:val="center"/>
              <w:rPr>
                <w:sz w:val="20"/>
              </w:rPr>
            </w:pPr>
            <w:r w:rsidRPr="007940C0">
              <w:rPr>
                <w:sz w:val="20"/>
              </w:rPr>
              <w:t>Q09</w:t>
            </w:r>
          </w:p>
        </w:tc>
        <w:tc>
          <w:tcPr>
            <w:tcW w:w="362" w:type="pct"/>
            <w:tcBorders>
              <w:top w:val="single" w:sz="4" w:space="0" w:color="auto"/>
              <w:left w:val="nil"/>
              <w:bottom w:val="single" w:sz="4" w:space="0" w:color="auto"/>
              <w:right w:val="single" w:sz="4" w:space="0" w:color="auto"/>
            </w:tcBorders>
            <w:shd w:val="clear" w:color="auto" w:fill="auto"/>
            <w:noWrap/>
            <w:vAlign w:val="center"/>
          </w:tcPr>
          <w:p w14:paraId="3BBDD941" w14:textId="77777777" w:rsidR="00D90E6B" w:rsidRPr="007940C0" w:rsidRDefault="00D90E6B" w:rsidP="00D90E6B">
            <w:pPr>
              <w:ind w:firstLine="0"/>
              <w:jc w:val="center"/>
              <w:rPr>
                <w:sz w:val="20"/>
              </w:rPr>
            </w:pPr>
            <w:r w:rsidRPr="007940C0">
              <w:rPr>
                <w:sz w:val="20"/>
              </w:rPr>
              <w:t>12</w:t>
            </w:r>
          </w:p>
        </w:tc>
        <w:tc>
          <w:tcPr>
            <w:tcW w:w="291" w:type="pct"/>
            <w:tcBorders>
              <w:top w:val="single" w:sz="4" w:space="0" w:color="auto"/>
              <w:left w:val="single" w:sz="4" w:space="0" w:color="auto"/>
              <w:bottom w:val="single" w:sz="4" w:space="0" w:color="auto"/>
              <w:right w:val="single" w:sz="4" w:space="0" w:color="auto"/>
            </w:tcBorders>
            <w:vAlign w:val="center"/>
          </w:tcPr>
          <w:p w14:paraId="7D4457FE" w14:textId="77777777" w:rsidR="00D90E6B" w:rsidRPr="007940C0" w:rsidRDefault="00D90E6B" w:rsidP="00D90E6B">
            <w:pPr>
              <w:ind w:firstLine="0"/>
              <w:jc w:val="center"/>
              <w:rPr>
                <w:sz w:val="20"/>
              </w:rPr>
            </w:pPr>
            <w:r w:rsidRPr="007940C0">
              <w:rPr>
                <w:sz w:val="20"/>
              </w:rPr>
              <w:t>11,4</w:t>
            </w:r>
          </w:p>
        </w:tc>
        <w:tc>
          <w:tcPr>
            <w:tcW w:w="365" w:type="pct"/>
            <w:tcBorders>
              <w:top w:val="single" w:sz="4" w:space="0" w:color="auto"/>
              <w:left w:val="single" w:sz="4" w:space="0" w:color="auto"/>
              <w:bottom w:val="single" w:sz="4" w:space="0" w:color="auto"/>
              <w:right w:val="single" w:sz="4" w:space="0" w:color="auto"/>
            </w:tcBorders>
            <w:vAlign w:val="center"/>
          </w:tcPr>
          <w:p w14:paraId="41F0B31E" w14:textId="77777777" w:rsidR="00D90E6B" w:rsidRPr="007940C0" w:rsidRDefault="00D90E6B" w:rsidP="00D90E6B">
            <w:pPr>
              <w:ind w:firstLine="0"/>
              <w:jc w:val="center"/>
              <w:rPr>
                <w:sz w:val="20"/>
              </w:rPr>
            </w:pPr>
            <w:r w:rsidRPr="007940C0">
              <w:rPr>
                <w:sz w:val="20"/>
              </w:rPr>
              <w:t>5</w:t>
            </w:r>
          </w:p>
        </w:tc>
        <w:tc>
          <w:tcPr>
            <w:tcW w:w="291" w:type="pct"/>
            <w:tcBorders>
              <w:top w:val="single" w:sz="4" w:space="0" w:color="auto"/>
              <w:left w:val="single" w:sz="4" w:space="0" w:color="auto"/>
              <w:bottom w:val="single" w:sz="4" w:space="0" w:color="auto"/>
              <w:right w:val="single" w:sz="4" w:space="0" w:color="auto"/>
            </w:tcBorders>
            <w:vAlign w:val="center"/>
          </w:tcPr>
          <w:p w14:paraId="4A146BE0" w14:textId="77777777" w:rsidR="00D90E6B" w:rsidRPr="007940C0" w:rsidRDefault="00D90E6B" w:rsidP="00D90E6B">
            <w:pPr>
              <w:ind w:firstLine="0"/>
              <w:jc w:val="center"/>
              <w:rPr>
                <w:sz w:val="20"/>
              </w:rPr>
            </w:pPr>
            <w:r w:rsidRPr="007940C0">
              <w:rPr>
                <w:sz w:val="20"/>
              </w:rPr>
              <w:t>4,8</w:t>
            </w:r>
          </w:p>
        </w:tc>
        <w:tc>
          <w:tcPr>
            <w:tcW w:w="435" w:type="pct"/>
            <w:tcBorders>
              <w:top w:val="single" w:sz="4" w:space="0" w:color="auto"/>
              <w:left w:val="single" w:sz="4" w:space="0" w:color="auto"/>
              <w:bottom w:val="single" w:sz="4" w:space="0" w:color="auto"/>
              <w:right w:val="single" w:sz="4" w:space="0" w:color="auto"/>
            </w:tcBorders>
            <w:vAlign w:val="center"/>
          </w:tcPr>
          <w:p w14:paraId="0C7B5262" w14:textId="77777777" w:rsidR="00D90E6B" w:rsidRPr="007940C0" w:rsidRDefault="00D90E6B" w:rsidP="00D90E6B">
            <w:pPr>
              <w:ind w:firstLine="0"/>
              <w:jc w:val="center"/>
              <w:rPr>
                <w:sz w:val="20"/>
              </w:rPr>
            </w:pPr>
            <w:r w:rsidRPr="007940C0">
              <w:rPr>
                <w:sz w:val="20"/>
              </w:rPr>
              <w:t>14</w:t>
            </w:r>
          </w:p>
        </w:tc>
        <w:tc>
          <w:tcPr>
            <w:tcW w:w="289" w:type="pct"/>
            <w:tcBorders>
              <w:top w:val="single" w:sz="4" w:space="0" w:color="auto"/>
              <w:left w:val="single" w:sz="4" w:space="0" w:color="auto"/>
              <w:bottom w:val="single" w:sz="4" w:space="0" w:color="auto"/>
              <w:right w:val="single" w:sz="4" w:space="0" w:color="auto"/>
            </w:tcBorders>
            <w:vAlign w:val="center"/>
          </w:tcPr>
          <w:p w14:paraId="7214438E" w14:textId="77777777" w:rsidR="00D90E6B" w:rsidRPr="007940C0" w:rsidRDefault="00D90E6B" w:rsidP="00D90E6B">
            <w:pPr>
              <w:ind w:firstLine="0"/>
              <w:jc w:val="center"/>
              <w:rPr>
                <w:sz w:val="20"/>
              </w:rPr>
            </w:pPr>
            <w:r w:rsidRPr="007940C0">
              <w:rPr>
                <w:sz w:val="20"/>
              </w:rPr>
              <w:t>13,3</w:t>
            </w:r>
          </w:p>
        </w:tc>
        <w:tc>
          <w:tcPr>
            <w:tcW w:w="364" w:type="pct"/>
            <w:tcBorders>
              <w:top w:val="single" w:sz="4" w:space="0" w:color="auto"/>
              <w:left w:val="single" w:sz="4" w:space="0" w:color="auto"/>
              <w:bottom w:val="single" w:sz="4" w:space="0" w:color="auto"/>
              <w:right w:val="single" w:sz="4" w:space="0" w:color="auto"/>
            </w:tcBorders>
            <w:vAlign w:val="center"/>
          </w:tcPr>
          <w:p w14:paraId="0E708325" w14:textId="77777777" w:rsidR="00D90E6B" w:rsidRPr="007940C0" w:rsidRDefault="00D90E6B" w:rsidP="00D90E6B">
            <w:pPr>
              <w:ind w:firstLine="0"/>
              <w:jc w:val="center"/>
              <w:rPr>
                <w:sz w:val="20"/>
              </w:rPr>
            </w:pPr>
            <w:r w:rsidRPr="007940C0">
              <w:rPr>
                <w:sz w:val="20"/>
              </w:rPr>
              <w:t>27</w:t>
            </w:r>
          </w:p>
        </w:tc>
        <w:tc>
          <w:tcPr>
            <w:tcW w:w="290" w:type="pct"/>
            <w:tcBorders>
              <w:top w:val="single" w:sz="4" w:space="0" w:color="auto"/>
              <w:left w:val="single" w:sz="4" w:space="0" w:color="auto"/>
              <w:bottom w:val="single" w:sz="4" w:space="0" w:color="auto"/>
              <w:right w:val="single" w:sz="4" w:space="0" w:color="auto"/>
            </w:tcBorders>
            <w:vAlign w:val="center"/>
          </w:tcPr>
          <w:p w14:paraId="0D63CCEE" w14:textId="77777777" w:rsidR="00D90E6B" w:rsidRPr="007940C0" w:rsidRDefault="00D90E6B" w:rsidP="00D90E6B">
            <w:pPr>
              <w:ind w:firstLine="0"/>
              <w:jc w:val="center"/>
              <w:rPr>
                <w:sz w:val="20"/>
              </w:rPr>
            </w:pPr>
            <w:r w:rsidRPr="007940C0">
              <w:rPr>
                <w:sz w:val="20"/>
              </w:rPr>
              <w:t>25,7</w:t>
            </w:r>
          </w:p>
        </w:tc>
        <w:tc>
          <w:tcPr>
            <w:tcW w:w="363" w:type="pct"/>
            <w:tcBorders>
              <w:top w:val="single" w:sz="4" w:space="0" w:color="auto"/>
              <w:left w:val="single" w:sz="4" w:space="0" w:color="auto"/>
              <w:bottom w:val="single" w:sz="4" w:space="0" w:color="auto"/>
              <w:right w:val="single" w:sz="4" w:space="0" w:color="auto"/>
            </w:tcBorders>
            <w:vAlign w:val="center"/>
          </w:tcPr>
          <w:p w14:paraId="48B97990" w14:textId="77777777" w:rsidR="00D90E6B" w:rsidRPr="007940C0" w:rsidRDefault="00D90E6B" w:rsidP="00D90E6B">
            <w:pPr>
              <w:ind w:firstLine="0"/>
              <w:jc w:val="center"/>
              <w:rPr>
                <w:sz w:val="20"/>
              </w:rPr>
            </w:pPr>
            <w:r w:rsidRPr="007940C0">
              <w:rPr>
                <w:sz w:val="20"/>
              </w:rPr>
              <w:t>9</w:t>
            </w:r>
          </w:p>
        </w:tc>
        <w:tc>
          <w:tcPr>
            <w:tcW w:w="291" w:type="pct"/>
            <w:tcBorders>
              <w:top w:val="single" w:sz="4" w:space="0" w:color="auto"/>
              <w:left w:val="single" w:sz="4" w:space="0" w:color="auto"/>
              <w:bottom w:val="single" w:sz="4" w:space="0" w:color="auto"/>
              <w:right w:val="single" w:sz="4" w:space="0" w:color="auto"/>
            </w:tcBorders>
            <w:vAlign w:val="center"/>
          </w:tcPr>
          <w:p w14:paraId="0E795E82" w14:textId="77777777" w:rsidR="00D90E6B" w:rsidRPr="007940C0" w:rsidRDefault="00D90E6B" w:rsidP="00D90E6B">
            <w:pPr>
              <w:ind w:firstLine="0"/>
              <w:jc w:val="center"/>
              <w:rPr>
                <w:sz w:val="20"/>
              </w:rPr>
            </w:pPr>
            <w:r w:rsidRPr="007940C0">
              <w:rPr>
                <w:sz w:val="20"/>
              </w:rPr>
              <w:t>8,6</w:t>
            </w:r>
          </w:p>
        </w:tc>
        <w:tc>
          <w:tcPr>
            <w:tcW w:w="362" w:type="pct"/>
            <w:tcBorders>
              <w:top w:val="single" w:sz="4" w:space="0" w:color="auto"/>
              <w:left w:val="nil"/>
              <w:bottom w:val="single" w:sz="4" w:space="0" w:color="auto"/>
              <w:right w:val="single" w:sz="4" w:space="0" w:color="auto"/>
            </w:tcBorders>
            <w:vAlign w:val="center"/>
          </w:tcPr>
          <w:p w14:paraId="612B68DB" w14:textId="77777777" w:rsidR="00D90E6B" w:rsidRPr="007940C0" w:rsidRDefault="00D90E6B" w:rsidP="00D90E6B">
            <w:pPr>
              <w:ind w:firstLine="0"/>
              <w:jc w:val="center"/>
              <w:rPr>
                <w:sz w:val="20"/>
              </w:rPr>
            </w:pPr>
            <w:r w:rsidRPr="007940C0">
              <w:rPr>
                <w:sz w:val="20"/>
              </w:rPr>
              <w:t>25</w:t>
            </w:r>
          </w:p>
        </w:tc>
        <w:tc>
          <w:tcPr>
            <w:tcW w:w="290" w:type="pct"/>
            <w:tcBorders>
              <w:top w:val="single" w:sz="4" w:space="0" w:color="auto"/>
              <w:left w:val="nil"/>
              <w:bottom w:val="single" w:sz="4" w:space="0" w:color="auto"/>
              <w:right w:val="single" w:sz="4" w:space="0" w:color="auto"/>
            </w:tcBorders>
            <w:vAlign w:val="center"/>
          </w:tcPr>
          <w:p w14:paraId="59628C46" w14:textId="77777777" w:rsidR="00D90E6B" w:rsidRPr="007940C0" w:rsidRDefault="00D90E6B" w:rsidP="00D90E6B">
            <w:pPr>
              <w:ind w:firstLine="0"/>
              <w:jc w:val="center"/>
              <w:rPr>
                <w:sz w:val="20"/>
              </w:rPr>
            </w:pPr>
            <w:r w:rsidRPr="007940C0">
              <w:rPr>
                <w:sz w:val="20"/>
              </w:rPr>
              <w:t>23,8</w:t>
            </w:r>
          </w:p>
        </w:tc>
        <w:tc>
          <w:tcPr>
            <w:tcW w:w="363" w:type="pct"/>
            <w:tcBorders>
              <w:top w:val="single" w:sz="4" w:space="0" w:color="auto"/>
              <w:left w:val="nil"/>
              <w:bottom w:val="single" w:sz="4" w:space="0" w:color="auto"/>
              <w:right w:val="single" w:sz="4" w:space="0" w:color="auto"/>
            </w:tcBorders>
            <w:vAlign w:val="center"/>
          </w:tcPr>
          <w:p w14:paraId="34AC36CB" w14:textId="77777777" w:rsidR="00D90E6B" w:rsidRPr="007940C0" w:rsidRDefault="00D90E6B" w:rsidP="00D90E6B">
            <w:pPr>
              <w:ind w:firstLine="0"/>
              <w:jc w:val="center"/>
              <w:rPr>
                <w:sz w:val="20"/>
              </w:rPr>
            </w:pPr>
            <w:r w:rsidRPr="007940C0">
              <w:rPr>
                <w:sz w:val="20"/>
              </w:rPr>
              <w:t>13</w:t>
            </w:r>
          </w:p>
        </w:tc>
        <w:tc>
          <w:tcPr>
            <w:tcW w:w="286" w:type="pct"/>
            <w:tcBorders>
              <w:top w:val="single" w:sz="4" w:space="0" w:color="auto"/>
              <w:left w:val="single" w:sz="4" w:space="0" w:color="auto"/>
              <w:bottom w:val="single" w:sz="4" w:space="0" w:color="auto"/>
            </w:tcBorders>
            <w:shd w:val="clear" w:color="auto" w:fill="auto"/>
            <w:noWrap/>
            <w:vAlign w:val="center"/>
          </w:tcPr>
          <w:p w14:paraId="4DBEC9A9" w14:textId="77777777" w:rsidR="00D90E6B" w:rsidRPr="007940C0" w:rsidRDefault="00D90E6B" w:rsidP="00D90E6B">
            <w:pPr>
              <w:ind w:firstLine="0"/>
              <w:jc w:val="center"/>
              <w:rPr>
                <w:sz w:val="20"/>
              </w:rPr>
            </w:pPr>
            <w:r w:rsidRPr="007940C0">
              <w:rPr>
                <w:sz w:val="20"/>
              </w:rPr>
              <w:t>12,4</w:t>
            </w:r>
          </w:p>
        </w:tc>
      </w:tr>
      <w:tr w:rsidR="00D90E6B" w:rsidRPr="007940C0" w14:paraId="2E38C6B9" w14:textId="77777777" w:rsidTr="006A5420">
        <w:trPr>
          <w:trHeight w:val="255"/>
          <w:jc w:val="center"/>
        </w:trPr>
        <w:tc>
          <w:tcPr>
            <w:tcW w:w="358" w:type="pct"/>
            <w:tcBorders>
              <w:top w:val="single" w:sz="4" w:space="0" w:color="auto"/>
              <w:left w:val="single" w:sz="8" w:space="0" w:color="FFFFFF" w:themeColor="background1"/>
              <w:bottom w:val="single" w:sz="18" w:space="0" w:color="auto"/>
              <w:right w:val="single" w:sz="4" w:space="0" w:color="auto"/>
            </w:tcBorders>
            <w:shd w:val="clear" w:color="auto" w:fill="auto"/>
            <w:noWrap/>
            <w:vAlign w:val="center"/>
            <w:hideMark/>
          </w:tcPr>
          <w:p w14:paraId="7E79DD79" w14:textId="77777777" w:rsidR="00D90E6B" w:rsidRPr="007940C0" w:rsidRDefault="00D90E6B" w:rsidP="00D90E6B">
            <w:pPr>
              <w:ind w:firstLine="0"/>
              <w:jc w:val="center"/>
              <w:rPr>
                <w:sz w:val="20"/>
              </w:rPr>
            </w:pPr>
            <w:r w:rsidRPr="007940C0">
              <w:rPr>
                <w:sz w:val="20"/>
              </w:rPr>
              <w:t>Q10</w:t>
            </w:r>
          </w:p>
        </w:tc>
        <w:tc>
          <w:tcPr>
            <w:tcW w:w="362" w:type="pct"/>
            <w:tcBorders>
              <w:top w:val="single" w:sz="4" w:space="0" w:color="auto"/>
              <w:left w:val="nil"/>
              <w:bottom w:val="single" w:sz="18" w:space="0" w:color="auto"/>
              <w:right w:val="single" w:sz="4" w:space="0" w:color="auto"/>
            </w:tcBorders>
            <w:shd w:val="clear" w:color="auto" w:fill="auto"/>
            <w:noWrap/>
            <w:vAlign w:val="center"/>
          </w:tcPr>
          <w:p w14:paraId="24327760" w14:textId="77777777" w:rsidR="00D90E6B" w:rsidRPr="007940C0" w:rsidRDefault="00D90E6B" w:rsidP="00D90E6B">
            <w:pPr>
              <w:ind w:firstLine="0"/>
              <w:jc w:val="center"/>
              <w:rPr>
                <w:sz w:val="20"/>
              </w:rPr>
            </w:pPr>
            <w:r w:rsidRPr="007940C0">
              <w:rPr>
                <w:sz w:val="20"/>
              </w:rPr>
              <w:t>20</w:t>
            </w:r>
          </w:p>
        </w:tc>
        <w:tc>
          <w:tcPr>
            <w:tcW w:w="291" w:type="pct"/>
            <w:tcBorders>
              <w:top w:val="single" w:sz="4" w:space="0" w:color="auto"/>
              <w:left w:val="single" w:sz="4" w:space="0" w:color="auto"/>
              <w:bottom w:val="single" w:sz="18" w:space="0" w:color="auto"/>
              <w:right w:val="single" w:sz="4" w:space="0" w:color="auto"/>
            </w:tcBorders>
            <w:vAlign w:val="center"/>
          </w:tcPr>
          <w:p w14:paraId="3F1A60A3" w14:textId="77777777" w:rsidR="00D90E6B" w:rsidRPr="007940C0" w:rsidRDefault="00D90E6B" w:rsidP="00D90E6B">
            <w:pPr>
              <w:ind w:firstLine="0"/>
              <w:jc w:val="center"/>
              <w:rPr>
                <w:sz w:val="20"/>
              </w:rPr>
            </w:pPr>
            <w:r w:rsidRPr="007940C0">
              <w:rPr>
                <w:sz w:val="20"/>
              </w:rPr>
              <w:t>19</w:t>
            </w:r>
          </w:p>
        </w:tc>
        <w:tc>
          <w:tcPr>
            <w:tcW w:w="365" w:type="pct"/>
            <w:tcBorders>
              <w:top w:val="single" w:sz="4" w:space="0" w:color="auto"/>
              <w:left w:val="single" w:sz="4" w:space="0" w:color="auto"/>
              <w:bottom w:val="single" w:sz="18" w:space="0" w:color="auto"/>
              <w:right w:val="single" w:sz="4" w:space="0" w:color="auto"/>
            </w:tcBorders>
            <w:vAlign w:val="center"/>
          </w:tcPr>
          <w:p w14:paraId="71FA20FB" w14:textId="77777777" w:rsidR="00D90E6B" w:rsidRPr="007940C0" w:rsidRDefault="00D90E6B" w:rsidP="00D90E6B">
            <w:pPr>
              <w:ind w:firstLine="0"/>
              <w:jc w:val="center"/>
              <w:rPr>
                <w:sz w:val="20"/>
              </w:rPr>
            </w:pPr>
            <w:r w:rsidRPr="007940C0">
              <w:rPr>
                <w:sz w:val="20"/>
              </w:rPr>
              <w:t>14</w:t>
            </w:r>
          </w:p>
        </w:tc>
        <w:tc>
          <w:tcPr>
            <w:tcW w:w="291" w:type="pct"/>
            <w:tcBorders>
              <w:top w:val="single" w:sz="4" w:space="0" w:color="auto"/>
              <w:left w:val="single" w:sz="4" w:space="0" w:color="auto"/>
              <w:bottom w:val="single" w:sz="18" w:space="0" w:color="auto"/>
              <w:right w:val="single" w:sz="4" w:space="0" w:color="auto"/>
            </w:tcBorders>
            <w:vAlign w:val="center"/>
          </w:tcPr>
          <w:p w14:paraId="23D0403C" w14:textId="77777777" w:rsidR="00D90E6B" w:rsidRPr="007940C0" w:rsidRDefault="00D90E6B" w:rsidP="00D90E6B">
            <w:pPr>
              <w:ind w:firstLine="0"/>
              <w:jc w:val="center"/>
              <w:rPr>
                <w:sz w:val="20"/>
              </w:rPr>
            </w:pPr>
            <w:r w:rsidRPr="007940C0">
              <w:rPr>
                <w:sz w:val="20"/>
              </w:rPr>
              <w:t>13,3</w:t>
            </w:r>
          </w:p>
        </w:tc>
        <w:tc>
          <w:tcPr>
            <w:tcW w:w="435" w:type="pct"/>
            <w:tcBorders>
              <w:top w:val="single" w:sz="4" w:space="0" w:color="auto"/>
              <w:left w:val="single" w:sz="4" w:space="0" w:color="auto"/>
              <w:bottom w:val="single" w:sz="18" w:space="0" w:color="auto"/>
              <w:right w:val="single" w:sz="4" w:space="0" w:color="auto"/>
            </w:tcBorders>
            <w:vAlign w:val="center"/>
          </w:tcPr>
          <w:p w14:paraId="073D0BCD" w14:textId="77777777" w:rsidR="00D90E6B" w:rsidRPr="007940C0" w:rsidRDefault="00D90E6B" w:rsidP="00D90E6B">
            <w:pPr>
              <w:ind w:firstLine="0"/>
              <w:jc w:val="center"/>
              <w:rPr>
                <w:sz w:val="20"/>
              </w:rPr>
            </w:pPr>
            <w:r w:rsidRPr="007940C0">
              <w:rPr>
                <w:sz w:val="20"/>
              </w:rPr>
              <w:t>19</w:t>
            </w:r>
          </w:p>
        </w:tc>
        <w:tc>
          <w:tcPr>
            <w:tcW w:w="289" w:type="pct"/>
            <w:tcBorders>
              <w:top w:val="single" w:sz="4" w:space="0" w:color="auto"/>
              <w:left w:val="single" w:sz="4" w:space="0" w:color="auto"/>
              <w:bottom w:val="single" w:sz="18" w:space="0" w:color="auto"/>
              <w:right w:val="single" w:sz="4" w:space="0" w:color="auto"/>
            </w:tcBorders>
            <w:vAlign w:val="center"/>
          </w:tcPr>
          <w:p w14:paraId="4BFA6E52" w14:textId="77777777" w:rsidR="00D90E6B" w:rsidRPr="007940C0" w:rsidRDefault="00D90E6B" w:rsidP="00D90E6B">
            <w:pPr>
              <w:ind w:firstLine="0"/>
              <w:jc w:val="center"/>
              <w:rPr>
                <w:sz w:val="20"/>
              </w:rPr>
            </w:pPr>
            <w:r w:rsidRPr="007940C0">
              <w:rPr>
                <w:sz w:val="20"/>
              </w:rPr>
              <w:t>18,1</w:t>
            </w:r>
          </w:p>
        </w:tc>
        <w:tc>
          <w:tcPr>
            <w:tcW w:w="364" w:type="pct"/>
            <w:tcBorders>
              <w:top w:val="single" w:sz="4" w:space="0" w:color="auto"/>
              <w:left w:val="single" w:sz="4" w:space="0" w:color="auto"/>
              <w:bottom w:val="single" w:sz="18" w:space="0" w:color="auto"/>
              <w:right w:val="single" w:sz="4" w:space="0" w:color="auto"/>
            </w:tcBorders>
            <w:vAlign w:val="center"/>
          </w:tcPr>
          <w:p w14:paraId="61671821" w14:textId="77777777" w:rsidR="00D90E6B" w:rsidRPr="007940C0" w:rsidRDefault="00D90E6B" w:rsidP="00D90E6B">
            <w:pPr>
              <w:ind w:firstLine="0"/>
              <w:jc w:val="center"/>
              <w:rPr>
                <w:sz w:val="20"/>
              </w:rPr>
            </w:pPr>
            <w:r w:rsidRPr="007940C0">
              <w:rPr>
                <w:sz w:val="20"/>
              </w:rPr>
              <w:t>22</w:t>
            </w:r>
          </w:p>
        </w:tc>
        <w:tc>
          <w:tcPr>
            <w:tcW w:w="290" w:type="pct"/>
            <w:tcBorders>
              <w:top w:val="single" w:sz="4" w:space="0" w:color="auto"/>
              <w:left w:val="single" w:sz="4" w:space="0" w:color="auto"/>
              <w:bottom w:val="single" w:sz="18" w:space="0" w:color="auto"/>
              <w:right w:val="single" w:sz="4" w:space="0" w:color="auto"/>
            </w:tcBorders>
            <w:vAlign w:val="center"/>
          </w:tcPr>
          <w:p w14:paraId="4B1589BF" w14:textId="77777777" w:rsidR="00D90E6B" w:rsidRPr="007940C0" w:rsidRDefault="00D90E6B" w:rsidP="00D90E6B">
            <w:pPr>
              <w:ind w:firstLine="0"/>
              <w:jc w:val="center"/>
              <w:rPr>
                <w:sz w:val="20"/>
              </w:rPr>
            </w:pPr>
            <w:r w:rsidRPr="007940C0">
              <w:rPr>
                <w:sz w:val="20"/>
              </w:rPr>
              <w:t>21</w:t>
            </w:r>
          </w:p>
        </w:tc>
        <w:tc>
          <w:tcPr>
            <w:tcW w:w="363" w:type="pct"/>
            <w:tcBorders>
              <w:top w:val="single" w:sz="4" w:space="0" w:color="auto"/>
              <w:left w:val="single" w:sz="4" w:space="0" w:color="auto"/>
              <w:bottom w:val="single" w:sz="18" w:space="0" w:color="auto"/>
              <w:right w:val="single" w:sz="4" w:space="0" w:color="auto"/>
            </w:tcBorders>
            <w:vAlign w:val="center"/>
          </w:tcPr>
          <w:p w14:paraId="14524379" w14:textId="77777777" w:rsidR="00D90E6B" w:rsidRPr="007940C0" w:rsidRDefault="00D90E6B" w:rsidP="00D90E6B">
            <w:pPr>
              <w:ind w:firstLine="0"/>
              <w:jc w:val="center"/>
              <w:rPr>
                <w:sz w:val="20"/>
              </w:rPr>
            </w:pPr>
            <w:r w:rsidRPr="007940C0">
              <w:rPr>
                <w:sz w:val="20"/>
              </w:rPr>
              <w:t>16</w:t>
            </w:r>
          </w:p>
        </w:tc>
        <w:tc>
          <w:tcPr>
            <w:tcW w:w="291" w:type="pct"/>
            <w:tcBorders>
              <w:top w:val="single" w:sz="4" w:space="0" w:color="auto"/>
              <w:left w:val="single" w:sz="4" w:space="0" w:color="auto"/>
              <w:bottom w:val="single" w:sz="18" w:space="0" w:color="auto"/>
              <w:right w:val="single" w:sz="4" w:space="0" w:color="auto"/>
            </w:tcBorders>
            <w:vAlign w:val="center"/>
          </w:tcPr>
          <w:p w14:paraId="32F33FB1" w14:textId="77777777" w:rsidR="00D90E6B" w:rsidRPr="007940C0" w:rsidRDefault="00D90E6B" w:rsidP="00D90E6B">
            <w:pPr>
              <w:ind w:firstLine="0"/>
              <w:jc w:val="center"/>
              <w:rPr>
                <w:sz w:val="20"/>
              </w:rPr>
            </w:pPr>
            <w:r w:rsidRPr="007940C0">
              <w:rPr>
                <w:sz w:val="20"/>
              </w:rPr>
              <w:t>15,2</w:t>
            </w:r>
          </w:p>
        </w:tc>
        <w:tc>
          <w:tcPr>
            <w:tcW w:w="362" w:type="pct"/>
            <w:tcBorders>
              <w:top w:val="single" w:sz="4" w:space="0" w:color="auto"/>
              <w:left w:val="nil"/>
              <w:bottom w:val="single" w:sz="18" w:space="0" w:color="auto"/>
              <w:right w:val="single" w:sz="4" w:space="0" w:color="auto"/>
            </w:tcBorders>
            <w:vAlign w:val="center"/>
          </w:tcPr>
          <w:p w14:paraId="38DF2EC3" w14:textId="77777777" w:rsidR="00D90E6B" w:rsidRPr="007940C0" w:rsidRDefault="00D90E6B" w:rsidP="00D90E6B">
            <w:pPr>
              <w:ind w:firstLine="0"/>
              <w:jc w:val="center"/>
              <w:rPr>
                <w:sz w:val="20"/>
              </w:rPr>
            </w:pPr>
            <w:r w:rsidRPr="007940C0">
              <w:rPr>
                <w:sz w:val="20"/>
              </w:rPr>
              <w:t>8</w:t>
            </w:r>
          </w:p>
        </w:tc>
        <w:tc>
          <w:tcPr>
            <w:tcW w:w="290" w:type="pct"/>
            <w:tcBorders>
              <w:top w:val="single" w:sz="4" w:space="0" w:color="auto"/>
              <w:left w:val="nil"/>
              <w:bottom w:val="single" w:sz="18" w:space="0" w:color="auto"/>
              <w:right w:val="single" w:sz="4" w:space="0" w:color="auto"/>
            </w:tcBorders>
            <w:vAlign w:val="center"/>
          </w:tcPr>
          <w:p w14:paraId="6511B0ED" w14:textId="77777777" w:rsidR="00D90E6B" w:rsidRPr="007940C0" w:rsidRDefault="00D90E6B" w:rsidP="00D90E6B">
            <w:pPr>
              <w:ind w:firstLine="0"/>
              <w:jc w:val="center"/>
              <w:rPr>
                <w:sz w:val="20"/>
              </w:rPr>
            </w:pPr>
            <w:r w:rsidRPr="007940C0">
              <w:rPr>
                <w:sz w:val="20"/>
              </w:rPr>
              <w:t>7,6</w:t>
            </w:r>
          </w:p>
        </w:tc>
        <w:tc>
          <w:tcPr>
            <w:tcW w:w="363" w:type="pct"/>
            <w:tcBorders>
              <w:top w:val="single" w:sz="4" w:space="0" w:color="auto"/>
              <w:left w:val="nil"/>
              <w:bottom w:val="single" w:sz="18" w:space="0" w:color="auto"/>
              <w:right w:val="single" w:sz="4" w:space="0" w:color="auto"/>
            </w:tcBorders>
            <w:vAlign w:val="center"/>
          </w:tcPr>
          <w:p w14:paraId="72BD55E0" w14:textId="77777777" w:rsidR="00D90E6B" w:rsidRPr="007940C0" w:rsidRDefault="00D90E6B" w:rsidP="00D90E6B">
            <w:pPr>
              <w:ind w:firstLine="0"/>
              <w:jc w:val="center"/>
              <w:rPr>
                <w:sz w:val="20"/>
              </w:rPr>
            </w:pPr>
            <w:r w:rsidRPr="007940C0">
              <w:rPr>
                <w:sz w:val="20"/>
              </w:rPr>
              <w:t>6</w:t>
            </w:r>
          </w:p>
        </w:tc>
        <w:tc>
          <w:tcPr>
            <w:tcW w:w="286" w:type="pct"/>
            <w:tcBorders>
              <w:top w:val="single" w:sz="4" w:space="0" w:color="auto"/>
              <w:left w:val="single" w:sz="4" w:space="0" w:color="auto"/>
              <w:bottom w:val="single" w:sz="18" w:space="0" w:color="auto"/>
            </w:tcBorders>
            <w:shd w:val="clear" w:color="auto" w:fill="auto"/>
            <w:noWrap/>
            <w:vAlign w:val="center"/>
          </w:tcPr>
          <w:p w14:paraId="64947426" w14:textId="77777777" w:rsidR="00D90E6B" w:rsidRPr="007940C0" w:rsidRDefault="00D90E6B" w:rsidP="00D90E6B">
            <w:pPr>
              <w:ind w:firstLine="0"/>
              <w:jc w:val="center"/>
              <w:rPr>
                <w:sz w:val="20"/>
              </w:rPr>
            </w:pPr>
            <w:r w:rsidRPr="007940C0">
              <w:rPr>
                <w:sz w:val="20"/>
              </w:rPr>
              <w:t>5,7</w:t>
            </w:r>
          </w:p>
        </w:tc>
      </w:tr>
    </w:tbl>
    <w:p w14:paraId="532C76C8" w14:textId="77777777" w:rsidR="00D90E6B" w:rsidRPr="007940C0" w:rsidRDefault="00D90E6B" w:rsidP="00807E96">
      <w:pPr>
        <w:ind w:firstLine="0"/>
        <w:rPr>
          <w:sz w:val="20"/>
        </w:rPr>
      </w:pPr>
      <w:r w:rsidRPr="007940C0">
        <w:rPr>
          <w:sz w:val="20"/>
        </w:rPr>
        <w:t>Fonte: Dados da Pesquisa.</w:t>
      </w:r>
      <w:r w:rsidRPr="007940C0">
        <w:rPr>
          <w:sz w:val="20"/>
        </w:rPr>
        <w:tab/>
      </w:r>
    </w:p>
    <w:p w14:paraId="6BD5ACBF" w14:textId="77777777" w:rsidR="00D90E6B" w:rsidRPr="007940C0" w:rsidRDefault="00D90E6B" w:rsidP="00D90E6B">
      <w:pPr>
        <w:rPr>
          <w:rFonts w:cs="Arial"/>
          <w:b/>
        </w:rPr>
      </w:pPr>
    </w:p>
    <w:p w14:paraId="7F511045"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Com base na Tabela 02 nota-se que 45,6% da amostra pesquisa tendem a concordar que os conteúdos ministrados na disciplina de Contabilidade Tributária são suficientes para decidir entre a escolha da tributação com base no Lucro Presumido ou no Anexo VI do Simples Nacional, sendo que 32,4% tendem a não concordarem e 21,9% não concordam nem discordam.</w:t>
      </w:r>
    </w:p>
    <w:p w14:paraId="63EA350E" w14:textId="4EBBDB24"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Na Questão 05, que versa sobre a alterações nas alíquotas da tributação com base no Anexo Vi do Simples Nacional de no Lucro Presumido com uma alteração de 50% da folha de pagamento</w:t>
      </w:r>
      <w:r w:rsidR="00595EC4">
        <w:rPr>
          <w:rFonts w:cs="Arial"/>
          <w:szCs w:val="22"/>
        </w:rPr>
        <w:t>,</w:t>
      </w:r>
      <w:r w:rsidRPr="007940C0">
        <w:rPr>
          <w:rFonts w:cs="Arial"/>
          <w:szCs w:val="22"/>
        </w:rPr>
        <w:t xml:space="preserve"> há uma tendência semelhante entre a concordância (36,1%) e a discordância (35,2%). Já na Questão 06</w:t>
      </w:r>
      <w:r w:rsidR="00595EC4">
        <w:rPr>
          <w:rFonts w:cs="Arial"/>
          <w:szCs w:val="22"/>
        </w:rPr>
        <w:t>,</w:t>
      </w:r>
      <w:r w:rsidRPr="007940C0">
        <w:rPr>
          <w:rFonts w:cs="Arial"/>
          <w:szCs w:val="22"/>
        </w:rPr>
        <w:t xml:space="preserve"> há uma tendência para dos respondentes concordarem que se a empresa optar pela tributação no Anexo VI (do Simples Nacional) a Contribuição para a </w:t>
      </w:r>
      <w:r w:rsidRPr="007940C0">
        <w:rPr>
          <w:rFonts w:cs="Arial"/>
          <w:szCs w:val="22"/>
        </w:rPr>
        <w:lastRenderedPageBreak/>
        <w:t>Seguridade Social (INSS Patronal) será calculado com base no Fator “r” (43,8% concordam, neutro 29,5% e discordam 26,7%).</w:t>
      </w:r>
    </w:p>
    <w:p w14:paraId="2B023C05"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Agora, ao serem questionados se na comparação entre a tributação com base no Lucro Presumido e no Anexo VI do Simples Nacional deve-se levar em consideração a Contribuição Previdenciária Patronal (CPP), nota-se que 39% dos respondentes Concordam 35,2% permanecem neutros e 25,7% discordam.</w:t>
      </w:r>
    </w:p>
    <w:p w14:paraId="0FC54ECE" w14:textId="45D7B3F8"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De modo geral, e com base nas determinações do Lucro Presumido, pelo Decreto 3.000/1999, do Simples Nacional, pela Lei Complementar 123/2006, nota-se que os valores relativos </w:t>
      </w:r>
      <w:r w:rsidR="004828D8" w:rsidRPr="007940C0">
        <w:rPr>
          <w:rFonts w:cs="Arial"/>
          <w:szCs w:val="22"/>
        </w:rPr>
        <w:t>as folhas de pagamento são</w:t>
      </w:r>
      <w:r w:rsidR="00F76791" w:rsidRPr="007940C0">
        <w:rPr>
          <w:rFonts w:cs="Arial"/>
          <w:szCs w:val="22"/>
        </w:rPr>
        <w:t xml:space="preserve"> </w:t>
      </w:r>
      <w:r w:rsidRPr="007940C0">
        <w:rPr>
          <w:rFonts w:cs="Arial"/>
          <w:szCs w:val="22"/>
        </w:rPr>
        <w:t>essencia</w:t>
      </w:r>
      <w:r w:rsidR="00F76791">
        <w:rPr>
          <w:rFonts w:cs="Arial"/>
          <w:szCs w:val="22"/>
        </w:rPr>
        <w:t xml:space="preserve">is </w:t>
      </w:r>
      <w:r w:rsidRPr="007940C0">
        <w:rPr>
          <w:rFonts w:cs="Arial"/>
          <w:szCs w:val="22"/>
        </w:rPr>
        <w:t>para determinação da forma de tributação menos onerosa de tributação para as organizações. Deste modo, a resposta mais coerente para as questões que relacionam-se com folha de pagamento</w:t>
      </w:r>
      <w:r w:rsidR="00F76791">
        <w:rPr>
          <w:rFonts w:cs="Arial"/>
          <w:szCs w:val="22"/>
        </w:rPr>
        <w:t xml:space="preserve"> (</w:t>
      </w:r>
      <w:r w:rsidRPr="007940C0">
        <w:rPr>
          <w:rFonts w:cs="Arial"/>
          <w:szCs w:val="22"/>
        </w:rPr>
        <w:t>Questões 05, 06, e 08</w:t>
      </w:r>
      <w:r w:rsidR="00F76791">
        <w:rPr>
          <w:rFonts w:cs="Arial"/>
          <w:szCs w:val="22"/>
        </w:rPr>
        <w:t>)</w:t>
      </w:r>
      <w:r w:rsidRPr="007940C0">
        <w:rPr>
          <w:rFonts w:cs="Arial"/>
          <w:szCs w:val="22"/>
        </w:rPr>
        <w:t xml:space="preserve"> é Concordo Totalmente. </w:t>
      </w:r>
    </w:p>
    <w:p w14:paraId="1F6CF726" w14:textId="6703CFB5"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Neste giro, a Tabela 02 demonstra um conhecimento superficial entre as formas de tributação indagadas </w:t>
      </w:r>
      <w:r w:rsidR="00C94DB6">
        <w:rPr>
          <w:rFonts w:cs="Arial"/>
          <w:szCs w:val="22"/>
        </w:rPr>
        <w:t>n</w:t>
      </w:r>
      <w:r w:rsidRPr="007940C0">
        <w:rPr>
          <w:rFonts w:cs="Arial"/>
          <w:szCs w:val="22"/>
        </w:rPr>
        <w:t>a amostra</w:t>
      </w:r>
      <w:r w:rsidR="00C94DB6">
        <w:rPr>
          <w:rFonts w:cs="Arial"/>
          <w:szCs w:val="22"/>
        </w:rPr>
        <w:t>, n</w:t>
      </w:r>
      <w:r w:rsidRPr="007940C0">
        <w:rPr>
          <w:rFonts w:cs="Arial"/>
          <w:szCs w:val="22"/>
        </w:rPr>
        <w:t xml:space="preserve">a percepção de insegurança na tomada de decisão e </w:t>
      </w:r>
      <w:r w:rsidR="00C94DB6">
        <w:rPr>
          <w:rFonts w:cs="Arial"/>
          <w:szCs w:val="22"/>
        </w:rPr>
        <w:t xml:space="preserve">na </w:t>
      </w:r>
      <w:r w:rsidRPr="007940C0">
        <w:rPr>
          <w:rFonts w:cs="Arial"/>
          <w:szCs w:val="22"/>
        </w:rPr>
        <w:t xml:space="preserve">discussão sobre temas relacionados </w:t>
      </w:r>
      <w:r w:rsidR="00D2717B">
        <w:rPr>
          <w:rFonts w:cs="Arial"/>
          <w:szCs w:val="22"/>
        </w:rPr>
        <w:t>às</w:t>
      </w:r>
      <w:r w:rsidR="00D2717B" w:rsidRPr="007940C0">
        <w:rPr>
          <w:rFonts w:cs="Arial"/>
          <w:szCs w:val="22"/>
        </w:rPr>
        <w:t xml:space="preserve"> </w:t>
      </w:r>
      <w:r w:rsidRPr="007940C0">
        <w:rPr>
          <w:rFonts w:cs="Arial"/>
          <w:szCs w:val="22"/>
        </w:rPr>
        <w:t xml:space="preserve">diferenças nas formas de tributação que comtemplam maior número de organizações. Adicionalmente, no próximo tópico será evidenciado o resultado do Teste </w:t>
      </w:r>
      <w:r w:rsidRPr="004828D8">
        <w:rPr>
          <w:rFonts w:cs="Arial"/>
          <w:i/>
          <w:szCs w:val="22"/>
        </w:rPr>
        <w:t>t-Student</w:t>
      </w:r>
      <w:r w:rsidRPr="007940C0">
        <w:rPr>
          <w:rFonts w:cs="Arial"/>
          <w:szCs w:val="22"/>
        </w:rPr>
        <w:t xml:space="preserve"> para analisar se há diferenças entr</w:t>
      </w:r>
      <w:r w:rsidR="00E926FA" w:rsidRPr="007940C0">
        <w:rPr>
          <w:rFonts w:cs="Arial"/>
          <w:szCs w:val="22"/>
        </w:rPr>
        <w:t>e as médias dos resultados obtid</w:t>
      </w:r>
      <w:r w:rsidRPr="007940C0">
        <w:rPr>
          <w:rFonts w:cs="Arial"/>
          <w:szCs w:val="22"/>
        </w:rPr>
        <w:t>os.</w:t>
      </w:r>
    </w:p>
    <w:p w14:paraId="32523D21" w14:textId="77777777" w:rsidR="00D90E6B" w:rsidRPr="007940C0" w:rsidRDefault="00D90E6B" w:rsidP="00D90E6B">
      <w:pPr>
        <w:rPr>
          <w:rFonts w:cs="Arial"/>
          <w:b/>
          <w:szCs w:val="22"/>
        </w:rPr>
      </w:pPr>
    </w:p>
    <w:p w14:paraId="17FFEA0A" w14:textId="77777777" w:rsidR="00D90E6B" w:rsidRPr="007940C0" w:rsidRDefault="00D90E6B" w:rsidP="00D90E6B">
      <w:pPr>
        <w:spacing w:line="360" w:lineRule="auto"/>
        <w:rPr>
          <w:rFonts w:cs="Arial"/>
          <w:b/>
          <w:bCs/>
          <w:szCs w:val="22"/>
        </w:rPr>
      </w:pPr>
      <w:r w:rsidRPr="007940C0">
        <w:rPr>
          <w:rFonts w:cs="Arial"/>
          <w:b/>
          <w:bCs/>
          <w:szCs w:val="22"/>
        </w:rPr>
        <w:t xml:space="preserve">4.2. Teste </w:t>
      </w:r>
      <w:r w:rsidRPr="004828D8">
        <w:rPr>
          <w:rFonts w:cs="Arial"/>
          <w:b/>
          <w:bCs/>
          <w:i/>
          <w:szCs w:val="22"/>
        </w:rPr>
        <w:t>t-Student</w:t>
      </w:r>
    </w:p>
    <w:p w14:paraId="6C1CBB12" w14:textId="0E802614"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O Teste </w:t>
      </w:r>
      <w:r w:rsidRPr="004828D8">
        <w:rPr>
          <w:rFonts w:cs="Arial"/>
          <w:i/>
          <w:szCs w:val="22"/>
        </w:rPr>
        <w:t xml:space="preserve">t-Student </w:t>
      </w:r>
      <w:r w:rsidRPr="007940C0">
        <w:rPr>
          <w:rFonts w:cs="Arial"/>
          <w:szCs w:val="22"/>
        </w:rPr>
        <w:t xml:space="preserve">para amostras independentes é utilizado para a comparação de médias, sendo a variância amostral desconhecida (FÁVERO; BELFIORE, 2017). Para análise correta do Teste </w:t>
      </w:r>
      <w:r w:rsidRPr="004828D8">
        <w:rPr>
          <w:rFonts w:cs="Arial"/>
          <w:i/>
          <w:szCs w:val="22"/>
        </w:rPr>
        <w:t>t-Student</w:t>
      </w:r>
      <w:r w:rsidRPr="007940C0">
        <w:rPr>
          <w:rFonts w:cs="Arial"/>
          <w:szCs w:val="22"/>
        </w:rPr>
        <w:t xml:space="preserve"> é necessário verificar </w:t>
      </w:r>
      <w:r w:rsidR="003861B4">
        <w:rPr>
          <w:rFonts w:cs="Arial"/>
          <w:szCs w:val="22"/>
        </w:rPr>
        <w:t xml:space="preserve">se </w:t>
      </w:r>
      <w:r w:rsidRPr="007940C0">
        <w:rPr>
          <w:rFonts w:cs="Arial"/>
          <w:szCs w:val="22"/>
        </w:rPr>
        <w:t>os dados da amostra possu</w:t>
      </w:r>
      <w:r w:rsidR="003861B4">
        <w:rPr>
          <w:rFonts w:cs="Arial"/>
          <w:szCs w:val="22"/>
        </w:rPr>
        <w:t>em</w:t>
      </w:r>
      <w:r w:rsidRPr="007940C0">
        <w:rPr>
          <w:rFonts w:cs="Arial"/>
          <w:szCs w:val="22"/>
        </w:rPr>
        <w:t>, ou não possu</w:t>
      </w:r>
      <w:r w:rsidR="003861B4">
        <w:rPr>
          <w:rFonts w:cs="Arial"/>
          <w:szCs w:val="22"/>
        </w:rPr>
        <w:t>em</w:t>
      </w:r>
      <w:r w:rsidRPr="007940C0">
        <w:rPr>
          <w:rFonts w:cs="Arial"/>
          <w:szCs w:val="22"/>
        </w:rPr>
        <w:t xml:space="preserve">, uma distribuição homogênea. Deste modo, utilizou-se o teste de </w:t>
      </w:r>
      <w:proofErr w:type="spellStart"/>
      <w:r w:rsidRPr="007940C0">
        <w:rPr>
          <w:rFonts w:cs="Arial"/>
          <w:szCs w:val="22"/>
        </w:rPr>
        <w:t>Levene</w:t>
      </w:r>
      <w:proofErr w:type="spellEnd"/>
      <w:r w:rsidRPr="007940C0">
        <w:rPr>
          <w:rFonts w:cs="Arial"/>
          <w:szCs w:val="22"/>
        </w:rPr>
        <w:t xml:space="preserve"> por figurar como o teste menos sensível aos desvios de normalidade e por ser considerado um teste robusto (FÁVERO et al., 2017). Os resultados obtidos na análise de diferenças das respostas entre as instituições são demonstrados na Tabela 03.</w:t>
      </w:r>
    </w:p>
    <w:p w14:paraId="6D90CE2A" w14:textId="2D2379DB" w:rsidR="006C54F8" w:rsidRPr="007940C0" w:rsidRDefault="00D90E6B" w:rsidP="00D90E6B">
      <w:pPr>
        <w:rPr>
          <w:rFonts w:cs="Arial"/>
          <w:b/>
        </w:rPr>
      </w:pPr>
      <w:r w:rsidRPr="007940C0">
        <w:rPr>
          <w:rFonts w:cs="Arial"/>
          <w:b/>
        </w:rPr>
        <w:tab/>
      </w:r>
    </w:p>
    <w:p w14:paraId="5DD356A4" w14:textId="1A2CC510" w:rsidR="00D90E6B" w:rsidRPr="007940C0" w:rsidRDefault="00D90E6B" w:rsidP="00D90E6B">
      <w:pPr>
        <w:rPr>
          <w:b/>
          <w:sz w:val="20"/>
        </w:rPr>
      </w:pPr>
      <w:r w:rsidRPr="007940C0">
        <w:rPr>
          <w:b/>
          <w:sz w:val="20"/>
        </w:rPr>
        <w:t xml:space="preserve">          Tabela 3 – Teste t-Student das instituições</w:t>
      </w:r>
    </w:p>
    <w:tbl>
      <w:tblPr>
        <w:tblStyle w:val="Tabelacomgrade"/>
        <w:tblW w:w="0" w:type="auto"/>
        <w:jc w:val="center"/>
        <w:tblLayout w:type="fixed"/>
        <w:tblLook w:val="04A0" w:firstRow="1" w:lastRow="0" w:firstColumn="1" w:lastColumn="0" w:noHBand="0" w:noVBand="1"/>
      </w:tblPr>
      <w:tblGrid>
        <w:gridCol w:w="1479"/>
        <w:gridCol w:w="698"/>
        <w:gridCol w:w="973"/>
        <w:gridCol w:w="1381"/>
        <w:gridCol w:w="520"/>
        <w:gridCol w:w="189"/>
        <w:gridCol w:w="851"/>
        <w:gridCol w:w="850"/>
      </w:tblGrid>
      <w:tr w:rsidR="00D90E6B" w:rsidRPr="007940C0" w14:paraId="73AB69DE" w14:textId="77777777" w:rsidTr="006A5420">
        <w:trPr>
          <w:jc w:val="center"/>
        </w:trPr>
        <w:tc>
          <w:tcPr>
            <w:tcW w:w="5240" w:type="dxa"/>
            <w:gridSpan w:val="6"/>
            <w:tcBorders>
              <w:top w:val="single" w:sz="18" w:space="0" w:color="auto"/>
            </w:tcBorders>
          </w:tcPr>
          <w:p w14:paraId="0FAFAABF"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Estatística do grupo</w:t>
            </w:r>
          </w:p>
        </w:tc>
        <w:tc>
          <w:tcPr>
            <w:tcW w:w="1701" w:type="dxa"/>
            <w:gridSpan w:val="2"/>
            <w:tcBorders>
              <w:top w:val="single" w:sz="18" w:space="0" w:color="auto"/>
              <w:bottom w:val="single" w:sz="18" w:space="0" w:color="auto"/>
              <w:right w:val="single" w:sz="18" w:space="0" w:color="FFFFFF" w:themeColor="background1"/>
            </w:tcBorders>
          </w:tcPr>
          <w:p w14:paraId="61361AB5"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 xml:space="preserve">Teste de </w:t>
            </w:r>
            <w:proofErr w:type="spellStart"/>
            <w:r w:rsidRPr="007940C0">
              <w:rPr>
                <w:rFonts w:ascii="Times New Roman" w:hAnsi="Times New Roman"/>
                <w:b/>
                <w:sz w:val="20"/>
              </w:rPr>
              <w:t>Levene</w:t>
            </w:r>
            <w:proofErr w:type="spellEnd"/>
          </w:p>
        </w:tc>
      </w:tr>
      <w:tr w:rsidR="00D90E6B" w:rsidRPr="007940C0" w14:paraId="6A35C9D2" w14:textId="77777777" w:rsidTr="006A5420">
        <w:trPr>
          <w:jc w:val="center"/>
        </w:trPr>
        <w:tc>
          <w:tcPr>
            <w:tcW w:w="1479" w:type="dxa"/>
            <w:tcBorders>
              <w:top w:val="single" w:sz="18" w:space="0" w:color="auto"/>
              <w:left w:val="single" w:sz="18" w:space="0" w:color="FFFFFF" w:themeColor="background1"/>
            </w:tcBorders>
          </w:tcPr>
          <w:p w14:paraId="12095ADE" w14:textId="77777777" w:rsidR="00D90E6B" w:rsidRPr="007940C0" w:rsidRDefault="00D90E6B" w:rsidP="00D90E6B">
            <w:pPr>
              <w:ind w:firstLine="0"/>
              <w:rPr>
                <w:rFonts w:ascii="Times New Roman" w:hAnsi="Times New Roman"/>
                <w:b/>
                <w:sz w:val="20"/>
              </w:rPr>
            </w:pPr>
          </w:p>
        </w:tc>
        <w:tc>
          <w:tcPr>
            <w:tcW w:w="698" w:type="dxa"/>
            <w:tcBorders>
              <w:top w:val="single" w:sz="18" w:space="0" w:color="auto"/>
            </w:tcBorders>
            <w:vAlign w:val="center"/>
          </w:tcPr>
          <w:p w14:paraId="0BEFBBD0"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N</w:t>
            </w:r>
          </w:p>
        </w:tc>
        <w:tc>
          <w:tcPr>
            <w:tcW w:w="973" w:type="dxa"/>
            <w:tcBorders>
              <w:top w:val="single" w:sz="18" w:space="0" w:color="auto"/>
            </w:tcBorders>
            <w:vAlign w:val="center"/>
          </w:tcPr>
          <w:p w14:paraId="0704C0C8"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Média</w:t>
            </w:r>
          </w:p>
        </w:tc>
        <w:tc>
          <w:tcPr>
            <w:tcW w:w="1381" w:type="dxa"/>
            <w:tcBorders>
              <w:top w:val="single" w:sz="18" w:space="0" w:color="auto"/>
            </w:tcBorders>
            <w:vAlign w:val="center"/>
          </w:tcPr>
          <w:p w14:paraId="5C645E32"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Desvio Padrão</w:t>
            </w:r>
          </w:p>
        </w:tc>
        <w:tc>
          <w:tcPr>
            <w:tcW w:w="709" w:type="dxa"/>
            <w:gridSpan w:val="2"/>
            <w:tcBorders>
              <w:top w:val="single" w:sz="18" w:space="0" w:color="auto"/>
            </w:tcBorders>
            <w:vAlign w:val="center"/>
          </w:tcPr>
          <w:p w14:paraId="117E7E15"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Erro</w:t>
            </w:r>
          </w:p>
        </w:tc>
        <w:tc>
          <w:tcPr>
            <w:tcW w:w="851" w:type="dxa"/>
            <w:tcBorders>
              <w:top w:val="single" w:sz="18" w:space="0" w:color="auto"/>
            </w:tcBorders>
            <w:vAlign w:val="center"/>
          </w:tcPr>
          <w:p w14:paraId="3CB79DE8"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Z</w:t>
            </w:r>
          </w:p>
        </w:tc>
        <w:tc>
          <w:tcPr>
            <w:tcW w:w="850" w:type="dxa"/>
            <w:tcBorders>
              <w:top w:val="single" w:sz="18" w:space="0" w:color="FFFFFF" w:themeColor="background1"/>
              <w:right w:val="single" w:sz="18" w:space="0" w:color="FFFFFF" w:themeColor="background1"/>
            </w:tcBorders>
            <w:vAlign w:val="center"/>
          </w:tcPr>
          <w:p w14:paraId="6B31A28C"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Sig.</w:t>
            </w:r>
          </w:p>
        </w:tc>
      </w:tr>
      <w:tr w:rsidR="00D90E6B" w:rsidRPr="007940C0" w14:paraId="2CDC4ABD" w14:textId="77777777" w:rsidTr="006A5420">
        <w:trPr>
          <w:jc w:val="center"/>
        </w:trPr>
        <w:tc>
          <w:tcPr>
            <w:tcW w:w="1479" w:type="dxa"/>
            <w:tcBorders>
              <w:left w:val="single" w:sz="18" w:space="0" w:color="FFFFFF" w:themeColor="background1"/>
            </w:tcBorders>
          </w:tcPr>
          <w:p w14:paraId="2C8C6BF6"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Federal</w:t>
            </w:r>
          </w:p>
        </w:tc>
        <w:tc>
          <w:tcPr>
            <w:tcW w:w="698" w:type="dxa"/>
          </w:tcPr>
          <w:p w14:paraId="22167AB6"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75</w:t>
            </w:r>
          </w:p>
        </w:tc>
        <w:tc>
          <w:tcPr>
            <w:tcW w:w="973" w:type="dxa"/>
          </w:tcPr>
          <w:p w14:paraId="536E5063"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4,150</w:t>
            </w:r>
          </w:p>
        </w:tc>
        <w:tc>
          <w:tcPr>
            <w:tcW w:w="1381" w:type="dxa"/>
          </w:tcPr>
          <w:p w14:paraId="4A0ECF9D"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0,820</w:t>
            </w:r>
          </w:p>
        </w:tc>
        <w:tc>
          <w:tcPr>
            <w:tcW w:w="709" w:type="dxa"/>
            <w:gridSpan w:val="2"/>
          </w:tcPr>
          <w:p w14:paraId="353F9839"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0,094</w:t>
            </w:r>
          </w:p>
        </w:tc>
        <w:tc>
          <w:tcPr>
            <w:tcW w:w="851" w:type="dxa"/>
            <w:vMerge w:val="restart"/>
            <w:vAlign w:val="center"/>
          </w:tcPr>
          <w:p w14:paraId="63BF828B"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9,333</w:t>
            </w:r>
          </w:p>
        </w:tc>
        <w:tc>
          <w:tcPr>
            <w:tcW w:w="850" w:type="dxa"/>
            <w:vMerge w:val="restart"/>
            <w:tcBorders>
              <w:right w:val="single" w:sz="18" w:space="0" w:color="FFFFFF" w:themeColor="background1"/>
            </w:tcBorders>
            <w:vAlign w:val="center"/>
          </w:tcPr>
          <w:p w14:paraId="45000568"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0,003*</w:t>
            </w:r>
          </w:p>
        </w:tc>
      </w:tr>
      <w:tr w:rsidR="00D90E6B" w:rsidRPr="007940C0" w14:paraId="0C59BF21" w14:textId="77777777" w:rsidTr="006A5420">
        <w:trPr>
          <w:jc w:val="center"/>
        </w:trPr>
        <w:tc>
          <w:tcPr>
            <w:tcW w:w="1479" w:type="dxa"/>
            <w:tcBorders>
              <w:left w:val="single" w:sz="18" w:space="0" w:color="FFFFFF" w:themeColor="background1"/>
              <w:bottom w:val="single" w:sz="18" w:space="0" w:color="auto"/>
            </w:tcBorders>
          </w:tcPr>
          <w:p w14:paraId="1A2BF3FA"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Municipal</w:t>
            </w:r>
          </w:p>
        </w:tc>
        <w:tc>
          <w:tcPr>
            <w:tcW w:w="698" w:type="dxa"/>
            <w:tcBorders>
              <w:bottom w:val="single" w:sz="18" w:space="0" w:color="auto"/>
            </w:tcBorders>
          </w:tcPr>
          <w:p w14:paraId="233B83F5"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30</w:t>
            </w:r>
          </w:p>
        </w:tc>
        <w:tc>
          <w:tcPr>
            <w:tcW w:w="973" w:type="dxa"/>
            <w:tcBorders>
              <w:bottom w:val="single" w:sz="18" w:space="0" w:color="auto"/>
            </w:tcBorders>
          </w:tcPr>
          <w:p w14:paraId="3D420214"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3,982</w:t>
            </w:r>
          </w:p>
        </w:tc>
        <w:tc>
          <w:tcPr>
            <w:tcW w:w="1381" w:type="dxa"/>
            <w:tcBorders>
              <w:bottom w:val="single" w:sz="18" w:space="0" w:color="auto"/>
            </w:tcBorders>
          </w:tcPr>
          <w:p w14:paraId="28569C53"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1,353</w:t>
            </w:r>
          </w:p>
        </w:tc>
        <w:tc>
          <w:tcPr>
            <w:tcW w:w="709" w:type="dxa"/>
            <w:gridSpan w:val="2"/>
            <w:tcBorders>
              <w:bottom w:val="single" w:sz="18" w:space="0" w:color="auto"/>
            </w:tcBorders>
          </w:tcPr>
          <w:p w14:paraId="1DB7D493"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0,247</w:t>
            </w:r>
          </w:p>
        </w:tc>
        <w:tc>
          <w:tcPr>
            <w:tcW w:w="851" w:type="dxa"/>
            <w:vMerge/>
            <w:tcBorders>
              <w:bottom w:val="single" w:sz="18" w:space="0" w:color="auto"/>
            </w:tcBorders>
          </w:tcPr>
          <w:p w14:paraId="3062DCA0" w14:textId="77777777" w:rsidR="00D90E6B" w:rsidRPr="007940C0" w:rsidRDefault="00D90E6B" w:rsidP="00D90E6B">
            <w:pPr>
              <w:ind w:firstLine="0"/>
              <w:rPr>
                <w:rFonts w:ascii="Times New Roman" w:hAnsi="Times New Roman"/>
                <w:b/>
                <w:sz w:val="20"/>
              </w:rPr>
            </w:pPr>
          </w:p>
        </w:tc>
        <w:tc>
          <w:tcPr>
            <w:tcW w:w="850" w:type="dxa"/>
            <w:vMerge/>
            <w:tcBorders>
              <w:right w:val="single" w:sz="18" w:space="0" w:color="FFFFFF" w:themeColor="background1"/>
            </w:tcBorders>
          </w:tcPr>
          <w:p w14:paraId="5BB6BC11" w14:textId="77777777" w:rsidR="00D90E6B" w:rsidRPr="007940C0" w:rsidRDefault="00D90E6B" w:rsidP="00D90E6B">
            <w:pPr>
              <w:ind w:firstLine="0"/>
              <w:rPr>
                <w:rFonts w:ascii="Times New Roman" w:hAnsi="Times New Roman"/>
                <w:b/>
                <w:sz w:val="20"/>
              </w:rPr>
            </w:pPr>
          </w:p>
        </w:tc>
      </w:tr>
      <w:tr w:rsidR="00D90E6B" w:rsidRPr="007940C0" w14:paraId="07CCA8E2" w14:textId="77777777" w:rsidTr="006A5420">
        <w:trPr>
          <w:jc w:val="center"/>
        </w:trPr>
        <w:tc>
          <w:tcPr>
            <w:tcW w:w="6941" w:type="dxa"/>
            <w:gridSpan w:val="8"/>
            <w:tcBorders>
              <w:top w:val="single" w:sz="18" w:space="0" w:color="auto"/>
              <w:left w:val="single" w:sz="18" w:space="0" w:color="FFFFFF" w:themeColor="background1"/>
              <w:bottom w:val="single" w:sz="18" w:space="0" w:color="auto"/>
              <w:right w:val="single" w:sz="18" w:space="0" w:color="FFFFFF" w:themeColor="background1"/>
            </w:tcBorders>
          </w:tcPr>
          <w:p w14:paraId="6A061E7E"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lastRenderedPageBreak/>
              <w:t>Teste t-Student</w:t>
            </w:r>
          </w:p>
        </w:tc>
      </w:tr>
      <w:tr w:rsidR="00D90E6B" w:rsidRPr="007940C0" w14:paraId="7281D562" w14:textId="77777777" w:rsidTr="006A5420">
        <w:trPr>
          <w:jc w:val="center"/>
        </w:trPr>
        <w:tc>
          <w:tcPr>
            <w:tcW w:w="1479" w:type="dxa"/>
            <w:tcBorders>
              <w:top w:val="single" w:sz="18" w:space="0" w:color="auto"/>
              <w:left w:val="single" w:sz="18" w:space="0" w:color="FFFFFF" w:themeColor="background1"/>
            </w:tcBorders>
          </w:tcPr>
          <w:p w14:paraId="5177A929" w14:textId="77777777" w:rsidR="00D90E6B" w:rsidRPr="007940C0" w:rsidRDefault="00D90E6B" w:rsidP="00D90E6B">
            <w:pPr>
              <w:ind w:firstLine="0"/>
              <w:jc w:val="center"/>
              <w:rPr>
                <w:rFonts w:ascii="Times New Roman" w:hAnsi="Times New Roman"/>
                <w:sz w:val="20"/>
              </w:rPr>
            </w:pPr>
          </w:p>
        </w:tc>
        <w:tc>
          <w:tcPr>
            <w:tcW w:w="698" w:type="dxa"/>
            <w:tcBorders>
              <w:top w:val="single" w:sz="18" w:space="0" w:color="auto"/>
            </w:tcBorders>
            <w:vAlign w:val="center"/>
          </w:tcPr>
          <w:p w14:paraId="76A17989"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t</w:t>
            </w:r>
          </w:p>
        </w:tc>
        <w:tc>
          <w:tcPr>
            <w:tcW w:w="973" w:type="dxa"/>
            <w:tcBorders>
              <w:top w:val="single" w:sz="18" w:space="0" w:color="auto"/>
            </w:tcBorders>
            <w:vAlign w:val="center"/>
          </w:tcPr>
          <w:p w14:paraId="2BC06F56" w14:textId="77777777" w:rsidR="00D90E6B" w:rsidRPr="007940C0" w:rsidRDefault="00D90E6B" w:rsidP="00D90E6B">
            <w:pPr>
              <w:ind w:firstLine="0"/>
              <w:jc w:val="center"/>
              <w:rPr>
                <w:rFonts w:ascii="Times New Roman" w:hAnsi="Times New Roman"/>
                <w:b/>
                <w:sz w:val="20"/>
              </w:rPr>
            </w:pPr>
            <w:proofErr w:type="spellStart"/>
            <w:proofErr w:type="gramStart"/>
            <w:r w:rsidRPr="007940C0">
              <w:rPr>
                <w:rFonts w:ascii="Times New Roman" w:hAnsi="Times New Roman"/>
                <w:b/>
                <w:sz w:val="20"/>
              </w:rPr>
              <w:t>df</w:t>
            </w:r>
            <w:proofErr w:type="spellEnd"/>
            <w:proofErr w:type="gramEnd"/>
          </w:p>
        </w:tc>
        <w:tc>
          <w:tcPr>
            <w:tcW w:w="1901" w:type="dxa"/>
            <w:gridSpan w:val="2"/>
            <w:tcBorders>
              <w:top w:val="single" w:sz="18" w:space="0" w:color="auto"/>
            </w:tcBorders>
            <w:vAlign w:val="center"/>
          </w:tcPr>
          <w:p w14:paraId="107C05BF"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Sig.</w:t>
            </w:r>
          </w:p>
          <w:p w14:paraId="00F51927"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(2 extremidades)</w:t>
            </w:r>
          </w:p>
        </w:tc>
        <w:tc>
          <w:tcPr>
            <w:tcW w:w="1040" w:type="dxa"/>
            <w:gridSpan w:val="2"/>
            <w:tcBorders>
              <w:top w:val="single" w:sz="18" w:space="0" w:color="auto"/>
            </w:tcBorders>
            <w:vAlign w:val="center"/>
          </w:tcPr>
          <w:p w14:paraId="55D29973"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Dif. Média</w:t>
            </w:r>
          </w:p>
        </w:tc>
        <w:tc>
          <w:tcPr>
            <w:tcW w:w="850" w:type="dxa"/>
            <w:tcBorders>
              <w:top w:val="single" w:sz="18" w:space="0" w:color="auto"/>
              <w:right w:val="single" w:sz="18" w:space="0" w:color="FFFFFF" w:themeColor="background1"/>
            </w:tcBorders>
            <w:vAlign w:val="center"/>
          </w:tcPr>
          <w:p w14:paraId="0B55B809"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Erro</w:t>
            </w:r>
          </w:p>
        </w:tc>
      </w:tr>
      <w:tr w:rsidR="00D90E6B" w:rsidRPr="007940C0" w14:paraId="7E28831C" w14:textId="77777777" w:rsidTr="006A5420">
        <w:trPr>
          <w:jc w:val="center"/>
        </w:trPr>
        <w:tc>
          <w:tcPr>
            <w:tcW w:w="1479" w:type="dxa"/>
            <w:tcBorders>
              <w:left w:val="single" w:sz="18" w:space="0" w:color="FFFFFF" w:themeColor="background1"/>
            </w:tcBorders>
          </w:tcPr>
          <w:p w14:paraId="79E3FF91"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Variâncias Homogêneas</w:t>
            </w:r>
          </w:p>
        </w:tc>
        <w:tc>
          <w:tcPr>
            <w:tcW w:w="698" w:type="dxa"/>
            <w:vAlign w:val="center"/>
          </w:tcPr>
          <w:p w14:paraId="3AD05E54"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0,772</w:t>
            </w:r>
          </w:p>
        </w:tc>
        <w:tc>
          <w:tcPr>
            <w:tcW w:w="973" w:type="dxa"/>
            <w:vAlign w:val="center"/>
          </w:tcPr>
          <w:p w14:paraId="66BF91B5"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103</w:t>
            </w:r>
          </w:p>
        </w:tc>
        <w:tc>
          <w:tcPr>
            <w:tcW w:w="1901" w:type="dxa"/>
            <w:gridSpan w:val="2"/>
            <w:vAlign w:val="center"/>
          </w:tcPr>
          <w:p w14:paraId="5E45BABF"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0,442</w:t>
            </w:r>
          </w:p>
        </w:tc>
        <w:tc>
          <w:tcPr>
            <w:tcW w:w="1040" w:type="dxa"/>
            <w:gridSpan w:val="2"/>
            <w:vAlign w:val="center"/>
          </w:tcPr>
          <w:p w14:paraId="341A241A"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0,166</w:t>
            </w:r>
          </w:p>
        </w:tc>
        <w:tc>
          <w:tcPr>
            <w:tcW w:w="850" w:type="dxa"/>
            <w:tcBorders>
              <w:right w:val="single" w:sz="18" w:space="0" w:color="FFFFFF" w:themeColor="background1"/>
            </w:tcBorders>
            <w:vAlign w:val="center"/>
          </w:tcPr>
          <w:p w14:paraId="69E7D6CE"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0,215</w:t>
            </w:r>
          </w:p>
        </w:tc>
      </w:tr>
      <w:tr w:rsidR="00D90E6B" w:rsidRPr="007940C0" w14:paraId="4AB918FB" w14:textId="77777777" w:rsidTr="006A5420">
        <w:trPr>
          <w:jc w:val="center"/>
        </w:trPr>
        <w:tc>
          <w:tcPr>
            <w:tcW w:w="1479" w:type="dxa"/>
            <w:tcBorders>
              <w:left w:val="single" w:sz="18" w:space="0" w:color="FFFFFF" w:themeColor="background1"/>
              <w:bottom w:val="single" w:sz="18" w:space="0" w:color="auto"/>
            </w:tcBorders>
          </w:tcPr>
          <w:p w14:paraId="733AC70C"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Variâncias não Homogêneas</w:t>
            </w:r>
          </w:p>
        </w:tc>
        <w:tc>
          <w:tcPr>
            <w:tcW w:w="698" w:type="dxa"/>
            <w:tcBorders>
              <w:bottom w:val="single" w:sz="18" w:space="0" w:color="auto"/>
            </w:tcBorders>
            <w:vAlign w:val="center"/>
          </w:tcPr>
          <w:p w14:paraId="30F31D8F"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0,630</w:t>
            </w:r>
          </w:p>
        </w:tc>
        <w:tc>
          <w:tcPr>
            <w:tcW w:w="973" w:type="dxa"/>
            <w:tcBorders>
              <w:bottom w:val="single" w:sz="18" w:space="0" w:color="auto"/>
            </w:tcBorders>
            <w:vAlign w:val="center"/>
          </w:tcPr>
          <w:p w14:paraId="79C1B6B6"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37,833</w:t>
            </w:r>
          </w:p>
        </w:tc>
        <w:tc>
          <w:tcPr>
            <w:tcW w:w="1901" w:type="dxa"/>
            <w:gridSpan w:val="2"/>
            <w:tcBorders>
              <w:bottom w:val="single" w:sz="18" w:space="0" w:color="auto"/>
            </w:tcBorders>
            <w:vAlign w:val="center"/>
          </w:tcPr>
          <w:p w14:paraId="178B5410"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0,533</w:t>
            </w:r>
          </w:p>
        </w:tc>
        <w:tc>
          <w:tcPr>
            <w:tcW w:w="1040" w:type="dxa"/>
            <w:gridSpan w:val="2"/>
            <w:tcBorders>
              <w:bottom w:val="single" w:sz="18" w:space="0" w:color="auto"/>
            </w:tcBorders>
            <w:vAlign w:val="center"/>
          </w:tcPr>
          <w:p w14:paraId="5724ABAC"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0,166</w:t>
            </w:r>
          </w:p>
        </w:tc>
        <w:tc>
          <w:tcPr>
            <w:tcW w:w="850" w:type="dxa"/>
            <w:tcBorders>
              <w:bottom w:val="single" w:sz="18" w:space="0" w:color="auto"/>
              <w:right w:val="single" w:sz="18" w:space="0" w:color="FFFFFF" w:themeColor="background1"/>
            </w:tcBorders>
            <w:vAlign w:val="center"/>
          </w:tcPr>
          <w:p w14:paraId="34DAD8BA"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0,264</w:t>
            </w:r>
          </w:p>
        </w:tc>
      </w:tr>
    </w:tbl>
    <w:p w14:paraId="5E94B338" w14:textId="77777777" w:rsidR="00D90E6B" w:rsidRPr="007940C0" w:rsidRDefault="00D90E6B" w:rsidP="00D90E6B">
      <w:pPr>
        <w:rPr>
          <w:sz w:val="20"/>
        </w:rPr>
      </w:pPr>
      <w:r w:rsidRPr="007940C0">
        <w:rPr>
          <w:sz w:val="20"/>
        </w:rPr>
        <w:t xml:space="preserve">          * Significância ao nível de 1% e ** Significância ao nível de 5%.</w:t>
      </w:r>
    </w:p>
    <w:p w14:paraId="376304F6" w14:textId="34174905" w:rsidR="00D90E6B" w:rsidRPr="007940C0" w:rsidRDefault="00D90E6B" w:rsidP="00D90E6B">
      <w:pPr>
        <w:rPr>
          <w:sz w:val="20"/>
        </w:rPr>
      </w:pPr>
      <w:r w:rsidRPr="007940C0">
        <w:rPr>
          <w:sz w:val="20"/>
        </w:rPr>
        <w:t xml:space="preserve">          Fonte: Dados da Pesquisa.</w:t>
      </w:r>
      <w:r w:rsidRPr="007940C0">
        <w:rPr>
          <w:sz w:val="20"/>
        </w:rPr>
        <w:tab/>
      </w:r>
    </w:p>
    <w:p w14:paraId="6CC2188C" w14:textId="77777777" w:rsidR="00D90E6B" w:rsidRPr="007940C0" w:rsidRDefault="00D90E6B" w:rsidP="00D90E6B">
      <w:pPr>
        <w:rPr>
          <w:rFonts w:cs="Arial"/>
          <w:b/>
          <w:szCs w:val="22"/>
        </w:rPr>
      </w:pPr>
    </w:p>
    <w:p w14:paraId="6D34A220" w14:textId="3EAF4F41"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Observa-se na Tabela 03</w:t>
      </w:r>
      <w:r w:rsidR="00AD3AF0">
        <w:rPr>
          <w:rFonts w:cs="Arial"/>
          <w:szCs w:val="22"/>
        </w:rPr>
        <w:t>,</w:t>
      </w:r>
      <w:r w:rsidRPr="007940C0">
        <w:rPr>
          <w:rFonts w:cs="Arial"/>
          <w:szCs w:val="22"/>
        </w:rPr>
        <w:t xml:space="preserve"> que houve</w:t>
      </w:r>
      <w:r w:rsidR="00AD3AF0">
        <w:rPr>
          <w:rFonts w:cs="Arial"/>
          <w:szCs w:val="22"/>
        </w:rPr>
        <w:t>ram</w:t>
      </w:r>
      <w:r w:rsidRPr="007940C0">
        <w:rPr>
          <w:rFonts w:cs="Arial"/>
          <w:szCs w:val="22"/>
        </w:rPr>
        <w:t xml:space="preserve"> 75 respostas da instituição Federal de 30 da Municipal, sendo as médias das respostas 4,15 e 3,98 (respectivamente). Como o teste de </w:t>
      </w:r>
      <w:proofErr w:type="spellStart"/>
      <w:r w:rsidRPr="007940C0">
        <w:rPr>
          <w:rFonts w:cs="Arial"/>
          <w:szCs w:val="22"/>
        </w:rPr>
        <w:t>Levene</w:t>
      </w:r>
      <w:proofErr w:type="spellEnd"/>
      <w:r w:rsidRPr="007940C0">
        <w:rPr>
          <w:rFonts w:cs="Arial"/>
          <w:szCs w:val="22"/>
        </w:rPr>
        <w:t xml:space="preserve"> obteve significância menor que 1% (</w:t>
      </w:r>
      <w:r w:rsidRPr="007940C0">
        <w:rPr>
          <w:rFonts w:cs="Arial"/>
          <w:i/>
          <w:szCs w:val="22"/>
        </w:rPr>
        <w:t>p-value</w:t>
      </w:r>
      <w:r w:rsidRPr="007940C0">
        <w:rPr>
          <w:rFonts w:cs="Arial"/>
          <w:szCs w:val="22"/>
        </w:rPr>
        <w:t xml:space="preserve"> 0,003) tem-se que os dados analisados sofrem distribuição não homogênea. O Teste </w:t>
      </w:r>
      <w:r w:rsidRPr="004828D8">
        <w:rPr>
          <w:rFonts w:cs="Arial"/>
          <w:i/>
          <w:szCs w:val="22"/>
        </w:rPr>
        <w:t>t-Student</w:t>
      </w:r>
      <w:r w:rsidRPr="007940C0">
        <w:rPr>
          <w:rFonts w:cs="Arial"/>
          <w:szCs w:val="22"/>
        </w:rPr>
        <w:t xml:space="preserve"> demonstra baixa significância na diferença entre médias (</w:t>
      </w:r>
      <w:r w:rsidRPr="007940C0">
        <w:rPr>
          <w:rFonts w:cs="Arial"/>
          <w:i/>
          <w:szCs w:val="22"/>
        </w:rPr>
        <w:t>p-value</w:t>
      </w:r>
      <w:r w:rsidRPr="007940C0">
        <w:rPr>
          <w:rFonts w:cs="Arial"/>
          <w:szCs w:val="22"/>
        </w:rPr>
        <w:t xml:space="preserve"> 0,533), ou seja, não há diferença significativa estatisticamente entre as médias.</w:t>
      </w:r>
    </w:p>
    <w:p w14:paraId="173C9BCA"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Face a distribuição não homogênea dos dados pesquisado, utilizou-se o teste não paramétrico de Mann-Whitney, como uma alternativa para o Teste t-Student, visto que a hipótese nula foi rejeitada no teste de </w:t>
      </w:r>
      <w:proofErr w:type="spellStart"/>
      <w:r w:rsidRPr="007940C0">
        <w:rPr>
          <w:rFonts w:cs="Arial"/>
          <w:szCs w:val="22"/>
        </w:rPr>
        <w:t>Levene</w:t>
      </w:r>
      <w:proofErr w:type="spellEnd"/>
      <w:r w:rsidRPr="007940C0">
        <w:rPr>
          <w:rFonts w:cs="Arial"/>
          <w:szCs w:val="22"/>
        </w:rPr>
        <w:t xml:space="preserve"> (FÁVERO; BELFIORE, 2017). O resultado obtido pelo teste de Mann-Whitney não foi significante a 5% (</w:t>
      </w:r>
      <w:r w:rsidRPr="007940C0">
        <w:rPr>
          <w:rFonts w:cs="Arial"/>
          <w:i/>
          <w:szCs w:val="22"/>
        </w:rPr>
        <w:t>p-value</w:t>
      </w:r>
      <w:r w:rsidRPr="007940C0">
        <w:rPr>
          <w:rFonts w:cs="Arial"/>
          <w:szCs w:val="22"/>
        </w:rPr>
        <w:t xml:space="preserve"> 0,402), ou seja, reforça-se os achados que não há diferença significativa entre as médias analisadas.</w:t>
      </w:r>
    </w:p>
    <w:p w14:paraId="0B315918"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Os resultados demonstram que os acadêmicos analisados das instituições Federal e Municipal, de modo geral, tendem a permanecerem neutros ao serem questionados sobre diferenças entre a tributação pelo Lucro Presumido ou pelo Simples Nacional, bem como se questionados sobre o impacto nas alíquotas causados nas variações da folha de pagamento. Percebe-se, também, que não há diferença entre a percepção dos alunos que estudam na instituição Federal ou Municipal.</w:t>
      </w:r>
    </w:p>
    <w:p w14:paraId="7F33B6D8" w14:textId="77777777" w:rsidR="00D90E6B" w:rsidRPr="007940C0" w:rsidRDefault="00D90E6B" w:rsidP="00D90E6B">
      <w:pPr>
        <w:autoSpaceDE w:val="0"/>
        <w:autoSpaceDN w:val="0"/>
        <w:adjustRightInd w:val="0"/>
        <w:spacing w:line="360" w:lineRule="auto"/>
        <w:ind w:firstLine="851"/>
        <w:rPr>
          <w:rFonts w:cs="Arial"/>
          <w:b/>
          <w:szCs w:val="22"/>
        </w:rPr>
      </w:pPr>
      <w:r w:rsidRPr="007940C0">
        <w:rPr>
          <w:rFonts w:cs="Arial"/>
          <w:szCs w:val="22"/>
        </w:rPr>
        <w:t>Adicionalmente analisou-se a diferença entre turnos na instituição Federal (Noturno x Matutino) e entre turnos de toda amostra pesquisada (Noturno x Matutino), conforme demonstra-se na Tabela 04.</w:t>
      </w:r>
    </w:p>
    <w:p w14:paraId="7DFA8775" w14:textId="77777777" w:rsidR="00D90E6B" w:rsidRPr="007940C0" w:rsidRDefault="00D90E6B" w:rsidP="00D90E6B">
      <w:pPr>
        <w:rPr>
          <w:rFonts w:cs="Arial"/>
          <w:b/>
        </w:rPr>
      </w:pPr>
    </w:p>
    <w:p w14:paraId="0F2B919D" w14:textId="77777777" w:rsidR="00D90E6B" w:rsidRPr="007940C0" w:rsidRDefault="00D90E6B" w:rsidP="00D90E6B">
      <w:pPr>
        <w:rPr>
          <w:b/>
          <w:sz w:val="20"/>
        </w:rPr>
      </w:pPr>
      <w:r w:rsidRPr="007940C0">
        <w:rPr>
          <w:b/>
          <w:sz w:val="20"/>
        </w:rPr>
        <w:tab/>
        <w:t xml:space="preserve">       Tabela 4 – Teste t-Student do turno da federal</w:t>
      </w:r>
    </w:p>
    <w:tbl>
      <w:tblPr>
        <w:tblStyle w:val="Tabelacomgrade"/>
        <w:tblW w:w="0" w:type="auto"/>
        <w:jc w:val="center"/>
        <w:tblLayout w:type="fixed"/>
        <w:tblLook w:val="04A0" w:firstRow="1" w:lastRow="0" w:firstColumn="1" w:lastColumn="0" w:noHBand="0" w:noVBand="1"/>
      </w:tblPr>
      <w:tblGrid>
        <w:gridCol w:w="1479"/>
        <w:gridCol w:w="698"/>
        <w:gridCol w:w="973"/>
        <w:gridCol w:w="1381"/>
        <w:gridCol w:w="520"/>
        <w:gridCol w:w="189"/>
        <w:gridCol w:w="851"/>
        <w:gridCol w:w="850"/>
      </w:tblGrid>
      <w:tr w:rsidR="00D90E6B" w:rsidRPr="007940C0" w14:paraId="79892A58" w14:textId="77777777" w:rsidTr="006A5420">
        <w:trPr>
          <w:jc w:val="center"/>
        </w:trPr>
        <w:tc>
          <w:tcPr>
            <w:tcW w:w="5240" w:type="dxa"/>
            <w:gridSpan w:val="6"/>
            <w:tcBorders>
              <w:top w:val="single" w:sz="18" w:space="0" w:color="auto"/>
            </w:tcBorders>
          </w:tcPr>
          <w:p w14:paraId="157DDC20"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Estatística do grupo</w:t>
            </w:r>
          </w:p>
        </w:tc>
        <w:tc>
          <w:tcPr>
            <w:tcW w:w="1701" w:type="dxa"/>
            <w:gridSpan w:val="2"/>
            <w:tcBorders>
              <w:top w:val="single" w:sz="18" w:space="0" w:color="auto"/>
              <w:bottom w:val="single" w:sz="18" w:space="0" w:color="auto"/>
              <w:right w:val="single" w:sz="18" w:space="0" w:color="FFFFFF" w:themeColor="background1"/>
            </w:tcBorders>
          </w:tcPr>
          <w:p w14:paraId="187271EC"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 xml:space="preserve">Teste de </w:t>
            </w:r>
            <w:proofErr w:type="spellStart"/>
            <w:r w:rsidRPr="007940C0">
              <w:rPr>
                <w:rFonts w:ascii="Times New Roman" w:hAnsi="Times New Roman"/>
                <w:b/>
                <w:sz w:val="20"/>
              </w:rPr>
              <w:t>Levene</w:t>
            </w:r>
            <w:proofErr w:type="spellEnd"/>
          </w:p>
        </w:tc>
      </w:tr>
      <w:tr w:rsidR="00D90E6B" w:rsidRPr="007940C0" w14:paraId="0453BFA3" w14:textId="77777777" w:rsidTr="006A5420">
        <w:trPr>
          <w:jc w:val="center"/>
        </w:trPr>
        <w:tc>
          <w:tcPr>
            <w:tcW w:w="1479" w:type="dxa"/>
            <w:tcBorders>
              <w:top w:val="single" w:sz="18" w:space="0" w:color="auto"/>
              <w:left w:val="single" w:sz="18" w:space="0" w:color="FFFFFF" w:themeColor="background1"/>
            </w:tcBorders>
          </w:tcPr>
          <w:p w14:paraId="1E2A7A57"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Turnos Federal</w:t>
            </w:r>
          </w:p>
        </w:tc>
        <w:tc>
          <w:tcPr>
            <w:tcW w:w="698" w:type="dxa"/>
            <w:tcBorders>
              <w:top w:val="single" w:sz="18" w:space="0" w:color="auto"/>
            </w:tcBorders>
            <w:vAlign w:val="center"/>
          </w:tcPr>
          <w:p w14:paraId="5EA4258F"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N</w:t>
            </w:r>
          </w:p>
        </w:tc>
        <w:tc>
          <w:tcPr>
            <w:tcW w:w="973" w:type="dxa"/>
            <w:tcBorders>
              <w:top w:val="single" w:sz="18" w:space="0" w:color="auto"/>
            </w:tcBorders>
            <w:vAlign w:val="center"/>
          </w:tcPr>
          <w:p w14:paraId="5A41C380"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Média</w:t>
            </w:r>
          </w:p>
        </w:tc>
        <w:tc>
          <w:tcPr>
            <w:tcW w:w="1381" w:type="dxa"/>
            <w:tcBorders>
              <w:top w:val="single" w:sz="18" w:space="0" w:color="auto"/>
            </w:tcBorders>
            <w:vAlign w:val="center"/>
          </w:tcPr>
          <w:p w14:paraId="27F5FC90"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Desvio Padrão</w:t>
            </w:r>
          </w:p>
        </w:tc>
        <w:tc>
          <w:tcPr>
            <w:tcW w:w="709" w:type="dxa"/>
            <w:gridSpan w:val="2"/>
            <w:tcBorders>
              <w:top w:val="single" w:sz="18" w:space="0" w:color="auto"/>
            </w:tcBorders>
            <w:vAlign w:val="center"/>
          </w:tcPr>
          <w:p w14:paraId="22E6EBD8"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Erro</w:t>
            </w:r>
          </w:p>
        </w:tc>
        <w:tc>
          <w:tcPr>
            <w:tcW w:w="851" w:type="dxa"/>
            <w:tcBorders>
              <w:top w:val="single" w:sz="18" w:space="0" w:color="auto"/>
            </w:tcBorders>
            <w:vAlign w:val="center"/>
          </w:tcPr>
          <w:p w14:paraId="0FF2748B"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Z</w:t>
            </w:r>
          </w:p>
        </w:tc>
        <w:tc>
          <w:tcPr>
            <w:tcW w:w="850" w:type="dxa"/>
            <w:tcBorders>
              <w:top w:val="single" w:sz="18" w:space="0" w:color="FFFFFF" w:themeColor="background1"/>
              <w:right w:val="single" w:sz="18" w:space="0" w:color="FFFFFF" w:themeColor="background1"/>
            </w:tcBorders>
            <w:vAlign w:val="center"/>
          </w:tcPr>
          <w:p w14:paraId="636DBF60"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Sig.</w:t>
            </w:r>
          </w:p>
        </w:tc>
      </w:tr>
      <w:tr w:rsidR="00D90E6B" w:rsidRPr="007940C0" w14:paraId="72E65497" w14:textId="77777777" w:rsidTr="006A5420">
        <w:trPr>
          <w:jc w:val="center"/>
        </w:trPr>
        <w:tc>
          <w:tcPr>
            <w:tcW w:w="1479" w:type="dxa"/>
            <w:tcBorders>
              <w:left w:val="single" w:sz="18" w:space="0" w:color="FFFFFF" w:themeColor="background1"/>
            </w:tcBorders>
          </w:tcPr>
          <w:p w14:paraId="1BEB8A10"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Noturno</w:t>
            </w:r>
          </w:p>
        </w:tc>
        <w:tc>
          <w:tcPr>
            <w:tcW w:w="698" w:type="dxa"/>
          </w:tcPr>
          <w:p w14:paraId="361C43FB"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40</w:t>
            </w:r>
          </w:p>
        </w:tc>
        <w:tc>
          <w:tcPr>
            <w:tcW w:w="973" w:type="dxa"/>
          </w:tcPr>
          <w:p w14:paraId="7568C88D"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4,209</w:t>
            </w:r>
          </w:p>
        </w:tc>
        <w:tc>
          <w:tcPr>
            <w:tcW w:w="1381" w:type="dxa"/>
          </w:tcPr>
          <w:p w14:paraId="4FE2B74B"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0,825</w:t>
            </w:r>
          </w:p>
        </w:tc>
        <w:tc>
          <w:tcPr>
            <w:tcW w:w="709" w:type="dxa"/>
            <w:gridSpan w:val="2"/>
          </w:tcPr>
          <w:p w14:paraId="479E8BA4"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0,130</w:t>
            </w:r>
          </w:p>
        </w:tc>
        <w:tc>
          <w:tcPr>
            <w:tcW w:w="851" w:type="dxa"/>
            <w:vMerge w:val="restart"/>
            <w:vAlign w:val="center"/>
          </w:tcPr>
          <w:p w14:paraId="285FF2CA"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0,644</w:t>
            </w:r>
          </w:p>
        </w:tc>
        <w:tc>
          <w:tcPr>
            <w:tcW w:w="850" w:type="dxa"/>
            <w:vMerge w:val="restart"/>
            <w:tcBorders>
              <w:right w:val="single" w:sz="18" w:space="0" w:color="FFFFFF" w:themeColor="background1"/>
            </w:tcBorders>
            <w:vAlign w:val="center"/>
          </w:tcPr>
          <w:p w14:paraId="03F1EB8E"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0,425</w:t>
            </w:r>
          </w:p>
        </w:tc>
      </w:tr>
      <w:tr w:rsidR="00D90E6B" w:rsidRPr="007940C0" w14:paraId="319AF52F" w14:textId="77777777" w:rsidTr="006A5420">
        <w:trPr>
          <w:jc w:val="center"/>
        </w:trPr>
        <w:tc>
          <w:tcPr>
            <w:tcW w:w="1479" w:type="dxa"/>
            <w:tcBorders>
              <w:left w:val="single" w:sz="18" w:space="0" w:color="FFFFFF" w:themeColor="background1"/>
              <w:bottom w:val="single" w:sz="18" w:space="0" w:color="auto"/>
            </w:tcBorders>
          </w:tcPr>
          <w:p w14:paraId="094812EE"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lastRenderedPageBreak/>
              <w:t>Matutino</w:t>
            </w:r>
          </w:p>
        </w:tc>
        <w:tc>
          <w:tcPr>
            <w:tcW w:w="698" w:type="dxa"/>
            <w:tcBorders>
              <w:bottom w:val="single" w:sz="18" w:space="0" w:color="auto"/>
            </w:tcBorders>
          </w:tcPr>
          <w:p w14:paraId="2D0AE17F"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35</w:t>
            </w:r>
          </w:p>
        </w:tc>
        <w:tc>
          <w:tcPr>
            <w:tcW w:w="973" w:type="dxa"/>
            <w:tcBorders>
              <w:bottom w:val="single" w:sz="18" w:space="0" w:color="auto"/>
            </w:tcBorders>
          </w:tcPr>
          <w:p w14:paraId="15797EFC"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4,082</w:t>
            </w:r>
          </w:p>
        </w:tc>
        <w:tc>
          <w:tcPr>
            <w:tcW w:w="1381" w:type="dxa"/>
            <w:tcBorders>
              <w:bottom w:val="single" w:sz="18" w:space="0" w:color="auto"/>
            </w:tcBorders>
          </w:tcPr>
          <w:p w14:paraId="710945B6"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0,821</w:t>
            </w:r>
          </w:p>
        </w:tc>
        <w:tc>
          <w:tcPr>
            <w:tcW w:w="709" w:type="dxa"/>
            <w:gridSpan w:val="2"/>
            <w:tcBorders>
              <w:bottom w:val="single" w:sz="18" w:space="0" w:color="auto"/>
            </w:tcBorders>
          </w:tcPr>
          <w:p w14:paraId="0BC451DA"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0,138</w:t>
            </w:r>
          </w:p>
        </w:tc>
        <w:tc>
          <w:tcPr>
            <w:tcW w:w="851" w:type="dxa"/>
            <w:vMerge/>
            <w:tcBorders>
              <w:bottom w:val="single" w:sz="18" w:space="0" w:color="auto"/>
            </w:tcBorders>
          </w:tcPr>
          <w:p w14:paraId="0584E00E" w14:textId="77777777" w:rsidR="00D90E6B" w:rsidRPr="007940C0" w:rsidRDefault="00D90E6B" w:rsidP="00D90E6B">
            <w:pPr>
              <w:ind w:firstLine="0"/>
              <w:rPr>
                <w:rFonts w:ascii="Times New Roman" w:hAnsi="Times New Roman"/>
                <w:b/>
                <w:sz w:val="20"/>
              </w:rPr>
            </w:pPr>
          </w:p>
        </w:tc>
        <w:tc>
          <w:tcPr>
            <w:tcW w:w="850" w:type="dxa"/>
            <w:vMerge/>
            <w:tcBorders>
              <w:right w:val="single" w:sz="18" w:space="0" w:color="FFFFFF" w:themeColor="background1"/>
            </w:tcBorders>
          </w:tcPr>
          <w:p w14:paraId="559433FB" w14:textId="77777777" w:rsidR="00D90E6B" w:rsidRPr="007940C0" w:rsidRDefault="00D90E6B" w:rsidP="00D90E6B">
            <w:pPr>
              <w:ind w:firstLine="0"/>
              <w:rPr>
                <w:rFonts w:ascii="Times New Roman" w:hAnsi="Times New Roman"/>
                <w:b/>
                <w:sz w:val="20"/>
              </w:rPr>
            </w:pPr>
          </w:p>
        </w:tc>
      </w:tr>
      <w:tr w:rsidR="00D90E6B" w:rsidRPr="007940C0" w14:paraId="06159E7E" w14:textId="77777777" w:rsidTr="006A5420">
        <w:trPr>
          <w:jc w:val="center"/>
        </w:trPr>
        <w:tc>
          <w:tcPr>
            <w:tcW w:w="6941" w:type="dxa"/>
            <w:gridSpan w:val="8"/>
            <w:tcBorders>
              <w:top w:val="single" w:sz="18" w:space="0" w:color="auto"/>
              <w:left w:val="single" w:sz="18" w:space="0" w:color="FFFFFF" w:themeColor="background1"/>
              <w:bottom w:val="single" w:sz="18" w:space="0" w:color="auto"/>
              <w:right w:val="single" w:sz="18" w:space="0" w:color="FFFFFF" w:themeColor="background1"/>
            </w:tcBorders>
          </w:tcPr>
          <w:p w14:paraId="20BCCD1D"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Teste t-Student</w:t>
            </w:r>
          </w:p>
        </w:tc>
      </w:tr>
      <w:tr w:rsidR="00D90E6B" w:rsidRPr="007940C0" w14:paraId="51CCE0AA" w14:textId="77777777" w:rsidTr="006A5420">
        <w:trPr>
          <w:jc w:val="center"/>
        </w:trPr>
        <w:tc>
          <w:tcPr>
            <w:tcW w:w="1479" w:type="dxa"/>
            <w:tcBorders>
              <w:top w:val="single" w:sz="18" w:space="0" w:color="auto"/>
              <w:left w:val="single" w:sz="18" w:space="0" w:color="FFFFFF" w:themeColor="background1"/>
            </w:tcBorders>
          </w:tcPr>
          <w:p w14:paraId="066DE9CB" w14:textId="77777777" w:rsidR="00D90E6B" w:rsidRPr="007940C0" w:rsidRDefault="00D90E6B" w:rsidP="00D90E6B">
            <w:pPr>
              <w:ind w:firstLine="0"/>
              <w:jc w:val="center"/>
              <w:rPr>
                <w:rFonts w:ascii="Times New Roman" w:hAnsi="Times New Roman"/>
                <w:sz w:val="20"/>
              </w:rPr>
            </w:pPr>
          </w:p>
        </w:tc>
        <w:tc>
          <w:tcPr>
            <w:tcW w:w="698" w:type="dxa"/>
            <w:tcBorders>
              <w:top w:val="single" w:sz="18" w:space="0" w:color="auto"/>
            </w:tcBorders>
            <w:vAlign w:val="center"/>
          </w:tcPr>
          <w:p w14:paraId="41AED60E"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t</w:t>
            </w:r>
          </w:p>
        </w:tc>
        <w:tc>
          <w:tcPr>
            <w:tcW w:w="973" w:type="dxa"/>
            <w:tcBorders>
              <w:top w:val="single" w:sz="18" w:space="0" w:color="auto"/>
            </w:tcBorders>
            <w:vAlign w:val="center"/>
          </w:tcPr>
          <w:p w14:paraId="6B56B199" w14:textId="77777777" w:rsidR="00D90E6B" w:rsidRPr="007940C0" w:rsidRDefault="00D90E6B" w:rsidP="00D90E6B">
            <w:pPr>
              <w:ind w:firstLine="0"/>
              <w:jc w:val="center"/>
              <w:rPr>
                <w:rFonts w:ascii="Times New Roman" w:hAnsi="Times New Roman"/>
                <w:b/>
                <w:sz w:val="20"/>
              </w:rPr>
            </w:pPr>
            <w:proofErr w:type="spellStart"/>
            <w:proofErr w:type="gramStart"/>
            <w:r w:rsidRPr="007940C0">
              <w:rPr>
                <w:rFonts w:ascii="Times New Roman" w:hAnsi="Times New Roman"/>
                <w:b/>
                <w:sz w:val="20"/>
              </w:rPr>
              <w:t>df</w:t>
            </w:r>
            <w:proofErr w:type="spellEnd"/>
            <w:proofErr w:type="gramEnd"/>
          </w:p>
        </w:tc>
        <w:tc>
          <w:tcPr>
            <w:tcW w:w="1901" w:type="dxa"/>
            <w:gridSpan w:val="2"/>
            <w:tcBorders>
              <w:top w:val="single" w:sz="18" w:space="0" w:color="auto"/>
            </w:tcBorders>
            <w:vAlign w:val="center"/>
          </w:tcPr>
          <w:p w14:paraId="77E8249A"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Sig.</w:t>
            </w:r>
          </w:p>
          <w:p w14:paraId="1FD1290D"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(2 extremidades)</w:t>
            </w:r>
          </w:p>
        </w:tc>
        <w:tc>
          <w:tcPr>
            <w:tcW w:w="1040" w:type="dxa"/>
            <w:gridSpan w:val="2"/>
            <w:tcBorders>
              <w:top w:val="single" w:sz="18" w:space="0" w:color="auto"/>
            </w:tcBorders>
            <w:vAlign w:val="center"/>
          </w:tcPr>
          <w:p w14:paraId="36208A00"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Dif. Média</w:t>
            </w:r>
          </w:p>
        </w:tc>
        <w:tc>
          <w:tcPr>
            <w:tcW w:w="850" w:type="dxa"/>
            <w:tcBorders>
              <w:top w:val="single" w:sz="18" w:space="0" w:color="auto"/>
              <w:right w:val="single" w:sz="18" w:space="0" w:color="FFFFFF" w:themeColor="background1"/>
            </w:tcBorders>
            <w:vAlign w:val="center"/>
          </w:tcPr>
          <w:p w14:paraId="195AF745"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Erro</w:t>
            </w:r>
          </w:p>
        </w:tc>
      </w:tr>
      <w:tr w:rsidR="00D90E6B" w:rsidRPr="007940C0" w14:paraId="6D5CCCF8" w14:textId="77777777" w:rsidTr="006A5420">
        <w:trPr>
          <w:jc w:val="center"/>
        </w:trPr>
        <w:tc>
          <w:tcPr>
            <w:tcW w:w="1479" w:type="dxa"/>
            <w:tcBorders>
              <w:left w:val="single" w:sz="18" w:space="0" w:color="FFFFFF" w:themeColor="background1"/>
            </w:tcBorders>
          </w:tcPr>
          <w:p w14:paraId="3BD3C85A"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Variâncias Homogêneas</w:t>
            </w:r>
          </w:p>
        </w:tc>
        <w:tc>
          <w:tcPr>
            <w:tcW w:w="698" w:type="dxa"/>
            <w:vAlign w:val="center"/>
          </w:tcPr>
          <w:p w14:paraId="46BA026E"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0,667</w:t>
            </w:r>
          </w:p>
        </w:tc>
        <w:tc>
          <w:tcPr>
            <w:tcW w:w="973" w:type="dxa"/>
            <w:vAlign w:val="center"/>
          </w:tcPr>
          <w:p w14:paraId="68FC18B7"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73</w:t>
            </w:r>
          </w:p>
        </w:tc>
        <w:tc>
          <w:tcPr>
            <w:tcW w:w="1901" w:type="dxa"/>
            <w:gridSpan w:val="2"/>
            <w:vAlign w:val="center"/>
          </w:tcPr>
          <w:p w14:paraId="2A4D0DC2"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0,507</w:t>
            </w:r>
          </w:p>
        </w:tc>
        <w:tc>
          <w:tcPr>
            <w:tcW w:w="1040" w:type="dxa"/>
            <w:gridSpan w:val="2"/>
            <w:vAlign w:val="center"/>
          </w:tcPr>
          <w:p w14:paraId="691586D1"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0,1272</w:t>
            </w:r>
          </w:p>
        </w:tc>
        <w:tc>
          <w:tcPr>
            <w:tcW w:w="850" w:type="dxa"/>
            <w:tcBorders>
              <w:right w:val="single" w:sz="18" w:space="0" w:color="FFFFFF" w:themeColor="background1"/>
            </w:tcBorders>
            <w:vAlign w:val="center"/>
          </w:tcPr>
          <w:p w14:paraId="79E1FABB"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0,190</w:t>
            </w:r>
          </w:p>
        </w:tc>
      </w:tr>
      <w:tr w:rsidR="00D90E6B" w:rsidRPr="007940C0" w14:paraId="1C461C3A" w14:textId="77777777" w:rsidTr="006A5420">
        <w:trPr>
          <w:jc w:val="center"/>
        </w:trPr>
        <w:tc>
          <w:tcPr>
            <w:tcW w:w="1479" w:type="dxa"/>
            <w:tcBorders>
              <w:left w:val="single" w:sz="18" w:space="0" w:color="FFFFFF" w:themeColor="background1"/>
              <w:bottom w:val="single" w:sz="18" w:space="0" w:color="auto"/>
            </w:tcBorders>
          </w:tcPr>
          <w:p w14:paraId="1C303BCF"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Variâncias não Homogêneas</w:t>
            </w:r>
          </w:p>
        </w:tc>
        <w:tc>
          <w:tcPr>
            <w:tcW w:w="698" w:type="dxa"/>
            <w:tcBorders>
              <w:bottom w:val="single" w:sz="18" w:space="0" w:color="auto"/>
            </w:tcBorders>
            <w:vAlign w:val="center"/>
          </w:tcPr>
          <w:p w14:paraId="01733577"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0,668</w:t>
            </w:r>
          </w:p>
        </w:tc>
        <w:tc>
          <w:tcPr>
            <w:tcW w:w="973" w:type="dxa"/>
            <w:tcBorders>
              <w:bottom w:val="single" w:sz="18" w:space="0" w:color="auto"/>
            </w:tcBorders>
            <w:vAlign w:val="center"/>
          </w:tcPr>
          <w:p w14:paraId="3BD6D1B9"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71,778</w:t>
            </w:r>
          </w:p>
        </w:tc>
        <w:tc>
          <w:tcPr>
            <w:tcW w:w="1901" w:type="dxa"/>
            <w:gridSpan w:val="2"/>
            <w:tcBorders>
              <w:bottom w:val="single" w:sz="18" w:space="0" w:color="auto"/>
            </w:tcBorders>
            <w:vAlign w:val="center"/>
          </w:tcPr>
          <w:p w14:paraId="3B388897"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0,506</w:t>
            </w:r>
          </w:p>
        </w:tc>
        <w:tc>
          <w:tcPr>
            <w:tcW w:w="1040" w:type="dxa"/>
            <w:gridSpan w:val="2"/>
            <w:tcBorders>
              <w:bottom w:val="single" w:sz="18" w:space="0" w:color="auto"/>
            </w:tcBorders>
            <w:vAlign w:val="center"/>
          </w:tcPr>
          <w:p w14:paraId="02DCDAC2"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0,1272</w:t>
            </w:r>
          </w:p>
        </w:tc>
        <w:tc>
          <w:tcPr>
            <w:tcW w:w="850" w:type="dxa"/>
            <w:tcBorders>
              <w:bottom w:val="single" w:sz="18" w:space="0" w:color="auto"/>
              <w:right w:val="single" w:sz="18" w:space="0" w:color="FFFFFF" w:themeColor="background1"/>
            </w:tcBorders>
            <w:vAlign w:val="center"/>
          </w:tcPr>
          <w:p w14:paraId="6DC0E60B"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0,190</w:t>
            </w:r>
          </w:p>
        </w:tc>
      </w:tr>
      <w:tr w:rsidR="00D90E6B" w:rsidRPr="007940C0" w14:paraId="4569D425" w14:textId="77777777" w:rsidTr="006A5420">
        <w:trPr>
          <w:jc w:val="center"/>
        </w:trPr>
        <w:tc>
          <w:tcPr>
            <w:tcW w:w="5240" w:type="dxa"/>
            <w:gridSpan w:val="6"/>
            <w:tcBorders>
              <w:top w:val="single" w:sz="18" w:space="0" w:color="auto"/>
            </w:tcBorders>
          </w:tcPr>
          <w:p w14:paraId="48B59A96"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Estatística do grupo</w:t>
            </w:r>
          </w:p>
        </w:tc>
        <w:tc>
          <w:tcPr>
            <w:tcW w:w="1701" w:type="dxa"/>
            <w:gridSpan w:val="2"/>
            <w:tcBorders>
              <w:top w:val="single" w:sz="18" w:space="0" w:color="auto"/>
              <w:bottom w:val="single" w:sz="18" w:space="0" w:color="auto"/>
              <w:right w:val="single" w:sz="18" w:space="0" w:color="FFFFFF" w:themeColor="background1"/>
            </w:tcBorders>
          </w:tcPr>
          <w:p w14:paraId="79F84B33"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 xml:space="preserve">Teste de </w:t>
            </w:r>
            <w:proofErr w:type="spellStart"/>
            <w:r w:rsidRPr="007940C0">
              <w:rPr>
                <w:rFonts w:ascii="Times New Roman" w:hAnsi="Times New Roman"/>
                <w:b/>
                <w:sz w:val="20"/>
              </w:rPr>
              <w:t>Levene</w:t>
            </w:r>
            <w:proofErr w:type="spellEnd"/>
          </w:p>
        </w:tc>
      </w:tr>
      <w:tr w:rsidR="00D90E6B" w:rsidRPr="007940C0" w14:paraId="45019360" w14:textId="77777777" w:rsidTr="006A5420">
        <w:trPr>
          <w:jc w:val="center"/>
        </w:trPr>
        <w:tc>
          <w:tcPr>
            <w:tcW w:w="1479" w:type="dxa"/>
            <w:tcBorders>
              <w:top w:val="single" w:sz="18" w:space="0" w:color="auto"/>
              <w:left w:val="single" w:sz="18" w:space="0" w:color="FFFFFF" w:themeColor="background1"/>
            </w:tcBorders>
          </w:tcPr>
          <w:p w14:paraId="07FC6995"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Turnos de toda a amostra</w:t>
            </w:r>
          </w:p>
        </w:tc>
        <w:tc>
          <w:tcPr>
            <w:tcW w:w="698" w:type="dxa"/>
            <w:tcBorders>
              <w:top w:val="single" w:sz="18" w:space="0" w:color="auto"/>
            </w:tcBorders>
            <w:vAlign w:val="center"/>
          </w:tcPr>
          <w:p w14:paraId="796B404F"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N</w:t>
            </w:r>
          </w:p>
        </w:tc>
        <w:tc>
          <w:tcPr>
            <w:tcW w:w="973" w:type="dxa"/>
            <w:tcBorders>
              <w:top w:val="single" w:sz="18" w:space="0" w:color="auto"/>
            </w:tcBorders>
            <w:vAlign w:val="center"/>
          </w:tcPr>
          <w:p w14:paraId="228F05F8"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Média</w:t>
            </w:r>
          </w:p>
        </w:tc>
        <w:tc>
          <w:tcPr>
            <w:tcW w:w="1381" w:type="dxa"/>
            <w:tcBorders>
              <w:top w:val="single" w:sz="18" w:space="0" w:color="auto"/>
            </w:tcBorders>
            <w:vAlign w:val="center"/>
          </w:tcPr>
          <w:p w14:paraId="63E4CAE4"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Desvio Padrão</w:t>
            </w:r>
          </w:p>
        </w:tc>
        <w:tc>
          <w:tcPr>
            <w:tcW w:w="709" w:type="dxa"/>
            <w:gridSpan w:val="2"/>
            <w:tcBorders>
              <w:top w:val="single" w:sz="18" w:space="0" w:color="auto"/>
            </w:tcBorders>
            <w:vAlign w:val="center"/>
          </w:tcPr>
          <w:p w14:paraId="5B4877D3"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Erro</w:t>
            </w:r>
          </w:p>
        </w:tc>
        <w:tc>
          <w:tcPr>
            <w:tcW w:w="851" w:type="dxa"/>
            <w:tcBorders>
              <w:top w:val="single" w:sz="18" w:space="0" w:color="auto"/>
            </w:tcBorders>
            <w:vAlign w:val="center"/>
          </w:tcPr>
          <w:p w14:paraId="0629C22E"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Z</w:t>
            </w:r>
          </w:p>
        </w:tc>
        <w:tc>
          <w:tcPr>
            <w:tcW w:w="850" w:type="dxa"/>
            <w:tcBorders>
              <w:top w:val="single" w:sz="18" w:space="0" w:color="FFFFFF" w:themeColor="background1"/>
              <w:right w:val="single" w:sz="18" w:space="0" w:color="FFFFFF" w:themeColor="background1"/>
            </w:tcBorders>
            <w:vAlign w:val="center"/>
          </w:tcPr>
          <w:p w14:paraId="0B0B211A"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Sig.</w:t>
            </w:r>
          </w:p>
        </w:tc>
      </w:tr>
      <w:tr w:rsidR="00D90E6B" w:rsidRPr="007940C0" w14:paraId="5B80BFCE" w14:textId="77777777" w:rsidTr="006A5420">
        <w:trPr>
          <w:jc w:val="center"/>
        </w:trPr>
        <w:tc>
          <w:tcPr>
            <w:tcW w:w="1479" w:type="dxa"/>
            <w:tcBorders>
              <w:left w:val="single" w:sz="18" w:space="0" w:color="FFFFFF" w:themeColor="background1"/>
            </w:tcBorders>
          </w:tcPr>
          <w:p w14:paraId="687F94CD"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Noturno</w:t>
            </w:r>
          </w:p>
        </w:tc>
        <w:tc>
          <w:tcPr>
            <w:tcW w:w="698" w:type="dxa"/>
          </w:tcPr>
          <w:p w14:paraId="017C6EE4"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70</w:t>
            </w:r>
          </w:p>
        </w:tc>
        <w:tc>
          <w:tcPr>
            <w:tcW w:w="973" w:type="dxa"/>
          </w:tcPr>
          <w:p w14:paraId="1DB6E251"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4,112</w:t>
            </w:r>
          </w:p>
        </w:tc>
        <w:tc>
          <w:tcPr>
            <w:tcW w:w="1381" w:type="dxa"/>
          </w:tcPr>
          <w:p w14:paraId="0C150DD4"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1,080</w:t>
            </w:r>
          </w:p>
        </w:tc>
        <w:tc>
          <w:tcPr>
            <w:tcW w:w="709" w:type="dxa"/>
            <w:gridSpan w:val="2"/>
          </w:tcPr>
          <w:p w14:paraId="1EC0392D"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0,129</w:t>
            </w:r>
          </w:p>
        </w:tc>
        <w:tc>
          <w:tcPr>
            <w:tcW w:w="851" w:type="dxa"/>
            <w:vMerge w:val="restart"/>
            <w:vAlign w:val="center"/>
          </w:tcPr>
          <w:p w14:paraId="4F5E2330"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3,731</w:t>
            </w:r>
          </w:p>
        </w:tc>
        <w:tc>
          <w:tcPr>
            <w:tcW w:w="850" w:type="dxa"/>
            <w:vMerge w:val="restart"/>
            <w:tcBorders>
              <w:right w:val="single" w:sz="18" w:space="0" w:color="FFFFFF" w:themeColor="background1"/>
            </w:tcBorders>
            <w:vAlign w:val="center"/>
          </w:tcPr>
          <w:p w14:paraId="6978D498"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0,056</w:t>
            </w:r>
          </w:p>
        </w:tc>
      </w:tr>
      <w:tr w:rsidR="00D90E6B" w:rsidRPr="007940C0" w14:paraId="495FD6E7" w14:textId="77777777" w:rsidTr="006A5420">
        <w:trPr>
          <w:jc w:val="center"/>
        </w:trPr>
        <w:tc>
          <w:tcPr>
            <w:tcW w:w="1479" w:type="dxa"/>
            <w:tcBorders>
              <w:left w:val="single" w:sz="18" w:space="0" w:color="FFFFFF" w:themeColor="background1"/>
              <w:bottom w:val="single" w:sz="18" w:space="0" w:color="auto"/>
            </w:tcBorders>
          </w:tcPr>
          <w:p w14:paraId="754B33F3"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Matutino</w:t>
            </w:r>
          </w:p>
        </w:tc>
        <w:tc>
          <w:tcPr>
            <w:tcW w:w="698" w:type="dxa"/>
            <w:tcBorders>
              <w:bottom w:val="single" w:sz="18" w:space="0" w:color="auto"/>
            </w:tcBorders>
          </w:tcPr>
          <w:p w14:paraId="6114E39E"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35</w:t>
            </w:r>
          </w:p>
        </w:tc>
        <w:tc>
          <w:tcPr>
            <w:tcW w:w="973" w:type="dxa"/>
            <w:tcBorders>
              <w:bottom w:val="single" w:sz="18" w:space="0" w:color="auto"/>
            </w:tcBorders>
          </w:tcPr>
          <w:p w14:paraId="796D056D"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4,082</w:t>
            </w:r>
          </w:p>
        </w:tc>
        <w:tc>
          <w:tcPr>
            <w:tcW w:w="1381" w:type="dxa"/>
            <w:tcBorders>
              <w:bottom w:val="single" w:sz="18" w:space="0" w:color="auto"/>
            </w:tcBorders>
          </w:tcPr>
          <w:p w14:paraId="66762F6A"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0,821</w:t>
            </w:r>
          </w:p>
        </w:tc>
        <w:tc>
          <w:tcPr>
            <w:tcW w:w="709" w:type="dxa"/>
            <w:gridSpan w:val="2"/>
            <w:tcBorders>
              <w:bottom w:val="single" w:sz="18" w:space="0" w:color="auto"/>
            </w:tcBorders>
          </w:tcPr>
          <w:p w14:paraId="5F05E96C"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0,138</w:t>
            </w:r>
          </w:p>
        </w:tc>
        <w:tc>
          <w:tcPr>
            <w:tcW w:w="851" w:type="dxa"/>
            <w:vMerge/>
            <w:tcBorders>
              <w:bottom w:val="single" w:sz="18" w:space="0" w:color="auto"/>
            </w:tcBorders>
          </w:tcPr>
          <w:p w14:paraId="00D8AE01" w14:textId="77777777" w:rsidR="00D90E6B" w:rsidRPr="007940C0" w:rsidRDefault="00D90E6B" w:rsidP="00D90E6B">
            <w:pPr>
              <w:ind w:firstLine="0"/>
              <w:rPr>
                <w:rFonts w:ascii="Times New Roman" w:hAnsi="Times New Roman"/>
                <w:b/>
                <w:sz w:val="20"/>
              </w:rPr>
            </w:pPr>
          </w:p>
        </w:tc>
        <w:tc>
          <w:tcPr>
            <w:tcW w:w="850" w:type="dxa"/>
            <w:vMerge/>
            <w:tcBorders>
              <w:right w:val="single" w:sz="18" w:space="0" w:color="FFFFFF" w:themeColor="background1"/>
            </w:tcBorders>
          </w:tcPr>
          <w:p w14:paraId="139800B5" w14:textId="77777777" w:rsidR="00D90E6B" w:rsidRPr="007940C0" w:rsidRDefault="00D90E6B" w:rsidP="00D90E6B">
            <w:pPr>
              <w:ind w:firstLine="0"/>
              <w:rPr>
                <w:rFonts w:ascii="Times New Roman" w:hAnsi="Times New Roman"/>
                <w:b/>
                <w:sz w:val="20"/>
              </w:rPr>
            </w:pPr>
          </w:p>
        </w:tc>
      </w:tr>
      <w:tr w:rsidR="00D90E6B" w:rsidRPr="007940C0" w14:paraId="0E3C7608" w14:textId="77777777" w:rsidTr="006A5420">
        <w:trPr>
          <w:jc w:val="center"/>
        </w:trPr>
        <w:tc>
          <w:tcPr>
            <w:tcW w:w="6941" w:type="dxa"/>
            <w:gridSpan w:val="8"/>
            <w:tcBorders>
              <w:top w:val="single" w:sz="18" w:space="0" w:color="auto"/>
              <w:left w:val="single" w:sz="18" w:space="0" w:color="FFFFFF" w:themeColor="background1"/>
              <w:bottom w:val="single" w:sz="18" w:space="0" w:color="auto"/>
              <w:right w:val="single" w:sz="18" w:space="0" w:color="FFFFFF" w:themeColor="background1"/>
            </w:tcBorders>
          </w:tcPr>
          <w:p w14:paraId="7CC43544"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Teste t-Student</w:t>
            </w:r>
          </w:p>
        </w:tc>
      </w:tr>
      <w:tr w:rsidR="00D90E6B" w:rsidRPr="007940C0" w14:paraId="542D49F2" w14:textId="77777777" w:rsidTr="006A5420">
        <w:trPr>
          <w:jc w:val="center"/>
        </w:trPr>
        <w:tc>
          <w:tcPr>
            <w:tcW w:w="1479" w:type="dxa"/>
            <w:tcBorders>
              <w:top w:val="single" w:sz="18" w:space="0" w:color="auto"/>
              <w:left w:val="single" w:sz="18" w:space="0" w:color="FFFFFF" w:themeColor="background1"/>
            </w:tcBorders>
          </w:tcPr>
          <w:p w14:paraId="4088BBFE" w14:textId="77777777" w:rsidR="00D90E6B" w:rsidRPr="007940C0" w:rsidRDefault="00D90E6B" w:rsidP="00D90E6B">
            <w:pPr>
              <w:ind w:firstLine="0"/>
              <w:jc w:val="center"/>
              <w:rPr>
                <w:rFonts w:ascii="Times New Roman" w:hAnsi="Times New Roman"/>
                <w:sz w:val="20"/>
              </w:rPr>
            </w:pPr>
          </w:p>
        </w:tc>
        <w:tc>
          <w:tcPr>
            <w:tcW w:w="698" w:type="dxa"/>
            <w:tcBorders>
              <w:top w:val="single" w:sz="18" w:space="0" w:color="auto"/>
            </w:tcBorders>
            <w:vAlign w:val="center"/>
          </w:tcPr>
          <w:p w14:paraId="58A0C3C2"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t</w:t>
            </w:r>
          </w:p>
        </w:tc>
        <w:tc>
          <w:tcPr>
            <w:tcW w:w="973" w:type="dxa"/>
            <w:tcBorders>
              <w:top w:val="single" w:sz="18" w:space="0" w:color="auto"/>
            </w:tcBorders>
            <w:vAlign w:val="center"/>
          </w:tcPr>
          <w:p w14:paraId="2A82C411" w14:textId="77777777" w:rsidR="00D90E6B" w:rsidRPr="007940C0" w:rsidRDefault="00D90E6B" w:rsidP="00D90E6B">
            <w:pPr>
              <w:ind w:firstLine="0"/>
              <w:jc w:val="center"/>
              <w:rPr>
                <w:rFonts w:ascii="Times New Roman" w:hAnsi="Times New Roman"/>
                <w:b/>
                <w:sz w:val="20"/>
              </w:rPr>
            </w:pPr>
            <w:proofErr w:type="spellStart"/>
            <w:proofErr w:type="gramStart"/>
            <w:r w:rsidRPr="007940C0">
              <w:rPr>
                <w:rFonts w:ascii="Times New Roman" w:hAnsi="Times New Roman"/>
                <w:b/>
                <w:sz w:val="20"/>
              </w:rPr>
              <w:t>df</w:t>
            </w:r>
            <w:proofErr w:type="spellEnd"/>
            <w:proofErr w:type="gramEnd"/>
          </w:p>
        </w:tc>
        <w:tc>
          <w:tcPr>
            <w:tcW w:w="1901" w:type="dxa"/>
            <w:gridSpan w:val="2"/>
            <w:tcBorders>
              <w:top w:val="single" w:sz="18" w:space="0" w:color="auto"/>
            </w:tcBorders>
            <w:vAlign w:val="center"/>
          </w:tcPr>
          <w:p w14:paraId="75A88ACD"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Sig.</w:t>
            </w:r>
          </w:p>
          <w:p w14:paraId="5DE1D760"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(2 extremidades)</w:t>
            </w:r>
          </w:p>
        </w:tc>
        <w:tc>
          <w:tcPr>
            <w:tcW w:w="1040" w:type="dxa"/>
            <w:gridSpan w:val="2"/>
            <w:tcBorders>
              <w:top w:val="single" w:sz="18" w:space="0" w:color="auto"/>
            </w:tcBorders>
            <w:vAlign w:val="center"/>
          </w:tcPr>
          <w:p w14:paraId="3C107649"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Dif. Média</w:t>
            </w:r>
          </w:p>
        </w:tc>
        <w:tc>
          <w:tcPr>
            <w:tcW w:w="850" w:type="dxa"/>
            <w:tcBorders>
              <w:top w:val="single" w:sz="18" w:space="0" w:color="auto"/>
              <w:right w:val="single" w:sz="18" w:space="0" w:color="FFFFFF" w:themeColor="background1"/>
            </w:tcBorders>
            <w:vAlign w:val="center"/>
          </w:tcPr>
          <w:p w14:paraId="5E96A463" w14:textId="77777777" w:rsidR="00D90E6B" w:rsidRPr="007940C0" w:rsidRDefault="00D90E6B" w:rsidP="00D90E6B">
            <w:pPr>
              <w:ind w:firstLine="0"/>
              <w:jc w:val="center"/>
              <w:rPr>
                <w:rFonts w:ascii="Times New Roman" w:hAnsi="Times New Roman"/>
                <w:b/>
                <w:sz w:val="20"/>
              </w:rPr>
            </w:pPr>
            <w:r w:rsidRPr="007940C0">
              <w:rPr>
                <w:rFonts w:ascii="Times New Roman" w:hAnsi="Times New Roman"/>
                <w:b/>
                <w:sz w:val="20"/>
              </w:rPr>
              <w:t>Erro</w:t>
            </w:r>
          </w:p>
        </w:tc>
      </w:tr>
      <w:tr w:rsidR="00D90E6B" w:rsidRPr="007940C0" w14:paraId="17DF1CE4" w14:textId="77777777" w:rsidTr="006A5420">
        <w:trPr>
          <w:jc w:val="center"/>
        </w:trPr>
        <w:tc>
          <w:tcPr>
            <w:tcW w:w="1479" w:type="dxa"/>
            <w:tcBorders>
              <w:left w:val="single" w:sz="18" w:space="0" w:color="FFFFFF" w:themeColor="background1"/>
            </w:tcBorders>
          </w:tcPr>
          <w:p w14:paraId="687ABCE7"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Variâncias Homogêneas</w:t>
            </w:r>
          </w:p>
        </w:tc>
        <w:tc>
          <w:tcPr>
            <w:tcW w:w="698" w:type="dxa"/>
            <w:vAlign w:val="center"/>
          </w:tcPr>
          <w:p w14:paraId="47ADCAA6"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0,146</w:t>
            </w:r>
          </w:p>
        </w:tc>
        <w:tc>
          <w:tcPr>
            <w:tcW w:w="973" w:type="dxa"/>
            <w:vAlign w:val="center"/>
          </w:tcPr>
          <w:p w14:paraId="71442F3F"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103</w:t>
            </w:r>
          </w:p>
        </w:tc>
        <w:tc>
          <w:tcPr>
            <w:tcW w:w="1901" w:type="dxa"/>
            <w:gridSpan w:val="2"/>
            <w:vAlign w:val="center"/>
          </w:tcPr>
          <w:p w14:paraId="5FD58822"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0,884</w:t>
            </w:r>
          </w:p>
        </w:tc>
        <w:tc>
          <w:tcPr>
            <w:tcW w:w="1040" w:type="dxa"/>
            <w:gridSpan w:val="2"/>
            <w:vAlign w:val="center"/>
          </w:tcPr>
          <w:p w14:paraId="1DD4711F"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0,030</w:t>
            </w:r>
          </w:p>
        </w:tc>
        <w:tc>
          <w:tcPr>
            <w:tcW w:w="850" w:type="dxa"/>
            <w:tcBorders>
              <w:right w:val="single" w:sz="18" w:space="0" w:color="FFFFFF" w:themeColor="background1"/>
            </w:tcBorders>
            <w:vAlign w:val="center"/>
          </w:tcPr>
          <w:p w14:paraId="7A0473E5"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0,207</w:t>
            </w:r>
          </w:p>
        </w:tc>
      </w:tr>
      <w:tr w:rsidR="00D90E6B" w:rsidRPr="007940C0" w14:paraId="1A05A03C" w14:textId="77777777" w:rsidTr="006A5420">
        <w:trPr>
          <w:jc w:val="center"/>
        </w:trPr>
        <w:tc>
          <w:tcPr>
            <w:tcW w:w="1479" w:type="dxa"/>
            <w:tcBorders>
              <w:left w:val="single" w:sz="18" w:space="0" w:color="FFFFFF" w:themeColor="background1"/>
              <w:bottom w:val="single" w:sz="18" w:space="0" w:color="auto"/>
            </w:tcBorders>
          </w:tcPr>
          <w:p w14:paraId="656424AD"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Variâncias não Homogêneas</w:t>
            </w:r>
          </w:p>
        </w:tc>
        <w:tc>
          <w:tcPr>
            <w:tcW w:w="698" w:type="dxa"/>
            <w:tcBorders>
              <w:bottom w:val="single" w:sz="18" w:space="0" w:color="auto"/>
            </w:tcBorders>
            <w:vAlign w:val="center"/>
          </w:tcPr>
          <w:p w14:paraId="4DDFF67C"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0,160</w:t>
            </w:r>
          </w:p>
        </w:tc>
        <w:tc>
          <w:tcPr>
            <w:tcW w:w="973" w:type="dxa"/>
            <w:tcBorders>
              <w:bottom w:val="single" w:sz="18" w:space="0" w:color="auto"/>
            </w:tcBorders>
            <w:vAlign w:val="center"/>
          </w:tcPr>
          <w:p w14:paraId="23FFD3A2"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86,421</w:t>
            </w:r>
          </w:p>
        </w:tc>
        <w:tc>
          <w:tcPr>
            <w:tcW w:w="1901" w:type="dxa"/>
            <w:gridSpan w:val="2"/>
            <w:tcBorders>
              <w:bottom w:val="single" w:sz="18" w:space="0" w:color="auto"/>
            </w:tcBorders>
            <w:vAlign w:val="center"/>
          </w:tcPr>
          <w:p w14:paraId="2866A680"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0,873</w:t>
            </w:r>
          </w:p>
        </w:tc>
        <w:tc>
          <w:tcPr>
            <w:tcW w:w="1040" w:type="dxa"/>
            <w:gridSpan w:val="2"/>
            <w:tcBorders>
              <w:bottom w:val="single" w:sz="18" w:space="0" w:color="auto"/>
            </w:tcBorders>
            <w:vAlign w:val="center"/>
          </w:tcPr>
          <w:p w14:paraId="050E3C45"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0,030</w:t>
            </w:r>
          </w:p>
        </w:tc>
        <w:tc>
          <w:tcPr>
            <w:tcW w:w="850" w:type="dxa"/>
            <w:tcBorders>
              <w:bottom w:val="single" w:sz="18" w:space="0" w:color="auto"/>
              <w:right w:val="single" w:sz="18" w:space="0" w:color="FFFFFF" w:themeColor="background1"/>
            </w:tcBorders>
            <w:vAlign w:val="center"/>
          </w:tcPr>
          <w:p w14:paraId="0E2AC649" w14:textId="77777777" w:rsidR="00D90E6B" w:rsidRPr="007940C0" w:rsidRDefault="00D90E6B" w:rsidP="00D90E6B">
            <w:pPr>
              <w:ind w:firstLine="0"/>
              <w:jc w:val="center"/>
              <w:rPr>
                <w:rFonts w:ascii="Times New Roman" w:hAnsi="Times New Roman"/>
                <w:sz w:val="20"/>
              </w:rPr>
            </w:pPr>
            <w:r w:rsidRPr="007940C0">
              <w:rPr>
                <w:rFonts w:ascii="Times New Roman" w:hAnsi="Times New Roman"/>
                <w:sz w:val="20"/>
              </w:rPr>
              <w:t>0,189</w:t>
            </w:r>
          </w:p>
        </w:tc>
      </w:tr>
    </w:tbl>
    <w:p w14:paraId="50BF8708" w14:textId="77777777" w:rsidR="00D90E6B" w:rsidRPr="007940C0" w:rsidRDefault="00D90E6B" w:rsidP="00D90E6B">
      <w:pPr>
        <w:rPr>
          <w:sz w:val="20"/>
        </w:rPr>
      </w:pPr>
      <w:r w:rsidRPr="007940C0">
        <w:rPr>
          <w:sz w:val="20"/>
        </w:rPr>
        <w:t xml:space="preserve">          * Significância ao nível de 1% e ** Significância ao nível de 5%.</w:t>
      </w:r>
    </w:p>
    <w:p w14:paraId="21810851" w14:textId="0C7C3C07" w:rsidR="00D90E6B" w:rsidRPr="007940C0" w:rsidRDefault="00D90E6B" w:rsidP="00D90E6B">
      <w:pPr>
        <w:rPr>
          <w:sz w:val="20"/>
        </w:rPr>
      </w:pPr>
      <w:r w:rsidRPr="007940C0">
        <w:rPr>
          <w:sz w:val="20"/>
        </w:rPr>
        <w:t xml:space="preserve">           Fonte: Dados da Pesquisa.</w:t>
      </w:r>
      <w:r w:rsidRPr="007940C0">
        <w:rPr>
          <w:sz w:val="20"/>
        </w:rPr>
        <w:tab/>
      </w:r>
    </w:p>
    <w:p w14:paraId="6E28D41B" w14:textId="77777777" w:rsidR="00D90E6B" w:rsidRPr="007940C0" w:rsidRDefault="00D90E6B" w:rsidP="00D90E6B">
      <w:pPr>
        <w:autoSpaceDE w:val="0"/>
        <w:autoSpaceDN w:val="0"/>
        <w:adjustRightInd w:val="0"/>
        <w:rPr>
          <w:szCs w:val="24"/>
        </w:rPr>
      </w:pPr>
    </w:p>
    <w:p w14:paraId="2F5DF0FE"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Com base na Tabela 04, nota-se uma distribuição das 75 respostas da instituição Federal, sendo 40 alunos do período Noturno e 35 do Matutino. As médias dos turnos Noturno e Matutino são 4,20 e 4,08 (respectivamente). O teste de </w:t>
      </w:r>
      <w:proofErr w:type="spellStart"/>
      <w:r w:rsidRPr="007940C0">
        <w:rPr>
          <w:rFonts w:cs="Arial"/>
          <w:szCs w:val="22"/>
        </w:rPr>
        <w:t>Levene</w:t>
      </w:r>
      <w:proofErr w:type="spellEnd"/>
      <w:r w:rsidRPr="007940C0">
        <w:rPr>
          <w:rFonts w:cs="Arial"/>
          <w:szCs w:val="22"/>
        </w:rPr>
        <w:t xml:space="preserve"> não obteve significância ao nível de 5% (</w:t>
      </w:r>
      <w:r w:rsidRPr="007940C0">
        <w:rPr>
          <w:rFonts w:cs="Arial"/>
          <w:i/>
          <w:szCs w:val="22"/>
        </w:rPr>
        <w:t>p-value</w:t>
      </w:r>
      <w:r w:rsidRPr="007940C0">
        <w:rPr>
          <w:rFonts w:cs="Arial"/>
          <w:szCs w:val="22"/>
        </w:rPr>
        <w:t xml:space="preserve"> 0,425), assim, tem-se que os dados analisados sofrem distribuição homogênea. O Teste t-Student demonstra baixa significância na diferença entre médias (</w:t>
      </w:r>
      <w:r w:rsidRPr="007940C0">
        <w:rPr>
          <w:rFonts w:cs="Arial"/>
          <w:i/>
          <w:szCs w:val="22"/>
        </w:rPr>
        <w:t>p-value</w:t>
      </w:r>
      <w:r w:rsidRPr="007940C0">
        <w:rPr>
          <w:rFonts w:cs="Arial"/>
          <w:szCs w:val="22"/>
        </w:rPr>
        <w:t xml:space="preserve"> 0,507), ou seja, não há diferença estatisticamente significativa entre as médias.</w:t>
      </w:r>
    </w:p>
    <w:p w14:paraId="41F30A61"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Ao observar a diferença entre o turno estudado de toda a amostra tem-se uma distribuição 70 alunos do período Noturno e 35 do Matutino. Ressalta-se que a instituição Municipal não possui turno Matutino. As médias dos turnos Noturno e Matutino são 4,11 e 4,08 (respectivamente). </w:t>
      </w:r>
    </w:p>
    <w:p w14:paraId="23E1F75E" w14:textId="45069B01"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Observa-se, também, que o teste de </w:t>
      </w:r>
      <w:proofErr w:type="spellStart"/>
      <w:r w:rsidRPr="007940C0">
        <w:rPr>
          <w:rFonts w:cs="Arial"/>
          <w:szCs w:val="22"/>
        </w:rPr>
        <w:t>Levene</w:t>
      </w:r>
      <w:proofErr w:type="spellEnd"/>
      <w:r w:rsidRPr="007940C0">
        <w:rPr>
          <w:rFonts w:cs="Arial"/>
          <w:szCs w:val="22"/>
        </w:rPr>
        <w:t xml:space="preserve"> não obteve significância igual ou inferior a 5% (</w:t>
      </w:r>
      <w:r w:rsidRPr="007940C0">
        <w:rPr>
          <w:rFonts w:cs="Arial"/>
          <w:i/>
          <w:szCs w:val="22"/>
        </w:rPr>
        <w:t>p-value</w:t>
      </w:r>
      <w:r w:rsidRPr="007940C0">
        <w:rPr>
          <w:rFonts w:cs="Arial"/>
          <w:szCs w:val="22"/>
        </w:rPr>
        <w:t xml:space="preserve"> 0,056), evidenciando </w:t>
      </w:r>
      <w:r w:rsidR="00AD3AF0">
        <w:rPr>
          <w:rFonts w:cs="Arial"/>
          <w:szCs w:val="22"/>
        </w:rPr>
        <w:t>q</w:t>
      </w:r>
      <w:r w:rsidRPr="007940C0">
        <w:rPr>
          <w:rFonts w:cs="Arial"/>
          <w:szCs w:val="22"/>
        </w:rPr>
        <w:t>u</w:t>
      </w:r>
      <w:r w:rsidR="00233718">
        <w:rPr>
          <w:rFonts w:cs="Arial"/>
          <w:szCs w:val="22"/>
        </w:rPr>
        <w:t>e</w:t>
      </w:r>
      <w:r w:rsidRPr="007940C0">
        <w:rPr>
          <w:rFonts w:cs="Arial"/>
          <w:szCs w:val="22"/>
        </w:rPr>
        <w:t xml:space="preserve"> os dados analisados sofrem distribuição homogênea. O teste de médias demonstrou que baixa significância (</w:t>
      </w:r>
      <w:r w:rsidRPr="007940C0">
        <w:rPr>
          <w:rFonts w:cs="Arial"/>
          <w:i/>
          <w:szCs w:val="22"/>
        </w:rPr>
        <w:t>p-value</w:t>
      </w:r>
      <w:r w:rsidRPr="007940C0">
        <w:rPr>
          <w:rFonts w:cs="Arial"/>
          <w:szCs w:val="22"/>
        </w:rPr>
        <w:t xml:space="preserve"> 0,884), ou seja, não há diferença estatisticamente significativa entre as médias.</w:t>
      </w:r>
    </w:p>
    <w:p w14:paraId="2EDB999B" w14:textId="4A3B2755"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 xml:space="preserve">Assim, demonstra-se que os acadêmicos que estudam no período Noturno e Matutino </w:t>
      </w:r>
      <w:r w:rsidRPr="007940C0">
        <w:rPr>
          <w:rFonts w:cs="Arial"/>
          <w:szCs w:val="22"/>
        </w:rPr>
        <w:lastRenderedPageBreak/>
        <w:t>da instituição Federal e todos os acadêmicos da amostra que estudam no período Noturno e Matutino tendem a permanecer</w:t>
      </w:r>
      <w:r w:rsidR="00550819">
        <w:rPr>
          <w:rFonts w:cs="Arial"/>
          <w:szCs w:val="22"/>
        </w:rPr>
        <w:t>em</w:t>
      </w:r>
      <w:r w:rsidRPr="007940C0">
        <w:rPr>
          <w:rFonts w:cs="Arial"/>
          <w:szCs w:val="22"/>
        </w:rPr>
        <w:t xml:space="preserve"> neutro</w:t>
      </w:r>
      <w:r w:rsidR="00550819">
        <w:rPr>
          <w:rFonts w:cs="Arial"/>
          <w:szCs w:val="22"/>
        </w:rPr>
        <w:t>s</w:t>
      </w:r>
      <w:r w:rsidRPr="007940C0">
        <w:rPr>
          <w:rFonts w:cs="Arial"/>
          <w:szCs w:val="22"/>
        </w:rPr>
        <w:t xml:space="preserve"> ao serem questionados sobre diferenças entre a tributação pelo Lucro Presumido ou pelo Simples Nacional, bem como se questionados sobre o impacto nas alíquotas causados nas variações da folha de pagamento. </w:t>
      </w:r>
    </w:p>
    <w:p w14:paraId="39A09B96" w14:textId="77777777" w:rsidR="00D90E6B" w:rsidRPr="007940C0" w:rsidRDefault="00D90E6B" w:rsidP="00D90E6B">
      <w:pPr>
        <w:autoSpaceDE w:val="0"/>
        <w:autoSpaceDN w:val="0"/>
        <w:adjustRightInd w:val="0"/>
        <w:spacing w:line="360" w:lineRule="auto"/>
        <w:ind w:firstLine="851"/>
        <w:rPr>
          <w:rFonts w:cs="Arial"/>
          <w:szCs w:val="22"/>
        </w:rPr>
      </w:pPr>
      <w:r w:rsidRPr="007940C0">
        <w:rPr>
          <w:rFonts w:cs="Arial"/>
          <w:szCs w:val="22"/>
        </w:rPr>
        <w:t>Percebe-se, também, que não há diferença significativa estatisticamente entre a percepção dos alunos que estudam no período Noturno e Matutino da instituição Federal e todos os acadêmicos da amostra que estudam no período Noturno e Matutino.</w:t>
      </w:r>
    </w:p>
    <w:p w14:paraId="11B75037" w14:textId="77777777" w:rsidR="00D90E6B" w:rsidRPr="007940C0" w:rsidRDefault="00D90E6B" w:rsidP="00D90E6B">
      <w:pPr>
        <w:rPr>
          <w:szCs w:val="22"/>
          <w:lang w:eastAsia="x-none"/>
        </w:rPr>
      </w:pPr>
    </w:p>
    <w:p w14:paraId="6A5ED933" w14:textId="77777777" w:rsidR="00E24E18" w:rsidRPr="007940C0" w:rsidRDefault="00E24E18" w:rsidP="00E24E18">
      <w:pPr>
        <w:spacing w:line="360" w:lineRule="auto"/>
        <w:ind w:firstLine="851"/>
        <w:rPr>
          <w:rFonts w:cs="Arial"/>
          <w:szCs w:val="22"/>
        </w:rPr>
      </w:pPr>
    </w:p>
    <w:p w14:paraId="53BF5F0E" w14:textId="77777777" w:rsidR="00E24E18" w:rsidRPr="007940C0" w:rsidRDefault="00E24E18" w:rsidP="00E24E18">
      <w:pPr>
        <w:pStyle w:val="Ttulo1"/>
        <w:spacing w:before="0" w:after="0" w:line="360" w:lineRule="auto"/>
        <w:ind w:left="432" w:hanging="432"/>
        <w:rPr>
          <w:rFonts w:cs="Arial"/>
          <w:szCs w:val="22"/>
        </w:rPr>
      </w:pPr>
      <w:r w:rsidRPr="007940C0">
        <w:rPr>
          <w:rFonts w:cs="Arial"/>
          <w:szCs w:val="22"/>
        </w:rPr>
        <w:t>CONSIDERAÇÕES FINAIS</w:t>
      </w:r>
    </w:p>
    <w:p w14:paraId="75C42EC9" w14:textId="77777777" w:rsidR="006A5420" w:rsidRPr="007940C0" w:rsidRDefault="006A5420" w:rsidP="006A5420">
      <w:pPr>
        <w:rPr>
          <w:szCs w:val="22"/>
          <w:lang w:val="x-none" w:eastAsia="x-none"/>
        </w:rPr>
      </w:pPr>
    </w:p>
    <w:p w14:paraId="1B7318CE" w14:textId="6B397EFE" w:rsidR="006A5420" w:rsidRPr="007940C0" w:rsidRDefault="006A5420" w:rsidP="006A5420">
      <w:pPr>
        <w:autoSpaceDE w:val="0"/>
        <w:autoSpaceDN w:val="0"/>
        <w:adjustRightInd w:val="0"/>
        <w:spacing w:line="360" w:lineRule="auto"/>
        <w:ind w:firstLine="851"/>
        <w:rPr>
          <w:rFonts w:cs="Arial"/>
          <w:szCs w:val="22"/>
        </w:rPr>
      </w:pPr>
      <w:r w:rsidRPr="004828D8">
        <w:rPr>
          <w:rFonts w:cs="Arial"/>
          <w:szCs w:val="22"/>
        </w:rPr>
        <w:t xml:space="preserve">O estudo teve por objetivo </w:t>
      </w:r>
      <w:r w:rsidR="00F7556C" w:rsidRPr="004828D8">
        <w:rPr>
          <w:rFonts w:cs="Arial"/>
        </w:rPr>
        <w:t>identificar o conhecimento dos estudantes da 7º e 8º fase do curso de Ciências Contábeis de instituições de ensino púbico da região metropolitana da grande Florianópolis, referente aos aspectos tributários do anexo VI do Simples Nacional frente ao Lucro Presumido</w:t>
      </w:r>
      <w:r w:rsidRPr="004828D8">
        <w:rPr>
          <w:rFonts w:cs="Arial"/>
          <w:szCs w:val="22"/>
        </w:rPr>
        <w:t xml:space="preserve">. Tratou-se de um estudo descritivo com abordagem quantitativa. Para obtenção dos </w:t>
      </w:r>
      <w:r w:rsidRPr="007940C0">
        <w:rPr>
          <w:rFonts w:cs="Arial"/>
          <w:szCs w:val="22"/>
        </w:rPr>
        <w:t>dados aplicou-se um questionário aos acadêmicos do curso de Ciências Contábeis de instituições Federais e Municipais da região delimitada. Sendo obtido 10</w:t>
      </w:r>
      <w:r w:rsidR="00F7556C">
        <w:rPr>
          <w:rFonts w:cs="Arial"/>
          <w:szCs w:val="22"/>
        </w:rPr>
        <w:t>6</w:t>
      </w:r>
      <w:r w:rsidRPr="007940C0">
        <w:rPr>
          <w:rFonts w:cs="Arial"/>
          <w:szCs w:val="22"/>
        </w:rPr>
        <w:t xml:space="preserve"> respostas válidas. </w:t>
      </w:r>
    </w:p>
    <w:p w14:paraId="298B5A59" w14:textId="4AF666F5" w:rsidR="006A5420" w:rsidRPr="007940C0" w:rsidRDefault="006A5420" w:rsidP="006A5420">
      <w:pPr>
        <w:autoSpaceDE w:val="0"/>
        <w:autoSpaceDN w:val="0"/>
        <w:adjustRightInd w:val="0"/>
        <w:spacing w:line="360" w:lineRule="auto"/>
        <w:ind w:firstLine="851"/>
        <w:rPr>
          <w:rFonts w:cs="Arial"/>
          <w:szCs w:val="22"/>
        </w:rPr>
      </w:pPr>
      <w:r w:rsidRPr="007940C0">
        <w:rPr>
          <w:rFonts w:cs="Arial"/>
          <w:szCs w:val="22"/>
        </w:rPr>
        <w:t>Destaca-se o alcance do objetivo traçado</w:t>
      </w:r>
      <w:r w:rsidR="00F7556C">
        <w:rPr>
          <w:rFonts w:cs="Arial"/>
          <w:szCs w:val="22"/>
        </w:rPr>
        <w:t>,</w:t>
      </w:r>
      <w:r w:rsidRPr="007940C0">
        <w:rPr>
          <w:rFonts w:cs="Arial"/>
          <w:szCs w:val="22"/>
        </w:rPr>
        <w:t xml:space="preserve"> visto que os acadêmicos analisados possuem um conhecimento superficial </w:t>
      </w:r>
      <w:r w:rsidR="00F7556C">
        <w:rPr>
          <w:rFonts w:cs="Arial"/>
          <w:szCs w:val="22"/>
        </w:rPr>
        <w:t xml:space="preserve">sobre </w:t>
      </w:r>
      <w:r w:rsidRPr="007940C0">
        <w:rPr>
          <w:rFonts w:cs="Arial"/>
          <w:szCs w:val="22"/>
        </w:rPr>
        <w:t>a tributação com base no Lucro Presumido e no Anexo V</w:t>
      </w:r>
      <w:r w:rsidR="00F7556C">
        <w:rPr>
          <w:rFonts w:cs="Arial"/>
          <w:szCs w:val="22"/>
        </w:rPr>
        <w:t>I</w:t>
      </w:r>
      <w:r w:rsidRPr="007940C0">
        <w:rPr>
          <w:rFonts w:cs="Arial"/>
          <w:szCs w:val="22"/>
        </w:rPr>
        <w:t xml:space="preserve"> do Simples Nacional</w:t>
      </w:r>
      <w:r w:rsidR="00F7556C">
        <w:rPr>
          <w:rFonts w:cs="Arial"/>
          <w:szCs w:val="22"/>
        </w:rPr>
        <w:t>,</w:t>
      </w:r>
      <w:r w:rsidRPr="007940C0">
        <w:rPr>
          <w:rFonts w:cs="Arial"/>
          <w:szCs w:val="22"/>
        </w:rPr>
        <w:t xml:space="preserve"> </w:t>
      </w:r>
      <w:r w:rsidR="00B51C63">
        <w:rPr>
          <w:rFonts w:cs="Arial"/>
          <w:szCs w:val="22"/>
        </w:rPr>
        <w:t>visto</w:t>
      </w:r>
      <w:r w:rsidR="00B51C63" w:rsidRPr="007940C0">
        <w:rPr>
          <w:rFonts w:cs="Arial"/>
          <w:szCs w:val="22"/>
        </w:rPr>
        <w:t xml:space="preserve"> </w:t>
      </w:r>
      <w:r w:rsidRPr="007940C0">
        <w:rPr>
          <w:rFonts w:cs="Arial"/>
          <w:szCs w:val="22"/>
        </w:rPr>
        <w:t xml:space="preserve">tenderam há respostas neutras </w:t>
      </w:r>
      <w:r w:rsidR="00B51C63">
        <w:rPr>
          <w:rFonts w:cs="Arial"/>
          <w:szCs w:val="22"/>
        </w:rPr>
        <w:t>quando</w:t>
      </w:r>
      <w:r w:rsidR="00B51C63" w:rsidRPr="007940C0">
        <w:rPr>
          <w:rFonts w:cs="Arial"/>
          <w:szCs w:val="22"/>
        </w:rPr>
        <w:t xml:space="preserve"> </w:t>
      </w:r>
      <w:r w:rsidRPr="007940C0">
        <w:rPr>
          <w:rFonts w:cs="Arial"/>
          <w:szCs w:val="22"/>
        </w:rPr>
        <w:t xml:space="preserve">questionados especificamente </w:t>
      </w:r>
      <w:r w:rsidR="00B51C63">
        <w:rPr>
          <w:rFonts w:cs="Arial"/>
          <w:szCs w:val="22"/>
        </w:rPr>
        <w:t xml:space="preserve">sobre </w:t>
      </w:r>
      <w:r w:rsidRPr="007940C0">
        <w:rPr>
          <w:rFonts w:cs="Arial"/>
          <w:szCs w:val="22"/>
        </w:rPr>
        <w:t>às diferenças e determinantes da escolha entre as duas possibilidades tributárias. Nota-se, também, a percepção de insegurança na tomada de decisão e discussão sobre temas relacionados a diferenças nas formas de tributação abordadas, qual sejam Simples Nacional e Lucro Presumido.</w:t>
      </w:r>
    </w:p>
    <w:p w14:paraId="6215D50F" w14:textId="15011568" w:rsidR="006A5420" w:rsidRPr="007940C0" w:rsidRDefault="006A5420" w:rsidP="006A5420">
      <w:pPr>
        <w:autoSpaceDE w:val="0"/>
        <w:autoSpaceDN w:val="0"/>
        <w:adjustRightInd w:val="0"/>
        <w:spacing w:line="360" w:lineRule="auto"/>
        <w:ind w:firstLine="851"/>
        <w:rPr>
          <w:rFonts w:cs="Arial"/>
          <w:szCs w:val="22"/>
        </w:rPr>
      </w:pPr>
      <w:r w:rsidRPr="007940C0">
        <w:rPr>
          <w:rFonts w:cs="Arial"/>
          <w:szCs w:val="22"/>
        </w:rPr>
        <w:t>Na análise da diferença entre médias das instituições Federal e Municipal, entre os turnos de estudo na instituição Federal nos turnos de toda a mostra, quais sejam Noturno e Matutino, revela-se que não há diferenças estatisticamente significativas entre as médias analisadas</w:t>
      </w:r>
      <w:r w:rsidR="00020EBE">
        <w:rPr>
          <w:rFonts w:cs="Arial"/>
          <w:szCs w:val="22"/>
        </w:rPr>
        <w:t>.</w:t>
      </w:r>
      <w:r w:rsidR="00AF5E4A">
        <w:rPr>
          <w:rFonts w:cs="Arial"/>
          <w:szCs w:val="22"/>
        </w:rPr>
        <w:t xml:space="preserve"> </w:t>
      </w:r>
      <w:r w:rsidR="00020EBE">
        <w:rPr>
          <w:rFonts w:cs="Arial"/>
          <w:szCs w:val="22"/>
        </w:rPr>
        <w:t xml:space="preserve">O resultado </w:t>
      </w:r>
      <w:r w:rsidR="00AF5E4A">
        <w:rPr>
          <w:rFonts w:cs="Arial"/>
          <w:szCs w:val="22"/>
        </w:rPr>
        <w:t xml:space="preserve">sugeri que não há diferença </w:t>
      </w:r>
      <w:r w:rsidR="0052719C">
        <w:rPr>
          <w:rFonts w:cs="Arial"/>
        </w:rPr>
        <w:t>quanto</w:t>
      </w:r>
      <w:r w:rsidR="00AF5E4A" w:rsidRPr="006E4060">
        <w:rPr>
          <w:rFonts w:cs="Arial"/>
        </w:rPr>
        <w:t xml:space="preserve"> aos aspectos tributários do anexo VI do Simples Nacional frente ao Lucro Presumido</w:t>
      </w:r>
      <w:r w:rsidR="00A973C3">
        <w:rPr>
          <w:rFonts w:cs="Arial"/>
        </w:rPr>
        <w:t xml:space="preserve"> do</w:t>
      </w:r>
      <w:r w:rsidR="0052719C">
        <w:rPr>
          <w:rFonts w:cs="Arial"/>
        </w:rPr>
        <w:t>s</w:t>
      </w:r>
      <w:r w:rsidR="00A973C3">
        <w:rPr>
          <w:rFonts w:cs="Arial"/>
        </w:rPr>
        <w:t xml:space="preserve"> aluno</w:t>
      </w:r>
      <w:r w:rsidR="0052719C">
        <w:rPr>
          <w:rFonts w:cs="Arial"/>
        </w:rPr>
        <w:t>s</w:t>
      </w:r>
      <w:r w:rsidR="00A973C3">
        <w:rPr>
          <w:rFonts w:cs="Arial"/>
        </w:rPr>
        <w:t xml:space="preserve"> matriculado</w:t>
      </w:r>
      <w:r w:rsidR="0052719C">
        <w:rPr>
          <w:rFonts w:cs="Arial"/>
        </w:rPr>
        <w:t>s</w:t>
      </w:r>
      <w:r w:rsidR="00A973C3">
        <w:rPr>
          <w:rFonts w:cs="Arial"/>
        </w:rPr>
        <w:t xml:space="preserve"> no</w:t>
      </w:r>
      <w:r w:rsidR="0052719C">
        <w:rPr>
          <w:rFonts w:cs="Arial"/>
        </w:rPr>
        <w:t>s</w:t>
      </w:r>
      <w:r w:rsidR="00A973C3">
        <w:rPr>
          <w:rFonts w:cs="Arial"/>
        </w:rPr>
        <w:t xml:space="preserve"> turno</w:t>
      </w:r>
      <w:r w:rsidR="0052719C">
        <w:rPr>
          <w:rFonts w:cs="Arial"/>
        </w:rPr>
        <w:t>s</w:t>
      </w:r>
      <w:r w:rsidR="00A973C3">
        <w:rPr>
          <w:rFonts w:cs="Arial"/>
        </w:rPr>
        <w:t xml:space="preserve"> Matutino e Noturno.</w:t>
      </w:r>
    </w:p>
    <w:p w14:paraId="7A9B7A49" w14:textId="77777777" w:rsidR="006A5420" w:rsidRPr="007940C0" w:rsidRDefault="006A5420" w:rsidP="006A5420">
      <w:pPr>
        <w:autoSpaceDE w:val="0"/>
        <w:autoSpaceDN w:val="0"/>
        <w:adjustRightInd w:val="0"/>
        <w:spacing w:line="360" w:lineRule="auto"/>
        <w:ind w:firstLine="851"/>
        <w:rPr>
          <w:rFonts w:cs="Arial"/>
          <w:szCs w:val="22"/>
        </w:rPr>
      </w:pPr>
      <w:r w:rsidRPr="007940C0">
        <w:rPr>
          <w:rFonts w:cs="Arial"/>
          <w:szCs w:val="22"/>
        </w:rPr>
        <w:lastRenderedPageBreak/>
        <w:t xml:space="preserve">Destaca-se como limitações de pesquisas: amostra determinada por acessibilidade, utilização da escala </w:t>
      </w:r>
      <w:r w:rsidRPr="007940C0">
        <w:rPr>
          <w:rFonts w:cs="Arial"/>
          <w:i/>
          <w:szCs w:val="22"/>
        </w:rPr>
        <w:t xml:space="preserve">Likert </w:t>
      </w:r>
      <w:r w:rsidRPr="007940C0">
        <w:rPr>
          <w:rFonts w:cs="Arial"/>
          <w:szCs w:val="22"/>
        </w:rPr>
        <w:t>de 7 pontos, visto a objetividade ou subjetividade no entendimento do instrumento de pesquisa e das questões elaboradas e os métodos estatísticos utilizados para análise dos dados. Ressalta-se, com base nas determinações metodológicas e no objetivo da pesquisa, optou-se pela análise realizada dentre outras possibilidades de utilização de outros métodos disponíveis na literatura contemporânea.</w:t>
      </w:r>
    </w:p>
    <w:p w14:paraId="39AF3A8E" w14:textId="1EFD7B96" w:rsidR="006A5420" w:rsidRPr="007940C0" w:rsidRDefault="006A5420" w:rsidP="006A5420">
      <w:pPr>
        <w:autoSpaceDE w:val="0"/>
        <w:autoSpaceDN w:val="0"/>
        <w:adjustRightInd w:val="0"/>
        <w:spacing w:line="360" w:lineRule="auto"/>
        <w:ind w:firstLine="851"/>
        <w:rPr>
          <w:rFonts w:cs="Arial"/>
          <w:szCs w:val="22"/>
        </w:rPr>
      </w:pPr>
      <w:r w:rsidRPr="007940C0">
        <w:rPr>
          <w:rFonts w:cs="Arial"/>
          <w:szCs w:val="22"/>
        </w:rPr>
        <w:t xml:space="preserve">Como oportunidade de pesquisa futura recomenda-se a aplicação da pesquisa em instituições Privadas da </w:t>
      </w:r>
      <w:r w:rsidR="002E7C77">
        <w:rPr>
          <w:rFonts w:cs="Arial"/>
          <w:szCs w:val="22"/>
        </w:rPr>
        <w:t>R</w:t>
      </w:r>
      <w:r w:rsidRPr="007940C0">
        <w:rPr>
          <w:rFonts w:cs="Arial"/>
          <w:szCs w:val="22"/>
        </w:rPr>
        <w:t xml:space="preserve">egião </w:t>
      </w:r>
      <w:r w:rsidR="002E7C77">
        <w:rPr>
          <w:rFonts w:cs="Arial"/>
          <w:szCs w:val="22"/>
        </w:rPr>
        <w:t>M</w:t>
      </w:r>
      <w:r w:rsidRPr="007940C0">
        <w:rPr>
          <w:rFonts w:cs="Arial"/>
          <w:szCs w:val="22"/>
        </w:rPr>
        <w:t xml:space="preserve">etropolitana da Grande Florianópolis e em instituições Federais, Municipais e Privadas de outras regiões e estados brasileiros, com intuito de comparar os achados. </w:t>
      </w:r>
    </w:p>
    <w:p w14:paraId="12663321" w14:textId="71615AE3" w:rsidR="006A5420" w:rsidRPr="007940C0" w:rsidRDefault="006A5420" w:rsidP="006A5420">
      <w:pPr>
        <w:autoSpaceDE w:val="0"/>
        <w:autoSpaceDN w:val="0"/>
        <w:adjustRightInd w:val="0"/>
        <w:spacing w:line="360" w:lineRule="auto"/>
        <w:ind w:firstLine="851"/>
        <w:rPr>
          <w:rFonts w:cs="Arial"/>
          <w:b/>
          <w:szCs w:val="22"/>
        </w:rPr>
      </w:pPr>
      <w:r w:rsidRPr="007940C0">
        <w:rPr>
          <w:rFonts w:cs="Arial"/>
          <w:szCs w:val="22"/>
        </w:rPr>
        <w:t>Adicionalmente ressalta-se como oportunidade de pesquisa</w:t>
      </w:r>
      <w:r w:rsidR="00023570">
        <w:rPr>
          <w:rFonts w:cs="Arial"/>
          <w:szCs w:val="22"/>
        </w:rPr>
        <w:t>,</w:t>
      </w:r>
      <w:r w:rsidRPr="007940C0">
        <w:rPr>
          <w:rFonts w:cs="Arial"/>
          <w:szCs w:val="22"/>
        </w:rPr>
        <w:t xml:space="preserve"> identificar os determinantes da tendência dos acadêmicos permanecerem neutros nas questões relacionadas a diferenças na forma de tributação das organizações</w:t>
      </w:r>
      <w:r w:rsidR="00023570">
        <w:rPr>
          <w:rFonts w:cs="Arial"/>
          <w:szCs w:val="22"/>
        </w:rPr>
        <w:t xml:space="preserve"> e </w:t>
      </w:r>
      <w:r w:rsidRPr="007940C0">
        <w:rPr>
          <w:rFonts w:cs="Arial"/>
          <w:szCs w:val="22"/>
        </w:rPr>
        <w:t>identificar os determinantes da percepção de insegurança na tomada de decisão e discussão sobre temas relacionados a diferenças nas formas de tributação.</w:t>
      </w:r>
    </w:p>
    <w:p w14:paraId="6FAE7AA5" w14:textId="792BAC04" w:rsidR="00E24E18" w:rsidRDefault="00E24E18" w:rsidP="002056D7">
      <w:pPr>
        <w:rPr>
          <w:rFonts w:cs="Arial"/>
          <w:szCs w:val="22"/>
        </w:rPr>
      </w:pPr>
    </w:p>
    <w:p w14:paraId="60E6BF30" w14:textId="77777777" w:rsidR="001370F5" w:rsidRPr="007940C0" w:rsidRDefault="001370F5" w:rsidP="002056D7">
      <w:pPr>
        <w:rPr>
          <w:rFonts w:cs="Arial"/>
          <w:szCs w:val="22"/>
        </w:rPr>
      </w:pPr>
    </w:p>
    <w:p w14:paraId="13062C25" w14:textId="77777777" w:rsidR="00E24E18" w:rsidRPr="007940C0" w:rsidRDefault="00E24E18" w:rsidP="00E24E18">
      <w:pPr>
        <w:pStyle w:val="Ttulo1"/>
        <w:numPr>
          <w:ilvl w:val="0"/>
          <w:numId w:val="0"/>
        </w:numPr>
        <w:spacing w:before="0" w:after="0"/>
        <w:jc w:val="center"/>
        <w:rPr>
          <w:rFonts w:cs="Arial"/>
          <w:szCs w:val="22"/>
        </w:rPr>
      </w:pPr>
      <w:r w:rsidRPr="007940C0">
        <w:rPr>
          <w:rFonts w:cs="Arial"/>
          <w:szCs w:val="22"/>
        </w:rPr>
        <w:t>REFERÊNCIAS</w:t>
      </w:r>
    </w:p>
    <w:p w14:paraId="25713949" w14:textId="77777777" w:rsidR="006A5420" w:rsidRPr="007940C0" w:rsidRDefault="006A5420" w:rsidP="006A5420">
      <w:pPr>
        <w:rPr>
          <w:lang w:val="x-none" w:eastAsia="x-none"/>
        </w:rPr>
      </w:pPr>
    </w:p>
    <w:p w14:paraId="4C224320" w14:textId="67E6E0DE" w:rsidR="006A5420" w:rsidRPr="007940C0" w:rsidRDefault="006A5420" w:rsidP="006A5420">
      <w:pPr>
        <w:ind w:firstLine="0"/>
        <w:rPr>
          <w:rFonts w:cs="Arial"/>
          <w:szCs w:val="22"/>
        </w:rPr>
      </w:pPr>
      <w:r w:rsidRPr="007940C0">
        <w:rPr>
          <w:rFonts w:cs="Arial"/>
          <w:szCs w:val="22"/>
        </w:rPr>
        <w:t xml:space="preserve">BARROS, L.A.M. </w:t>
      </w:r>
      <w:r w:rsidRPr="007940C0">
        <w:rPr>
          <w:rFonts w:cs="Arial"/>
          <w:b/>
          <w:szCs w:val="22"/>
        </w:rPr>
        <w:t>Planejamento tributário da microempresa e empresas de pequeno porte. In: Portal da Classe Contábil</w:t>
      </w:r>
      <w:r w:rsidRPr="007940C0">
        <w:rPr>
          <w:rFonts w:cs="Arial"/>
          <w:szCs w:val="22"/>
        </w:rPr>
        <w:t>. 2007. Disponível em: &lt;</w:t>
      </w:r>
      <w:hyperlink r:id="rId15" w:history="1">
        <w:r w:rsidRPr="007940C0">
          <w:rPr>
            <w:rStyle w:val="Hyperlink"/>
            <w:rFonts w:cs="Arial"/>
            <w:color w:val="auto"/>
            <w:szCs w:val="22"/>
            <w:u w:val="none"/>
          </w:rPr>
          <w:t>http://www.classecontabil.com.br/artigos/planejamento-tributario-da-microempresa-e-empresas-de-pequeno-porte</w:t>
        </w:r>
      </w:hyperlink>
      <w:r w:rsidR="00FE22AC" w:rsidRPr="007940C0">
        <w:rPr>
          <w:rFonts w:cs="Arial"/>
          <w:szCs w:val="22"/>
        </w:rPr>
        <w:t xml:space="preserve">&gt; Acesso em 27 de Maio. </w:t>
      </w:r>
      <w:r w:rsidRPr="007940C0">
        <w:rPr>
          <w:rFonts w:cs="Arial"/>
          <w:szCs w:val="22"/>
        </w:rPr>
        <w:t>2017.</w:t>
      </w:r>
    </w:p>
    <w:p w14:paraId="59760EBF" w14:textId="77777777" w:rsidR="006A5420" w:rsidRPr="007940C0" w:rsidRDefault="006A5420" w:rsidP="006A5420">
      <w:pPr>
        <w:autoSpaceDE w:val="0"/>
        <w:autoSpaceDN w:val="0"/>
        <w:adjustRightInd w:val="0"/>
        <w:ind w:firstLine="0"/>
        <w:rPr>
          <w:rFonts w:cs="Arial"/>
          <w:bCs/>
          <w:szCs w:val="22"/>
        </w:rPr>
      </w:pPr>
    </w:p>
    <w:p w14:paraId="21209359" w14:textId="77777777" w:rsidR="006A5420" w:rsidRPr="007940C0" w:rsidRDefault="006A5420" w:rsidP="006A5420">
      <w:pPr>
        <w:autoSpaceDE w:val="0"/>
        <w:autoSpaceDN w:val="0"/>
        <w:adjustRightInd w:val="0"/>
        <w:ind w:firstLine="0"/>
        <w:rPr>
          <w:rFonts w:cs="Arial"/>
          <w:szCs w:val="22"/>
        </w:rPr>
      </w:pPr>
      <w:r w:rsidRPr="007940C0">
        <w:rPr>
          <w:rFonts w:cs="Arial"/>
          <w:bCs/>
          <w:szCs w:val="22"/>
        </w:rPr>
        <w:t xml:space="preserve">BRASIL. </w:t>
      </w:r>
      <w:r w:rsidRPr="007940C0">
        <w:rPr>
          <w:rFonts w:cs="Arial"/>
          <w:b/>
          <w:bCs/>
          <w:szCs w:val="22"/>
        </w:rPr>
        <w:t xml:space="preserve">Decreto nº 3000, </w:t>
      </w:r>
      <w:r w:rsidRPr="007940C0">
        <w:rPr>
          <w:rFonts w:cs="Arial"/>
          <w:b/>
          <w:szCs w:val="22"/>
        </w:rPr>
        <w:t>de 26 de março de 1999</w:t>
      </w:r>
      <w:r w:rsidRPr="007940C0">
        <w:rPr>
          <w:rFonts w:cs="Arial"/>
          <w:szCs w:val="22"/>
        </w:rPr>
        <w:t>. Regulamenta a tributação, fiscalização, arrecadação e administração do Imposto de Renda e proventos de qualquer natureza Disponível em: &lt;http://www.planalto.gov.br/ccivil_03/decreto/d3000.htm&gt;. Acesso em: 26 de Maio. 2017.</w:t>
      </w:r>
    </w:p>
    <w:p w14:paraId="79C18EA0" w14:textId="77777777" w:rsidR="006A5420" w:rsidRPr="007940C0" w:rsidRDefault="006A5420" w:rsidP="006A5420">
      <w:pPr>
        <w:autoSpaceDE w:val="0"/>
        <w:autoSpaceDN w:val="0"/>
        <w:adjustRightInd w:val="0"/>
        <w:ind w:firstLine="0"/>
        <w:rPr>
          <w:rFonts w:cs="Arial"/>
          <w:bCs/>
          <w:szCs w:val="22"/>
        </w:rPr>
      </w:pPr>
    </w:p>
    <w:p w14:paraId="11899367" w14:textId="77777777" w:rsidR="006A5420" w:rsidRPr="007940C0" w:rsidRDefault="006A5420" w:rsidP="006A5420">
      <w:pPr>
        <w:autoSpaceDE w:val="0"/>
        <w:autoSpaceDN w:val="0"/>
        <w:adjustRightInd w:val="0"/>
        <w:ind w:firstLine="0"/>
        <w:rPr>
          <w:rFonts w:cs="Arial"/>
          <w:szCs w:val="22"/>
        </w:rPr>
      </w:pPr>
      <w:r w:rsidRPr="007940C0">
        <w:rPr>
          <w:rFonts w:cs="Arial"/>
          <w:bCs/>
          <w:szCs w:val="22"/>
        </w:rPr>
        <w:t xml:space="preserve">_______. </w:t>
      </w:r>
      <w:r w:rsidRPr="007940C0">
        <w:rPr>
          <w:rFonts w:cs="Arial"/>
          <w:b/>
          <w:bCs/>
          <w:szCs w:val="22"/>
        </w:rPr>
        <w:t xml:space="preserve">Lei Complementar nº 123, </w:t>
      </w:r>
      <w:r w:rsidRPr="007940C0">
        <w:rPr>
          <w:rFonts w:cs="Arial"/>
          <w:b/>
          <w:szCs w:val="22"/>
        </w:rPr>
        <w:t>de 14 de dezembro de 2006</w:t>
      </w:r>
      <w:r w:rsidRPr="007940C0">
        <w:rPr>
          <w:rFonts w:cs="Arial"/>
          <w:szCs w:val="22"/>
        </w:rPr>
        <w:t>. Institui o Estatuto Nacional da Microempresa e da Empresa de Pequeno Porte; altera dispositivos das Leis nº 8.323 e 8.213, ambas de 24 de julho de 1991, da Consolidação das Leis do Trabalho – CLT, aprovada pelo Decreto-Lei nº 5.452, de 1º de maio de 1943, da Lei nº 10.189, de 14 de fevereiro de 2001, da Lei Complementar nº 63, de 11 de janeiro de 1990; e revoga as Leis nº 9.317, de 5 de dezembro de 1996, e 9.841, de 5 de outubro de 1999. Disponível em: &lt;http://www.planalto.gov.br/ccivil_03/leis/LCP/Lcp123.htm&gt;. Acesso em: 27 Maio 2017.</w:t>
      </w:r>
    </w:p>
    <w:p w14:paraId="65E892E2" w14:textId="77777777" w:rsidR="006A5420" w:rsidRPr="007940C0" w:rsidRDefault="006A5420" w:rsidP="006A5420">
      <w:pPr>
        <w:autoSpaceDE w:val="0"/>
        <w:autoSpaceDN w:val="0"/>
        <w:adjustRightInd w:val="0"/>
        <w:ind w:firstLine="0"/>
        <w:rPr>
          <w:rFonts w:cs="Arial"/>
          <w:szCs w:val="22"/>
        </w:rPr>
      </w:pPr>
    </w:p>
    <w:p w14:paraId="2657D859" w14:textId="77777777" w:rsidR="006A5420" w:rsidRPr="007940C0" w:rsidRDefault="006A5420" w:rsidP="006A5420">
      <w:pPr>
        <w:autoSpaceDE w:val="0"/>
        <w:autoSpaceDN w:val="0"/>
        <w:adjustRightInd w:val="0"/>
        <w:ind w:firstLine="0"/>
        <w:rPr>
          <w:rFonts w:cs="Arial"/>
          <w:szCs w:val="22"/>
        </w:rPr>
      </w:pPr>
      <w:r w:rsidRPr="007940C0">
        <w:rPr>
          <w:rFonts w:cs="Arial"/>
          <w:bCs/>
          <w:szCs w:val="22"/>
        </w:rPr>
        <w:t>_______.</w:t>
      </w:r>
      <w:r w:rsidRPr="007940C0">
        <w:rPr>
          <w:rFonts w:cs="Arial"/>
          <w:b/>
          <w:bCs/>
          <w:szCs w:val="22"/>
        </w:rPr>
        <w:t xml:space="preserve"> Lei Complementar nº 147, </w:t>
      </w:r>
      <w:r w:rsidRPr="007940C0">
        <w:rPr>
          <w:rFonts w:cs="Arial"/>
          <w:b/>
          <w:szCs w:val="22"/>
        </w:rPr>
        <w:t>de 7 de agosto de 2014</w:t>
      </w:r>
      <w:r w:rsidRPr="007940C0">
        <w:rPr>
          <w:rFonts w:cs="Arial"/>
          <w:szCs w:val="22"/>
        </w:rPr>
        <w:t xml:space="preserve">. Altera a Lei Complementar nº </w:t>
      </w:r>
      <w:r w:rsidRPr="007940C0">
        <w:rPr>
          <w:rFonts w:cs="Arial"/>
          <w:szCs w:val="22"/>
        </w:rPr>
        <w:lastRenderedPageBreak/>
        <w:t>123, de 14 de dezembro de 2006, e as Leis nº 5.889, de 8 de junho de 1973, 11.101, de 9 de fevereiro de 2005, 9.099, de 26 de setembro de 1995, 11.598, de 3 de dezembro de 2007, e 8.666, de 21 de junho de 1993, e dá outras providências. Disponível em: &lt;http://www.planalto.gov.br/ccivil_03/leis/LCP/Lcp147.htm&gt;. Acesso em: 27 Maio 2017.</w:t>
      </w:r>
    </w:p>
    <w:p w14:paraId="1313858F" w14:textId="77777777" w:rsidR="006A5420" w:rsidRPr="007940C0" w:rsidRDefault="006A5420" w:rsidP="006A5420">
      <w:pPr>
        <w:autoSpaceDE w:val="0"/>
        <w:autoSpaceDN w:val="0"/>
        <w:adjustRightInd w:val="0"/>
        <w:ind w:firstLine="0"/>
        <w:rPr>
          <w:rFonts w:cs="Arial"/>
          <w:bCs/>
          <w:szCs w:val="22"/>
        </w:rPr>
      </w:pPr>
    </w:p>
    <w:p w14:paraId="6EF76D67" w14:textId="77777777" w:rsidR="006A5420" w:rsidRPr="007940C0" w:rsidRDefault="006A5420" w:rsidP="006A5420">
      <w:pPr>
        <w:autoSpaceDE w:val="0"/>
        <w:autoSpaceDN w:val="0"/>
        <w:adjustRightInd w:val="0"/>
        <w:ind w:firstLine="0"/>
        <w:rPr>
          <w:rFonts w:cs="Arial"/>
          <w:szCs w:val="22"/>
        </w:rPr>
      </w:pPr>
      <w:r w:rsidRPr="007940C0">
        <w:rPr>
          <w:rFonts w:cs="Arial"/>
          <w:bCs/>
          <w:szCs w:val="22"/>
        </w:rPr>
        <w:t xml:space="preserve">_______. </w:t>
      </w:r>
      <w:r w:rsidRPr="007940C0">
        <w:rPr>
          <w:rFonts w:cs="Arial"/>
          <w:b/>
          <w:bCs/>
          <w:szCs w:val="22"/>
        </w:rPr>
        <w:t xml:space="preserve">Lei nº 9.718, </w:t>
      </w:r>
      <w:r w:rsidRPr="007940C0">
        <w:rPr>
          <w:rFonts w:cs="Arial"/>
          <w:b/>
          <w:szCs w:val="22"/>
        </w:rPr>
        <w:t>de 27 de novembro de 1998</w:t>
      </w:r>
      <w:r w:rsidRPr="007940C0">
        <w:rPr>
          <w:rFonts w:cs="Arial"/>
          <w:szCs w:val="22"/>
        </w:rPr>
        <w:t>. Altera a Legislação Tributária Federal Disponível em: &lt;http://www.planalto.gov.br/ccivil_03/leis/L9718compilada.htm&gt;. Acesso em: 27 Maio 2017.</w:t>
      </w:r>
    </w:p>
    <w:p w14:paraId="252CF9F0" w14:textId="77777777" w:rsidR="006A5420" w:rsidRPr="007940C0" w:rsidRDefault="006A5420" w:rsidP="006A5420">
      <w:pPr>
        <w:autoSpaceDE w:val="0"/>
        <w:autoSpaceDN w:val="0"/>
        <w:adjustRightInd w:val="0"/>
        <w:ind w:firstLine="0"/>
        <w:rPr>
          <w:rFonts w:cs="Arial"/>
          <w:bCs/>
          <w:szCs w:val="22"/>
        </w:rPr>
      </w:pPr>
    </w:p>
    <w:p w14:paraId="497D26DB" w14:textId="77777777" w:rsidR="006A5420" w:rsidRPr="007940C0" w:rsidRDefault="006A5420" w:rsidP="006A5420">
      <w:pPr>
        <w:autoSpaceDE w:val="0"/>
        <w:autoSpaceDN w:val="0"/>
        <w:adjustRightInd w:val="0"/>
        <w:ind w:firstLine="0"/>
        <w:rPr>
          <w:rFonts w:cs="Arial"/>
          <w:szCs w:val="22"/>
        </w:rPr>
      </w:pPr>
      <w:r w:rsidRPr="007940C0">
        <w:rPr>
          <w:rFonts w:cs="Arial"/>
          <w:bCs/>
          <w:szCs w:val="22"/>
        </w:rPr>
        <w:t xml:space="preserve">_______. </w:t>
      </w:r>
      <w:r w:rsidRPr="007940C0">
        <w:rPr>
          <w:rFonts w:cs="Arial"/>
          <w:b/>
          <w:bCs/>
          <w:szCs w:val="22"/>
        </w:rPr>
        <w:t xml:space="preserve">Lei Complementar nº 116, </w:t>
      </w:r>
      <w:r w:rsidRPr="007940C0">
        <w:rPr>
          <w:rFonts w:cs="Arial"/>
          <w:b/>
          <w:szCs w:val="22"/>
        </w:rPr>
        <w:t>de 31 de julho de 2003</w:t>
      </w:r>
      <w:r w:rsidRPr="007940C0">
        <w:rPr>
          <w:rFonts w:cs="Arial"/>
          <w:szCs w:val="22"/>
        </w:rPr>
        <w:t>. Dispõe sobre o Imposto Sobre Serviços de Qualquer Natureza, de competência dos Municípios e do Distrito Federal, e dá outras providências. Disponível em: &lt;http://www.planalto.gov.br/ccivil_03/leis/LCP/Lcp116.htm&gt;. Acesso em: 27 Maio. 2017.</w:t>
      </w:r>
    </w:p>
    <w:p w14:paraId="6D90F7B9" w14:textId="77777777" w:rsidR="00DB482E" w:rsidRPr="007940C0" w:rsidRDefault="00DB482E" w:rsidP="006A5420">
      <w:pPr>
        <w:autoSpaceDE w:val="0"/>
        <w:autoSpaceDN w:val="0"/>
        <w:adjustRightInd w:val="0"/>
        <w:ind w:firstLine="0"/>
        <w:rPr>
          <w:rFonts w:cs="Arial"/>
          <w:szCs w:val="22"/>
        </w:rPr>
      </w:pPr>
    </w:p>
    <w:p w14:paraId="6D7C724F" w14:textId="7ADECC72" w:rsidR="00DB482E" w:rsidRPr="007940C0" w:rsidRDefault="00DB482E" w:rsidP="006A5420">
      <w:pPr>
        <w:autoSpaceDE w:val="0"/>
        <w:autoSpaceDN w:val="0"/>
        <w:adjustRightInd w:val="0"/>
        <w:ind w:firstLine="0"/>
        <w:rPr>
          <w:rFonts w:cs="Arial"/>
          <w:szCs w:val="22"/>
        </w:rPr>
      </w:pPr>
      <w:r w:rsidRPr="007940C0">
        <w:t xml:space="preserve">Cardoso, J. L., Souza, M. A., &amp; Almeida, L. B. (2006). Perfil do contador na atualidade: um estudo exploratório. BASE – Revista de Administração e Contabilidade da </w:t>
      </w:r>
      <w:proofErr w:type="spellStart"/>
      <w:r w:rsidRPr="007940C0">
        <w:t>Unisinos</w:t>
      </w:r>
      <w:proofErr w:type="spellEnd"/>
      <w:r w:rsidRPr="007940C0">
        <w:t>, 3(4), 275-284.</w:t>
      </w:r>
    </w:p>
    <w:p w14:paraId="61488203" w14:textId="77777777" w:rsidR="006A5420" w:rsidRPr="007940C0" w:rsidRDefault="006A5420" w:rsidP="006A5420">
      <w:pPr>
        <w:ind w:firstLine="0"/>
        <w:rPr>
          <w:rFonts w:cs="Arial"/>
          <w:szCs w:val="22"/>
        </w:rPr>
      </w:pPr>
    </w:p>
    <w:p w14:paraId="35B0A0DB" w14:textId="77777777" w:rsidR="006A5420" w:rsidRPr="007940C0" w:rsidRDefault="006A5420" w:rsidP="006A5420">
      <w:pPr>
        <w:ind w:firstLine="0"/>
        <w:rPr>
          <w:rFonts w:cs="Arial"/>
          <w:szCs w:val="22"/>
        </w:rPr>
      </w:pPr>
      <w:r w:rsidRPr="007940C0">
        <w:rPr>
          <w:rFonts w:cs="Arial"/>
          <w:szCs w:val="22"/>
        </w:rPr>
        <w:t xml:space="preserve">CASTRO, F. A. V.; OLIVEIRA NETO, A. M.; SOUZA JUNIOR, A. A. L.; SOUSA FILHO, R. C. </w:t>
      </w:r>
      <w:r w:rsidRPr="007940C0">
        <w:rPr>
          <w:rFonts w:cs="Arial"/>
          <w:b/>
          <w:szCs w:val="22"/>
        </w:rPr>
        <w:t>Gestão e planejamento de tributos</w:t>
      </w:r>
      <w:r w:rsidRPr="007940C0">
        <w:rPr>
          <w:rFonts w:cs="Arial"/>
          <w:szCs w:val="22"/>
        </w:rPr>
        <w:t>. Rio de Janeiro: FGV, 2007.</w:t>
      </w:r>
    </w:p>
    <w:p w14:paraId="5417BD63" w14:textId="77777777" w:rsidR="006A5420" w:rsidRPr="007940C0" w:rsidRDefault="006A5420" w:rsidP="006A5420">
      <w:pPr>
        <w:ind w:firstLine="0"/>
        <w:rPr>
          <w:rFonts w:cs="Arial"/>
          <w:szCs w:val="22"/>
        </w:rPr>
      </w:pPr>
    </w:p>
    <w:p w14:paraId="2DC951E9" w14:textId="77777777" w:rsidR="006A5420" w:rsidRPr="007940C0" w:rsidRDefault="006A5420" w:rsidP="006A5420">
      <w:pPr>
        <w:ind w:firstLine="0"/>
        <w:rPr>
          <w:rFonts w:cs="Arial"/>
          <w:szCs w:val="22"/>
          <w:lang w:val="en-US"/>
        </w:rPr>
      </w:pPr>
      <w:r w:rsidRPr="007940C0">
        <w:rPr>
          <w:rFonts w:cs="Arial"/>
          <w:szCs w:val="22"/>
        </w:rPr>
        <w:t xml:space="preserve">CERVO, A. L.; BERVIAN, P. A.; SILVA, R. </w:t>
      </w:r>
      <w:r w:rsidRPr="007940C0">
        <w:rPr>
          <w:rFonts w:cs="Arial"/>
          <w:b/>
          <w:iCs/>
          <w:szCs w:val="22"/>
        </w:rPr>
        <w:t>Metodologia científica</w:t>
      </w:r>
      <w:r w:rsidRPr="007940C0">
        <w:rPr>
          <w:rFonts w:cs="Arial"/>
          <w:szCs w:val="22"/>
        </w:rPr>
        <w:t xml:space="preserve">. </w:t>
      </w:r>
      <w:r w:rsidRPr="007940C0">
        <w:rPr>
          <w:rFonts w:cs="Arial"/>
          <w:szCs w:val="22"/>
          <w:lang w:val="en-US"/>
        </w:rPr>
        <w:t xml:space="preserve">6ª. </w:t>
      </w:r>
      <w:proofErr w:type="gramStart"/>
      <w:r w:rsidRPr="007940C0">
        <w:rPr>
          <w:rFonts w:cs="Arial"/>
          <w:szCs w:val="22"/>
          <w:lang w:val="en-US"/>
        </w:rPr>
        <w:t>ed</w:t>
      </w:r>
      <w:proofErr w:type="gramEnd"/>
      <w:r w:rsidRPr="007940C0">
        <w:rPr>
          <w:rFonts w:cs="Arial"/>
          <w:szCs w:val="22"/>
          <w:lang w:val="en-US"/>
        </w:rPr>
        <w:t>. São Paulo, SP: Pearson Prentice Hall, 2007.</w:t>
      </w:r>
    </w:p>
    <w:p w14:paraId="1F583468" w14:textId="77777777" w:rsidR="006A5420" w:rsidRPr="007940C0" w:rsidRDefault="006A5420" w:rsidP="006A5420">
      <w:pPr>
        <w:ind w:firstLine="0"/>
        <w:rPr>
          <w:rFonts w:cs="Arial"/>
          <w:szCs w:val="22"/>
          <w:lang w:val="en-US"/>
        </w:rPr>
      </w:pPr>
    </w:p>
    <w:p w14:paraId="15DF4EAE" w14:textId="77777777" w:rsidR="006A5420" w:rsidRPr="007940C0" w:rsidRDefault="006A5420" w:rsidP="006A5420">
      <w:pPr>
        <w:ind w:firstLine="0"/>
        <w:rPr>
          <w:rFonts w:cs="Arial"/>
          <w:szCs w:val="22"/>
        </w:rPr>
      </w:pPr>
      <w:r w:rsidRPr="007940C0">
        <w:rPr>
          <w:rFonts w:cs="Arial"/>
          <w:szCs w:val="22"/>
        </w:rPr>
        <w:t xml:space="preserve">DOMINGUES, N. M. R. </w:t>
      </w:r>
      <w:r w:rsidRPr="007940C0">
        <w:rPr>
          <w:rFonts w:cs="Arial"/>
          <w:b/>
          <w:szCs w:val="22"/>
        </w:rPr>
        <w:t>Os Reflexos do Planejamento Tributário na Contabilidade</w:t>
      </w:r>
      <w:r w:rsidRPr="007940C0">
        <w:rPr>
          <w:rFonts w:cs="Arial"/>
          <w:szCs w:val="22"/>
        </w:rPr>
        <w:t>. In: CONGRESSO BRASILEIRO DE CONTABILIDADE, XVI. Goiânia: Conselho Federal de Contabilidade, Tema 8: A contabilidade e a tributação, 2000.</w:t>
      </w:r>
    </w:p>
    <w:p w14:paraId="32DA14F8" w14:textId="77777777" w:rsidR="006A5420" w:rsidRPr="007940C0" w:rsidRDefault="006A5420" w:rsidP="006A5420">
      <w:pPr>
        <w:ind w:firstLine="0"/>
        <w:rPr>
          <w:rFonts w:cs="Arial"/>
          <w:szCs w:val="22"/>
        </w:rPr>
      </w:pPr>
    </w:p>
    <w:p w14:paraId="73634AED" w14:textId="77777777" w:rsidR="006A5420" w:rsidRPr="007940C0" w:rsidRDefault="006A5420" w:rsidP="006A5420">
      <w:pPr>
        <w:ind w:firstLine="0"/>
        <w:rPr>
          <w:rFonts w:cs="Arial"/>
          <w:szCs w:val="22"/>
        </w:rPr>
      </w:pPr>
      <w:r w:rsidRPr="007940C0">
        <w:rPr>
          <w:rFonts w:cs="Arial"/>
          <w:szCs w:val="22"/>
        </w:rPr>
        <w:t xml:space="preserve">FABRETTI, L. C. </w:t>
      </w:r>
      <w:r w:rsidRPr="007940C0">
        <w:rPr>
          <w:rFonts w:cs="Arial"/>
          <w:b/>
          <w:bCs/>
          <w:szCs w:val="22"/>
        </w:rPr>
        <w:t>Contabilidade Tributária</w:t>
      </w:r>
      <w:r w:rsidRPr="007940C0">
        <w:rPr>
          <w:rFonts w:cs="Arial"/>
          <w:szCs w:val="22"/>
        </w:rPr>
        <w:t>. 10ª ed. São Paulo: Atlas, 2006.</w:t>
      </w:r>
    </w:p>
    <w:p w14:paraId="433E6853" w14:textId="77777777" w:rsidR="006A5420" w:rsidRPr="007940C0" w:rsidRDefault="006A5420" w:rsidP="006A5420">
      <w:pPr>
        <w:ind w:firstLine="0"/>
        <w:rPr>
          <w:rFonts w:cs="Arial"/>
          <w:szCs w:val="22"/>
        </w:rPr>
      </w:pPr>
    </w:p>
    <w:p w14:paraId="4C35064D" w14:textId="77777777" w:rsidR="006A5420" w:rsidRPr="007940C0" w:rsidRDefault="006A5420" w:rsidP="006A5420">
      <w:pPr>
        <w:ind w:firstLine="0"/>
        <w:rPr>
          <w:rFonts w:cs="Arial"/>
          <w:szCs w:val="22"/>
        </w:rPr>
      </w:pPr>
      <w:r w:rsidRPr="007940C0">
        <w:rPr>
          <w:rFonts w:cs="Arial"/>
          <w:szCs w:val="22"/>
        </w:rPr>
        <w:t xml:space="preserve">FÁVERO, L. P.; BELFIORE, P. </w:t>
      </w:r>
      <w:r w:rsidRPr="007940C0">
        <w:rPr>
          <w:rFonts w:cs="Arial"/>
          <w:b/>
          <w:szCs w:val="22"/>
        </w:rPr>
        <w:t xml:space="preserve">Manual de análise de dados: estatística e modelagem multivariada com Excel, SPSS e </w:t>
      </w:r>
      <w:proofErr w:type="spellStart"/>
      <w:r w:rsidRPr="007940C0">
        <w:rPr>
          <w:rFonts w:cs="Arial"/>
          <w:b/>
          <w:szCs w:val="22"/>
        </w:rPr>
        <w:t>Stata</w:t>
      </w:r>
      <w:proofErr w:type="spellEnd"/>
      <w:r w:rsidRPr="007940C0">
        <w:rPr>
          <w:rFonts w:cs="Arial"/>
          <w:szCs w:val="22"/>
        </w:rPr>
        <w:t xml:space="preserve">. 1. ed. Rio de Janeiro: </w:t>
      </w:r>
      <w:proofErr w:type="spellStart"/>
      <w:r w:rsidRPr="007940C0">
        <w:rPr>
          <w:rFonts w:cs="Arial"/>
          <w:szCs w:val="22"/>
        </w:rPr>
        <w:t>Elsevier</w:t>
      </w:r>
      <w:proofErr w:type="spellEnd"/>
      <w:r w:rsidRPr="007940C0">
        <w:rPr>
          <w:rFonts w:cs="Arial"/>
          <w:szCs w:val="22"/>
        </w:rPr>
        <w:t>, 2017.</w:t>
      </w:r>
    </w:p>
    <w:p w14:paraId="293FA31F" w14:textId="77777777" w:rsidR="006A5420" w:rsidRPr="007940C0" w:rsidRDefault="006A5420" w:rsidP="006A5420">
      <w:pPr>
        <w:ind w:firstLine="0"/>
        <w:rPr>
          <w:rFonts w:cs="Arial"/>
          <w:szCs w:val="22"/>
        </w:rPr>
      </w:pPr>
    </w:p>
    <w:p w14:paraId="0961AC5D" w14:textId="77777777" w:rsidR="006A5420" w:rsidRPr="007940C0" w:rsidRDefault="006A5420" w:rsidP="006A5420">
      <w:pPr>
        <w:autoSpaceDE w:val="0"/>
        <w:autoSpaceDN w:val="0"/>
        <w:adjustRightInd w:val="0"/>
        <w:ind w:firstLine="0"/>
        <w:rPr>
          <w:rFonts w:cs="Arial"/>
          <w:szCs w:val="22"/>
        </w:rPr>
      </w:pPr>
      <w:r w:rsidRPr="007940C0">
        <w:rPr>
          <w:rFonts w:cs="Arial"/>
          <w:szCs w:val="22"/>
        </w:rPr>
        <w:t xml:space="preserve">HAIR JR, J. F.; BABIN, B.; MONEY, A.; SAMOUEL, P. </w:t>
      </w:r>
      <w:r w:rsidRPr="007940C0">
        <w:rPr>
          <w:rFonts w:cs="Arial"/>
          <w:b/>
          <w:bCs/>
          <w:szCs w:val="22"/>
        </w:rPr>
        <w:t>Fundamentos de métodos de pesquisa em administração</w:t>
      </w:r>
      <w:r w:rsidRPr="007940C0">
        <w:rPr>
          <w:rFonts w:cs="Arial"/>
          <w:szCs w:val="22"/>
        </w:rPr>
        <w:t xml:space="preserve">. Porto Alegre: </w:t>
      </w:r>
      <w:proofErr w:type="spellStart"/>
      <w:r w:rsidRPr="007940C0">
        <w:rPr>
          <w:rFonts w:cs="Arial"/>
          <w:szCs w:val="22"/>
        </w:rPr>
        <w:t>Bookman</w:t>
      </w:r>
      <w:proofErr w:type="spellEnd"/>
      <w:r w:rsidRPr="007940C0">
        <w:rPr>
          <w:rFonts w:cs="Arial"/>
          <w:szCs w:val="22"/>
        </w:rPr>
        <w:t>, 2005.</w:t>
      </w:r>
    </w:p>
    <w:p w14:paraId="031E25EF" w14:textId="77777777" w:rsidR="006A5420" w:rsidRPr="007940C0" w:rsidRDefault="006A5420" w:rsidP="006A5420">
      <w:pPr>
        <w:autoSpaceDE w:val="0"/>
        <w:autoSpaceDN w:val="0"/>
        <w:adjustRightInd w:val="0"/>
        <w:ind w:firstLine="0"/>
        <w:rPr>
          <w:rFonts w:cs="Arial"/>
          <w:szCs w:val="22"/>
        </w:rPr>
      </w:pPr>
    </w:p>
    <w:p w14:paraId="36A1F381" w14:textId="77777777" w:rsidR="006A5420" w:rsidRPr="007940C0" w:rsidRDefault="006A5420" w:rsidP="006A5420">
      <w:pPr>
        <w:autoSpaceDE w:val="0"/>
        <w:autoSpaceDN w:val="0"/>
        <w:adjustRightInd w:val="0"/>
        <w:ind w:firstLine="0"/>
        <w:rPr>
          <w:rFonts w:cs="Arial"/>
          <w:szCs w:val="22"/>
        </w:rPr>
      </w:pPr>
      <w:r w:rsidRPr="007940C0">
        <w:rPr>
          <w:rFonts w:cs="Arial"/>
          <w:szCs w:val="22"/>
        </w:rPr>
        <w:t xml:space="preserve">HAIR JR., J. F.; BLACK, W. C.; BABIN, B. J.; ANDERSON, R. E.; TATHAM, R. L. </w:t>
      </w:r>
      <w:r w:rsidRPr="007940C0">
        <w:rPr>
          <w:rFonts w:cs="Arial"/>
          <w:b/>
          <w:bCs/>
          <w:szCs w:val="22"/>
        </w:rPr>
        <w:t>Análise multivariada de dados</w:t>
      </w:r>
      <w:r w:rsidRPr="007940C0">
        <w:rPr>
          <w:rFonts w:cs="Arial"/>
          <w:szCs w:val="22"/>
        </w:rPr>
        <w:t xml:space="preserve">. 6. ed. São Paulo: </w:t>
      </w:r>
      <w:proofErr w:type="spellStart"/>
      <w:r w:rsidRPr="007940C0">
        <w:rPr>
          <w:rFonts w:cs="Arial"/>
          <w:szCs w:val="22"/>
        </w:rPr>
        <w:t>Bookman</w:t>
      </w:r>
      <w:proofErr w:type="spellEnd"/>
      <w:r w:rsidRPr="007940C0">
        <w:rPr>
          <w:rFonts w:cs="Arial"/>
          <w:szCs w:val="22"/>
        </w:rPr>
        <w:t>, 2009.</w:t>
      </w:r>
    </w:p>
    <w:p w14:paraId="7E075FBF" w14:textId="77777777" w:rsidR="006A5420" w:rsidRPr="007940C0" w:rsidRDefault="006A5420" w:rsidP="006A5420">
      <w:pPr>
        <w:ind w:firstLine="0"/>
        <w:rPr>
          <w:rFonts w:cs="Arial"/>
          <w:szCs w:val="22"/>
        </w:rPr>
      </w:pPr>
    </w:p>
    <w:p w14:paraId="7BF128F4" w14:textId="77777777" w:rsidR="006A5420" w:rsidRPr="007940C0" w:rsidRDefault="006A5420" w:rsidP="006A5420">
      <w:pPr>
        <w:ind w:firstLine="0"/>
        <w:rPr>
          <w:rFonts w:cs="Arial"/>
          <w:szCs w:val="22"/>
        </w:rPr>
      </w:pPr>
      <w:r w:rsidRPr="007940C0">
        <w:rPr>
          <w:rFonts w:cs="Arial"/>
          <w:szCs w:val="22"/>
        </w:rPr>
        <w:t xml:space="preserve">HIGUCHI, H.; HIGUCHI, F. H.; HIGUCHI, C. H. </w:t>
      </w:r>
      <w:r w:rsidRPr="007940C0">
        <w:rPr>
          <w:rFonts w:cs="Arial"/>
          <w:b/>
          <w:szCs w:val="22"/>
        </w:rPr>
        <w:t>Imposto de renda das empresas: interpretação e prática</w:t>
      </w:r>
      <w:r w:rsidRPr="007940C0">
        <w:rPr>
          <w:rFonts w:cs="Arial"/>
          <w:szCs w:val="22"/>
        </w:rPr>
        <w:t>. 36. ed. São Paulo: IR Publicações, 2011.</w:t>
      </w:r>
    </w:p>
    <w:p w14:paraId="6DBD2188" w14:textId="77777777" w:rsidR="006A5420" w:rsidRPr="007940C0" w:rsidRDefault="006A5420" w:rsidP="006A5420">
      <w:pPr>
        <w:ind w:firstLine="0"/>
        <w:rPr>
          <w:rFonts w:cs="Arial"/>
          <w:szCs w:val="22"/>
        </w:rPr>
      </w:pPr>
    </w:p>
    <w:p w14:paraId="0BBC5938" w14:textId="77777777" w:rsidR="006A5420" w:rsidRPr="007940C0" w:rsidRDefault="006A5420" w:rsidP="006A5420">
      <w:pPr>
        <w:autoSpaceDE w:val="0"/>
        <w:autoSpaceDN w:val="0"/>
        <w:adjustRightInd w:val="0"/>
        <w:ind w:firstLine="0"/>
        <w:rPr>
          <w:rFonts w:cs="Arial"/>
          <w:szCs w:val="22"/>
        </w:rPr>
      </w:pPr>
      <w:r w:rsidRPr="007940C0">
        <w:rPr>
          <w:rFonts w:cs="Arial"/>
          <w:szCs w:val="22"/>
        </w:rPr>
        <w:t xml:space="preserve">KLEIN, A. Z.; SILVA, L. V.; MACHADO, L.; AZEVEDO, D. </w:t>
      </w:r>
      <w:r w:rsidRPr="007940C0">
        <w:rPr>
          <w:rFonts w:cs="Arial"/>
          <w:b/>
          <w:bCs/>
          <w:iCs/>
          <w:szCs w:val="22"/>
        </w:rPr>
        <w:t>Metodologia de Pesquisa em Administração: Uma Abordagem Prática</w:t>
      </w:r>
      <w:r w:rsidRPr="007940C0">
        <w:rPr>
          <w:rFonts w:cs="Arial"/>
          <w:i/>
          <w:iCs/>
          <w:szCs w:val="22"/>
        </w:rPr>
        <w:t xml:space="preserve">. </w:t>
      </w:r>
      <w:r w:rsidRPr="007940C0">
        <w:rPr>
          <w:rFonts w:cs="Arial"/>
          <w:szCs w:val="22"/>
        </w:rPr>
        <w:t>São Paulo: Atlas, 2015.</w:t>
      </w:r>
    </w:p>
    <w:p w14:paraId="53B761BB" w14:textId="77777777" w:rsidR="006A5420" w:rsidRPr="007940C0" w:rsidRDefault="006A5420" w:rsidP="006A5420">
      <w:pPr>
        <w:autoSpaceDE w:val="0"/>
        <w:autoSpaceDN w:val="0"/>
        <w:adjustRightInd w:val="0"/>
        <w:ind w:firstLine="0"/>
        <w:rPr>
          <w:rFonts w:cs="Arial"/>
          <w:szCs w:val="22"/>
        </w:rPr>
      </w:pPr>
    </w:p>
    <w:p w14:paraId="3D2D191A" w14:textId="77777777" w:rsidR="006A5420" w:rsidRPr="007940C0" w:rsidRDefault="006A5420" w:rsidP="006A5420">
      <w:pPr>
        <w:autoSpaceDE w:val="0"/>
        <w:autoSpaceDN w:val="0"/>
        <w:adjustRightInd w:val="0"/>
        <w:ind w:firstLine="0"/>
        <w:rPr>
          <w:rFonts w:cs="Arial"/>
          <w:szCs w:val="22"/>
        </w:rPr>
      </w:pPr>
      <w:r w:rsidRPr="007940C0">
        <w:rPr>
          <w:rFonts w:cs="Arial"/>
          <w:szCs w:val="22"/>
        </w:rPr>
        <w:t xml:space="preserve">LAKATOS, E. M.; MARCONI, M. A. </w:t>
      </w:r>
      <w:r w:rsidRPr="007940C0">
        <w:rPr>
          <w:rFonts w:cs="Arial"/>
          <w:b/>
          <w:bCs/>
          <w:szCs w:val="22"/>
        </w:rPr>
        <w:t xml:space="preserve">Fundamentos de metodologia científica. </w:t>
      </w:r>
      <w:r w:rsidRPr="007940C0">
        <w:rPr>
          <w:rFonts w:cs="Arial"/>
          <w:szCs w:val="22"/>
        </w:rPr>
        <w:t xml:space="preserve">7. ed. São </w:t>
      </w:r>
      <w:r w:rsidRPr="007940C0">
        <w:rPr>
          <w:rFonts w:cs="Arial"/>
          <w:szCs w:val="22"/>
        </w:rPr>
        <w:lastRenderedPageBreak/>
        <w:t>Paulo: Atlas, 2010.</w:t>
      </w:r>
    </w:p>
    <w:p w14:paraId="0628CFF1" w14:textId="77777777" w:rsidR="006A5420" w:rsidRPr="007940C0" w:rsidRDefault="006A5420" w:rsidP="006A5420">
      <w:pPr>
        <w:ind w:firstLine="0"/>
        <w:rPr>
          <w:rFonts w:cs="Arial"/>
          <w:szCs w:val="22"/>
        </w:rPr>
      </w:pPr>
    </w:p>
    <w:p w14:paraId="66BE0DB1" w14:textId="77777777" w:rsidR="006A5420" w:rsidRPr="007940C0" w:rsidRDefault="006A5420" w:rsidP="006A5420">
      <w:pPr>
        <w:ind w:firstLine="0"/>
        <w:rPr>
          <w:rFonts w:cs="Arial"/>
          <w:szCs w:val="22"/>
        </w:rPr>
      </w:pPr>
      <w:r w:rsidRPr="007940C0">
        <w:rPr>
          <w:rFonts w:cs="Arial"/>
          <w:szCs w:val="22"/>
        </w:rPr>
        <w:t xml:space="preserve">MARION, J. C. </w:t>
      </w:r>
      <w:r w:rsidRPr="007940C0">
        <w:rPr>
          <w:rFonts w:cs="Arial"/>
          <w:b/>
          <w:szCs w:val="22"/>
        </w:rPr>
        <w:t>Contabilidade Empresarial</w:t>
      </w:r>
      <w:r w:rsidRPr="007940C0">
        <w:rPr>
          <w:rFonts w:cs="Arial"/>
          <w:szCs w:val="22"/>
        </w:rPr>
        <w:t>, 10ª edição, São Paulo: Editora Altas, 2002.</w:t>
      </w:r>
    </w:p>
    <w:p w14:paraId="24202189" w14:textId="77777777" w:rsidR="006A5420" w:rsidRPr="007940C0" w:rsidRDefault="006A5420" w:rsidP="006A5420">
      <w:pPr>
        <w:autoSpaceDE w:val="0"/>
        <w:autoSpaceDN w:val="0"/>
        <w:adjustRightInd w:val="0"/>
        <w:ind w:firstLine="0"/>
        <w:rPr>
          <w:rFonts w:cs="Arial"/>
          <w:szCs w:val="22"/>
        </w:rPr>
      </w:pPr>
    </w:p>
    <w:p w14:paraId="7FB33D43" w14:textId="77777777" w:rsidR="006A5420" w:rsidRPr="007940C0" w:rsidRDefault="006A5420" w:rsidP="006A5420">
      <w:pPr>
        <w:autoSpaceDE w:val="0"/>
        <w:autoSpaceDN w:val="0"/>
        <w:adjustRightInd w:val="0"/>
        <w:ind w:firstLine="0"/>
        <w:rPr>
          <w:rFonts w:cs="Arial"/>
          <w:szCs w:val="22"/>
        </w:rPr>
      </w:pPr>
      <w:r w:rsidRPr="007940C0">
        <w:rPr>
          <w:rFonts w:cs="Arial"/>
          <w:szCs w:val="22"/>
        </w:rPr>
        <w:t xml:space="preserve">MENDES, P. C. M.; SILVA, A. B.; NIYAMA J. K. A Aderência do Conteúdo da Disciplina Contabilidade Tributária Ministrada nos Cursos De Graduação em Ciências Contábeis do Brasil ao Conteúdo do Currículo Internacional Proposto pela ONU. </w:t>
      </w:r>
      <w:r w:rsidRPr="007940C0">
        <w:rPr>
          <w:rFonts w:cs="Arial"/>
          <w:b/>
          <w:bCs/>
          <w:szCs w:val="22"/>
        </w:rPr>
        <w:t>Revista Ambiente Contábi</w:t>
      </w:r>
      <w:r w:rsidRPr="007940C0">
        <w:rPr>
          <w:rFonts w:cs="Arial"/>
          <w:bCs/>
          <w:szCs w:val="22"/>
        </w:rPr>
        <w:t>l</w:t>
      </w:r>
      <w:r w:rsidRPr="007940C0">
        <w:rPr>
          <w:rFonts w:cs="Arial"/>
          <w:szCs w:val="22"/>
        </w:rPr>
        <w:t>, v. 3. n. 1, p. 1 – 19, jan./jun. 2011.</w:t>
      </w:r>
    </w:p>
    <w:p w14:paraId="1A4231E5" w14:textId="77777777" w:rsidR="006A5420" w:rsidRPr="007940C0" w:rsidRDefault="006A5420" w:rsidP="006A5420">
      <w:pPr>
        <w:ind w:firstLine="0"/>
        <w:rPr>
          <w:rFonts w:cs="Arial"/>
          <w:szCs w:val="22"/>
        </w:rPr>
      </w:pPr>
    </w:p>
    <w:p w14:paraId="7880F016" w14:textId="77777777" w:rsidR="006A5420" w:rsidRPr="007940C0" w:rsidRDefault="006A5420" w:rsidP="006A5420">
      <w:pPr>
        <w:ind w:firstLine="0"/>
        <w:rPr>
          <w:rFonts w:cs="Arial"/>
          <w:szCs w:val="22"/>
        </w:rPr>
      </w:pPr>
      <w:r w:rsidRPr="007940C0">
        <w:rPr>
          <w:rFonts w:cs="Arial"/>
          <w:szCs w:val="22"/>
        </w:rPr>
        <w:t xml:space="preserve">NAZÁRIO N. S.; MENDES P. C. M., AQUINO D. R. B. Percepção dos discentes quanto à importância do conhecimento em Contabilidade Tributária em instituições de ensino superior do Distrito Federal: um estudo empírico. </w:t>
      </w:r>
      <w:r w:rsidRPr="007940C0">
        <w:rPr>
          <w:rFonts w:cs="Arial"/>
          <w:b/>
          <w:bCs/>
          <w:szCs w:val="22"/>
        </w:rPr>
        <w:t>Revista Universo Contábil</w:t>
      </w:r>
      <w:r w:rsidRPr="007940C0">
        <w:rPr>
          <w:rFonts w:cs="Arial"/>
          <w:bCs/>
          <w:szCs w:val="22"/>
        </w:rPr>
        <w:t>, Blumenau</w:t>
      </w:r>
      <w:r w:rsidRPr="007940C0">
        <w:rPr>
          <w:rFonts w:cs="Arial"/>
          <w:szCs w:val="22"/>
        </w:rPr>
        <w:t>, v. 4, n. 3, p. 64-81, jul./set. 2008.</w:t>
      </w:r>
    </w:p>
    <w:p w14:paraId="05876A4A" w14:textId="77777777" w:rsidR="006A5420" w:rsidRPr="007940C0" w:rsidRDefault="006A5420" w:rsidP="006A5420">
      <w:pPr>
        <w:ind w:firstLine="0"/>
        <w:rPr>
          <w:rFonts w:cs="Arial"/>
          <w:szCs w:val="22"/>
        </w:rPr>
      </w:pPr>
    </w:p>
    <w:p w14:paraId="37055ABF" w14:textId="0BA5EEC3" w:rsidR="006A5420" w:rsidRPr="007940C0" w:rsidRDefault="006A5420" w:rsidP="006A5420">
      <w:pPr>
        <w:ind w:firstLine="0"/>
        <w:rPr>
          <w:rFonts w:cs="Arial"/>
          <w:szCs w:val="22"/>
        </w:rPr>
      </w:pPr>
      <w:r w:rsidRPr="007940C0">
        <w:rPr>
          <w:rFonts w:cs="Arial"/>
          <w:szCs w:val="22"/>
        </w:rPr>
        <w:t>OLIVEIRA L.M</w:t>
      </w:r>
      <w:r w:rsidR="000667DE" w:rsidRPr="007940C0">
        <w:rPr>
          <w:rFonts w:cs="Arial"/>
          <w:szCs w:val="22"/>
        </w:rPr>
        <w:t>.</w:t>
      </w:r>
      <w:r w:rsidRPr="007940C0">
        <w:rPr>
          <w:rFonts w:cs="Arial"/>
          <w:szCs w:val="22"/>
        </w:rPr>
        <w:t xml:space="preserve">; et.al – </w:t>
      </w:r>
      <w:r w:rsidRPr="007940C0">
        <w:rPr>
          <w:rFonts w:cs="Arial"/>
          <w:b/>
          <w:szCs w:val="22"/>
        </w:rPr>
        <w:t>Manual de Contabilidade Tributária</w:t>
      </w:r>
      <w:r w:rsidRPr="007940C0">
        <w:rPr>
          <w:rFonts w:cs="Arial"/>
          <w:szCs w:val="22"/>
        </w:rPr>
        <w:t>. 4. ed. São Paulo: Atlas,2005. PLANEJAMENTO TRIBUTÁRIO. Disponível em &lt;http://www.portaltributario.com.br&gt;. Acesso em 26 de abril de 2017.</w:t>
      </w:r>
    </w:p>
    <w:p w14:paraId="63771E43" w14:textId="77777777" w:rsidR="006A5420" w:rsidRPr="007940C0" w:rsidRDefault="006A5420" w:rsidP="006A5420">
      <w:pPr>
        <w:ind w:firstLine="0"/>
        <w:rPr>
          <w:rFonts w:cs="Arial"/>
          <w:szCs w:val="22"/>
        </w:rPr>
      </w:pPr>
    </w:p>
    <w:p w14:paraId="6BD0D81D" w14:textId="77777777" w:rsidR="006A5420" w:rsidRPr="007940C0" w:rsidRDefault="006A5420" w:rsidP="006A5420">
      <w:pPr>
        <w:autoSpaceDE w:val="0"/>
        <w:autoSpaceDN w:val="0"/>
        <w:adjustRightInd w:val="0"/>
        <w:ind w:firstLine="0"/>
        <w:rPr>
          <w:rFonts w:cs="Arial"/>
          <w:szCs w:val="22"/>
        </w:rPr>
      </w:pPr>
      <w:r w:rsidRPr="007940C0">
        <w:rPr>
          <w:rFonts w:cs="Arial"/>
          <w:szCs w:val="22"/>
        </w:rPr>
        <w:t xml:space="preserve">Ono, J. M. O.; GEOVANINI, D.; OLIVEIRA, F. R. </w:t>
      </w:r>
      <w:r w:rsidRPr="007940C0">
        <w:rPr>
          <w:rFonts w:cs="Arial"/>
          <w:b/>
          <w:bCs/>
          <w:szCs w:val="22"/>
        </w:rPr>
        <w:t xml:space="preserve">Manual Prático do Simples Nacional: </w:t>
      </w:r>
      <w:r w:rsidRPr="007940C0">
        <w:rPr>
          <w:rFonts w:cs="Arial"/>
          <w:b/>
          <w:szCs w:val="22"/>
        </w:rPr>
        <w:t>Supersimples 2009</w:t>
      </w:r>
      <w:r w:rsidRPr="007940C0">
        <w:rPr>
          <w:rFonts w:cs="Arial"/>
          <w:bCs/>
          <w:szCs w:val="22"/>
        </w:rPr>
        <w:t xml:space="preserve">. </w:t>
      </w:r>
      <w:r w:rsidRPr="007940C0">
        <w:rPr>
          <w:rFonts w:cs="Arial"/>
          <w:szCs w:val="22"/>
        </w:rPr>
        <w:t xml:space="preserve">3. ed. São Paulo: </w:t>
      </w:r>
      <w:proofErr w:type="spellStart"/>
      <w:r w:rsidRPr="007940C0">
        <w:rPr>
          <w:rFonts w:cs="Arial"/>
          <w:szCs w:val="22"/>
        </w:rPr>
        <w:t>FISCOSoft</w:t>
      </w:r>
      <w:proofErr w:type="spellEnd"/>
      <w:r w:rsidRPr="007940C0">
        <w:rPr>
          <w:rFonts w:cs="Arial"/>
          <w:szCs w:val="22"/>
        </w:rPr>
        <w:t>, 2009.</w:t>
      </w:r>
    </w:p>
    <w:p w14:paraId="45FFC054" w14:textId="77777777" w:rsidR="006A5420" w:rsidRPr="007940C0" w:rsidRDefault="006A5420" w:rsidP="006A5420">
      <w:pPr>
        <w:ind w:firstLine="0"/>
        <w:rPr>
          <w:rFonts w:cs="Arial"/>
          <w:szCs w:val="22"/>
        </w:rPr>
      </w:pPr>
    </w:p>
    <w:p w14:paraId="7F8230A7" w14:textId="77777777" w:rsidR="006A5420" w:rsidRPr="007940C0" w:rsidRDefault="006A5420" w:rsidP="006A5420">
      <w:pPr>
        <w:ind w:firstLine="0"/>
        <w:rPr>
          <w:rFonts w:cs="Arial"/>
          <w:szCs w:val="22"/>
        </w:rPr>
      </w:pPr>
      <w:r w:rsidRPr="007940C0">
        <w:rPr>
          <w:rFonts w:cs="Arial"/>
          <w:szCs w:val="22"/>
        </w:rPr>
        <w:t xml:space="preserve">RECEITA FEDERAL BRASIL. </w:t>
      </w:r>
      <w:r w:rsidRPr="007940C0">
        <w:rPr>
          <w:rFonts w:cs="Arial"/>
          <w:b/>
          <w:szCs w:val="22"/>
        </w:rPr>
        <w:t>Carga tributária no Brasil 2015: Analise por Tributos e Bases de Incidência</w:t>
      </w:r>
      <w:r w:rsidRPr="007940C0">
        <w:rPr>
          <w:rFonts w:cs="Arial"/>
          <w:szCs w:val="22"/>
        </w:rPr>
        <w:t>. Disponível em: &lt;http://idg.receita.fazenda.gov.br/dados/receitadata/estudos-e-tributarios-e-aduaneiros/estudos-e-estatisticas/carga-tributaria-no-brasil/ctb-2015.pdf&gt; Acesso em 27 Maio 2017.</w:t>
      </w:r>
    </w:p>
    <w:p w14:paraId="40916437" w14:textId="77777777" w:rsidR="006A5420" w:rsidRPr="007940C0" w:rsidRDefault="006A5420" w:rsidP="006A5420">
      <w:pPr>
        <w:ind w:firstLine="0"/>
        <w:rPr>
          <w:rFonts w:cs="Arial"/>
          <w:szCs w:val="22"/>
        </w:rPr>
      </w:pPr>
    </w:p>
    <w:p w14:paraId="5302973F" w14:textId="439A60B4" w:rsidR="006A5420" w:rsidRPr="007940C0" w:rsidRDefault="006A5420" w:rsidP="006C54F8">
      <w:pPr>
        <w:pStyle w:val="Cabealho"/>
        <w:ind w:firstLine="0"/>
        <w:rPr>
          <w:rFonts w:cs="Arial"/>
          <w:szCs w:val="22"/>
        </w:rPr>
      </w:pPr>
      <w:r w:rsidRPr="007940C0">
        <w:rPr>
          <w:rFonts w:cs="Arial"/>
          <w:szCs w:val="22"/>
        </w:rPr>
        <w:t xml:space="preserve">SANTA CATARINA. </w:t>
      </w:r>
      <w:r w:rsidRPr="007940C0">
        <w:rPr>
          <w:rFonts w:cs="Arial"/>
          <w:b/>
          <w:szCs w:val="22"/>
        </w:rPr>
        <w:t>Lei Complementar nº 636, de 09 de setembro de 2014.</w:t>
      </w:r>
      <w:r w:rsidRPr="007940C0">
        <w:rPr>
          <w:rFonts w:cs="Arial"/>
          <w:szCs w:val="22"/>
        </w:rPr>
        <w:t xml:space="preserve"> Institui a Região Metropolitana da Grande Florianópolis (RMF) e a Superintendência de Desenvolvimento da Região Metropolitana da Grande Florianópolis (</w:t>
      </w:r>
      <w:proofErr w:type="spellStart"/>
      <w:r w:rsidRPr="007940C0">
        <w:rPr>
          <w:rFonts w:cs="Arial"/>
          <w:szCs w:val="22"/>
        </w:rPr>
        <w:t>Suderf</w:t>
      </w:r>
      <w:proofErr w:type="spellEnd"/>
      <w:r w:rsidRPr="007940C0">
        <w:rPr>
          <w:rFonts w:cs="Arial"/>
          <w:szCs w:val="22"/>
        </w:rPr>
        <w:t>) e estabelece outras providências. Disponível em: &lt;http://200.192.66.20/ALESC/PesquisaDocumentos</w:t>
      </w:r>
      <w:r w:rsidR="006C54F8" w:rsidRPr="007940C0">
        <w:rPr>
          <w:rFonts w:cs="Arial"/>
          <w:szCs w:val="22"/>
        </w:rPr>
        <w:t>.asp&gt;. Acesso em: 09 ago. 2015.</w:t>
      </w:r>
    </w:p>
    <w:sectPr w:rsidR="006A5420" w:rsidRPr="007940C0"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5F081" w14:textId="77777777" w:rsidR="008537B9" w:rsidRDefault="008537B9" w:rsidP="005840EF">
      <w:r>
        <w:separator/>
      </w:r>
    </w:p>
  </w:endnote>
  <w:endnote w:type="continuationSeparator" w:id="0">
    <w:p w14:paraId="1C6FBB19" w14:textId="77777777" w:rsidR="008537B9" w:rsidRDefault="008537B9"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04406" w14:textId="77777777" w:rsidR="00E30283" w:rsidRDefault="00E3028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4FD0B" w14:textId="77777777" w:rsidR="00E30283" w:rsidRPr="00F05FBB" w:rsidRDefault="00E30283"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1F64A2">
      <w:rPr>
        <w:noProof/>
        <w:sz w:val="20"/>
      </w:rPr>
      <w:t>1</w:t>
    </w:r>
    <w:r w:rsidRPr="00F05FBB">
      <w:rPr>
        <w:sz w:val="20"/>
      </w:rPr>
      <w:fldChar w:fldCharType="end"/>
    </w:r>
  </w:p>
  <w:p w14:paraId="4A1C8322" w14:textId="77777777" w:rsidR="00E30283" w:rsidRPr="00862FD2" w:rsidRDefault="00E30283" w:rsidP="004E0B39">
    <w:pPr>
      <w:pStyle w:val="Rodap"/>
      <w:ind w:firstLine="0"/>
      <w:jc w:val="center"/>
    </w:pPr>
    <w:r w:rsidRPr="004E0B39">
      <w:rPr>
        <w:noProof/>
        <w:lang w:val="pt-BR" w:eastAsia="pt-BR"/>
      </w:rPr>
      <w:drawing>
        <wp:inline distT="0" distB="0" distL="0" distR="0" wp14:anchorId="3B8D9EC7" wp14:editId="4310FB94">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B49ED" w14:textId="77777777" w:rsidR="00E30283" w:rsidRDefault="00E3028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53E3B" w14:textId="77777777" w:rsidR="008537B9" w:rsidRDefault="008537B9" w:rsidP="005840EF">
      <w:r>
        <w:separator/>
      </w:r>
    </w:p>
  </w:footnote>
  <w:footnote w:type="continuationSeparator" w:id="0">
    <w:p w14:paraId="63FE9294" w14:textId="77777777" w:rsidR="008537B9" w:rsidRDefault="008537B9"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FA431" w14:textId="77777777" w:rsidR="00E30283" w:rsidRDefault="00E3028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2AFD7" w14:textId="77777777" w:rsidR="00E30283" w:rsidRPr="004E0B39" w:rsidRDefault="00E30283" w:rsidP="004E0B39">
    <w:pPr>
      <w:pStyle w:val="Cabealho"/>
      <w:ind w:firstLine="0"/>
      <w:jc w:val="center"/>
    </w:pPr>
    <w:r w:rsidRPr="004E0B39">
      <w:rPr>
        <w:noProof/>
      </w:rPr>
      <w:drawing>
        <wp:inline distT="0" distB="0" distL="0" distR="0" wp14:anchorId="2AA9BCC1" wp14:editId="4CBAF674">
          <wp:extent cx="5610225" cy="1314450"/>
          <wp:effectExtent l="0" t="0" r="9525" b="0"/>
          <wp:docPr id="1" name="Imagem 1" descr="bannerart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annerarti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0225" cy="13144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E0A86" w14:textId="77777777" w:rsidR="00E30283" w:rsidRDefault="00E3028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tplc="A66ACF1C">
      <w:start w:val="1"/>
      <w:numFmt w:val="lowerLetter"/>
      <w:lvlText w:val="%1)"/>
      <w:lvlJc w:val="left"/>
      <w:pPr>
        <w:tabs>
          <w:tab w:val="num" w:pos="360"/>
        </w:tabs>
        <w:ind w:left="360" w:hanging="360"/>
      </w:pPr>
      <w:rPr>
        <w:rFonts w:hint="default"/>
        <w:b/>
        <w:i w:val="0"/>
        <w:color w:val="000000"/>
        <w:sz w:val="24"/>
        <w:szCs w:val="24"/>
      </w:rPr>
    </w:lvl>
    <w:lvl w:ilvl="1" w:tplc="EE802D3E" w:tentative="1">
      <w:start w:val="1"/>
      <w:numFmt w:val="bullet"/>
      <w:lvlText w:val="o"/>
      <w:lvlJc w:val="left"/>
      <w:pPr>
        <w:tabs>
          <w:tab w:val="num" w:pos="1440"/>
        </w:tabs>
        <w:ind w:left="1440" w:hanging="360"/>
      </w:pPr>
      <w:rPr>
        <w:rFonts w:ascii="Courier New" w:hAnsi="Courier New" w:cs="Courier New" w:hint="default"/>
      </w:rPr>
    </w:lvl>
    <w:lvl w:ilvl="2" w:tplc="07B40710" w:tentative="1">
      <w:start w:val="1"/>
      <w:numFmt w:val="bullet"/>
      <w:lvlText w:val=""/>
      <w:lvlJc w:val="left"/>
      <w:pPr>
        <w:tabs>
          <w:tab w:val="num" w:pos="2160"/>
        </w:tabs>
        <w:ind w:left="2160" w:hanging="360"/>
      </w:pPr>
      <w:rPr>
        <w:rFonts w:ascii="Wingdings" w:hAnsi="Wingdings" w:hint="default"/>
      </w:rPr>
    </w:lvl>
    <w:lvl w:ilvl="3" w:tplc="4AF86476" w:tentative="1">
      <w:start w:val="1"/>
      <w:numFmt w:val="bullet"/>
      <w:lvlText w:val=""/>
      <w:lvlJc w:val="left"/>
      <w:pPr>
        <w:tabs>
          <w:tab w:val="num" w:pos="2880"/>
        </w:tabs>
        <w:ind w:left="2880" w:hanging="360"/>
      </w:pPr>
      <w:rPr>
        <w:rFonts w:ascii="Symbol" w:hAnsi="Symbol" w:hint="default"/>
      </w:rPr>
    </w:lvl>
    <w:lvl w:ilvl="4" w:tplc="68CE38B6" w:tentative="1">
      <w:start w:val="1"/>
      <w:numFmt w:val="bullet"/>
      <w:lvlText w:val="o"/>
      <w:lvlJc w:val="left"/>
      <w:pPr>
        <w:tabs>
          <w:tab w:val="num" w:pos="3600"/>
        </w:tabs>
        <w:ind w:left="3600" w:hanging="360"/>
      </w:pPr>
      <w:rPr>
        <w:rFonts w:ascii="Courier New" w:hAnsi="Courier New" w:cs="Courier New" w:hint="default"/>
      </w:rPr>
    </w:lvl>
    <w:lvl w:ilvl="5" w:tplc="E99EFAC2" w:tentative="1">
      <w:start w:val="1"/>
      <w:numFmt w:val="bullet"/>
      <w:lvlText w:val=""/>
      <w:lvlJc w:val="left"/>
      <w:pPr>
        <w:tabs>
          <w:tab w:val="num" w:pos="4320"/>
        </w:tabs>
        <w:ind w:left="4320" w:hanging="360"/>
      </w:pPr>
      <w:rPr>
        <w:rFonts w:ascii="Wingdings" w:hAnsi="Wingdings" w:hint="default"/>
      </w:rPr>
    </w:lvl>
    <w:lvl w:ilvl="6" w:tplc="7DA4855E" w:tentative="1">
      <w:start w:val="1"/>
      <w:numFmt w:val="bullet"/>
      <w:lvlText w:val=""/>
      <w:lvlJc w:val="left"/>
      <w:pPr>
        <w:tabs>
          <w:tab w:val="num" w:pos="5040"/>
        </w:tabs>
        <w:ind w:left="5040" w:hanging="360"/>
      </w:pPr>
      <w:rPr>
        <w:rFonts w:ascii="Symbol" w:hAnsi="Symbol" w:hint="default"/>
      </w:rPr>
    </w:lvl>
    <w:lvl w:ilvl="7" w:tplc="CDC23B56" w:tentative="1">
      <w:start w:val="1"/>
      <w:numFmt w:val="bullet"/>
      <w:lvlText w:val="o"/>
      <w:lvlJc w:val="left"/>
      <w:pPr>
        <w:tabs>
          <w:tab w:val="num" w:pos="5760"/>
        </w:tabs>
        <w:ind w:left="5760" w:hanging="360"/>
      </w:pPr>
      <w:rPr>
        <w:rFonts w:ascii="Courier New" w:hAnsi="Courier New" w:cs="Courier New" w:hint="default"/>
      </w:rPr>
    </w:lvl>
    <w:lvl w:ilvl="8" w:tplc="C53E79A4"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103E0"/>
    <w:rsid w:val="00020EBE"/>
    <w:rsid w:val="00021054"/>
    <w:rsid w:val="00023570"/>
    <w:rsid w:val="00025316"/>
    <w:rsid w:val="0006261D"/>
    <w:rsid w:val="000667DE"/>
    <w:rsid w:val="000720BF"/>
    <w:rsid w:val="000F0530"/>
    <w:rsid w:val="000F2195"/>
    <w:rsid w:val="001370F5"/>
    <w:rsid w:val="001457BE"/>
    <w:rsid w:val="0018656B"/>
    <w:rsid w:val="001C0C25"/>
    <w:rsid w:val="001E2774"/>
    <w:rsid w:val="001E2E6C"/>
    <w:rsid w:val="001F64A2"/>
    <w:rsid w:val="00200045"/>
    <w:rsid w:val="0020354A"/>
    <w:rsid w:val="002056D7"/>
    <w:rsid w:val="002136AE"/>
    <w:rsid w:val="00233718"/>
    <w:rsid w:val="00243A10"/>
    <w:rsid w:val="00244401"/>
    <w:rsid w:val="00244C0A"/>
    <w:rsid w:val="00263CEF"/>
    <w:rsid w:val="002826C0"/>
    <w:rsid w:val="002A6A99"/>
    <w:rsid w:val="002B2269"/>
    <w:rsid w:val="002B78FC"/>
    <w:rsid w:val="002C7235"/>
    <w:rsid w:val="002E7C77"/>
    <w:rsid w:val="00303C6F"/>
    <w:rsid w:val="003323FE"/>
    <w:rsid w:val="00346DDE"/>
    <w:rsid w:val="00371DFF"/>
    <w:rsid w:val="003861B4"/>
    <w:rsid w:val="003923C3"/>
    <w:rsid w:val="00395244"/>
    <w:rsid w:val="003A3639"/>
    <w:rsid w:val="003A42FD"/>
    <w:rsid w:val="003C6A65"/>
    <w:rsid w:val="003D01E1"/>
    <w:rsid w:val="003D7546"/>
    <w:rsid w:val="00406C08"/>
    <w:rsid w:val="00423365"/>
    <w:rsid w:val="004251EF"/>
    <w:rsid w:val="00472EE1"/>
    <w:rsid w:val="004731D5"/>
    <w:rsid w:val="004828D8"/>
    <w:rsid w:val="0048579A"/>
    <w:rsid w:val="0049262F"/>
    <w:rsid w:val="004B7A71"/>
    <w:rsid w:val="004E0B39"/>
    <w:rsid w:val="005070E2"/>
    <w:rsid w:val="00523BAB"/>
    <w:rsid w:val="0052719C"/>
    <w:rsid w:val="00531A76"/>
    <w:rsid w:val="00550819"/>
    <w:rsid w:val="0055088A"/>
    <w:rsid w:val="00552214"/>
    <w:rsid w:val="00583FD3"/>
    <w:rsid w:val="005840EF"/>
    <w:rsid w:val="00595EC4"/>
    <w:rsid w:val="005C525F"/>
    <w:rsid w:val="005D0785"/>
    <w:rsid w:val="005D711E"/>
    <w:rsid w:val="00606F36"/>
    <w:rsid w:val="00607D01"/>
    <w:rsid w:val="00632CDA"/>
    <w:rsid w:val="0063432D"/>
    <w:rsid w:val="006750E6"/>
    <w:rsid w:val="00683BE5"/>
    <w:rsid w:val="006952E6"/>
    <w:rsid w:val="006A5420"/>
    <w:rsid w:val="006C284A"/>
    <w:rsid w:val="006C4007"/>
    <w:rsid w:val="006C54F8"/>
    <w:rsid w:val="006D02CA"/>
    <w:rsid w:val="006D340F"/>
    <w:rsid w:val="006D3AF7"/>
    <w:rsid w:val="007063F8"/>
    <w:rsid w:val="00710D8D"/>
    <w:rsid w:val="00714245"/>
    <w:rsid w:val="00731FA9"/>
    <w:rsid w:val="00735C7C"/>
    <w:rsid w:val="007940C0"/>
    <w:rsid w:val="007B1C27"/>
    <w:rsid w:val="007C0C2C"/>
    <w:rsid w:val="007E20B8"/>
    <w:rsid w:val="007F1447"/>
    <w:rsid w:val="007F732A"/>
    <w:rsid w:val="00807E96"/>
    <w:rsid w:val="008129D8"/>
    <w:rsid w:val="008419D8"/>
    <w:rsid w:val="008537B9"/>
    <w:rsid w:val="00862FD2"/>
    <w:rsid w:val="00865A23"/>
    <w:rsid w:val="00866591"/>
    <w:rsid w:val="008902BE"/>
    <w:rsid w:val="008B21BE"/>
    <w:rsid w:val="008F1B7C"/>
    <w:rsid w:val="008F67F7"/>
    <w:rsid w:val="0092413C"/>
    <w:rsid w:val="00943459"/>
    <w:rsid w:val="00952306"/>
    <w:rsid w:val="009724D8"/>
    <w:rsid w:val="009976D2"/>
    <w:rsid w:val="009B11E7"/>
    <w:rsid w:val="009B3488"/>
    <w:rsid w:val="009C563B"/>
    <w:rsid w:val="009C5EA5"/>
    <w:rsid w:val="009C7DFA"/>
    <w:rsid w:val="009D68AF"/>
    <w:rsid w:val="00A01395"/>
    <w:rsid w:val="00A16D53"/>
    <w:rsid w:val="00A24570"/>
    <w:rsid w:val="00A56159"/>
    <w:rsid w:val="00A56D18"/>
    <w:rsid w:val="00A65DA9"/>
    <w:rsid w:val="00A80641"/>
    <w:rsid w:val="00A973C3"/>
    <w:rsid w:val="00AB5527"/>
    <w:rsid w:val="00AC267B"/>
    <w:rsid w:val="00AC7E25"/>
    <w:rsid w:val="00AD3AF0"/>
    <w:rsid w:val="00AF5E4A"/>
    <w:rsid w:val="00B12485"/>
    <w:rsid w:val="00B1596F"/>
    <w:rsid w:val="00B169EE"/>
    <w:rsid w:val="00B25FFE"/>
    <w:rsid w:val="00B51C63"/>
    <w:rsid w:val="00B7052E"/>
    <w:rsid w:val="00B801AB"/>
    <w:rsid w:val="00BB235D"/>
    <w:rsid w:val="00BC0628"/>
    <w:rsid w:val="00BC599A"/>
    <w:rsid w:val="00C01F1F"/>
    <w:rsid w:val="00C22A7A"/>
    <w:rsid w:val="00C671EC"/>
    <w:rsid w:val="00C84F71"/>
    <w:rsid w:val="00C94DB6"/>
    <w:rsid w:val="00CF0D35"/>
    <w:rsid w:val="00D2179B"/>
    <w:rsid w:val="00D2342D"/>
    <w:rsid w:val="00D2717B"/>
    <w:rsid w:val="00D66516"/>
    <w:rsid w:val="00D735E0"/>
    <w:rsid w:val="00D83AC3"/>
    <w:rsid w:val="00D86B5F"/>
    <w:rsid w:val="00D90E6B"/>
    <w:rsid w:val="00D94E67"/>
    <w:rsid w:val="00DA5E5B"/>
    <w:rsid w:val="00DB482E"/>
    <w:rsid w:val="00DD4A32"/>
    <w:rsid w:val="00DE1E14"/>
    <w:rsid w:val="00DE631D"/>
    <w:rsid w:val="00DE75F7"/>
    <w:rsid w:val="00E13785"/>
    <w:rsid w:val="00E1786F"/>
    <w:rsid w:val="00E24E18"/>
    <w:rsid w:val="00E30283"/>
    <w:rsid w:val="00E36D72"/>
    <w:rsid w:val="00E9040B"/>
    <w:rsid w:val="00E926FA"/>
    <w:rsid w:val="00E94A5E"/>
    <w:rsid w:val="00EC6EDB"/>
    <w:rsid w:val="00ED6578"/>
    <w:rsid w:val="00EF026B"/>
    <w:rsid w:val="00EF213A"/>
    <w:rsid w:val="00EF5A76"/>
    <w:rsid w:val="00F05FBB"/>
    <w:rsid w:val="00F52BAD"/>
    <w:rsid w:val="00F6391A"/>
    <w:rsid w:val="00F70D09"/>
    <w:rsid w:val="00F7556C"/>
    <w:rsid w:val="00F76791"/>
    <w:rsid w:val="00F86C69"/>
    <w:rsid w:val="00FA0C59"/>
    <w:rsid w:val="00FC1C75"/>
    <w:rsid w:val="00FE22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9B2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96"/>
    <w:pPr>
      <w:widowControl w:val="0"/>
      <w:suppressLineNumbers/>
      <w:suppressAutoHyphens/>
      <w:ind w:firstLine="709"/>
      <w:jc w:val="both"/>
    </w:pPr>
    <w:rPr>
      <w:rFonts w:ascii="Arial" w:hAnsi="Arial"/>
      <w:sz w:val="22"/>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 w:val="24"/>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Tabela">
    <w:name w:val="Tabela"/>
    <w:basedOn w:val="Normal"/>
    <w:next w:val="Normal"/>
    <w:qFormat/>
    <w:rsid w:val="00D90E6B"/>
    <w:pPr>
      <w:widowControl/>
      <w:suppressLineNumbers w:val="0"/>
      <w:suppressAutoHyphens w:val="0"/>
      <w:autoSpaceDE w:val="0"/>
      <w:autoSpaceDN w:val="0"/>
      <w:adjustRightInd w:val="0"/>
      <w:spacing w:before="120"/>
      <w:ind w:firstLine="0"/>
      <w:jc w:val="left"/>
    </w:pPr>
    <w:rPr>
      <w:rFonts w:eastAsiaTheme="minorHAnsi"/>
      <w:b/>
      <w:bCs/>
      <w:sz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96"/>
    <w:pPr>
      <w:widowControl w:val="0"/>
      <w:suppressLineNumbers/>
      <w:suppressAutoHyphens/>
      <w:ind w:firstLine="709"/>
      <w:jc w:val="both"/>
    </w:pPr>
    <w:rPr>
      <w:rFonts w:ascii="Arial" w:hAnsi="Arial"/>
      <w:sz w:val="22"/>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 w:val="24"/>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Tabela">
    <w:name w:val="Tabela"/>
    <w:basedOn w:val="Normal"/>
    <w:next w:val="Normal"/>
    <w:qFormat/>
    <w:rsid w:val="00D90E6B"/>
    <w:pPr>
      <w:widowControl/>
      <w:suppressLineNumbers w:val="0"/>
      <w:suppressAutoHyphens w:val="0"/>
      <w:autoSpaceDE w:val="0"/>
      <w:autoSpaceDN w:val="0"/>
      <w:adjustRightInd w:val="0"/>
      <w:spacing w:before="120"/>
      <w:ind w:firstLine="0"/>
      <w:jc w:val="left"/>
    </w:pPr>
    <w:rPr>
      <w:rFonts w:eastAsiaTheme="minorHAnsi"/>
      <w:b/>
      <w:bCs/>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727142328">
      <w:bodyDiv w:val="1"/>
      <w:marLeft w:val="0"/>
      <w:marRight w:val="0"/>
      <w:marTop w:val="0"/>
      <w:marBottom w:val="0"/>
      <w:divBdr>
        <w:top w:val="none" w:sz="0" w:space="0" w:color="auto"/>
        <w:left w:val="none" w:sz="0" w:space="0" w:color="auto"/>
        <w:bottom w:val="none" w:sz="0" w:space="0" w:color="auto"/>
        <w:right w:val="none" w:sz="0" w:space="0" w:color="auto"/>
      </w:divBdr>
    </w:div>
    <w:div w:id="173535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classecontabil.com.br/artigos/planejamento-tributario-da-microempresa-e-empresas-de-pequeno-porte"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87E15-FF05-47DA-9722-E0501F9B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6245</Words>
  <Characters>33726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2017-08-17T02:51:00Z</dcterms:created>
  <dcterms:modified xsi:type="dcterms:W3CDTF">2017-08-17T13:26:00Z</dcterms:modified>
</cp:coreProperties>
</file>