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DC8" w:rsidRPr="00E30D0E" w:rsidRDefault="003F4DC8" w:rsidP="003F4DC8">
      <w:pPr>
        <w:ind w:firstLine="0"/>
        <w:jc w:val="center"/>
        <w:rPr>
          <w:rFonts w:ascii="Arial" w:hAnsi="Arial" w:cs="Arial"/>
          <w:b/>
          <w:sz w:val="22"/>
          <w:szCs w:val="22"/>
        </w:rPr>
      </w:pPr>
    </w:p>
    <w:p w:rsidR="003F4DC8" w:rsidRPr="00A26E50" w:rsidRDefault="003F4DC8" w:rsidP="003F4DC8">
      <w:pPr>
        <w:ind w:firstLine="0"/>
        <w:jc w:val="center"/>
        <w:rPr>
          <w:rFonts w:ascii="Arial" w:hAnsi="Arial" w:cs="Arial"/>
          <w:b/>
          <w:sz w:val="22"/>
          <w:szCs w:val="22"/>
        </w:rPr>
      </w:pPr>
      <w:r w:rsidRPr="00A26E50">
        <w:rPr>
          <w:rFonts w:ascii="Arial" w:hAnsi="Arial" w:cs="Arial"/>
          <w:b/>
          <w:sz w:val="22"/>
          <w:szCs w:val="22"/>
        </w:rPr>
        <w:t>RESULTADOS DOS PARECERES DO TRIBUNAL DE CONTAS EM RELAÇÃO AO LIMITE PARA INSCRIÇÃO EM RESTOS A PAGAR NOS QUATRO PRIMEIROS ENCERRAMENTOS DE MANDATOS DOS PREFEITOS CATARINENSES</w:t>
      </w:r>
    </w:p>
    <w:p w:rsidR="003F4DC8" w:rsidRPr="00A26E50" w:rsidRDefault="003F4DC8" w:rsidP="003F4DC8">
      <w:pPr>
        <w:spacing w:line="480" w:lineRule="auto"/>
        <w:ind w:firstLine="0"/>
        <w:jc w:val="center"/>
        <w:rPr>
          <w:rFonts w:ascii="Arial" w:hAnsi="Arial" w:cs="Arial"/>
          <w:sz w:val="22"/>
          <w:szCs w:val="22"/>
        </w:rPr>
      </w:pPr>
    </w:p>
    <w:p w:rsidR="00C67013" w:rsidRPr="005D632E" w:rsidRDefault="00C67013" w:rsidP="00C67013">
      <w:pPr>
        <w:ind w:firstLine="0"/>
        <w:jc w:val="center"/>
        <w:rPr>
          <w:rFonts w:ascii="Arial" w:hAnsi="Arial" w:cs="Arial"/>
          <w:b/>
          <w:sz w:val="22"/>
          <w:szCs w:val="22"/>
        </w:rPr>
      </w:pPr>
      <w:r w:rsidRPr="005D632E">
        <w:rPr>
          <w:rFonts w:ascii="Arial" w:hAnsi="Arial" w:cs="Arial"/>
          <w:b/>
          <w:sz w:val="22"/>
          <w:szCs w:val="22"/>
        </w:rPr>
        <w:t>CONTABILIDADE GOVERNAMENTAL E DO TERCEIRO SETOR</w:t>
      </w:r>
    </w:p>
    <w:p w:rsidR="00C67013" w:rsidRPr="005D632E" w:rsidRDefault="00C67013" w:rsidP="00C67013">
      <w:pPr>
        <w:spacing w:line="480" w:lineRule="auto"/>
        <w:ind w:firstLine="0"/>
        <w:jc w:val="center"/>
        <w:rPr>
          <w:rFonts w:ascii="Arial" w:hAnsi="Arial" w:cs="Arial"/>
          <w:b/>
          <w:color w:val="999999"/>
          <w:sz w:val="22"/>
          <w:szCs w:val="22"/>
        </w:rPr>
      </w:pPr>
    </w:p>
    <w:p w:rsidR="00C67013" w:rsidRPr="005D632E" w:rsidRDefault="00C67013" w:rsidP="00C67013">
      <w:pPr>
        <w:ind w:firstLine="0"/>
        <w:jc w:val="center"/>
        <w:rPr>
          <w:rFonts w:ascii="Arial" w:hAnsi="Arial" w:cs="Arial"/>
          <w:b/>
          <w:bCs/>
          <w:sz w:val="22"/>
          <w:szCs w:val="22"/>
        </w:rPr>
      </w:pPr>
      <w:r w:rsidRPr="005D632E">
        <w:rPr>
          <w:rFonts w:ascii="Arial" w:hAnsi="Arial" w:cs="Arial"/>
          <w:b/>
          <w:sz w:val="22"/>
          <w:szCs w:val="22"/>
        </w:rPr>
        <w:t>Anna Caroline Menegusso Diehl</w:t>
      </w:r>
    </w:p>
    <w:p w:rsidR="00C67013" w:rsidRPr="005D632E" w:rsidRDefault="00C67013" w:rsidP="00C67013">
      <w:pPr>
        <w:ind w:firstLine="0"/>
        <w:jc w:val="center"/>
        <w:rPr>
          <w:rFonts w:ascii="Arial" w:hAnsi="Arial" w:cs="Arial"/>
          <w:bCs/>
          <w:sz w:val="22"/>
          <w:szCs w:val="22"/>
        </w:rPr>
      </w:pPr>
      <w:r w:rsidRPr="005D632E">
        <w:rPr>
          <w:rFonts w:ascii="Arial" w:hAnsi="Arial" w:cs="Arial"/>
          <w:sz w:val="22"/>
          <w:szCs w:val="22"/>
        </w:rPr>
        <w:t>Universidade Federal de Santa Catarina (UFSC)</w:t>
      </w:r>
    </w:p>
    <w:p w:rsidR="00C67013" w:rsidRPr="005D632E" w:rsidRDefault="00C67013" w:rsidP="00C67013">
      <w:pPr>
        <w:ind w:firstLine="0"/>
        <w:jc w:val="center"/>
        <w:rPr>
          <w:rFonts w:ascii="Arial" w:hAnsi="Arial" w:cs="Arial"/>
          <w:i/>
          <w:sz w:val="22"/>
          <w:szCs w:val="22"/>
        </w:rPr>
      </w:pPr>
      <w:r>
        <w:rPr>
          <w:rFonts w:ascii="Arial" w:hAnsi="Arial" w:cs="Arial"/>
          <w:i/>
          <w:sz w:val="22"/>
          <w:szCs w:val="22"/>
        </w:rPr>
        <w:t>anna.c.m.diehl@gmail.com</w:t>
      </w:r>
    </w:p>
    <w:p w:rsidR="00C67013" w:rsidRPr="005D632E" w:rsidRDefault="00C67013" w:rsidP="00C67013">
      <w:pPr>
        <w:spacing w:line="480" w:lineRule="auto"/>
        <w:ind w:firstLine="0"/>
        <w:jc w:val="center"/>
        <w:rPr>
          <w:rFonts w:ascii="Arial" w:hAnsi="Arial" w:cs="Arial"/>
          <w:b/>
          <w:sz w:val="22"/>
          <w:szCs w:val="22"/>
        </w:rPr>
      </w:pPr>
    </w:p>
    <w:p w:rsidR="005B1D06" w:rsidRPr="005B1D06" w:rsidRDefault="005B1D06" w:rsidP="00C67013">
      <w:pPr>
        <w:ind w:firstLine="0"/>
        <w:jc w:val="center"/>
        <w:rPr>
          <w:rFonts w:ascii="Arial" w:hAnsi="Arial" w:cs="Arial"/>
          <w:b/>
          <w:bCs/>
          <w:sz w:val="22"/>
          <w:szCs w:val="22"/>
        </w:rPr>
      </w:pPr>
      <w:bookmarkStart w:id="0" w:name="_GoBack"/>
      <w:bookmarkEnd w:id="0"/>
      <w:r w:rsidRPr="005B1D06">
        <w:rPr>
          <w:rFonts w:ascii="Arial" w:hAnsi="Arial" w:cs="Arial"/>
          <w:b/>
          <w:sz w:val="22"/>
          <w:szCs w:val="22"/>
        </w:rPr>
        <w:t>Orion Augusto Platt Neto</w:t>
      </w:r>
    </w:p>
    <w:p w:rsidR="00C67013" w:rsidRPr="005B1D06" w:rsidRDefault="00C67013" w:rsidP="00C67013">
      <w:pPr>
        <w:ind w:firstLine="0"/>
        <w:jc w:val="center"/>
        <w:rPr>
          <w:rFonts w:ascii="Arial" w:hAnsi="Arial" w:cs="Arial"/>
          <w:bCs/>
          <w:sz w:val="22"/>
          <w:szCs w:val="22"/>
        </w:rPr>
      </w:pPr>
      <w:r w:rsidRPr="005B1D06">
        <w:rPr>
          <w:rFonts w:ascii="Arial" w:hAnsi="Arial" w:cs="Arial"/>
          <w:sz w:val="22"/>
          <w:szCs w:val="22"/>
        </w:rPr>
        <w:t>Universidade Federal de Santa Catarina (UFSC)</w:t>
      </w:r>
    </w:p>
    <w:p w:rsidR="00C67013" w:rsidRPr="005B1D06" w:rsidRDefault="00C67013" w:rsidP="00C67013">
      <w:pPr>
        <w:ind w:firstLine="0"/>
        <w:jc w:val="center"/>
        <w:rPr>
          <w:rFonts w:ascii="Arial" w:hAnsi="Arial" w:cs="Arial"/>
          <w:i/>
          <w:sz w:val="22"/>
          <w:szCs w:val="22"/>
        </w:rPr>
      </w:pPr>
      <w:r w:rsidRPr="005B1D06">
        <w:rPr>
          <w:rFonts w:ascii="Arial" w:hAnsi="Arial" w:cs="Arial"/>
          <w:i/>
          <w:sz w:val="22"/>
          <w:szCs w:val="22"/>
        </w:rPr>
        <w:t>orion.platt@ufsc.br</w:t>
      </w:r>
    </w:p>
    <w:p w:rsidR="00C67013" w:rsidRPr="005D632E" w:rsidRDefault="00C67013" w:rsidP="00C67013">
      <w:pPr>
        <w:spacing w:line="480" w:lineRule="auto"/>
        <w:ind w:firstLine="0"/>
        <w:jc w:val="center"/>
        <w:rPr>
          <w:rFonts w:ascii="Arial" w:hAnsi="Arial" w:cs="Arial"/>
          <w:b/>
          <w:color w:val="999999"/>
          <w:sz w:val="22"/>
          <w:szCs w:val="22"/>
        </w:rPr>
      </w:pPr>
    </w:p>
    <w:p w:rsidR="00C67013" w:rsidRPr="005D632E" w:rsidRDefault="00C67013" w:rsidP="00C67013">
      <w:pPr>
        <w:ind w:firstLine="0"/>
        <w:rPr>
          <w:rFonts w:ascii="Arial" w:hAnsi="Arial" w:cs="Arial"/>
          <w:b/>
          <w:bCs/>
          <w:sz w:val="22"/>
          <w:szCs w:val="22"/>
        </w:rPr>
      </w:pPr>
      <w:r>
        <w:rPr>
          <w:rFonts w:ascii="Arial" w:hAnsi="Arial" w:cs="Arial"/>
          <w:b/>
          <w:bCs/>
          <w:sz w:val="22"/>
          <w:szCs w:val="22"/>
        </w:rPr>
        <w:t>Resumo</w:t>
      </w:r>
      <w:r w:rsidRPr="005D632E">
        <w:rPr>
          <w:rFonts w:ascii="Arial" w:hAnsi="Arial" w:cs="Arial"/>
          <w:b/>
          <w:bCs/>
          <w:sz w:val="22"/>
          <w:szCs w:val="22"/>
        </w:rPr>
        <w:t xml:space="preserve"> </w:t>
      </w:r>
    </w:p>
    <w:p w:rsidR="003F4DC8" w:rsidRPr="00A26E50" w:rsidRDefault="003F4DC8" w:rsidP="003F4DC8">
      <w:pPr>
        <w:ind w:firstLine="0"/>
        <w:rPr>
          <w:rFonts w:ascii="Arial" w:hAnsi="Arial" w:cs="Arial"/>
          <w:b/>
          <w:bCs/>
          <w:sz w:val="22"/>
          <w:szCs w:val="22"/>
        </w:rPr>
      </w:pPr>
    </w:p>
    <w:p w:rsidR="003F4DC8" w:rsidRPr="00A26E50" w:rsidRDefault="003F4DC8" w:rsidP="003F4DC8">
      <w:pPr>
        <w:ind w:firstLine="0"/>
        <w:rPr>
          <w:rFonts w:ascii="Arial" w:hAnsi="Arial" w:cs="Arial"/>
          <w:sz w:val="22"/>
          <w:szCs w:val="22"/>
        </w:rPr>
      </w:pPr>
      <w:r w:rsidRPr="00A26E50">
        <w:rPr>
          <w:rFonts w:ascii="Arial" w:hAnsi="Arial" w:cs="Arial"/>
          <w:sz w:val="22"/>
          <w:szCs w:val="22"/>
        </w:rPr>
        <w:t>O presente artigo tem por objetivo apresentar os resultados das verificações do Tribunal de Contas do Estado de Santa Catarina (TCE/SC) em relação ao cumprimento do limite para inscrição em restos a pagar nos municípios. Quanto aos objetivos, a pesquisa</w:t>
      </w:r>
      <w:r w:rsidR="00661139" w:rsidRPr="00A26E50">
        <w:rPr>
          <w:rFonts w:ascii="Arial" w:hAnsi="Arial" w:cs="Arial"/>
          <w:sz w:val="22"/>
          <w:szCs w:val="22"/>
        </w:rPr>
        <w:t xml:space="preserve"> se </w:t>
      </w:r>
      <w:r w:rsidRPr="00A26E50">
        <w:rPr>
          <w:rFonts w:ascii="Arial" w:hAnsi="Arial" w:cs="Arial"/>
          <w:sz w:val="22"/>
          <w:szCs w:val="22"/>
        </w:rPr>
        <w:t>enquadra</w:t>
      </w:r>
      <w:r w:rsidR="00661139" w:rsidRPr="00A26E50">
        <w:rPr>
          <w:rFonts w:ascii="Arial" w:hAnsi="Arial" w:cs="Arial"/>
          <w:sz w:val="22"/>
          <w:szCs w:val="22"/>
        </w:rPr>
        <w:t xml:space="preserve"> </w:t>
      </w:r>
      <w:r w:rsidRPr="00A26E50">
        <w:rPr>
          <w:rFonts w:ascii="Arial" w:hAnsi="Arial" w:cs="Arial"/>
          <w:sz w:val="22"/>
          <w:szCs w:val="22"/>
        </w:rPr>
        <w:t>como descritiva; no tocante aos procedimentos, caracteriza-se como bibliográfica e documental; e quanto à abordagem do problema, foi classificada como qualitativa e quantitativa. Por meio da análise dos pareceres prévios, dos relatórios e votos dos relatores e das reapreciações emitidos pelo TCE/SC sobre as Prestações de Contas dos Prefeitos (PCP), pôde-se verificar o desempenho dos municípios catarinenses quanto ao cumprimento do limite par</w:t>
      </w:r>
      <w:r w:rsidR="00C93D9B" w:rsidRPr="00A26E50">
        <w:rPr>
          <w:rFonts w:ascii="Arial" w:hAnsi="Arial" w:cs="Arial"/>
          <w:sz w:val="22"/>
          <w:szCs w:val="22"/>
        </w:rPr>
        <w:t>a inscrição em restos a pagar (</w:t>
      </w:r>
      <w:r w:rsidR="007B1489" w:rsidRPr="00A26E50">
        <w:rPr>
          <w:rFonts w:ascii="Arial" w:hAnsi="Arial" w:cs="Arial"/>
          <w:sz w:val="22"/>
          <w:szCs w:val="22"/>
        </w:rPr>
        <w:t>a</w:t>
      </w:r>
      <w:r w:rsidRPr="00A26E50">
        <w:rPr>
          <w:rFonts w:ascii="Arial" w:hAnsi="Arial" w:cs="Arial"/>
          <w:sz w:val="22"/>
          <w:szCs w:val="22"/>
        </w:rPr>
        <w:t xml:space="preserve">rt. 42 da Lei de Responsabilidade Fiscal </w:t>
      </w:r>
      <w:r w:rsidRPr="00A26E50">
        <w:rPr>
          <w:rFonts w:ascii="Arial" w:hAnsi="Arial" w:cs="Arial"/>
          <w:b/>
          <w:sz w:val="22"/>
          <w:szCs w:val="22"/>
        </w:rPr>
        <w:t xml:space="preserve">– </w:t>
      </w:r>
      <w:r w:rsidR="00A64B58" w:rsidRPr="00A26E50">
        <w:rPr>
          <w:rFonts w:ascii="Arial" w:hAnsi="Arial" w:cs="Arial"/>
          <w:sz w:val="22"/>
          <w:szCs w:val="22"/>
        </w:rPr>
        <w:t>LRF)</w:t>
      </w:r>
      <w:r w:rsidRPr="00A26E50">
        <w:rPr>
          <w:rFonts w:ascii="Arial" w:hAnsi="Arial" w:cs="Arial"/>
          <w:sz w:val="22"/>
          <w:szCs w:val="22"/>
        </w:rPr>
        <w:t xml:space="preserve"> nos encerramentos de mandatos de 2000, 2004, 2008 e 2012. Pôde-se concluir que</w:t>
      </w:r>
      <w:r w:rsidR="00076A91" w:rsidRPr="00A26E50">
        <w:rPr>
          <w:rFonts w:ascii="Arial" w:hAnsi="Arial" w:cs="Arial"/>
          <w:sz w:val="22"/>
          <w:szCs w:val="22"/>
        </w:rPr>
        <w:t>,</w:t>
      </w:r>
      <w:r w:rsidRPr="00A26E50">
        <w:rPr>
          <w:rFonts w:ascii="Arial" w:hAnsi="Arial" w:cs="Arial"/>
          <w:sz w:val="22"/>
          <w:szCs w:val="22"/>
        </w:rPr>
        <w:t xml:space="preserve"> mesmo após </w:t>
      </w:r>
      <w:r w:rsidR="00076A91" w:rsidRPr="00A26E50">
        <w:rPr>
          <w:rFonts w:ascii="Arial" w:hAnsi="Arial" w:cs="Arial"/>
          <w:sz w:val="22"/>
          <w:szCs w:val="22"/>
        </w:rPr>
        <w:t>treze</w:t>
      </w:r>
      <w:r w:rsidRPr="00A26E50">
        <w:rPr>
          <w:rFonts w:ascii="Arial" w:hAnsi="Arial" w:cs="Arial"/>
          <w:sz w:val="22"/>
          <w:szCs w:val="22"/>
        </w:rPr>
        <w:t xml:space="preserve"> anos de vigência da LRF, alguns titulares do Poder Executivo dos municípios continuam deixando restos a pagar para seus sucessores</w:t>
      </w:r>
      <w:r w:rsidR="00B36B6C" w:rsidRPr="00A26E50">
        <w:rPr>
          <w:rFonts w:ascii="Arial" w:hAnsi="Arial" w:cs="Arial"/>
          <w:sz w:val="22"/>
          <w:szCs w:val="22"/>
        </w:rPr>
        <w:t xml:space="preserve">, </w:t>
      </w:r>
      <w:r w:rsidRPr="00A26E50">
        <w:rPr>
          <w:rFonts w:ascii="Arial" w:hAnsi="Arial" w:cs="Arial"/>
          <w:sz w:val="22"/>
          <w:szCs w:val="22"/>
        </w:rPr>
        <w:t xml:space="preserve">sem a correspondente disponibilidade em caixa para cobri-los. </w:t>
      </w:r>
      <w:r w:rsidR="00BD24AE" w:rsidRPr="00A26E50">
        <w:rPr>
          <w:rFonts w:ascii="Arial" w:hAnsi="Arial" w:cs="Arial"/>
          <w:sz w:val="22"/>
          <w:szCs w:val="22"/>
        </w:rPr>
        <w:t>Deste modo</w:t>
      </w:r>
      <w:r w:rsidRPr="00A26E50">
        <w:rPr>
          <w:rFonts w:ascii="Arial" w:hAnsi="Arial" w:cs="Arial"/>
          <w:sz w:val="22"/>
          <w:szCs w:val="22"/>
        </w:rPr>
        <w:t xml:space="preserve">, estariam </w:t>
      </w:r>
      <w:r w:rsidR="00114089" w:rsidRPr="00A26E50">
        <w:rPr>
          <w:rFonts w:ascii="Arial" w:hAnsi="Arial" w:cs="Arial"/>
          <w:sz w:val="22"/>
          <w:szCs w:val="22"/>
        </w:rPr>
        <w:t xml:space="preserve">desrespeitando </w:t>
      </w:r>
      <w:r w:rsidR="00977BAE" w:rsidRPr="00A26E50">
        <w:rPr>
          <w:rFonts w:ascii="Arial" w:hAnsi="Arial" w:cs="Arial"/>
          <w:sz w:val="22"/>
          <w:szCs w:val="22"/>
        </w:rPr>
        <w:t xml:space="preserve">o que dispõe o </w:t>
      </w:r>
      <w:r w:rsidR="007B1489" w:rsidRPr="00A26E50">
        <w:rPr>
          <w:rFonts w:ascii="Arial" w:hAnsi="Arial" w:cs="Arial"/>
          <w:sz w:val="22"/>
          <w:szCs w:val="22"/>
        </w:rPr>
        <w:t>a</w:t>
      </w:r>
      <w:r w:rsidRPr="00A26E50">
        <w:rPr>
          <w:rFonts w:ascii="Arial" w:hAnsi="Arial" w:cs="Arial"/>
          <w:sz w:val="22"/>
          <w:szCs w:val="22"/>
        </w:rPr>
        <w:t xml:space="preserve">rt. 42 da LRF. Da totalidade dos municípios que tiveram suas contas apreciadas pelo TCE/SC nos exercícios financeiros de 2000, 2004, 2008 e 2012, respectivamente, 19,5%, 50,9%, 23,2% e 36,5% descumpriram o limite para inscrição em restos a pagar (após os pedidos de reapreciações). Dessa forma, entende-se que a </w:t>
      </w:r>
      <w:r w:rsidRPr="00A26E50">
        <w:rPr>
          <w:rFonts w:ascii="Arial" w:eastAsiaTheme="minorHAnsi" w:hAnsi="Arial" w:cs="Arial"/>
          <w:sz w:val="22"/>
          <w:szCs w:val="22"/>
          <w:lang w:eastAsia="en-US"/>
        </w:rPr>
        <w:t xml:space="preserve">inscrição de despesas em restos a pagar </w:t>
      </w:r>
      <w:r w:rsidR="00114089" w:rsidRPr="00A26E50">
        <w:rPr>
          <w:rFonts w:ascii="Arial" w:hAnsi="Arial" w:cs="Arial"/>
          <w:sz w:val="22"/>
          <w:szCs w:val="22"/>
        </w:rPr>
        <w:t xml:space="preserve">continua sendo um </w:t>
      </w:r>
      <w:r w:rsidR="00DF671C">
        <w:rPr>
          <w:rFonts w:ascii="Arial" w:hAnsi="Arial" w:cs="Arial"/>
          <w:sz w:val="22"/>
          <w:szCs w:val="22"/>
        </w:rPr>
        <w:t>ponto</w:t>
      </w:r>
      <w:r w:rsidR="00114089" w:rsidRPr="00A26E50">
        <w:rPr>
          <w:rFonts w:ascii="Arial" w:hAnsi="Arial" w:cs="Arial"/>
          <w:sz w:val="22"/>
          <w:szCs w:val="22"/>
        </w:rPr>
        <w:t xml:space="preserve"> que requer </w:t>
      </w:r>
      <w:r w:rsidRPr="00A26E50">
        <w:rPr>
          <w:rFonts w:ascii="Arial" w:hAnsi="Arial" w:cs="Arial"/>
          <w:sz w:val="22"/>
          <w:szCs w:val="22"/>
        </w:rPr>
        <w:t>atenção na administração pública municipal catarinense.</w:t>
      </w:r>
    </w:p>
    <w:p w:rsidR="003F4DC8" w:rsidRPr="00A26E50" w:rsidRDefault="003F4DC8" w:rsidP="003F4DC8">
      <w:pPr>
        <w:spacing w:line="480" w:lineRule="auto"/>
        <w:ind w:firstLine="0"/>
        <w:rPr>
          <w:rFonts w:ascii="Arial" w:hAnsi="Arial" w:cs="Arial"/>
          <w:b/>
          <w:bCs/>
          <w:sz w:val="22"/>
          <w:szCs w:val="22"/>
        </w:rPr>
      </w:pPr>
    </w:p>
    <w:p w:rsidR="003F4DC8" w:rsidRPr="00A26E50" w:rsidRDefault="003F4DC8" w:rsidP="003F4DC8">
      <w:pPr>
        <w:ind w:firstLine="0"/>
        <w:rPr>
          <w:rFonts w:ascii="Arial" w:hAnsi="Arial" w:cs="Arial"/>
          <w:sz w:val="22"/>
          <w:szCs w:val="22"/>
        </w:rPr>
        <w:sectPr w:rsidR="003F4DC8" w:rsidRPr="00A26E50" w:rsidSect="000103E0">
          <w:headerReference w:type="default" r:id="rId8"/>
          <w:footerReference w:type="default" r:id="rId9"/>
          <w:pgSz w:w="12240" w:h="15840" w:code="119"/>
          <w:pgMar w:top="1701" w:right="1134" w:bottom="1701" w:left="1701" w:header="142" w:footer="0" w:gutter="0"/>
          <w:cols w:space="720"/>
        </w:sectPr>
      </w:pPr>
      <w:r w:rsidRPr="00A26E50">
        <w:rPr>
          <w:rFonts w:ascii="Arial" w:hAnsi="Arial" w:cs="Arial"/>
          <w:b/>
          <w:bCs/>
          <w:sz w:val="22"/>
          <w:szCs w:val="22"/>
        </w:rPr>
        <w:t>Palavras-chave:</w:t>
      </w:r>
      <w:r w:rsidRPr="00A26E50">
        <w:rPr>
          <w:rFonts w:ascii="Arial" w:hAnsi="Arial" w:cs="Arial"/>
          <w:sz w:val="22"/>
          <w:szCs w:val="22"/>
        </w:rPr>
        <w:t xml:space="preserve"> Restos a Pagar. Artigo 42 da Lei de Responsabilidade Fiscal. Parecer Prévio.</w:t>
      </w:r>
    </w:p>
    <w:p w:rsidR="003F4DC8" w:rsidRPr="00A26E50" w:rsidRDefault="003F4DC8" w:rsidP="00356B99">
      <w:pPr>
        <w:pStyle w:val="Ttulo1"/>
        <w:spacing w:before="0" w:after="0" w:line="360" w:lineRule="auto"/>
        <w:rPr>
          <w:rFonts w:ascii="Arial" w:hAnsi="Arial" w:cs="Arial"/>
          <w:szCs w:val="22"/>
        </w:rPr>
      </w:pPr>
      <w:r w:rsidRPr="00A26E50">
        <w:rPr>
          <w:rFonts w:ascii="Arial" w:hAnsi="Arial" w:cs="Arial"/>
          <w:szCs w:val="22"/>
        </w:rPr>
        <w:lastRenderedPageBreak/>
        <w:t>INTRODUÇÃO</w:t>
      </w:r>
    </w:p>
    <w:p w:rsidR="003F4DC8" w:rsidRPr="00A26E50" w:rsidRDefault="003F4DC8" w:rsidP="00C3708D">
      <w:pPr>
        <w:rPr>
          <w:rFonts w:ascii="Arial" w:eastAsiaTheme="minorHAnsi" w:hAnsi="Arial" w:cs="Arial"/>
          <w:sz w:val="22"/>
          <w:szCs w:val="22"/>
          <w:lang w:eastAsia="en-US"/>
        </w:rPr>
      </w:pPr>
      <w:r w:rsidRPr="00A26E50">
        <w:rPr>
          <w:rFonts w:ascii="Arial" w:hAnsi="Arial" w:cs="Arial"/>
          <w:bCs/>
          <w:sz w:val="22"/>
          <w:szCs w:val="22"/>
          <w:shd w:val="clear" w:color="auto" w:fill="FFFFFF"/>
        </w:rPr>
        <w:t>Historicamente</w:t>
      </w:r>
      <w:r w:rsidR="000572D9" w:rsidRPr="00A26E50">
        <w:rPr>
          <w:rFonts w:ascii="Arial" w:hAnsi="Arial" w:cs="Arial"/>
          <w:bCs/>
          <w:sz w:val="22"/>
          <w:szCs w:val="22"/>
          <w:shd w:val="clear" w:color="auto" w:fill="FFFFFF"/>
        </w:rPr>
        <w:t xml:space="preserve">, </w:t>
      </w:r>
      <w:r w:rsidRPr="00A26E50">
        <w:rPr>
          <w:rFonts w:ascii="Arial" w:hAnsi="Arial" w:cs="Arial"/>
          <w:bCs/>
          <w:sz w:val="22"/>
          <w:szCs w:val="22"/>
          <w:shd w:val="clear" w:color="auto" w:fill="FFFFFF"/>
        </w:rPr>
        <w:t xml:space="preserve">a </w:t>
      </w:r>
      <w:r w:rsidRPr="00A26E50">
        <w:rPr>
          <w:rFonts w:ascii="Arial" w:eastAsiaTheme="minorHAnsi" w:hAnsi="Arial" w:cs="Arial"/>
          <w:sz w:val="22"/>
          <w:szCs w:val="22"/>
          <w:lang w:eastAsia="en-US"/>
        </w:rPr>
        <w:t>inscrição de despesas em restos a pagar representa uma questão problemática</w:t>
      </w:r>
      <w:r w:rsidR="00E3343E">
        <w:rPr>
          <w:rFonts w:ascii="Arial" w:eastAsiaTheme="minorHAnsi" w:hAnsi="Arial" w:cs="Arial"/>
          <w:sz w:val="22"/>
          <w:szCs w:val="22"/>
          <w:lang w:eastAsia="en-US"/>
        </w:rPr>
        <w:t xml:space="preserve">, no que diz respeito às </w:t>
      </w:r>
      <w:r w:rsidRPr="00A26E50">
        <w:rPr>
          <w:rFonts w:ascii="Arial" w:eastAsiaTheme="minorHAnsi" w:hAnsi="Arial" w:cs="Arial"/>
          <w:sz w:val="22"/>
          <w:szCs w:val="22"/>
          <w:lang w:eastAsia="en-US"/>
        </w:rPr>
        <w:t>finanças públicas no Brasil, principalmente nos encerramentos de mandatos dos gestores públicos. Isso pode acontecer, entre outros motivos, em função do d</w:t>
      </w:r>
      <w:r w:rsidRPr="00A26E50">
        <w:rPr>
          <w:rFonts w:ascii="Arial" w:hAnsi="Arial" w:cs="Arial"/>
          <w:sz w:val="22"/>
          <w:szCs w:val="22"/>
        </w:rPr>
        <w:t xml:space="preserve">escontrole dos gastos públicos, </w:t>
      </w:r>
      <w:r w:rsidRPr="00A26E50">
        <w:rPr>
          <w:rFonts w:ascii="Arial" w:eastAsiaTheme="minorHAnsi" w:hAnsi="Arial" w:cs="Arial"/>
          <w:sz w:val="22"/>
          <w:szCs w:val="22"/>
          <w:lang w:eastAsia="en-US"/>
        </w:rPr>
        <w:t xml:space="preserve">ausência de planejamento </w:t>
      </w:r>
      <w:r w:rsidRPr="00A26E50">
        <w:rPr>
          <w:rFonts w:ascii="Arial" w:hAnsi="Arial" w:cs="Arial"/>
          <w:sz w:val="22"/>
          <w:szCs w:val="22"/>
        </w:rPr>
        <w:t xml:space="preserve">e </w:t>
      </w:r>
      <w:r w:rsidRPr="00A26E50">
        <w:rPr>
          <w:rFonts w:ascii="Arial" w:eastAsiaTheme="minorHAnsi" w:hAnsi="Arial" w:cs="Arial"/>
          <w:sz w:val="22"/>
          <w:szCs w:val="22"/>
          <w:lang w:eastAsia="en-US"/>
        </w:rPr>
        <w:t xml:space="preserve">desídia administrativa. No caso da desídia administrativa, apresentam-se como exemplos as situações em que, “com a falta de conservação do patrimônio público e a suspensão do pagamento aos servidores”, </w:t>
      </w:r>
      <w:r w:rsidRPr="00A26E50">
        <w:rPr>
          <w:rFonts w:ascii="Arial" w:hAnsi="Arial" w:cs="Arial"/>
          <w:sz w:val="22"/>
          <w:szCs w:val="22"/>
        </w:rPr>
        <w:t xml:space="preserve">a administração seguinte </w:t>
      </w:r>
      <w:r w:rsidRPr="00A26E50">
        <w:rPr>
          <w:rFonts w:ascii="Arial" w:eastAsiaTheme="minorHAnsi" w:hAnsi="Arial" w:cs="Arial"/>
          <w:sz w:val="22"/>
          <w:szCs w:val="22"/>
          <w:lang w:eastAsia="en-US"/>
        </w:rPr>
        <w:t xml:space="preserve">acabava por herdar “um Déficit Financeiro elevadíssimo e a necessidade de despesas adicionais para colocar a entidade em funcionamento” </w:t>
      </w:r>
      <w:r w:rsidRPr="00A26E50">
        <w:rPr>
          <w:rFonts w:ascii="Arial" w:hAnsi="Arial" w:cs="Arial"/>
          <w:sz w:val="22"/>
          <w:szCs w:val="22"/>
        </w:rPr>
        <w:t xml:space="preserve">(CRUZ </w:t>
      </w:r>
      <w:r w:rsidRPr="00A26E50">
        <w:rPr>
          <w:rFonts w:ascii="Arial" w:hAnsi="Arial" w:cs="Arial"/>
          <w:i/>
          <w:sz w:val="22"/>
          <w:szCs w:val="22"/>
        </w:rPr>
        <w:t>et al.</w:t>
      </w:r>
      <w:r w:rsidRPr="00A26E50">
        <w:rPr>
          <w:rFonts w:ascii="Arial" w:hAnsi="Arial" w:cs="Arial"/>
          <w:sz w:val="22"/>
          <w:szCs w:val="22"/>
        </w:rPr>
        <w:t>, 2014, p. 194)</w:t>
      </w:r>
      <w:r w:rsidRPr="00A26E50">
        <w:rPr>
          <w:rFonts w:ascii="Arial" w:eastAsiaTheme="minorHAnsi" w:hAnsi="Arial" w:cs="Arial"/>
          <w:sz w:val="22"/>
          <w:szCs w:val="22"/>
          <w:lang w:eastAsia="en-US"/>
        </w:rPr>
        <w:t>.</w:t>
      </w:r>
    </w:p>
    <w:p w:rsidR="003F4DC8" w:rsidRPr="00A26E50" w:rsidRDefault="003F4DC8" w:rsidP="00C96A3E">
      <w:pPr>
        <w:rPr>
          <w:rFonts w:ascii="Arial" w:hAnsi="Arial" w:cs="Arial"/>
          <w:sz w:val="22"/>
          <w:szCs w:val="22"/>
        </w:rPr>
      </w:pPr>
      <w:r w:rsidRPr="00A26E50">
        <w:rPr>
          <w:rFonts w:ascii="Arial" w:hAnsi="Arial" w:cs="Arial"/>
          <w:sz w:val="22"/>
          <w:szCs w:val="22"/>
        </w:rPr>
        <w:t>Com vistas a coibir tal conduta, a Lei Complementar n.º 101/2000, conhecida como Lei de Responsabilidade Fiscal (LRF), prevê disciplinamento para es</w:t>
      </w:r>
      <w:r w:rsidR="00721D34" w:rsidRPr="00A26E50">
        <w:rPr>
          <w:rFonts w:ascii="Arial" w:hAnsi="Arial" w:cs="Arial"/>
          <w:sz w:val="22"/>
          <w:szCs w:val="22"/>
        </w:rPr>
        <w:t>s</w:t>
      </w:r>
      <w:r w:rsidRPr="00A26E50">
        <w:rPr>
          <w:rFonts w:ascii="Arial" w:hAnsi="Arial" w:cs="Arial"/>
          <w:sz w:val="22"/>
          <w:szCs w:val="22"/>
        </w:rPr>
        <w:t>e tema</w:t>
      </w:r>
      <w:r w:rsidR="005260FF" w:rsidRPr="00A26E50">
        <w:rPr>
          <w:rFonts w:ascii="Arial" w:hAnsi="Arial" w:cs="Arial"/>
          <w:sz w:val="22"/>
          <w:szCs w:val="22"/>
        </w:rPr>
        <w:t>,</w:t>
      </w:r>
      <w:r w:rsidRPr="00A26E50">
        <w:rPr>
          <w:rFonts w:ascii="Arial" w:hAnsi="Arial" w:cs="Arial"/>
          <w:sz w:val="22"/>
          <w:szCs w:val="22"/>
        </w:rPr>
        <w:t xml:space="preserve"> por meio do </w:t>
      </w:r>
      <w:r w:rsidR="00C364FD" w:rsidRPr="00A26E50">
        <w:rPr>
          <w:rFonts w:ascii="Arial" w:hAnsi="Arial" w:cs="Arial"/>
          <w:sz w:val="22"/>
          <w:szCs w:val="22"/>
        </w:rPr>
        <w:t>a</w:t>
      </w:r>
      <w:r w:rsidRPr="00A26E50">
        <w:rPr>
          <w:rFonts w:ascii="Arial" w:hAnsi="Arial" w:cs="Arial"/>
          <w:sz w:val="22"/>
          <w:szCs w:val="22"/>
        </w:rPr>
        <w:t xml:space="preserve">rt. 42. Extrai-se do referido artigo que os </w:t>
      </w:r>
      <w:r w:rsidR="00D9290E" w:rsidRPr="00A26E50">
        <w:rPr>
          <w:rFonts w:ascii="Arial" w:hAnsi="Arial" w:cs="Arial"/>
          <w:sz w:val="22"/>
          <w:szCs w:val="22"/>
        </w:rPr>
        <w:t>gestores públicos, nos últimos oito</w:t>
      </w:r>
      <w:r w:rsidRPr="00A26E50">
        <w:rPr>
          <w:rFonts w:ascii="Arial" w:hAnsi="Arial" w:cs="Arial"/>
          <w:sz w:val="22"/>
          <w:szCs w:val="22"/>
        </w:rPr>
        <w:t xml:space="preserve"> meses do último ano de mandato, não podem deixar dívidas na forma de restos a pagar para os seus sucessores, a não ser que deixem também a correspondente disponibilidade de caixa para cobri-las.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A fiscalização quanto ao cumprimento das disposições da LRF, com ênfase no que concerne aos limites e condições para inscrição em restos a pagar, fica a cargo do “Poder Legislativo, diretamente ou com o auxílio dos Tribun</w:t>
      </w:r>
      <w:r w:rsidR="00372DB8" w:rsidRPr="00A26E50">
        <w:rPr>
          <w:rFonts w:ascii="Arial" w:hAnsi="Arial" w:cs="Arial"/>
          <w:sz w:val="22"/>
          <w:szCs w:val="22"/>
        </w:rPr>
        <w:t xml:space="preserve">ais de Contas” (BRASIL, 2000a, </w:t>
      </w:r>
      <w:r w:rsidR="00BE1EA5" w:rsidRPr="00A26E50">
        <w:rPr>
          <w:rFonts w:ascii="Arial" w:hAnsi="Arial" w:cs="Arial"/>
          <w:sz w:val="22"/>
          <w:szCs w:val="22"/>
        </w:rPr>
        <w:t>a</w:t>
      </w:r>
      <w:r w:rsidRPr="00A26E50">
        <w:rPr>
          <w:rFonts w:ascii="Arial" w:hAnsi="Arial" w:cs="Arial"/>
          <w:sz w:val="22"/>
          <w:szCs w:val="22"/>
        </w:rPr>
        <w:t>rt. 59, II).</w:t>
      </w:r>
    </w:p>
    <w:p w:rsidR="003F4DC8" w:rsidRPr="00A26E50" w:rsidRDefault="003F4DC8" w:rsidP="00C96A3E">
      <w:pPr>
        <w:autoSpaceDE w:val="0"/>
        <w:autoSpaceDN w:val="0"/>
        <w:adjustRightInd w:val="0"/>
        <w:rPr>
          <w:rFonts w:ascii="Arial" w:hAnsi="Arial" w:cs="Arial"/>
          <w:i/>
          <w:iCs/>
          <w:sz w:val="22"/>
          <w:szCs w:val="22"/>
        </w:rPr>
      </w:pPr>
      <w:r w:rsidRPr="00A26E50">
        <w:rPr>
          <w:rFonts w:ascii="Arial" w:hAnsi="Arial" w:cs="Arial"/>
          <w:sz w:val="22"/>
          <w:szCs w:val="22"/>
        </w:rPr>
        <w:t xml:space="preserve">Considerando o cenário delineado, apresenta-se como questão central a seguinte pergunta: </w:t>
      </w:r>
      <w:r w:rsidRPr="00A26E50">
        <w:rPr>
          <w:rFonts w:ascii="Arial" w:hAnsi="Arial" w:cs="Arial"/>
          <w:iCs/>
          <w:sz w:val="22"/>
          <w:szCs w:val="22"/>
        </w:rPr>
        <w:t>qual o desempenho dos municípios catarinenses em relação ao cumprimento do limite para inscrição em restos a pagar em finais de mandatos dos prefeitos, a partir das verificações realizadas pelo Tribunal de Contas?</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A partir </w:t>
      </w:r>
      <w:r w:rsidR="004A46FE" w:rsidRPr="00A26E50">
        <w:rPr>
          <w:rFonts w:ascii="Arial" w:hAnsi="Arial" w:cs="Arial"/>
          <w:sz w:val="22"/>
          <w:szCs w:val="22"/>
        </w:rPr>
        <w:t>dess</w:t>
      </w:r>
      <w:r w:rsidRPr="00A26E50">
        <w:rPr>
          <w:rFonts w:ascii="Arial" w:hAnsi="Arial" w:cs="Arial"/>
          <w:sz w:val="22"/>
          <w:szCs w:val="22"/>
        </w:rPr>
        <w:t xml:space="preserve">a questão, </w:t>
      </w:r>
      <w:r w:rsidR="004A46FE" w:rsidRPr="00A26E50">
        <w:rPr>
          <w:rFonts w:ascii="Arial" w:hAnsi="Arial" w:cs="Arial"/>
          <w:sz w:val="22"/>
          <w:szCs w:val="22"/>
        </w:rPr>
        <w:t>este</w:t>
      </w:r>
      <w:r w:rsidRPr="00A26E50">
        <w:rPr>
          <w:rFonts w:ascii="Arial" w:hAnsi="Arial" w:cs="Arial"/>
          <w:sz w:val="22"/>
          <w:szCs w:val="22"/>
        </w:rPr>
        <w:t xml:space="preserve"> artigo tem por objetivo apresentar os resultados das verificações do Tribunal de Contas do Estado de Santa Catarina (TCE/SC) em relação ao cumprimento do limite para inscrição em restos a pagar nos municípios. </w:t>
      </w:r>
    </w:p>
    <w:p w:rsidR="003F4DC8" w:rsidRPr="00A26E50" w:rsidRDefault="003F4DC8" w:rsidP="00C96A3E">
      <w:pPr>
        <w:rPr>
          <w:rFonts w:ascii="Arial" w:hAnsi="Arial" w:cs="Arial"/>
          <w:sz w:val="22"/>
          <w:szCs w:val="22"/>
        </w:rPr>
      </w:pPr>
      <w:r w:rsidRPr="00A26E50">
        <w:rPr>
          <w:rFonts w:ascii="Arial" w:hAnsi="Arial" w:cs="Arial"/>
          <w:sz w:val="22"/>
          <w:szCs w:val="22"/>
        </w:rPr>
        <w:t xml:space="preserve">Diante do exposto, foram analisados os pareceres prévios, os relatórios e votos dos relatores e as reapreciações emitidos pelo TCE/SC sobre as Prestações de Contas dos Prefeitos (PCP) dos municípios catarinenses, à luz das exigências legais e de outras fontes existentes. Tais análises permitiram apresentar a evolução das aprovações e rejeições das contas dos prefeitos </w:t>
      </w:r>
      <w:r w:rsidR="00E75CC8" w:rsidRPr="00A26E50">
        <w:rPr>
          <w:rFonts w:ascii="Arial" w:hAnsi="Arial" w:cs="Arial"/>
          <w:sz w:val="22"/>
          <w:szCs w:val="22"/>
        </w:rPr>
        <w:t>nos encerramentos de mandatos nos anos</w:t>
      </w:r>
      <w:r w:rsidRPr="00A26E50">
        <w:rPr>
          <w:rFonts w:ascii="Arial" w:hAnsi="Arial" w:cs="Arial"/>
          <w:sz w:val="22"/>
          <w:szCs w:val="22"/>
        </w:rPr>
        <w:t xml:space="preserve"> 2000, 2004, 2008 e 2012, com foco no descumprimento relativo aos restos a pagar. </w:t>
      </w:r>
    </w:p>
    <w:p w:rsidR="003F4DC8" w:rsidRPr="00A26E50" w:rsidRDefault="003F4DC8" w:rsidP="00C96A3E">
      <w:pPr>
        <w:rPr>
          <w:rFonts w:ascii="Arial" w:hAnsi="Arial" w:cs="Arial"/>
          <w:sz w:val="22"/>
          <w:szCs w:val="22"/>
        </w:rPr>
      </w:pPr>
      <w:r w:rsidRPr="00A26E50">
        <w:rPr>
          <w:rFonts w:ascii="Arial" w:hAnsi="Arial" w:cs="Arial"/>
          <w:sz w:val="22"/>
          <w:szCs w:val="22"/>
        </w:rPr>
        <w:t xml:space="preserve">O presente estudo </w:t>
      </w:r>
      <w:r w:rsidR="00A76B84">
        <w:rPr>
          <w:rFonts w:ascii="Arial" w:hAnsi="Arial" w:cs="Arial"/>
          <w:sz w:val="22"/>
          <w:szCs w:val="22"/>
        </w:rPr>
        <w:t xml:space="preserve">está </w:t>
      </w:r>
      <w:r w:rsidRPr="00A26E50">
        <w:rPr>
          <w:rFonts w:ascii="Arial" w:hAnsi="Arial" w:cs="Arial"/>
          <w:sz w:val="22"/>
          <w:szCs w:val="22"/>
        </w:rPr>
        <w:t>delimita</w:t>
      </w:r>
      <w:r w:rsidR="00A76B84">
        <w:rPr>
          <w:rFonts w:ascii="Arial" w:hAnsi="Arial" w:cs="Arial"/>
          <w:sz w:val="22"/>
          <w:szCs w:val="22"/>
        </w:rPr>
        <w:t>do</w:t>
      </w:r>
      <w:r w:rsidRPr="00A26E50">
        <w:rPr>
          <w:rFonts w:ascii="Arial" w:hAnsi="Arial" w:cs="Arial"/>
          <w:sz w:val="22"/>
          <w:szCs w:val="22"/>
        </w:rPr>
        <w:t xml:space="preserve"> a</w:t>
      </w:r>
      <w:r w:rsidR="00E964DD" w:rsidRPr="00A26E50">
        <w:rPr>
          <w:rFonts w:ascii="Arial" w:hAnsi="Arial" w:cs="Arial"/>
          <w:sz w:val="22"/>
          <w:szCs w:val="22"/>
        </w:rPr>
        <w:t xml:space="preserve"> cumprir seu objetivo explícito</w:t>
      </w:r>
      <w:r w:rsidRPr="00A26E50">
        <w:rPr>
          <w:rFonts w:ascii="Arial" w:hAnsi="Arial" w:cs="Arial"/>
          <w:sz w:val="22"/>
          <w:szCs w:val="22"/>
        </w:rPr>
        <w:t xml:space="preserve"> por meio da execução dos procedimentos metodológicos e da aplicação dos instrumentos delineados </w:t>
      </w:r>
      <w:r w:rsidRPr="00B35866">
        <w:rPr>
          <w:rFonts w:ascii="Arial" w:hAnsi="Arial" w:cs="Arial"/>
          <w:sz w:val="22"/>
          <w:szCs w:val="22"/>
        </w:rPr>
        <w:t xml:space="preserve">no Capítulo </w:t>
      </w:r>
      <w:r w:rsidR="00B35866" w:rsidRPr="00B35866">
        <w:rPr>
          <w:rFonts w:ascii="Arial" w:hAnsi="Arial" w:cs="Arial"/>
          <w:sz w:val="22"/>
          <w:szCs w:val="22"/>
        </w:rPr>
        <w:t>2</w:t>
      </w:r>
      <w:r w:rsidRPr="00B35866">
        <w:rPr>
          <w:rFonts w:ascii="Arial" w:hAnsi="Arial" w:cs="Arial"/>
          <w:sz w:val="22"/>
          <w:szCs w:val="22"/>
        </w:rPr>
        <w:t>. A</w:t>
      </w:r>
      <w:r w:rsidRPr="00A26E50">
        <w:rPr>
          <w:rFonts w:ascii="Arial" w:hAnsi="Arial" w:cs="Arial"/>
          <w:sz w:val="22"/>
          <w:szCs w:val="22"/>
        </w:rPr>
        <w:t xml:space="preserve"> pesquisa não tem a pretensão de criticar as normas aplicáveis ao limite para inscrição em restos a pagar, </w:t>
      </w:r>
      <w:r w:rsidR="00CC57B3" w:rsidRPr="00A26E50">
        <w:rPr>
          <w:rFonts w:ascii="Arial" w:hAnsi="Arial" w:cs="Arial"/>
          <w:sz w:val="22"/>
          <w:szCs w:val="22"/>
        </w:rPr>
        <w:t>tampouco</w:t>
      </w:r>
      <w:r w:rsidRPr="00A26E50">
        <w:rPr>
          <w:rFonts w:ascii="Arial" w:hAnsi="Arial" w:cs="Arial"/>
          <w:sz w:val="22"/>
          <w:szCs w:val="22"/>
        </w:rPr>
        <w:t xml:space="preserve"> questionar a sistemática de apuração aplicada pelo TCE/</w:t>
      </w:r>
      <w:r w:rsidR="00454F48" w:rsidRPr="00A26E50">
        <w:rPr>
          <w:rFonts w:ascii="Arial" w:hAnsi="Arial" w:cs="Arial"/>
          <w:sz w:val="22"/>
          <w:szCs w:val="22"/>
        </w:rPr>
        <w:t xml:space="preserve">SC quanto ao descumprimento do </w:t>
      </w:r>
      <w:r w:rsidR="00380D89" w:rsidRPr="00A26E50">
        <w:rPr>
          <w:rFonts w:ascii="Arial" w:hAnsi="Arial" w:cs="Arial"/>
          <w:sz w:val="22"/>
          <w:szCs w:val="22"/>
        </w:rPr>
        <w:t>a</w:t>
      </w:r>
      <w:r w:rsidRPr="00A26E50">
        <w:rPr>
          <w:rFonts w:ascii="Arial" w:hAnsi="Arial" w:cs="Arial"/>
          <w:sz w:val="22"/>
          <w:szCs w:val="22"/>
        </w:rPr>
        <w:t xml:space="preserve">rt. 42. </w:t>
      </w:r>
    </w:p>
    <w:p w:rsidR="003F4DC8" w:rsidRPr="00A26E50" w:rsidRDefault="003F4DC8" w:rsidP="00C96A3E">
      <w:pPr>
        <w:rPr>
          <w:rFonts w:ascii="Arial" w:hAnsi="Arial" w:cs="Arial"/>
          <w:sz w:val="22"/>
          <w:szCs w:val="22"/>
        </w:rPr>
      </w:pPr>
      <w:r w:rsidRPr="00A26E50">
        <w:rPr>
          <w:rFonts w:ascii="Arial" w:hAnsi="Arial" w:cs="Arial"/>
          <w:sz w:val="22"/>
          <w:szCs w:val="22"/>
        </w:rPr>
        <w:t>A justificativa</w:t>
      </w:r>
      <w:r w:rsidR="00B44C37" w:rsidRPr="00A26E50">
        <w:rPr>
          <w:rFonts w:ascii="Arial" w:hAnsi="Arial" w:cs="Arial"/>
          <w:sz w:val="22"/>
          <w:szCs w:val="22"/>
        </w:rPr>
        <w:t xml:space="preserve"> para realização desta pesquisa se </w:t>
      </w:r>
      <w:r w:rsidRPr="00A26E50">
        <w:rPr>
          <w:rFonts w:ascii="Arial" w:hAnsi="Arial" w:cs="Arial"/>
          <w:sz w:val="22"/>
          <w:szCs w:val="22"/>
        </w:rPr>
        <w:t>pauta</w:t>
      </w:r>
      <w:r w:rsidR="00B44C37" w:rsidRPr="00A26E50">
        <w:rPr>
          <w:rFonts w:ascii="Arial" w:hAnsi="Arial" w:cs="Arial"/>
          <w:sz w:val="22"/>
          <w:szCs w:val="22"/>
        </w:rPr>
        <w:t xml:space="preserve"> </w:t>
      </w:r>
      <w:r w:rsidRPr="00A26E50">
        <w:rPr>
          <w:rFonts w:ascii="Arial" w:hAnsi="Arial" w:cs="Arial"/>
          <w:sz w:val="22"/>
          <w:szCs w:val="22"/>
        </w:rPr>
        <w:t>em sua relevância</w:t>
      </w:r>
      <w:r w:rsidR="003378F9" w:rsidRPr="00A26E50">
        <w:rPr>
          <w:rFonts w:ascii="Arial" w:hAnsi="Arial" w:cs="Arial"/>
          <w:sz w:val="22"/>
          <w:szCs w:val="22"/>
        </w:rPr>
        <w:t xml:space="preserve">, </w:t>
      </w:r>
      <w:r w:rsidRPr="00A26E50">
        <w:rPr>
          <w:rFonts w:ascii="Arial" w:hAnsi="Arial" w:cs="Arial"/>
          <w:sz w:val="22"/>
          <w:szCs w:val="22"/>
        </w:rPr>
        <w:t>particularmente no</w:t>
      </w:r>
      <w:r w:rsidR="00776452" w:rsidRPr="00A26E50">
        <w:rPr>
          <w:rFonts w:ascii="Arial" w:hAnsi="Arial" w:cs="Arial"/>
          <w:sz w:val="22"/>
          <w:szCs w:val="22"/>
        </w:rPr>
        <w:t xml:space="preserve"> que </w:t>
      </w:r>
      <w:r w:rsidR="00A028B0">
        <w:rPr>
          <w:rFonts w:ascii="Arial" w:hAnsi="Arial" w:cs="Arial"/>
          <w:sz w:val="22"/>
          <w:szCs w:val="22"/>
        </w:rPr>
        <w:t>diz respeito</w:t>
      </w:r>
      <w:r w:rsidR="00776452" w:rsidRPr="00A26E50">
        <w:rPr>
          <w:rFonts w:ascii="Arial" w:hAnsi="Arial" w:cs="Arial"/>
          <w:sz w:val="22"/>
          <w:szCs w:val="22"/>
        </w:rPr>
        <w:t xml:space="preserve"> ao</w:t>
      </w:r>
      <w:r w:rsidRPr="00A26E50">
        <w:rPr>
          <w:rFonts w:ascii="Arial" w:hAnsi="Arial" w:cs="Arial"/>
          <w:sz w:val="22"/>
          <w:szCs w:val="22"/>
        </w:rPr>
        <w:t xml:space="preserve"> contexto social. A pesquisa </w:t>
      </w:r>
      <w:r w:rsidR="001D18E0" w:rsidRPr="00A26E50">
        <w:rPr>
          <w:rFonts w:ascii="Arial" w:hAnsi="Arial" w:cs="Arial"/>
          <w:sz w:val="22"/>
          <w:szCs w:val="22"/>
        </w:rPr>
        <w:t xml:space="preserve">se </w:t>
      </w:r>
      <w:r w:rsidRPr="00A26E50">
        <w:rPr>
          <w:rFonts w:ascii="Arial" w:hAnsi="Arial" w:cs="Arial"/>
          <w:sz w:val="22"/>
          <w:szCs w:val="22"/>
        </w:rPr>
        <w:t>justifica</w:t>
      </w:r>
      <w:r w:rsidR="001D18E0" w:rsidRPr="00A26E50">
        <w:rPr>
          <w:rFonts w:ascii="Arial" w:hAnsi="Arial" w:cs="Arial"/>
          <w:sz w:val="22"/>
          <w:szCs w:val="22"/>
        </w:rPr>
        <w:t xml:space="preserve"> </w:t>
      </w:r>
      <w:r w:rsidRPr="00A26E50">
        <w:rPr>
          <w:rFonts w:ascii="Arial" w:hAnsi="Arial" w:cs="Arial"/>
          <w:sz w:val="22"/>
          <w:szCs w:val="22"/>
        </w:rPr>
        <w:t>porque busca simplificar o entendimento dos pareceres, reapreciações e relatórios e votos dos relatores</w:t>
      </w:r>
      <w:r w:rsidR="00393981" w:rsidRPr="00A26E50">
        <w:rPr>
          <w:rFonts w:ascii="Arial" w:hAnsi="Arial" w:cs="Arial"/>
          <w:sz w:val="22"/>
          <w:szCs w:val="22"/>
        </w:rPr>
        <w:t>,</w:t>
      </w:r>
      <w:r w:rsidRPr="00A26E50">
        <w:rPr>
          <w:rFonts w:ascii="Arial" w:hAnsi="Arial" w:cs="Arial"/>
          <w:sz w:val="22"/>
          <w:szCs w:val="22"/>
        </w:rPr>
        <w:t xml:space="preserve"> disponibilizados pelo TCE/SC, e apresentá-los </w:t>
      </w:r>
      <w:r w:rsidR="00F45396" w:rsidRPr="00A26E50">
        <w:rPr>
          <w:rFonts w:ascii="Arial" w:hAnsi="Arial" w:cs="Arial"/>
          <w:sz w:val="22"/>
          <w:szCs w:val="22"/>
        </w:rPr>
        <w:t xml:space="preserve">utilizando </w:t>
      </w:r>
      <w:r w:rsidRPr="00A26E50">
        <w:rPr>
          <w:rFonts w:ascii="Arial" w:hAnsi="Arial" w:cs="Arial"/>
          <w:sz w:val="22"/>
          <w:szCs w:val="22"/>
        </w:rPr>
        <w:t>tabelas, gráficos e textos explicativos. Dessa forma, a pesquisa evidencia à sociedade o desempenho dos prefeitos quanto ao cump</w:t>
      </w:r>
      <w:r w:rsidR="00F45396" w:rsidRPr="00A26E50">
        <w:rPr>
          <w:rFonts w:ascii="Arial" w:hAnsi="Arial" w:cs="Arial"/>
          <w:sz w:val="22"/>
          <w:szCs w:val="22"/>
        </w:rPr>
        <w:t xml:space="preserve">rimento da vedação prevista no </w:t>
      </w:r>
      <w:r w:rsidR="0067636D" w:rsidRPr="00A26E50">
        <w:rPr>
          <w:rFonts w:ascii="Arial" w:hAnsi="Arial" w:cs="Arial"/>
          <w:sz w:val="22"/>
          <w:szCs w:val="22"/>
        </w:rPr>
        <w:t>a</w:t>
      </w:r>
      <w:r w:rsidRPr="00A26E50">
        <w:rPr>
          <w:rFonts w:ascii="Arial" w:hAnsi="Arial" w:cs="Arial"/>
          <w:sz w:val="22"/>
          <w:szCs w:val="22"/>
        </w:rPr>
        <w:t>rt. 42 da LRF, o que pode favorecer o exercício do controle social.</w:t>
      </w:r>
    </w:p>
    <w:p w:rsidR="003F4DC8" w:rsidRPr="00A26E50" w:rsidRDefault="003F4DC8" w:rsidP="00A17A0E">
      <w:pPr>
        <w:rPr>
          <w:rFonts w:ascii="Arial" w:hAnsi="Arial" w:cs="Arial"/>
          <w:sz w:val="22"/>
          <w:szCs w:val="22"/>
        </w:rPr>
      </w:pPr>
    </w:p>
    <w:p w:rsidR="003F4DC8" w:rsidRPr="00A26E50" w:rsidRDefault="003F4DC8" w:rsidP="00630964">
      <w:pPr>
        <w:pStyle w:val="Ttulo1"/>
        <w:spacing w:before="0" w:after="0" w:line="360" w:lineRule="auto"/>
        <w:rPr>
          <w:rFonts w:ascii="Arial" w:hAnsi="Arial" w:cs="Arial"/>
          <w:szCs w:val="22"/>
        </w:rPr>
      </w:pPr>
      <w:r w:rsidRPr="00A26E50">
        <w:rPr>
          <w:rFonts w:ascii="Arial" w:hAnsi="Arial" w:cs="Arial"/>
          <w:szCs w:val="22"/>
        </w:rPr>
        <w:t>METODOLOGIA DA PESQUISA</w:t>
      </w:r>
    </w:p>
    <w:p w:rsidR="003F4DC8" w:rsidRPr="00A26E50" w:rsidRDefault="003F4DC8" w:rsidP="00A17A0E">
      <w:pPr>
        <w:rPr>
          <w:rFonts w:ascii="Arial" w:hAnsi="Arial" w:cs="Arial"/>
          <w:sz w:val="22"/>
          <w:szCs w:val="22"/>
        </w:rPr>
      </w:pPr>
      <w:r w:rsidRPr="00A26E50">
        <w:rPr>
          <w:rFonts w:ascii="Arial" w:hAnsi="Arial" w:cs="Arial"/>
          <w:sz w:val="22"/>
          <w:szCs w:val="22"/>
        </w:rPr>
        <w:t xml:space="preserve">De acordo com Raupp e Beuren (2009, p. 79), as tipologias de pesquisas que </w:t>
      </w:r>
      <w:r w:rsidR="002B6D01" w:rsidRPr="00A26E50">
        <w:rPr>
          <w:rFonts w:ascii="Arial" w:hAnsi="Arial" w:cs="Arial"/>
          <w:sz w:val="22"/>
          <w:szCs w:val="22"/>
        </w:rPr>
        <w:t xml:space="preserve">melhor se </w:t>
      </w:r>
      <w:r w:rsidR="002B6D01" w:rsidRPr="00A26E50">
        <w:rPr>
          <w:rFonts w:ascii="Arial" w:hAnsi="Arial" w:cs="Arial"/>
          <w:sz w:val="22"/>
          <w:szCs w:val="22"/>
        </w:rPr>
        <w:lastRenderedPageBreak/>
        <w:t>adequam à</w:t>
      </w:r>
      <w:r w:rsidRPr="00A26E50">
        <w:rPr>
          <w:rFonts w:ascii="Arial" w:hAnsi="Arial" w:cs="Arial"/>
          <w:sz w:val="22"/>
          <w:szCs w:val="22"/>
        </w:rPr>
        <w:t>s parti</w:t>
      </w:r>
      <w:r w:rsidR="00D600D9" w:rsidRPr="00A26E50">
        <w:rPr>
          <w:rFonts w:ascii="Arial" w:hAnsi="Arial" w:cs="Arial"/>
          <w:sz w:val="22"/>
          <w:szCs w:val="22"/>
        </w:rPr>
        <w:t>cularidades da Ciência Contábil</w:t>
      </w:r>
      <w:r w:rsidRPr="00A26E50">
        <w:rPr>
          <w:rFonts w:ascii="Arial" w:hAnsi="Arial" w:cs="Arial"/>
          <w:sz w:val="22"/>
          <w:szCs w:val="22"/>
        </w:rPr>
        <w:t xml:space="preserve"> podem ser classificadas em três categorias: quanto aos objetivos; aos procedimentos; e quanto à abordagem do problema.</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Quanto aos objetivos, a pesquisa </w:t>
      </w:r>
      <w:r w:rsidR="00452524" w:rsidRPr="00A26E50">
        <w:rPr>
          <w:rFonts w:ascii="Arial" w:hAnsi="Arial" w:cs="Arial"/>
          <w:sz w:val="22"/>
          <w:szCs w:val="22"/>
        </w:rPr>
        <w:t xml:space="preserve">se </w:t>
      </w:r>
      <w:r w:rsidRPr="00A26E50">
        <w:rPr>
          <w:rFonts w:ascii="Arial" w:hAnsi="Arial" w:cs="Arial"/>
          <w:sz w:val="22"/>
          <w:szCs w:val="22"/>
        </w:rPr>
        <w:t>enquadra</w:t>
      </w:r>
      <w:r w:rsidR="00452524" w:rsidRPr="00A26E50">
        <w:rPr>
          <w:rFonts w:ascii="Arial" w:hAnsi="Arial" w:cs="Arial"/>
          <w:sz w:val="22"/>
          <w:szCs w:val="22"/>
        </w:rPr>
        <w:t xml:space="preserve"> </w:t>
      </w:r>
      <w:r w:rsidRPr="00A26E50">
        <w:rPr>
          <w:rFonts w:ascii="Arial" w:hAnsi="Arial" w:cs="Arial"/>
          <w:sz w:val="22"/>
          <w:szCs w:val="22"/>
        </w:rPr>
        <w:t>como descritiva; no tocante aos procedimentos, caracteriza-se como bibliográfica e documental; e quanto à abordagem do problema, classifica-se como qualitativa e quantitativa.</w:t>
      </w:r>
    </w:p>
    <w:p w:rsidR="003F4DC8" w:rsidRPr="00A26E50" w:rsidRDefault="003F4DC8" w:rsidP="00C96A3E">
      <w:pPr>
        <w:rPr>
          <w:rFonts w:ascii="Arial" w:hAnsi="Arial" w:cs="Arial"/>
          <w:sz w:val="22"/>
          <w:szCs w:val="22"/>
        </w:rPr>
      </w:pPr>
      <w:r w:rsidRPr="00A26E50">
        <w:rPr>
          <w:rFonts w:ascii="Arial" w:hAnsi="Arial" w:cs="Arial"/>
          <w:sz w:val="22"/>
          <w:szCs w:val="22"/>
        </w:rPr>
        <w:t>Segundo Colauto e Beuren (2009, p. 128) as técnicas e instrumentos aplicados a uma pesquisa, “são entendidos como preceitos ou processos que” direcionam “de forma lógica e sistemática, o processo de coleta, análise e interpretação dos dados”.</w:t>
      </w:r>
      <w:r w:rsidR="00380204" w:rsidRPr="00A26E50">
        <w:rPr>
          <w:rFonts w:ascii="Arial" w:hAnsi="Arial" w:cs="Arial"/>
          <w:sz w:val="22"/>
          <w:szCs w:val="22"/>
        </w:rPr>
        <w:t xml:space="preserve"> </w:t>
      </w:r>
      <w:r w:rsidRPr="00A26E50">
        <w:rPr>
          <w:rFonts w:ascii="Arial" w:hAnsi="Arial" w:cs="Arial"/>
          <w:sz w:val="22"/>
          <w:szCs w:val="22"/>
        </w:rPr>
        <w:t>No processo da coleta de dados, utilizou-se como instrumento a</w:t>
      </w:r>
      <w:r w:rsidR="003F7AFE" w:rsidRPr="00A26E50">
        <w:rPr>
          <w:rFonts w:ascii="Arial" w:hAnsi="Arial" w:cs="Arial"/>
          <w:sz w:val="22"/>
          <w:szCs w:val="22"/>
        </w:rPr>
        <w:t xml:space="preserve"> </w:t>
      </w:r>
      <w:r w:rsidRPr="00A26E50">
        <w:rPr>
          <w:rFonts w:ascii="Arial" w:hAnsi="Arial" w:cs="Arial"/>
          <w:sz w:val="22"/>
          <w:szCs w:val="22"/>
        </w:rPr>
        <w:t xml:space="preserve">documentação indireta, tanto de fontes primárias </w:t>
      </w:r>
      <w:r w:rsidR="00846EC9" w:rsidRPr="00A26E50">
        <w:rPr>
          <w:rFonts w:ascii="Arial" w:hAnsi="Arial" w:cs="Arial"/>
          <w:sz w:val="22"/>
          <w:szCs w:val="22"/>
        </w:rPr>
        <w:t>(documental)</w:t>
      </w:r>
      <w:r w:rsidRPr="00A26E50">
        <w:rPr>
          <w:rFonts w:ascii="Arial" w:hAnsi="Arial" w:cs="Arial"/>
          <w:sz w:val="22"/>
          <w:szCs w:val="22"/>
        </w:rPr>
        <w:t xml:space="preserve"> quanto de fontes secundárias (bibliográfica).</w:t>
      </w:r>
    </w:p>
    <w:p w:rsidR="00444188" w:rsidRPr="00444188" w:rsidRDefault="003F4DC8" w:rsidP="00444188">
      <w:pPr>
        <w:rPr>
          <w:rFonts w:ascii="Arial" w:hAnsi="Arial" w:cs="Arial"/>
          <w:sz w:val="22"/>
          <w:szCs w:val="22"/>
        </w:rPr>
      </w:pPr>
      <w:r w:rsidRPr="00A26E50">
        <w:rPr>
          <w:rFonts w:ascii="Arial" w:hAnsi="Arial" w:cs="Arial"/>
          <w:sz w:val="22"/>
          <w:szCs w:val="22"/>
        </w:rPr>
        <w:t xml:space="preserve">Para a pesquisa de fontes primárias, foram analisadas: (a) bases normativas, para o embasamento do capítulo de fundamentação teórica e de resultados; e (b) pareceres prévios, relatórios e votos do relatores e reapreciações emitidos pelo TCE/SC, com vistas a extrair os dados necessários para fundamentar </w:t>
      </w:r>
      <w:r w:rsidRPr="00444188">
        <w:rPr>
          <w:rFonts w:ascii="Arial" w:hAnsi="Arial" w:cs="Arial"/>
          <w:sz w:val="22"/>
          <w:szCs w:val="22"/>
        </w:rPr>
        <w:t>o capítulo de resultados.</w:t>
      </w:r>
      <w:r w:rsidRPr="00A26E50">
        <w:rPr>
          <w:rFonts w:ascii="Arial" w:hAnsi="Arial" w:cs="Arial"/>
          <w:sz w:val="22"/>
          <w:szCs w:val="22"/>
        </w:rPr>
        <w:t xml:space="preserve"> Para a pesquisa de fontes secundárias</w:t>
      </w:r>
      <w:r w:rsidRPr="00444188">
        <w:rPr>
          <w:rFonts w:ascii="Arial" w:hAnsi="Arial" w:cs="Arial"/>
          <w:sz w:val="22"/>
          <w:szCs w:val="22"/>
        </w:rPr>
        <w:t xml:space="preserve">, foram consultados livros, monografias e artigos científicos, a fim de subsidiar os capítulos de </w:t>
      </w:r>
      <w:r w:rsidR="00444188" w:rsidRPr="00444188">
        <w:rPr>
          <w:rFonts w:ascii="Arial" w:hAnsi="Arial" w:cs="Arial"/>
          <w:sz w:val="22"/>
          <w:szCs w:val="22"/>
        </w:rPr>
        <w:t xml:space="preserve">referencial </w:t>
      </w:r>
      <w:r w:rsidRPr="00444188">
        <w:rPr>
          <w:rFonts w:ascii="Arial" w:hAnsi="Arial" w:cs="Arial"/>
          <w:sz w:val="22"/>
          <w:szCs w:val="22"/>
        </w:rPr>
        <w:t>teórica e de resultados.</w:t>
      </w:r>
    </w:p>
    <w:p w:rsidR="003F4DC8" w:rsidRPr="00A26E50" w:rsidRDefault="003F4DC8" w:rsidP="00C96A3E">
      <w:pPr>
        <w:rPr>
          <w:rFonts w:ascii="Arial" w:hAnsi="Arial" w:cs="Arial"/>
          <w:sz w:val="22"/>
          <w:szCs w:val="22"/>
        </w:rPr>
      </w:pPr>
      <w:r w:rsidRPr="00444188">
        <w:rPr>
          <w:rFonts w:ascii="Arial" w:hAnsi="Arial" w:cs="Arial"/>
          <w:sz w:val="22"/>
          <w:szCs w:val="22"/>
        </w:rPr>
        <w:t>No processo de análise e interpretação dos</w:t>
      </w:r>
      <w:r w:rsidRPr="00A26E50">
        <w:rPr>
          <w:rFonts w:ascii="Arial" w:hAnsi="Arial" w:cs="Arial"/>
          <w:sz w:val="22"/>
          <w:szCs w:val="22"/>
        </w:rPr>
        <w:t xml:space="preserve"> dados, foram empregadas as análises documental e de conteúdo. A análise documental buscou identificar informações quanto ao cumprimento do limite para inscrição em restos a pagar por parte dos municípios catarinenses, por </w:t>
      </w:r>
      <w:r w:rsidR="00A53162" w:rsidRPr="00A26E50">
        <w:rPr>
          <w:rFonts w:ascii="Arial" w:hAnsi="Arial" w:cs="Arial"/>
          <w:sz w:val="22"/>
          <w:szCs w:val="22"/>
        </w:rPr>
        <w:t xml:space="preserve">meio dos pareceres prévios, </w:t>
      </w:r>
      <w:r w:rsidRPr="00A26E50">
        <w:rPr>
          <w:rFonts w:ascii="Arial" w:hAnsi="Arial" w:cs="Arial"/>
          <w:sz w:val="22"/>
          <w:szCs w:val="22"/>
        </w:rPr>
        <w:t xml:space="preserve">relatórios e votos dos relatores e das reapreciações, à luz das exigências legais aplicáveis. </w:t>
      </w:r>
    </w:p>
    <w:p w:rsidR="003F4DC8" w:rsidRPr="00A26E50" w:rsidRDefault="003F4DC8" w:rsidP="00C96A3E">
      <w:pPr>
        <w:rPr>
          <w:rFonts w:ascii="Arial" w:hAnsi="Arial" w:cs="Arial"/>
          <w:sz w:val="22"/>
          <w:szCs w:val="22"/>
        </w:rPr>
      </w:pPr>
      <w:r w:rsidRPr="00A26E50">
        <w:rPr>
          <w:rFonts w:ascii="Arial" w:hAnsi="Arial" w:cs="Arial"/>
          <w:sz w:val="22"/>
          <w:szCs w:val="22"/>
        </w:rPr>
        <w:t xml:space="preserve">Por sua vez, na análise de conteúdo, realizada com base nos documentos </w:t>
      </w:r>
      <w:r w:rsidR="00D37EBB" w:rsidRPr="00A26E50">
        <w:rPr>
          <w:rFonts w:ascii="Arial" w:hAnsi="Arial" w:cs="Arial"/>
          <w:sz w:val="22"/>
          <w:szCs w:val="22"/>
        </w:rPr>
        <w:t xml:space="preserve">aqui </w:t>
      </w:r>
      <w:r w:rsidRPr="00A26E50">
        <w:rPr>
          <w:rFonts w:ascii="Arial" w:hAnsi="Arial" w:cs="Arial"/>
          <w:sz w:val="22"/>
          <w:szCs w:val="22"/>
        </w:rPr>
        <w:t>mencionados, buscou-se ident</w:t>
      </w:r>
      <w:r w:rsidR="00FA46EB" w:rsidRPr="00A26E50">
        <w:rPr>
          <w:rFonts w:ascii="Arial" w:hAnsi="Arial" w:cs="Arial"/>
          <w:sz w:val="22"/>
          <w:szCs w:val="22"/>
        </w:rPr>
        <w:t>ificar palavras de forma isolada</w:t>
      </w:r>
      <w:r w:rsidRPr="00A26E50">
        <w:rPr>
          <w:rFonts w:ascii="Arial" w:hAnsi="Arial" w:cs="Arial"/>
          <w:sz w:val="22"/>
          <w:szCs w:val="22"/>
        </w:rPr>
        <w:t xml:space="preserve"> ou por meio de combinações, respectivamente nesta ordem: “obrigações de despesas”; “contraídas”; “últimos quadrimestres”; “artigo 42”; “art. 42”; “gravíssima”;</w:t>
      </w:r>
      <w:r w:rsidRPr="00A26E50">
        <w:rPr>
          <w:rFonts w:ascii="Arial" w:hAnsi="Arial" w:cs="Arial"/>
          <w:b/>
          <w:sz w:val="22"/>
          <w:szCs w:val="22"/>
        </w:rPr>
        <w:t xml:space="preserve"> </w:t>
      </w:r>
      <w:r w:rsidRPr="00A26E50">
        <w:rPr>
          <w:rFonts w:ascii="Arial" w:hAnsi="Arial" w:cs="Arial"/>
          <w:sz w:val="22"/>
          <w:szCs w:val="22"/>
        </w:rPr>
        <w:t>“restos a pagar”;</w:t>
      </w:r>
      <w:r w:rsidRPr="00A26E50">
        <w:rPr>
          <w:rFonts w:ascii="Arial" w:hAnsi="Arial" w:cs="Arial"/>
          <w:b/>
          <w:sz w:val="22"/>
          <w:szCs w:val="22"/>
        </w:rPr>
        <w:t xml:space="preserve"> </w:t>
      </w:r>
      <w:r w:rsidRPr="00A26E50">
        <w:rPr>
          <w:rFonts w:ascii="Arial" w:hAnsi="Arial" w:cs="Arial"/>
          <w:sz w:val="22"/>
          <w:szCs w:val="22"/>
        </w:rPr>
        <w:t xml:space="preserve">e “restrições de ordem legal”. Após a identificação, análise e contextualização das palavras ou frases, em consonância </w:t>
      </w:r>
      <w:r w:rsidR="00855F42" w:rsidRPr="00A26E50">
        <w:rPr>
          <w:rFonts w:ascii="Arial" w:hAnsi="Arial" w:cs="Arial"/>
          <w:sz w:val="22"/>
          <w:szCs w:val="22"/>
        </w:rPr>
        <w:t xml:space="preserve">com os </w:t>
      </w:r>
      <w:r w:rsidRPr="00A26E50">
        <w:rPr>
          <w:rFonts w:ascii="Arial" w:hAnsi="Arial" w:cs="Arial"/>
          <w:sz w:val="22"/>
          <w:szCs w:val="22"/>
        </w:rPr>
        <w:t>objetivos da pesquisa, passava-se à classificação dos documentos,</w:t>
      </w:r>
      <w:r w:rsidR="0009057C" w:rsidRPr="00A26E50">
        <w:rPr>
          <w:rFonts w:ascii="Arial" w:hAnsi="Arial" w:cs="Arial"/>
          <w:sz w:val="22"/>
          <w:szCs w:val="22"/>
        </w:rPr>
        <w:t xml:space="preserve"> </w:t>
      </w:r>
      <w:r w:rsidRPr="00A26E50">
        <w:rPr>
          <w:rFonts w:ascii="Arial" w:hAnsi="Arial" w:cs="Arial"/>
          <w:sz w:val="22"/>
          <w:szCs w:val="22"/>
        </w:rPr>
        <w:t>assim</w:t>
      </w:r>
      <w:r w:rsidR="0084370D" w:rsidRPr="00A26E50">
        <w:rPr>
          <w:rFonts w:ascii="Arial" w:hAnsi="Arial" w:cs="Arial"/>
          <w:sz w:val="22"/>
          <w:szCs w:val="22"/>
        </w:rPr>
        <w:t xml:space="preserve"> </w:t>
      </w:r>
      <w:r w:rsidRPr="00A26E50">
        <w:rPr>
          <w:rFonts w:ascii="Arial" w:hAnsi="Arial" w:cs="Arial"/>
          <w:sz w:val="22"/>
          <w:szCs w:val="22"/>
        </w:rPr>
        <w:t>categorizados:</w:t>
      </w:r>
    </w:p>
    <w:p w:rsidR="003F4DC8" w:rsidRPr="00A26E50" w:rsidRDefault="003F4DC8" w:rsidP="00C96A3E">
      <w:pPr>
        <w:rPr>
          <w:rFonts w:ascii="Arial" w:hAnsi="Arial" w:cs="Arial"/>
          <w:sz w:val="22"/>
          <w:szCs w:val="22"/>
        </w:rPr>
      </w:pPr>
      <w:r w:rsidRPr="00A26E50">
        <w:rPr>
          <w:rFonts w:ascii="Arial" w:hAnsi="Arial" w:cs="Arial"/>
          <w:sz w:val="22"/>
          <w:szCs w:val="22"/>
        </w:rPr>
        <w:t>a) aprovado com o descumprimento do art. 42 – apesar de o município não ter cumprido o limite para inscrição em restos a pagar, suas contas anuais obtiveram parecer pela aprovação;</w:t>
      </w:r>
    </w:p>
    <w:p w:rsidR="003F4DC8" w:rsidRPr="00A26E50" w:rsidRDefault="003F4DC8" w:rsidP="00C96A3E">
      <w:pPr>
        <w:rPr>
          <w:rFonts w:ascii="Arial" w:hAnsi="Arial" w:cs="Arial"/>
          <w:sz w:val="22"/>
          <w:szCs w:val="22"/>
        </w:rPr>
      </w:pPr>
      <w:r w:rsidRPr="00A26E50">
        <w:rPr>
          <w:rFonts w:ascii="Arial" w:hAnsi="Arial" w:cs="Arial"/>
          <w:sz w:val="22"/>
          <w:szCs w:val="22"/>
        </w:rPr>
        <w:t>b) aprovado com outras restrições – dentre as restrições remanescentes, não constava o descumprimento do art. 42;</w:t>
      </w:r>
    </w:p>
    <w:p w:rsidR="003F4DC8" w:rsidRPr="00A26E50" w:rsidRDefault="003F4DC8" w:rsidP="00C96A3E">
      <w:pPr>
        <w:rPr>
          <w:rFonts w:ascii="Arial" w:hAnsi="Arial" w:cs="Arial"/>
          <w:sz w:val="22"/>
          <w:szCs w:val="22"/>
        </w:rPr>
      </w:pPr>
      <w:r w:rsidRPr="00A26E50">
        <w:rPr>
          <w:rFonts w:ascii="Arial" w:hAnsi="Arial" w:cs="Arial"/>
          <w:sz w:val="22"/>
          <w:szCs w:val="22"/>
        </w:rPr>
        <w:t xml:space="preserve">c) aprovado sem informação sobre o art. 42 – não foi possível identificar a totalidade das restrições remanescentes apontadas no relatório Diretoria de Controle dos Municípios (DMU), por não se ter acesso a </w:t>
      </w:r>
      <w:r w:rsidR="004E783E" w:rsidRPr="00A26E50">
        <w:rPr>
          <w:rFonts w:ascii="Arial" w:hAnsi="Arial" w:cs="Arial"/>
          <w:sz w:val="22"/>
          <w:szCs w:val="22"/>
        </w:rPr>
        <w:t>ess</w:t>
      </w:r>
      <w:r w:rsidRPr="00A26E50">
        <w:rPr>
          <w:rFonts w:ascii="Arial" w:hAnsi="Arial" w:cs="Arial"/>
          <w:sz w:val="22"/>
          <w:szCs w:val="22"/>
        </w:rPr>
        <w:t>e documento</w:t>
      </w:r>
      <w:r w:rsidR="00C1264A" w:rsidRPr="00A26E50">
        <w:rPr>
          <w:rFonts w:ascii="Arial" w:hAnsi="Arial" w:cs="Arial"/>
          <w:sz w:val="22"/>
          <w:szCs w:val="22"/>
        </w:rPr>
        <w:t xml:space="preserve"> </w:t>
      </w:r>
      <w:r w:rsidRPr="00A26E50">
        <w:rPr>
          <w:rFonts w:ascii="Arial" w:hAnsi="Arial" w:cs="Arial"/>
          <w:sz w:val="22"/>
          <w:szCs w:val="22"/>
        </w:rPr>
        <w:t>ou ao relatório e voto do relator;</w:t>
      </w:r>
    </w:p>
    <w:p w:rsidR="003F4DC8" w:rsidRPr="00A26E50" w:rsidRDefault="003F4DC8" w:rsidP="00C96A3E">
      <w:pPr>
        <w:rPr>
          <w:rFonts w:ascii="Arial" w:hAnsi="Arial" w:cs="Arial"/>
          <w:sz w:val="22"/>
          <w:szCs w:val="22"/>
        </w:rPr>
      </w:pPr>
      <w:r w:rsidRPr="00A26E50">
        <w:rPr>
          <w:rFonts w:ascii="Arial" w:hAnsi="Arial" w:cs="Arial"/>
          <w:sz w:val="22"/>
          <w:szCs w:val="22"/>
        </w:rPr>
        <w:t>d) rejeitado pelo descumprimento do art. 42 – dentre os motivos que culminaram na rejeição das contas, constava o descumprimento do art. 42;</w:t>
      </w:r>
    </w:p>
    <w:p w:rsidR="003F4DC8" w:rsidRPr="00A26E50" w:rsidRDefault="003F4DC8" w:rsidP="00C96A3E">
      <w:pPr>
        <w:rPr>
          <w:rFonts w:ascii="Arial" w:hAnsi="Arial" w:cs="Arial"/>
          <w:sz w:val="22"/>
          <w:szCs w:val="22"/>
        </w:rPr>
      </w:pPr>
      <w:r w:rsidRPr="00A26E50">
        <w:rPr>
          <w:rFonts w:ascii="Arial" w:hAnsi="Arial" w:cs="Arial"/>
          <w:sz w:val="22"/>
          <w:szCs w:val="22"/>
        </w:rPr>
        <w:t>e) rejeitado com o descumprimento do art. 42 – apesar de o município não ter cumprido o limite para inscrição em restos a pagar, suas contas anuais foram rejeitadas por outros motivos;</w:t>
      </w:r>
    </w:p>
    <w:p w:rsidR="003F4DC8" w:rsidRPr="00A26E50" w:rsidRDefault="003F4DC8" w:rsidP="00C96A3E">
      <w:pPr>
        <w:rPr>
          <w:rFonts w:ascii="Arial" w:hAnsi="Arial" w:cs="Arial"/>
          <w:sz w:val="22"/>
          <w:szCs w:val="22"/>
        </w:rPr>
      </w:pPr>
      <w:r w:rsidRPr="00A26E50">
        <w:rPr>
          <w:rFonts w:ascii="Arial" w:hAnsi="Arial" w:cs="Arial"/>
          <w:sz w:val="22"/>
          <w:szCs w:val="22"/>
        </w:rPr>
        <w:t>f) rejeitado sem o descumprimento do art. 42 – dentre as restrições remanescentes que ensejaram a rejeição das contas anuais, não constava o descumprimento do art. 42; e</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c) rejeitado sem informação sobre o art. 42 – não foi possível identificar a totalidade das restrições remanescentes apontadas no relatório DMU, por não se ter acesso a es</w:t>
      </w:r>
      <w:r w:rsidR="006A404D" w:rsidRPr="00A26E50">
        <w:rPr>
          <w:rFonts w:ascii="Arial" w:hAnsi="Arial" w:cs="Arial"/>
          <w:sz w:val="22"/>
          <w:szCs w:val="22"/>
        </w:rPr>
        <w:t>s</w:t>
      </w:r>
      <w:r w:rsidRPr="00A26E50">
        <w:rPr>
          <w:rFonts w:ascii="Arial" w:hAnsi="Arial" w:cs="Arial"/>
          <w:sz w:val="22"/>
          <w:szCs w:val="22"/>
        </w:rPr>
        <w:t>e documento</w:t>
      </w:r>
      <w:r w:rsidR="00435706" w:rsidRPr="00A26E50">
        <w:rPr>
          <w:rFonts w:ascii="Arial" w:hAnsi="Arial" w:cs="Arial"/>
          <w:sz w:val="22"/>
          <w:szCs w:val="22"/>
        </w:rPr>
        <w:t xml:space="preserve"> </w:t>
      </w:r>
      <w:r w:rsidRPr="00A26E50">
        <w:rPr>
          <w:rFonts w:ascii="Arial" w:hAnsi="Arial" w:cs="Arial"/>
          <w:sz w:val="22"/>
          <w:szCs w:val="22"/>
        </w:rPr>
        <w:t>ou ao relatório e voto do relator.</w:t>
      </w:r>
    </w:p>
    <w:p w:rsidR="002E14FF" w:rsidRPr="00A26E50" w:rsidRDefault="003F4DC8" w:rsidP="00C96A3E">
      <w:pPr>
        <w:rPr>
          <w:rFonts w:ascii="Arial" w:hAnsi="Arial" w:cs="Arial"/>
          <w:sz w:val="22"/>
          <w:szCs w:val="22"/>
        </w:rPr>
      </w:pPr>
      <w:r w:rsidRPr="00A26E50">
        <w:rPr>
          <w:rFonts w:ascii="Arial" w:hAnsi="Arial" w:cs="Arial"/>
          <w:sz w:val="22"/>
          <w:szCs w:val="22"/>
        </w:rPr>
        <w:t>Este estudo representa, em parte, uma continuação da pesquisa de Oliveira, Platt Neto e Cruz (2011), que estudaram o desempenho dos municípios catarinenses em relação ao cumprimento do limite para inscrição em restos a pagar</w:t>
      </w:r>
      <w:r w:rsidR="004926AD" w:rsidRPr="00A26E50">
        <w:rPr>
          <w:rFonts w:ascii="Arial" w:hAnsi="Arial" w:cs="Arial"/>
          <w:sz w:val="22"/>
          <w:szCs w:val="22"/>
        </w:rPr>
        <w:t xml:space="preserve"> </w:t>
      </w:r>
      <w:r w:rsidRPr="00A26E50">
        <w:rPr>
          <w:rFonts w:ascii="Arial" w:hAnsi="Arial" w:cs="Arial"/>
          <w:sz w:val="22"/>
          <w:szCs w:val="22"/>
        </w:rPr>
        <w:t>nos anos de 2000 e 2004.</w:t>
      </w:r>
    </w:p>
    <w:p w:rsidR="003F4DC8" w:rsidRPr="00A26E50" w:rsidRDefault="00ED62EA" w:rsidP="00C96A3E">
      <w:pPr>
        <w:rPr>
          <w:rFonts w:ascii="Arial" w:hAnsi="Arial" w:cs="Arial"/>
          <w:sz w:val="22"/>
          <w:szCs w:val="22"/>
        </w:rPr>
      </w:pPr>
      <w:r w:rsidRPr="00A26E50">
        <w:rPr>
          <w:rFonts w:ascii="Arial" w:hAnsi="Arial" w:cs="Arial"/>
          <w:sz w:val="22"/>
          <w:szCs w:val="22"/>
        </w:rPr>
        <w:lastRenderedPageBreak/>
        <w:t>U</w:t>
      </w:r>
      <w:r w:rsidR="00840D33" w:rsidRPr="00A26E50">
        <w:rPr>
          <w:rFonts w:ascii="Arial" w:hAnsi="Arial" w:cs="Arial"/>
          <w:sz w:val="22"/>
          <w:szCs w:val="22"/>
        </w:rPr>
        <w:t xml:space="preserve">ma </w:t>
      </w:r>
      <w:r w:rsidR="003F4DC8" w:rsidRPr="00A26E50">
        <w:rPr>
          <w:rFonts w:ascii="Arial" w:hAnsi="Arial" w:cs="Arial"/>
          <w:sz w:val="22"/>
          <w:szCs w:val="22"/>
        </w:rPr>
        <w:t>novidade</w:t>
      </w:r>
      <w:r w:rsidR="005B0365" w:rsidRPr="00A26E50">
        <w:rPr>
          <w:rFonts w:ascii="Arial" w:hAnsi="Arial" w:cs="Arial"/>
          <w:sz w:val="22"/>
          <w:szCs w:val="22"/>
        </w:rPr>
        <w:t xml:space="preserve"> apresentada neste </w:t>
      </w:r>
      <w:r w:rsidR="003F4DC8" w:rsidRPr="00A26E50">
        <w:rPr>
          <w:rFonts w:ascii="Arial" w:hAnsi="Arial" w:cs="Arial"/>
          <w:sz w:val="22"/>
          <w:szCs w:val="22"/>
        </w:rPr>
        <w:t xml:space="preserve">artigo </w:t>
      </w:r>
      <w:r w:rsidR="005B0365" w:rsidRPr="00A26E50">
        <w:rPr>
          <w:rFonts w:ascii="Arial" w:hAnsi="Arial" w:cs="Arial"/>
          <w:sz w:val="22"/>
          <w:szCs w:val="22"/>
        </w:rPr>
        <w:t xml:space="preserve">é </w:t>
      </w:r>
      <w:r w:rsidR="003F4DC8" w:rsidRPr="00A26E50">
        <w:rPr>
          <w:rFonts w:ascii="Arial" w:hAnsi="Arial" w:cs="Arial"/>
          <w:sz w:val="22"/>
          <w:szCs w:val="22"/>
        </w:rPr>
        <w:t>a análise dos relatórios e votos dos relatores</w:t>
      </w:r>
      <w:r w:rsidR="00652850" w:rsidRPr="00A26E50">
        <w:rPr>
          <w:rFonts w:ascii="Arial" w:hAnsi="Arial" w:cs="Arial"/>
          <w:sz w:val="22"/>
          <w:szCs w:val="22"/>
        </w:rPr>
        <w:t>,</w:t>
      </w:r>
      <w:r w:rsidR="003F4DC8" w:rsidRPr="00A26E50">
        <w:rPr>
          <w:rFonts w:ascii="Arial" w:hAnsi="Arial" w:cs="Arial"/>
          <w:sz w:val="22"/>
          <w:szCs w:val="22"/>
        </w:rPr>
        <w:t xml:space="preserve"> em conjunto </w:t>
      </w:r>
      <w:r w:rsidR="00016A56" w:rsidRPr="00A26E50">
        <w:rPr>
          <w:rFonts w:ascii="Arial" w:hAnsi="Arial" w:cs="Arial"/>
          <w:sz w:val="22"/>
          <w:szCs w:val="22"/>
        </w:rPr>
        <w:t>a</w:t>
      </w:r>
      <w:r w:rsidR="003F4DC8" w:rsidRPr="00A26E50">
        <w:rPr>
          <w:rFonts w:ascii="Arial" w:hAnsi="Arial" w:cs="Arial"/>
          <w:sz w:val="22"/>
          <w:szCs w:val="22"/>
        </w:rPr>
        <w:t>os</w:t>
      </w:r>
      <w:r w:rsidR="00A227E7" w:rsidRPr="00A26E50">
        <w:rPr>
          <w:rFonts w:ascii="Arial" w:hAnsi="Arial" w:cs="Arial"/>
          <w:sz w:val="22"/>
          <w:szCs w:val="22"/>
        </w:rPr>
        <w:t xml:space="preserve"> pareceres prévios e à</w:t>
      </w:r>
      <w:r w:rsidR="003F4DC8" w:rsidRPr="00A26E50">
        <w:rPr>
          <w:rFonts w:ascii="Arial" w:hAnsi="Arial" w:cs="Arial"/>
          <w:sz w:val="22"/>
          <w:szCs w:val="22"/>
        </w:rPr>
        <w:t>s reapreciações emitidos pelo TCE/SC, com vistas a identificar o cumprimento do limite para inscrição em restos a pagar, tanto nos municípios que tivera</w:t>
      </w:r>
      <w:r w:rsidR="00435B6D" w:rsidRPr="00A26E50">
        <w:rPr>
          <w:rFonts w:ascii="Arial" w:hAnsi="Arial" w:cs="Arial"/>
          <w:sz w:val="22"/>
          <w:szCs w:val="22"/>
        </w:rPr>
        <w:t>m suas contas aprovadas, quanto</w:t>
      </w:r>
      <w:r w:rsidR="003F4DC8" w:rsidRPr="00A26E50">
        <w:rPr>
          <w:rFonts w:ascii="Arial" w:hAnsi="Arial" w:cs="Arial"/>
          <w:sz w:val="22"/>
          <w:szCs w:val="22"/>
        </w:rPr>
        <w:t xml:space="preserve"> </w:t>
      </w:r>
      <w:r w:rsidR="00435B6D" w:rsidRPr="00A26E50">
        <w:rPr>
          <w:rFonts w:ascii="Arial" w:hAnsi="Arial" w:cs="Arial"/>
          <w:sz w:val="22"/>
          <w:szCs w:val="22"/>
        </w:rPr>
        <w:t>n</w:t>
      </w:r>
      <w:r w:rsidR="003F4DC8" w:rsidRPr="00A26E50">
        <w:rPr>
          <w:rFonts w:ascii="Arial" w:hAnsi="Arial" w:cs="Arial"/>
          <w:sz w:val="22"/>
          <w:szCs w:val="22"/>
        </w:rPr>
        <w:t>os que tiveram suas contas rejeitadas.</w:t>
      </w:r>
    </w:p>
    <w:p w:rsidR="003F4DC8" w:rsidRPr="00A26E50" w:rsidRDefault="003F4DC8" w:rsidP="00C96A3E">
      <w:pPr>
        <w:rPr>
          <w:rFonts w:ascii="Arial" w:hAnsi="Arial" w:cs="Arial"/>
          <w:sz w:val="22"/>
          <w:szCs w:val="22"/>
        </w:rPr>
      </w:pPr>
      <w:r w:rsidRPr="00A26E50">
        <w:rPr>
          <w:rFonts w:ascii="Arial" w:hAnsi="Arial" w:cs="Arial"/>
          <w:sz w:val="22"/>
          <w:szCs w:val="22"/>
        </w:rPr>
        <w:t xml:space="preserve">No processo de execução deste trabalho, foram seguidos os seguintes passos: </w:t>
      </w:r>
    </w:p>
    <w:p w:rsidR="003F4DC8" w:rsidRPr="00A26E50" w:rsidRDefault="003F4DC8" w:rsidP="00C96A3E">
      <w:pPr>
        <w:rPr>
          <w:rFonts w:ascii="Arial" w:hAnsi="Arial" w:cs="Arial"/>
          <w:sz w:val="22"/>
          <w:szCs w:val="22"/>
        </w:rPr>
      </w:pPr>
      <w:r w:rsidRPr="00A26E50">
        <w:rPr>
          <w:rFonts w:ascii="Arial" w:hAnsi="Arial" w:cs="Arial"/>
          <w:sz w:val="22"/>
          <w:szCs w:val="22"/>
        </w:rPr>
        <w:t>1</w:t>
      </w:r>
      <w:r w:rsidRPr="00A26E50">
        <w:rPr>
          <w:rFonts w:ascii="Arial" w:hAnsi="Arial" w:cs="Arial"/>
          <w:strike/>
          <w:sz w:val="22"/>
          <w:szCs w:val="22"/>
        </w:rPr>
        <w:t>°</w:t>
      </w:r>
      <w:r w:rsidRPr="00A26E50">
        <w:rPr>
          <w:rFonts w:ascii="Arial" w:hAnsi="Arial" w:cs="Arial"/>
          <w:sz w:val="22"/>
          <w:szCs w:val="22"/>
        </w:rPr>
        <w:t xml:space="preserve"> passo: identificação das nor</w:t>
      </w:r>
      <w:r w:rsidR="00DB61C8" w:rsidRPr="00A26E50">
        <w:rPr>
          <w:rFonts w:ascii="Arial" w:hAnsi="Arial" w:cs="Arial"/>
          <w:sz w:val="22"/>
          <w:szCs w:val="22"/>
        </w:rPr>
        <w:t>mas nacionais e estaduais de SC</w:t>
      </w:r>
      <w:r w:rsidRPr="00A26E50">
        <w:rPr>
          <w:rFonts w:ascii="Arial" w:hAnsi="Arial" w:cs="Arial"/>
          <w:sz w:val="22"/>
          <w:szCs w:val="22"/>
        </w:rPr>
        <w:t xml:space="preserve"> que dispõem sobre os limites e a fiscalização </w:t>
      </w:r>
      <w:r w:rsidR="00DB61C8" w:rsidRPr="00A26E50">
        <w:rPr>
          <w:rFonts w:ascii="Arial" w:hAnsi="Arial" w:cs="Arial"/>
          <w:sz w:val="22"/>
          <w:szCs w:val="22"/>
        </w:rPr>
        <w:t>de</w:t>
      </w:r>
      <w:r w:rsidRPr="00A26E50">
        <w:rPr>
          <w:rFonts w:ascii="Arial" w:hAnsi="Arial" w:cs="Arial"/>
          <w:sz w:val="22"/>
          <w:szCs w:val="22"/>
        </w:rPr>
        <w:t xml:space="preserve"> restos a pagar dos prefeitos;</w:t>
      </w:r>
    </w:p>
    <w:p w:rsidR="003F4DC8" w:rsidRPr="00A26E50" w:rsidRDefault="003F4DC8" w:rsidP="00C96A3E">
      <w:pPr>
        <w:rPr>
          <w:rFonts w:ascii="Arial" w:hAnsi="Arial" w:cs="Arial"/>
          <w:sz w:val="22"/>
          <w:szCs w:val="22"/>
        </w:rPr>
      </w:pPr>
      <w:r w:rsidRPr="00A26E50">
        <w:rPr>
          <w:rFonts w:ascii="Arial" w:hAnsi="Arial" w:cs="Arial"/>
          <w:sz w:val="22"/>
          <w:szCs w:val="22"/>
        </w:rPr>
        <w:t>2</w:t>
      </w:r>
      <w:r w:rsidRPr="00A26E50">
        <w:rPr>
          <w:rFonts w:ascii="Arial" w:hAnsi="Arial" w:cs="Arial"/>
          <w:strike/>
          <w:sz w:val="22"/>
          <w:szCs w:val="22"/>
        </w:rPr>
        <w:t>°</w:t>
      </w:r>
      <w:r w:rsidRPr="00A26E50">
        <w:rPr>
          <w:rFonts w:ascii="Arial" w:hAnsi="Arial" w:cs="Arial"/>
          <w:sz w:val="22"/>
          <w:szCs w:val="22"/>
        </w:rPr>
        <w:t xml:space="preserve"> passo: obtenção dos pareceres prévios, </w:t>
      </w:r>
      <w:r w:rsidR="00277579">
        <w:rPr>
          <w:rFonts w:ascii="Arial" w:hAnsi="Arial" w:cs="Arial"/>
          <w:sz w:val="22"/>
          <w:szCs w:val="22"/>
        </w:rPr>
        <w:t xml:space="preserve">dos </w:t>
      </w:r>
      <w:r w:rsidRPr="00A26E50">
        <w:rPr>
          <w:rFonts w:ascii="Arial" w:hAnsi="Arial" w:cs="Arial"/>
          <w:sz w:val="22"/>
          <w:szCs w:val="22"/>
        </w:rPr>
        <w:t>relatórios e votos dos relatores e decisões de reapreciações das contas anuais dos municípios catarinenses</w:t>
      </w:r>
      <w:r w:rsidR="00277579">
        <w:rPr>
          <w:rFonts w:ascii="Arial" w:hAnsi="Arial" w:cs="Arial"/>
          <w:sz w:val="22"/>
          <w:szCs w:val="22"/>
        </w:rPr>
        <w:t>,</w:t>
      </w:r>
      <w:r w:rsidRPr="00A26E50">
        <w:rPr>
          <w:rFonts w:ascii="Arial" w:hAnsi="Arial" w:cs="Arial"/>
          <w:sz w:val="22"/>
          <w:szCs w:val="22"/>
        </w:rPr>
        <w:t xml:space="preserve"> referentes aos exercícios de 2000, 2004, 2008 e 2012;</w:t>
      </w:r>
    </w:p>
    <w:p w:rsidR="003F4DC8" w:rsidRPr="00A26E50" w:rsidRDefault="003F4DC8" w:rsidP="00C96A3E">
      <w:pPr>
        <w:rPr>
          <w:rFonts w:ascii="Arial" w:hAnsi="Arial" w:cs="Arial"/>
          <w:sz w:val="22"/>
          <w:szCs w:val="22"/>
        </w:rPr>
      </w:pPr>
      <w:r w:rsidRPr="00A26E50">
        <w:rPr>
          <w:rFonts w:ascii="Arial" w:hAnsi="Arial" w:cs="Arial"/>
          <w:sz w:val="22"/>
          <w:szCs w:val="22"/>
        </w:rPr>
        <w:t>3</w:t>
      </w:r>
      <w:r w:rsidRPr="00A26E50">
        <w:rPr>
          <w:rFonts w:ascii="Arial" w:hAnsi="Arial" w:cs="Arial"/>
          <w:strike/>
          <w:sz w:val="22"/>
          <w:szCs w:val="22"/>
        </w:rPr>
        <w:t>°</w:t>
      </w:r>
      <w:r w:rsidRPr="00A26E50">
        <w:rPr>
          <w:rFonts w:ascii="Arial" w:hAnsi="Arial" w:cs="Arial"/>
          <w:sz w:val="22"/>
          <w:szCs w:val="22"/>
        </w:rPr>
        <w:t xml:space="preserve"> passo: coleta e tabulação dos dados referentes às aprovações e rejeições de contas anuais dos municípios, com enfoque no descumprimento relativo aos restos a pagar;</w:t>
      </w:r>
    </w:p>
    <w:p w:rsidR="003F4DC8" w:rsidRPr="00A26E50" w:rsidRDefault="003F4DC8" w:rsidP="00C96A3E">
      <w:pPr>
        <w:rPr>
          <w:rFonts w:ascii="Arial" w:hAnsi="Arial" w:cs="Arial"/>
          <w:sz w:val="22"/>
          <w:szCs w:val="22"/>
        </w:rPr>
      </w:pPr>
      <w:r w:rsidRPr="00A26E50">
        <w:rPr>
          <w:rFonts w:ascii="Arial" w:hAnsi="Arial" w:cs="Arial"/>
          <w:sz w:val="22"/>
          <w:szCs w:val="22"/>
        </w:rPr>
        <w:t>4</w:t>
      </w:r>
      <w:r w:rsidRPr="00A26E50">
        <w:rPr>
          <w:rFonts w:ascii="Arial" w:hAnsi="Arial" w:cs="Arial"/>
          <w:strike/>
          <w:sz w:val="22"/>
          <w:szCs w:val="22"/>
        </w:rPr>
        <w:t>°</w:t>
      </w:r>
      <w:r w:rsidRPr="00A26E50">
        <w:rPr>
          <w:rFonts w:ascii="Arial" w:hAnsi="Arial" w:cs="Arial"/>
          <w:sz w:val="22"/>
          <w:szCs w:val="22"/>
        </w:rPr>
        <w:t xml:space="preserve"> passo: identificação da expressividade do descumprimento relativo aos restos a pagar nas aprovações e rejeições de contas; e</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5</w:t>
      </w:r>
      <w:r w:rsidRPr="00A26E50">
        <w:rPr>
          <w:rFonts w:ascii="Arial" w:hAnsi="Arial" w:cs="Arial"/>
          <w:strike/>
          <w:sz w:val="22"/>
          <w:szCs w:val="22"/>
        </w:rPr>
        <w:t>°</w:t>
      </w:r>
      <w:r w:rsidRPr="00A26E50">
        <w:rPr>
          <w:rFonts w:ascii="Arial" w:hAnsi="Arial" w:cs="Arial"/>
          <w:sz w:val="22"/>
          <w:szCs w:val="22"/>
        </w:rPr>
        <w:t xml:space="preserve"> passo: apresentação da evolução das aprovações e rejeições das contas dos prefeitos nos encerramentos de mandato de 2000, 2004, 2008 e 2012, com enfoque no descumprimento relativo aos restos a pagar, por meio de tabelas, gráficos e textos.</w:t>
      </w:r>
    </w:p>
    <w:p w:rsidR="005040A5" w:rsidRDefault="003F4DC8" w:rsidP="00C96A3E">
      <w:pPr>
        <w:rPr>
          <w:rFonts w:ascii="Arial" w:hAnsi="Arial" w:cs="Arial"/>
          <w:sz w:val="22"/>
          <w:szCs w:val="22"/>
        </w:rPr>
      </w:pPr>
      <w:r w:rsidRPr="00A26E50">
        <w:rPr>
          <w:rFonts w:ascii="Arial" w:hAnsi="Arial" w:cs="Arial"/>
          <w:sz w:val="22"/>
          <w:szCs w:val="22"/>
        </w:rPr>
        <w:t>A presente pesquisa teve como escopo de observação todos os municípios catarinenses, criados e instalados até o exercício de 2012, que tiveram suas contas anuais apreciadas pelo TCE/SC.</w:t>
      </w:r>
      <w:r w:rsidR="00182602" w:rsidRPr="00A26E50">
        <w:rPr>
          <w:rFonts w:ascii="Arial" w:hAnsi="Arial" w:cs="Arial"/>
          <w:sz w:val="22"/>
          <w:szCs w:val="22"/>
        </w:rPr>
        <w:t xml:space="preserve"> </w:t>
      </w:r>
      <w:r w:rsidRPr="00A26E50">
        <w:rPr>
          <w:rFonts w:ascii="Arial" w:hAnsi="Arial" w:cs="Arial"/>
          <w:sz w:val="22"/>
          <w:szCs w:val="22"/>
        </w:rPr>
        <w:t xml:space="preserve">Foram selecionados os 293 municípios, sobre os quais </w:t>
      </w:r>
      <w:r w:rsidR="00712551" w:rsidRPr="00A26E50">
        <w:rPr>
          <w:rFonts w:ascii="Arial" w:hAnsi="Arial" w:cs="Arial"/>
          <w:sz w:val="22"/>
          <w:szCs w:val="22"/>
        </w:rPr>
        <w:t xml:space="preserve">se </w:t>
      </w:r>
      <w:r w:rsidRPr="00A26E50">
        <w:rPr>
          <w:rFonts w:ascii="Arial" w:hAnsi="Arial" w:cs="Arial"/>
          <w:sz w:val="22"/>
          <w:szCs w:val="22"/>
        </w:rPr>
        <w:t>realizou</w:t>
      </w:r>
      <w:r w:rsidR="00712551" w:rsidRPr="00A26E50">
        <w:rPr>
          <w:rFonts w:ascii="Arial" w:hAnsi="Arial" w:cs="Arial"/>
          <w:sz w:val="22"/>
          <w:szCs w:val="22"/>
        </w:rPr>
        <w:t xml:space="preserve"> </w:t>
      </w:r>
      <w:r w:rsidRPr="00A26E50">
        <w:rPr>
          <w:rFonts w:ascii="Arial" w:hAnsi="Arial" w:cs="Arial"/>
          <w:sz w:val="22"/>
          <w:szCs w:val="22"/>
        </w:rPr>
        <w:t>um estudo aprofundado quanto ao cumprimento do art. 42 da LRF, a partir de verificações realizadas pelo TCE/SC. Foram buscados e analisados os pareceres prévios e as reapreciações dos 293 municípios catarinenses, correspondentes aos exercícios financeiros de 2000, 2004, 2008 e 2012</w:t>
      </w:r>
      <w:r w:rsidR="000C07FF" w:rsidRPr="00A26E50">
        <w:rPr>
          <w:rFonts w:ascii="Arial" w:hAnsi="Arial" w:cs="Arial"/>
          <w:sz w:val="22"/>
          <w:szCs w:val="22"/>
        </w:rPr>
        <w:t xml:space="preserve">. </w:t>
      </w:r>
    </w:p>
    <w:p w:rsidR="003F4DC8" w:rsidRPr="00A26E50" w:rsidRDefault="003F4DC8" w:rsidP="00C96A3E">
      <w:pPr>
        <w:rPr>
          <w:rFonts w:ascii="Arial" w:hAnsi="Arial" w:cs="Arial"/>
          <w:sz w:val="22"/>
          <w:szCs w:val="22"/>
        </w:rPr>
      </w:pPr>
      <w:r w:rsidRPr="00A26E50">
        <w:rPr>
          <w:rFonts w:ascii="Arial" w:hAnsi="Arial" w:cs="Arial"/>
          <w:sz w:val="22"/>
          <w:szCs w:val="22"/>
        </w:rPr>
        <w:t>Na busca por uma melhor compreensão a respeito das recomendações apresentadas em cada parecer prévio e reapreciação, recorreu-se também, quando disponibilizado pelo TCE/SC, ao relatório e</w:t>
      </w:r>
      <w:r w:rsidR="000C07FF" w:rsidRPr="00A26E50">
        <w:rPr>
          <w:rFonts w:ascii="Arial" w:hAnsi="Arial" w:cs="Arial"/>
          <w:sz w:val="22"/>
          <w:szCs w:val="22"/>
        </w:rPr>
        <w:t xml:space="preserve"> voto do relator, onde constam: </w:t>
      </w:r>
      <w:r w:rsidR="00794BAE" w:rsidRPr="00A26E50">
        <w:rPr>
          <w:rFonts w:ascii="Arial" w:hAnsi="Arial" w:cs="Arial"/>
          <w:sz w:val="22"/>
          <w:szCs w:val="22"/>
        </w:rPr>
        <w:t>(</w:t>
      </w:r>
      <w:r w:rsidRPr="00A26E50">
        <w:rPr>
          <w:rFonts w:ascii="Arial" w:hAnsi="Arial" w:cs="Arial"/>
          <w:sz w:val="22"/>
          <w:szCs w:val="22"/>
        </w:rPr>
        <w:t>a) relatório resumido da DMU, apontando as restrições remanescentes;</w:t>
      </w:r>
      <w:r w:rsidR="000C07FF" w:rsidRPr="00A26E50">
        <w:rPr>
          <w:rFonts w:ascii="Arial" w:hAnsi="Arial" w:cs="Arial"/>
          <w:sz w:val="22"/>
          <w:szCs w:val="22"/>
        </w:rPr>
        <w:t xml:space="preserve"> </w:t>
      </w:r>
      <w:r w:rsidR="00794BAE" w:rsidRPr="00A26E50">
        <w:rPr>
          <w:rFonts w:ascii="Arial" w:hAnsi="Arial" w:cs="Arial"/>
          <w:sz w:val="22"/>
          <w:szCs w:val="22"/>
        </w:rPr>
        <w:t>(</w:t>
      </w:r>
      <w:r w:rsidRPr="00A26E50">
        <w:rPr>
          <w:rFonts w:ascii="Arial" w:hAnsi="Arial" w:cs="Arial"/>
          <w:sz w:val="22"/>
          <w:szCs w:val="22"/>
        </w:rPr>
        <w:t>b) manifestação do Ministério Público junto ao Tribunal de Contas, sobre as restrições remanescentes apontadas pela DMU; e</w:t>
      </w:r>
      <w:r w:rsidR="000C07FF" w:rsidRPr="00A26E50">
        <w:rPr>
          <w:rFonts w:ascii="Arial" w:hAnsi="Arial" w:cs="Arial"/>
          <w:sz w:val="22"/>
          <w:szCs w:val="22"/>
        </w:rPr>
        <w:t xml:space="preserve"> </w:t>
      </w:r>
      <w:r w:rsidR="00794BAE" w:rsidRPr="00A26E50">
        <w:rPr>
          <w:rFonts w:ascii="Arial" w:hAnsi="Arial" w:cs="Arial"/>
          <w:sz w:val="22"/>
          <w:szCs w:val="22"/>
        </w:rPr>
        <w:t>(</w:t>
      </w:r>
      <w:r w:rsidRPr="00A26E50">
        <w:rPr>
          <w:rFonts w:ascii="Arial" w:hAnsi="Arial" w:cs="Arial"/>
          <w:sz w:val="22"/>
          <w:szCs w:val="22"/>
        </w:rPr>
        <w:t>c) a proposta de voto do relator</w:t>
      </w:r>
      <w:r w:rsidR="0068521A" w:rsidRPr="00A26E50">
        <w:rPr>
          <w:rFonts w:ascii="Arial" w:hAnsi="Arial" w:cs="Arial"/>
          <w:sz w:val="22"/>
          <w:szCs w:val="22"/>
        </w:rPr>
        <w:t>,</w:t>
      </w:r>
      <w:r w:rsidR="009A299D" w:rsidRPr="00A26E50">
        <w:rPr>
          <w:rFonts w:ascii="Arial" w:hAnsi="Arial" w:cs="Arial"/>
          <w:sz w:val="22"/>
          <w:szCs w:val="22"/>
        </w:rPr>
        <w:t xml:space="preserve"> que poderá ou não</w:t>
      </w:r>
      <w:r w:rsidRPr="00A26E50">
        <w:rPr>
          <w:rFonts w:ascii="Arial" w:hAnsi="Arial" w:cs="Arial"/>
          <w:sz w:val="22"/>
          <w:szCs w:val="22"/>
        </w:rPr>
        <w:t xml:space="preserve"> ser acolhida pelo Plenário e que resultará na recomendação por parte do TCE/SC à câmara municipal pela aprovação</w:t>
      </w:r>
      <w:r w:rsidR="00FD2B78" w:rsidRPr="00A26E50">
        <w:rPr>
          <w:rFonts w:ascii="Arial" w:hAnsi="Arial" w:cs="Arial"/>
          <w:sz w:val="22"/>
          <w:szCs w:val="22"/>
        </w:rPr>
        <w:t xml:space="preserve"> </w:t>
      </w:r>
      <w:r w:rsidRPr="00A26E50">
        <w:rPr>
          <w:rFonts w:ascii="Arial" w:hAnsi="Arial" w:cs="Arial"/>
          <w:sz w:val="22"/>
          <w:szCs w:val="22"/>
        </w:rPr>
        <w:t xml:space="preserve">ou rejeição das contas da </w:t>
      </w:r>
      <w:r w:rsidR="00FD2B78" w:rsidRPr="00A26E50">
        <w:rPr>
          <w:rFonts w:ascii="Arial" w:hAnsi="Arial" w:cs="Arial"/>
          <w:sz w:val="22"/>
          <w:szCs w:val="22"/>
        </w:rPr>
        <w:t>p</w:t>
      </w:r>
      <w:r w:rsidRPr="00A26E50">
        <w:rPr>
          <w:rFonts w:ascii="Arial" w:hAnsi="Arial" w:cs="Arial"/>
          <w:sz w:val="22"/>
          <w:szCs w:val="22"/>
        </w:rPr>
        <w:t xml:space="preserve">refeitura </w:t>
      </w:r>
      <w:r w:rsidR="00FD2B78" w:rsidRPr="00A26E50">
        <w:rPr>
          <w:rFonts w:ascii="Arial" w:hAnsi="Arial" w:cs="Arial"/>
          <w:sz w:val="22"/>
          <w:szCs w:val="22"/>
        </w:rPr>
        <w:t>m</w:t>
      </w:r>
      <w:r w:rsidRPr="00A26E50">
        <w:rPr>
          <w:rFonts w:ascii="Arial" w:hAnsi="Arial" w:cs="Arial"/>
          <w:sz w:val="22"/>
          <w:szCs w:val="22"/>
        </w:rPr>
        <w:t>unicipal</w:t>
      </w:r>
      <w:r w:rsidR="00C23E1E" w:rsidRPr="00A26E50">
        <w:rPr>
          <w:rFonts w:ascii="Arial" w:hAnsi="Arial" w:cs="Arial"/>
          <w:sz w:val="22"/>
          <w:szCs w:val="22"/>
        </w:rPr>
        <w:t>,</w:t>
      </w:r>
      <w:r w:rsidRPr="00A26E50">
        <w:rPr>
          <w:rFonts w:ascii="Arial" w:hAnsi="Arial" w:cs="Arial"/>
          <w:sz w:val="22"/>
          <w:szCs w:val="22"/>
        </w:rPr>
        <w:t xml:space="preserve"> correspondente ao exercício analisado.</w:t>
      </w:r>
    </w:p>
    <w:p w:rsidR="003F4DC8" w:rsidRPr="00A26E50" w:rsidRDefault="003F4DC8" w:rsidP="00C96A3E">
      <w:pPr>
        <w:rPr>
          <w:rFonts w:ascii="Arial" w:hAnsi="Arial" w:cs="Arial"/>
          <w:sz w:val="22"/>
          <w:szCs w:val="22"/>
        </w:rPr>
      </w:pPr>
      <w:r w:rsidRPr="00A26E50">
        <w:rPr>
          <w:rFonts w:ascii="Arial" w:hAnsi="Arial" w:cs="Arial"/>
          <w:sz w:val="22"/>
          <w:szCs w:val="22"/>
        </w:rPr>
        <w:t>Cabe esclarecer que o número limitado de relatórios e votos dos relatores obtidos e analisados no exercício financeiro de 2000</w:t>
      </w:r>
      <w:r w:rsidR="00767B50" w:rsidRPr="00A26E50">
        <w:rPr>
          <w:rFonts w:ascii="Arial" w:hAnsi="Arial" w:cs="Arial"/>
          <w:sz w:val="22"/>
          <w:szCs w:val="22"/>
        </w:rPr>
        <w:t xml:space="preserve"> </w:t>
      </w:r>
      <w:r w:rsidRPr="00A26E50">
        <w:rPr>
          <w:rFonts w:ascii="Arial" w:hAnsi="Arial" w:cs="Arial"/>
          <w:sz w:val="22"/>
          <w:szCs w:val="22"/>
        </w:rPr>
        <w:t>justifica-se pelo fato de os documentos faltantes não se encontrarem arquivados em mídias digitais.</w:t>
      </w:r>
      <w:r w:rsidR="00D0653E" w:rsidRPr="00A26E50">
        <w:rPr>
          <w:rFonts w:ascii="Arial" w:hAnsi="Arial" w:cs="Arial"/>
          <w:sz w:val="22"/>
          <w:szCs w:val="22"/>
        </w:rPr>
        <w:t xml:space="preserve"> O</w:t>
      </w:r>
      <w:r w:rsidRPr="00A26E50">
        <w:rPr>
          <w:rFonts w:ascii="Arial" w:hAnsi="Arial" w:cs="Arial"/>
          <w:sz w:val="22"/>
          <w:szCs w:val="22"/>
        </w:rPr>
        <w:t xml:space="preserve">s documentos mencionados foram obtidos por meio de acesso ao sítio eletrônico do Tribunal de Contas do Estado de Santa Catarina (TCE/SC), nos meses de dezembro de 2015 a maio de 2016. </w:t>
      </w:r>
    </w:p>
    <w:p w:rsidR="008A116A" w:rsidRPr="00A26E50" w:rsidRDefault="008A116A" w:rsidP="00C96A3E">
      <w:pPr>
        <w:rPr>
          <w:rFonts w:ascii="Arial" w:hAnsi="Arial" w:cs="Arial"/>
          <w:sz w:val="22"/>
          <w:szCs w:val="22"/>
        </w:rPr>
      </w:pPr>
    </w:p>
    <w:p w:rsidR="003F4DC8" w:rsidRPr="00A26E50" w:rsidRDefault="003F4DC8" w:rsidP="00164802">
      <w:pPr>
        <w:pStyle w:val="Ttulo1"/>
        <w:spacing w:before="0" w:after="0" w:line="360" w:lineRule="auto"/>
        <w:rPr>
          <w:rFonts w:ascii="Arial" w:hAnsi="Arial" w:cs="Arial"/>
          <w:szCs w:val="22"/>
        </w:rPr>
      </w:pPr>
      <w:r w:rsidRPr="00A26E50">
        <w:rPr>
          <w:rFonts w:ascii="Arial" w:hAnsi="Arial" w:cs="Arial"/>
          <w:szCs w:val="22"/>
        </w:rPr>
        <w:t>REFERENCIAL TEÓRICO</w:t>
      </w:r>
    </w:p>
    <w:p w:rsidR="003F4DC8" w:rsidRPr="00A26E50" w:rsidRDefault="003F4DC8" w:rsidP="00C96A3E">
      <w:pPr>
        <w:pStyle w:val="Ttulo2"/>
        <w:rPr>
          <w:rFonts w:ascii="Arial" w:hAnsi="Arial" w:cs="Arial"/>
          <w:sz w:val="22"/>
          <w:szCs w:val="22"/>
        </w:rPr>
      </w:pPr>
      <w:r w:rsidRPr="00A26E50">
        <w:rPr>
          <w:rFonts w:ascii="Arial" w:hAnsi="Arial" w:cs="Arial"/>
          <w:sz w:val="22"/>
          <w:szCs w:val="22"/>
          <w:lang w:val="pt-BR"/>
        </w:rPr>
        <w:t>EXECUÇÃO ORÇAMENTÁRIA E RESTOS A PAGAR</w:t>
      </w:r>
    </w:p>
    <w:p w:rsidR="003F4DC8" w:rsidRPr="00A26E50" w:rsidRDefault="003F4DC8" w:rsidP="00C96A3E">
      <w:pPr>
        <w:rPr>
          <w:rFonts w:ascii="Arial" w:hAnsi="Arial" w:cs="Arial"/>
          <w:bCs/>
          <w:sz w:val="22"/>
          <w:szCs w:val="22"/>
        </w:rPr>
      </w:pPr>
      <w:r w:rsidRPr="00A26E50">
        <w:rPr>
          <w:rFonts w:ascii="Arial" w:hAnsi="Arial" w:cs="Arial"/>
          <w:sz w:val="22"/>
          <w:szCs w:val="22"/>
        </w:rPr>
        <w:t xml:space="preserve">O Estado, visando à satisfação das necessidades coletivas, oferta </w:t>
      </w:r>
      <w:r w:rsidRPr="00A26E50">
        <w:rPr>
          <w:rFonts w:ascii="Arial" w:hAnsi="Arial" w:cs="Arial"/>
          <w:bCs/>
          <w:sz w:val="22"/>
          <w:szCs w:val="22"/>
        </w:rPr>
        <w:t>à sociedade</w:t>
      </w:r>
      <w:r w:rsidRPr="00A26E50">
        <w:rPr>
          <w:rFonts w:ascii="Arial" w:hAnsi="Arial" w:cs="Arial"/>
          <w:sz w:val="22"/>
          <w:szCs w:val="22"/>
        </w:rPr>
        <w:t xml:space="preserve"> uma </w:t>
      </w:r>
      <w:r w:rsidRPr="00A26E50">
        <w:rPr>
          <w:rFonts w:ascii="Arial" w:hAnsi="Arial" w:cs="Arial"/>
          <w:bCs/>
          <w:sz w:val="22"/>
          <w:szCs w:val="22"/>
        </w:rPr>
        <w:t>diversidade de bens e serviços</w:t>
      </w:r>
      <w:r w:rsidR="00A4683F" w:rsidRPr="00A26E50">
        <w:rPr>
          <w:rFonts w:ascii="Arial" w:hAnsi="Arial" w:cs="Arial"/>
          <w:bCs/>
          <w:sz w:val="22"/>
          <w:szCs w:val="22"/>
        </w:rPr>
        <w:t xml:space="preserve"> </w:t>
      </w:r>
      <w:r w:rsidRPr="00A26E50">
        <w:rPr>
          <w:rFonts w:ascii="Arial" w:hAnsi="Arial" w:cs="Arial"/>
          <w:bCs/>
          <w:sz w:val="22"/>
          <w:szCs w:val="22"/>
        </w:rPr>
        <w:t xml:space="preserve">que necessitam de recursos para sua realização. Contudo, os recursos arrecadados da própria sociedade são limitados. Em vista disso, o Estado deve “planejar a aplicação destes recursos por meio do orçamento público”, que abrange determinados </w:t>
      </w:r>
      <w:r w:rsidRPr="00A26E50">
        <w:rPr>
          <w:rFonts w:ascii="Arial" w:hAnsi="Arial" w:cs="Arial"/>
          <w:sz w:val="22"/>
          <w:szCs w:val="22"/>
        </w:rPr>
        <w:t xml:space="preserve">instrumentos de planejamento estatal </w:t>
      </w:r>
      <w:r w:rsidRPr="00A26E50">
        <w:rPr>
          <w:rFonts w:ascii="Arial" w:hAnsi="Arial" w:cs="Arial"/>
          <w:bCs/>
          <w:sz w:val="22"/>
          <w:szCs w:val="22"/>
        </w:rPr>
        <w:t>(</w:t>
      </w:r>
      <w:r w:rsidRPr="00A26E50">
        <w:rPr>
          <w:rFonts w:ascii="Arial" w:hAnsi="Arial" w:cs="Arial"/>
          <w:sz w:val="22"/>
          <w:szCs w:val="22"/>
        </w:rPr>
        <w:t>PASCOAL</w:t>
      </w:r>
      <w:r w:rsidRPr="00A26E50">
        <w:rPr>
          <w:rFonts w:ascii="Arial" w:hAnsi="Arial" w:cs="Arial"/>
          <w:bCs/>
          <w:sz w:val="22"/>
          <w:szCs w:val="22"/>
        </w:rPr>
        <w:t>, 2015).</w:t>
      </w:r>
    </w:p>
    <w:p w:rsidR="003F4DC8" w:rsidRPr="00A26E50" w:rsidRDefault="003F4DC8" w:rsidP="00C96A3E">
      <w:pPr>
        <w:rPr>
          <w:rFonts w:ascii="Arial" w:hAnsi="Arial" w:cs="Arial"/>
          <w:sz w:val="22"/>
          <w:szCs w:val="22"/>
        </w:rPr>
      </w:pPr>
      <w:r w:rsidRPr="00A26E50">
        <w:rPr>
          <w:rFonts w:ascii="Arial" w:hAnsi="Arial" w:cs="Arial"/>
          <w:sz w:val="22"/>
          <w:szCs w:val="22"/>
        </w:rPr>
        <w:lastRenderedPageBreak/>
        <w:t xml:space="preserve">Existe uma diversidade de conceitos </w:t>
      </w:r>
      <w:r w:rsidR="00A4683F" w:rsidRPr="00A26E50">
        <w:rPr>
          <w:rFonts w:ascii="Arial" w:hAnsi="Arial" w:cs="Arial"/>
          <w:sz w:val="22"/>
          <w:szCs w:val="22"/>
        </w:rPr>
        <w:t xml:space="preserve">relativos a </w:t>
      </w:r>
      <w:r w:rsidRPr="00A26E50">
        <w:rPr>
          <w:rFonts w:ascii="Arial" w:hAnsi="Arial" w:cs="Arial"/>
          <w:sz w:val="22"/>
          <w:szCs w:val="22"/>
        </w:rPr>
        <w:t xml:space="preserve">orçamento público. No entanto, aqui </w:t>
      </w:r>
      <w:r w:rsidR="00160D52">
        <w:rPr>
          <w:rFonts w:ascii="Arial" w:hAnsi="Arial" w:cs="Arial"/>
          <w:sz w:val="22"/>
          <w:szCs w:val="22"/>
        </w:rPr>
        <w:t>é</w:t>
      </w:r>
      <w:r w:rsidR="005D6335" w:rsidRPr="00A26E50">
        <w:rPr>
          <w:rFonts w:ascii="Arial" w:hAnsi="Arial" w:cs="Arial"/>
          <w:sz w:val="22"/>
          <w:szCs w:val="22"/>
        </w:rPr>
        <w:t xml:space="preserve"> </w:t>
      </w:r>
      <w:r w:rsidRPr="00A26E50">
        <w:rPr>
          <w:rFonts w:ascii="Arial" w:hAnsi="Arial" w:cs="Arial"/>
          <w:sz w:val="22"/>
          <w:szCs w:val="22"/>
        </w:rPr>
        <w:t>apresentado apenas o conceito proposto por Silva, pois é o que mais se aproxima do propósito do presente artigo. Silva (2011, p. 10) conceitua orçamento público como</w:t>
      </w:r>
    </w:p>
    <w:p w:rsidR="003F4DC8" w:rsidRPr="00A26E50" w:rsidRDefault="003F4DC8" w:rsidP="000B78AC">
      <w:pPr>
        <w:ind w:left="2268" w:firstLine="0"/>
        <w:rPr>
          <w:rFonts w:ascii="Arial" w:hAnsi="Arial" w:cs="Arial"/>
          <w:sz w:val="20"/>
        </w:rPr>
      </w:pPr>
      <w:r w:rsidRPr="00A26E50">
        <w:rPr>
          <w:rFonts w:ascii="Arial" w:hAnsi="Arial" w:cs="Arial"/>
          <w:sz w:val="20"/>
        </w:rPr>
        <w:t>o ato pelo qual o Poder Legislativo prevê e autoriza aos Poderes Executivo, Judiciário e ao próprio Poder Legislativo, por certo período, as despesas destinadas ao funcionamento dos serviços públicos e aos investimentos indicados pela política econômica, assim como a arrecadação das receitas já criadas por lei. Portanto, o orçamento tem como objetivo prever as fontes dos recursos financeiros e registrá-los anualmente para o financiamento dos planos, programas e projetos, de modo a satisfazer às necessidades coletivas.</w:t>
      </w:r>
    </w:p>
    <w:p w:rsidR="003F4DC8" w:rsidRPr="00A26E50" w:rsidRDefault="003F4DC8" w:rsidP="00C96A3E">
      <w:pPr>
        <w:pStyle w:val="Textodecomentrio"/>
        <w:ind w:firstLine="709"/>
        <w:rPr>
          <w:rFonts w:ascii="Arial" w:hAnsi="Arial" w:cs="Arial"/>
          <w:sz w:val="22"/>
          <w:szCs w:val="22"/>
        </w:rPr>
      </w:pPr>
      <w:r w:rsidRPr="00A26E50">
        <w:rPr>
          <w:rFonts w:ascii="Arial" w:hAnsi="Arial" w:cs="Arial"/>
          <w:sz w:val="22"/>
          <w:szCs w:val="22"/>
        </w:rPr>
        <w:t xml:space="preserve">No Brasil, as principais bases normativas do orçamento público são a Constituição Federal de 1988, a Lei n.º 4.320/1964 e a Lei Complementar n.º 101/2000. A </w:t>
      </w:r>
      <w:r w:rsidRPr="00A26E50">
        <w:rPr>
          <w:rFonts w:ascii="Arial" w:eastAsia="Times New Roman" w:hAnsi="Arial" w:cs="Arial"/>
          <w:sz w:val="22"/>
          <w:szCs w:val="22"/>
        </w:rPr>
        <w:t>Constituição de 1988,</w:t>
      </w:r>
      <w:r w:rsidRPr="00A26E50">
        <w:rPr>
          <w:rFonts w:ascii="Arial" w:hAnsi="Arial" w:cs="Arial"/>
          <w:sz w:val="22"/>
          <w:szCs w:val="22"/>
        </w:rPr>
        <w:t xml:space="preserve"> em seu Capítulo II (Das Finanças Públicas), do Título VI (Da Tributação e do Orçamento), contém uma seção específica que trata de orçamento, intitulada “Dos Orçamentos”. A Lei n.º 4.320/1964 “estatui normas gerais de direito financeiro para elaboração e controle dos orçamentos e balanços da União, dos Estados, dos Municípios e do Distrito Federal” (BRASIL, 1964, art. 1°). Por sua vez, a Lei Complementar n.º 101/2000 “estabelece normas de finanças públicas voltadas para a responsabilidade na gestão fiscal” (BRASIL, 2000a, art. 1°).</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Segundo a Constituição Federal (BRASIL, 1988, art. 165), o orçamento público brasileiro está estruturado em três Leis: o Plano Plurianual (PPA); a Lei de Diretrizes Orçamentárias (LDO); e a Lei de</w:t>
      </w:r>
      <w:r w:rsidR="000C39BE" w:rsidRPr="00A26E50">
        <w:rPr>
          <w:rFonts w:ascii="Arial" w:hAnsi="Arial" w:cs="Arial"/>
          <w:sz w:val="22"/>
          <w:szCs w:val="22"/>
        </w:rPr>
        <w:t xml:space="preserve"> Orçamentos Anuais (LOA). Tais </w:t>
      </w:r>
      <w:r w:rsidR="00160D52">
        <w:rPr>
          <w:rFonts w:ascii="Arial" w:hAnsi="Arial" w:cs="Arial"/>
          <w:sz w:val="22"/>
          <w:szCs w:val="22"/>
        </w:rPr>
        <w:t>L</w:t>
      </w:r>
      <w:r w:rsidRPr="00A26E50">
        <w:rPr>
          <w:rFonts w:ascii="Arial" w:hAnsi="Arial" w:cs="Arial"/>
          <w:sz w:val="22"/>
          <w:szCs w:val="22"/>
        </w:rPr>
        <w:t>eis são constituídas de forma hierárquica, cabendo ao Poder Executivo a iniciativa de elaboração e ao Poder Legislativo a sua aprovação.</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D</w:t>
      </w:r>
      <w:r w:rsidR="000A35B6" w:rsidRPr="00A26E50">
        <w:rPr>
          <w:rFonts w:ascii="Arial" w:hAnsi="Arial" w:cs="Arial"/>
          <w:sz w:val="22"/>
          <w:szCs w:val="22"/>
        </w:rPr>
        <w:t xml:space="preserve">entre </w:t>
      </w:r>
      <w:r w:rsidRPr="00A26E50">
        <w:rPr>
          <w:rFonts w:ascii="Arial" w:hAnsi="Arial" w:cs="Arial"/>
          <w:sz w:val="22"/>
          <w:szCs w:val="22"/>
        </w:rPr>
        <w:t>as Leis supramencionadas a LOA, é o que se pode “chamar de orçamento por excelência ou orçamento propriamente dito” (CARVALHO, 2010, p. 46). É por meio dela que o Poder Executivo prevê as receitas e fixa</w:t>
      </w:r>
      <w:r w:rsidR="00E16385" w:rsidRPr="00A26E50">
        <w:rPr>
          <w:rFonts w:ascii="Arial" w:hAnsi="Arial" w:cs="Arial"/>
          <w:sz w:val="22"/>
          <w:szCs w:val="22"/>
        </w:rPr>
        <w:t xml:space="preserve"> as despesas </w:t>
      </w:r>
      <w:r w:rsidR="00991110" w:rsidRPr="00A26E50">
        <w:rPr>
          <w:rFonts w:ascii="Arial" w:hAnsi="Arial" w:cs="Arial"/>
          <w:sz w:val="22"/>
          <w:szCs w:val="22"/>
        </w:rPr>
        <w:t>a</w:t>
      </w:r>
      <w:r w:rsidR="00E16385" w:rsidRPr="00A26E50">
        <w:rPr>
          <w:rFonts w:ascii="Arial" w:hAnsi="Arial" w:cs="Arial"/>
          <w:sz w:val="22"/>
          <w:szCs w:val="22"/>
        </w:rPr>
        <w:t xml:space="preserve"> serem realizadas no ano.</w:t>
      </w:r>
      <w:r w:rsidRPr="00A26E50">
        <w:rPr>
          <w:rFonts w:ascii="Arial" w:hAnsi="Arial" w:cs="Arial"/>
          <w:sz w:val="22"/>
          <w:szCs w:val="22"/>
        </w:rPr>
        <w:t xml:space="preserve">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Para que a LOA possa ser executada, </w:t>
      </w:r>
      <w:r w:rsidR="006C21F5" w:rsidRPr="00A26E50">
        <w:rPr>
          <w:rFonts w:ascii="Arial" w:hAnsi="Arial" w:cs="Arial"/>
          <w:sz w:val="22"/>
          <w:szCs w:val="22"/>
        </w:rPr>
        <w:t xml:space="preserve">é necessário que, </w:t>
      </w:r>
      <w:r w:rsidRPr="00A26E50">
        <w:rPr>
          <w:rFonts w:ascii="Arial" w:hAnsi="Arial" w:cs="Arial"/>
          <w:sz w:val="22"/>
          <w:szCs w:val="22"/>
        </w:rPr>
        <w:t>primeiramente</w:t>
      </w:r>
      <w:r w:rsidR="008B12AB" w:rsidRPr="00A26E50">
        <w:rPr>
          <w:rFonts w:ascii="Arial" w:hAnsi="Arial" w:cs="Arial"/>
          <w:sz w:val="22"/>
          <w:szCs w:val="22"/>
        </w:rPr>
        <w:t>,</w:t>
      </w:r>
      <w:r w:rsidRPr="00A26E50">
        <w:rPr>
          <w:rFonts w:ascii="Arial" w:hAnsi="Arial" w:cs="Arial"/>
          <w:sz w:val="22"/>
          <w:szCs w:val="22"/>
        </w:rPr>
        <w:t xml:space="preserve"> </w:t>
      </w:r>
      <w:r w:rsidR="008B12AB" w:rsidRPr="00A26E50">
        <w:rPr>
          <w:rFonts w:ascii="Arial" w:hAnsi="Arial" w:cs="Arial"/>
          <w:sz w:val="22"/>
          <w:szCs w:val="22"/>
        </w:rPr>
        <w:t xml:space="preserve">seja </w:t>
      </w:r>
      <w:r w:rsidRPr="00A26E50">
        <w:rPr>
          <w:rFonts w:ascii="Arial" w:hAnsi="Arial" w:cs="Arial"/>
          <w:sz w:val="22"/>
          <w:szCs w:val="22"/>
        </w:rPr>
        <w:t>publicada. Após a sua publicação, o Poder Executivo terá um período de até trinta dias para estabelecer “a programação financeira e o cronograma de execução mensal de desembolso” (BRASIL, 2000a, art. 8°). Tal medida tem por finalidade fazer com que o gestor público programe “a realização dos gastos de forma harmonizada com o comportamento do fluxo de entrada dos recursos”, visto que</w:t>
      </w:r>
      <w:r w:rsidR="00D42CFB" w:rsidRPr="00A26E50">
        <w:rPr>
          <w:rFonts w:ascii="Arial" w:hAnsi="Arial" w:cs="Arial"/>
          <w:sz w:val="22"/>
          <w:szCs w:val="22"/>
        </w:rPr>
        <w:t xml:space="preserve"> </w:t>
      </w:r>
      <w:r w:rsidRPr="00A26E50">
        <w:rPr>
          <w:rFonts w:ascii="Arial" w:hAnsi="Arial" w:cs="Arial"/>
          <w:sz w:val="22"/>
          <w:szCs w:val="22"/>
        </w:rPr>
        <w:t>“o ajuste entre a entrada efetiva das receitas e as necessidades de pagamento das despesas” não acontece automaticamente (GIACOMONI, 2017, p. 322).</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Além de estabelecer a programação financeira e o cronograma de execução mensal de desembolso para o exercício, devem ser observadas as instruções normativas e outras </w:t>
      </w:r>
      <w:r w:rsidR="00B4269F" w:rsidRPr="00A26E50">
        <w:rPr>
          <w:rFonts w:ascii="Arial" w:hAnsi="Arial" w:cs="Arial"/>
          <w:sz w:val="22"/>
          <w:szCs w:val="22"/>
        </w:rPr>
        <w:t>normas de execução orçamentária</w:t>
      </w:r>
      <w:r w:rsidRPr="00A26E50">
        <w:rPr>
          <w:rFonts w:ascii="Arial" w:hAnsi="Arial" w:cs="Arial"/>
          <w:sz w:val="22"/>
          <w:szCs w:val="22"/>
        </w:rPr>
        <w:t xml:space="preserve"> para que, a partir de então, </w:t>
      </w:r>
      <w:r w:rsidR="005B7E25" w:rsidRPr="005B7E25">
        <w:rPr>
          <w:rFonts w:ascii="Arial" w:hAnsi="Arial" w:cs="Arial"/>
          <w:sz w:val="22"/>
          <w:szCs w:val="22"/>
        </w:rPr>
        <w:t>“</w:t>
      </w:r>
      <w:r w:rsidRPr="005B7E25">
        <w:rPr>
          <w:rFonts w:ascii="Arial" w:hAnsi="Arial" w:cs="Arial"/>
          <w:sz w:val="22"/>
          <w:szCs w:val="22"/>
        </w:rPr>
        <w:t>tenha</w:t>
      </w:r>
      <w:r w:rsidR="00D94D3C" w:rsidRPr="005B7E25">
        <w:rPr>
          <w:rFonts w:ascii="Arial" w:hAnsi="Arial" w:cs="Arial"/>
          <w:sz w:val="22"/>
          <w:szCs w:val="22"/>
        </w:rPr>
        <w:t>-se</w:t>
      </w:r>
      <w:r w:rsidRPr="005B7E25">
        <w:rPr>
          <w:rFonts w:ascii="Arial" w:hAnsi="Arial" w:cs="Arial"/>
          <w:sz w:val="22"/>
          <w:szCs w:val="22"/>
        </w:rPr>
        <w:t xml:space="preserve"> o início da execução orçamentária propriamente dita</w:t>
      </w:r>
      <w:r w:rsidR="005B7E25" w:rsidRPr="005B7E25">
        <w:rPr>
          <w:rFonts w:ascii="Arial" w:hAnsi="Arial" w:cs="Arial"/>
          <w:sz w:val="22"/>
          <w:szCs w:val="22"/>
        </w:rPr>
        <w:t>” (STN, 2017).</w:t>
      </w:r>
    </w:p>
    <w:p w:rsidR="003F4DC8" w:rsidRPr="00A26E50" w:rsidRDefault="003F4DC8" w:rsidP="00C96A3E">
      <w:pPr>
        <w:autoSpaceDE w:val="0"/>
        <w:autoSpaceDN w:val="0"/>
        <w:adjustRightInd w:val="0"/>
        <w:rPr>
          <w:rFonts w:ascii="Arial" w:eastAsiaTheme="minorHAnsi" w:hAnsi="Arial" w:cs="Arial"/>
          <w:sz w:val="22"/>
          <w:szCs w:val="22"/>
          <w:lang w:eastAsia="en-US"/>
        </w:rPr>
      </w:pPr>
      <w:r w:rsidRPr="00A26E50">
        <w:rPr>
          <w:rFonts w:ascii="Arial" w:hAnsi="Arial" w:cs="Arial"/>
          <w:sz w:val="22"/>
          <w:szCs w:val="22"/>
        </w:rPr>
        <w:t>A execução orçamentária ocorre durante o exercício financeiro. C</w:t>
      </w:r>
      <w:r w:rsidRPr="00A26E50">
        <w:rPr>
          <w:rFonts w:ascii="Arial" w:eastAsiaTheme="minorHAnsi" w:hAnsi="Arial" w:cs="Arial"/>
          <w:sz w:val="22"/>
          <w:szCs w:val="22"/>
          <w:lang w:eastAsia="en-US"/>
        </w:rPr>
        <w:t xml:space="preserve">onforme </w:t>
      </w:r>
      <w:r w:rsidRPr="00A26E50">
        <w:rPr>
          <w:rFonts w:ascii="Arial" w:hAnsi="Arial" w:cs="Arial"/>
          <w:sz w:val="22"/>
          <w:szCs w:val="22"/>
        </w:rPr>
        <w:t xml:space="preserve">a Lei n.º 4.320/1964, “o exercício financeiro” compreende o período de um ano, o qual se inicia em 1° de janeiro e se encerra em 31 de dezembro, </w:t>
      </w:r>
      <w:r w:rsidRPr="00A26E50">
        <w:rPr>
          <w:rFonts w:ascii="Arial" w:eastAsiaTheme="minorHAnsi" w:hAnsi="Arial" w:cs="Arial"/>
          <w:sz w:val="22"/>
          <w:szCs w:val="22"/>
          <w:lang w:eastAsia="en-US"/>
        </w:rPr>
        <w:t>coincidindo</w:t>
      </w:r>
      <w:r w:rsidR="00507E0C" w:rsidRPr="00A26E50">
        <w:rPr>
          <w:rFonts w:ascii="Arial" w:eastAsiaTheme="minorHAnsi" w:hAnsi="Arial" w:cs="Arial"/>
          <w:sz w:val="22"/>
          <w:szCs w:val="22"/>
          <w:lang w:eastAsia="en-US"/>
        </w:rPr>
        <w:t>,</w:t>
      </w:r>
      <w:r w:rsidRPr="00A26E50">
        <w:rPr>
          <w:rFonts w:ascii="Arial" w:eastAsiaTheme="minorHAnsi" w:hAnsi="Arial" w:cs="Arial"/>
          <w:sz w:val="22"/>
          <w:szCs w:val="22"/>
          <w:lang w:eastAsia="en-US"/>
        </w:rPr>
        <w:t xml:space="preserve"> desta forma</w:t>
      </w:r>
      <w:r w:rsidR="00507E0C" w:rsidRPr="00A26E50">
        <w:rPr>
          <w:rFonts w:ascii="Arial" w:eastAsiaTheme="minorHAnsi" w:hAnsi="Arial" w:cs="Arial"/>
          <w:sz w:val="22"/>
          <w:szCs w:val="22"/>
          <w:lang w:eastAsia="en-US"/>
        </w:rPr>
        <w:t>,</w:t>
      </w:r>
      <w:r w:rsidRPr="00A26E50">
        <w:rPr>
          <w:rFonts w:ascii="Arial" w:eastAsiaTheme="minorHAnsi" w:hAnsi="Arial" w:cs="Arial"/>
          <w:sz w:val="22"/>
          <w:szCs w:val="22"/>
          <w:lang w:eastAsia="en-US"/>
        </w:rPr>
        <w:t xml:space="preserve"> “com o ano civil” (BRASIL, 1964, art. 34). </w:t>
      </w:r>
      <w:r w:rsidRPr="00A26E50">
        <w:rPr>
          <w:rFonts w:ascii="Arial" w:hAnsi="Arial" w:cs="Arial"/>
          <w:sz w:val="22"/>
          <w:szCs w:val="22"/>
        </w:rPr>
        <w:t xml:space="preserve">De acordo com Kohama (2016, p. 34), entende-se por exercício financeiro “o período de tempo durante o qual se exercem todas as atividades administrativas e financeiras relativas à execução do orçamento”.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É durante a execução do orçamento que “as decisões e as escolhas expressas na lei orçamentária assumem natureza financeira na forma de fluxos de recursos que entram e saem do Tesouro” (GIACOMONI, 2017, p. 317). Desta forma, “a execução do orçamento constitui a concretização anual dos objetivos e metas determinados para o setor público, no processo de planejamento integrado, e implica a mobilização de recursos humanos, materiais e financeiros” </w:t>
      </w:r>
      <w:r w:rsidRPr="00A26E50">
        <w:rPr>
          <w:rFonts w:ascii="Arial" w:hAnsi="Arial" w:cs="Arial"/>
          <w:sz w:val="22"/>
          <w:szCs w:val="22"/>
        </w:rPr>
        <w:lastRenderedPageBreak/>
        <w:t xml:space="preserve">(KOHAMA, 2016, p. 51).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De acordo com a Secretaria do Tesouro Nacional (STN), executar o orçamento é “realizar as despesas públicas nele previstas, seguindo à risca os três estágios da execução das despesas previstos </w:t>
      </w:r>
      <w:r w:rsidR="004E2C00" w:rsidRPr="00A26E50">
        <w:rPr>
          <w:rFonts w:ascii="Arial" w:hAnsi="Arial" w:cs="Arial"/>
          <w:sz w:val="22"/>
          <w:szCs w:val="22"/>
        </w:rPr>
        <w:t xml:space="preserve">na” Lei n.º 4.320/1964: </w:t>
      </w:r>
      <w:r w:rsidR="005B7E25">
        <w:rPr>
          <w:rFonts w:ascii="Arial" w:hAnsi="Arial" w:cs="Arial"/>
          <w:sz w:val="22"/>
          <w:szCs w:val="22"/>
        </w:rPr>
        <w:t>“</w:t>
      </w:r>
      <w:r w:rsidR="004E2C00" w:rsidRPr="00A26E50">
        <w:rPr>
          <w:rFonts w:ascii="Arial" w:hAnsi="Arial" w:cs="Arial"/>
          <w:sz w:val="22"/>
          <w:szCs w:val="22"/>
        </w:rPr>
        <w:t>empenho,</w:t>
      </w:r>
      <w:r w:rsidRPr="00A26E50">
        <w:rPr>
          <w:rFonts w:ascii="Arial" w:hAnsi="Arial" w:cs="Arial"/>
          <w:sz w:val="22"/>
          <w:szCs w:val="22"/>
        </w:rPr>
        <w:t xml:space="preserve"> liquidação e pagamento</w:t>
      </w:r>
      <w:r w:rsidR="005B7E25">
        <w:rPr>
          <w:rFonts w:ascii="Arial" w:hAnsi="Arial" w:cs="Arial"/>
          <w:sz w:val="22"/>
          <w:szCs w:val="22"/>
        </w:rPr>
        <w:t>”</w:t>
      </w:r>
      <w:r w:rsidRPr="00A26E50">
        <w:rPr>
          <w:rFonts w:ascii="Arial" w:hAnsi="Arial" w:cs="Arial"/>
          <w:sz w:val="22"/>
          <w:szCs w:val="22"/>
        </w:rPr>
        <w:t xml:space="preserve"> (STN, 2017).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Conforme o </w:t>
      </w:r>
      <w:r w:rsidRPr="00A26E50">
        <w:rPr>
          <w:rFonts w:ascii="Arial" w:hAnsi="Arial" w:cs="Arial"/>
          <w:bCs/>
          <w:sz w:val="22"/>
          <w:szCs w:val="22"/>
        </w:rPr>
        <w:t>Manual de Contabilidade Aplicada ao Setor Público</w:t>
      </w:r>
      <w:r w:rsidRPr="00A26E50">
        <w:rPr>
          <w:rFonts w:ascii="Arial" w:hAnsi="Arial" w:cs="Arial"/>
          <w:sz w:val="22"/>
          <w:szCs w:val="22"/>
        </w:rPr>
        <w:t xml:space="preserve"> (MCASP), os estágios mencionados compõem a </w:t>
      </w:r>
      <w:r w:rsidRPr="00A26E50">
        <w:rPr>
          <w:rFonts w:ascii="Arial" w:hAnsi="Arial" w:cs="Arial"/>
          <w:bCs/>
          <w:sz w:val="22"/>
          <w:szCs w:val="22"/>
        </w:rPr>
        <w:t xml:space="preserve">etapa de </w:t>
      </w:r>
      <w:r w:rsidRPr="00A26E50">
        <w:rPr>
          <w:rFonts w:ascii="Arial" w:hAnsi="Arial" w:cs="Arial"/>
          <w:sz w:val="22"/>
          <w:szCs w:val="22"/>
        </w:rPr>
        <w:t xml:space="preserve">execução da despesa </w:t>
      </w:r>
      <w:r w:rsidRPr="00A26E50">
        <w:rPr>
          <w:rFonts w:ascii="Arial" w:hAnsi="Arial" w:cs="Arial"/>
          <w:bCs/>
          <w:sz w:val="22"/>
          <w:szCs w:val="22"/>
        </w:rPr>
        <w:t xml:space="preserve">orçamentária, </w:t>
      </w:r>
      <w:r w:rsidR="005E7AB9" w:rsidRPr="00A26E50">
        <w:rPr>
          <w:rFonts w:ascii="Arial" w:hAnsi="Arial" w:cs="Arial"/>
          <w:bCs/>
          <w:sz w:val="22"/>
          <w:szCs w:val="22"/>
        </w:rPr>
        <w:t>que</w:t>
      </w:r>
      <w:r w:rsidRPr="00A26E50">
        <w:rPr>
          <w:rFonts w:ascii="Arial" w:hAnsi="Arial" w:cs="Arial"/>
          <w:bCs/>
          <w:sz w:val="22"/>
          <w:szCs w:val="22"/>
        </w:rPr>
        <w:t xml:space="preserve"> é precedida pela do planejamento </w:t>
      </w:r>
      <w:r w:rsidRPr="00A26E50">
        <w:rPr>
          <w:rFonts w:ascii="Arial" w:hAnsi="Arial" w:cs="Arial"/>
          <w:sz w:val="22"/>
          <w:szCs w:val="22"/>
        </w:rPr>
        <w:t>(STN, 2016a, p. 98-100). Ne</w:t>
      </w:r>
      <w:r w:rsidR="008E4924" w:rsidRPr="00A26E50">
        <w:rPr>
          <w:rFonts w:ascii="Arial" w:hAnsi="Arial" w:cs="Arial"/>
          <w:sz w:val="22"/>
          <w:szCs w:val="22"/>
        </w:rPr>
        <w:t>s</w:t>
      </w:r>
      <w:r w:rsidRPr="00A26E50">
        <w:rPr>
          <w:rFonts w:ascii="Arial" w:hAnsi="Arial" w:cs="Arial"/>
          <w:sz w:val="22"/>
          <w:szCs w:val="22"/>
        </w:rPr>
        <w:t>sa etapa</w:t>
      </w:r>
      <w:r w:rsidR="00C055D7" w:rsidRPr="00A26E50">
        <w:rPr>
          <w:rFonts w:ascii="Arial" w:hAnsi="Arial" w:cs="Arial"/>
          <w:sz w:val="22"/>
          <w:szCs w:val="22"/>
        </w:rPr>
        <w:t>,</w:t>
      </w:r>
      <w:r w:rsidRPr="00A26E50">
        <w:rPr>
          <w:rFonts w:ascii="Arial" w:hAnsi="Arial" w:cs="Arial"/>
          <w:sz w:val="22"/>
          <w:szCs w:val="22"/>
        </w:rPr>
        <w:t xml:space="preserve"> tem-se a </w:t>
      </w:r>
      <w:r w:rsidRPr="00A26E50">
        <w:rPr>
          <w:rFonts w:ascii="Arial" w:hAnsi="Arial" w:cs="Arial"/>
          <w:bCs/>
          <w:sz w:val="22"/>
          <w:szCs w:val="22"/>
        </w:rPr>
        <w:t xml:space="preserve">fixação da despesa, </w:t>
      </w:r>
      <w:r w:rsidR="008B3290" w:rsidRPr="00A26E50">
        <w:rPr>
          <w:rFonts w:ascii="Arial" w:hAnsi="Arial" w:cs="Arial"/>
          <w:bCs/>
          <w:sz w:val="22"/>
          <w:szCs w:val="22"/>
        </w:rPr>
        <w:t xml:space="preserve">que </w:t>
      </w:r>
      <w:r w:rsidRPr="00A26E50">
        <w:rPr>
          <w:rFonts w:ascii="Arial" w:hAnsi="Arial" w:cs="Arial"/>
          <w:bCs/>
          <w:sz w:val="22"/>
          <w:szCs w:val="22"/>
        </w:rPr>
        <w:t>se refere “</w:t>
      </w:r>
      <w:r w:rsidRPr="00A26E50">
        <w:rPr>
          <w:rFonts w:ascii="Arial" w:hAnsi="Arial" w:cs="Arial"/>
          <w:sz w:val="22"/>
          <w:szCs w:val="22"/>
        </w:rPr>
        <w:t>aos limites de gastos, incluídos nas leis orçamentárias com base nas receitas previstas, a serem efetuados pelas entidades públicas” (STN, 2016a, p. 98). Portanto, primeiro é fixad</w:t>
      </w:r>
      <w:r w:rsidR="003B76A2" w:rsidRPr="00A26E50">
        <w:rPr>
          <w:rFonts w:ascii="Arial" w:hAnsi="Arial" w:cs="Arial"/>
          <w:sz w:val="22"/>
          <w:szCs w:val="22"/>
        </w:rPr>
        <w:t>a a despesa na lei orçamentária</w:t>
      </w:r>
      <w:r w:rsidRPr="00A26E50">
        <w:rPr>
          <w:rFonts w:ascii="Arial" w:hAnsi="Arial" w:cs="Arial"/>
          <w:sz w:val="22"/>
          <w:szCs w:val="22"/>
        </w:rPr>
        <w:t xml:space="preserve"> para então ser executada durante o exercício financeiro. </w:t>
      </w:r>
    </w:p>
    <w:p w:rsidR="003F4DC8" w:rsidRPr="006004D8" w:rsidRDefault="003F4DC8" w:rsidP="00C96A3E">
      <w:pPr>
        <w:pStyle w:val="NormalWeb"/>
        <w:spacing w:before="0" w:beforeAutospacing="0" w:after="0" w:afterAutospacing="0"/>
        <w:rPr>
          <w:rFonts w:ascii="Arial" w:hAnsi="Arial" w:cs="Arial"/>
          <w:sz w:val="22"/>
          <w:szCs w:val="22"/>
        </w:rPr>
      </w:pPr>
      <w:r w:rsidRPr="006004D8">
        <w:rPr>
          <w:rFonts w:ascii="Arial" w:hAnsi="Arial" w:cs="Arial"/>
          <w:sz w:val="22"/>
          <w:szCs w:val="22"/>
        </w:rPr>
        <w:t>O regime contábil adotado no setor público brasileiro para o reconhecimento da despesa, sob o enfoque orçamentário, está definido no art. 35 da Lei n.º 4.320/1964</w:t>
      </w:r>
      <w:r w:rsidR="00AD570D" w:rsidRPr="006004D8">
        <w:rPr>
          <w:rFonts w:ascii="Arial" w:eastAsiaTheme="minorHAnsi" w:hAnsi="Arial" w:cs="Arial"/>
          <w:sz w:val="22"/>
          <w:szCs w:val="22"/>
          <w:lang w:eastAsia="en-US"/>
        </w:rPr>
        <w:t>. Segundo a referida L</w:t>
      </w:r>
      <w:r w:rsidRPr="006004D8">
        <w:rPr>
          <w:rFonts w:ascii="Arial" w:eastAsiaTheme="minorHAnsi" w:hAnsi="Arial" w:cs="Arial"/>
          <w:sz w:val="22"/>
          <w:szCs w:val="22"/>
          <w:lang w:eastAsia="en-US"/>
        </w:rPr>
        <w:t xml:space="preserve">ei, </w:t>
      </w:r>
      <w:r w:rsidRPr="006004D8">
        <w:rPr>
          <w:rFonts w:ascii="Arial" w:hAnsi="Arial" w:cs="Arial"/>
          <w:sz w:val="22"/>
          <w:szCs w:val="22"/>
        </w:rPr>
        <w:t>“pertencem ao exercício financeiro: [...] II - as despesas nele legalmente empenhadas” (BRASIL, 1964, art. 35). Nestes termos, entende-se que a despesa orçamentária “segue uma versão imperfeita do regime de competência”, visto que necessita “apenas passar pelo estágio de empenho para a sua realização (execução)” (PLATT NETO, 2017, p. 101).</w:t>
      </w:r>
    </w:p>
    <w:p w:rsidR="003F4DC8" w:rsidRPr="00A26E50" w:rsidRDefault="003F4DC8" w:rsidP="00C96A3E">
      <w:pPr>
        <w:pStyle w:val="NormalWeb"/>
        <w:spacing w:before="0" w:beforeAutospacing="0" w:after="0" w:afterAutospacing="0"/>
        <w:rPr>
          <w:rStyle w:val="normaltextrun"/>
          <w:rFonts w:ascii="Arial" w:hAnsi="Arial" w:cs="Arial"/>
          <w:sz w:val="22"/>
          <w:szCs w:val="22"/>
        </w:rPr>
      </w:pPr>
      <w:r w:rsidRPr="00A26E50">
        <w:rPr>
          <w:rFonts w:ascii="Arial" w:hAnsi="Arial" w:cs="Arial"/>
          <w:sz w:val="22"/>
          <w:szCs w:val="22"/>
        </w:rPr>
        <w:t xml:space="preserve">Tendo em vista o regime adotado, a própria Lei n.º 4.320/1964 atentou-se em “determinar os procedimentos a serem” empregados “para encerramento do exercício, o que foi feito” por meio do art. 36 (KOHAMA, 2016, p. 142). De acordo com a referida </w:t>
      </w:r>
      <w:r w:rsidR="00FC4D07">
        <w:rPr>
          <w:rFonts w:ascii="Arial" w:hAnsi="Arial" w:cs="Arial"/>
          <w:sz w:val="22"/>
          <w:szCs w:val="22"/>
        </w:rPr>
        <w:t>L</w:t>
      </w:r>
      <w:r w:rsidRPr="00A26E50">
        <w:rPr>
          <w:rFonts w:ascii="Arial" w:hAnsi="Arial" w:cs="Arial"/>
          <w:sz w:val="22"/>
          <w:szCs w:val="22"/>
        </w:rPr>
        <w:t>ei, “consideram-se Restos a Pagar as despesas empenhadas, mas não pagas até o dia 31 de dezembro distinguindo-se as processadas das não processadas” (BRASIL, 1964, art. 36).</w:t>
      </w:r>
      <w:r w:rsidR="008C3345" w:rsidRPr="00A26E50">
        <w:rPr>
          <w:rFonts w:ascii="Arial" w:hAnsi="Arial" w:cs="Arial"/>
          <w:sz w:val="22"/>
          <w:szCs w:val="22"/>
        </w:rPr>
        <w:t xml:space="preserve"> </w:t>
      </w:r>
      <w:r w:rsidRPr="00A26E50">
        <w:rPr>
          <w:rStyle w:val="normaltextrun"/>
          <w:rFonts w:ascii="Arial" w:hAnsi="Arial" w:cs="Arial"/>
          <w:sz w:val="22"/>
          <w:szCs w:val="22"/>
        </w:rPr>
        <w:t>Deste modo, os restos a pagar são resíduos passivos da execução orçamentária, provenientes das despesas empenhadas e não pagas até o encerramento do exercício, “assim considerados em virtude do regime de competência utilizado na escrituração contábil” (KOHAMA, 2016, p. 145).</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A distinção entre restos a pagar processados e não processados reside no fato de as despesas empenhadas terem passado, ou não, pelo estágio da liquidação até o encerramento do exercício. Es</w:t>
      </w:r>
      <w:r w:rsidR="00287469" w:rsidRPr="00A26E50">
        <w:rPr>
          <w:rFonts w:ascii="Arial" w:hAnsi="Arial" w:cs="Arial"/>
          <w:sz w:val="22"/>
          <w:szCs w:val="22"/>
        </w:rPr>
        <w:t>s</w:t>
      </w:r>
      <w:r w:rsidRPr="00A26E50">
        <w:rPr>
          <w:rFonts w:ascii="Arial" w:hAnsi="Arial" w:cs="Arial"/>
          <w:sz w:val="22"/>
          <w:szCs w:val="22"/>
        </w:rPr>
        <w:t>e entendimento converge com o do Decreto</w:t>
      </w:r>
      <w:r w:rsidRPr="00A26E50">
        <w:rPr>
          <w:rFonts w:ascii="Arial" w:hAnsi="Arial" w:cs="Arial"/>
          <w:bCs/>
          <w:sz w:val="22"/>
          <w:szCs w:val="22"/>
        </w:rPr>
        <w:t xml:space="preserve"> n.º 93.872/1986, </w:t>
      </w:r>
      <w:r w:rsidR="003D203D" w:rsidRPr="00A26E50">
        <w:rPr>
          <w:rFonts w:ascii="Arial" w:hAnsi="Arial" w:cs="Arial"/>
          <w:bCs/>
          <w:sz w:val="22"/>
          <w:szCs w:val="22"/>
        </w:rPr>
        <w:t xml:space="preserve">que </w:t>
      </w:r>
      <w:r w:rsidR="00C70276">
        <w:rPr>
          <w:rFonts w:ascii="Arial" w:hAnsi="Arial" w:cs="Arial"/>
          <w:bCs/>
          <w:sz w:val="22"/>
          <w:szCs w:val="22"/>
        </w:rPr>
        <w:t>dispõe que: “E</w:t>
      </w:r>
      <w:r w:rsidRPr="00A26E50">
        <w:rPr>
          <w:rFonts w:ascii="Arial" w:hAnsi="Arial" w:cs="Arial"/>
          <w:sz w:val="22"/>
          <w:szCs w:val="22"/>
        </w:rPr>
        <w:t>ntendem-se por processadas e não processadas, respectivamente, as despesas liquidadas e as não liquidadas, na forma prevista neste decreto” (BRASIL, 1986, art. 67, § 1º).</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Portanto, consideram-se restos a pagar processados, as despesas empenhadas e liquidadas até o encerramento do exercício financeiro, faltando-lhe apenas passar pelo estágio do pagamento. Por sua vez, os restos a pagar não processados correspondem apenas às despesas empenhadas, faltando-lhe</w:t>
      </w:r>
      <w:r w:rsidR="00715012" w:rsidRPr="00A26E50">
        <w:rPr>
          <w:rFonts w:ascii="Arial" w:hAnsi="Arial" w:cs="Arial"/>
          <w:sz w:val="22"/>
          <w:szCs w:val="22"/>
        </w:rPr>
        <w:t>s</w:t>
      </w:r>
      <w:r w:rsidRPr="00A26E50">
        <w:rPr>
          <w:rFonts w:ascii="Arial" w:hAnsi="Arial" w:cs="Arial"/>
          <w:sz w:val="22"/>
          <w:szCs w:val="22"/>
        </w:rPr>
        <w:t xml:space="preserve"> passar pelo</w:t>
      </w:r>
      <w:r w:rsidR="00715012" w:rsidRPr="00A26E50">
        <w:rPr>
          <w:rFonts w:ascii="Arial" w:hAnsi="Arial" w:cs="Arial"/>
          <w:sz w:val="22"/>
          <w:szCs w:val="22"/>
        </w:rPr>
        <w:t>s</w:t>
      </w:r>
      <w:r w:rsidRPr="00A26E50">
        <w:rPr>
          <w:rFonts w:ascii="Arial" w:hAnsi="Arial" w:cs="Arial"/>
          <w:sz w:val="22"/>
          <w:szCs w:val="22"/>
        </w:rPr>
        <w:t xml:space="preserve"> estágio</w:t>
      </w:r>
      <w:r w:rsidR="00715012" w:rsidRPr="00A26E50">
        <w:rPr>
          <w:rFonts w:ascii="Arial" w:hAnsi="Arial" w:cs="Arial"/>
          <w:sz w:val="22"/>
          <w:szCs w:val="22"/>
        </w:rPr>
        <w:t>s</w:t>
      </w:r>
      <w:r w:rsidRPr="00A26E50">
        <w:rPr>
          <w:rFonts w:ascii="Arial" w:hAnsi="Arial" w:cs="Arial"/>
          <w:sz w:val="22"/>
          <w:szCs w:val="22"/>
        </w:rPr>
        <w:t xml:space="preserve"> da liquidação e do pagamento. </w:t>
      </w:r>
    </w:p>
    <w:p w:rsidR="003F4DC8" w:rsidRPr="00A26E50" w:rsidRDefault="003F4DC8" w:rsidP="00C96A3E">
      <w:pPr>
        <w:rPr>
          <w:rFonts w:ascii="Arial" w:hAnsi="Arial" w:cs="Arial"/>
          <w:sz w:val="22"/>
          <w:szCs w:val="22"/>
        </w:rPr>
      </w:pPr>
    </w:p>
    <w:p w:rsidR="003F4DC8" w:rsidRPr="00A26E50" w:rsidRDefault="003F4DC8" w:rsidP="00C96A3E">
      <w:pPr>
        <w:pStyle w:val="Ttulo2"/>
        <w:rPr>
          <w:rFonts w:ascii="Arial" w:hAnsi="Arial" w:cs="Arial"/>
          <w:sz w:val="22"/>
          <w:szCs w:val="22"/>
        </w:rPr>
      </w:pPr>
      <w:r w:rsidRPr="00A26E50">
        <w:rPr>
          <w:rFonts w:ascii="Arial" w:hAnsi="Arial" w:cs="Arial"/>
          <w:sz w:val="22"/>
          <w:szCs w:val="22"/>
          <w:lang w:val="pt-BR"/>
        </w:rPr>
        <w:t>LIMITES E FISCALIZAÇÃO SOBRE A INSCRIÇÃO EM RESTOS A PAGAR</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Sancionada em 4 de maio de 2000, a Lei Complementar n.º 101, conhecida como Lei de Responsabilidade Fiscal (LRF), representa um marco na história da administração pública brasileira. Es</w:t>
      </w:r>
      <w:r w:rsidR="00731EAE" w:rsidRPr="00A26E50">
        <w:rPr>
          <w:rFonts w:ascii="Arial" w:hAnsi="Arial" w:cs="Arial"/>
          <w:sz w:val="22"/>
          <w:szCs w:val="22"/>
        </w:rPr>
        <w:t xml:space="preserve">sa </w:t>
      </w:r>
      <w:r w:rsidR="00742FBE">
        <w:rPr>
          <w:rFonts w:ascii="Arial" w:hAnsi="Arial" w:cs="Arial"/>
          <w:sz w:val="22"/>
          <w:szCs w:val="22"/>
        </w:rPr>
        <w:t>L</w:t>
      </w:r>
      <w:r w:rsidRPr="00A26E50">
        <w:rPr>
          <w:rFonts w:ascii="Arial" w:hAnsi="Arial" w:cs="Arial"/>
          <w:sz w:val="22"/>
          <w:szCs w:val="22"/>
        </w:rPr>
        <w:t>ei “estabelece normas de finanças públicas voltadas para a re</w:t>
      </w:r>
      <w:r w:rsidR="00470887">
        <w:rPr>
          <w:rFonts w:ascii="Arial" w:hAnsi="Arial" w:cs="Arial"/>
          <w:sz w:val="22"/>
          <w:szCs w:val="22"/>
        </w:rPr>
        <w:t>sponsabilidade na gestão fiscal”</w:t>
      </w:r>
      <w:r w:rsidRPr="00A26E50">
        <w:rPr>
          <w:rFonts w:ascii="Arial" w:hAnsi="Arial" w:cs="Arial"/>
          <w:sz w:val="22"/>
          <w:szCs w:val="22"/>
        </w:rPr>
        <w:t xml:space="preserve"> (BRASIL, 2000a, art. 1°).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A LRF constitui-se em “um código de conduta para os” gestores “públicos de todo o país”, </w:t>
      </w:r>
      <w:r w:rsidR="00A444C7" w:rsidRPr="00A26E50">
        <w:rPr>
          <w:rFonts w:ascii="Arial" w:hAnsi="Arial" w:cs="Arial"/>
          <w:sz w:val="22"/>
          <w:szCs w:val="22"/>
        </w:rPr>
        <w:t xml:space="preserve">que </w:t>
      </w:r>
      <w:r w:rsidRPr="00A26E50">
        <w:rPr>
          <w:rFonts w:ascii="Arial" w:hAnsi="Arial" w:cs="Arial"/>
          <w:sz w:val="22"/>
          <w:szCs w:val="22"/>
        </w:rPr>
        <w:t>passaram “a obedecer a normas e limites para administrar as finanças, prestando contas sobre quanto e como gastam os recursos da sociedade” (MPDG, 2017).</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Das normas, metas, limites e condições que os gestores públicos passaram a obedecer, consta o limite para inscrição em restos a pagar, tema central do presente artigo. Por meio do art. 42, a LRF impõe a seguinte exigência para o referido tema (BRASIL, 2000a, art. 42):</w:t>
      </w:r>
    </w:p>
    <w:p w:rsidR="003F4DC8" w:rsidRPr="00A26E50" w:rsidRDefault="003F4DC8" w:rsidP="00192628">
      <w:pPr>
        <w:autoSpaceDE w:val="0"/>
        <w:autoSpaceDN w:val="0"/>
        <w:adjustRightInd w:val="0"/>
        <w:ind w:left="2268" w:firstLine="0"/>
        <w:rPr>
          <w:rFonts w:ascii="Arial" w:hAnsi="Arial" w:cs="Arial"/>
          <w:sz w:val="20"/>
        </w:rPr>
      </w:pPr>
      <w:r w:rsidRPr="00A26E50">
        <w:rPr>
          <w:rFonts w:ascii="Arial" w:hAnsi="Arial" w:cs="Arial"/>
          <w:sz w:val="20"/>
        </w:rPr>
        <w:t xml:space="preserve">Art. 42. É vedado ao titular de Poder ou órgão referido no art. 20, nos últimos dois </w:t>
      </w:r>
      <w:r w:rsidRPr="00A26E50">
        <w:rPr>
          <w:rFonts w:ascii="Arial" w:hAnsi="Arial" w:cs="Arial"/>
          <w:sz w:val="20"/>
        </w:rPr>
        <w:lastRenderedPageBreak/>
        <w:t>quadrimestres do seu mandato, contrair obrigação de despesa que não possa ser cumprida integralmente dentro dele, ou que tenha parcelas a serem pagas no exercício seguinte sem que haja suficiente disponibilidade de caixa para este efeito.</w:t>
      </w:r>
    </w:p>
    <w:p w:rsidR="003F4DC8" w:rsidRPr="00A26E50" w:rsidRDefault="003F4DC8" w:rsidP="00192628">
      <w:pPr>
        <w:ind w:left="2268" w:firstLine="0"/>
        <w:rPr>
          <w:rFonts w:ascii="Arial" w:hAnsi="Arial" w:cs="Arial"/>
          <w:sz w:val="20"/>
        </w:rPr>
      </w:pPr>
      <w:bookmarkStart w:id="1" w:name="art42p"/>
      <w:bookmarkEnd w:id="1"/>
      <w:r w:rsidRPr="00A26E50">
        <w:rPr>
          <w:rFonts w:ascii="Arial" w:hAnsi="Arial" w:cs="Arial"/>
          <w:sz w:val="20"/>
        </w:rPr>
        <w:t>Parágrafo único. Na determinação da disponibilidade de caixa serão considerados os encargos e despesas compromissadas a pagar até o final do exercício.</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Extrai-se do artigo supracitado que os </w:t>
      </w:r>
      <w:r w:rsidR="00783E33" w:rsidRPr="00A26E50">
        <w:rPr>
          <w:rFonts w:ascii="Arial" w:hAnsi="Arial" w:cs="Arial"/>
          <w:sz w:val="22"/>
          <w:szCs w:val="22"/>
        </w:rPr>
        <w:t xml:space="preserve">gestores públicos, nos últimos oito </w:t>
      </w:r>
      <w:r w:rsidRPr="00A26E50">
        <w:rPr>
          <w:rFonts w:ascii="Arial" w:hAnsi="Arial" w:cs="Arial"/>
          <w:sz w:val="22"/>
          <w:szCs w:val="22"/>
        </w:rPr>
        <w:t>meses do último ano de mandato, não podem deixar dívidas na forma de restos a pagar para os seus sucessores, a não ser que deixem também</w:t>
      </w:r>
      <w:r w:rsidR="00783E33" w:rsidRPr="00A26E50">
        <w:rPr>
          <w:rFonts w:ascii="Arial" w:hAnsi="Arial" w:cs="Arial"/>
          <w:sz w:val="22"/>
          <w:szCs w:val="22"/>
        </w:rPr>
        <w:t xml:space="preserve"> </w:t>
      </w:r>
      <w:r w:rsidRPr="00A26E50">
        <w:rPr>
          <w:rFonts w:ascii="Arial" w:hAnsi="Arial" w:cs="Arial"/>
          <w:sz w:val="22"/>
          <w:szCs w:val="22"/>
        </w:rPr>
        <w:t>disponibilidade de caixa para cobri-las. Logo, o “limite permitido por lei” para inscrição de despesas em restos a pagar em finais de mandatos é “aquele que possua cobertura suficiente na disponibilidade de caixa para cumpri-lo” (KOHAMA, 2016, p. 148).</w:t>
      </w:r>
    </w:p>
    <w:p w:rsidR="003F4DC8" w:rsidRPr="00A26E50" w:rsidRDefault="003F4DC8" w:rsidP="00C96A3E">
      <w:pPr>
        <w:autoSpaceDE w:val="0"/>
        <w:autoSpaceDN w:val="0"/>
        <w:adjustRightInd w:val="0"/>
        <w:rPr>
          <w:rFonts w:ascii="Arial" w:hAnsi="Arial" w:cs="Arial"/>
          <w:b/>
          <w:sz w:val="22"/>
          <w:szCs w:val="22"/>
        </w:rPr>
      </w:pPr>
      <w:r w:rsidRPr="00A26E50">
        <w:rPr>
          <w:rFonts w:ascii="Arial" w:hAnsi="Arial" w:cs="Arial"/>
          <w:sz w:val="22"/>
          <w:szCs w:val="22"/>
        </w:rPr>
        <w:t xml:space="preserve">Cruz </w:t>
      </w:r>
      <w:r w:rsidRPr="00A26E50">
        <w:rPr>
          <w:rFonts w:ascii="Arial" w:hAnsi="Arial" w:cs="Arial"/>
          <w:i/>
          <w:sz w:val="22"/>
          <w:szCs w:val="22"/>
        </w:rPr>
        <w:t xml:space="preserve">et al. </w:t>
      </w:r>
      <w:r w:rsidRPr="00A26E50">
        <w:rPr>
          <w:rFonts w:ascii="Arial" w:hAnsi="Arial" w:cs="Arial"/>
          <w:sz w:val="22"/>
          <w:szCs w:val="22"/>
        </w:rPr>
        <w:t xml:space="preserve">(2014, p. 186), ao comentarem o referido artigo da LRF, </w:t>
      </w:r>
      <w:r w:rsidRPr="00A26E50">
        <w:rPr>
          <w:rStyle w:val="Forte"/>
          <w:rFonts w:ascii="Arial" w:hAnsi="Arial" w:cs="Arial"/>
          <w:b w:val="0"/>
          <w:sz w:val="22"/>
          <w:szCs w:val="22"/>
        </w:rPr>
        <w:t xml:space="preserve">explicam </w:t>
      </w:r>
      <w:r w:rsidR="009D01C6" w:rsidRPr="00A26E50">
        <w:rPr>
          <w:rStyle w:val="Forte"/>
          <w:rFonts w:ascii="Arial" w:hAnsi="Arial" w:cs="Arial"/>
          <w:b w:val="0"/>
          <w:sz w:val="22"/>
          <w:szCs w:val="22"/>
        </w:rPr>
        <w:t xml:space="preserve">tal </w:t>
      </w:r>
      <w:r w:rsidRPr="00A26E50">
        <w:rPr>
          <w:rStyle w:val="Forte"/>
          <w:rFonts w:ascii="Arial" w:hAnsi="Arial" w:cs="Arial"/>
          <w:b w:val="0"/>
          <w:sz w:val="22"/>
          <w:szCs w:val="22"/>
        </w:rPr>
        <w:t>limite:</w:t>
      </w:r>
    </w:p>
    <w:p w:rsidR="003F4DC8" w:rsidRPr="00A26E50" w:rsidRDefault="003F4DC8" w:rsidP="00013DB3">
      <w:pPr>
        <w:ind w:left="2268" w:firstLine="0"/>
        <w:rPr>
          <w:rFonts w:ascii="Arial" w:hAnsi="Arial" w:cs="Arial"/>
          <w:sz w:val="20"/>
        </w:rPr>
      </w:pPr>
      <w:r w:rsidRPr="00A26E50">
        <w:rPr>
          <w:rFonts w:ascii="Arial" w:hAnsi="Arial" w:cs="Arial"/>
          <w:sz w:val="20"/>
        </w:rPr>
        <w:t>A regra geral desse artigo é que, a partir do dia 1</w:t>
      </w:r>
      <w:r w:rsidRPr="00A26E50">
        <w:rPr>
          <w:rFonts w:ascii="Arial" w:hAnsi="Arial" w:cs="Arial"/>
          <w:sz w:val="20"/>
          <w:u w:val="single"/>
          <w:vertAlign w:val="superscript"/>
        </w:rPr>
        <w:t>o</w:t>
      </w:r>
      <w:r w:rsidRPr="00A26E50">
        <w:rPr>
          <w:rFonts w:ascii="Arial" w:hAnsi="Arial" w:cs="Arial"/>
          <w:sz w:val="20"/>
        </w:rPr>
        <w:t xml:space="preserve"> de maio, no último ano de mandato, os Poderes Executivo, Legislativo e Judiciário e seus respectivos órgãos e o Ministério Público, sob pena de responsabilização de seus titulares, não poderão, a princípio, contrair despesa que não possa ser paga no ano. Para que seja possível contrair despesa que tenha parcela a ser paga no ano seguinte, a única condição é que, previamente, seja providenciada disponibilidade de caixa suficiente para cobrir esta parcela. </w:t>
      </w:r>
    </w:p>
    <w:p w:rsidR="003F4DC8" w:rsidRPr="00A26E50" w:rsidRDefault="003F4DC8" w:rsidP="00C96A3E">
      <w:pPr>
        <w:pStyle w:val="Default"/>
        <w:ind w:firstLine="709"/>
        <w:jc w:val="both"/>
        <w:rPr>
          <w:rStyle w:val="normaltextrun"/>
          <w:rFonts w:ascii="Arial" w:hAnsi="Arial" w:cs="Arial"/>
          <w:color w:val="auto"/>
          <w:sz w:val="22"/>
          <w:szCs w:val="22"/>
        </w:rPr>
      </w:pPr>
      <w:r w:rsidRPr="00A26E50">
        <w:rPr>
          <w:rStyle w:val="normaltextrun"/>
          <w:rFonts w:ascii="Arial" w:hAnsi="Arial" w:cs="Arial"/>
          <w:color w:val="auto"/>
          <w:sz w:val="22"/>
          <w:szCs w:val="22"/>
        </w:rPr>
        <w:t xml:space="preserve">Assim, por meio do disposto no art. 42, a LRF busca “reduzir a possibilidade de a nova gestão assumir a Administração com dívidas para as quais não possua recursos para o pagamento, quebrando uma sequência interminável de sucessivos déficits financeiros, que vinham passando de gestão para gestão” (CRUZ </w:t>
      </w:r>
      <w:r w:rsidRPr="00A26E50">
        <w:rPr>
          <w:rStyle w:val="normaltextrun"/>
          <w:rFonts w:ascii="Arial" w:hAnsi="Arial" w:cs="Arial"/>
          <w:i/>
          <w:iCs/>
          <w:color w:val="auto"/>
          <w:sz w:val="22"/>
          <w:szCs w:val="22"/>
        </w:rPr>
        <w:t>et al.</w:t>
      </w:r>
      <w:r w:rsidRPr="00A26E50">
        <w:rPr>
          <w:rStyle w:val="normaltextrun"/>
          <w:rFonts w:ascii="Arial" w:hAnsi="Arial" w:cs="Arial"/>
          <w:color w:val="auto"/>
          <w:sz w:val="22"/>
          <w:szCs w:val="22"/>
        </w:rPr>
        <w:t>, 2014, p. 194). </w:t>
      </w:r>
    </w:p>
    <w:p w:rsidR="003F4DC8" w:rsidRPr="00A26E50" w:rsidRDefault="003F4DC8" w:rsidP="00C96A3E">
      <w:pPr>
        <w:pStyle w:val="Default"/>
        <w:ind w:firstLine="709"/>
        <w:jc w:val="both"/>
        <w:rPr>
          <w:rFonts w:ascii="Arial" w:hAnsi="Arial" w:cs="Arial"/>
          <w:color w:val="auto"/>
          <w:sz w:val="22"/>
          <w:szCs w:val="22"/>
        </w:rPr>
      </w:pPr>
      <w:r w:rsidRPr="00A26E50">
        <w:rPr>
          <w:rFonts w:ascii="Arial" w:hAnsi="Arial" w:cs="Arial"/>
          <w:color w:val="auto"/>
          <w:sz w:val="22"/>
          <w:szCs w:val="22"/>
        </w:rPr>
        <w:t xml:space="preserve">Com a intenção de </w:t>
      </w:r>
      <w:r w:rsidR="00EE736C" w:rsidRPr="00A26E50">
        <w:rPr>
          <w:rFonts w:ascii="Arial" w:hAnsi="Arial" w:cs="Arial"/>
          <w:color w:val="auto"/>
          <w:sz w:val="22"/>
          <w:szCs w:val="22"/>
        </w:rPr>
        <w:t xml:space="preserve">imputar mais </w:t>
      </w:r>
      <w:r w:rsidRPr="00A26E50">
        <w:rPr>
          <w:rFonts w:ascii="Arial" w:hAnsi="Arial" w:cs="Arial"/>
          <w:color w:val="auto"/>
          <w:sz w:val="22"/>
          <w:szCs w:val="22"/>
        </w:rPr>
        <w:t>transparência às informações sobre as obrigações assumidas e</w:t>
      </w:r>
      <w:r w:rsidR="00EA064E" w:rsidRPr="00A26E50">
        <w:rPr>
          <w:rFonts w:ascii="Arial" w:hAnsi="Arial" w:cs="Arial"/>
          <w:color w:val="auto"/>
          <w:sz w:val="22"/>
          <w:szCs w:val="22"/>
        </w:rPr>
        <w:t>,</w:t>
      </w:r>
      <w:r w:rsidRPr="00A26E50">
        <w:rPr>
          <w:rFonts w:ascii="Arial" w:hAnsi="Arial" w:cs="Arial"/>
          <w:color w:val="auto"/>
          <w:sz w:val="22"/>
          <w:szCs w:val="22"/>
        </w:rPr>
        <w:t xml:space="preserve"> assim</w:t>
      </w:r>
      <w:r w:rsidR="00EA064E" w:rsidRPr="00A26E50">
        <w:rPr>
          <w:rFonts w:ascii="Arial" w:hAnsi="Arial" w:cs="Arial"/>
          <w:color w:val="auto"/>
          <w:sz w:val="22"/>
          <w:szCs w:val="22"/>
        </w:rPr>
        <w:t>,</w:t>
      </w:r>
      <w:r w:rsidRPr="00A26E50">
        <w:rPr>
          <w:rFonts w:ascii="Arial" w:hAnsi="Arial" w:cs="Arial"/>
          <w:color w:val="auto"/>
          <w:sz w:val="22"/>
          <w:szCs w:val="22"/>
        </w:rPr>
        <w:t xml:space="preserve"> desenvolver o controle sobre </w:t>
      </w:r>
      <w:r w:rsidR="006F4734" w:rsidRPr="00A26E50">
        <w:rPr>
          <w:rFonts w:ascii="Arial" w:hAnsi="Arial" w:cs="Arial"/>
          <w:color w:val="auto"/>
          <w:sz w:val="22"/>
          <w:szCs w:val="22"/>
        </w:rPr>
        <w:t>elas</w:t>
      </w:r>
      <w:r w:rsidRPr="00A26E50">
        <w:rPr>
          <w:rFonts w:ascii="Arial" w:hAnsi="Arial" w:cs="Arial"/>
          <w:color w:val="auto"/>
          <w:sz w:val="22"/>
          <w:szCs w:val="22"/>
        </w:rPr>
        <w:t>, por meio da fiscalização e do controle social, a LRF determina que as inscrições em restos a pagar</w:t>
      </w:r>
      <w:r w:rsidR="00A13D89" w:rsidRPr="00A26E50">
        <w:rPr>
          <w:rFonts w:ascii="Arial" w:hAnsi="Arial" w:cs="Arial"/>
          <w:color w:val="auto"/>
          <w:sz w:val="22"/>
          <w:szCs w:val="22"/>
        </w:rPr>
        <w:t xml:space="preserve"> </w:t>
      </w:r>
      <w:r w:rsidRPr="00A26E50">
        <w:rPr>
          <w:rFonts w:ascii="Arial" w:hAnsi="Arial" w:cs="Arial"/>
          <w:color w:val="auto"/>
          <w:sz w:val="22"/>
          <w:szCs w:val="22"/>
        </w:rPr>
        <w:t>“deverão ser escrituradas de modo a evidenciar o montante e a variação da dívida pública no período, detalhando, pelo menos, a natureza e o tipo de credor” (BRASIL, 2000a, art. 50, V). Neste sentido, complementou a exigência da Lei n.º 4.320/1964</w:t>
      </w:r>
      <w:r w:rsidR="004F59D9" w:rsidRPr="00A26E50">
        <w:rPr>
          <w:rFonts w:ascii="Arial" w:hAnsi="Arial" w:cs="Arial"/>
          <w:color w:val="auto"/>
          <w:sz w:val="22"/>
          <w:szCs w:val="22"/>
        </w:rPr>
        <w:t xml:space="preserve"> </w:t>
      </w:r>
      <w:r w:rsidRPr="00A26E50">
        <w:rPr>
          <w:rFonts w:ascii="Arial" w:hAnsi="Arial" w:cs="Arial"/>
          <w:color w:val="auto"/>
          <w:sz w:val="22"/>
          <w:szCs w:val="22"/>
        </w:rPr>
        <w:t>que exigia a especificação de exercício e credor, no que se refere a restos a pagar (BRASIL, 1964, art. 92).</w:t>
      </w:r>
    </w:p>
    <w:p w:rsidR="003F4DC8" w:rsidRPr="00A26E50" w:rsidRDefault="003F4DC8" w:rsidP="00C96A3E">
      <w:pPr>
        <w:rPr>
          <w:rFonts w:ascii="Arial" w:hAnsi="Arial" w:cs="Arial"/>
          <w:sz w:val="22"/>
          <w:szCs w:val="22"/>
        </w:rPr>
      </w:pPr>
      <w:r w:rsidRPr="00A26E50">
        <w:rPr>
          <w:rFonts w:ascii="Arial" w:eastAsiaTheme="minorHAnsi" w:hAnsi="Arial" w:cs="Arial"/>
          <w:sz w:val="22"/>
          <w:szCs w:val="22"/>
          <w:lang w:eastAsia="en-US"/>
        </w:rPr>
        <w:t xml:space="preserve">Ademais, </w:t>
      </w:r>
      <w:r w:rsidRPr="00A26E50">
        <w:rPr>
          <w:rFonts w:ascii="Arial" w:hAnsi="Arial" w:cs="Arial"/>
          <w:sz w:val="22"/>
          <w:szCs w:val="22"/>
        </w:rPr>
        <w:t xml:space="preserve">todos os entes públicos </w:t>
      </w:r>
      <w:r w:rsidRPr="00A26E50">
        <w:rPr>
          <w:rFonts w:ascii="Arial" w:eastAsiaTheme="minorHAnsi" w:hAnsi="Arial" w:cs="Arial"/>
          <w:sz w:val="22"/>
          <w:szCs w:val="22"/>
          <w:lang w:eastAsia="en-US"/>
        </w:rPr>
        <w:t xml:space="preserve">devem </w:t>
      </w:r>
      <w:r w:rsidRPr="00A26E50">
        <w:rPr>
          <w:rFonts w:ascii="Arial" w:hAnsi="Arial" w:cs="Arial"/>
          <w:sz w:val="22"/>
          <w:szCs w:val="22"/>
        </w:rPr>
        <w:t xml:space="preserve">elaborar e publicar </w:t>
      </w:r>
      <w:r w:rsidRPr="00A26E50">
        <w:rPr>
          <w:rFonts w:ascii="Arial" w:eastAsiaTheme="minorHAnsi" w:hAnsi="Arial" w:cs="Arial"/>
          <w:sz w:val="22"/>
          <w:szCs w:val="22"/>
          <w:lang w:eastAsia="en-US"/>
        </w:rPr>
        <w:t xml:space="preserve">o </w:t>
      </w:r>
      <w:r w:rsidRPr="00A26E50">
        <w:rPr>
          <w:rFonts w:ascii="Arial" w:hAnsi="Arial" w:cs="Arial"/>
          <w:sz w:val="22"/>
          <w:szCs w:val="22"/>
        </w:rPr>
        <w:t>Relatório Resumido da Execução Orçamentária (RREO)</w:t>
      </w:r>
      <w:r w:rsidRPr="00A26E50">
        <w:rPr>
          <w:rFonts w:ascii="Arial" w:eastAsiaTheme="minorHAnsi" w:hAnsi="Arial" w:cs="Arial"/>
          <w:sz w:val="22"/>
          <w:szCs w:val="22"/>
          <w:lang w:eastAsia="en-US"/>
        </w:rPr>
        <w:t xml:space="preserve"> </w:t>
      </w:r>
      <w:r w:rsidRPr="00A26E50">
        <w:rPr>
          <w:rFonts w:ascii="Arial" w:hAnsi="Arial" w:cs="Arial"/>
          <w:sz w:val="22"/>
          <w:szCs w:val="22"/>
        </w:rPr>
        <w:t xml:space="preserve">e o Relatório de Gestão Fiscal (RGF), os quais abarcam conteúdo específico, conforme previsto na LRF (BRASIL, 2000a, arts. 52, 53, 55 e 63). Tais relatórios </w:t>
      </w:r>
      <w:r w:rsidR="008D7024" w:rsidRPr="00A26E50">
        <w:rPr>
          <w:rFonts w:ascii="Arial" w:hAnsi="Arial" w:cs="Arial"/>
          <w:sz w:val="22"/>
          <w:szCs w:val="22"/>
        </w:rPr>
        <w:t xml:space="preserve">se </w:t>
      </w:r>
      <w:r w:rsidRPr="00A26E50">
        <w:rPr>
          <w:rFonts w:ascii="Arial" w:hAnsi="Arial" w:cs="Arial"/>
          <w:sz w:val="22"/>
          <w:szCs w:val="22"/>
        </w:rPr>
        <w:t>constituem, cada qual, de um conjunto de demonstrativos (STN, 2016b). Contudo, aqui são abordados (de forma breve) apenas</w:t>
      </w:r>
      <w:r w:rsidR="00F2033F" w:rsidRPr="00A26E50">
        <w:rPr>
          <w:rFonts w:ascii="Arial" w:hAnsi="Arial" w:cs="Arial"/>
          <w:sz w:val="22"/>
          <w:szCs w:val="22"/>
        </w:rPr>
        <w:t xml:space="preserve"> </w:t>
      </w:r>
      <w:r w:rsidRPr="00A26E50">
        <w:rPr>
          <w:rFonts w:ascii="Arial" w:hAnsi="Arial" w:cs="Arial"/>
          <w:sz w:val="22"/>
          <w:szCs w:val="22"/>
        </w:rPr>
        <w:t>o Demonstrativo dos Restos a Pagar por Poder e Órgão, que é parte integrante do RREO</w:t>
      </w:r>
      <w:r w:rsidR="00877C7A">
        <w:rPr>
          <w:rFonts w:ascii="Arial" w:hAnsi="Arial" w:cs="Arial"/>
          <w:sz w:val="22"/>
          <w:szCs w:val="22"/>
        </w:rPr>
        <w:t xml:space="preserve"> </w:t>
      </w:r>
      <w:r w:rsidRPr="00A26E50">
        <w:rPr>
          <w:rFonts w:ascii="Arial" w:hAnsi="Arial" w:cs="Arial"/>
          <w:sz w:val="22"/>
          <w:szCs w:val="22"/>
        </w:rPr>
        <w:t xml:space="preserve">e o Demonstrativo da Disponibilidade de Caixa e dos Restos a Pagar, que é parte integrante do RGF. </w:t>
      </w:r>
    </w:p>
    <w:p w:rsidR="003F4DC8" w:rsidRPr="00A26E50" w:rsidRDefault="003F4DC8" w:rsidP="00C96A3E">
      <w:pPr>
        <w:rPr>
          <w:rFonts w:ascii="Arial" w:hAnsi="Arial" w:cs="Arial"/>
          <w:sz w:val="22"/>
          <w:szCs w:val="22"/>
        </w:rPr>
      </w:pPr>
      <w:r w:rsidRPr="00A26E50">
        <w:rPr>
          <w:rFonts w:ascii="Arial" w:hAnsi="Arial" w:cs="Arial"/>
          <w:sz w:val="22"/>
          <w:szCs w:val="22"/>
        </w:rPr>
        <w:t xml:space="preserve">O Demonstrativo dos Restos a Pagar por Poder e Órgão tem por objetivo “dar </w:t>
      </w:r>
      <w:r w:rsidRPr="00A26E50">
        <w:rPr>
          <w:rFonts w:ascii="Arial" w:hAnsi="Arial" w:cs="Arial"/>
          <w:b/>
          <w:bCs/>
          <w:sz w:val="22"/>
          <w:szCs w:val="22"/>
        </w:rPr>
        <w:t xml:space="preserve">transparência </w:t>
      </w:r>
      <w:r w:rsidRPr="00A26E50">
        <w:rPr>
          <w:rFonts w:ascii="Arial" w:hAnsi="Arial" w:cs="Arial"/>
          <w:sz w:val="22"/>
          <w:szCs w:val="22"/>
        </w:rPr>
        <w:t>às informações sobre o montante e a execução dos restos a pagar inscritos por Poder/Órgão, permitindo o seu acompanhamento no exercício de referência” (STN, 2016b, p. 238). Por sua vez, o Demonstrativo da Disponibilidade de Caixa e dos Restos a Pagar objetiva (STN, 2016b, p. 612)</w:t>
      </w:r>
    </w:p>
    <w:p w:rsidR="003F4DC8" w:rsidRPr="00A26E50" w:rsidRDefault="003F4DC8" w:rsidP="00C96A3E">
      <w:pPr>
        <w:autoSpaceDE w:val="0"/>
        <w:autoSpaceDN w:val="0"/>
        <w:adjustRightInd w:val="0"/>
        <w:ind w:left="2268" w:firstLine="0"/>
        <w:rPr>
          <w:rFonts w:ascii="Arial" w:hAnsi="Arial" w:cs="Arial"/>
          <w:sz w:val="20"/>
        </w:rPr>
      </w:pPr>
      <w:r w:rsidRPr="00A26E50">
        <w:rPr>
          <w:rFonts w:ascii="Arial" w:hAnsi="Arial" w:cs="Arial"/>
          <w:sz w:val="20"/>
        </w:rPr>
        <w:t xml:space="preserve">dar transparência ao montante disponível para fins da inscrição em Restos a Pagar de despesas não liquidadas e possibilita a verificação do cumprimento do art. 42 da LRF, pelo confronto da coluna dos RP empenhados e não liquidados do exercício com a disponibilidade de caixa líquida, segregados por vinculação. [...]. Assim, esse demonstrativo apresenta o cálculo da Disponibilidade de Caixa </w:t>
      </w:r>
      <w:r w:rsidRPr="00A26E50">
        <w:rPr>
          <w:rFonts w:ascii="Arial" w:hAnsi="Arial" w:cs="Arial"/>
          <w:sz w:val="20"/>
        </w:rPr>
        <w:lastRenderedPageBreak/>
        <w:t>do ponto de vista estritamente fiscal, demonstrando se o ente possui liquidez para arcar com seus compromissos financeiros.</w:t>
      </w:r>
    </w:p>
    <w:p w:rsidR="003F4DC8" w:rsidRPr="00A26E50" w:rsidRDefault="003F4DC8" w:rsidP="00C96A3E">
      <w:pPr>
        <w:rPr>
          <w:rFonts w:ascii="Arial" w:hAnsi="Arial" w:cs="Arial"/>
          <w:sz w:val="22"/>
          <w:szCs w:val="22"/>
          <w:shd w:val="clear" w:color="auto" w:fill="FFFFFF"/>
        </w:rPr>
      </w:pPr>
      <w:r w:rsidRPr="00A26E50">
        <w:rPr>
          <w:rFonts w:ascii="Arial" w:hAnsi="Arial" w:cs="Arial"/>
          <w:sz w:val="22"/>
          <w:szCs w:val="22"/>
        </w:rPr>
        <w:t xml:space="preserve">Com vistas a impor </w:t>
      </w:r>
      <w:r w:rsidR="00F84B04" w:rsidRPr="00A26E50">
        <w:rPr>
          <w:rFonts w:ascii="Arial" w:hAnsi="Arial" w:cs="Arial"/>
          <w:sz w:val="22"/>
          <w:szCs w:val="22"/>
        </w:rPr>
        <w:t xml:space="preserve">mais </w:t>
      </w:r>
      <w:r w:rsidRPr="00A26E50">
        <w:rPr>
          <w:rFonts w:ascii="Arial" w:hAnsi="Arial" w:cs="Arial"/>
          <w:sz w:val="22"/>
          <w:szCs w:val="22"/>
        </w:rPr>
        <w:t>responsabilidade aos gestores públicos quanto ao cumprimento das normas, metas, limites e condições previstos na LRF, foi sancionada em 19 de outubro de 2000 a Lei n.º 10.028, conhecida como Lei de Crimes Fiscais. Mediante a inclusão de dispositivos ao Código Penal, a Lei de Crimes Fiscais, em seu Capítulo IV, prevê sanções àqueles que praticarem crimes contra as finanças públicas.</w:t>
      </w:r>
      <w:r w:rsidRPr="00A26E50">
        <w:rPr>
          <w:rFonts w:ascii="Arial" w:hAnsi="Arial" w:cs="Arial"/>
          <w:sz w:val="22"/>
          <w:szCs w:val="22"/>
          <w:shd w:val="clear" w:color="auto" w:fill="FFFFFF"/>
        </w:rPr>
        <w:t xml:space="preserve"> </w:t>
      </w:r>
      <w:r w:rsidRPr="00A26E50">
        <w:rPr>
          <w:rStyle w:val="normaltextrun"/>
          <w:rFonts w:ascii="Arial" w:hAnsi="Arial" w:cs="Arial"/>
          <w:sz w:val="22"/>
          <w:szCs w:val="22"/>
          <w:shd w:val="clear" w:color="auto" w:fill="FFFFFF"/>
        </w:rPr>
        <w:t xml:space="preserve">No que tange </w:t>
      </w:r>
      <w:r w:rsidRPr="00A26E50">
        <w:rPr>
          <w:rStyle w:val="normaltextrun"/>
          <w:rFonts w:ascii="Arial" w:hAnsi="Arial" w:cs="Arial"/>
          <w:sz w:val="22"/>
          <w:szCs w:val="22"/>
        </w:rPr>
        <w:t>o limite para inscrição em restos a pagar</w:t>
      </w:r>
      <w:r w:rsidRPr="00A26E50">
        <w:rPr>
          <w:rStyle w:val="normaltextrun"/>
          <w:rFonts w:ascii="Arial" w:hAnsi="Arial" w:cs="Arial"/>
          <w:sz w:val="22"/>
          <w:szCs w:val="22"/>
          <w:shd w:val="clear" w:color="auto" w:fill="FFFFFF"/>
        </w:rPr>
        <w:t xml:space="preserve">, a referida </w:t>
      </w:r>
      <w:r w:rsidR="009F6A25">
        <w:rPr>
          <w:rStyle w:val="normaltextrun"/>
          <w:rFonts w:ascii="Arial" w:hAnsi="Arial" w:cs="Arial"/>
          <w:sz w:val="22"/>
          <w:szCs w:val="22"/>
        </w:rPr>
        <w:t>L</w:t>
      </w:r>
      <w:r w:rsidRPr="00A26E50">
        <w:rPr>
          <w:rStyle w:val="normaltextrun"/>
          <w:rFonts w:ascii="Arial" w:hAnsi="Arial" w:cs="Arial"/>
          <w:sz w:val="22"/>
          <w:szCs w:val="22"/>
        </w:rPr>
        <w:t xml:space="preserve">ei prevê o seguinte (BRASIL, 2000b, art. </w:t>
      </w:r>
      <w:r w:rsidRPr="00A26E50">
        <w:rPr>
          <w:rStyle w:val="normaltextrun"/>
          <w:rFonts w:ascii="Arial" w:hAnsi="Arial" w:cs="Arial"/>
          <w:sz w:val="22"/>
          <w:szCs w:val="22"/>
          <w:shd w:val="clear" w:color="auto" w:fill="FFFFFF"/>
        </w:rPr>
        <w:t>359-C):</w:t>
      </w:r>
    </w:p>
    <w:p w:rsidR="003F4DC8" w:rsidRPr="00A26E50" w:rsidRDefault="003916D0" w:rsidP="00C96A3E">
      <w:pPr>
        <w:pStyle w:val="NormalWeb"/>
        <w:spacing w:before="0" w:beforeAutospacing="0" w:after="0" w:afterAutospacing="0"/>
        <w:ind w:left="2268" w:firstLine="0"/>
        <w:rPr>
          <w:rFonts w:ascii="Arial" w:hAnsi="Arial" w:cs="Arial"/>
          <w:sz w:val="20"/>
          <w:szCs w:val="20"/>
        </w:rPr>
      </w:pPr>
      <w:hyperlink r:id="rId10" w:anchor="art359c" w:history="1">
        <w:r w:rsidR="003F4DC8" w:rsidRPr="00A26E50">
          <w:rPr>
            <w:rStyle w:val="Hyperlink"/>
            <w:rFonts w:ascii="Arial" w:hAnsi="Arial" w:cs="Arial"/>
            <w:color w:val="auto"/>
            <w:sz w:val="20"/>
            <w:szCs w:val="20"/>
            <w:u w:val="none"/>
          </w:rPr>
          <w:t>Art. 359-C</w:t>
        </w:r>
      </w:hyperlink>
      <w:r w:rsidR="003F4DC8" w:rsidRPr="00A26E50">
        <w:rPr>
          <w:rFonts w:ascii="Arial" w:hAnsi="Arial" w:cs="Arial"/>
          <w:sz w:val="20"/>
          <w:szCs w:val="20"/>
        </w:rPr>
        <w:t>. Ordenar ou autorizar a assunção de obrigação, nos dois últimos quadrimestres do último ano do mandato ou legislatura, cuja despesa não possa ser paga no mesmo exercício financeiro ou, caso reste parcela a ser paga no exercício seguinte, que não tenha contrapartida suficiente de disponibilidade de caixa:</w:t>
      </w:r>
    </w:p>
    <w:p w:rsidR="003F4DC8" w:rsidRPr="00A26E50" w:rsidRDefault="003F4DC8" w:rsidP="00C96A3E">
      <w:pPr>
        <w:pStyle w:val="NormalWeb"/>
        <w:spacing w:before="0" w:beforeAutospacing="0" w:after="0" w:afterAutospacing="0"/>
        <w:ind w:left="2268" w:firstLine="0"/>
        <w:rPr>
          <w:rFonts w:ascii="Arial" w:hAnsi="Arial" w:cs="Arial"/>
          <w:sz w:val="20"/>
          <w:szCs w:val="20"/>
        </w:rPr>
      </w:pPr>
      <w:r w:rsidRPr="00A26E50">
        <w:rPr>
          <w:rFonts w:ascii="Arial" w:hAnsi="Arial" w:cs="Arial"/>
          <w:sz w:val="20"/>
          <w:szCs w:val="20"/>
        </w:rPr>
        <w:t>Pena - reclusão, de 1 (um) a 4 (quatro) anos.</w:t>
      </w:r>
    </w:p>
    <w:p w:rsidR="003F4DC8" w:rsidRPr="00A26E50" w:rsidRDefault="003F4DC8" w:rsidP="00C96A3E">
      <w:pPr>
        <w:textAlignment w:val="baseline"/>
        <w:rPr>
          <w:rFonts w:ascii="Arial" w:hAnsi="Arial" w:cs="Arial"/>
          <w:sz w:val="22"/>
          <w:szCs w:val="22"/>
        </w:rPr>
      </w:pPr>
      <w:r w:rsidRPr="00A26E50">
        <w:rPr>
          <w:rFonts w:ascii="Arial" w:hAnsi="Arial" w:cs="Arial"/>
          <w:sz w:val="22"/>
          <w:szCs w:val="22"/>
        </w:rPr>
        <w:t>Desta forma, a punição prevista ao gestor público que ordenar ou autorizar a assunção de obrigação, em situação contrária ao que dispõe o art. 42 da LRF, é a pena de reclusão</w:t>
      </w:r>
      <w:r w:rsidR="001F1F35" w:rsidRPr="00A26E50">
        <w:rPr>
          <w:rFonts w:ascii="Arial" w:hAnsi="Arial" w:cs="Arial"/>
          <w:sz w:val="22"/>
          <w:szCs w:val="22"/>
        </w:rPr>
        <w:t xml:space="preserve"> </w:t>
      </w:r>
      <w:r w:rsidRPr="00A26E50">
        <w:rPr>
          <w:rFonts w:ascii="Arial" w:hAnsi="Arial" w:cs="Arial"/>
          <w:sz w:val="22"/>
          <w:szCs w:val="22"/>
        </w:rPr>
        <w:t xml:space="preserve">de </w:t>
      </w:r>
      <w:r w:rsidR="00462826" w:rsidRPr="00A26E50">
        <w:rPr>
          <w:rFonts w:ascii="Arial" w:hAnsi="Arial" w:cs="Arial"/>
          <w:sz w:val="22"/>
          <w:szCs w:val="22"/>
        </w:rPr>
        <w:t xml:space="preserve">um </w:t>
      </w:r>
      <w:r w:rsidRPr="00A26E50">
        <w:rPr>
          <w:rFonts w:ascii="Arial" w:hAnsi="Arial" w:cs="Arial"/>
          <w:sz w:val="22"/>
          <w:szCs w:val="22"/>
        </w:rPr>
        <w:t xml:space="preserve">a </w:t>
      </w:r>
      <w:r w:rsidR="00462826" w:rsidRPr="00A26E50">
        <w:rPr>
          <w:rFonts w:ascii="Arial" w:hAnsi="Arial" w:cs="Arial"/>
          <w:sz w:val="22"/>
          <w:szCs w:val="22"/>
        </w:rPr>
        <w:t xml:space="preserve">quatro </w:t>
      </w:r>
      <w:r w:rsidRPr="00A26E50">
        <w:rPr>
          <w:rFonts w:ascii="Arial" w:hAnsi="Arial" w:cs="Arial"/>
          <w:sz w:val="22"/>
          <w:szCs w:val="22"/>
        </w:rPr>
        <w:t>anos.  </w:t>
      </w:r>
    </w:p>
    <w:p w:rsidR="003F4DC8" w:rsidRPr="00A26E50" w:rsidRDefault="003F4DC8" w:rsidP="00C96A3E">
      <w:pPr>
        <w:textAlignment w:val="baseline"/>
        <w:rPr>
          <w:rFonts w:ascii="Arial" w:hAnsi="Arial" w:cs="Arial"/>
          <w:sz w:val="22"/>
          <w:szCs w:val="22"/>
        </w:rPr>
      </w:pPr>
      <w:r w:rsidRPr="00A26E50">
        <w:rPr>
          <w:rFonts w:ascii="Arial" w:hAnsi="Arial" w:cs="Arial"/>
          <w:sz w:val="22"/>
          <w:szCs w:val="22"/>
        </w:rPr>
        <w:t xml:space="preserve">A fiscalização quanto ao cumprimento das disposições da LRF, com ênfase no que concerne aos limites e condições para inscrição em restos a pagar, é exercida pelo "Poder Legislativo, diretamente ou com o auxílio dos Tribunais de Contas e o sistema de controle interno de cada Poder e do Ministério Público" (BRASIL, 2000a, art. 59, II). Segundo Cruz </w:t>
      </w:r>
      <w:r w:rsidRPr="00A26E50">
        <w:rPr>
          <w:rFonts w:ascii="Arial" w:hAnsi="Arial" w:cs="Arial"/>
          <w:i/>
          <w:iCs/>
          <w:sz w:val="22"/>
          <w:szCs w:val="22"/>
        </w:rPr>
        <w:t xml:space="preserve">et al. </w:t>
      </w:r>
      <w:r w:rsidRPr="00A26E50">
        <w:rPr>
          <w:rFonts w:ascii="Arial" w:hAnsi="Arial" w:cs="Arial"/>
          <w:sz w:val="22"/>
          <w:szCs w:val="22"/>
        </w:rPr>
        <w:t>(2014, p. 244)</w:t>
      </w:r>
      <w:r w:rsidR="00615AB5" w:rsidRPr="00A26E50">
        <w:rPr>
          <w:rFonts w:ascii="Arial" w:hAnsi="Arial" w:cs="Arial"/>
          <w:sz w:val="22"/>
          <w:szCs w:val="22"/>
        </w:rPr>
        <w:t>,</w:t>
      </w:r>
      <w:r w:rsidRPr="00A26E50">
        <w:rPr>
          <w:rFonts w:ascii="Arial" w:hAnsi="Arial" w:cs="Arial"/>
          <w:sz w:val="22"/>
          <w:szCs w:val="22"/>
        </w:rPr>
        <w:t xml:space="preserve"> "o acompanhamento da situação de cada uma das imposições decorrentes da" LRF "sobre os entes estatais caberá́, [...], principalmente aos Tribunais de Contas".  </w:t>
      </w:r>
    </w:p>
    <w:p w:rsidR="003F4DC8" w:rsidRPr="00A26E50" w:rsidRDefault="003F4DC8" w:rsidP="00C96A3E">
      <w:pPr>
        <w:textAlignment w:val="baseline"/>
        <w:rPr>
          <w:rFonts w:ascii="Arial" w:hAnsi="Arial" w:cs="Arial"/>
          <w:sz w:val="22"/>
          <w:szCs w:val="22"/>
        </w:rPr>
      </w:pPr>
      <w:bookmarkStart w:id="2" w:name="_Hlk479076154"/>
      <w:r w:rsidRPr="00A26E50">
        <w:rPr>
          <w:rFonts w:ascii="Arial" w:hAnsi="Arial" w:cs="Arial"/>
          <w:sz w:val="22"/>
          <w:szCs w:val="22"/>
        </w:rPr>
        <w:t>A Constituição Federal</w:t>
      </w:r>
      <w:bookmarkEnd w:id="2"/>
      <w:r w:rsidRPr="00A26E50">
        <w:rPr>
          <w:rFonts w:ascii="Arial" w:hAnsi="Arial" w:cs="Arial"/>
          <w:sz w:val="22"/>
          <w:szCs w:val="22"/>
        </w:rPr>
        <w:t xml:space="preserve"> estabelece que “a fiscalização contábil, financeira, orçamentária, operacional e patrimonial da União e das entidades da administração direta e indireta quanto à legalidade, legitimidade, economicidade, aplicação das subvenções e renúncia de receitas” na esfera federal</w:t>
      </w:r>
      <w:r w:rsidR="003E644F" w:rsidRPr="00A26E50">
        <w:rPr>
          <w:rFonts w:ascii="Arial" w:hAnsi="Arial" w:cs="Arial"/>
          <w:sz w:val="22"/>
          <w:szCs w:val="22"/>
        </w:rPr>
        <w:t xml:space="preserve">, </w:t>
      </w:r>
      <w:r w:rsidRPr="00A26E50">
        <w:rPr>
          <w:rFonts w:ascii="Arial" w:hAnsi="Arial" w:cs="Arial"/>
          <w:sz w:val="22"/>
          <w:szCs w:val="22"/>
        </w:rPr>
        <w:t>realizada por meio do controle externo, seja exercida pelo Congresso Nacional com o auxílio do Tribunal de Contas da União (BRASIL, 1988, art. 70 e 71). Na esfera municipal, a fiscalização “será exercida pelo Poder Legislativo Municipal, [...] com o auxílio dos Tribunais de Contas dos Estados ou do Município ou dos Conselhos ou Tribunais de Contas dos Municípios, onde houver” (BRASIL, 1988, art. 31, § 1º). </w:t>
      </w:r>
    </w:p>
    <w:p w:rsidR="003F4DC8" w:rsidRPr="00A26E50" w:rsidRDefault="003F4DC8" w:rsidP="00C96A3E">
      <w:pPr>
        <w:textAlignment w:val="baseline"/>
        <w:rPr>
          <w:rFonts w:ascii="Arial" w:hAnsi="Arial" w:cs="Arial"/>
          <w:sz w:val="22"/>
          <w:szCs w:val="22"/>
        </w:rPr>
      </w:pPr>
      <w:r w:rsidRPr="00A26E50">
        <w:rPr>
          <w:rFonts w:ascii="Arial" w:hAnsi="Arial" w:cs="Arial"/>
          <w:sz w:val="22"/>
          <w:szCs w:val="22"/>
        </w:rPr>
        <w:t>Assim, em concordância com as disposições da Lei Maior, a Constituição do Estado de Santa Catarina</w:t>
      </w:r>
      <w:r w:rsidR="00370E2B" w:rsidRPr="00A26E50">
        <w:rPr>
          <w:rFonts w:ascii="Arial" w:hAnsi="Arial" w:cs="Arial"/>
          <w:sz w:val="22"/>
          <w:szCs w:val="22"/>
        </w:rPr>
        <w:t>,</w:t>
      </w:r>
      <w:r w:rsidRPr="00A26E50">
        <w:rPr>
          <w:rFonts w:ascii="Arial" w:hAnsi="Arial" w:cs="Arial"/>
          <w:sz w:val="22"/>
          <w:szCs w:val="22"/>
        </w:rPr>
        <w:t xml:space="preserve"> de 1989</w:t>
      </w:r>
      <w:r w:rsidR="00370E2B" w:rsidRPr="00A26E50">
        <w:rPr>
          <w:rFonts w:ascii="Arial" w:hAnsi="Arial" w:cs="Arial"/>
          <w:sz w:val="22"/>
          <w:szCs w:val="22"/>
        </w:rPr>
        <w:t>,</w:t>
      </w:r>
      <w:r w:rsidRPr="00A26E50">
        <w:rPr>
          <w:rFonts w:ascii="Arial" w:hAnsi="Arial" w:cs="Arial"/>
          <w:sz w:val="22"/>
          <w:szCs w:val="22"/>
        </w:rPr>
        <w:t xml:space="preserve"> estabelece que a fiscalização dos municípios catarinenses, por meio do controle externo, seja exercida por suas câmaras municipais com o auxílio do Tribunal de Contas do Estado (SANTA CATARINA, 1989, art. 113, I e II, § 1º).</w:t>
      </w:r>
      <w:bookmarkStart w:id="3" w:name="_Hlk479080637"/>
      <w:bookmarkStart w:id="4" w:name="_Hlk479081170"/>
    </w:p>
    <w:p w:rsidR="003F4DC8" w:rsidRPr="00A26E50" w:rsidRDefault="003F4DC8" w:rsidP="00C96A3E">
      <w:pPr>
        <w:pStyle w:val="Default"/>
        <w:ind w:firstLine="709"/>
        <w:jc w:val="both"/>
        <w:rPr>
          <w:rFonts w:ascii="Arial" w:hAnsi="Arial" w:cs="Arial"/>
          <w:color w:val="auto"/>
          <w:sz w:val="22"/>
          <w:szCs w:val="22"/>
        </w:rPr>
      </w:pPr>
      <w:r w:rsidRPr="00A26E50">
        <w:rPr>
          <w:rFonts w:ascii="Arial" w:hAnsi="Arial" w:cs="Arial"/>
          <w:color w:val="auto"/>
          <w:sz w:val="22"/>
          <w:szCs w:val="22"/>
        </w:rPr>
        <w:t xml:space="preserve">O Tribunal de Contas do Estado de Santa Catarina (TCE/SC), no exercício de sua função, conforme disposição contida em seu Regimento Interno, aprovado pela </w:t>
      </w:r>
      <w:r w:rsidRPr="00A26E50">
        <w:rPr>
          <w:rFonts w:ascii="Arial" w:hAnsi="Arial" w:cs="Arial"/>
          <w:bCs/>
          <w:color w:val="auto"/>
          <w:sz w:val="22"/>
          <w:szCs w:val="22"/>
        </w:rPr>
        <w:t xml:space="preserve">Resolução </w:t>
      </w:r>
      <w:r w:rsidRPr="00A26E50">
        <w:rPr>
          <w:rFonts w:ascii="Arial" w:hAnsi="Arial" w:cs="Arial"/>
          <w:color w:val="auto"/>
          <w:sz w:val="22"/>
          <w:szCs w:val="22"/>
        </w:rPr>
        <w:t xml:space="preserve">n.º TC-06/2001, “fiscalizará, na forma prevista em instrução normativa, o cumprimento das normas relativas à gestão fiscal do Estado e dos Municípios, dando ênfase para: [...] II – a observância dos limites e condições para realização de operações de crédito e inscrição em restos a pagar; [...]” (TCE/SC, 2001, art. 26).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Compete ao TCE/SC apreciar “as contas prestadas anualmente pelo Prefeito, às quais serão anexadas as do Poder Legislativo, mediante parecer prévio, [...]” (TCE/SC, 2001, art. 82). De acordo com a LRF, a prestação de contas e o respectivo parecer prévio</w:t>
      </w:r>
      <w:r w:rsidR="00977AB1" w:rsidRPr="00A26E50">
        <w:rPr>
          <w:rFonts w:ascii="Arial" w:hAnsi="Arial" w:cs="Arial"/>
          <w:sz w:val="22"/>
          <w:szCs w:val="22"/>
        </w:rPr>
        <w:t xml:space="preserve">, </w:t>
      </w:r>
      <w:r w:rsidR="005720F3" w:rsidRPr="00A26E50">
        <w:rPr>
          <w:rFonts w:ascii="Arial" w:hAnsi="Arial" w:cs="Arial"/>
          <w:sz w:val="22"/>
          <w:szCs w:val="22"/>
        </w:rPr>
        <w:t xml:space="preserve">estão entre os </w:t>
      </w:r>
      <w:r w:rsidRPr="00A26E50">
        <w:rPr>
          <w:rFonts w:ascii="Arial" w:hAnsi="Arial" w:cs="Arial"/>
          <w:sz w:val="22"/>
          <w:szCs w:val="22"/>
        </w:rPr>
        <w:t>instrumentos de transparência da gestão fiscal</w:t>
      </w:r>
      <w:r w:rsidR="005720F3" w:rsidRPr="00A26E50">
        <w:rPr>
          <w:rFonts w:ascii="Arial" w:hAnsi="Arial" w:cs="Arial"/>
          <w:sz w:val="22"/>
          <w:szCs w:val="22"/>
        </w:rPr>
        <w:t xml:space="preserve"> </w:t>
      </w:r>
      <w:r w:rsidRPr="00A26E50">
        <w:rPr>
          <w:rFonts w:ascii="Arial" w:hAnsi="Arial" w:cs="Arial"/>
          <w:sz w:val="22"/>
          <w:szCs w:val="22"/>
        </w:rPr>
        <w:t>(BRASIL, 2000a, art. 48).</w:t>
      </w:r>
    </w:p>
    <w:p w:rsidR="003F4DC8" w:rsidRPr="00A26E50" w:rsidRDefault="003F4DC8" w:rsidP="00C96A3E">
      <w:pPr>
        <w:textAlignment w:val="baseline"/>
        <w:rPr>
          <w:rFonts w:ascii="Arial" w:hAnsi="Arial" w:cs="Arial"/>
          <w:sz w:val="22"/>
          <w:szCs w:val="22"/>
        </w:rPr>
      </w:pPr>
      <w:r w:rsidRPr="00A26E50">
        <w:rPr>
          <w:rFonts w:ascii="Arial" w:hAnsi="Arial" w:cs="Arial"/>
          <w:sz w:val="22"/>
          <w:szCs w:val="22"/>
        </w:rPr>
        <w:t xml:space="preserve">A prestação de contas do Chefe do Poder Executivo municipal deve ser encaminhada ao TCE/SC “até o dia 28 de fevereiro do exercício seguinte,” consistindo “no Balanço Geral do </w:t>
      </w:r>
      <w:r w:rsidRPr="00A26E50">
        <w:rPr>
          <w:rFonts w:ascii="Arial" w:hAnsi="Arial" w:cs="Arial"/>
          <w:sz w:val="22"/>
          <w:szCs w:val="22"/>
        </w:rPr>
        <w:lastRenderedPageBreak/>
        <w:t xml:space="preserve">Município e no relatório do órgão central do sistema de controle interno do Poder Executivo sobre a execução dos orçamentos [...]” (TCE/SC, 2001, art. 83). </w:t>
      </w:r>
    </w:p>
    <w:p w:rsidR="003F4DC8" w:rsidRPr="00A26E50" w:rsidRDefault="003F4DC8" w:rsidP="00C96A3E">
      <w:pPr>
        <w:textAlignment w:val="baseline"/>
        <w:rPr>
          <w:rFonts w:ascii="Arial" w:hAnsi="Arial" w:cs="Arial"/>
          <w:sz w:val="22"/>
          <w:szCs w:val="22"/>
        </w:rPr>
      </w:pPr>
      <w:r w:rsidRPr="00A26E50">
        <w:rPr>
          <w:rFonts w:ascii="Arial" w:hAnsi="Arial" w:cs="Arial"/>
          <w:sz w:val="22"/>
          <w:szCs w:val="22"/>
        </w:rPr>
        <w:t xml:space="preserve">O parecer prévio deve “ser elaborado antes do encerramento do exercício” em que as contas foram prestadas (TCE/SC, 2001, art. 82). De acordo com a </w:t>
      </w:r>
      <w:r w:rsidRPr="00A26E50">
        <w:rPr>
          <w:rFonts w:ascii="Arial" w:hAnsi="Arial" w:cs="Arial"/>
          <w:bCs/>
          <w:sz w:val="22"/>
          <w:szCs w:val="22"/>
        </w:rPr>
        <w:t xml:space="preserve">Resolução </w:t>
      </w:r>
      <w:r w:rsidRPr="00A26E50">
        <w:rPr>
          <w:rFonts w:ascii="Arial" w:hAnsi="Arial" w:cs="Arial"/>
          <w:sz w:val="22"/>
          <w:szCs w:val="22"/>
        </w:rPr>
        <w:t>n.º TC-06/2001, o parecer prévio emitido pelo TCE/SC constitui-se em (TCE/SC, 2001, art. 85)</w:t>
      </w:r>
    </w:p>
    <w:p w:rsidR="003F4DC8" w:rsidRPr="00A26E50" w:rsidRDefault="003F4DC8" w:rsidP="00C96A3E">
      <w:pPr>
        <w:ind w:left="2268" w:firstLine="0"/>
        <w:textAlignment w:val="baseline"/>
        <w:rPr>
          <w:rFonts w:ascii="Arial" w:hAnsi="Arial" w:cs="Arial"/>
          <w:sz w:val="20"/>
        </w:rPr>
      </w:pPr>
      <w:r w:rsidRPr="00A26E50">
        <w:rPr>
          <w:rFonts w:ascii="Arial" w:hAnsi="Arial" w:cs="Arial"/>
          <w:sz w:val="20"/>
        </w:rPr>
        <w:t>apreciação geral e fundamentada da gestão orçamentária, patrimonial, financeira e fiscal havida no exercício, devendo demonstrar se o Balanço Geral representa adequadamente a posição financeira, orçamentária e patrimonial do Município em 31 de dezembro, bem como se as operações estão de acordo com os princípios fundamentais de contabilidade aplicados à administração pública Municipal, concluindo pela aprovação ou não das contas.</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Por meio da Portaria n.º TC-233/2003, substituída pela Decisão Normativa n.º TC-06/2008, o TCE/SC estabeleceu critérios para emissão dos pareceres prévios sobre as prestações de contas dos prefeitos (PCP). Conforme a referida Portaria, observada pelo TCE/SC na análise das contas de 2002 a 2008, “as irregularidades apuradas na análise das contas serão registradas no relatório técnico da” Diretoria de Controle dos Municípios (DMU) e “classificadas como de ordem constitucional, legal,” regulamentar “e técnico - formal e assim consideradas no relatório do relator, segundo a sua natureza e gravidade [...]” (TCE/SC, 2003, art. 2°).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Desta forma, a Portaria n.º TC-233/2003 estabelece que as irregularidades apuradas sejam apontadas como restrições, no relatório do relator, que podem ser de ordem constitucional (gravíssima, grave ou leve), de ordem legal (gravíssima, grave ou leve), de ordem regulamentar e de caráter técnico e formal (TCE/SC, 2003). De acordo com a mesma Portaria, as irregularidades classificadas como gravíssimas constituem fator de rejeição das contas municipais, especialmente (TCE/SC, 2003, art. 3°, VII):</w:t>
      </w:r>
    </w:p>
    <w:p w:rsidR="003F4DC8" w:rsidRPr="00A26E50" w:rsidRDefault="003F4DC8" w:rsidP="00C96A3E">
      <w:pPr>
        <w:pStyle w:val="Default"/>
        <w:ind w:left="2268"/>
        <w:jc w:val="both"/>
        <w:rPr>
          <w:rFonts w:ascii="Arial" w:hAnsi="Arial" w:cs="Arial"/>
          <w:color w:val="auto"/>
          <w:sz w:val="20"/>
          <w:szCs w:val="20"/>
        </w:rPr>
      </w:pPr>
      <w:r w:rsidRPr="00A26E50">
        <w:rPr>
          <w:rFonts w:ascii="Arial" w:hAnsi="Arial" w:cs="Arial"/>
          <w:color w:val="auto"/>
          <w:sz w:val="20"/>
          <w:szCs w:val="20"/>
        </w:rPr>
        <w:t>Contratação, pelo Prefeito, nos dois últimos quadrimestres do mandato, de obrigação de despesa que não tenha sido cumprida integralmente no referido período, ou deixar parcelas a serem pagas no exercício seguinte sem a suficiente disponibilidade de caixa para esse efeito (Lei Complementar 101/2000, art. 42 e parágrafo único).</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Assim, a não observância do limite para inscrição em restos </w:t>
      </w:r>
      <w:r w:rsidR="0006123A" w:rsidRPr="00A26E50">
        <w:rPr>
          <w:rFonts w:ascii="Arial" w:hAnsi="Arial" w:cs="Arial"/>
          <w:sz w:val="22"/>
          <w:szCs w:val="22"/>
        </w:rPr>
        <w:t xml:space="preserve">a </w:t>
      </w:r>
      <w:r w:rsidRPr="00A26E50">
        <w:rPr>
          <w:rFonts w:ascii="Arial" w:hAnsi="Arial" w:cs="Arial"/>
          <w:sz w:val="22"/>
          <w:szCs w:val="22"/>
        </w:rPr>
        <w:t>pagar é classificada como uma restrição de ordem legal gravíssim</w:t>
      </w:r>
      <w:r w:rsidR="009105F5">
        <w:rPr>
          <w:rFonts w:ascii="Arial" w:hAnsi="Arial" w:cs="Arial"/>
          <w:sz w:val="22"/>
          <w:szCs w:val="22"/>
        </w:rPr>
        <w:t>a, que constitui</w:t>
      </w:r>
      <w:r w:rsidRPr="00A26E50">
        <w:rPr>
          <w:rFonts w:ascii="Arial" w:hAnsi="Arial" w:cs="Arial"/>
          <w:sz w:val="22"/>
          <w:szCs w:val="22"/>
        </w:rPr>
        <w:t xml:space="preserve"> fator de recomendação à rejeição das contas municipais (TCE/SC, 2003). Além disso, a Portaria n.º TC-233/2003 determina que o TCE/SC comunique “ao Ministério Público do Estado o descumprimento, pelo Prefeito Municipal, do disposto no art. 42” da LRF (TCE/SC, 2003, art. 4°).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A partir da Decisão Normativa n.º TC-06/2008, observada pelo TCE/SC na análise das contas de 2009 em diante, as irregularidades apuradas passaram a ser classificadas apenas segundo a sua natureza, ou seja, como de ordem constitucional, legal e regulamentar (TCE/SC, 2008, art. 7°). A não observância do limite para inscrição em restos </w:t>
      </w:r>
      <w:r w:rsidR="004C66C3" w:rsidRPr="00A26E50">
        <w:rPr>
          <w:rFonts w:ascii="Arial" w:hAnsi="Arial" w:cs="Arial"/>
          <w:sz w:val="22"/>
          <w:szCs w:val="22"/>
        </w:rPr>
        <w:t xml:space="preserve">a </w:t>
      </w:r>
      <w:r w:rsidRPr="00A26E50">
        <w:rPr>
          <w:rFonts w:ascii="Arial" w:hAnsi="Arial" w:cs="Arial"/>
          <w:sz w:val="22"/>
          <w:szCs w:val="22"/>
        </w:rPr>
        <w:t>pagar deixou de constituir fator de rejeição das contas municipais, uma vez que passou a ser classificada como uma restrição de ordem legal, que pode “ensejar a emissão de Parecer Prévio com recomendação de rejeição das contas prestadas pelo Prefeito, [...]” (TCE/SC, 2008, art. 9°, X).</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Ademais, a Decisão Normativa n.º TC-06/2008 estabelece que o TCE/SC “poderá comunicar ao Ministério Público do Estado o descumprimento, pelo Prefeito Municipal, do disposto no art. 42 da” LRF (TCE/SC, 2008, art. 10). Desta forma, o comunicado passa a ser facultativo a partir da referida Decisão, visto que o TCE/SC pode ou não fazê-lo.</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Uma vez emitido o parecer prévio, o TCE/SC “comunicará à Câmara de Vereadores o resultado da deliberação no processo de contas anuais do município, esclarecendo que o referido </w:t>
      </w:r>
      <w:r w:rsidRPr="00A26E50">
        <w:rPr>
          <w:rFonts w:ascii="Arial" w:hAnsi="Arial" w:cs="Arial"/>
          <w:sz w:val="22"/>
          <w:szCs w:val="22"/>
        </w:rPr>
        <w:lastRenderedPageBreak/>
        <w:t xml:space="preserve">processo permanecerá no Tribunal até esgotar o prazo para apresentação de Pedido de Reapreciação pelo Prefeito” (TCE/SC, 2001, art. 92). </w:t>
      </w:r>
    </w:p>
    <w:p w:rsidR="003F4DC8" w:rsidRPr="00A26E50" w:rsidRDefault="003F4DC8" w:rsidP="00C96A3E">
      <w:pPr>
        <w:autoSpaceDE w:val="0"/>
        <w:autoSpaceDN w:val="0"/>
        <w:adjustRightInd w:val="0"/>
        <w:rPr>
          <w:rFonts w:ascii="Arial" w:hAnsi="Arial" w:cs="Arial"/>
          <w:sz w:val="22"/>
          <w:szCs w:val="22"/>
        </w:rPr>
      </w:pPr>
      <w:r w:rsidRPr="00A26E50">
        <w:rPr>
          <w:rFonts w:ascii="Arial" w:hAnsi="Arial" w:cs="Arial"/>
          <w:sz w:val="22"/>
          <w:szCs w:val="22"/>
        </w:rPr>
        <w:t xml:space="preserve">Findado o prazo estabelecido na </w:t>
      </w:r>
      <w:r w:rsidRPr="00A26E50">
        <w:rPr>
          <w:rFonts w:ascii="Arial" w:hAnsi="Arial" w:cs="Arial"/>
          <w:bCs/>
          <w:sz w:val="22"/>
          <w:szCs w:val="22"/>
        </w:rPr>
        <w:t xml:space="preserve">Resolução </w:t>
      </w:r>
      <w:r w:rsidRPr="00A26E50">
        <w:rPr>
          <w:rFonts w:ascii="Arial" w:hAnsi="Arial" w:cs="Arial"/>
          <w:sz w:val="22"/>
          <w:szCs w:val="22"/>
        </w:rPr>
        <w:t xml:space="preserve">n.º TC-06/2001, e não havendo pedido de reapreciação, o processo (acompanhado do parecer prévio e demais documentos) é encaminhado à câmara municipal para que seja julgado (TCE/SC, 2001, art. 92, § 1º). Caso haja o pedido de reapreciação, “o processo será encaminhado à Câmara após a deliberação” (TCE/SC, 2001, art. 92, § 2º). Desta forma, o parecer prévio é um instrumento imprescindível para a transparência da gestão fiscal, sem o qual </w:t>
      </w:r>
      <w:bookmarkEnd w:id="3"/>
      <w:bookmarkEnd w:id="4"/>
      <w:r w:rsidRPr="00A26E50">
        <w:rPr>
          <w:rFonts w:ascii="Arial" w:hAnsi="Arial" w:cs="Arial"/>
          <w:sz w:val="22"/>
          <w:szCs w:val="22"/>
        </w:rPr>
        <w:t>a câmara municipal não pode julgar as contas do Chefe do Poder Executivo municipal.</w:t>
      </w:r>
    </w:p>
    <w:p w:rsidR="003F4DC8" w:rsidRPr="00A26E50" w:rsidRDefault="003F4DC8" w:rsidP="000C3613">
      <w:pPr>
        <w:autoSpaceDE w:val="0"/>
        <w:autoSpaceDN w:val="0"/>
        <w:adjustRightInd w:val="0"/>
        <w:rPr>
          <w:rFonts w:ascii="Arial" w:hAnsi="Arial" w:cs="Arial"/>
          <w:sz w:val="22"/>
          <w:szCs w:val="22"/>
        </w:rPr>
      </w:pPr>
    </w:p>
    <w:p w:rsidR="003F4DC8" w:rsidRPr="00A26E50" w:rsidRDefault="003F4DC8" w:rsidP="000C3613">
      <w:pPr>
        <w:pStyle w:val="Ttulo2"/>
        <w:rPr>
          <w:rFonts w:ascii="Arial" w:hAnsi="Arial" w:cs="Arial"/>
          <w:sz w:val="22"/>
          <w:szCs w:val="22"/>
        </w:rPr>
      </w:pPr>
      <w:r w:rsidRPr="00A26E50">
        <w:rPr>
          <w:rFonts w:ascii="Arial" w:hAnsi="Arial" w:cs="Arial"/>
          <w:sz w:val="22"/>
          <w:szCs w:val="22"/>
          <w:lang w:val="pt-BR"/>
        </w:rPr>
        <w:t>PESQUISAS ANTERIORES</w:t>
      </w:r>
    </w:p>
    <w:p w:rsidR="00074878" w:rsidRPr="00A26E50" w:rsidRDefault="003F4DC8" w:rsidP="00C3477C">
      <w:pPr>
        <w:rPr>
          <w:rFonts w:ascii="Arial" w:hAnsi="Arial" w:cs="Arial"/>
          <w:sz w:val="22"/>
          <w:szCs w:val="22"/>
        </w:rPr>
      </w:pPr>
      <w:r w:rsidRPr="00A26E50">
        <w:rPr>
          <w:rFonts w:ascii="Arial" w:hAnsi="Arial" w:cs="Arial"/>
          <w:bCs/>
          <w:sz w:val="22"/>
          <w:szCs w:val="22"/>
        </w:rPr>
        <w:t xml:space="preserve">Busca-se, por meio desta seção, relacionar algumas pesquisas identificadas em publicações </w:t>
      </w:r>
      <w:r w:rsidR="00317DF5" w:rsidRPr="00A26E50">
        <w:rPr>
          <w:rFonts w:ascii="Arial" w:hAnsi="Arial" w:cs="Arial"/>
          <w:sz w:val="22"/>
          <w:szCs w:val="22"/>
        </w:rPr>
        <w:t>acadêmicas e cientí</w:t>
      </w:r>
      <w:r w:rsidRPr="00A26E50">
        <w:rPr>
          <w:rFonts w:ascii="Arial" w:hAnsi="Arial" w:cs="Arial"/>
          <w:sz w:val="22"/>
          <w:szCs w:val="22"/>
        </w:rPr>
        <w:t>ficas, tidas como correlatas ao tema central do presente artigo, tanto em simila</w:t>
      </w:r>
      <w:r w:rsidR="00C3477C" w:rsidRPr="00A26E50">
        <w:rPr>
          <w:rFonts w:ascii="Arial" w:hAnsi="Arial" w:cs="Arial"/>
          <w:sz w:val="22"/>
          <w:szCs w:val="22"/>
        </w:rPr>
        <w:t>ridade</w:t>
      </w:r>
      <w:r w:rsidR="00C03693" w:rsidRPr="00A26E50">
        <w:rPr>
          <w:rFonts w:ascii="Arial" w:hAnsi="Arial" w:cs="Arial"/>
          <w:sz w:val="22"/>
          <w:szCs w:val="22"/>
        </w:rPr>
        <w:t xml:space="preserve"> </w:t>
      </w:r>
      <w:r w:rsidR="00C3477C" w:rsidRPr="00A26E50">
        <w:rPr>
          <w:rFonts w:ascii="Arial" w:hAnsi="Arial" w:cs="Arial"/>
          <w:sz w:val="22"/>
          <w:szCs w:val="22"/>
        </w:rPr>
        <w:t xml:space="preserve">quanto em relevância. </w:t>
      </w:r>
      <w:r w:rsidRPr="00A26E50">
        <w:rPr>
          <w:rFonts w:ascii="Arial" w:hAnsi="Arial" w:cs="Arial"/>
          <w:sz w:val="22"/>
          <w:szCs w:val="22"/>
        </w:rPr>
        <w:t>O quadro a seguir apresenta as publicações com suas respectivas fontes e objetivos.</w:t>
      </w:r>
    </w:p>
    <w:p w:rsidR="002D278D" w:rsidRDefault="002D278D" w:rsidP="00C3477C">
      <w:pPr>
        <w:rPr>
          <w:rFonts w:ascii="Arial" w:hAnsi="Arial" w:cs="Arial"/>
          <w:sz w:val="22"/>
          <w:szCs w:val="22"/>
        </w:rPr>
      </w:pPr>
    </w:p>
    <w:p w:rsidR="003F4DC8" w:rsidRPr="00C60444" w:rsidRDefault="003F4DC8" w:rsidP="003F4DC8">
      <w:pPr>
        <w:ind w:firstLine="0"/>
        <w:jc w:val="center"/>
        <w:rPr>
          <w:b/>
          <w:sz w:val="22"/>
          <w:szCs w:val="22"/>
        </w:rPr>
      </w:pPr>
      <w:r w:rsidRPr="00C60444">
        <w:rPr>
          <w:b/>
          <w:sz w:val="22"/>
          <w:szCs w:val="22"/>
        </w:rPr>
        <w:t xml:space="preserve">Quadro </w:t>
      </w:r>
      <w:r w:rsidR="002147A1">
        <w:rPr>
          <w:b/>
          <w:sz w:val="22"/>
          <w:szCs w:val="22"/>
        </w:rPr>
        <w:t>1</w:t>
      </w:r>
      <w:r w:rsidRPr="00C60444">
        <w:rPr>
          <w:b/>
          <w:sz w:val="22"/>
          <w:szCs w:val="22"/>
        </w:rPr>
        <w:t xml:space="preserve"> – Objetivos de pesquisas anteriores</w:t>
      </w:r>
    </w:p>
    <w:tbl>
      <w:tblPr>
        <w:tblW w:w="939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1276"/>
        <w:gridCol w:w="2976"/>
        <w:gridCol w:w="4291"/>
      </w:tblGrid>
      <w:tr w:rsidR="003F4DC8" w:rsidRPr="004477B0" w:rsidTr="00D51808">
        <w:trPr>
          <w:trHeight w:val="230"/>
        </w:trPr>
        <w:tc>
          <w:tcPr>
            <w:tcW w:w="856" w:type="dxa"/>
            <w:vMerge w:val="restart"/>
            <w:shd w:val="clear" w:color="000000" w:fill="D9D9D9"/>
            <w:vAlign w:val="center"/>
            <w:hideMark/>
          </w:tcPr>
          <w:p w:rsidR="003F4DC8" w:rsidRPr="004477B0" w:rsidRDefault="003F4DC8" w:rsidP="00947751">
            <w:pPr>
              <w:ind w:firstLine="0"/>
              <w:jc w:val="center"/>
              <w:rPr>
                <w:b/>
                <w:bCs/>
                <w:sz w:val="20"/>
              </w:rPr>
            </w:pPr>
            <w:r w:rsidRPr="004477B0">
              <w:rPr>
                <w:b/>
                <w:bCs/>
                <w:sz w:val="20"/>
              </w:rPr>
              <w:t>Relação</w:t>
            </w:r>
          </w:p>
        </w:tc>
        <w:tc>
          <w:tcPr>
            <w:tcW w:w="1276" w:type="dxa"/>
            <w:vMerge w:val="restart"/>
            <w:shd w:val="clear" w:color="000000" w:fill="D9D9D9"/>
            <w:vAlign w:val="center"/>
            <w:hideMark/>
          </w:tcPr>
          <w:p w:rsidR="003F4DC8" w:rsidRPr="004477B0" w:rsidRDefault="003F4DC8" w:rsidP="00947751">
            <w:pPr>
              <w:ind w:firstLine="0"/>
              <w:jc w:val="center"/>
              <w:rPr>
                <w:b/>
                <w:bCs/>
                <w:sz w:val="20"/>
              </w:rPr>
            </w:pPr>
            <w:r w:rsidRPr="004477B0">
              <w:rPr>
                <w:b/>
                <w:bCs/>
                <w:sz w:val="20"/>
              </w:rPr>
              <w:t xml:space="preserve">Autores </w:t>
            </w:r>
            <w:r w:rsidRPr="004477B0">
              <w:rPr>
                <w:b/>
                <w:bCs/>
                <w:sz w:val="20"/>
                <w:vertAlign w:val="superscript"/>
              </w:rPr>
              <w:t>[1]</w:t>
            </w:r>
          </w:p>
        </w:tc>
        <w:tc>
          <w:tcPr>
            <w:tcW w:w="2976" w:type="dxa"/>
            <w:vMerge w:val="restart"/>
            <w:shd w:val="clear" w:color="000000" w:fill="D9D9D9"/>
            <w:vAlign w:val="center"/>
            <w:hideMark/>
          </w:tcPr>
          <w:p w:rsidR="003F4DC8" w:rsidRPr="004477B0" w:rsidRDefault="003F4DC8" w:rsidP="00947751">
            <w:pPr>
              <w:ind w:firstLine="0"/>
              <w:jc w:val="center"/>
              <w:rPr>
                <w:b/>
                <w:bCs/>
                <w:sz w:val="20"/>
              </w:rPr>
            </w:pPr>
            <w:r w:rsidRPr="004477B0">
              <w:rPr>
                <w:b/>
                <w:bCs/>
                <w:sz w:val="20"/>
              </w:rPr>
              <w:t>Títulos / Tipos</w:t>
            </w:r>
          </w:p>
          <w:p w:rsidR="003F4DC8" w:rsidRPr="004477B0" w:rsidRDefault="003F4DC8" w:rsidP="00947751">
            <w:pPr>
              <w:ind w:firstLine="0"/>
              <w:jc w:val="center"/>
              <w:rPr>
                <w:b/>
                <w:bCs/>
                <w:sz w:val="20"/>
              </w:rPr>
            </w:pPr>
            <w:r w:rsidRPr="004477B0">
              <w:rPr>
                <w:b/>
                <w:bCs/>
                <w:sz w:val="20"/>
              </w:rPr>
              <w:t xml:space="preserve">de publicações </w:t>
            </w:r>
            <w:r w:rsidRPr="004477B0">
              <w:rPr>
                <w:b/>
                <w:bCs/>
                <w:sz w:val="20"/>
                <w:vertAlign w:val="superscript"/>
              </w:rPr>
              <w:t>[2]</w:t>
            </w:r>
          </w:p>
        </w:tc>
        <w:tc>
          <w:tcPr>
            <w:tcW w:w="4291" w:type="dxa"/>
            <w:vMerge w:val="restart"/>
            <w:shd w:val="clear" w:color="000000" w:fill="D9D9D9"/>
            <w:vAlign w:val="center"/>
            <w:hideMark/>
          </w:tcPr>
          <w:p w:rsidR="003F4DC8" w:rsidRPr="004477B0" w:rsidRDefault="003F4DC8" w:rsidP="00947751">
            <w:pPr>
              <w:ind w:firstLine="0"/>
              <w:jc w:val="center"/>
              <w:rPr>
                <w:b/>
                <w:bCs/>
                <w:sz w:val="20"/>
              </w:rPr>
            </w:pPr>
            <w:r w:rsidRPr="004477B0">
              <w:rPr>
                <w:b/>
                <w:sz w:val="20"/>
              </w:rPr>
              <w:t>Objetivos a que se propuseram</w:t>
            </w:r>
          </w:p>
        </w:tc>
      </w:tr>
      <w:tr w:rsidR="003F4DC8" w:rsidRPr="004477B0" w:rsidTr="0058496D">
        <w:trPr>
          <w:trHeight w:val="276"/>
        </w:trPr>
        <w:tc>
          <w:tcPr>
            <w:tcW w:w="856" w:type="dxa"/>
            <w:vMerge/>
            <w:vAlign w:val="center"/>
            <w:hideMark/>
          </w:tcPr>
          <w:p w:rsidR="003F4DC8" w:rsidRPr="004477B0" w:rsidRDefault="003F4DC8" w:rsidP="00947751">
            <w:pPr>
              <w:rPr>
                <w:b/>
                <w:bCs/>
                <w:sz w:val="20"/>
              </w:rPr>
            </w:pPr>
          </w:p>
        </w:tc>
        <w:tc>
          <w:tcPr>
            <w:tcW w:w="1276" w:type="dxa"/>
            <w:vMerge/>
            <w:vAlign w:val="center"/>
            <w:hideMark/>
          </w:tcPr>
          <w:p w:rsidR="003F4DC8" w:rsidRPr="004477B0" w:rsidRDefault="003F4DC8" w:rsidP="00947751">
            <w:pPr>
              <w:rPr>
                <w:b/>
                <w:bCs/>
                <w:sz w:val="20"/>
              </w:rPr>
            </w:pPr>
          </w:p>
        </w:tc>
        <w:tc>
          <w:tcPr>
            <w:tcW w:w="2976" w:type="dxa"/>
            <w:vMerge/>
            <w:vAlign w:val="center"/>
            <w:hideMark/>
          </w:tcPr>
          <w:p w:rsidR="003F4DC8" w:rsidRPr="004477B0" w:rsidRDefault="003F4DC8" w:rsidP="00947751">
            <w:pPr>
              <w:rPr>
                <w:b/>
                <w:bCs/>
                <w:sz w:val="20"/>
              </w:rPr>
            </w:pPr>
          </w:p>
        </w:tc>
        <w:tc>
          <w:tcPr>
            <w:tcW w:w="4291" w:type="dxa"/>
            <w:vMerge/>
            <w:vAlign w:val="center"/>
            <w:hideMark/>
          </w:tcPr>
          <w:p w:rsidR="003F4DC8" w:rsidRPr="004477B0" w:rsidRDefault="003F4DC8" w:rsidP="00947751">
            <w:pPr>
              <w:rPr>
                <w:b/>
                <w:bCs/>
                <w:sz w:val="20"/>
              </w:rPr>
            </w:pPr>
          </w:p>
        </w:tc>
      </w:tr>
      <w:tr w:rsidR="003F4DC8" w:rsidRPr="004477B0" w:rsidTr="00D51808">
        <w:trPr>
          <w:trHeight w:val="924"/>
        </w:trPr>
        <w:tc>
          <w:tcPr>
            <w:tcW w:w="856" w:type="dxa"/>
            <w:shd w:val="clear" w:color="auto" w:fill="auto"/>
            <w:textDirection w:val="btLr"/>
            <w:vAlign w:val="center"/>
            <w:hideMark/>
          </w:tcPr>
          <w:p w:rsidR="003F4DC8" w:rsidRPr="004477B0" w:rsidRDefault="003F4DC8" w:rsidP="00947751">
            <w:pPr>
              <w:ind w:firstLine="0"/>
              <w:jc w:val="center"/>
              <w:rPr>
                <w:sz w:val="20"/>
              </w:rPr>
            </w:pPr>
            <w:r w:rsidRPr="004477B0">
              <w:rPr>
                <w:sz w:val="20"/>
              </w:rPr>
              <w:t>Similar em abordagem</w:t>
            </w:r>
          </w:p>
        </w:tc>
        <w:tc>
          <w:tcPr>
            <w:tcW w:w="1276" w:type="dxa"/>
            <w:shd w:val="clear" w:color="auto" w:fill="auto"/>
            <w:vAlign w:val="center"/>
            <w:hideMark/>
          </w:tcPr>
          <w:p w:rsidR="003F4DC8" w:rsidRPr="008D4F0E" w:rsidRDefault="003F4DC8" w:rsidP="00947751">
            <w:pPr>
              <w:ind w:firstLine="0"/>
              <w:jc w:val="center"/>
              <w:rPr>
                <w:sz w:val="20"/>
              </w:rPr>
            </w:pPr>
            <w:r w:rsidRPr="008D4F0E">
              <w:rPr>
                <w:sz w:val="20"/>
              </w:rPr>
              <w:t>Oliveira, Platt Neto e Cruz (2011)</w:t>
            </w:r>
          </w:p>
        </w:tc>
        <w:tc>
          <w:tcPr>
            <w:tcW w:w="2976" w:type="dxa"/>
            <w:shd w:val="clear" w:color="auto" w:fill="auto"/>
            <w:vAlign w:val="center"/>
            <w:hideMark/>
          </w:tcPr>
          <w:p w:rsidR="003F4DC8" w:rsidRPr="008D4F0E" w:rsidRDefault="003F4DC8" w:rsidP="00947751">
            <w:pPr>
              <w:ind w:firstLine="0"/>
              <w:rPr>
                <w:sz w:val="20"/>
              </w:rPr>
            </w:pPr>
            <w:r w:rsidRPr="008D4F0E">
              <w:rPr>
                <w:sz w:val="20"/>
              </w:rPr>
              <w:t>“Resultados dos Pareceres do Tribunal de Contas em Relação ao Limite para Inscrição em Restos a Pagar (art. 42 da LRF) nos Últimos Anos de Mandato dos Prefeitos dos Municípios Catarinenses” / Evento</w:t>
            </w:r>
          </w:p>
        </w:tc>
        <w:tc>
          <w:tcPr>
            <w:tcW w:w="4291" w:type="dxa"/>
            <w:shd w:val="clear" w:color="auto" w:fill="auto"/>
            <w:vAlign w:val="center"/>
            <w:hideMark/>
          </w:tcPr>
          <w:p w:rsidR="003F4DC8" w:rsidRPr="004477B0" w:rsidRDefault="003F4DC8" w:rsidP="00947751">
            <w:pPr>
              <w:ind w:firstLine="0"/>
              <w:rPr>
                <w:sz w:val="20"/>
              </w:rPr>
            </w:pPr>
            <w:r w:rsidRPr="004477B0">
              <w:rPr>
                <w:sz w:val="20"/>
              </w:rPr>
              <w:t xml:space="preserve">O estudo tem como objetivo “apresentar os resultados da verificação do Tribunal de Contas do Estado de Santa Catarina (TCE/SC) em relação ao cumprimento do limite para inscrição em restos a pagar nos Municípios abrangidos”. </w:t>
            </w:r>
          </w:p>
        </w:tc>
      </w:tr>
      <w:tr w:rsidR="003F4DC8" w:rsidRPr="004477B0" w:rsidTr="00D51808">
        <w:trPr>
          <w:trHeight w:val="186"/>
        </w:trPr>
        <w:tc>
          <w:tcPr>
            <w:tcW w:w="856" w:type="dxa"/>
            <w:vMerge w:val="restart"/>
            <w:textDirection w:val="btLr"/>
            <w:vAlign w:val="center"/>
            <w:hideMark/>
          </w:tcPr>
          <w:p w:rsidR="003F4DC8" w:rsidRPr="004477B0" w:rsidRDefault="003F4DC8" w:rsidP="00947751">
            <w:pPr>
              <w:ind w:left="113" w:right="113" w:firstLine="0"/>
              <w:jc w:val="center"/>
              <w:rPr>
                <w:sz w:val="20"/>
              </w:rPr>
            </w:pPr>
            <w:r w:rsidRPr="004477B0">
              <w:rPr>
                <w:sz w:val="20"/>
              </w:rPr>
              <w:t>Com similaridade de tema central</w:t>
            </w:r>
          </w:p>
        </w:tc>
        <w:tc>
          <w:tcPr>
            <w:tcW w:w="1276" w:type="dxa"/>
            <w:shd w:val="clear" w:color="auto" w:fill="auto"/>
            <w:vAlign w:val="center"/>
            <w:hideMark/>
          </w:tcPr>
          <w:p w:rsidR="003F4DC8" w:rsidRPr="008D4F0E" w:rsidRDefault="003F4DC8" w:rsidP="00947751">
            <w:pPr>
              <w:ind w:firstLine="0"/>
              <w:jc w:val="center"/>
              <w:rPr>
                <w:sz w:val="20"/>
              </w:rPr>
            </w:pPr>
            <w:r w:rsidRPr="008D4F0E">
              <w:rPr>
                <w:sz w:val="20"/>
              </w:rPr>
              <w:t>Vasconcelos (2010)</w:t>
            </w:r>
          </w:p>
        </w:tc>
        <w:tc>
          <w:tcPr>
            <w:tcW w:w="2976" w:type="dxa"/>
            <w:shd w:val="clear" w:color="auto" w:fill="auto"/>
            <w:vAlign w:val="center"/>
            <w:hideMark/>
          </w:tcPr>
          <w:p w:rsidR="003F4DC8" w:rsidRPr="008D4F0E" w:rsidRDefault="003F4DC8" w:rsidP="00947751">
            <w:pPr>
              <w:ind w:firstLine="0"/>
              <w:rPr>
                <w:sz w:val="20"/>
              </w:rPr>
            </w:pPr>
            <w:r w:rsidRPr="008D4F0E">
              <w:rPr>
                <w:sz w:val="20"/>
              </w:rPr>
              <w:t>“Artigo 42 da Lei de Responsabilidade Fiscal: aspectos controversos” / TCC</w:t>
            </w:r>
          </w:p>
        </w:tc>
        <w:tc>
          <w:tcPr>
            <w:tcW w:w="4291" w:type="dxa"/>
            <w:shd w:val="clear" w:color="auto" w:fill="auto"/>
            <w:vAlign w:val="center"/>
            <w:hideMark/>
          </w:tcPr>
          <w:p w:rsidR="003F4DC8" w:rsidRPr="004477B0" w:rsidRDefault="003F4DC8" w:rsidP="00947751">
            <w:pPr>
              <w:ind w:firstLine="0"/>
              <w:rPr>
                <w:sz w:val="20"/>
              </w:rPr>
            </w:pPr>
            <w:r w:rsidRPr="004477B0">
              <w:rPr>
                <w:sz w:val="20"/>
              </w:rPr>
              <w:t>A pesquisa objetiva “avaliar o cumprimento do artigo 42 da LRF pelos titulares do Poder Executivo, das esferas estadual e municipal, nos exercícios de 2006 e 2008, face aos aspectos controversos na doutrina e na jurisprudência dos tribunais de contas.</w:t>
            </w:r>
          </w:p>
        </w:tc>
      </w:tr>
      <w:tr w:rsidR="003F4DC8" w:rsidRPr="004477B0" w:rsidTr="00D51808">
        <w:trPr>
          <w:trHeight w:val="791"/>
        </w:trPr>
        <w:tc>
          <w:tcPr>
            <w:tcW w:w="856" w:type="dxa"/>
            <w:vMerge/>
            <w:vAlign w:val="center"/>
            <w:hideMark/>
          </w:tcPr>
          <w:p w:rsidR="003F4DC8" w:rsidRPr="004477B0" w:rsidRDefault="003F4DC8" w:rsidP="00947751">
            <w:pPr>
              <w:jc w:val="center"/>
              <w:rPr>
                <w:sz w:val="20"/>
              </w:rPr>
            </w:pPr>
          </w:p>
        </w:tc>
        <w:tc>
          <w:tcPr>
            <w:tcW w:w="1276" w:type="dxa"/>
            <w:shd w:val="clear" w:color="auto" w:fill="auto"/>
            <w:vAlign w:val="center"/>
            <w:hideMark/>
          </w:tcPr>
          <w:p w:rsidR="003F4DC8" w:rsidRPr="008D4F0E" w:rsidRDefault="003F4DC8" w:rsidP="00947751">
            <w:pPr>
              <w:ind w:firstLine="0"/>
              <w:jc w:val="center"/>
              <w:rPr>
                <w:sz w:val="20"/>
              </w:rPr>
            </w:pPr>
            <w:r w:rsidRPr="008D4F0E">
              <w:rPr>
                <w:sz w:val="20"/>
              </w:rPr>
              <w:t>Arroyo (2015)</w:t>
            </w:r>
          </w:p>
        </w:tc>
        <w:tc>
          <w:tcPr>
            <w:tcW w:w="2976" w:type="dxa"/>
            <w:shd w:val="clear" w:color="auto" w:fill="auto"/>
            <w:vAlign w:val="center"/>
            <w:hideMark/>
          </w:tcPr>
          <w:p w:rsidR="003F4DC8" w:rsidRPr="008D4F0E" w:rsidRDefault="003F4DC8" w:rsidP="00947751">
            <w:pPr>
              <w:ind w:firstLine="0"/>
              <w:rPr>
                <w:sz w:val="20"/>
              </w:rPr>
            </w:pPr>
            <w:r w:rsidRPr="008D4F0E">
              <w:rPr>
                <w:sz w:val="20"/>
              </w:rPr>
              <w:t>“O artigo 42 da Lei de Responsabilidade Fiscal e a reprovação de contas em municípios catarinenses” / TCC</w:t>
            </w:r>
          </w:p>
        </w:tc>
        <w:tc>
          <w:tcPr>
            <w:tcW w:w="4291" w:type="dxa"/>
            <w:shd w:val="clear" w:color="auto" w:fill="auto"/>
            <w:vAlign w:val="center"/>
            <w:hideMark/>
          </w:tcPr>
          <w:p w:rsidR="003F4DC8" w:rsidRPr="004477B0" w:rsidRDefault="003F4DC8" w:rsidP="00947751">
            <w:pPr>
              <w:ind w:firstLine="0"/>
              <w:rPr>
                <w:sz w:val="20"/>
              </w:rPr>
            </w:pPr>
            <w:r w:rsidRPr="004477B0">
              <w:rPr>
                <w:sz w:val="20"/>
              </w:rPr>
              <w:t xml:space="preserve">O estudo tem como objetivo “avaliar o grau de importância que o Art. 42 da Lei de Responsabilidade Fiscal enseja na análise e parecer final dos relatórios emitidos pelos auditores fiscais de Santa Catarina e o quanto o seu descumprimento influi na reprovação ou não das Contas destes municípios”. </w:t>
            </w:r>
          </w:p>
        </w:tc>
      </w:tr>
      <w:tr w:rsidR="003F4DC8" w:rsidRPr="004477B0" w:rsidTr="00D51808">
        <w:trPr>
          <w:trHeight w:val="653"/>
        </w:trPr>
        <w:tc>
          <w:tcPr>
            <w:tcW w:w="856" w:type="dxa"/>
            <w:shd w:val="clear" w:color="auto" w:fill="auto"/>
            <w:textDirection w:val="btLr"/>
            <w:vAlign w:val="center"/>
            <w:hideMark/>
          </w:tcPr>
          <w:p w:rsidR="003F4DC8" w:rsidRPr="004477B0" w:rsidRDefault="003F4DC8" w:rsidP="00947751">
            <w:pPr>
              <w:ind w:firstLine="0"/>
              <w:jc w:val="center"/>
              <w:rPr>
                <w:sz w:val="20"/>
              </w:rPr>
            </w:pPr>
            <w:r w:rsidRPr="004477B0">
              <w:rPr>
                <w:sz w:val="20"/>
              </w:rPr>
              <w:t>Relacionada relevante</w:t>
            </w:r>
          </w:p>
        </w:tc>
        <w:tc>
          <w:tcPr>
            <w:tcW w:w="1276" w:type="dxa"/>
            <w:shd w:val="clear" w:color="auto" w:fill="auto"/>
            <w:vAlign w:val="center"/>
            <w:hideMark/>
          </w:tcPr>
          <w:p w:rsidR="003F4DC8" w:rsidRPr="008D4F0E" w:rsidRDefault="003F4DC8" w:rsidP="00947751">
            <w:pPr>
              <w:ind w:firstLine="0"/>
              <w:jc w:val="center"/>
              <w:rPr>
                <w:sz w:val="20"/>
              </w:rPr>
            </w:pPr>
            <w:r w:rsidRPr="008D4F0E">
              <w:rPr>
                <w:sz w:val="20"/>
              </w:rPr>
              <w:t>Rocha (2013)</w:t>
            </w:r>
          </w:p>
        </w:tc>
        <w:tc>
          <w:tcPr>
            <w:tcW w:w="2976" w:type="dxa"/>
            <w:shd w:val="clear" w:color="auto" w:fill="auto"/>
            <w:vAlign w:val="center"/>
            <w:hideMark/>
          </w:tcPr>
          <w:p w:rsidR="003F4DC8" w:rsidRPr="008D4F0E" w:rsidRDefault="003F4DC8" w:rsidP="00947751">
            <w:pPr>
              <w:ind w:firstLine="0"/>
              <w:rPr>
                <w:sz w:val="20"/>
              </w:rPr>
            </w:pPr>
            <w:r w:rsidRPr="008D4F0E">
              <w:rPr>
                <w:sz w:val="20"/>
              </w:rPr>
              <w:t>“A realização da accountability em pareceres prévios do Tribunal de Contas de Santa Catarina” / Periódico</w:t>
            </w:r>
          </w:p>
        </w:tc>
        <w:tc>
          <w:tcPr>
            <w:tcW w:w="4291" w:type="dxa"/>
            <w:shd w:val="clear" w:color="auto" w:fill="auto"/>
            <w:vAlign w:val="center"/>
            <w:hideMark/>
          </w:tcPr>
          <w:p w:rsidR="003F4DC8" w:rsidRPr="004477B0" w:rsidRDefault="003F4DC8" w:rsidP="00947751">
            <w:pPr>
              <w:ind w:firstLine="0"/>
              <w:rPr>
                <w:sz w:val="20"/>
              </w:rPr>
            </w:pPr>
            <w:r w:rsidRPr="004477B0">
              <w:rPr>
                <w:sz w:val="20"/>
              </w:rPr>
              <w:t xml:space="preserve">A pesquisa objetiva “analisar a realização do potencial de </w:t>
            </w:r>
            <w:r w:rsidRPr="004477B0">
              <w:rPr>
                <w:i/>
                <w:iCs/>
                <w:sz w:val="20"/>
              </w:rPr>
              <w:t xml:space="preserve">accountability </w:t>
            </w:r>
            <w:r w:rsidRPr="004477B0">
              <w:rPr>
                <w:sz w:val="20"/>
              </w:rPr>
              <w:t>dos pareceres prévios (PP) produzidos pelo Tribunal de Contas do Estado de Santa Catarina (TCE/SC), relativos às contas anuais dos chefes de governos municipais”.</w:t>
            </w:r>
          </w:p>
        </w:tc>
      </w:tr>
      <w:tr w:rsidR="00D115B9" w:rsidRPr="00D115B9" w:rsidTr="00947751">
        <w:trPr>
          <w:trHeight w:val="154"/>
        </w:trPr>
        <w:tc>
          <w:tcPr>
            <w:tcW w:w="9399" w:type="dxa"/>
            <w:gridSpan w:val="4"/>
            <w:shd w:val="clear" w:color="auto" w:fill="auto"/>
            <w:vAlign w:val="bottom"/>
            <w:hideMark/>
          </w:tcPr>
          <w:p w:rsidR="003F4DC8" w:rsidRPr="00D115B9" w:rsidRDefault="003F4DC8" w:rsidP="00B4727E">
            <w:pPr>
              <w:pStyle w:val="PargrafodaLista"/>
              <w:spacing w:after="0" w:line="240" w:lineRule="auto"/>
              <w:ind w:left="0"/>
              <w:jc w:val="both"/>
              <w:rPr>
                <w:rFonts w:ascii="Times New Roman" w:hAnsi="Times New Roman"/>
                <w:sz w:val="20"/>
                <w:szCs w:val="20"/>
              </w:rPr>
            </w:pPr>
            <w:r w:rsidRPr="00D115B9">
              <w:rPr>
                <w:rFonts w:ascii="Times New Roman" w:hAnsi="Times New Roman"/>
                <w:sz w:val="20"/>
                <w:szCs w:val="20"/>
              </w:rPr>
              <w:t>Notas: [1] Autores dispostos em ordem cronológica das publicações citadas. [2] Os tipos de publicações, sint</w:t>
            </w:r>
            <w:r w:rsidR="004867C5" w:rsidRPr="00D115B9">
              <w:rPr>
                <w:rFonts w:ascii="Times New Roman" w:hAnsi="Times New Roman"/>
                <w:sz w:val="20"/>
                <w:szCs w:val="20"/>
              </w:rPr>
              <w:t>eticamente, são: TCC, Periódico</w:t>
            </w:r>
            <w:r w:rsidR="00B4727E" w:rsidRPr="00D115B9">
              <w:rPr>
                <w:rFonts w:ascii="Times New Roman" w:hAnsi="Times New Roman"/>
                <w:sz w:val="20"/>
                <w:szCs w:val="20"/>
              </w:rPr>
              <w:t xml:space="preserve"> </w:t>
            </w:r>
            <w:r w:rsidRPr="00D115B9">
              <w:rPr>
                <w:rFonts w:ascii="Times New Roman" w:hAnsi="Times New Roman"/>
                <w:sz w:val="20"/>
                <w:szCs w:val="20"/>
              </w:rPr>
              <w:t>e Evento. Detalhadamente, são: TCC – Monografias e artigos apresentados como Trabalhos de Conclusão de Curso de graduação ou de especialização (</w:t>
            </w:r>
            <w:r w:rsidRPr="00D115B9">
              <w:rPr>
                <w:rFonts w:ascii="Times New Roman" w:hAnsi="Times New Roman"/>
                <w:i/>
                <w:sz w:val="20"/>
                <w:szCs w:val="20"/>
              </w:rPr>
              <w:t>latu sensu</w:t>
            </w:r>
            <w:r w:rsidRPr="00D115B9">
              <w:rPr>
                <w:rFonts w:ascii="Times New Roman" w:hAnsi="Times New Roman"/>
                <w:sz w:val="20"/>
                <w:szCs w:val="20"/>
              </w:rPr>
              <w:t>)</w:t>
            </w:r>
            <w:r w:rsidR="004867C5" w:rsidRPr="00D115B9">
              <w:rPr>
                <w:rFonts w:ascii="Times New Roman" w:hAnsi="Times New Roman"/>
                <w:sz w:val="20"/>
                <w:szCs w:val="20"/>
              </w:rPr>
              <w:t xml:space="preserve">; </w:t>
            </w:r>
            <w:r w:rsidRPr="00D115B9">
              <w:rPr>
                <w:rFonts w:ascii="Times New Roman" w:hAnsi="Times New Roman"/>
                <w:sz w:val="20"/>
                <w:szCs w:val="20"/>
              </w:rPr>
              <w:t>Periódico – Artigos técnico-científicos publicados em periódicos (revistas, boletins</w:t>
            </w:r>
            <w:r w:rsidR="008D3C78" w:rsidRPr="00D115B9">
              <w:rPr>
                <w:rFonts w:ascii="Times New Roman" w:hAnsi="Times New Roman"/>
                <w:sz w:val="20"/>
                <w:szCs w:val="20"/>
              </w:rPr>
              <w:t xml:space="preserve"> etc.</w:t>
            </w:r>
            <w:r w:rsidRPr="00D115B9">
              <w:rPr>
                <w:rFonts w:ascii="Times New Roman" w:hAnsi="Times New Roman"/>
                <w:sz w:val="20"/>
                <w:szCs w:val="20"/>
              </w:rPr>
              <w:t>)</w:t>
            </w:r>
            <w:r w:rsidR="005741DF">
              <w:rPr>
                <w:rFonts w:ascii="Times New Roman" w:hAnsi="Times New Roman"/>
                <w:sz w:val="20"/>
                <w:szCs w:val="20"/>
              </w:rPr>
              <w:t>;</w:t>
            </w:r>
            <w:r w:rsidR="008D3C78" w:rsidRPr="00D115B9">
              <w:rPr>
                <w:rFonts w:ascii="Times New Roman" w:hAnsi="Times New Roman"/>
                <w:sz w:val="20"/>
                <w:szCs w:val="20"/>
              </w:rPr>
              <w:t xml:space="preserve"> e </w:t>
            </w:r>
            <w:r w:rsidRPr="00D115B9">
              <w:rPr>
                <w:rFonts w:ascii="Times New Roman" w:hAnsi="Times New Roman"/>
                <w:sz w:val="20"/>
                <w:szCs w:val="20"/>
              </w:rPr>
              <w:t>Evento – Artigos técnico-científicos publicados em anais de eventos (congressos, encontros</w:t>
            </w:r>
            <w:r w:rsidR="005D758B" w:rsidRPr="00D115B9">
              <w:rPr>
                <w:rFonts w:ascii="Times New Roman" w:hAnsi="Times New Roman"/>
                <w:sz w:val="20"/>
                <w:szCs w:val="20"/>
              </w:rPr>
              <w:t xml:space="preserve"> </w:t>
            </w:r>
            <w:r w:rsidRPr="00D115B9">
              <w:rPr>
                <w:rFonts w:ascii="Times New Roman" w:hAnsi="Times New Roman"/>
                <w:sz w:val="20"/>
                <w:szCs w:val="20"/>
              </w:rPr>
              <w:t>etc.).</w:t>
            </w:r>
          </w:p>
        </w:tc>
      </w:tr>
    </w:tbl>
    <w:p w:rsidR="00A403AB" w:rsidRPr="00D115B9" w:rsidRDefault="003F4DC8" w:rsidP="004D0BA2">
      <w:pPr>
        <w:ind w:firstLine="0"/>
        <w:jc w:val="center"/>
        <w:rPr>
          <w:sz w:val="20"/>
        </w:rPr>
      </w:pPr>
      <w:r w:rsidRPr="00D115B9">
        <w:rPr>
          <w:sz w:val="20"/>
        </w:rPr>
        <w:t>Fonte: Elaborado pelos autores com base nas fontes citadas.</w:t>
      </w:r>
    </w:p>
    <w:p w:rsidR="005440FC" w:rsidRDefault="005440FC" w:rsidP="004D0BA2">
      <w:pPr>
        <w:ind w:firstLine="0"/>
        <w:jc w:val="center"/>
        <w:rPr>
          <w:rFonts w:ascii="Arial" w:hAnsi="Arial" w:cs="Arial"/>
          <w:bCs/>
          <w:sz w:val="22"/>
          <w:szCs w:val="22"/>
        </w:rPr>
      </w:pPr>
    </w:p>
    <w:p w:rsidR="003F4DC8" w:rsidRPr="00732C76" w:rsidRDefault="003F4DC8" w:rsidP="00C96A3E">
      <w:pPr>
        <w:autoSpaceDE w:val="0"/>
        <w:autoSpaceDN w:val="0"/>
        <w:adjustRightInd w:val="0"/>
        <w:rPr>
          <w:rFonts w:ascii="Arial" w:hAnsi="Arial" w:cs="Arial"/>
          <w:sz w:val="22"/>
          <w:szCs w:val="22"/>
        </w:rPr>
      </w:pPr>
      <w:r w:rsidRPr="00732C76">
        <w:rPr>
          <w:rFonts w:ascii="Arial" w:hAnsi="Arial" w:cs="Arial"/>
          <w:bCs/>
          <w:sz w:val="22"/>
          <w:szCs w:val="22"/>
        </w:rPr>
        <w:t xml:space="preserve">Das pesquisas </w:t>
      </w:r>
      <w:r w:rsidRPr="00284CCB">
        <w:rPr>
          <w:rFonts w:ascii="Arial" w:hAnsi="Arial" w:cs="Arial"/>
          <w:bCs/>
          <w:sz w:val="22"/>
          <w:szCs w:val="22"/>
        </w:rPr>
        <w:t xml:space="preserve">elencadas no Quadro </w:t>
      </w:r>
      <w:r w:rsidR="002147A1" w:rsidRPr="00284CCB">
        <w:rPr>
          <w:rFonts w:ascii="Arial" w:hAnsi="Arial" w:cs="Arial"/>
          <w:bCs/>
          <w:sz w:val="22"/>
          <w:szCs w:val="22"/>
        </w:rPr>
        <w:t>1</w:t>
      </w:r>
      <w:r w:rsidRPr="00284CCB">
        <w:rPr>
          <w:rFonts w:ascii="Arial" w:hAnsi="Arial" w:cs="Arial"/>
          <w:bCs/>
          <w:sz w:val="22"/>
          <w:szCs w:val="22"/>
        </w:rPr>
        <w:t>, apenas</w:t>
      </w:r>
      <w:r w:rsidRPr="00732C76">
        <w:rPr>
          <w:rFonts w:ascii="Arial" w:hAnsi="Arial" w:cs="Arial"/>
          <w:bCs/>
          <w:sz w:val="22"/>
          <w:szCs w:val="22"/>
        </w:rPr>
        <w:t xml:space="preserve"> a pesquisa de </w:t>
      </w:r>
      <w:r w:rsidRPr="00732C76">
        <w:rPr>
          <w:rFonts w:ascii="Arial" w:hAnsi="Arial" w:cs="Arial"/>
          <w:sz w:val="22"/>
          <w:szCs w:val="22"/>
        </w:rPr>
        <w:t>Oliveira, Platt Neto e Cruz (2011)</w:t>
      </w:r>
      <w:r w:rsidRPr="00732C76">
        <w:rPr>
          <w:rFonts w:ascii="Arial" w:hAnsi="Arial" w:cs="Arial"/>
          <w:bCs/>
          <w:sz w:val="22"/>
          <w:szCs w:val="22"/>
        </w:rPr>
        <w:t xml:space="preserve"> foi considerada similar em abordagem à presente</w:t>
      </w:r>
      <w:r w:rsidRPr="00732C76">
        <w:rPr>
          <w:rFonts w:ascii="Arial" w:hAnsi="Arial" w:cs="Arial"/>
          <w:sz w:val="22"/>
          <w:szCs w:val="22"/>
        </w:rPr>
        <w:t>. Além de apresentar a mesma questão-problema e objetivos semelhantes, tal pesquisa serviu de base para este estudo,</w:t>
      </w:r>
      <w:r w:rsidR="000A22AD" w:rsidRPr="00732C76">
        <w:rPr>
          <w:rFonts w:ascii="Arial" w:hAnsi="Arial" w:cs="Arial"/>
          <w:sz w:val="22"/>
          <w:szCs w:val="22"/>
        </w:rPr>
        <w:t xml:space="preserve"> conforme mencionado no </w:t>
      </w:r>
      <w:r w:rsidR="003E3D9D" w:rsidRPr="00732C76">
        <w:rPr>
          <w:rFonts w:ascii="Arial" w:hAnsi="Arial" w:cs="Arial"/>
          <w:sz w:val="22"/>
          <w:szCs w:val="22"/>
        </w:rPr>
        <w:t>c</w:t>
      </w:r>
      <w:r w:rsidR="000A22AD" w:rsidRPr="00732C76">
        <w:rPr>
          <w:rFonts w:ascii="Arial" w:hAnsi="Arial" w:cs="Arial"/>
          <w:sz w:val="22"/>
          <w:szCs w:val="22"/>
        </w:rPr>
        <w:t>apítulo 2.</w:t>
      </w:r>
    </w:p>
    <w:p w:rsidR="003F4DC8" w:rsidRPr="00732C76" w:rsidRDefault="003F4DC8" w:rsidP="00C96A3E">
      <w:pPr>
        <w:autoSpaceDE w:val="0"/>
        <w:autoSpaceDN w:val="0"/>
        <w:adjustRightInd w:val="0"/>
        <w:rPr>
          <w:rFonts w:ascii="Arial" w:hAnsi="Arial" w:cs="Arial"/>
          <w:sz w:val="22"/>
          <w:szCs w:val="22"/>
        </w:rPr>
      </w:pPr>
      <w:r w:rsidRPr="00732C76">
        <w:rPr>
          <w:rFonts w:ascii="Arial" w:hAnsi="Arial" w:cs="Arial"/>
          <w:sz w:val="22"/>
          <w:szCs w:val="22"/>
        </w:rPr>
        <w:t>Os resultados apresentados na pesquisa de Oliveira, Platt Neto e Cruz (2011) mostraram que</w:t>
      </w:r>
      <w:r w:rsidR="00377DAF" w:rsidRPr="00732C76">
        <w:rPr>
          <w:rFonts w:ascii="Arial" w:hAnsi="Arial" w:cs="Arial"/>
          <w:sz w:val="22"/>
          <w:szCs w:val="22"/>
        </w:rPr>
        <w:t>,</w:t>
      </w:r>
      <w:r w:rsidRPr="00732C76">
        <w:rPr>
          <w:rFonts w:ascii="Arial" w:hAnsi="Arial" w:cs="Arial"/>
          <w:sz w:val="22"/>
          <w:szCs w:val="22"/>
        </w:rPr>
        <w:t xml:space="preserve"> da totalidade dos pareceres prévios emitidos pelo TCE/SC nos anos de 2000 e 2004, 67,2% e 23,2% tiveram, respectivamente, dentre os motivos ensejadores à rejeição das contas, o descumprimento do art. 42 da LRF. Após os pedidos de reapreciações, es</w:t>
      </w:r>
      <w:r w:rsidR="001A3C7B" w:rsidRPr="00732C76">
        <w:rPr>
          <w:rFonts w:ascii="Arial" w:hAnsi="Arial" w:cs="Arial"/>
          <w:sz w:val="22"/>
          <w:szCs w:val="22"/>
        </w:rPr>
        <w:t>s</w:t>
      </w:r>
      <w:r w:rsidRPr="00732C76">
        <w:rPr>
          <w:rFonts w:ascii="Arial" w:hAnsi="Arial" w:cs="Arial"/>
          <w:sz w:val="22"/>
          <w:szCs w:val="22"/>
        </w:rPr>
        <w:t xml:space="preserve">es percentuais diminuíram para 21,2% em 2000 e 18,8% em 2004. Tais autores concluíram que a cada </w:t>
      </w:r>
      <w:r w:rsidR="001A3C7B" w:rsidRPr="00732C76">
        <w:rPr>
          <w:rFonts w:ascii="Arial" w:hAnsi="Arial" w:cs="Arial"/>
          <w:sz w:val="22"/>
          <w:szCs w:val="22"/>
        </w:rPr>
        <w:t>dez</w:t>
      </w:r>
      <w:r w:rsidRPr="00732C76">
        <w:rPr>
          <w:rFonts w:ascii="Arial" w:hAnsi="Arial" w:cs="Arial"/>
          <w:sz w:val="22"/>
          <w:szCs w:val="22"/>
        </w:rPr>
        <w:t xml:space="preserve"> pareceres rejeitados pelo TCE/SC, </w:t>
      </w:r>
      <w:r w:rsidR="001A3C7B" w:rsidRPr="00732C76">
        <w:rPr>
          <w:rFonts w:ascii="Arial" w:hAnsi="Arial" w:cs="Arial"/>
          <w:sz w:val="22"/>
          <w:szCs w:val="22"/>
        </w:rPr>
        <w:t>nove</w:t>
      </w:r>
      <w:r w:rsidRPr="00732C76">
        <w:rPr>
          <w:rFonts w:ascii="Arial" w:hAnsi="Arial" w:cs="Arial"/>
          <w:sz w:val="22"/>
          <w:szCs w:val="22"/>
        </w:rPr>
        <w:t xml:space="preserve"> apresentaram como um dos motivos pela reprovação o descumprimento ao limite para inscrição em restos a pagar. </w:t>
      </w:r>
    </w:p>
    <w:p w:rsidR="003F4DC8" w:rsidRPr="00732C76" w:rsidRDefault="003F4DC8" w:rsidP="00C96A3E">
      <w:pPr>
        <w:autoSpaceDE w:val="0"/>
        <w:autoSpaceDN w:val="0"/>
        <w:adjustRightInd w:val="0"/>
        <w:rPr>
          <w:rFonts w:ascii="Arial" w:hAnsi="Arial" w:cs="Arial"/>
          <w:sz w:val="22"/>
          <w:szCs w:val="22"/>
        </w:rPr>
      </w:pPr>
      <w:r w:rsidRPr="00732C76">
        <w:rPr>
          <w:rFonts w:ascii="Arial" w:hAnsi="Arial" w:cs="Arial"/>
          <w:sz w:val="22"/>
          <w:szCs w:val="22"/>
        </w:rPr>
        <w:t xml:space="preserve">Quanto à similaridade com o tema central, foram identificadas as pesquisas de Vasconcelos (2010) e Arroyo (2015). Vasconcelos (2010), a partir de informações extraídas do Sistema de Coleta de Dados de Estados e Municípios (SISTN), da STN, realizou um levantamento sobre a situação financeira de cada estado e capital brasileira nos anos de 2006 e 2008. Além disso, utilizou-se de informações constantes nos relatórios das contas anuais, emitidos pelos tribunais de contas competentes, com o intuito de observar o entendimento de cada tribunal quanto ao tema. Os resultados mostraram que, apesar de </w:t>
      </w:r>
      <w:r w:rsidR="00D73005" w:rsidRPr="00732C76">
        <w:rPr>
          <w:rFonts w:ascii="Arial" w:hAnsi="Arial" w:cs="Arial"/>
          <w:sz w:val="22"/>
          <w:szCs w:val="22"/>
        </w:rPr>
        <w:t xml:space="preserve">treze </w:t>
      </w:r>
      <w:r w:rsidRPr="00732C76">
        <w:rPr>
          <w:rFonts w:ascii="Arial" w:hAnsi="Arial" w:cs="Arial"/>
          <w:sz w:val="22"/>
          <w:szCs w:val="22"/>
        </w:rPr>
        <w:t>estados apresentarem insuficiência financeira, seus titulares de Poder não foram responsabilizados pelo descumprimento do limite para inscrição em restos a pagar.</w:t>
      </w:r>
    </w:p>
    <w:p w:rsidR="003F4DC8" w:rsidRPr="00732C76" w:rsidRDefault="003F4DC8" w:rsidP="00C96A3E">
      <w:pPr>
        <w:autoSpaceDE w:val="0"/>
        <w:autoSpaceDN w:val="0"/>
        <w:adjustRightInd w:val="0"/>
        <w:rPr>
          <w:rFonts w:ascii="Arial" w:hAnsi="Arial" w:cs="Arial"/>
          <w:sz w:val="22"/>
          <w:szCs w:val="22"/>
        </w:rPr>
      </w:pPr>
      <w:r w:rsidRPr="00732C76">
        <w:rPr>
          <w:rFonts w:ascii="Arial" w:hAnsi="Arial" w:cs="Arial"/>
          <w:sz w:val="22"/>
          <w:szCs w:val="22"/>
        </w:rPr>
        <w:t xml:space="preserve">Arroyo (2015) analisou os relatórios emitidos pelo TCE/SC referentes às prestações de contas anuais de </w:t>
      </w:r>
      <w:r w:rsidR="002228C4" w:rsidRPr="00732C76">
        <w:rPr>
          <w:rFonts w:ascii="Arial" w:hAnsi="Arial" w:cs="Arial"/>
          <w:sz w:val="22"/>
          <w:szCs w:val="22"/>
        </w:rPr>
        <w:t>treze</w:t>
      </w:r>
      <w:r w:rsidRPr="00732C76">
        <w:rPr>
          <w:rFonts w:ascii="Arial" w:hAnsi="Arial" w:cs="Arial"/>
          <w:sz w:val="22"/>
          <w:szCs w:val="22"/>
        </w:rPr>
        <w:t xml:space="preserve"> municípios nos exercícios financeiros de 2008, 2010 e 2012. Os resultados demonstraram que os municípios de Timbó Grande (2012), Brusque (2008) e Joinville (2012) não cumpriram o limite para inscrição em restos a pagar. </w:t>
      </w:r>
    </w:p>
    <w:p w:rsidR="003F4DC8" w:rsidRPr="00732C76" w:rsidRDefault="003F4DC8" w:rsidP="00C96A3E">
      <w:pPr>
        <w:rPr>
          <w:rFonts w:ascii="Arial" w:hAnsi="Arial" w:cs="Arial"/>
          <w:iCs/>
          <w:sz w:val="22"/>
          <w:szCs w:val="22"/>
        </w:rPr>
      </w:pPr>
      <w:r w:rsidRPr="00732C76">
        <w:rPr>
          <w:rFonts w:ascii="Arial" w:hAnsi="Arial" w:cs="Arial"/>
          <w:sz w:val="22"/>
          <w:szCs w:val="22"/>
        </w:rPr>
        <w:t>Observa-se</w:t>
      </w:r>
      <w:r w:rsidR="002F71D0" w:rsidRPr="00732C76">
        <w:rPr>
          <w:rFonts w:ascii="Arial" w:hAnsi="Arial" w:cs="Arial"/>
          <w:sz w:val="22"/>
          <w:szCs w:val="22"/>
        </w:rPr>
        <w:t>,</w:t>
      </w:r>
      <w:r w:rsidRPr="00732C76">
        <w:rPr>
          <w:rFonts w:ascii="Arial" w:hAnsi="Arial" w:cs="Arial"/>
          <w:sz w:val="22"/>
          <w:szCs w:val="22"/>
        </w:rPr>
        <w:t xml:space="preserve"> também</w:t>
      </w:r>
      <w:r w:rsidR="002F71D0" w:rsidRPr="00732C76">
        <w:rPr>
          <w:rFonts w:ascii="Arial" w:hAnsi="Arial" w:cs="Arial"/>
          <w:sz w:val="22"/>
          <w:szCs w:val="22"/>
        </w:rPr>
        <w:t>,</w:t>
      </w:r>
      <w:r w:rsidRPr="00732C76">
        <w:rPr>
          <w:rFonts w:ascii="Arial" w:hAnsi="Arial" w:cs="Arial"/>
          <w:sz w:val="22"/>
          <w:szCs w:val="22"/>
        </w:rPr>
        <w:t xml:space="preserve"> no Q</w:t>
      </w:r>
      <w:r w:rsidRPr="00732C76">
        <w:rPr>
          <w:rFonts w:ascii="Arial" w:hAnsi="Arial" w:cs="Arial"/>
          <w:bCs/>
          <w:sz w:val="22"/>
          <w:szCs w:val="22"/>
        </w:rPr>
        <w:t xml:space="preserve">uadro </w:t>
      </w:r>
      <w:r w:rsidR="002147A1">
        <w:rPr>
          <w:rFonts w:ascii="Arial" w:hAnsi="Arial" w:cs="Arial"/>
          <w:bCs/>
          <w:sz w:val="22"/>
          <w:szCs w:val="22"/>
        </w:rPr>
        <w:t>1</w:t>
      </w:r>
      <w:r w:rsidR="002F71D0" w:rsidRPr="00732C76">
        <w:rPr>
          <w:rFonts w:ascii="Arial" w:hAnsi="Arial" w:cs="Arial"/>
          <w:bCs/>
          <w:sz w:val="22"/>
          <w:szCs w:val="22"/>
        </w:rPr>
        <w:t>,</w:t>
      </w:r>
      <w:r w:rsidRPr="00732C76">
        <w:rPr>
          <w:rFonts w:ascii="Arial" w:hAnsi="Arial" w:cs="Arial"/>
          <w:bCs/>
          <w:sz w:val="22"/>
          <w:szCs w:val="22"/>
        </w:rPr>
        <w:t xml:space="preserve"> </w:t>
      </w:r>
      <w:r w:rsidRPr="00732C76">
        <w:rPr>
          <w:rFonts w:ascii="Arial" w:hAnsi="Arial" w:cs="Arial"/>
          <w:sz w:val="22"/>
          <w:szCs w:val="22"/>
        </w:rPr>
        <w:t>a existência de uma pesquisa considerada relacionada e relevante. Trata-se da pesquisa de Rocha (2013)</w:t>
      </w:r>
      <w:r w:rsidR="008C2E7F" w:rsidRPr="00732C76">
        <w:rPr>
          <w:rFonts w:ascii="Arial" w:hAnsi="Arial" w:cs="Arial"/>
          <w:sz w:val="22"/>
          <w:szCs w:val="22"/>
        </w:rPr>
        <w:t xml:space="preserve"> </w:t>
      </w:r>
      <w:r w:rsidRPr="00732C76">
        <w:rPr>
          <w:rFonts w:ascii="Arial" w:hAnsi="Arial" w:cs="Arial"/>
          <w:sz w:val="22"/>
          <w:szCs w:val="22"/>
        </w:rPr>
        <w:t>que</w:t>
      </w:r>
      <w:r w:rsidR="008C2E7F" w:rsidRPr="00732C76">
        <w:rPr>
          <w:rFonts w:ascii="Arial" w:hAnsi="Arial" w:cs="Arial"/>
          <w:sz w:val="22"/>
          <w:szCs w:val="22"/>
        </w:rPr>
        <w:t>,</w:t>
      </w:r>
      <w:r w:rsidRPr="00732C76">
        <w:rPr>
          <w:rFonts w:ascii="Arial" w:hAnsi="Arial" w:cs="Arial"/>
          <w:sz w:val="22"/>
          <w:szCs w:val="22"/>
        </w:rPr>
        <w:t xml:space="preserve"> </w:t>
      </w:r>
      <w:r w:rsidRPr="00732C76">
        <w:rPr>
          <w:rFonts w:ascii="Arial" w:hAnsi="Arial" w:cs="Arial"/>
          <w:bCs/>
          <w:sz w:val="22"/>
          <w:szCs w:val="22"/>
        </w:rPr>
        <w:t>a partir de u</w:t>
      </w:r>
      <w:r w:rsidRPr="00732C76">
        <w:rPr>
          <w:rFonts w:ascii="Arial" w:hAnsi="Arial" w:cs="Arial"/>
          <w:sz w:val="22"/>
          <w:szCs w:val="22"/>
        </w:rPr>
        <w:t xml:space="preserve">m modelo de análise tecido com base na concepção de diversos autores, observou o potencial de </w:t>
      </w:r>
      <w:r w:rsidRPr="00732C76">
        <w:rPr>
          <w:rFonts w:ascii="Arial" w:hAnsi="Arial" w:cs="Arial"/>
          <w:i/>
          <w:iCs/>
          <w:sz w:val="22"/>
          <w:szCs w:val="22"/>
        </w:rPr>
        <w:t xml:space="preserve">accountability </w:t>
      </w:r>
      <w:r w:rsidRPr="00732C76">
        <w:rPr>
          <w:rFonts w:ascii="Arial" w:hAnsi="Arial" w:cs="Arial"/>
          <w:iCs/>
          <w:sz w:val="22"/>
          <w:szCs w:val="22"/>
        </w:rPr>
        <w:t xml:space="preserve">dos pareceres prévios emitidos pelo TCE/SC, nos anos de 2008 e 2009, sobre as </w:t>
      </w:r>
      <w:r w:rsidRPr="00732C76">
        <w:rPr>
          <w:rFonts w:ascii="Arial" w:hAnsi="Arial" w:cs="Arial"/>
          <w:bCs/>
          <w:sz w:val="22"/>
          <w:szCs w:val="22"/>
        </w:rPr>
        <w:t>prestações de contas anuais de 6 prefeituras catarinenses. Cabe ressaltar que o termo parecer prévio foi utilizado de forma genérica pelo autor para definir o “</w:t>
      </w:r>
      <w:r w:rsidRPr="00732C76">
        <w:rPr>
          <w:rFonts w:ascii="Arial" w:hAnsi="Arial" w:cs="Arial"/>
          <w:sz w:val="22"/>
          <w:szCs w:val="22"/>
        </w:rPr>
        <w:t xml:space="preserve">conjunto de documentos composto pelo ‘Relatório para Emissão de Parecer Prévio (Repp)’ e pela decisão proferida pelo plenário do tribunal” (ROCHA, 2013, p. 910). </w:t>
      </w:r>
      <w:r w:rsidRPr="00732C76">
        <w:rPr>
          <w:rFonts w:ascii="Arial" w:hAnsi="Arial" w:cs="Arial"/>
          <w:bCs/>
          <w:sz w:val="22"/>
          <w:szCs w:val="22"/>
        </w:rPr>
        <w:t xml:space="preserve">O estudo revelou o baixo potencial de </w:t>
      </w:r>
      <w:r w:rsidRPr="00732C76">
        <w:rPr>
          <w:rFonts w:ascii="Arial" w:hAnsi="Arial" w:cs="Arial"/>
          <w:i/>
          <w:iCs/>
          <w:sz w:val="22"/>
          <w:szCs w:val="22"/>
        </w:rPr>
        <w:t xml:space="preserve">accountability </w:t>
      </w:r>
      <w:r w:rsidRPr="00732C76">
        <w:rPr>
          <w:rFonts w:ascii="Arial" w:hAnsi="Arial" w:cs="Arial"/>
          <w:iCs/>
          <w:sz w:val="22"/>
          <w:szCs w:val="22"/>
        </w:rPr>
        <w:t>nos pareceres prévios emitidos pelo TCE/SC.</w:t>
      </w:r>
    </w:p>
    <w:p w:rsidR="003F4DC8" w:rsidRPr="00732C76" w:rsidRDefault="003F4DC8" w:rsidP="00C96A3E">
      <w:pPr>
        <w:rPr>
          <w:rFonts w:ascii="Arial" w:hAnsi="Arial" w:cs="Arial"/>
          <w:iCs/>
          <w:sz w:val="22"/>
          <w:szCs w:val="22"/>
        </w:rPr>
      </w:pPr>
      <w:r w:rsidRPr="00732C76">
        <w:rPr>
          <w:rFonts w:ascii="Arial" w:hAnsi="Arial" w:cs="Arial"/>
          <w:sz w:val="22"/>
          <w:szCs w:val="22"/>
        </w:rPr>
        <w:t>Em suma, o que se pode observar no processo de busca e análise de pesquisas anteriores é que boa parte dos trabalhos e artigos têm</w:t>
      </w:r>
      <w:r w:rsidR="00784EFE" w:rsidRPr="00732C76">
        <w:rPr>
          <w:rFonts w:ascii="Arial" w:hAnsi="Arial" w:cs="Arial"/>
          <w:sz w:val="22"/>
          <w:szCs w:val="22"/>
        </w:rPr>
        <w:t xml:space="preserve"> </w:t>
      </w:r>
      <w:r w:rsidRPr="00732C76">
        <w:rPr>
          <w:rFonts w:ascii="Arial" w:hAnsi="Arial" w:cs="Arial"/>
          <w:sz w:val="22"/>
          <w:szCs w:val="22"/>
        </w:rPr>
        <w:t xml:space="preserve">atentado apenas às restrições constantes nos pareceres desfavoráveis, deixando de lançar olhar sobre as restrições constantes nos pareceres favoráveis à aprovação das contas. </w:t>
      </w:r>
    </w:p>
    <w:p w:rsidR="003F4DC8" w:rsidRPr="00732C76" w:rsidRDefault="003F4DC8" w:rsidP="00FE262C">
      <w:pPr>
        <w:rPr>
          <w:rFonts w:ascii="Arial" w:hAnsi="Arial" w:cs="Arial"/>
          <w:sz w:val="22"/>
          <w:szCs w:val="22"/>
          <w:shd w:val="clear" w:color="auto" w:fill="FFFFFF"/>
        </w:rPr>
      </w:pPr>
    </w:p>
    <w:p w:rsidR="003F4DC8" w:rsidRPr="00732C76" w:rsidRDefault="003F4DC8" w:rsidP="00FE262C">
      <w:pPr>
        <w:pStyle w:val="Ttulo1"/>
        <w:spacing w:before="0" w:after="0" w:line="360" w:lineRule="auto"/>
        <w:rPr>
          <w:rFonts w:ascii="Arial" w:hAnsi="Arial" w:cs="Arial"/>
          <w:szCs w:val="22"/>
        </w:rPr>
      </w:pPr>
      <w:r w:rsidRPr="00732C76">
        <w:rPr>
          <w:rFonts w:ascii="Arial" w:hAnsi="Arial" w:cs="Arial"/>
          <w:szCs w:val="22"/>
        </w:rPr>
        <w:t xml:space="preserve">APRESENTAÇÃO E DISCUSSÃO DOS RESULTADOS </w:t>
      </w:r>
    </w:p>
    <w:p w:rsidR="00A3604C" w:rsidRPr="00732C76" w:rsidRDefault="00A3604C" w:rsidP="00FE262C">
      <w:pPr>
        <w:pStyle w:val="Ttulo2"/>
        <w:rPr>
          <w:rFonts w:ascii="Arial" w:hAnsi="Arial" w:cs="Arial"/>
          <w:sz w:val="22"/>
          <w:szCs w:val="22"/>
        </w:rPr>
      </w:pPr>
      <w:r w:rsidRPr="00732C76">
        <w:rPr>
          <w:rFonts w:ascii="Arial" w:hAnsi="Arial" w:cs="Arial"/>
          <w:sz w:val="22"/>
          <w:szCs w:val="22"/>
        </w:rPr>
        <w:t>RESULTADOS DOS EXERC</w:t>
      </w:r>
      <w:r w:rsidRPr="00732C76">
        <w:rPr>
          <w:rFonts w:ascii="Arial" w:hAnsi="Arial" w:cs="Arial"/>
          <w:sz w:val="22"/>
          <w:szCs w:val="22"/>
          <w:lang w:val="pt-BR"/>
        </w:rPr>
        <w:t>ÍCIOS DE 2000, 2004, 2008 E 2012</w:t>
      </w:r>
    </w:p>
    <w:p w:rsidR="00DF61E4" w:rsidRPr="00732C76" w:rsidRDefault="003F4DC8" w:rsidP="00C96A3E">
      <w:pPr>
        <w:rPr>
          <w:rFonts w:ascii="Arial" w:hAnsi="Arial" w:cs="Arial"/>
          <w:sz w:val="22"/>
          <w:szCs w:val="22"/>
        </w:rPr>
      </w:pPr>
      <w:r w:rsidRPr="00732C76">
        <w:rPr>
          <w:rFonts w:ascii="Arial" w:hAnsi="Arial" w:cs="Arial"/>
          <w:sz w:val="22"/>
          <w:szCs w:val="22"/>
        </w:rPr>
        <w:t>Nesta seção, busca-se apresentar os resultados da pesquisa sobre a análise dos pareceres prévios, dos relatórios e votos dos relatores e das reapreciações nos quatro primeiros encerramentos de manda</w:t>
      </w:r>
      <w:r w:rsidR="00DF61E4" w:rsidRPr="00732C76">
        <w:rPr>
          <w:rFonts w:ascii="Arial" w:hAnsi="Arial" w:cs="Arial"/>
          <w:sz w:val="22"/>
          <w:szCs w:val="22"/>
        </w:rPr>
        <w:t>tos dos prefeitos catarinenses. Podem-se observar, na Tabela 1, os resultados de forma sintetizada.</w:t>
      </w:r>
    </w:p>
    <w:p w:rsidR="00BF4573" w:rsidRPr="00732C76" w:rsidRDefault="00BF4573" w:rsidP="00BF4573">
      <w:pPr>
        <w:pStyle w:val="Corpodetexto"/>
        <w:spacing w:after="0"/>
        <w:ind w:firstLine="0"/>
        <w:jc w:val="center"/>
        <w:rPr>
          <w:b/>
          <w:sz w:val="22"/>
          <w:szCs w:val="22"/>
        </w:rPr>
      </w:pPr>
      <w:r w:rsidRPr="00732C76">
        <w:rPr>
          <w:b/>
          <w:bCs/>
          <w:sz w:val="22"/>
          <w:szCs w:val="22"/>
        </w:rPr>
        <w:lastRenderedPageBreak/>
        <w:t>Tabela 1 – Resultados dos pareceres do TCE/SC sobre os municípios – 2000, 2004, 2008 e 2012</w:t>
      </w:r>
    </w:p>
    <w:tbl>
      <w:tblPr>
        <w:tblW w:w="9410" w:type="dxa"/>
        <w:tblCellMar>
          <w:left w:w="70" w:type="dxa"/>
          <w:right w:w="70" w:type="dxa"/>
        </w:tblCellMar>
        <w:tblLook w:val="04A0" w:firstRow="1" w:lastRow="0" w:firstColumn="1" w:lastColumn="0" w:noHBand="0" w:noVBand="1"/>
      </w:tblPr>
      <w:tblGrid>
        <w:gridCol w:w="190"/>
        <w:gridCol w:w="3733"/>
        <w:gridCol w:w="559"/>
        <w:gridCol w:w="757"/>
        <w:gridCol w:w="506"/>
        <w:gridCol w:w="856"/>
        <w:gridCol w:w="553"/>
        <w:gridCol w:w="840"/>
        <w:gridCol w:w="559"/>
        <w:gridCol w:w="857"/>
      </w:tblGrid>
      <w:tr w:rsidR="00732C76" w:rsidRPr="00732C76" w:rsidTr="008C77A9">
        <w:trPr>
          <w:trHeight w:val="237"/>
        </w:trPr>
        <w:tc>
          <w:tcPr>
            <w:tcW w:w="3923" w:type="dxa"/>
            <w:gridSpan w:val="2"/>
            <w:vMerge w:val="restart"/>
            <w:tcBorders>
              <w:top w:val="single" w:sz="4" w:space="0" w:color="auto"/>
              <w:left w:val="nil"/>
              <w:bottom w:val="single" w:sz="4" w:space="0" w:color="000000"/>
              <w:right w:val="single" w:sz="4" w:space="0" w:color="000000"/>
            </w:tcBorders>
            <w:shd w:val="clear" w:color="000000" w:fill="D9D9D9"/>
            <w:noWrap/>
            <w:vAlign w:val="center"/>
            <w:hideMark/>
          </w:tcPr>
          <w:p w:rsidR="00CE725F" w:rsidRPr="00732C76" w:rsidRDefault="00CE725F" w:rsidP="00297835">
            <w:pPr>
              <w:widowControl/>
              <w:suppressLineNumbers w:val="0"/>
              <w:suppressAutoHyphens w:val="0"/>
              <w:ind w:firstLine="0"/>
              <w:jc w:val="center"/>
              <w:rPr>
                <w:b/>
                <w:sz w:val="20"/>
              </w:rPr>
            </w:pPr>
            <w:r w:rsidRPr="00732C76">
              <w:rPr>
                <w:b/>
                <w:sz w:val="20"/>
              </w:rPr>
              <w:t>Parecer</w:t>
            </w:r>
          </w:p>
        </w:tc>
        <w:tc>
          <w:tcPr>
            <w:tcW w:w="2678" w:type="dxa"/>
            <w:gridSpan w:val="4"/>
            <w:tcBorders>
              <w:top w:val="single" w:sz="4" w:space="0" w:color="auto"/>
              <w:left w:val="nil"/>
              <w:bottom w:val="nil"/>
              <w:right w:val="single" w:sz="4" w:space="0" w:color="auto"/>
            </w:tcBorders>
            <w:shd w:val="clear" w:color="000000" w:fill="D9D9D9"/>
            <w:noWrap/>
            <w:vAlign w:val="bottom"/>
            <w:hideMark/>
          </w:tcPr>
          <w:p w:rsidR="00CE725F" w:rsidRPr="00732C76" w:rsidRDefault="00CE725F" w:rsidP="00297835">
            <w:pPr>
              <w:widowControl/>
              <w:suppressLineNumbers w:val="0"/>
              <w:suppressAutoHyphens w:val="0"/>
              <w:ind w:firstLine="0"/>
              <w:jc w:val="center"/>
              <w:rPr>
                <w:b/>
                <w:sz w:val="20"/>
              </w:rPr>
            </w:pPr>
            <w:r w:rsidRPr="00732C76">
              <w:rPr>
                <w:b/>
                <w:sz w:val="20"/>
              </w:rPr>
              <w:t>Ano de 2000</w:t>
            </w:r>
          </w:p>
        </w:tc>
        <w:tc>
          <w:tcPr>
            <w:tcW w:w="2809" w:type="dxa"/>
            <w:gridSpan w:val="4"/>
            <w:tcBorders>
              <w:top w:val="single" w:sz="4" w:space="0" w:color="auto"/>
              <w:left w:val="single" w:sz="4" w:space="0" w:color="auto"/>
              <w:bottom w:val="single" w:sz="4" w:space="0" w:color="auto"/>
            </w:tcBorders>
            <w:shd w:val="clear" w:color="000000" w:fill="D9D9D9"/>
            <w:noWrap/>
            <w:vAlign w:val="bottom"/>
            <w:hideMark/>
          </w:tcPr>
          <w:p w:rsidR="00CE725F" w:rsidRPr="00732C76" w:rsidRDefault="00CE725F" w:rsidP="00297835">
            <w:pPr>
              <w:widowControl/>
              <w:suppressLineNumbers w:val="0"/>
              <w:suppressAutoHyphens w:val="0"/>
              <w:ind w:firstLine="0"/>
              <w:jc w:val="center"/>
              <w:rPr>
                <w:b/>
                <w:sz w:val="20"/>
              </w:rPr>
            </w:pPr>
            <w:r w:rsidRPr="00732C76">
              <w:rPr>
                <w:b/>
                <w:sz w:val="20"/>
              </w:rPr>
              <w:t>Ano de 2004</w:t>
            </w:r>
          </w:p>
        </w:tc>
      </w:tr>
      <w:tr w:rsidR="00732C76" w:rsidRPr="00732C76" w:rsidTr="008C77A9">
        <w:trPr>
          <w:trHeight w:val="265"/>
        </w:trPr>
        <w:tc>
          <w:tcPr>
            <w:tcW w:w="3923" w:type="dxa"/>
            <w:gridSpan w:val="2"/>
            <w:vMerge/>
            <w:tcBorders>
              <w:top w:val="single" w:sz="4" w:space="0" w:color="auto"/>
              <w:left w:val="nil"/>
              <w:bottom w:val="single" w:sz="4" w:space="0" w:color="000000"/>
              <w:right w:val="single" w:sz="4" w:space="0" w:color="000000"/>
            </w:tcBorders>
            <w:vAlign w:val="center"/>
            <w:hideMark/>
          </w:tcPr>
          <w:p w:rsidR="00CE725F" w:rsidRPr="00732C76" w:rsidRDefault="00CE725F" w:rsidP="00297835">
            <w:pPr>
              <w:widowControl/>
              <w:suppressLineNumbers w:val="0"/>
              <w:suppressAutoHyphens w:val="0"/>
              <w:ind w:firstLine="0"/>
              <w:jc w:val="left"/>
              <w:rPr>
                <w:b/>
                <w:sz w:val="20"/>
              </w:rPr>
            </w:pPr>
          </w:p>
        </w:tc>
        <w:tc>
          <w:tcPr>
            <w:tcW w:w="1316"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E725F" w:rsidRPr="00732C76" w:rsidRDefault="00CE725F" w:rsidP="00297835">
            <w:pPr>
              <w:widowControl/>
              <w:suppressLineNumbers w:val="0"/>
              <w:suppressAutoHyphens w:val="0"/>
              <w:ind w:firstLine="0"/>
              <w:jc w:val="center"/>
              <w:rPr>
                <w:b/>
                <w:sz w:val="20"/>
              </w:rPr>
            </w:pPr>
            <w:r w:rsidRPr="00732C76">
              <w:rPr>
                <w:b/>
                <w:sz w:val="20"/>
              </w:rPr>
              <w:t>Prévio</w:t>
            </w:r>
          </w:p>
        </w:tc>
        <w:tc>
          <w:tcPr>
            <w:tcW w:w="1362"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CE725F" w:rsidRPr="00732C76" w:rsidRDefault="00CE725F" w:rsidP="00297835">
            <w:pPr>
              <w:widowControl/>
              <w:suppressLineNumbers w:val="0"/>
              <w:suppressAutoHyphens w:val="0"/>
              <w:ind w:firstLine="0"/>
              <w:jc w:val="center"/>
              <w:rPr>
                <w:b/>
                <w:sz w:val="20"/>
              </w:rPr>
            </w:pPr>
            <w:r w:rsidRPr="00732C76">
              <w:rPr>
                <w:b/>
                <w:sz w:val="20"/>
              </w:rPr>
              <w:t>Após Reapreciações</w:t>
            </w:r>
          </w:p>
        </w:tc>
        <w:tc>
          <w:tcPr>
            <w:tcW w:w="1393"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CE725F" w:rsidRPr="00732C76" w:rsidRDefault="00CE725F" w:rsidP="00297835">
            <w:pPr>
              <w:widowControl/>
              <w:suppressLineNumbers w:val="0"/>
              <w:suppressAutoHyphens w:val="0"/>
              <w:ind w:firstLine="0"/>
              <w:jc w:val="center"/>
              <w:rPr>
                <w:b/>
                <w:sz w:val="20"/>
              </w:rPr>
            </w:pPr>
            <w:r w:rsidRPr="00732C76">
              <w:rPr>
                <w:b/>
                <w:sz w:val="20"/>
              </w:rPr>
              <w:t>Prévio</w:t>
            </w:r>
          </w:p>
        </w:tc>
        <w:tc>
          <w:tcPr>
            <w:tcW w:w="1416" w:type="dxa"/>
            <w:gridSpan w:val="2"/>
            <w:tcBorders>
              <w:top w:val="single" w:sz="4" w:space="0" w:color="auto"/>
              <w:left w:val="single" w:sz="4" w:space="0" w:color="auto"/>
              <w:bottom w:val="single" w:sz="4" w:space="0" w:color="auto"/>
            </w:tcBorders>
            <w:shd w:val="clear" w:color="000000" w:fill="D9D9D9"/>
            <w:noWrap/>
            <w:vAlign w:val="center"/>
            <w:hideMark/>
          </w:tcPr>
          <w:p w:rsidR="00CE725F" w:rsidRPr="00732C76" w:rsidRDefault="00CE725F" w:rsidP="00297835">
            <w:pPr>
              <w:widowControl/>
              <w:suppressLineNumbers w:val="0"/>
              <w:suppressAutoHyphens w:val="0"/>
              <w:ind w:firstLine="0"/>
              <w:jc w:val="center"/>
              <w:rPr>
                <w:b/>
                <w:sz w:val="20"/>
              </w:rPr>
            </w:pPr>
            <w:r w:rsidRPr="00732C76">
              <w:rPr>
                <w:b/>
                <w:sz w:val="20"/>
              </w:rPr>
              <w:t>Após Reapreciações</w:t>
            </w:r>
          </w:p>
        </w:tc>
      </w:tr>
      <w:tr w:rsidR="00732C76" w:rsidRPr="00732C76" w:rsidTr="008C77A9">
        <w:trPr>
          <w:trHeight w:val="53"/>
        </w:trPr>
        <w:tc>
          <w:tcPr>
            <w:tcW w:w="3923" w:type="dxa"/>
            <w:gridSpan w:val="2"/>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Pela Aprovação</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82</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28,0%</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226</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77,1%</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216</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73,7%</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236</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80,5%</w:t>
            </w:r>
          </w:p>
        </w:tc>
      </w:tr>
      <w:tr w:rsidR="00732C76" w:rsidRPr="00732C76" w:rsidTr="008C77A9">
        <w:trPr>
          <w:trHeight w:val="63"/>
        </w:trPr>
        <w:tc>
          <w:tcPr>
            <w:tcW w:w="3923" w:type="dxa"/>
            <w:gridSpan w:val="2"/>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Pela Rejeição</w:t>
            </w:r>
          </w:p>
        </w:tc>
        <w:tc>
          <w:tcPr>
            <w:tcW w:w="559" w:type="dxa"/>
            <w:tcBorders>
              <w:top w:val="nil"/>
              <w:left w:val="single" w:sz="4" w:space="0" w:color="auto"/>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211</w:t>
            </w:r>
          </w:p>
        </w:tc>
        <w:tc>
          <w:tcPr>
            <w:tcW w:w="757" w:type="dxa"/>
            <w:tcBorders>
              <w:top w:val="nil"/>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72,0%</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67</w:t>
            </w:r>
          </w:p>
        </w:tc>
        <w:tc>
          <w:tcPr>
            <w:tcW w:w="856" w:type="dxa"/>
            <w:tcBorders>
              <w:top w:val="nil"/>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22,9%</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77</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26,3%</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57</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19,5%</w:t>
            </w:r>
          </w:p>
        </w:tc>
      </w:tr>
      <w:tr w:rsidR="00732C76" w:rsidRPr="00732C76" w:rsidTr="008C77A9">
        <w:trPr>
          <w:trHeight w:val="53"/>
        </w:trPr>
        <w:tc>
          <w:tcPr>
            <w:tcW w:w="3923" w:type="dxa"/>
            <w:gridSpan w:val="2"/>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Total</w:t>
            </w:r>
          </w:p>
        </w:tc>
        <w:tc>
          <w:tcPr>
            <w:tcW w:w="559" w:type="dxa"/>
            <w:tcBorders>
              <w:top w:val="nil"/>
              <w:left w:val="single" w:sz="4" w:space="0" w:color="auto"/>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293</w:t>
            </w:r>
          </w:p>
        </w:tc>
        <w:tc>
          <w:tcPr>
            <w:tcW w:w="757" w:type="dxa"/>
            <w:tcBorders>
              <w:top w:val="nil"/>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06"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293</w:t>
            </w:r>
          </w:p>
        </w:tc>
        <w:tc>
          <w:tcPr>
            <w:tcW w:w="856" w:type="dxa"/>
            <w:tcBorders>
              <w:top w:val="nil"/>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53"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293</w:t>
            </w:r>
          </w:p>
        </w:tc>
        <w:tc>
          <w:tcPr>
            <w:tcW w:w="840"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59"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293</w:t>
            </w:r>
          </w:p>
        </w:tc>
        <w:tc>
          <w:tcPr>
            <w:tcW w:w="857"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r>
      <w:tr w:rsidR="00732C76" w:rsidRPr="00732C76" w:rsidTr="008C77A9">
        <w:trPr>
          <w:trHeight w:val="53"/>
        </w:trPr>
        <w:tc>
          <w:tcPr>
            <w:tcW w:w="3923" w:type="dxa"/>
            <w:gridSpan w:val="2"/>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Pela Aprovação</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r>
      <w:tr w:rsidR="00732C76" w:rsidRPr="00732C76" w:rsidTr="008C77A9">
        <w:trPr>
          <w:trHeight w:val="63"/>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Aprovado com o descumprimento do art. 42</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0</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0,0%</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0,4%</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76</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35,2%</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93</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39,4%</w:t>
            </w:r>
          </w:p>
        </w:tc>
      </w:tr>
      <w:tr w:rsidR="00732C76" w:rsidRPr="00732C76" w:rsidTr="008C77A9">
        <w:trPr>
          <w:trHeight w:val="63"/>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Aprovado com outras restrições</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0</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0,0%</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24</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10,6%</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137</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63,4%</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140</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59,3%</w:t>
            </w:r>
          </w:p>
        </w:tc>
      </w:tr>
      <w:tr w:rsidR="00732C76" w:rsidRPr="00732C76" w:rsidTr="008C77A9">
        <w:trPr>
          <w:trHeight w:val="63"/>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Aprovado</w:t>
            </w:r>
            <w:r w:rsidR="00D04BD7" w:rsidRPr="00732C76">
              <w:rPr>
                <w:sz w:val="20"/>
              </w:rPr>
              <w:t xml:space="preserve"> sem informação sobre o art. 42*</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82</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201</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88,9%</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3</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1,4%</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3</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1,3%</w:t>
            </w:r>
          </w:p>
        </w:tc>
      </w:tr>
      <w:tr w:rsidR="00732C76" w:rsidRPr="00732C76" w:rsidTr="008C77A9">
        <w:trPr>
          <w:trHeight w:val="237"/>
        </w:trPr>
        <w:tc>
          <w:tcPr>
            <w:tcW w:w="3923" w:type="dxa"/>
            <w:gridSpan w:val="2"/>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Total</w:t>
            </w:r>
          </w:p>
        </w:tc>
        <w:tc>
          <w:tcPr>
            <w:tcW w:w="559" w:type="dxa"/>
            <w:tcBorders>
              <w:top w:val="single" w:sz="4" w:space="0" w:color="auto"/>
              <w:left w:val="single" w:sz="4" w:space="0" w:color="auto"/>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82</w:t>
            </w:r>
          </w:p>
        </w:tc>
        <w:tc>
          <w:tcPr>
            <w:tcW w:w="757"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06"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226</w:t>
            </w:r>
          </w:p>
        </w:tc>
        <w:tc>
          <w:tcPr>
            <w:tcW w:w="856"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53"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216</w:t>
            </w:r>
          </w:p>
        </w:tc>
        <w:tc>
          <w:tcPr>
            <w:tcW w:w="840"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59"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236</w:t>
            </w:r>
          </w:p>
        </w:tc>
        <w:tc>
          <w:tcPr>
            <w:tcW w:w="857"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r>
      <w:tr w:rsidR="00732C76" w:rsidRPr="00732C76" w:rsidTr="008C77A9">
        <w:trPr>
          <w:trHeight w:val="50"/>
        </w:trPr>
        <w:tc>
          <w:tcPr>
            <w:tcW w:w="3923" w:type="dxa"/>
            <w:gridSpan w:val="2"/>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Pela Rejeição</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r>
      <w:tr w:rsidR="00732C76" w:rsidRPr="00732C76" w:rsidTr="008C77A9">
        <w:trPr>
          <w:trHeight w:val="60"/>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Rejeitado pelo descumprimento do art. 42</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198</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93,8%</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56</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83,6%</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69</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89,6%</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53</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93,0%</w:t>
            </w:r>
          </w:p>
        </w:tc>
      </w:tr>
      <w:tr w:rsidR="00732C76" w:rsidRPr="00732C76" w:rsidTr="008C77A9">
        <w:trPr>
          <w:trHeight w:val="60"/>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Rejeitado com o descumprimento do art. 42</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0</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0,0%</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0</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0,0%</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5</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6,5%</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3</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5,3%</w:t>
            </w:r>
          </w:p>
        </w:tc>
      </w:tr>
      <w:tr w:rsidR="00732C76" w:rsidRPr="00732C76" w:rsidTr="008C77A9">
        <w:trPr>
          <w:trHeight w:val="60"/>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Rejeitado sem o descumprimento do art. 42</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0</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0,0%</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5</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7,5%</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3</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3,9%</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1,8%</w:t>
            </w:r>
          </w:p>
        </w:tc>
      </w:tr>
      <w:tr w:rsidR="00732C76" w:rsidRPr="00732C76" w:rsidTr="008C77A9">
        <w:trPr>
          <w:trHeight w:val="63"/>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Rejeitad</w:t>
            </w:r>
            <w:r w:rsidR="004A4C70" w:rsidRPr="00732C76">
              <w:rPr>
                <w:sz w:val="20"/>
              </w:rPr>
              <w:t>o sem informação sobre o art. 42*</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13</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6,2%</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6</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9,0%</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0</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0,0%</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0</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0,0%</w:t>
            </w:r>
          </w:p>
        </w:tc>
      </w:tr>
      <w:tr w:rsidR="00732C76" w:rsidRPr="00732C76" w:rsidTr="008C77A9">
        <w:trPr>
          <w:trHeight w:val="237"/>
        </w:trPr>
        <w:tc>
          <w:tcPr>
            <w:tcW w:w="3923" w:type="dxa"/>
            <w:gridSpan w:val="2"/>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Total</w:t>
            </w:r>
          </w:p>
        </w:tc>
        <w:tc>
          <w:tcPr>
            <w:tcW w:w="559" w:type="dxa"/>
            <w:tcBorders>
              <w:top w:val="single" w:sz="4" w:space="0" w:color="auto"/>
              <w:left w:val="single" w:sz="4" w:space="0" w:color="auto"/>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211</w:t>
            </w:r>
          </w:p>
        </w:tc>
        <w:tc>
          <w:tcPr>
            <w:tcW w:w="757"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06"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67</w:t>
            </w:r>
          </w:p>
        </w:tc>
        <w:tc>
          <w:tcPr>
            <w:tcW w:w="856"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53"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77</w:t>
            </w:r>
          </w:p>
        </w:tc>
        <w:tc>
          <w:tcPr>
            <w:tcW w:w="840"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59"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57</w:t>
            </w:r>
          </w:p>
        </w:tc>
        <w:tc>
          <w:tcPr>
            <w:tcW w:w="857"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r>
      <w:tr w:rsidR="00732C76" w:rsidRPr="00732C76" w:rsidTr="008C77A9">
        <w:trPr>
          <w:trHeight w:val="53"/>
        </w:trPr>
        <w:tc>
          <w:tcPr>
            <w:tcW w:w="3923" w:type="dxa"/>
            <w:gridSpan w:val="2"/>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Avaliação geral</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 </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 </w:t>
            </w:r>
          </w:p>
        </w:tc>
      </w:tr>
      <w:tr w:rsidR="00732C76" w:rsidRPr="00732C76" w:rsidTr="008C77A9">
        <w:trPr>
          <w:trHeight w:val="63"/>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Cumpriram o art. 42</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0</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0,0%</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29</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9,9%</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140</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47,8%</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141</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48,1%</w:t>
            </w:r>
          </w:p>
        </w:tc>
      </w:tr>
      <w:tr w:rsidR="00732C76" w:rsidRPr="00732C76" w:rsidTr="008C77A9">
        <w:trPr>
          <w:trHeight w:val="63"/>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Descumpriram o art. 42</w:t>
            </w:r>
          </w:p>
        </w:tc>
        <w:tc>
          <w:tcPr>
            <w:tcW w:w="559" w:type="dxa"/>
            <w:tcBorders>
              <w:top w:val="nil"/>
              <w:left w:val="single" w:sz="4" w:space="0" w:color="auto"/>
              <w:bottom w:val="nil"/>
              <w:right w:val="nil"/>
            </w:tcBorders>
            <w:shd w:val="clear" w:color="auto" w:fill="auto"/>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198</w:t>
            </w:r>
          </w:p>
        </w:tc>
        <w:tc>
          <w:tcPr>
            <w:tcW w:w="757" w:type="dxa"/>
            <w:tcBorders>
              <w:top w:val="nil"/>
              <w:left w:val="nil"/>
              <w:bottom w:val="nil"/>
              <w:right w:val="single" w:sz="4" w:space="0" w:color="auto"/>
            </w:tcBorders>
            <w:shd w:val="clear" w:color="auto" w:fill="auto"/>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67,6%</w:t>
            </w:r>
          </w:p>
        </w:tc>
        <w:tc>
          <w:tcPr>
            <w:tcW w:w="506" w:type="dxa"/>
            <w:tcBorders>
              <w:top w:val="nil"/>
              <w:left w:val="nil"/>
              <w:bottom w:val="nil"/>
              <w:right w:val="nil"/>
            </w:tcBorders>
            <w:shd w:val="clear" w:color="auto" w:fill="auto"/>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57</w:t>
            </w:r>
          </w:p>
        </w:tc>
        <w:tc>
          <w:tcPr>
            <w:tcW w:w="856" w:type="dxa"/>
            <w:tcBorders>
              <w:top w:val="nil"/>
              <w:left w:val="nil"/>
              <w:bottom w:val="nil"/>
              <w:right w:val="single" w:sz="4" w:space="0" w:color="auto"/>
            </w:tcBorders>
            <w:shd w:val="clear" w:color="auto" w:fill="auto"/>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19,5%</w:t>
            </w:r>
          </w:p>
        </w:tc>
        <w:tc>
          <w:tcPr>
            <w:tcW w:w="553" w:type="dxa"/>
            <w:tcBorders>
              <w:top w:val="nil"/>
              <w:left w:val="nil"/>
              <w:bottom w:val="nil"/>
              <w:right w:val="nil"/>
            </w:tcBorders>
            <w:shd w:val="clear" w:color="auto" w:fill="auto"/>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150</w:t>
            </w:r>
          </w:p>
        </w:tc>
        <w:tc>
          <w:tcPr>
            <w:tcW w:w="840" w:type="dxa"/>
            <w:tcBorders>
              <w:top w:val="nil"/>
              <w:left w:val="nil"/>
              <w:bottom w:val="nil"/>
              <w:right w:val="single" w:sz="4" w:space="0" w:color="auto"/>
            </w:tcBorders>
            <w:shd w:val="clear" w:color="auto" w:fill="auto"/>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51,2%</w:t>
            </w:r>
          </w:p>
        </w:tc>
        <w:tc>
          <w:tcPr>
            <w:tcW w:w="559" w:type="dxa"/>
            <w:tcBorders>
              <w:top w:val="nil"/>
              <w:left w:val="nil"/>
              <w:bottom w:val="nil"/>
              <w:right w:val="nil"/>
            </w:tcBorders>
            <w:shd w:val="clear" w:color="auto" w:fill="auto"/>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149</w:t>
            </w:r>
          </w:p>
        </w:tc>
        <w:tc>
          <w:tcPr>
            <w:tcW w:w="857" w:type="dxa"/>
            <w:tcBorders>
              <w:top w:val="nil"/>
              <w:left w:val="nil"/>
              <w:bottom w:val="nil"/>
              <w:right w:val="nil"/>
            </w:tcBorders>
            <w:shd w:val="clear" w:color="auto" w:fill="auto"/>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50,9%</w:t>
            </w:r>
          </w:p>
        </w:tc>
      </w:tr>
      <w:tr w:rsidR="00732C76" w:rsidRPr="00732C76" w:rsidTr="008C77A9">
        <w:trPr>
          <w:trHeight w:val="63"/>
        </w:trPr>
        <w:tc>
          <w:tcPr>
            <w:tcW w:w="190"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 </w:t>
            </w:r>
          </w:p>
        </w:tc>
        <w:tc>
          <w:tcPr>
            <w:tcW w:w="3733" w:type="dxa"/>
            <w:tcBorders>
              <w:top w:val="nil"/>
              <w:left w:val="nil"/>
              <w:bottom w:val="nil"/>
              <w:right w:val="nil"/>
            </w:tcBorders>
            <w:shd w:val="clear" w:color="000000" w:fill="FFFFFF"/>
            <w:noWrap/>
            <w:vAlign w:val="center"/>
            <w:hideMark/>
          </w:tcPr>
          <w:p w:rsidR="00CE725F" w:rsidRPr="00732C76" w:rsidRDefault="00C65358" w:rsidP="00297835">
            <w:pPr>
              <w:widowControl/>
              <w:suppressLineNumbers w:val="0"/>
              <w:suppressAutoHyphens w:val="0"/>
              <w:ind w:firstLine="0"/>
              <w:jc w:val="left"/>
              <w:rPr>
                <w:sz w:val="20"/>
              </w:rPr>
            </w:pPr>
            <w:r w:rsidRPr="00732C76">
              <w:rPr>
                <w:sz w:val="20"/>
              </w:rPr>
              <w:t>Sem informação sobre o art. 42*</w:t>
            </w:r>
          </w:p>
        </w:tc>
        <w:tc>
          <w:tcPr>
            <w:tcW w:w="559" w:type="dxa"/>
            <w:tcBorders>
              <w:top w:val="nil"/>
              <w:left w:val="single" w:sz="4" w:space="0" w:color="auto"/>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95</w:t>
            </w:r>
          </w:p>
        </w:tc>
        <w:tc>
          <w:tcPr>
            <w:tcW w:w="757"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32,4%</w:t>
            </w:r>
          </w:p>
        </w:tc>
        <w:tc>
          <w:tcPr>
            <w:tcW w:w="506"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207</w:t>
            </w:r>
          </w:p>
        </w:tc>
        <w:tc>
          <w:tcPr>
            <w:tcW w:w="856"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70,6%</w:t>
            </w:r>
          </w:p>
        </w:tc>
        <w:tc>
          <w:tcPr>
            <w:tcW w:w="553"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3</w:t>
            </w:r>
          </w:p>
        </w:tc>
        <w:tc>
          <w:tcPr>
            <w:tcW w:w="840" w:type="dxa"/>
            <w:tcBorders>
              <w:top w:val="nil"/>
              <w:left w:val="nil"/>
              <w:bottom w:val="nil"/>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w:t>
            </w:r>
          </w:p>
        </w:tc>
        <w:tc>
          <w:tcPr>
            <w:tcW w:w="559"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3</w:t>
            </w:r>
          </w:p>
        </w:tc>
        <w:tc>
          <w:tcPr>
            <w:tcW w:w="857" w:type="dxa"/>
            <w:tcBorders>
              <w:top w:val="nil"/>
              <w:left w:val="nil"/>
              <w:bottom w:val="nil"/>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w:t>
            </w:r>
          </w:p>
        </w:tc>
      </w:tr>
      <w:tr w:rsidR="00732C76" w:rsidRPr="00732C76" w:rsidTr="008C77A9">
        <w:trPr>
          <w:trHeight w:val="53"/>
        </w:trPr>
        <w:tc>
          <w:tcPr>
            <w:tcW w:w="3923" w:type="dxa"/>
            <w:gridSpan w:val="2"/>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left"/>
              <w:rPr>
                <w:sz w:val="20"/>
              </w:rPr>
            </w:pPr>
            <w:r w:rsidRPr="00732C76">
              <w:rPr>
                <w:sz w:val="20"/>
              </w:rPr>
              <w:t>Total</w:t>
            </w:r>
          </w:p>
        </w:tc>
        <w:tc>
          <w:tcPr>
            <w:tcW w:w="559" w:type="dxa"/>
            <w:tcBorders>
              <w:top w:val="single" w:sz="4" w:space="0" w:color="auto"/>
              <w:left w:val="single" w:sz="4" w:space="0" w:color="auto"/>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293</w:t>
            </w:r>
          </w:p>
        </w:tc>
        <w:tc>
          <w:tcPr>
            <w:tcW w:w="757"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06"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293</w:t>
            </w:r>
          </w:p>
        </w:tc>
        <w:tc>
          <w:tcPr>
            <w:tcW w:w="856"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53"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293</w:t>
            </w:r>
          </w:p>
        </w:tc>
        <w:tc>
          <w:tcPr>
            <w:tcW w:w="840" w:type="dxa"/>
            <w:tcBorders>
              <w:top w:val="single" w:sz="4" w:space="0" w:color="auto"/>
              <w:left w:val="nil"/>
              <w:bottom w:val="single" w:sz="4" w:space="0" w:color="auto"/>
              <w:right w:val="single" w:sz="4" w:space="0" w:color="auto"/>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c>
          <w:tcPr>
            <w:tcW w:w="559"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right"/>
              <w:rPr>
                <w:sz w:val="20"/>
              </w:rPr>
            </w:pPr>
            <w:r w:rsidRPr="00732C76">
              <w:rPr>
                <w:sz w:val="20"/>
              </w:rPr>
              <w:t>293</w:t>
            </w:r>
          </w:p>
        </w:tc>
        <w:tc>
          <w:tcPr>
            <w:tcW w:w="857" w:type="dxa"/>
            <w:tcBorders>
              <w:top w:val="single" w:sz="4" w:space="0" w:color="auto"/>
              <w:left w:val="nil"/>
              <w:bottom w:val="single" w:sz="4" w:space="0" w:color="auto"/>
              <w:right w:val="nil"/>
            </w:tcBorders>
            <w:shd w:val="clear" w:color="000000" w:fill="FFFFFF"/>
            <w:noWrap/>
            <w:vAlign w:val="center"/>
            <w:hideMark/>
          </w:tcPr>
          <w:p w:rsidR="00CE725F" w:rsidRPr="00732C76" w:rsidRDefault="00CE725F" w:rsidP="00297835">
            <w:pPr>
              <w:widowControl/>
              <w:suppressLineNumbers w:val="0"/>
              <w:suppressAutoHyphens w:val="0"/>
              <w:ind w:firstLine="0"/>
              <w:jc w:val="center"/>
              <w:rPr>
                <w:sz w:val="20"/>
              </w:rPr>
            </w:pPr>
            <w:r w:rsidRPr="00732C76">
              <w:rPr>
                <w:sz w:val="20"/>
              </w:rPr>
              <w:t>100,0%</w:t>
            </w:r>
          </w:p>
        </w:tc>
      </w:tr>
    </w:tbl>
    <w:p w:rsidR="00E9267E" w:rsidRPr="00732C76" w:rsidRDefault="00E9267E" w:rsidP="00E9267E">
      <w:pPr>
        <w:spacing w:line="360" w:lineRule="auto"/>
        <w:ind w:firstLine="0"/>
        <w:rPr>
          <w:rFonts w:ascii="Arial" w:hAnsi="Arial" w:cs="Arial"/>
          <w:sz w:val="4"/>
          <w:szCs w:val="4"/>
          <w:lang w:eastAsia="x-none"/>
        </w:rPr>
      </w:pPr>
    </w:p>
    <w:tbl>
      <w:tblPr>
        <w:tblW w:w="9412" w:type="dxa"/>
        <w:tblCellMar>
          <w:left w:w="70" w:type="dxa"/>
          <w:right w:w="70" w:type="dxa"/>
        </w:tblCellMar>
        <w:tblLook w:val="04A0" w:firstRow="1" w:lastRow="0" w:firstColumn="1" w:lastColumn="0" w:noHBand="0" w:noVBand="1"/>
      </w:tblPr>
      <w:tblGrid>
        <w:gridCol w:w="192"/>
        <w:gridCol w:w="3740"/>
        <w:gridCol w:w="551"/>
        <w:gridCol w:w="757"/>
        <w:gridCol w:w="500"/>
        <w:gridCol w:w="862"/>
        <w:gridCol w:w="544"/>
        <w:gridCol w:w="840"/>
        <w:gridCol w:w="560"/>
        <w:gridCol w:w="866"/>
      </w:tblGrid>
      <w:tr w:rsidR="00732C76" w:rsidRPr="00732C76" w:rsidTr="008C77A9">
        <w:trPr>
          <w:trHeight w:val="237"/>
        </w:trPr>
        <w:tc>
          <w:tcPr>
            <w:tcW w:w="3932" w:type="dxa"/>
            <w:gridSpan w:val="2"/>
            <w:vMerge w:val="restart"/>
            <w:tcBorders>
              <w:top w:val="single" w:sz="4" w:space="0" w:color="auto"/>
              <w:left w:val="nil"/>
              <w:bottom w:val="single" w:sz="4" w:space="0" w:color="000000"/>
              <w:right w:val="single" w:sz="4" w:space="0" w:color="000000"/>
            </w:tcBorders>
            <w:shd w:val="clear" w:color="000000" w:fill="D9D9D9"/>
            <w:noWrap/>
            <w:vAlign w:val="center"/>
            <w:hideMark/>
          </w:tcPr>
          <w:p w:rsidR="00733A23" w:rsidRPr="00732C76" w:rsidRDefault="00733A23" w:rsidP="00950B32">
            <w:pPr>
              <w:widowControl/>
              <w:suppressLineNumbers w:val="0"/>
              <w:suppressAutoHyphens w:val="0"/>
              <w:ind w:firstLine="0"/>
              <w:jc w:val="center"/>
              <w:rPr>
                <w:b/>
                <w:sz w:val="20"/>
              </w:rPr>
            </w:pPr>
            <w:r w:rsidRPr="00732C76">
              <w:rPr>
                <w:b/>
                <w:sz w:val="20"/>
              </w:rPr>
              <w:t>Parecer</w:t>
            </w:r>
          </w:p>
        </w:tc>
        <w:tc>
          <w:tcPr>
            <w:tcW w:w="2670" w:type="dxa"/>
            <w:gridSpan w:val="4"/>
            <w:tcBorders>
              <w:top w:val="single" w:sz="4" w:space="0" w:color="auto"/>
              <w:left w:val="single" w:sz="4" w:space="0" w:color="auto"/>
              <w:bottom w:val="nil"/>
              <w:right w:val="single" w:sz="4" w:space="0" w:color="auto"/>
            </w:tcBorders>
            <w:shd w:val="clear" w:color="000000" w:fill="D9D9D9"/>
            <w:noWrap/>
            <w:vAlign w:val="bottom"/>
            <w:hideMark/>
          </w:tcPr>
          <w:p w:rsidR="00733A23" w:rsidRPr="00732C76" w:rsidRDefault="00733A23" w:rsidP="00950B32">
            <w:pPr>
              <w:widowControl/>
              <w:suppressLineNumbers w:val="0"/>
              <w:suppressAutoHyphens w:val="0"/>
              <w:ind w:firstLine="0"/>
              <w:jc w:val="center"/>
              <w:rPr>
                <w:b/>
                <w:sz w:val="20"/>
              </w:rPr>
            </w:pPr>
            <w:r w:rsidRPr="00732C76">
              <w:rPr>
                <w:b/>
                <w:sz w:val="20"/>
              </w:rPr>
              <w:t>Ano de 2008</w:t>
            </w:r>
          </w:p>
        </w:tc>
        <w:tc>
          <w:tcPr>
            <w:tcW w:w="2810" w:type="dxa"/>
            <w:gridSpan w:val="4"/>
            <w:tcBorders>
              <w:top w:val="single" w:sz="4" w:space="0" w:color="auto"/>
              <w:left w:val="single" w:sz="4" w:space="0" w:color="auto"/>
              <w:bottom w:val="single" w:sz="4" w:space="0" w:color="auto"/>
            </w:tcBorders>
            <w:shd w:val="clear" w:color="000000" w:fill="D9D9D9"/>
            <w:noWrap/>
            <w:vAlign w:val="bottom"/>
            <w:hideMark/>
          </w:tcPr>
          <w:p w:rsidR="00733A23" w:rsidRPr="00732C76" w:rsidRDefault="00733A23" w:rsidP="00950B32">
            <w:pPr>
              <w:widowControl/>
              <w:suppressLineNumbers w:val="0"/>
              <w:suppressAutoHyphens w:val="0"/>
              <w:ind w:firstLine="0"/>
              <w:jc w:val="center"/>
              <w:rPr>
                <w:b/>
                <w:sz w:val="20"/>
              </w:rPr>
            </w:pPr>
            <w:r w:rsidRPr="00732C76">
              <w:rPr>
                <w:b/>
                <w:sz w:val="20"/>
              </w:rPr>
              <w:t>Ano de 2012</w:t>
            </w:r>
          </w:p>
        </w:tc>
      </w:tr>
      <w:tr w:rsidR="00732C76" w:rsidRPr="00732C76" w:rsidTr="008C77A9">
        <w:trPr>
          <w:trHeight w:val="237"/>
        </w:trPr>
        <w:tc>
          <w:tcPr>
            <w:tcW w:w="3932" w:type="dxa"/>
            <w:gridSpan w:val="2"/>
            <w:vMerge/>
            <w:tcBorders>
              <w:top w:val="single" w:sz="4" w:space="0" w:color="auto"/>
              <w:left w:val="nil"/>
              <w:bottom w:val="single" w:sz="4" w:space="0" w:color="000000"/>
              <w:right w:val="single" w:sz="4" w:space="0" w:color="000000"/>
            </w:tcBorders>
            <w:vAlign w:val="center"/>
            <w:hideMark/>
          </w:tcPr>
          <w:p w:rsidR="00733A23" w:rsidRPr="00732C76" w:rsidRDefault="00733A23" w:rsidP="00950B32">
            <w:pPr>
              <w:widowControl/>
              <w:suppressLineNumbers w:val="0"/>
              <w:suppressAutoHyphens w:val="0"/>
              <w:ind w:firstLine="0"/>
              <w:jc w:val="left"/>
              <w:rPr>
                <w:b/>
                <w:sz w:val="20"/>
              </w:rPr>
            </w:pPr>
          </w:p>
        </w:tc>
        <w:tc>
          <w:tcPr>
            <w:tcW w:w="1308" w:type="dxa"/>
            <w:gridSpan w:val="2"/>
            <w:tcBorders>
              <w:top w:val="single" w:sz="4" w:space="0" w:color="auto"/>
              <w:left w:val="single" w:sz="4" w:space="0" w:color="auto"/>
              <w:bottom w:val="single" w:sz="4" w:space="0" w:color="auto"/>
              <w:right w:val="single" w:sz="4" w:space="0" w:color="000000"/>
            </w:tcBorders>
            <w:shd w:val="clear" w:color="000000" w:fill="D9D9D9"/>
            <w:noWrap/>
            <w:vAlign w:val="center"/>
            <w:hideMark/>
          </w:tcPr>
          <w:p w:rsidR="00733A23" w:rsidRPr="00732C76" w:rsidRDefault="00733A23" w:rsidP="00950B32">
            <w:pPr>
              <w:widowControl/>
              <w:suppressLineNumbers w:val="0"/>
              <w:suppressAutoHyphens w:val="0"/>
              <w:ind w:firstLine="0"/>
              <w:jc w:val="center"/>
              <w:rPr>
                <w:b/>
                <w:sz w:val="20"/>
              </w:rPr>
            </w:pPr>
            <w:r w:rsidRPr="00732C76">
              <w:rPr>
                <w:b/>
                <w:sz w:val="20"/>
              </w:rPr>
              <w:t>Prévio</w:t>
            </w:r>
          </w:p>
        </w:tc>
        <w:tc>
          <w:tcPr>
            <w:tcW w:w="1362"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733A23" w:rsidRPr="00732C76" w:rsidRDefault="00733A23" w:rsidP="00950B32">
            <w:pPr>
              <w:widowControl/>
              <w:suppressLineNumbers w:val="0"/>
              <w:suppressAutoHyphens w:val="0"/>
              <w:ind w:firstLine="0"/>
              <w:jc w:val="center"/>
              <w:rPr>
                <w:b/>
                <w:sz w:val="20"/>
              </w:rPr>
            </w:pPr>
            <w:r w:rsidRPr="00732C76">
              <w:rPr>
                <w:b/>
                <w:sz w:val="20"/>
              </w:rPr>
              <w:t>Após Reapreciações</w:t>
            </w:r>
          </w:p>
        </w:tc>
        <w:tc>
          <w:tcPr>
            <w:tcW w:w="1384" w:type="dxa"/>
            <w:gridSpan w:val="2"/>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733A23" w:rsidRPr="00732C76" w:rsidRDefault="00733A23" w:rsidP="00950B32">
            <w:pPr>
              <w:widowControl/>
              <w:suppressLineNumbers w:val="0"/>
              <w:suppressAutoHyphens w:val="0"/>
              <w:ind w:firstLine="0"/>
              <w:jc w:val="center"/>
              <w:rPr>
                <w:b/>
                <w:sz w:val="20"/>
              </w:rPr>
            </w:pPr>
            <w:r w:rsidRPr="00732C76">
              <w:rPr>
                <w:b/>
                <w:sz w:val="20"/>
              </w:rPr>
              <w:t>Prévio</w:t>
            </w:r>
          </w:p>
        </w:tc>
        <w:tc>
          <w:tcPr>
            <w:tcW w:w="1426" w:type="dxa"/>
            <w:gridSpan w:val="2"/>
            <w:tcBorders>
              <w:top w:val="single" w:sz="4" w:space="0" w:color="auto"/>
              <w:left w:val="single" w:sz="4" w:space="0" w:color="auto"/>
              <w:bottom w:val="single" w:sz="4" w:space="0" w:color="auto"/>
            </w:tcBorders>
            <w:shd w:val="clear" w:color="000000" w:fill="D9D9D9"/>
            <w:noWrap/>
            <w:vAlign w:val="center"/>
            <w:hideMark/>
          </w:tcPr>
          <w:p w:rsidR="00733A23" w:rsidRPr="00732C76" w:rsidRDefault="00733A23" w:rsidP="00950B32">
            <w:pPr>
              <w:widowControl/>
              <w:suppressLineNumbers w:val="0"/>
              <w:suppressAutoHyphens w:val="0"/>
              <w:ind w:firstLine="0"/>
              <w:jc w:val="center"/>
              <w:rPr>
                <w:b/>
                <w:sz w:val="20"/>
              </w:rPr>
            </w:pPr>
            <w:r w:rsidRPr="00732C76">
              <w:rPr>
                <w:b/>
                <w:sz w:val="20"/>
              </w:rPr>
              <w:t>Após Reapreciações</w:t>
            </w:r>
          </w:p>
        </w:tc>
      </w:tr>
      <w:tr w:rsidR="00732C76" w:rsidRPr="00732C76" w:rsidTr="008C77A9">
        <w:trPr>
          <w:trHeight w:val="53"/>
        </w:trPr>
        <w:tc>
          <w:tcPr>
            <w:tcW w:w="3932" w:type="dxa"/>
            <w:gridSpan w:val="2"/>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Pela Aprovação</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262</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89,4%</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274</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93,5%</w:t>
            </w:r>
          </w:p>
        </w:tc>
        <w:tc>
          <w:tcPr>
            <w:tcW w:w="544" w:type="dxa"/>
            <w:tcBorders>
              <w:top w:val="single" w:sz="4" w:space="0" w:color="auto"/>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241</w:t>
            </w:r>
          </w:p>
        </w:tc>
        <w:tc>
          <w:tcPr>
            <w:tcW w:w="840" w:type="dxa"/>
            <w:tcBorders>
              <w:top w:val="single" w:sz="4" w:space="0" w:color="auto"/>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82,3%</w:t>
            </w:r>
          </w:p>
        </w:tc>
        <w:tc>
          <w:tcPr>
            <w:tcW w:w="560" w:type="dxa"/>
            <w:tcBorders>
              <w:top w:val="single" w:sz="4" w:space="0" w:color="auto"/>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252</w:t>
            </w:r>
          </w:p>
        </w:tc>
        <w:tc>
          <w:tcPr>
            <w:tcW w:w="866" w:type="dxa"/>
            <w:tcBorders>
              <w:top w:val="single" w:sz="4" w:space="0" w:color="auto"/>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86,0%</w:t>
            </w:r>
          </w:p>
        </w:tc>
      </w:tr>
      <w:tr w:rsidR="00732C76" w:rsidRPr="00732C76" w:rsidTr="008C77A9">
        <w:trPr>
          <w:trHeight w:val="63"/>
        </w:trPr>
        <w:tc>
          <w:tcPr>
            <w:tcW w:w="3932" w:type="dxa"/>
            <w:gridSpan w:val="2"/>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Pela Rejeição</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31</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10,6%</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19</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6,5%</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52</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17,7%</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41</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14,0%</w:t>
            </w:r>
          </w:p>
        </w:tc>
      </w:tr>
      <w:tr w:rsidR="00732C76" w:rsidRPr="00732C76" w:rsidTr="008C77A9">
        <w:trPr>
          <w:trHeight w:val="53"/>
        </w:trPr>
        <w:tc>
          <w:tcPr>
            <w:tcW w:w="3932" w:type="dxa"/>
            <w:gridSpan w:val="2"/>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Total</w:t>
            </w:r>
          </w:p>
        </w:tc>
        <w:tc>
          <w:tcPr>
            <w:tcW w:w="551" w:type="dxa"/>
            <w:tcBorders>
              <w:top w:val="single" w:sz="4" w:space="0" w:color="auto"/>
              <w:left w:val="single" w:sz="4" w:space="0" w:color="auto"/>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293</w:t>
            </w:r>
          </w:p>
        </w:tc>
        <w:tc>
          <w:tcPr>
            <w:tcW w:w="757"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00"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293</w:t>
            </w:r>
          </w:p>
        </w:tc>
        <w:tc>
          <w:tcPr>
            <w:tcW w:w="862"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44"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293</w:t>
            </w:r>
          </w:p>
        </w:tc>
        <w:tc>
          <w:tcPr>
            <w:tcW w:w="840"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60"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293</w:t>
            </w:r>
          </w:p>
        </w:tc>
        <w:tc>
          <w:tcPr>
            <w:tcW w:w="866"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r>
      <w:tr w:rsidR="00732C76" w:rsidRPr="00732C76" w:rsidTr="008C77A9">
        <w:trPr>
          <w:trHeight w:val="53"/>
        </w:trPr>
        <w:tc>
          <w:tcPr>
            <w:tcW w:w="3932" w:type="dxa"/>
            <w:gridSpan w:val="2"/>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Pela Aprovação</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r>
      <w:tr w:rsidR="00732C76" w:rsidRPr="00732C76" w:rsidTr="008C77A9">
        <w:trPr>
          <w:trHeight w:val="63"/>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000000" w:fill="FFFFFF"/>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Aprovado com o descumprimento do art. 42</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42</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16,0%</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49</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17,9%</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60</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24,9%</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67</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26,6%</w:t>
            </w:r>
          </w:p>
        </w:tc>
      </w:tr>
      <w:tr w:rsidR="00732C76" w:rsidRPr="00732C76" w:rsidTr="008C77A9">
        <w:trPr>
          <w:trHeight w:val="63"/>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000000" w:fill="FFFFFF"/>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Aprovado com outras restrições</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220</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84,0%</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225</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82,1%</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179</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74,3%</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180</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71,4%</w:t>
            </w:r>
          </w:p>
        </w:tc>
      </w:tr>
      <w:tr w:rsidR="00732C76" w:rsidRPr="00732C76" w:rsidTr="008C77A9">
        <w:trPr>
          <w:trHeight w:val="63"/>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Aprovado</w:t>
            </w:r>
            <w:r w:rsidR="00486579" w:rsidRPr="00732C76">
              <w:rPr>
                <w:sz w:val="20"/>
              </w:rPr>
              <w:t xml:space="preserve"> sem informação sobre o art. 42*</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0,8%</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5</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2,0%</w:t>
            </w:r>
          </w:p>
        </w:tc>
      </w:tr>
      <w:tr w:rsidR="00732C76" w:rsidRPr="00732C76" w:rsidTr="008C77A9">
        <w:trPr>
          <w:trHeight w:val="50"/>
        </w:trPr>
        <w:tc>
          <w:tcPr>
            <w:tcW w:w="3932" w:type="dxa"/>
            <w:gridSpan w:val="2"/>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Total</w:t>
            </w:r>
          </w:p>
        </w:tc>
        <w:tc>
          <w:tcPr>
            <w:tcW w:w="551" w:type="dxa"/>
            <w:tcBorders>
              <w:top w:val="single" w:sz="4" w:space="0" w:color="auto"/>
              <w:left w:val="single" w:sz="4" w:space="0" w:color="auto"/>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262</w:t>
            </w:r>
          </w:p>
        </w:tc>
        <w:tc>
          <w:tcPr>
            <w:tcW w:w="757"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00"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274</w:t>
            </w:r>
          </w:p>
        </w:tc>
        <w:tc>
          <w:tcPr>
            <w:tcW w:w="862"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44"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241</w:t>
            </w:r>
          </w:p>
        </w:tc>
        <w:tc>
          <w:tcPr>
            <w:tcW w:w="840"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60"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252</w:t>
            </w:r>
          </w:p>
        </w:tc>
        <w:tc>
          <w:tcPr>
            <w:tcW w:w="866"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r>
      <w:tr w:rsidR="00732C76" w:rsidRPr="00732C76" w:rsidTr="008C77A9">
        <w:trPr>
          <w:trHeight w:val="50"/>
        </w:trPr>
        <w:tc>
          <w:tcPr>
            <w:tcW w:w="3932" w:type="dxa"/>
            <w:gridSpan w:val="2"/>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Pela Rejeição</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r>
      <w:tr w:rsidR="00732C76" w:rsidRPr="00732C76" w:rsidTr="008C77A9">
        <w:trPr>
          <w:trHeight w:val="60"/>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000000" w:fill="FFFFFF"/>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Rejeitado pelo descumprimento do art. 42</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26</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83,9%</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19</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49</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94,2%</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40</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97,6%</w:t>
            </w:r>
          </w:p>
        </w:tc>
      </w:tr>
      <w:tr w:rsidR="00732C76" w:rsidRPr="00732C76" w:rsidTr="008C77A9">
        <w:trPr>
          <w:trHeight w:val="63"/>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000000" w:fill="FFFFFF"/>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Rejeitado com o descumprimento do art. 42</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1,9%</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r>
      <w:tr w:rsidR="00732C76" w:rsidRPr="00732C76" w:rsidTr="008C77A9">
        <w:trPr>
          <w:trHeight w:val="63"/>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000000" w:fill="FFFFFF"/>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Rejeitado sem o descumprimento do art. 42</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5</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16,1%</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3,8%</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2,4%</w:t>
            </w:r>
          </w:p>
        </w:tc>
      </w:tr>
      <w:tr w:rsidR="00732C76" w:rsidRPr="00732C76" w:rsidTr="008C77A9">
        <w:trPr>
          <w:trHeight w:val="63"/>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Rejeitad</w:t>
            </w:r>
            <w:r w:rsidR="00545968" w:rsidRPr="00732C76">
              <w:rPr>
                <w:sz w:val="20"/>
              </w:rPr>
              <w:t>o sem informação sobre o art. 42*</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r>
      <w:tr w:rsidR="00732C76" w:rsidRPr="00732C76" w:rsidTr="008C77A9">
        <w:trPr>
          <w:trHeight w:val="53"/>
        </w:trPr>
        <w:tc>
          <w:tcPr>
            <w:tcW w:w="3932" w:type="dxa"/>
            <w:gridSpan w:val="2"/>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Total</w:t>
            </w:r>
          </w:p>
        </w:tc>
        <w:tc>
          <w:tcPr>
            <w:tcW w:w="551" w:type="dxa"/>
            <w:tcBorders>
              <w:top w:val="single" w:sz="4" w:space="0" w:color="auto"/>
              <w:left w:val="single" w:sz="4" w:space="0" w:color="auto"/>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31</w:t>
            </w:r>
          </w:p>
        </w:tc>
        <w:tc>
          <w:tcPr>
            <w:tcW w:w="757"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00"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19</w:t>
            </w:r>
          </w:p>
        </w:tc>
        <w:tc>
          <w:tcPr>
            <w:tcW w:w="862"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44"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52</w:t>
            </w:r>
          </w:p>
        </w:tc>
        <w:tc>
          <w:tcPr>
            <w:tcW w:w="840"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60"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41</w:t>
            </w:r>
          </w:p>
        </w:tc>
        <w:tc>
          <w:tcPr>
            <w:tcW w:w="866"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r>
      <w:tr w:rsidR="00732C76" w:rsidRPr="00732C76" w:rsidTr="008C77A9">
        <w:trPr>
          <w:trHeight w:val="53"/>
        </w:trPr>
        <w:tc>
          <w:tcPr>
            <w:tcW w:w="3932" w:type="dxa"/>
            <w:gridSpan w:val="2"/>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Avaliação geral</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 </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 </w:t>
            </w:r>
          </w:p>
        </w:tc>
      </w:tr>
      <w:tr w:rsidR="00732C76" w:rsidRPr="00732C76" w:rsidTr="008C77A9">
        <w:trPr>
          <w:trHeight w:val="63"/>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000000" w:fill="FFFFFF"/>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Cumpriram o art. 42</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225</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76,8%</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225</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76,8%</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181</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61,8%</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181</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61,8%</w:t>
            </w:r>
          </w:p>
        </w:tc>
      </w:tr>
      <w:tr w:rsidR="00732C76" w:rsidRPr="00732C76" w:rsidTr="008C77A9">
        <w:trPr>
          <w:trHeight w:val="63"/>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auto" w:fill="auto"/>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Descumpriram o art. 42</w:t>
            </w:r>
          </w:p>
        </w:tc>
        <w:tc>
          <w:tcPr>
            <w:tcW w:w="551" w:type="dxa"/>
            <w:tcBorders>
              <w:top w:val="nil"/>
              <w:left w:val="single" w:sz="4" w:space="0" w:color="auto"/>
              <w:bottom w:val="nil"/>
              <w:right w:val="nil"/>
            </w:tcBorders>
            <w:shd w:val="clear" w:color="auto" w:fill="auto"/>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68</w:t>
            </w:r>
          </w:p>
        </w:tc>
        <w:tc>
          <w:tcPr>
            <w:tcW w:w="757" w:type="dxa"/>
            <w:tcBorders>
              <w:top w:val="nil"/>
              <w:left w:val="nil"/>
              <w:bottom w:val="nil"/>
              <w:right w:val="single" w:sz="4" w:space="0" w:color="auto"/>
            </w:tcBorders>
            <w:shd w:val="clear" w:color="auto" w:fill="auto"/>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23,2%</w:t>
            </w:r>
          </w:p>
        </w:tc>
        <w:tc>
          <w:tcPr>
            <w:tcW w:w="500" w:type="dxa"/>
            <w:tcBorders>
              <w:top w:val="nil"/>
              <w:left w:val="nil"/>
              <w:bottom w:val="nil"/>
              <w:right w:val="nil"/>
            </w:tcBorders>
            <w:shd w:val="clear" w:color="auto" w:fill="auto"/>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68</w:t>
            </w:r>
          </w:p>
        </w:tc>
        <w:tc>
          <w:tcPr>
            <w:tcW w:w="862" w:type="dxa"/>
            <w:tcBorders>
              <w:top w:val="nil"/>
              <w:left w:val="nil"/>
              <w:bottom w:val="nil"/>
              <w:right w:val="single" w:sz="4" w:space="0" w:color="auto"/>
            </w:tcBorders>
            <w:shd w:val="clear" w:color="auto" w:fill="auto"/>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23,2%</w:t>
            </w:r>
          </w:p>
        </w:tc>
        <w:tc>
          <w:tcPr>
            <w:tcW w:w="544" w:type="dxa"/>
            <w:tcBorders>
              <w:top w:val="nil"/>
              <w:left w:val="nil"/>
              <w:bottom w:val="nil"/>
              <w:right w:val="nil"/>
            </w:tcBorders>
            <w:shd w:val="clear" w:color="auto" w:fill="auto"/>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110</w:t>
            </w:r>
          </w:p>
        </w:tc>
        <w:tc>
          <w:tcPr>
            <w:tcW w:w="840" w:type="dxa"/>
            <w:tcBorders>
              <w:top w:val="nil"/>
              <w:left w:val="nil"/>
              <w:bottom w:val="nil"/>
              <w:right w:val="single" w:sz="4" w:space="0" w:color="auto"/>
            </w:tcBorders>
            <w:shd w:val="clear" w:color="auto" w:fill="auto"/>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37,5%</w:t>
            </w:r>
          </w:p>
        </w:tc>
        <w:tc>
          <w:tcPr>
            <w:tcW w:w="560" w:type="dxa"/>
            <w:tcBorders>
              <w:top w:val="nil"/>
              <w:left w:val="nil"/>
              <w:bottom w:val="nil"/>
              <w:right w:val="nil"/>
            </w:tcBorders>
            <w:shd w:val="clear" w:color="auto" w:fill="auto"/>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107</w:t>
            </w:r>
          </w:p>
        </w:tc>
        <w:tc>
          <w:tcPr>
            <w:tcW w:w="866" w:type="dxa"/>
            <w:tcBorders>
              <w:top w:val="nil"/>
              <w:left w:val="nil"/>
              <w:bottom w:val="nil"/>
              <w:right w:val="nil"/>
            </w:tcBorders>
            <w:shd w:val="clear" w:color="auto" w:fill="auto"/>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36,5%</w:t>
            </w:r>
          </w:p>
        </w:tc>
      </w:tr>
      <w:tr w:rsidR="00732C76" w:rsidRPr="00732C76" w:rsidTr="008C77A9">
        <w:trPr>
          <w:trHeight w:val="63"/>
        </w:trPr>
        <w:tc>
          <w:tcPr>
            <w:tcW w:w="192"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 </w:t>
            </w:r>
          </w:p>
        </w:tc>
        <w:tc>
          <w:tcPr>
            <w:tcW w:w="3740" w:type="dxa"/>
            <w:tcBorders>
              <w:top w:val="nil"/>
              <w:left w:val="nil"/>
              <w:bottom w:val="nil"/>
              <w:right w:val="nil"/>
            </w:tcBorders>
            <w:shd w:val="clear" w:color="000000" w:fill="FFFFFF"/>
            <w:noWrap/>
            <w:vAlign w:val="center"/>
            <w:hideMark/>
          </w:tcPr>
          <w:p w:rsidR="00733A23" w:rsidRPr="00732C76" w:rsidRDefault="00486579" w:rsidP="00950B32">
            <w:pPr>
              <w:widowControl/>
              <w:suppressLineNumbers w:val="0"/>
              <w:suppressAutoHyphens w:val="0"/>
              <w:ind w:firstLine="0"/>
              <w:jc w:val="left"/>
              <w:rPr>
                <w:sz w:val="20"/>
              </w:rPr>
            </w:pPr>
            <w:r w:rsidRPr="00732C76">
              <w:rPr>
                <w:sz w:val="20"/>
              </w:rPr>
              <w:t>Sem informação sobre o art. 42*</w:t>
            </w:r>
          </w:p>
        </w:tc>
        <w:tc>
          <w:tcPr>
            <w:tcW w:w="551" w:type="dxa"/>
            <w:tcBorders>
              <w:top w:val="nil"/>
              <w:left w:val="single" w:sz="4" w:space="0" w:color="auto"/>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757"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0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0</w:t>
            </w:r>
          </w:p>
        </w:tc>
        <w:tc>
          <w:tcPr>
            <w:tcW w:w="862"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0,0%</w:t>
            </w:r>
          </w:p>
        </w:tc>
        <w:tc>
          <w:tcPr>
            <w:tcW w:w="544"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w:t>
            </w:r>
          </w:p>
        </w:tc>
        <w:tc>
          <w:tcPr>
            <w:tcW w:w="840" w:type="dxa"/>
            <w:tcBorders>
              <w:top w:val="nil"/>
              <w:left w:val="nil"/>
              <w:bottom w:val="nil"/>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0,7%</w:t>
            </w:r>
          </w:p>
        </w:tc>
        <w:tc>
          <w:tcPr>
            <w:tcW w:w="560"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5</w:t>
            </w:r>
          </w:p>
        </w:tc>
        <w:tc>
          <w:tcPr>
            <w:tcW w:w="866" w:type="dxa"/>
            <w:tcBorders>
              <w:top w:val="nil"/>
              <w:left w:val="nil"/>
              <w:bottom w:val="nil"/>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1,7%</w:t>
            </w:r>
          </w:p>
        </w:tc>
      </w:tr>
      <w:tr w:rsidR="00732C76" w:rsidRPr="00732C76" w:rsidTr="008C77A9">
        <w:trPr>
          <w:trHeight w:val="53"/>
        </w:trPr>
        <w:tc>
          <w:tcPr>
            <w:tcW w:w="3932" w:type="dxa"/>
            <w:gridSpan w:val="2"/>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left"/>
              <w:rPr>
                <w:sz w:val="20"/>
              </w:rPr>
            </w:pPr>
            <w:r w:rsidRPr="00732C76">
              <w:rPr>
                <w:sz w:val="20"/>
              </w:rPr>
              <w:t>Total</w:t>
            </w:r>
          </w:p>
        </w:tc>
        <w:tc>
          <w:tcPr>
            <w:tcW w:w="551" w:type="dxa"/>
            <w:tcBorders>
              <w:top w:val="single" w:sz="4" w:space="0" w:color="auto"/>
              <w:left w:val="single" w:sz="4" w:space="0" w:color="auto"/>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293</w:t>
            </w:r>
          </w:p>
        </w:tc>
        <w:tc>
          <w:tcPr>
            <w:tcW w:w="757"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00"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293</w:t>
            </w:r>
          </w:p>
        </w:tc>
        <w:tc>
          <w:tcPr>
            <w:tcW w:w="862"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44"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293</w:t>
            </w:r>
          </w:p>
        </w:tc>
        <w:tc>
          <w:tcPr>
            <w:tcW w:w="840" w:type="dxa"/>
            <w:tcBorders>
              <w:top w:val="single" w:sz="4" w:space="0" w:color="auto"/>
              <w:left w:val="nil"/>
              <w:bottom w:val="single" w:sz="4" w:space="0" w:color="auto"/>
              <w:right w:val="single" w:sz="4" w:space="0" w:color="auto"/>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c>
          <w:tcPr>
            <w:tcW w:w="560"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right"/>
              <w:rPr>
                <w:sz w:val="20"/>
              </w:rPr>
            </w:pPr>
            <w:r w:rsidRPr="00732C76">
              <w:rPr>
                <w:sz w:val="20"/>
              </w:rPr>
              <w:t>293</w:t>
            </w:r>
          </w:p>
        </w:tc>
        <w:tc>
          <w:tcPr>
            <w:tcW w:w="866" w:type="dxa"/>
            <w:tcBorders>
              <w:top w:val="single" w:sz="4" w:space="0" w:color="auto"/>
              <w:left w:val="nil"/>
              <w:bottom w:val="single" w:sz="4" w:space="0" w:color="auto"/>
              <w:right w:val="nil"/>
            </w:tcBorders>
            <w:shd w:val="clear" w:color="000000" w:fill="FFFFFF"/>
            <w:noWrap/>
            <w:vAlign w:val="center"/>
            <w:hideMark/>
          </w:tcPr>
          <w:p w:rsidR="00733A23" w:rsidRPr="00732C76" w:rsidRDefault="00733A23" w:rsidP="00950B32">
            <w:pPr>
              <w:widowControl/>
              <w:suppressLineNumbers w:val="0"/>
              <w:suppressAutoHyphens w:val="0"/>
              <w:ind w:firstLine="0"/>
              <w:jc w:val="center"/>
              <w:rPr>
                <w:sz w:val="20"/>
              </w:rPr>
            </w:pPr>
            <w:r w:rsidRPr="00732C76">
              <w:rPr>
                <w:sz w:val="20"/>
              </w:rPr>
              <w:t>100,0%</w:t>
            </w:r>
          </w:p>
        </w:tc>
      </w:tr>
      <w:tr w:rsidR="00732C76" w:rsidRPr="00732C76" w:rsidTr="008C77A9">
        <w:trPr>
          <w:trHeight w:val="211"/>
        </w:trPr>
        <w:tc>
          <w:tcPr>
            <w:tcW w:w="9412" w:type="dxa"/>
            <w:gridSpan w:val="10"/>
            <w:tcBorders>
              <w:top w:val="single" w:sz="4" w:space="0" w:color="auto"/>
              <w:left w:val="nil"/>
              <w:bottom w:val="single" w:sz="4" w:space="0" w:color="000000"/>
              <w:right w:val="nil"/>
            </w:tcBorders>
            <w:vAlign w:val="center"/>
            <w:hideMark/>
          </w:tcPr>
          <w:p w:rsidR="001912D9" w:rsidRPr="00732C76" w:rsidRDefault="001912D9" w:rsidP="00950B32">
            <w:pPr>
              <w:ind w:firstLine="0"/>
              <w:rPr>
                <w:b/>
                <w:sz w:val="20"/>
              </w:rPr>
            </w:pPr>
            <w:r w:rsidRPr="00732C76">
              <w:rPr>
                <w:sz w:val="20"/>
              </w:rPr>
              <w:t>* Não foi po</w:t>
            </w:r>
            <w:r w:rsidR="009C45AB" w:rsidRPr="00732C76">
              <w:rPr>
                <w:sz w:val="20"/>
              </w:rPr>
              <w:t>ssível identificar quais foram a</w:t>
            </w:r>
            <w:r w:rsidRPr="00732C76">
              <w:rPr>
                <w:sz w:val="20"/>
              </w:rPr>
              <w:t xml:space="preserve">s restrições remanescentes apontadas no relatório da Diretoria de Controle dos Municípios (DMU), por não se ter acesso a </w:t>
            </w:r>
            <w:r w:rsidR="009C45AB" w:rsidRPr="00732C76">
              <w:rPr>
                <w:sz w:val="20"/>
              </w:rPr>
              <w:t>ess</w:t>
            </w:r>
            <w:r w:rsidRPr="00732C76">
              <w:rPr>
                <w:sz w:val="20"/>
              </w:rPr>
              <w:t>e documento, ou ao relatório e voto do relator.</w:t>
            </w:r>
          </w:p>
        </w:tc>
      </w:tr>
    </w:tbl>
    <w:p w:rsidR="00FB2ED9" w:rsidRPr="00732C76" w:rsidRDefault="00832AC8" w:rsidP="00CF10BB">
      <w:pPr>
        <w:ind w:firstLine="0"/>
        <w:rPr>
          <w:sz w:val="20"/>
        </w:rPr>
      </w:pPr>
      <w:r w:rsidRPr="00732C76">
        <w:rPr>
          <w:sz w:val="20"/>
        </w:rPr>
        <w:t xml:space="preserve"> </w:t>
      </w:r>
      <w:r w:rsidR="001912D9" w:rsidRPr="00732C76">
        <w:rPr>
          <w:sz w:val="20"/>
        </w:rPr>
        <w:t>Fonte: Elaborado pelos autores a partir de disposições de TCE/SC (2016a).</w:t>
      </w:r>
    </w:p>
    <w:p w:rsidR="00527DD9" w:rsidRDefault="00527DD9" w:rsidP="00CF10BB">
      <w:pPr>
        <w:ind w:firstLine="0"/>
        <w:rPr>
          <w:sz w:val="20"/>
        </w:rPr>
      </w:pPr>
    </w:p>
    <w:p w:rsidR="00CB2A89" w:rsidRPr="00EC394E" w:rsidRDefault="00CB2A89" w:rsidP="00C96A3E">
      <w:pPr>
        <w:rPr>
          <w:rFonts w:ascii="Arial" w:hAnsi="Arial" w:cs="Arial"/>
          <w:sz w:val="22"/>
          <w:szCs w:val="22"/>
        </w:rPr>
      </w:pPr>
      <w:r w:rsidRPr="00EC394E">
        <w:rPr>
          <w:rFonts w:ascii="Arial" w:hAnsi="Arial" w:cs="Arial"/>
          <w:sz w:val="22"/>
          <w:szCs w:val="22"/>
        </w:rPr>
        <w:lastRenderedPageBreak/>
        <w:t xml:space="preserve">Com base na Tabela 1, pode-se observar que no exercício financeiro de 2000, dos 293 municípios catarinenses que tiveram suas contas apreciadas pelo Tribunal de Contas do Estado de Santa Catarina (TCE/SC), 82 (28%) obtiveram parecer prévio pela aprovação e 211 (72%) pela rejeição. Dos 211 municípios que tiveram suas contas com parecer pela rejeição, 198 (93,8%) enquadraram-se na categoria de “rejeitado pelo descumprimento do art. 42”, ou seja, dentre os motivos que ensejaram a rejeição, constava o descumprimento do art. 42 da Lei de Responsabilidade Fiscal (LRF). </w:t>
      </w:r>
    </w:p>
    <w:p w:rsidR="00CB2A89" w:rsidRPr="00EC394E" w:rsidRDefault="00CB2A89" w:rsidP="00C96A3E">
      <w:pPr>
        <w:rPr>
          <w:rFonts w:ascii="Arial" w:hAnsi="Arial" w:cs="Arial"/>
          <w:sz w:val="22"/>
          <w:szCs w:val="22"/>
        </w:rPr>
      </w:pPr>
      <w:r w:rsidRPr="00EC394E">
        <w:rPr>
          <w:rFonts w:ascii="Arial" w:hAnsi="Arial" w:cs="Arial"/>
          <w:sz w:val="22"/>
          <w:szCs w:val="22"/>
        </w:rPr>
        <w:t>No exercício financeiro de 2004, dos 293 municípios que tiveram suas contas apreciadas pelo TCE/SC, 216 (73,7%) obtiveram parecer prévio pela aprovação e 77 (26,3%) pela rejeição. Dos 216 pareceres prévios pela aprovação, 76 (35,2%) enquadraram-se na categoria de “aprovado com o descumprimento do art. 42”.</w:t>
      </w:r>
      <w:r w:rsidR="00980364" w:rsidRPr="00EC394E">
        <w:rPr>
          <w:rFonts w:ascii="Arial" w:hAnsi="Arial" w:cs="Arial"/>
          <w:sz w:val="22"/>
          <w:szCs w:val="22"/>
        </w:rPr>
        <w:t xml:space="preserve"> </w:t>
      </w:r>
      <w:r w:rsidRPr="00EC394E">
        <w:rPr>
          <w:rFonts w:ascii="Arial" w:hAnsi="Arial" w:cs="Arial"/>
          <w:sz w:val="22"/>
          <w:szCs w:val="22"/>
        </w:rPr>
        <w:t>Nes</w:t>
      </w:r>
      <w:r w:rsidR="004B3F0C" w:rsidRPr="00EC394E">
        <w:rPr>
          <w:rFonts w:ascii="Arial" w:hAnsi="Arial" w:cs="Arial"/>
          <w:sz w:val="22"/>
          <w:szCs w:val="22"/>
        </w:rPr>
        <w:t>s</w:t>
      </w:r>
      <w:r w:rsidRPr="00EC394E">
        <w:rPr>
          <w:rFonts w:ascii="Arial" w:hAnsi="Arial" w:cs="Arial"/>
          <w:sz w:val="22"/>
          <w:szCs w:val="22"/>
        </w:rPr>
        <w:t xml:space="preserve">e caso, apesar de o município não ter cumprido o limite para inscrição em restos a pagar, suas contas anuais obtiveram parecer pela aprovação. Tal situação </w:t>
      </w:r>
      <w:r w:rsidR="00980364" w:rsidRPr="00EC394E">
        <w:rPr>
          <w:rFonts w:ascii="Arial" w:hAnsi="Arial" w:cs="Arial"/>
          <w:sz w:val="22"/>
          <w:szCs w:val="22"/>
        </w:rPr>
        <w:t xml:space="preserve">se </w:t>
      </w:r>
      <w:r w:rsidRPr="00EC394E">
        <w:rPr>
          <w:rFonts w:ascii="Arial" w:hAnsi="Arial" w:cs="Arial"/>
          <w:sz w:val="22"/>
          <w:szCs w:val="22"/>
        </w:rPr>
        <w:t>justifica</w:t>
      </w:r>
      <w:r w:rsidR="00980364" w:rsidRPr="00EC394E">
        <w:rPr>
          <w:rFonts w:ascii="Arial" w:hAnsi="Arial" w:cs="Arial"/>
          <w:sz w:val="22"/>
          <w:szCs w:val="22"/>
        </w:rPr>
        <w:t xml:space="preserve"> </w:t>
      </w:r>
      <w:r w:rsidRPr="00EC394E">
        <w:rPr>
          <w:rFonts w:ascii="Arial" w:hAnsi="Arial" w:cs="Arial"/>
          <w:sz w:val="22"/>
          <w:szCs w:val="22"/>
        </w:rPr>
        <w:t>pelo fato de o TCE/SC ter estabelecido uma margem de flexibilização para os municípios que descumprissem o art. 42 da LRF. Para fins de exemplificação, segue um trecho do relatório e voto do relator</w:t>
      </w:r>
      <w:r w:rsidR="008F465E" w:rsidRPr="00EC394E">
        <w:rPr>
          <w:rFonts w:ascii="Arial" w:hAnsi="Arial" w:cs="Arial"/>
          <w:sz w:val="22"/>
          <w:szCs w:val="22"/>
        </w:rPr>
        <w:t>,</w:t>
      </w:r>
      <w:r w:rsidRPr="00EC394E">
        <w:rPr>
          <w:rFonts w:ascii="Arial" w:hAnsi="Arial" w:cs="Arial"/>
          <w:sz w:val="22"/>
          <w:szCs w:val="22"/>
        </w:rPr>
        <w:t xml:space="preserve"> referente ao PCP </w:t>
      </w:r>
      <w:r w:rsidRPr="00EC394E">
        <w:rPr>
          <w:rFonts w:ascii="Arial" w:hAnsi="Arial" w:cs="Arial"/>
          <w:bCs/>
          <w:sz w:val="22"/>
          <w:szCs w:val="22"/>
        </w:rPr>
        <w:t>05/00644446</w:t>
      </w:r>
      <w:r w:rsidRPr="00EC394E">
        <w:rPr>
          <w:rFonts w:ascii="Arial" w:hAnsi="Arial" w:cs="Arial"/>
          <w:sz w:val="22"/>
          <w:szCs w:val="22"/>
        </w:rPr>
        <w:t xml:space="preserve"> (TCE/SC, 2007):</w:t>
      </w:r>
    </w:p>
    <w:p w:rsidR="00CB2A89" w:rsidRPr="00EC394E" w:rsidRDefault="00CB2A89" w:rsidP="00BE0A64">
      <w:pPr>
        <w:ind w:left="2268" w:firstLine="0"/>
        <w:rPr>
          <w:rFonts w:ascii="Arial" w:hAnsi="Arial" w:cs="Arial"/>
          <w:sz w:val="20"/>
        </w:rPr>
      </w:pPr>
      <w:r w:rsidRPr="00EC394E">
        <w:rPr>
          <w:rFonts w:ascii="Arial" w:hAnsi="Arial" w:cs="Arial"/>
          <w:sz w:val="20"/>
        </w:rPr>
        <w:t xml:space="preserve">Aplicando-se o mesmo raciocínio ao item </w:t>
      </w:r>
      <w:r w:rsidRPr="00EC394E">
        <w:rPr>
          <w:rFonts w:ascii="Arial" w:hAnsi="Arial" w:cs="Arial"/>
          <w:b/>
          <w:sz w:val="20"/>
        </w:rPr>
        <w:t>II.A.4</w:t>
      </w:r>
      <w:r w:rsidRPr="00EC394E">
        <w:rPr>
          <w:rFonts w:ascii="Arial" w:hAnsi="Arial" w:cs="Arial"/>
          <w:sz w:val="20"/>
        </w:rPr>
        <w:t xml:space="preserve">, que trata do descumprimento do parágrafo único e </w:t>
      </w:r>
      <w:r w:rsidRPr="00EC394E">
        <w:rPr>
          <w:rFonts w:ascii="Arial" w:hAnsi="Arial" w:cs="Arial"/>
          <w:i/>
          <w:sz w:val="20"/>
        </w:rPr>
        <w:t xml:space="preserve">caput </w:t>
      </w:r>
      <w:r w:rsidRPr="00EC394E">
        <w:rPr>
          <w:rFonts w:ascii="Arial" w:hAnsi="Arial" w:cs="Arial"/>
          <w:sz w:val="20"/>
        </w:rPr>
        <w:t xml:space="preserve">do artigo 42 da Lei Complementar nº 101/2000 (LRF), tem-se uma redução daquele valor (R$ 131.131,50), que passaria a ser de R$ 24.806,78, representando 2,24 dias/arrecadação, e, portanto, dentro da margem de flexibilização definida na Reunião Administrativa do dia 22/11/05 (Ata nº 21/2005), de 10 dias/arrecadação (d/a) da Unidade Prefeitura. </w:t>
      </w:r>
    </w:p>
    <w:p w:rsidR="00CB2A89" w:rsidRPr="00EC394E" w:rsidRDefault="00CB2A89" w:rsidP="00C96A3E">
      <w:pPr>
        <w:autoSpaceDE w:val="0"/>
        <w:autoSpaceDN w:val="0"/>
        <w:adjustRightInd w:val="0"/>
        <w:rPr>
          <w:rFonts w:ascii="Arial" w:hAnsi="Arial" w:cs="Arial"/>
          <w:sz w:val="22"/>
          <w:szCs w:val="22"/>
        </w:rPr>
      </w:pPr>
      <w:bookmarkStart w:id="5" w:name="h.e8l4d1ahinwa" w:colFirst="0" w:colLast="0"/>
      <w:bookmarkEnd w:id="5"/>
      <w:r w:rsidRPr="00EC394E">
        <w:rPr>
          <w:rFonts w:ascii="Arial" w:hAnsi="Arial" w:cs="Arial"/>
          <w:sz w:val="22"/>
          <w:szCs w:val="22"/>
        </w:rPr>
        <w:t>De acordo com os relatórios e votos dos relatores, em que a flexibilização do descumprimento do art. 42 foi identificada como no caso anterior, tal restrição só foi flexibilizada</w:t>
      </w:r>
      <w:r w:rsidR="00457504" w:rsidRPr="00EC394E">
        <w:rPr>
          <w:rFonts w:ascii="Arial" w:hAnsi="Arial" w:cs="Arial"/>
          <w:sz w:val="22"/>
          <w:szCs w:val="22"/>
        </w:rPr>
        <w:t xml:space="preserve"> </w:t>
      </w:r>
      <w:r w:rsidRPr="00EC394E">
        <w:rPr>
          <w:rFonts w:ascii="Arial" w:hAnsi="Arial" w:cs="Arial"/>
          <w:sz w:val="22"/>
          <w:szCs w:val="22"/>
        </w:rPr>
        <w:t>“por não ser capaz de comprometer a execução orçamentária” dos municípios no exercício financeiro subsequente (TCE/SC, 2016a).</w:t>
      </w:r>
    </w:p>
    <w:p w:rsidR="00CB2A89" w:rsidRPr="00EC394E" w:rsidRDefault="00CB2A89" w:rsidP="00C96A3E">
      <w:pPr>
        <w:rPr>
          <w:rFonts w:ascii="Arial" w:hAnsi="Arial" w:cs="Arial"/>
          <w:sz w:val="22"/>
          <w:szCs w:val="22"/>
        </w:rPr>
      </w:pPr>
      <w:r w:rsidRPr="00EC394E">
        <w:rPr>
          <w:rFonts w:ascii="Arial" w:hAnsi="Arial" w:cs="Arial"/>
          <w:sz w:val="22"/>
          <w:szCs w:val="22"/>
        </w:rPr>
        <w:t xml:space="preserve">Ainda no exercício de 2004, dos 77 pareceres prévios pela rejeição, 69 (89,6%) enquadraram-se na categoria de “rejeitado pelo descumprimento do art. 42” e 5 (6,5%) como “rejeitado com o descumprimento do art. 42”. No último caso, apesar de o município não ter cumprido o limite para inscrição em restos a pagar, suas contas anuais foram rejeitadas por outros motivos. Sendo assim, a restrição também foi relevada de acordo com a margem de flexibilização de </w:t>
      </w:r>
      <w:r w:rsidR="000C7D74" w:rsidRPr="00EC394E">
        <w:rPr>
          <w:rFonts w:ascii="Arial" w:hAnsi="Arial" w:cs="Arial"/>
          <w:sz w:val="22"/>
          <w:szCs w:val="22"/>
        </w:rPr>
        <w:t xml:space="preserve">dez </w:t>
      </w:r>
      <w:r w:rsidRPr="00EC394E">
        <w:rPr>
          <w:rFonts w:ascii="Arial" w:hAnsi="Arial" w:cs="Arial"/>
          <w:sz w:val="22"/>
          <w:szCs w:val="22"/>
        </w:rPr>
        <w:t>dias de arrecadação instituída pelo TCE/SC em reunião administrativa.</w:t>
      </w:r>
    </w:p>
    <w:p w:rsidR="00CB2A89" w:rsidRPr="00EC394E" w:rsidRDefault="00CB2A89" w:rsidP="00C96A3E">
      <w:pPr>
        <w:rPr>
          <w:rFonts w:ascii="Arial" w:hAnsi="Arial" w:cs="Arial"/>
          <w:sz w:val="22"/>
          <w:szCs w:val="22"/>
        </w:rPr>
      </w:pPr>
      <w:r w:rsidRPr="00EC394E">
        <w:rPr>
          <w:rFonts w:ascii="Arial" w:hAnsi="Arial" w:cs="Arial"/>
          <w:sz w:val="22"/>
          <w:szCs w:val="22"/>
        </w:rPr>
        <w:t>No exercício financeiro de 2008, dos 293 municípios que tiveram suas contas apreciadas pelo TCE/SC, 262 (89,4%) obtiveram parecer prévio pela aprovação e 31 (10,6%) pela rejeição. Dos 262 pareceres prévios pela aprovação, 42 (16%) enquadraram-se na categoria de “aprovado com o descumprimento do art. 42”. Por sua vez, dos 31 pareceres prévios pela rejeição, 26 (83,9%) enquadram-se na categoria de “rejeitado pelo descumprimento do art. 42”.</w:t>
      </w:r>
      <w:r w:rsidR="0030194B" w:rsidRPr="00EC394E">
        <w:rPr>
          <w:rFonts w:ascii="Arial" w:hAnsi="Arial" w:cs="Arial"/>
          <w:sz w:val="22"/>
          <w:szCs w:val="22"/>
        </w:rPr>
        <w:t xml:space="preserve"> </w:t>
      </w:r>
      <w:r w:rsidRPr="00EC394E">
        <w:rPr>
          <w:rFonts w:ascii="Arial" w:hAnsi="Arial" w:cs="Arial"/>
          <w:sz w:val="22"/>
          <w:szCs w:val="22"/>
        </w:rPr>
        <w:t>Apesar de o TCE/SC não ter estabelecido formalmente uma margem de flexibilização para os municípios que descumprissem o art. 42 da LRF, no exercício financeiro de 2008 os relatores ao emitirem seus votos, evocaram os parâmetros estabelecidos no exercício financeiro de 2004</w:t>
      </w:r>
      <w:r w:rsidR="00295B8A" w:rsidRPr="00EC394E">
        <w:rPr>
          <w:rFonts w:ascii="Arial" w:hAnsi="Arial" w:cs="Arial"/>
          <w:sz w:val="22"/>
          <w:szCs w:val="22"/>
        </w:rPr>
        <w:t xml:space="preserve"> </w:t>
      </w:r>
      <w:r w:rsidRPr="00EC394E">
        <w:rPr>
          <w:rFonts w:ascii="Arial" w:hAnsi="Arial" w:cs="Arial"/>
          <w:sz w:val="22"/>
          <w:szCs w:val="22"/>
        </w:rPr>
        <w:t>(TCE/SC, 2009)</w:t>
      </w:r>
      <w:r w:rsidR="009A226E" w:rsidRPr="00EC394E">
        <w:rPr>
          <w:rFonts w:ascii="Arial" w:hAnsi="Arial" w:cs="Arial"/>
          <w:sz w:val="22"/>
          <w:szCs w:val="22"/>
        </w:rPr>
        <w:t xml:space="preserve">. </w:t>
      </w:r>
    </w:p>
    <w:p w:rsidR="00CB2A89" w:rsidRPr="00EC394E" w:rsidRDefault="00CB2A89" w:rsidP="00C96A3E">
      <w:pPr>
        <w:rPr>
          <w:rFonts w:ascii="Arial" w:hAnsi="Arial" w:cs="Arial"/>
          <w:sz w:val="22"/>
          <w:szCs w:val="22"/>
        </w:rPr>
      </w:pPr>
      <w:r w:rsidRPr="00EC394E">
        <w:rPr>
          <w:rFonts w:ascii="Arial" w:hAnsi="Arial" w:cs="Arial"/>
          <w:sz w:val="22"/>
          <w:szCs w:val="22"/>
        </w:rPr>
        <w:t>No exercício financeiro de 2012, dos 293 municípios que tiveram suas contas apreciadas pelo TCE/SC, 241 (82,3%) obtiveram parecer prévio pela aprovação e 52 (17,7%) pela rejeição. Dos 241 pareceres prévios pela aprovação, 60 (24,9%) enquadraram-se na categoria de “aprovado com o descumprimento do art. 42”. Por sua vez, dos 52 pareceres prévios pela rejeição, 49 (94,2%) enquadram-se na categoria de “rejeitado pelo descumprimento do art. 42</w:t>
      </w:r>
      <w:r w:rsidR="00EF3069" w:rsidRPr="00EC394E">
        <w:rPr>
          <w:rFonts w:ascii="Arial" w:hAnsi="Arial" w:cs="Arial"/>
          <w:sz w:val="22"/>
          <w:szCs w:val="22"/>
        </w:rPr>
        <w:t xml:space="preserve">” </w:t>
      </w:r>
      <w:r w:rsidRPr="00EC394E">
        <w:rPr>
          <w:rFonts w:ascii="Arial" w:hAnsi="Arial" w:cs="Arial"/>
          <w:sz w:val="22"/>
          <w:szCs w:val="22"/>
        </w:rPr>
        <w:t xml:space="preserve">e um (1,9%) de “rejeitado com o descumprimento do art. 42”. </w:t>
      </w:r>
    </w:p>
    <w:p w:rsidR="00CB2A89" w:rsidRPr="00EC394E" w:rsidRDefault="00CB2A89" w:rsidP="00C96A3E">
      <w:pPr>
        <w:rPr>
          <w:rFonts w:ascii="Arial" w:hAnsi="Arial" w:cs="Arial"/>
          <w:sz w:val="22"/>
          <w:szCs w:val="22"/>
        </w:rPr>
      </w:pPr>
      <w:r w:rsidRPr="00EC394E">
        <w:rPr>
          <w:rFonts w:ascii="Arial" w:hAnsi="Arial" w:cs="Arial"/>
          <w:sz w:val="22"/>
          <w:szCs w:val="22"/>
        </w:rPr>
        <w:t xml:space="preserve">Na avaliação geral dos pareceres prévios dos exercícios financeiros de 2000, 2004, 2008 </w:t>
      </w:r>
      <w:r w:rsidRPr="00EC394E">
        <w:rPr>
          <w:rFonts w:ascii="Arial" w:hAnsi="Arial" w:cs="Arial"/>
          <w:sz w:val="22"/>
          <w:szCs w:val="22"/>
        </w:rPr>
        <w:lastRenderedPageBreak/>
        <w:t>e 2012, pode-se observar, respectivamente, que dos 293 municípios catarinenses que tiveram suas contas apreciadas pelo TCE/SC, 198 (67,6%), 150 (51,2%), 68 (23,2%)</w:t>
      </w:r>
      <w:r w:rsidR="00284B4B" w:rsidRPr="00EC394E">
        <w:rPr>
          <w:rFonts w:ascii="Arial" w:hAnsi="Arial" w:cs="Arial"/>
          <w:sz w:val="22"/>
          <w:szCs w:val="22"/>
        </w:rPr>
        <w:t xml:space="preserve"> </w:t>
      </w:r>
      <w:r w:rsidRPr="00EC394E">
        <w:rPr>
          <w:rFonts w:ascii="Arial" w:hAnsi="Arial" w:cs="Arial"/>
          <w:sz w:val="22"/>
          <w:szCs w:val="22"/>
        </w:rPr>
        <w:t>e 110 (37,5%) enquadraram-se na categoria de “descumpriram o art. 42”. Deste modo, tais municípios não cumpriram o limite para inscrição em restos a pagar,</w:t>
      </w:r>
      <w:r w:rsidR="00A034C0" w:rsidRPr="00EC394E">
        <w:rPr>
          <w:rFonts w:ascii="Arial" w:hAnsi="Arial" w:cs="Arial"/>
          <w:sz w:val="22"/>
          <w:szCs w:val="22"/>
        </w:rPr>
        <w:t xml:space="preserve"> </w:t>
      </w:r>
      <w:r w:rsidRPr="00EC394E">
        <w:rPr>
          <w:rFonts w:ascii="Arial" w:hAnsi="Arial" w:cs="Arial"/>
          <w:sz w:val="22"/>
          <w:szCs w:val="22"/>
        </w:rPr>
        <w:t>independentemente de terem obtido pareceres prévios pela aprovação</w:t>
      </w:r>
      <w:r w:rsidR="00C04C6D" w:rsidRPr="00EC394E">
        <w:rPr>
          <w:rFonts w:ascii="Arial" w:hAnsi="Arial" w:cs="Arial"/>
          <w:sz w:val="22"/>
          <w:szCs w:val="22"/>
        </w:rPr>
        <w:t xml:space="preserve"> </w:t>
      </w:r>
      <w:r w:rsidRPr="00EC394E">
        <w:rPr>
          <w:rFonts w:ascii="Arial" w:hAnsi="Arial" w:cs="Arial"/>
          <w:sz w:val="22"/>
          <w:szCs w:val="22"/>
        </w:rPr>
        <w:t>ou pela rejeição.</w:t>
      </w:r>
    </w:p>
    <w:p w:rsidR="00CB2A89" w:rsidRPr="00EC394E" w:rsidRDefault="00CB2A89" w:rsidP="00C96A3E">
      <w:pPr>
        <w:rPr>
          <w:rFonts w:ascii="Arial" w:hAnsi="Arial" w:cs="Arial"/>
          <w:sz w:val="22"/>
          <w:szCs w:val="22"/>
        </w:rPr>
      </w:pPr>
      <w:r w:rsidRPr="00EC394E">
        <w:rPr>
          <w:rFonts w:ascii="Arial" w:hAnsi="Arial" w:cs="Arial"/>
          <w:sz w:val="22"/>
          <w:szCs w:val="22"/>
        </w:rPr>
        <w:t xml:space="preserve">Considera-se que das 1072 contas apreciadas pelo TCE/SC, </w:t>
      </w:r>
      <w:r w:rsidR="007E6A1C" w:rsidRPr="00EC394E">
        <w:rPr>
          <w:rFonts w:ascii="Arial" w:hAnsi="Arial" w:cs="Arial"/>
          <w:sz w:val="22"/>
          <w:szCs w:val="22"/>
        </w:rPr>
        <w:t>por meio d</w:t>
      </w:r>
      <w:r w:rsidRPr="00EC394E">
        <w:rPr>
          <w:rFonts w:ascii="Arial" w:hAnsi="Arial" w:cs="Arial"/>
          <w:sz w:val="22"/>
          <w:szCs w:val="22"/>
        </w:rPr>
        <w:t xml:space="preserve">as quais se teve acesso às informações quanto ao cumprimento e o descumprimento do limite para inscrição em restos a pagar, 49% (526) delas “descumpriram o art. 42” da LRF. </w:t>
      </w:r>
    </w:p>
    <w:p w:rsidR="003F4DC8" w:rsidRPr="00EC394E" w:rsidRDefault="00CB2A89" w:rsidP="004475D1">
      <w:pPr>
        <w:ind w:left="-5" w:firstLine="720"/>
        <w:rPr>
          <w:rFonts w:ascii="Arial" w:hAnsi="Arial" w:cs="Arial"/>
          <w:sz w:val="22"/>
          <w:szCs w:val="22"/>
        </w:rPr>
      </w:pPr>
      <w:r w:rsidRPr="00EC394E">
        <w:rPr>
          <w:rFonts w:ascii="Arial" w:hAnsi="Arial" w:cs="Arial"/>
          <w:sz w:val="22"/>
          <w:szCs w:val="22"/>
        </w:rPr>
        <w:t>Posteriormente à emissão dos pareceres prévios sobre as contas municipais, caberia pedido de reapreciação por parte dos prefeitos ou das câmaras municipais, conforme previsto no</w:t>
      </w:r>
      <w:r w:rsidR="00335EA5" w:rsidRPr="00EC394E">
        <w:rPr>
          <w:rFonts w:ascii="Arial" w:hAnsi="Arial" w:cs="Arial"/>
          <w:sz w:val="22"/>
          <w:szCs w:val="22"/>
        </w:rPr>
        <w:t xml:space="preserve"> art. 93 do</w:t>
      </w:r>
      <w:r w:rsidRPr="00EC394E">
        <w:rPr>
          <w:rFonts w:ascii="Arial" w:hAnsi="Arial" w:cs="Arial"/>
          <w:sz w:val="22"/>
          <w:szCs w:val="22"/>
        </w:rPr>
        <w:t xml:space="preserve"> Regimento Interno do TCE/SC</w:t>
      </w:r>
      <w:r w:rsidR="00335EA5" w:rsidRPr="00EC394E">
        <w:rPr>
          <w:rFonts w:ascii="Arial" w:hAnsi="Arial" w:cs="Arial"/>
          <w:sz w:val="22"/>
          <w:szCs w:val="22"/>
        </w:rPr>
        <w:t>.</w:t>
      </w:r>
      <w:r w:rsidR="004475D1" w:rsidRPr="00EC394E">
        <w:rPr>
          <w:rFonts w:ascii="Arial" w:hAnsi="Arial" w:cs="Arial"/>
          <w:sz w:val="22"/>
          <w:szCs w:val="22"/>
        </w:rPr>
        <w:t xml:space="preserve"> </w:t>
      </w:r>
      <w:r w:rsidRPr="00EC394E">
        <w:rPr>
          <w:rFonts w:ascii="Arial" w:hAnsi="Arial" w:cs="Arial"/>
          <w:sz w:val="22"/>
          <w:szCs w:val="22"/>
        </w:rPr>
        <w:t xml:space="preserve">Com fundamento no </w:t>
      </w:r>
      <w:r w:rsidR="0029692F" w:rsidRPr="00EC394E">
        <w:rPr>
          <w:rFonts w:ascii="Arial" w:hAnsi="Arial" w:cs="Arial"/>
          <w:sz w:val="22"/>
          <w:szCs w:val="22"/>
        </w:rPr>
        <w:t xml:space="preserve">referido </w:t>
      </w:r>
      <w:r w:rsidRPr="00EC394E">
        <w:rPr>
          <w:rFonts w:ascii="Arial" w:hAnsi="Arial" w:cs="Arial"/>
          <w:sz w:val="22"/>
          <w:szCs w:val="22"/>
        </w:rPr>
        <w:t>artigo, 198 municípios catarinenses entraram com o pedido de reapreciação sobre as contas municipais do exercício financeiro de 200</w:t>
      </w:r>
      <w:r w:rsidR="00F221D3" w:rsidRPr="00EC394E">
        <w:rPr>
          <w:rFonts w:ascii="Arial" w:hAnsi="Arial" w:cs="Arial"/>
          <w:sz w:val="22"/>
          <w:szCs w:val="22"/>
        </w:rPr>
        <w:t xml:space="preserve">0, enquanto que nos exercícios </w:t>
      </w:r>
      <w:r w:rsidRPr="00EC394E">
        <w:rPr>
          <w:rFonts w:ascii="Arial" w:hAnsi="Arial" w:cs="Arial"/>
          <w:sz w:val="22"/>
          <w:szCs w:val="22"/>
        </w:rPr>
        <w:t>de 2004, 2008 e 2012 o número de reapreciações foi de 69, 27 e 28, respectivamente.</w:t>
      </w:r>
      <w:r w:rsidR="00F27A61" w:rsidRPr="00EC394E">
        <w:rPr>
          <w:rFonts w:ascii="Arial" w:hAnsi="Arial" w:cs="Arial"/>
          <w:sz w:val="22"/>
          <w:szCs w:val="22"/>
        </w:rPr>
        <w:t xml:space="preserve"> </w:t>
      </w:r>
      <w:r w:rsidRPr="00EC394E">
        <w:rPr>
          <w:rFonts w:ascii="Arial" w:hAnsi="Arial" w:cs="Arial"/>
          <w:sz w:val="22"/>
          <w:szCs w:val="22"/>
        </w:rPr>
        <w:t>No gráfico a seguir, é possível visualizar os resultados dos pareceres emitidos pelo TCE/SC, antes e após os pedidos de reapreciações.</w:t>
      </w:r>
    </w:p>
    <w:p w:rsidR="00FB2ED9" w:rsidRPr="00EC394E" w:rsidRDefault="00FB2ED9" w:rsidP="00C96A3E">
      <w:pPr>
        <w:ind w:left="-6" w:firstLine="703"/>
        <w:rPr>
          <w:rFonts w:ascii="Arial" w:hAnsi="Arial" w:cs="Arial"/>
          <w:sz w:val="22"/>
          <w:szCs w:val="22"/>
        </w:rPr>
      </w:pPr>
    </w:p>
    <w:p w:rsidR="004F7DC7" w:rsidRPr="00EC394E" w:rsidRDefault="004F7DC7" w:rsidP="004F7DC7">
      <w:pPr>
        <w:ind w:firstLine="0"/>
        <w:jc w:val="center"/>
        <w:rPr>
          <w:sz w:val="22"/>
          <w:szCs w:val="22"/>
        </w:rPr>
      </w:pPr>
      <w:r w:rsidRPr="00EC394E">
        <w:rPr>
          <w:b/>
          <w:sz w:val="22"/>
          <w:szCs w:val="22"/>
        </w:rPr>
        <w:t>Gráfico 1 – Resultados dos pareceres do TCE/SC sobre os municípios – 2000, 2004, 2008 e 2012</w:t>
      </w:r>
    </w:p>
    <w:p w:rsidR="008850AB" w:rsidRPr="00EC394E" w:rsidRDefault="00985741" w:rsidP="00564135">
      <w:pPr>
        <w:ind w:left="-6" w:firstLine="6"/>
        <w:jc w:val="center"/>
        <w:rPr>
          <w:sz w:val="20"/>
        </w:rPr>
      </w:pPr>
      <w:r w:rsidRPr="004F7DC7">
        <w:rPr>
          <w:noProof/>
          <w:sz w:val="20"/>
        </w:rPr>
        <w:drawing>
          <wp:inline distT="0" distB="0" distL="0" distR="0" wp14:anchorId="69970004" wp14:editId="1C0DEEDF">
            <wp:extent cx="5972175" cy="3108960"/>
            <wp:effectExtent l="0" t="0" r="9525" b="1524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64135" w:rsidRPr="00EC394E">
        <w:rPr>
          <w:sz w:val="20"/>
        </w:rPr>
        <w:t>Fonte: Elaborado pelos autores a partir de disposições de TCE/SC (2016a). Tabela 1.</w:t>
      </w:r>
    </w:p>
    <w:p w:rsidR="00ED3F0B" w:rsidRPr="00EC394E" w:rsidRDefault="00ED3F0B" w:rsidP="00564135">
      <w:pPr>
        <w:ind w:left="-6" w:firstLine="6"/>
        <w:jc w:val="center"/>
        <w:rPr>
          <w:sz w:val="20"/>
        </w:rPr>
      </w:pPr>
    </w:p>
    <w:p w:rsidR="000A154F" w:rsidRPr="00EC394E" w:rsidRDefault="000A154F" w:rsidP="00C96A3E">
      <w:pPr>
        <w:ind w:firstLine="714"/>
        <w:rPr>
          <w:rFonts w:ascii="Arial" w:hAnsi="Arial" w:cs="Arial"/>
          <w:sz w:val="22"/>
          <w:szCs w:val="22"/>
        </w:rPr>
      </w:pPr>
      <w:r w:rsidRPr="00EC394E">
        <w:rPr>
          <w:rFonts w:ascii="Arial" w:hAnsi="Arial" w:cs="Arial"/>
          <w:sz w:val="22"/>
          <w:szCs w:val="22"/>
        </w:rPr>
        <w:t xml:space="preserve">Com base no Gráfico 1 e na Tabela 1, pode-se observar que após os pedidos de reapreciações, os resultados do exercício financeiro de 2000 praticamente se inverteram. O número de contas com parecer pela aprovação passou de 82 (28%) para 226 (77,1%), o que corresponde a um aumento de 175,6%. Das 226 aprovações, uma (0,4%) enquadrou-se na categoria de “aprovado com o descumprimento do art. 42”. Por sua vez, o número de contas com parecer pela rejeição passou de 211 (72%) para 67 (22,9%). Assim, houve um total de 144 pareceres modificados, ou seja, os municípios que obtiveram parecer prévio pela rejeição passaram a ter suas contas com parecer pela aprovação após os pedidos de reapreciações. Das </w:t>
      </w:r>
      <w:r w:rsidRPr="00EC394E">
        <w:rPr>
          <w:rFonts w:ascii="Arial" w:hAnsi="Arial" w:cs="Arial"/>
          <w:sz w:val="22"/>
          <w:szCs w:val="22"/>
        </w:rPr>
        <w:lastRenderedPageBreak/>
        <w:t>67 contas com parecer pela rejeição, 56 permaneceram na categoria de “rejeitado pelo descumprimento do art. 42”.</w:t>
      </w:r>
    </w:p>
    <w:p w:rsidR="000A154F" w:rsidRPr="00EC394E" w:rsidRDefault="000A154F" w:rsidP="00C96A3E">
      <w:pPr>
        <w:rPr>
          <w:rFonts w:ascii="Arial" w:hAnsi="Arial" w:cs="Arial"/>
          <w:sz w:val="22"/>
          <w:szCs w:val="22"/>
        </w:rPr>
      </w:pPr>
      <w:r w:rsidRPr="00EC394E">
        <w:rPr>
          <w:rFonts w:ascii="Arial" w:hAnsi="Arial" w:cs="Arial"/>
          <w:sz w:val="22"/>
          <w:szCs w:val="22"/>
        </w:rPr>
        <w:t xml:space="preserve">Conforme decidido em Sessão Administrativa de 27/05/2002, o TCE/SC passou a considerar um “novo método de cálculo” para o limite de inscrição em restos a pagar conforme o PCP </w:t>
      </w:r>
      <w:r w:rsidRPr="00EC394E">
        <w:rPr>
          <w:rFonts w:ascii="Arial" w:hAnsi="Arial" w:cs="Arial"/>
          <w:bCs/>
          <w:sz w:val="22"/>
          <w:szCs w:val="22"/>
        </w:rPr>
        <w:t>01/00471153</w:t>
      </w:r>
      <w:r w:rsidRPr="00EC394E">
        <w:rPr>
          <w:rFonts w:ascii="Arial" w:hAnsi="Arial" w:cs="Arial"/>
          <w:sz w:val="22"/>
          <w:szCs w:val="22"/>
        </w:rPr>
        <w:t xml:space="preserve"> (TCE/SC, 2007). Para fins de exemplificação, segue um trecho do relatório e voto do relator referente ao PCP </w:t>
      </w:r>
      <w:r w:rsidRPr="00EC394E">
        <w:rPr>
          <w:rFonts w:ascii="Arial" w:hAnsi="Arial" w:cs="Arial"/>
          <w:bCs/>
          <w:sz w:val="22"/>
          <w:szCs w:val="22"/>
        </w:rPr>
        <w:t>01/00441084</w:t>
      </w:r>
      <w:r w:rsidRPr="00EC394E">
        <w:rPr>
          <w:rFonts w:ascii="Arial" w:hAnsi="Arial" w:cs="Arial"/>
          <w:sz w:val="22"/>
          <w:szCs w:val="22"/>
        </w:rPr>
        <w:t xml:space="preserve"> (TCE/SC, 2007):</w:t>
      </w:r>
    </w:p>
    <w:p w:rsidR="000A154F" w:rsidRPr="003E17AE" w:rsidRDefault="000A154F" w:rsidP="00C96A3E">
      <w:pPr>
        <w:autoSpaceDE w:val="0"/>
        <w:autoSpaceDN w:val="0"/>
        <w:adjustRightInd w:val="0"/>
        <w:ind w:left="2268" w:firstLine="0"/>
        <w:rPr>
          <w:rFonts w:ascii="Arial" w:hAnsi="Arial" w:cs="Arial"/>
          <w:sz w:val="20"/>
        </w:rPr>
      </w:pPr>
      <w:r w:rsidRPr="003E17AE">
        <w:rPr>
          <w:rFonts w:ascii="Arial" w:hAnsi="Arial" w:cs="Arial"/>
          <w:sz w:val="20"/>
        </w:rPr>
        <w:t xml:space="preserve">[...] o Corpo Técnico levou em consideração a decisão proferida por este Tribunal de Contas, na Sessão Administrativa realizada em 27/05/2002, de que resultou a Ata nº 06/2002, a qual estabelece que no exame dos pedidos de Reapreciação das contas do exercício de 2000, a DMU levará em consideração as receitas e despesas realizadas no período de 05/05/00 a 31/12/00, sem levar em conta os débitos pendentes decorrentes de atos praticados anteriormente à vigência da Lei Complementar nº 101/2000. </w:t>
      </w:r>
    </w:p>
    <w:p w:rsidR="000A154F" w:rsidRPr="003E17AE" w:rsidRDefault="000A154F" w:rsidP="00C96A3E">
      <w:pPr>
        <w:autoSpaceDE w:val="0"/>
        <w:autoSpaceDN w:val="0"/>
        <w:adjustRightInd w:val="0"/>
        <w:ind w:left="2268" w:firstLine="0"/>
        <w:rPr>
          <w:rFonts w:ascii="Arial" w:hAnsi="Arial" w:cs="Arial"/>
          <w:sz w:val="20"/>
        </w:rPr>
      </w:pPr>
      <w:r w:rsidRPr="003E17AE">
        <w:rPr>
          <w:rFonts w:ascii="Arial" w:hAnsi="Arial" w:cs="Arial"/>
          <w:sz w:val="20"/>
        </w:rPr>
        <w:t xml:space="preserve">Considerando </w:t>
      </w:r>
      <w:r w:rsidRPr="003E17AE">
        <w:rPr>
          <w:rFonts w:ascii="Arial" w:hAnsi="Arial" w:cs="Arial"/>
          <w:i/>
          <w:iCs/>
          <w:sz w:val="20"/>
        </w:rPr>
        <w:t xml:space="preserve">os critérios dispostos na Ata nº 06/2002 do Tribunal Pleno, </w:t>
      </w:r>
      <w:r w:rsidRPr="003E17AE">
        <w:rPr>
          <w:rFonts w:ascii="Arial" w:hAnsi="Arial" w:cs="Arial"/>
          <w:sz w:val="20"/>
        </w:rPr>
        <w:t xml:space="preserve">o Corpo Técnico através do Relatório n. 1.544/2006 (fls. 549 a 656), procedeu nova apuração das receitas e despesas do Município de </w:t>
      </w:r>
      <w:r w:rsidRPr="003E17AE">
        <w:rPr>
          <w:rFonts w:ascii="Arial" w:hAnsi="Arial" w:cs="Arial"/>
          <w:sz w:val="20"/>
          <w:highlight w:val="black"/>
        </w:rPr>
        <w:t>xxxxxxxx</w:t>
      </w:r>
      <w:r w:rsidRPr="003E17AE">
        <w:rPr>
          <w:rFonts w:ascii="Arial" w:hAnsi="Arial" w:cs="Arial"/>
          <w:sz w:val="20"/>
        </w:rPr>
        <w:t xml:space="preserve">, concluindo pelo saneamento da restrição relativa ao descumprimento do art. 42, da Lei Complementar nº 101/00. Diante disso, uma vez eliminada a causa que deu ensejo à emissão de Parecer Prévio pela rejeição das contas municipais sob exame, este Relator propõe ao Egrégio Tribunal Pleno o provimento do presente Pedido de Reapreciação, com a conseqüente emissão de Parecer pela aprovação das contas do Município de </w:t>
      </w:r>
      <w:r w:rsidRPr="003E17AE">
        <w:rPr>
          <w:rFonts w:ascii="Arial" w:hAnsi="Arial" w:cs="Arial"/>
          <w:sz w:val="20"/>
          <w:highlight w:val="black"/>
        </w:rPr>
        <w:t>xxxxxxxx</w:t>
      </w:r>
      <w:r w:rsidRPr="003E17AE">
        <w:rPr>
          <w:rFonts w:ascii="Arial" w:hAnsi="Arial" w:cs="Arial"/>
          <w:sz w:val="20"/>
        </w:rPr>
        <w:t>, exercício de 2000.</w:t>
      </w:r>
    </w:p>
    <w:p w:rsidR="000A154F" w:rsidRPr="00690A80" w:rsidRDefault="000A154F" w:rsidP="00C96A3E">
      <w:pPr>
        <w:ind w:firstLine="714"/>
        <w:rPr>
          <w:rFonts w:ascii="Arial" w:hAnsi="Arial" w:cs="Arial"/>
          <w:sz w:val="22"/>
          <w:szCs w:val="22"/>
        </w:rPr>
      </w:pPr>
      <w:r w:rsidRPr="00690A80">
        <w:rPr>
          <w:rFonts w:ascii="Arial" w:hAnsi="Arial" w:cs="Arial"/>
          <w:sz w:val="22"/>
          <w:szCs w:val="22"/>
        </w:rPr>
        <w:t>Neste sentido, pode-se inferir que a aplicação des</w:t>
      </w:r>
      <w:r w:rsidR="00E86728" w:rsidRPr="00690A80">
        <w:rPr>
          <w:rFonts w:ascii="Arial" w:hAnsi="Arial" w:cs="Arial"/>
          <w:sz w:val="22"/>
          <w:szCs w:val="22"/>
        </w:rPr>
        <w:t>s</w:t>
      </w:r>
      <w:r w:rsidRPr="00690A80">
        <w:rPr>
          <w:rFonts w:ascii="Arial" w:hAnsi="Arial" w:cs="Arial"/>
          <w:sz w:val="22"/>
          <w:szCs w:val="22"/>
        </w:rPr>
        <w:t xml:space="preserve">e novo método, juntamente com os novos esclarecimentos apresentados pelos prefeitos em seus pedidos de reapreciações, contribuiu para que das 198 contas com parecer pela rejeição, por descumprimento do art. 42 da LRF, 142 fossem modificadas e passassem a </w:t>
      </w:r>
      <w:r w:rsidR="00EF4C4F" w:rsidRPr="00690A80">
        <w:rPr>
          <w:rFonts w:ascii="Arial" w:hAnsi="Arial" w:cs="Arial"/>
          <w:sz w:val="22"/>
          <w:szCs w:val="22"/>
        </w:rPr>
        <w:t>ob</w:t>
      </w:r>
      <w:r w:rsidRPr="00690A80">
        <w:rPr>
          <w:rFonts w:ascii="Arial" w:hAnsi="Arial" w:cs="Arial"/>
          <w:sz w:val="22"/>
          <w:szCs w:val="22"/>
        </w:rPr>
        <w:t>ter parecer pela aprovação. Justifica-se, assim, a inversão dos resultados no exercício financeiro de 2000.</w:t>
      </w:r>
    </w:p>
    <w:p w:rsidR="00D1499B" w:rsidRPr="00690A80" w:rsidRDefault="000A154F" w:rsidP="00C96A3E">
      <w:pPr>
        <w:rPr>
          <w:rFonts w:ascii="Arial" w:hAnsi="Arial" w:cs="Arial"/>
          <w:sz w:val="22"/>
          <w:szCs w:val="22"/>
        </w:rPr>
      </w:pPr>
      <w:r w:rsidRPr="00690A80">
        <w:rPr>
          <w:rFonts w:ascii="Arial" w:hAnsi="Arial" w:cs="Arial"/>
          <w:sz w:val="22"/>
          <w:szCs w:val="22"/>
        </w:rPr>
        <w:t>No exercício financeiro de 2004, o número de contas com parecer pela aprovação passou de 216 (73,7%) para 236 (80,5%), o que corresponde a um aumento de 9,3%. Das 236 aprovações, 93 (39,4%) enquadraram-se na categoria de “aprovado com o descumprimento do art. 42”, o que corresponde a um aumento de 17 pareceres flexibilizados.</w:t>
      </w:r>
      <w:r w:rsidR="00D1499B" w:rsidRPr="00690A80">
        <w:rPr>
          <w:rFonts w:ascii="Arial" w:hAnsi="Arial" w:cs="Arial"/>
          <w:sz w:val="22"/>
          <w:szCs w:val="22"/>
        </w:rPr>
        <w:t xml:space="preserve"> </w:t>
      </w:r>
    </w:p>
    <w:p w:rsidR="000A154F" w:rsidRPr="00690A80" w:rsidRDefault="000A154F" w:rsidP="00C96A3E">
      <w:pPr>
        <w:rPr>
          <w:rFonts w:ascii="Arial" w:hAnsi="Arial" w:cs="Arial"/>
          <w:sz w:val="22"/>
          <w:szCs w:val="22"/>
        </w:rPr>
      </w:pPr>
      <w:r w:rsidRPr="00690A80">
        <w:rPr>
          <w:rFonts w:ascii="Arial" w:hAnsi="Arial" w:cs="Arial"/>
          <w:sz w:val="22"/>
          <w:szCs w:val="22"/>
        </w:rPr>
        <w:t>Ainda no exercício de 2004, o número de contas com parecer pela rejeição, passou de 77 (26,3%) para 57 (19,5%), o que corresponde a um total de 20 pareceres modificados. Das 57 contas com parecer pela rejeição, 53 (93%) permaneceram na categoria de “rejeitado pelo descumprimento do art. 42” e 3 (5,3%) de “rejeitado com o descumprimento do art. 42”. Pode-se observar que os pareceres enquadrados na categoria de “aprovado com o descumprimento do art. 42” foram 66% (37</w:t>
      </w:r>
      <w:r w:rsidR="00156318">
        <w:rPr>
          <w:rFonts w:ascii="Arial" w:hAnsi="Arial" w:cs="Arial"/>
          <w:sz w:val="22"/>
          <w:szCs w:val="22"/>
        </w:rPr>
        <w:t xml:space="preserve"> pareceres</w:t>
      </w:r>
      <w:r w:rsidRPr="00690A80">
        <w:rPr>
          <w:rFonts w:ascii="Arial" w:hAnsi="Arial" w:cs="Arial"/>
          <w:sz w:val="22"/>
          <w:szCs w:val="22"/>
        </w:rPr>
        <w:t>)</w:t>
      </w:r>
      <w:r w:rsidR="00E87B2E" w:rsidRPr="00690A80">
        <w:rPr>
          <w:rFonts w:ascii="Arial" w:hAnsi="Arial" w:cs="Arial"/>
          <w:sz w:val="22"/>
          <w:szCs w:val="22"/>
        </w:rPr>
        <w:t>,</w:t>
      </w:r>
      <w:r w:rsidRPr="00690A80">
        <w:rPr>
          <w:rFonts w:ascii="Arial" w:hAnsi="Arial" w:cs="Arial"/>
          <w:sz w:val="22"/>
          <w:szCs w:val="22"/>
        </w:rPr>
        <w:t xml:space="preserve"> superiores </w:t>
      </w:r>
      <w:r w:rsidR="00E87B2E" w:rsidRPr="00690A80">
        <w:rPr>
          <w:rFonts w:ascii="Arial" w:hAnsi="Arial" w:cs="Arial"/>
          <w:sz w:val="22"/>
          <w:szCs w:val="22"/>
        </w:rPr>
        <w:t>à</w:t>
      </w:r>
      <w:r w:rsidRPr="00690A80">
        <w:rPr>
          <w:rFonts w:ascii="Arial" w:hAnsi="Arial" w:cs="Arial"/>
          <w:sz w:val="22"/>
          <w:szCs w:val="22"/>
        </w:rPr>
        <w:t xml:space="preserve"> totalidade dos pareceres enquadrados nas categorias de “rejeitado pelo descumprimento do art. 42” e de “rejeitado com descumprimento do art. 42”.</w:t>
      </w:r>
    </w:p>
    <w:p w:rsidR="00852455" w:rsidRPr="00690A80" w:rsidRDefault="000A154F" w:rsidP="00C96A3E">
      <w:pPr>
        <w:rPr>
          <w:rFonts w:ascii="Arial" w:hAnsi="Arial" w:cs="Arial"/>
          <w:sz w:val="22"/>
          <w:szCs w:val="22"/>
        </w:rPr>
      </w:pPr>
      <w:r w:rsidRPr="00690A80">
        <w:rPr>
          <w:rFonts w:ascii="Arial" w:hAnsi="Arial" w:cs="Arial"/>
          <w:sz w:val="22"/>
          <w:szCs w:val="22"/>
        </w:rPr>
        <w:t>Na avaliação geral dos pareceres, após os pedidos de reapreciações, nos exercícios financeiros de 2000, 2004, 2008 e 2012, pode-se observar, respectivamente, que dos 293 municípios catarinenses que tiveram suas contas apreciadas pelo TCE/SC, 57 (19,5%), 149 (50,9%), 68 (23,2%)</w:t>
      </w:r>
      <w:r w:rsidR="00286903" w:rsidRPr="00690A80">
        <w:rPr>
          <w:rFonts w:ascii="Arial" w:hAnsi="Arial" w:cs="Arial"/>
          <w:sz w:val="22"/>
          <w:szCs w:val="22"/>
        </w:rPr>
        <w:t xml:space="preserve"> </w:t>
      </w:r>
      <w:r w:rsidRPr="00690A80">
        <w:rPr>
          <w:rFonts w:ascii="Arial" w:hAnsi="Arial" w:cs="Arial"/>
          <w:sz w:val="22"/>
          <w:szCs w:val="22"/>
        </w:rPr>
        <w:t>e 107 (36,5%) enquadraram-se na categoria de “descumpriram o art. 42”, conforme exposto no Gráfico 2.</w:t>
      </w:r>
      <w:r w:rsidR="00852455" w:rsidRPr="00690A80">
        <w:rPr>
          <w:rFonts w:ascii="Arial" w:hAnsi="Arial" w:cs="Arial"/>
          <w:sz w:val="22"/>
          <w:szCs w:val="22"/>
        </w:rPr>
        <w:t xml:space="preserve"> </w:t>
      </w:r>
    </w:p>
    <w:p w:rsidR="000A154F" w:rsidRPr="00690A80" w:rsidRDefault="000A154F" w:rsidP="00C96A3E">
      <w:pPr>
        <w:rPr>
          <w:rFonts w:ascii="Arial" w:hAnsi="Arial" w:cs="Arial"/>
          <w:sz w:val="22"/>
          <w:szCs w:val="22"/>
        </w:rPr>
      </w:pPr>
      <w:r w:rsidRPr="00690A80">
        <w:rPr>
          <w:rFonts w:ascii="Arial" w:hAnsi="Arial" w:cs="Arial"/>
          <w:sz w:val="22"/>
          <w:szCs w:val="22"/>
        </w:rPr>
        <w:t xml:space="preserve">Considera-se que das 957 contas apreciadas pelo TCE/SC, </w:t>
      </w:r>
      <w:r w:rsidR="00592F67" w:rsidRPr="00690A80">
        <w:rPr>
          <w:rFonts w:ascii="Arial" w:hAnsi="Arial" w:cs="Arial"/>
          <w:sz w:val="22"/>
          <w:szCs w:val="22"/>
        </w:rPr>
        <w:t xml:space="preserve">por meio das </w:t>
      </w:r>
      <w:r w:rsidRPr="00690A80">
        <w:rPr>
          <w:rFonts w:ascii="Arial" w:hAnsi="Arial" w:cs="Arial"/>
          <w:sz w:val="22"/>
          <w:szCs w:val="22"/>
        </w:rPr>
        <w:t>quais</w:t>
      </w:r>
      <w:r w:rsidR="00592F67" w:rsidRPr="00690A80">
        <w:rPr>
          <w:rFonts w:ascii="Arial" w:hAnsi="Arial" w:cs="Arial"/>
          <w:sz w:val="22"/>
          <w:szCs w:val="22"/>
        </w:rPr>
        <w:t xml:space="preserve"> </w:t>
      </w:r>
      <w:r w:rsidRPr="00690A80">
        <w:rPr>
          <w:rFonts w:ascii="Arial" w:hAnsi="Arial" w:cs="Arial"/>
          <w:sz w:val="22"/>
          <w:szCs w:val="22"/>
        </w:rPr>
        <w:t xml:space="preserve">se teve acesso às informações quanto ao cumprimento e o descumprimento do limite para inscrição em restos a pagar, 39,8% (381) delas “descumpriram o art. 42” da LRF. </w:t>
      </w:r>
    </w:p>
    <w:p w:rsidR="00021587" w:rsidRPr="00690A80" w:rsidRDefault="00021587" w:rsidP="00806774">
      <w:pPr>
        <w:ind w:firstLine="0"/>
        <w:jc w:val="center"/>
        <w:rPr>
          <w:b/>
          <w:sz w:val="22"/>
          <w:szCs w:val="22"/>
        </w:rPr>
      </w:pPr>
      <w:r w:rsidRPr="00690A80">
        <w:rPr>
          <w:b/>
          <w:sz w:val="22"/>
          <w:szCs w:val="22"/>
        </w:rPr>
        <w:lastRenderedPageBreak/>
        <w:t xml:space="preserve">Gráfico 2 – Avaliação geral do TCE/SC quanto ao cumprimento ou descumprimento </w:t>
      </w:r>
    </w:p>
    <w:p w:rsidR="00021587" w:rsidRPr="00690A80" w:rsidRDefault="00021587" w:rsidP="00806774">
      <w:pPr>
        <w:ind w:firstLine="0"/>
        <w:jc w:val="center"/>
        <w:rPr>
          <w:sz w:val="22"/>
          <w:szCs w:val="22"/>
        </w:rPr>
      </w:pPr>
      <w:r w:rsidRPr="00690A80">
        <w:rPr>
          <w:b/>
          <w:sz w:val="22"/>
          <w:szCs w:val="22"/>
        </w:rPr>
        <w:t>do art. 42 pelos municípios – 2000, 2004, 2008 e 2012</w:t>
      </w:r>
    </w:p>
    <w:p w:rsidR="003E6484" w:rsidRPr="00690A80" w:rsidRDefault="003E6484" w:rsidP="003E6484">
      <w:pPr>
        <w:ind w:firstLine="0"/>
        <w:jc w:val="center"/>
        <w:rPr>
          <w:sz w:val="20"/>
        </w:rPr>
      </w:pPr>
      <w:r w:rsidRPr="00690A80">
        <w:rPr>
          <w:noProof/>
        </w:rPr>
        <w:drawing>
          <wp:inline distT="0" distB="0" distL="0" distR="0" wp14:anchorId="28425BBD" wp14:editId="14C62C24">
            <wp:extent cx="5924842" cy="349567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E6484" w:rsidRPr="00690A80" w:rsidRDefault="003E6484" w:rsidP="003E6484">
      <w:pPr>
        <w:pBdr>
          <w:bottom w:val="single" w:sz="4" w:space="1" w:color="BFBFBF" w:themeColor="background1" w:themeShade="BF"/>
        </w:pBdr>
        <w:ind w:firstLine="0"/>
        <w:rPr>
          <w:sz w:val="20"/>
        </w:rPr>
      </w:pPr>
      <w:r w:rsidRPr="00690A80">
        <w:rPr>
          <w:sz w:val="20"/>
        </w:rPr>
        <w:t>* Não foi po</w:t>
      </w:r>
      <w:r w:rsidR="002143D3" w:rsidRPr="00690A80">
        <w:rPr>
          <w:sz w:val="20"/>
        </w:rPr>
        <w:t>ssível identificar quais foram a</w:t>
      </w:r>
      <w:r w:rsidRPr="00690A80">
        <w:rPr>
          <w:sz w:val="20"/>
        </w:rPr>
        <w:t xml:space="preserve">s restrições remanescentes apontadas no relatório da Diretoria de Controle dos Municípios (DMU), por não se ter acesso a </w:t>
      </w:r>
      <w:r w:rsidR="002143D3" w:rsidRPr="00690A80">
        <w:rPr>
          <w:sz w:val="20"/>
        </w:rPr>
        <w:t>ess</w:t>
      </w:r>
      <w:r w:rsidRPr="00690A80">
        <w:rPr>
          <w:sz w:val="20"/>
        </w:rPr>
        <w:t>e documento, ou ao relatório e voto do relator.</w:t>
      </w:r>
    </w:p>
    <w:p w:rsidR="00D55F59" w:rsidRPr="00690A80" w:rsidRDefault="003E6484" w:rsidP="00D55F59">
      <w:pPr>
        <w:ind w:firstLine="0"/>
        <w:jc w:val="center"/>
        <w:rPr>
          <w:sz w:val="20"/>
        </w:rPr>
      </w:pPr>
      <w:r w:rsidRPr="00690A80">
        <w:rPr>
          <w:sz w:val="20"/>
        </w:rPr>
        <w:t>Fonte: Elaborado pelos autores a partir de disposições de TCE/SC (2016a). Tabela 1.</w:t>
      </w:r>
    </w:p>
    <w:p w:rsidR="00FB2ED9" w:rsidRDefault="00FB2ED9" w:rsidP="00D55F59">
      <w:pPr>
        <w:ind w:firstLine="0"/>
        <w:jc w:val="center"/>
        <w:rPr>
          <w:sz w:val="20"/>
        </w:rPr>
      </w:pPr>
    </w:p>
    <w:p w:rsidR="00470BA2" w:rsidRPr="00E9400A" w:rsidRDefault="00470BA2" w:rsidP="00291A74">
      <w:pPr>
        <w:rPr>
          <w:rFonts w:ascii="Arial" w:hAnsi="Arial" w:cs="Arial"/>
          <w:sz w:val="22"/>
          <w:szCs w:val="22"/>
        </w:rPr>
      </w:pPr>
      <w:r w:rsidRPr="00E9400A">
        <w:rPr>
          <w:rFonts w:ascii="Arial" w:hAnsi="Arial" w:cs="Arial"/>
          <w:sz w:val="22"/>
          <w:szCs w:val="22"/>
        </w:rPr>
        <w:t xml:space="preserve">Analisando o Gráfico 2, observou-se que, </w:t>
      </w:r>
      <w:r w:rsidR="00291A74" w:rsidRPr="00E9400A">
        <w:rPr>
          <w:rFonts w:ascii="Arial" w:hAnsi="Arial" w:cs="Arial"/>
          <w:sz w:val="22"/>
          <w:szCs w:val="22"/>
        </w:rPr>
        <w:t>n</w:t>
      </w:r>
      <w:r w:rsidRPr="00E9400A">
        <w:rPr>
          <w:rFonts w:ascii="Arial" w:hAnsi="Arial" w:cs="Arial"/>
          <w:sz w:val="22"/>
          <w:szCs w:val="22"/>
        </w:rPr>
        <w:t>o exercício financeiro de 2008, dos 23,2% dos municípios que descumpriram o art. 42, todos mantiveram o descumprimento após as reapreciações. Apesar de o percentual ter-se mantido no ano de 2008, pode-se observar que houve uma melhora no desempenho dos municípios</w:t>
      </w:r>
      <w:r w:rsidR="000C355C" w:rsidRPr="00E9400A">
        <w:rPr>
          <w:rFonts w:ascii="Arial" w:hAnsi="Arial" w:cs="Arial"/>
          <w:sz w:val="22"/>
          <w:szCs w:val="22"/>
        </w:rPr>
        <w:t>,</w:t>
      </w:r>
      <w:r w:rsidRPr="00E9400A">
        <w:rPr>
          <w:rFonts w:ascii="Arial" w:hAnsi="Arial" w:cs="Arial"/>
          <w:sz w:val="22"/>
          <w:szCs w:val="22"/>
        </w:rPr>
        <w:t xml:space="preserve"> se comparado ao ano de 2004, o que corresponde a uma redução no descumprimento de -54,4% (após os pedidos de reapreciações).</w:t>
      </w:r>
    </w:p>
    <w:p w:rsidR="00470BA2" w:rsidRPr="00E9400A" w:rsidRDefault="00470BA2" w:rsidP="00C96A3E">
      <w:pPr>
        <w:pStyle w:val="NormalWeb"/>
        <w:spacing w:before="0" w:beforeAutospacing="0" w:after="0" w:afterAutospacing="0"/>
        <w:rPr>
          <w:rFonts w:ascii="Arial" w:hAnsi="Arial" w:cs="Arial"/>
          <w:sz w:val="22"/>
          <w:szCs w:val="22"/>
        </w:rPr>
      </w:pPr>
      <w:r w:rsidRPr="00E9400A">
        <w:rPr>
          <w:rFonts w:ascii="Arial" w:hAnsi="Arial" w:cs="Arial"/>
          <w:sz w:val="22"/>
          <w:szCs w:val="22"/>
        </w:rPr>
        <w:t>Por fim, no exercício financeiro de 2012, dos 37,5% dos municípios que não cumpriram o limite para inscrição em restos a pagar, 36,5% mantiveram o descumprimento. Tal exercício chama a atenção</w:t>
      </w:r>
      <w:r w:rsidR="004E641C" w:rsidRPr="00E9400A">
        <w:rPr>
          <w:rFonts w:ascii="Arial" w:hAnsi="Arial" w:cs="Arial"/>
          <w:sz w:val="22"/>
          <w:szCs w:val="22"/>
        </w:rPr>
        <w:t>,</w:t>
      </w:r>
      <w:r w:rsidRPr="00E9400A">
        <w:rPr>
          <w:rFonts w:ascii="Arial" w:hAnsi="Arial" w:cs="Arial"/>
          <w:sz w:val="22"/>
          <w:szCs w:val="22"/>
        </w:rPr>
        <w:t xml:space="preserve"> pois após </w:t>
      </w:r>
      <w:r w:rsidR="00D2657E" w:rsidRPr="00E9400A">
        <w:rPr>
          <w:rFonts w:ascii="Arial" w:hAnsi="Arial" w:cs="Arial"/>
          <w:sz w:val="22"/>
          <w:szCs w:val="22"/>
        </w:rPr>
        <w:t>treze</w:t>
      </w:r>
      <w:r w:rsidRPr="00E9400A">
        <w:rPr>
          <w:rFonts w:ascii="Arial" w:hAnsi="Arial" w:cs="Arial"/>
          <w:sz w:val="22"/>
          <w:szCs w:val="22"/>
        </w:rPr>
        <w:t xml:space="preserve"> anos de vigência da LRF</w:t>
      </w:r>
      <w:r w:rsidR="00A17F69" w:rsidRPr="00E9400A">
        <w:rPr>
          <w:rFonts w:ascii="Arial" w:hAnsi="Arial" w:cs="Arial"/>
          <w:sz w:val="22"/>
          <w:szCs w:val="22"/>
        </w:rPr>
        <w:t xml:space="preserve"> </w:t>
      </w:r>
      <w:r w:rsidRPr="00E9400A">
        <w:rPr>
          <w:rFonts w:ascii="Arial" w:hAnsi="Arial" w:cs="Arial"/>
          <w:sz w:val="22"/>
          <w:szCs w:val="22"/>
        </w:rPr>
        <w:t xml:space="preserve">pode-se observar que 107 (36,5%) dos municípios não cumpriram o limite para inscrição em restos a pagar. Além disso, quando comparado ao exercício de 2008, verifica-se um aumento de 57,4% no descumprimento do art. 42 (após os pedidos de reapreciações). </w:t>
      </w:r>
    </w:p>
    <w:p w:rsidR="00291A74" w:rsidRPr="00E9400A" w:rsidRDefault="00291A74" w:rsidP="00C96A3E">
      <w:pPr>
        <w:pStyle w:val="NormalWeb"/>
        <w:spacing w:before="0" w:beforeAutospacing="0" w:after="0" w:afterAutospacing="0"/>
        <w:rPr>
          <w:rFonts w:ascii="Arial" w:hAnsi="Arial" w:cs="Arial"/>
          <w:sz w:val="22"/>
          <w:szCs w:val="22"/>
        </w:rPr>
      </w:pPr>
    </w:p>
    <w:p w:rsidR="00D420F3" w:rsidRPr="00E9400A" w:rsidRDefault="00D420F3" w:rsidP="00C96A3E">
      <w:pPr>
        <w:pStyle w:val="Ttulo2"/>
        <w:rPr>
          <w:rFonts w:ascii="Arial" w:hAnsi="Arial" w:cs="Arial"/>
          <w:sz w:val="22"/>
          <w:szCs w:val="22"/>
        </w:rPr>
      </w:pPr>
      <w:r w:rsidRPr="00E9400A">
        <w:rPr>
          <w:rFonts w:ascii="Arial" w:hAnsi="Arial" w:cs="Arial"/>
          <w:sz w:val="22"/>
          <w:szCs w:val="22"/>
          <w:lang w:val="pt-BR"/>
        </w:rPr>
        <w:t>ANÁLISE DOS RESULTADOS</w:t>
      </w:r>
    </w:p>
    <w:p w:rsidR="00560121" w:rsidRPr="00E9400A" w:rsidRDefault="00560121" w:rsidP="00C96A3E">
      <w:pPr>
        <w:ind w:firstLine="714"/>
        <w:rPr>
          <w:rFonts w:ascii="Arial" w:hAnsi="Arial" w:cs="Arial"/>
          <w:sz w:val="22"/>
          <w:szCs w:val="22"/>
        </w:rPr>
      </w:pPr>
      <w:r w:rsidRPr="00E9400A">
        <w:rPr>
          <w:rFonts w:ascii="Arial" w:hAnsi="Arial" w:cs="Arial"/>
          <w:sz w:val="22"/>
          <w:szCs w:val="22"/>
        </w:rPr>
        <w:t xml:space="preserve">Nesta seção, busca-se comparar </w:t>
      </w:r>
      <w:r w:rsidRPr="00CA55B8">
        <w:rPr>
          <w:rFonts w:ascii="Arial" w:hAnsi="Arial" w:cs="Arial"/>
          <w:sz w:val="22"/>
          <w:szCs w:val="22"/>
        </w:rPr>
        <w:t xml:space="preserve">as pesquisas abordadas na seção </w:t>
      </w:r>
      <w:r w:rsidR="003E3D9D" w:rsidRPr="00CA55B8">
        <w:rPr>
          <w:rFonts w:ascii="Arial" w:hAnsi="Arial" w:cs="Arial"/>
          <w:sz w:val="22"/>
          <w:szCs w:val="22"/>
        </w:rPr>
        <w:t>3</w:t>
      </w:r>
      <w:r w:rsidRPr="00CA55B8">
        <w:rPr>
          <w:rFonts w:ascii="Arial" w:hAnsi="Arial" w:cs="Arial"/>
          <w:sz w:val="22"/>
          <w:szCs w:val="22"/>
        </w:rPr>
        <w:t xml:space="preserve">.3, do capítulo de </w:t>
      </w:r>
      <w:r w:rsidR="003E3D9D" w:rsidRPr="00CA55B8">
        <w:rPr>
          <w:rFonts w:ascii="Arial" w:hAnsi="Arial" w:cs="Arial"/>
          <w:sz w:val="22"/>
          <w:szCs w:val="22"/>
        </w:rPr>
        <w:t xml:space="preserve">referencial </w:t>
      </w:r>
      <w:r w:rsidRPr="00CA55B8">
        <w:rPr>
          <w:rFonts w:ascii="Arial" w:hAnsi="Arial" w:cs="Arial"/>
          <w:sz w:val="22"/>
          <w:szCs w:val="22"/>
        </w:rPr>
        <w:t>teórica, com os resultados apresentados na seção 4.</w:t>
      </w:r>
      <w:r w:rsidR="003E3D9D" w:rsidRPr="00CA55B8">
        <w:rPr>
          <w:rFonts w:ascii="Arial" w:hAnsi="Arial" w:cs="Arial"/>
          <w:sz w:val="22"/>
          <w:szCs w:val="22"/>
        </w:rPr>
        <w:t>1</w:t>
      </w:r>
      <w:r w:rsidRPr="00CA55B8">
        <w:rPr>
          <w:rFonts w:ascii="Arial" w:hAnsi="Arial" w:cs="Arial"/>
          <w:sz w:val="22"/>
          <w:szCs w:val="22"/>
        </w:rPr>
        <w:t>, a fim de identificar possíveis correlações e contribuições deste estudo.</w:t>
      </w:r>
      <w:r w:rsidRPr="00E9400A">
        <w:rPr>
          <w:rFonts w:ascii="Arial" w:hAnsi="Arial" w:cs="Arial"/>
          <w:sz w:val="22"/>
          <w:szCs w:val="22"/>
        </w:rPr>
        <w:t xml:space="preserve"> </w:t>
      </w:r>
    </w:p>
    <w:p w:rsidR="00560121" w:rsidRPr="00E9400A" w:rsidRDefault="00560121" w:rsidP="00C96A3E">
      <w:pPr>
        <w:ind w:firstLine="714"/>
        <w:rPr>
          <w:rFonts w:ascii="Arial" w:hAnsi="Arial" w:cs="Arial"/>
          <w:sz w:val="22"/>
          <w:szCs w:val="22"/>
        </w:rPr>
      </w:pPr>
      <w:r w:rsidRPr="00E9400A">
        <w:rPr>
          <w:rFonts w:ascii="Arial" w:hAnsi="Arial" w:cs="Arial"/>
          <w:sz w:val="22"/>
          <w:szCs w:val="22"/>
        </w:rPr>
        <w:t xml:space="preserve">Considerada similar em abordagem a este estudo, a pesquisa de Oliveira, Platt Neto e Cruz (2011) apresentou a análise das Prestações de Contas dos Prefeitos (PCP) de todos os </w:t>
      </w:r>
      <w:r w:rsidRPr="00E9400A">
        <w:rPr>
          <w:rFonts w:ascii="Arial" w:hAnsi="Arial" w:cs="Arial"/>
          <w:sz w:val="22"/>
          <w:szCs w:val="22"/>
        </w:rPr>
        <w:lastRenderedPageBreak/>
        <w:t xml:space="preserve">municípios de Santa Catarina nos anos de 2000 e 2004 (dois anos), sobre as reapreciações e pareceres emitidos pelo TCE/SC. Por sua vez, o presente estudo apresentou uma análise atualizada das reapreciações e pareceres nos anos de 2000, 2004, 2008 e 2012 (quatro anos), ou seja, ampliando a análise em dois anos. </w:t>
      </w:r>
    </w:p>
    <w:p w:rsidR="00560121" w:rsidRPr="00E9400A" w:rsidRDefault="00560121" w:rsidP="00C96A3E">
      <w:pPr>
        <w:ind w:firstLine="714"/>
        <w:rPr>
          <w:rFonts w:ascii="Arial" w:hAnsi="Arial" w:cs="Arial"/>
          <w:sz w:val="22"/>
          <w:szCs w:val="22"/>
        </w:rPr>
      </w:pPr>
      <w:r w:rsidRPr="00E9400A">
        <w:rPr>
          <w:rFonts w:ascii="Arial" w:hAnsi="Arial" w:cs="Arial"/>
          <w:sz w:val="22"/>
          <w:szCs w:val="22"/>
        </w:rPr>
        <w:t xml:space="preserve">Além disso, a pesquisa de Oliveira, Platt Neto e Cruz (2011) apresentou resultados diferentes dos deste estudo, principalmente após as reapreciações nos exercícios financeiros de 2000 e 2004. Aquela pesquisa, metodologicamente, utilizou-se apenas dos pareceres prévios pela rejeição. Por sua vez, esta pesquisa utilizou-se tanto de pareceres pela aprovação quanto pela rejeição. </w:t>
      </w:r>
      <w:r w:rsidR="00327C53" w:rsidRPr="00E9400A">
        <w:rPr>
          <w:rFonts w:ascii="Arial" w:hAnsi="Arial" w:cs="Arial"/>
          <w:sz w:val="22"/>
          <w:szCs w:val="22"/>
        </w:rPr>
        <w:t>Iss</w:t>
      </w:r>
      <w:r w:rsidRPr="00E9400A">
        <w:rPr>
          <w:rFonts w:ascii="Arial" w:hAnsi="Arial" w:cs="Arial"/>
          <w:sz w:val="22"/>
          <w:szCs w:val="22"/>
        </w:rPr>
        <w:t>o permitiu a identificação do descumprimento do limite, tanto em pareceres pela aprovação quanto em pareceres pela rejeição. Por esse motivo, os resultados foram distintos.</w:t>
      </w:r>
    </w:p>
    <w:p w:rsidR="00560121" w:rsidRPr="00E9400A" w:rsidRDefault="00560121" w:rsidP="00C96A3E">
      <w:pPr>
        <w:ind w:firstLine="714"/>
        <w:rPr>
          <w:rFonts w:ascii="Arial" w:hAnsi="Arial" w:cs="Arial"/>
          <w:sz w:val="22"/>
          <w:szCs w:val="22"/>
        </w:rPr>
      </w:pPr>
      <w:r w:rsidRPr="00E9400A">
        <w:rPr>
          <w:rFonts w:ascii="Arial" w:hAnsi="Arial" w:cs="Arial"/>
          <w:sz w:val="22"/>
          <w:szCs w:val="22"/>
        </w:rPr>
        <w:t>Vasconcelos (2010) demonstrou que</w:t>
      </w:r>
      <w:r w:rsidR="005B1F1C" w:rsidRPr="00E9400A">
        <w:rPr>
          <w:rFonts w:ascii="Arial" w:hAnsi="Arial" w:cs="Arial"/>
          <w:sz w:val="22"/>
          <w:szCs w:val="22"/>
        </w:rPr>
        <w:t>,</w:t>
      </w:r>
      <w:r w:rsidRPr="00E9400A">
        <w:rPr>
          <w:rFonts w:ascii="Arial" w:hAnsi="Arial" w:cs="Arial"/>
          <w:sz w:val="22"/>
          <w:szCs w:val="22"/>
        </w:rPr>
        <w:t xml:space="preserve"> mesmo após </w:t>
      </w:r>
      <w:r w:rsidR="008E409A" w:rsidRPr="00E9400A">
        <w:rPr>
          <w:rFonts w:ascii="Arial" w:hAnsi="Arial" w:cs="Arial"/>
          <w:sz w:val="22"/>
          <w:szCs w:val="22"/>
        </w:rPr>
        <w:t>dez</w:t>
      </w:r>
      <w:r w:rsidRPr="00E9400A">
        <w:rPr>
          <w:rFonts w:ascii="Arial" w:hAnsi="Arial" w:cs="Arial"/>
          <w:sz w:val="22"/>
          <w:szCs w:val="22"/>
        </w:rPr>
        <w:t xml:space="preserve"> anos de vigência da LRF, titulares do Poder Executivo na esfera estadual</w:t>
      </w:r>
      <w:r w:rsidR="008E409A" w:rsidRPr="00E9400A">
        <w:rPr>
          <w:rFonts w:ascii="Arial" w:hAnsi="Arial" w:cs="Arial"/>
          <w:sz w:val="22"/>
          <w:szCs w:val="22"/>
        </w:rPr>
        <w:t xml:space="preserve"> </w:t>
      </w:r>
      <w:r w:rsidRPr="00E9400A">
        <w:rPr>
          <w:rFonts w:ascii="Arial" w:hAnsi="Arial" w:cs="Arial"/>
          <w:sz w:val="22"/>
          <w:szCs w:val="22"/>
        </w:rPr>
        <w:t xml:space="preserve">continuam desrespeitando </w:t>
      </w:r>
      <w:r w:rsidR="007345E3" w:rsidRPr="00E9400A">
        <w:rPr>
          <w:rFonts w:ascii="Arial" w:hAnsi="Arial" w:cs="Arial"/>
          <w:sz w:val="22"/>
          <w:szCs w:val="22"/>
        </w:rPr>
        <w:t>o</w:t>
      </w:r>
      <w:r w:rsidRPr="00E9400A">
        <w:rPr>
          <w:rFonts w:ascii="Arial" w:hAnsi="Arial" w:cs="Arial"/>
          <w:sz w:val="22"/>
          <w:szCs w:val="22"/>
        </w:rPr>
        <w:t xml:space="preserve"> que dispõe o art. 42 da LRF. Nos municípios catarinenses, observou-se o mesmo comportamento por parte de alguns titulares do Poder Executivo </w:t>
      </w:r>
      <w:r w:rsidR="0084195D" w:rsidRPr="00E9400A">
        <w:rPr>
          <w:rFonts w:ascii="Arial" w:hAnsi="Arial" w:cs="Arial"/>
          <w:sz w:val="22"/>
          <w:szCs w:val="22"/>
        </w:rPr>
        <w:t xml:space="preserve">municipal </w:t>
      </w:r>
      <w:r w:rsidRPr="00E9400A">
        <w:rPr>
          <w:rFonts w:ascii="Arial" w:hAnsi="Arial" w:cs="Arial"/>
          <w:sz w:val="22"/>
          <w:szCs w:val="22"/>
        </w:rPr>
        <w:t xml:space="preserve">após </w:t>
      </w:r>
      <w:r w:rsidR="00CA347A" w:rsidRPr="00E9400A">
        <w:rPr>
          <w:rFonts w:ascii="Arial" w:hAnsi="Arial" w:cs="Arial"/>
          <w:sz w:val="22"/>
          <w:szCs w:val="22"/>
        </w:rPr>
        <w:t>treze</w:t>
      </w:r>
      <w:r w:rsidRPr="00E9400A">
        <w:rPr>
          <w:rFonts w:ascii="Arial" w:hAnsi="Arial" w:cs="Arial"/>
          <w:sz w:val="22"/>
          <w:szCs w:val="22"/>
        </w:rPr>
        <w:t xml:space="preserve"> anos de vigência da LRF.</w:t>
      </w:r>
    </w:p>
    <w:p w:rsidR="00560121" w:rsidRPr="00E9400A" w:rsidRDefault="00560121" w:rsidP="00C96A3E">
      <w:pPr>
        <w:ind w:firstLine="714"/>
        <w:rPr>
          <w:rFonts w:ascii="Arial" w:hAnsi="Arial" w:cs="Arial"/>
          <w:sz w:val="22"/>
          <w:szCs w:val="22"/>
        </w:rPr>
      </w:pPr>
      <w:r w:rsidRPr="00E9400A">
        <w:rPr>
          <w:rFonts w:ascii="Arial" w:hAnsi="Arial" w:cs="Arial"/>
          <w:sz w:val="22"/>
          <w:szCs w:val="22"/>
        </w:rPr>
        <w:t>Arroyo (2015) constatou, assim como neste estudo, a flexibilização por parte do TCE/SC quanto ao descumprimento do art. 42. Segundo Arroyo (2015, p. 130), para se ter as contas com parecer pela rejeição</w:t>
      </w:r>
      <w:r w:rsidR="00D91637" w:rsidRPr="00E9400A">
        <w:rPr>
          <w:rFonts w:ascii="Arial" w:hAnsi="Arial" w:cs="Arial"/>
          <w:sz w:val="22"/>
          <w:szCs w:val="22"/>
        </w:rPr>
        <w:t xml:space="preserve"> </w:t>
      </w:r>
      <w:r w:rsidRPr="00E9400A">
        <w:rPr>
          <w:rFonts w:ascii="Arial" w:hAnsi="Arial" w:cs="Arial"/>
          <w:sz w:val="22"/>
          <w:szCs w:val="22"/>
        </w:rPr>
        <w:t>não bastaria apenas o descumprimento do art. 42</w:t>
      </w:r>
      <w:r w:rsidR="00D91637" w:rsidRPr="00E9400A">
        <w:rPr>
          <w:rFonts w:ascii="Arial" w:hAnsi="Arial" w:cs="Arial"/>
          <w:sz w:val="22"/>
          <w:szCs w:val="22"/>
        </w:rPr>
        <w:t xml:space="preserve">; </w:t>
      </w:r>
      <w:r w:rsidRPr="00E9400A">
        <w:rPr>
          <w:rFonts w:ascii="Arial" w:hAnsi="Arial" w:cs="Arial"/>
          <w:sz w:val="22"/>
          <w:szCs w:val="22"/>
        </w:rPr>
        <w:t>além disso</w:t>
      </w:r>
      <w:r w:rsidR="00D91637" w:rsidRPr="00E9400A">
        <w:rPr>
          <w:rFonts w:ascii="Arial" w:hAnsi="Arial" w:cs="Arial"/>
          <w:sz w:val="22"/>
          <w:szCs w:val="22"/>
        </w:rPr>
        <w:t>,</w:t>
      </w:r>
      <w:r w:rsidRPr="00E9400A">
        <w:rPr>
          <w:rFonts w:ascii="Arial" w:hAnsi="Arial" w:cs="Arial"/>
          <w:sz w:val="22"/>
          <w:szCs w:val="22"/>
        </w:rPr>
        <w:t xml:space="preserve"> o gestor público precisaria “descumprir inúmeros outros itens e estar com um” déficit “orçamentário seriamente comprometido”.</w:t>
      </w:r>
    </w:p>
    <w:p w:rsidR="0029150E" w:rsidRPr="00E9400A" w:rsidRDefault="00560121" w:rsidP="00C96A3E">
      <w:pPr>
        <w:autoSpaceDE w:val="0"/>
        <w:autoSpaceDN w:val="0"/>
        <w:adjustRightInd w:val="0"/>
        <w:rPr>
          <w:rFonts w:ascii="Arial" w:hAnsi="Arial" w:cs="Arial"/>
          <w:sz w:val="22"/>
          <w:szCs w:val="22"/>
        </w:rPr>
      </w:pPr>
      <w:r w:rsidRPr="00E9400A">
        <w:rPr>
          <w:rFonts w:ascii="Arial" w:hAnsi="Arial" w:cs="Arial"/>
          <w:sz w:val="22"/>
          <w:szCs w:val="22"/>
        </w:rPr>
        <w:t>Rocha (2013) questiona a inacessibilidade aos Relatórios para Emissão de Pareceres Prévios “Repps”, por meio eletrônico ou de forma impressa, elaborados pelo TCE/SC nos exercícios de 2008 e 2009, sendo que</w:t>
      </w:r>
      <w:r w:rsidR="007645E3" w:rsidRPr="00E9400A">
        <w:rPr>
          <w:rFonts w:ascii="Arial" w:hAnsi="Arial" w:cs="Arial"/>
          <w:sz w:val="22"/>
          <w:szCs w:val="22"/>
        </w:rPr>
        <w:t xml:space="preserve"> </w:t>
      </w:r>
      <w:r w:rsidRPr="00E9400A">
        <w:rPr>
          <w:rFonts w:ascii="Arial" w:hAnsi="Arial" w:cs="Arial"/>
          <w:sz w:val="22"/>
          <w:szCs w:val="22"/>
        </w:rPr>
        <w:t xml:space="preserve">desde o ano de 2000 tais documentos são produzidos em </w:t>
      </w:r>
      <w:r w:rsidRPr="00E9400A">
        <w:rPr>
          <w:rFonts w:ascii="Arial" w:hAnsi="Arial" w:cs="Arial"/>
          <w:bCs/>
          <w:sz w:val="22"/>
          <w:szCs w:val="22"/>
        </w:rPr>
        <w:t>mídia digital</w:t>
      </w:r>
      <w:r w:rsidRPr="00E9400A">
        <w:rPr>
          <w:rFonts w:ascii="Arial" w:hAnsi="Arial" w:cs="Arial"/>
          <w:sz w:val="22"/>
          <w:szCs w:val="22"/>
        </w:rPr>
        <w:t>. Tal questionamento acaba por se tornar pertinente no presente artigo, pois</w:t>
      </w:r>
      <w:r w:rsidR="007645E3" w:rsidRPr="00E9400A">
        <w:rPr>
          <w:rFonts w:ascii="Arial" w:hAnsi="Arial" w:cs="Arial"/>
          <w:sz w:val="22"/>
          <w:szCs w:val="22"/>
        </w:rPr>
        <w:t xml:space="preserve"> </w:t>
      </w:r>
      <w:r w:rsidRPr="00E9400A">
        <w:rPr>
          <w:rFonts w:ascii="Arial" w:hAnsi="Arial" w:cs="Arial"/>
          <w:sz w:val="22"/>
          <w:szCs w:val="22"/>
        </w:rPr>
        <w:t xml:space="preserve">dentre os anos analisados, o ano de 2000 foi </w:t>
      </w:r>
      <w:r w:rsidR="00A357B5" w:rsidRPr="00E9400A">
        <w:rPr>
          <w:rFonts w:ascii="Arial" w:hAnsi="Arial" w:cs="Arial"/>
          <w:sz w:val="22"/>
          <w:szCs w:val="22"/>
        </w:rPr>
        <w:t xml:space="preserve">aquele </w:t>
      </w:r>
      <w:r w:rsidRPr="00E9400A">
        <w:rPr>
          <w:rFonts w:ascii="Arial" w:hAnsi="Arial" w:cs="Arial"/>
          <w:sz w:val="22"/>
          <w:szCs w:val="22"/>
        </w:rPr>
        <w:t>com o maior percentual de inacessibilidade a relatórios e votos dos relatores. Entretanto, o ano de 2008 foi o único</w:t>
      </w:r>
      <w:r w:rsidR="007645E3" w:rsidRPr="00E9400A">
        <w:rPr>
          <w:rFonts w:ascii="Arial" w:hAnsi="Arial" w:cs="Arial"/>
          <w:sz w:val="22"/>
          <w:szCs w:val="22"/>
        </w:rPr>
        <w:t xml:space="preserve"> </w:t>
      </w:r>
      <w:r w:rsidRPr="00E9400A">
        <w:rPr>
          <w:rFonts w:ascii="Arial" w:hAnsi="Arial" w:cs="Arial"/>
          <w:sz w:val="22"/>
          <w:szCs w:val="22"/>
        </w:rPr>
        <w:t xml:space="preserve">em que esta pesquisa teve acesso </w:t>
      </w:r>
      <w:r w:rsidR="007645E3" w:rsidRPr="00E9400A">
        <w:rPr>
          <w:rFonts w:ascii="Arial" w:hAnsi="Arial" w:cs="Arial"/>
          <w:sz w:val="22"/>
          <w:szCs w:val="22"/>
        </w:rPr>
        <w:t>à</w:t>
      </w:r>
      <w:r w:rsidRPr="00E9400A">
        <w:rPr>
          <w:rFonts w:ascii="Arial" w:hAnsi="Arial" w:cs="Arial"/>
          <w:sz w:val="22"/>
          <w:szCs w:val="22"/>
        </w:rPr>
        <w:t xml:space="preserve"> totalidade dos documentos. Cabe ressaltar que desde o ano de 2012 o TCE/SC tem disponibilizado em meios eletrônicos de acesso público os processos de PCP na íntegra.</w:t>
      </w:r>
    </w:p>
    <w:p w:rsidR="0029150E" w:rsidRPr="00E9400A" w:rsidRDefault="0029150E" w:rsidP="00FB2A22">
      <w:pPr>
        <w:autoSpaceDE w:val="0"/>
        <w:autoSpaceDN w:val="0"/>
        <w:adjustRightInd w:val="0"/>
        <w:rPr>
          <w:rFonts w:ascii="Arial" w:hAnsi="Arial" w:cs="Arial"/>
          <w:sz w:val="22"/>
          <w:szCs w:val="22"/>
        </w:rPr>
      </w:pPr>
    </w:p>
    <w:p w:rsidR="0029150E" w:rsidRPr="00E9400A" w:rsidRDefault="0029150E" w:rsidP="00D84402">
      <w:pPr>
        <w:pStyle w:val="Ttulo1"/>
        <w:spacing w:before="0" w:after="0" w:line="360" w:lineRule="auto"/>
        <w:rPr>
          <w:rFonts w:ascii="Arial" w:hAnsi="Arial" w:cs="Arial"/>
          <w:szCs w:val="22"/>
        </w:rPr>
      </w:pPr>
      <w:r w:rsidRPr="00E9400A">
        <w:rPr>
          <w:rFonts w:ascii="Arial" w:hAnsi="Arial" w:cs="Arial"/>
          <w:szCs w:val="22"/>
        </w:rPr>
        <w:t>CONSIDERAÇÕES FINAIS</w:t>
      </w:r>
    </w:p>
    <w:p w:rsidR="0055158B" w:rsidRPr="00E9400A" w:rsidRDefault="0055158B" w:rsidP="00C96A3E">
      <w:pPr>
        <w:autoSpaceDE w:val="0"/>
        <w:autoSpaceDN w:val="0"/>
        <w:adjustRightInd w:val="0"/>
        <w:rPr>
          <w:rFonts w:ascii="Arial" w:hAnsi="Arial" w:cs="Arial"/>
          <w:sz w:val="22"/>
          <w:szCs w:val="22"/>
        </w:rPr>
      </w:pPr>
      <w:r w:rsidRPr="00E9400A">
        <w:rPr>
          <w:rFonts w:ascii="Arial" w:hAnsi="Arial" w:cs="Arial"/>
          <w:sz w:val="22"/>
          <w:szCs w:val="22"/>
        </w:rPr>
        <w:t xml:space="preserve">Considera-se que foi atingido o objetivo deste artigo, </w:t>
      </w:r>
      <w:r w:rsidR="001601CC" w:rsidRPr="00E9400A">
        <w:rPr>
          <w:rFonts w:ascii="Arial" w:hAnsi="Arial" w:cs="Arial"/>
          <w:sz w:val="22"/>
          <w:szCs w:val="22"/>
        </w:rPr>
        <w:t xml:space="preserve">ou seja, </w:t>
      </w:r>
      <w:r w:rsidRPr="00E9400A">
        <w:rPr>
          <w:rFonts w:ascii="Arial" w:hAnsi="Arial" w:cs="Arial"/>
          <w:sz w:val="22"/>
          <w:szCs w:val="22"/>
        </w:rPr>
        <w:t xml:space="preserve">“apresentar os resultados das verificações do Tribunal de Contas do Estado de Santa Catarina (TCE/SC) em relação ao cumprimento do limite para inscrição em restos a pagar nos municípios”. Os resultados da pesquisa, por meio da análise dos documentos emitidos pelo TCE/SC sobre as Prestações de Contas dos Prefeitos (PCP), permitiram verificar o desempenho de todos os municípios quanto ao cumprimento do limite para inscrição em restos a pagar (art. 42 da Lei de Responsabilidade Fiscal </w:t>
      </w:r>
      <w:r w:rsidRPr="00E9400A">
        <w:rPr>
          <w:rFonts w:ascii="Arial" w:hAnsi="Arial" w:cs="Arial"/>
          <w:b/>
          <w:sz w:val="22"/>
          <w:szCs w:val="22"/>
        </w:rPr>
        <w:t xml:space="preserve">– </w:t>
      </w:r>
      <w:r w:rsidRPr="00E9400A">
        <w:rPr>
          <w:rFonts w:ascii="Arial" w:hAnsi="Arial" w:cs="Arial"/>
          <w:sz w:val="22"/>
          <w:szCs w:val="22"/>
        </w:rPr>
        <w:t>LRF) nos encerramentos de mandatos de 2000, 2004, 2008 e 2012.</w:t>
      </w:r>
    </w:p>
    <w:p w:rsidR="0055158B" w:rsidRPr="00E9400A" w:rsidRDefault="0055158B" w:rsidP="00C96A3E">
      <w:pPr>
        <w:autoSpaceDE w:val="0"/>
        <w:autoSpaceDN w:val="0"/>
        <w:adjustRightInd w:val="0"/>
        <w:rPr>
          <w:rFonts w:ascii="Arial" w:hAnsi="Arial" w:cs="Arial"/>
          <w:sz w:val="22"/>
          <w:szCs w:val="22"/>
        </w:rPr>
      </w:pPr>
      <w:r w:rsidRPr="00E9400A">
        <w:rPr>
          <w:rFonts w:ascii="Arial" w:hAnsi="Arial" w:cs="Arial"/>
          <w:sz w:val="22"/>
          <w:szCs w:val="22"/>
        </w:rPr>
        <w:t>Quanto aos resultados alcançados, destaca-se que</w:t>
      </w:r>
      <w:r w:rsidR="00A6526C" w:rsidRPr="00E9400A">
        <w:rPr>
          <w:rFonts w:ascii="Arial" w:hAnsi="Arial" w:cs="Arial"/>
          <w:sz w:val="22"/>
          <w:szCs w:val="22"/>
        </w:rPr>
        <w:t xml:space="preserve"> no exercício financeiro de 2000</w:t>
      </w:r>
      <w:r w:rsidR="00F664B1" w:rsidRPr="00E9400A">
        <w:rPr>
          <w:rFonts w:ascii="Arial" w:hAnsi="Arial" w:cs="Arial"/>
          <w:sz w:val="22"/>
          <w:szCs w:val="22"/>
        </w:rPr>
        <w:t xml:space="preserve"> ocorreu </w:t>
      </w:r>
      <w:r w:rsidRPr="00E9400A">
        <w:rPr>
          <w:rFonts w:ascii="Arial" w:hAnsi="Arial" w:cs="Arial"/>
          <w:sz w:val="22"/>
          <w:szCs w:val="22"/>
        </w:rPr>
        <w:t>o maior número de municípios</w:t>
      </w:r>
      <w:r w:rsidR="00F664B1" w:rsidRPr="00E9400A">
        <w:rPr>
          <w:rFonts w:ascii="Arial" w:hAnsi="Arial" w:cs="Arial"/>
          <w:sz w:val="22"/>
          <w:szCs w:val="22"/>
        </w:rPr>
        <w:t xml:space="preserve"> que</w:t>
      </w:r>
      <w:r w:rsidRPr="00E9400A">
        <w:rPr>
          <w:rFonts w:ascii="Arial" w:hAnsi="Arial" w:cs="Arial"/>
          <w:sz w:val="22"/>
          <w:szCs w:val="22"/>
        </w:rPr>
        <w:t xml:space="preserve"> descumpri</w:t>
      </w:r>
      <w:r w:rsidR="00FD427D" w:rsidRPr="00E9400A">
        <w:rPr>
          <w:rFonts w:ascii="Arial" w:hAnsi="Arial" w:cs="Arial"/>
          <w:sz w:val="22"/>
          <w:szCs w:val="22"/>
        </w:rPr>
        <w:t>ram</w:t>
      </w:r>
      <w:r w:rsidRPr="00E9400A">
        <w:rPr>
          <w:rFonts w:ascii="Arial" w:hAnsi="Arial" w:cs="Arial"/>
          <w:sz w:val="22"/>
          <w:szCs w:val="22"/>
        </w:rPr>
        <w:t xml:space="preserve"> o limite para inscrição em restos a pagar. Dos 293 municípios que tiveram suas contas apreciadas (em primeira análise) pelo TCE/SC, 198 (67,6%) “descumpriram o art. 42”, sendo que todos obtiveram parecer prévio pela rejeição. Por sua vez, o menor número de municípios </w:t>
      </w:r>
      <w:r w:rsidR="0055247B" w:rsidRPr="00E9400A">
        <w:rPr>
          <w:rFonts w:ascii="Arial" w:hAnsi="Arial" w:cs="Arial"/>
          <w:sz w:val="22"/>
          <w:szCs w:val="22"/>
        </w:rPr>
        <w:t xml:space="preserve">que </w:t>
      </w:r>
      <w:r w:rsidRPr="00E9400A">
        <w:rPr>
          <w:rFonts w:ascii="Arial" w:hAnsi="Arial" w:cs="Arial"/>
          <w:sz w:val="22"/>
          <w:szCs w:val="22"/>
        </w:rPr>
        <w:t>descumpri</w:t>
      </w:r>
      <w:r w:rsidR="0055247B" w:rsidRPr="00E9400A">
        <w:rPr>
          <w:rFonts w:ascii="Arial" w:hAnsi="Arial" w:cs="Arial"/>
          <w:sz w:val="22"/>
          <w:szCs w:val="22"/>
        </w:rPr>
        <w:t xml:space="preserve">u </w:t>
      </w:r>
      <w:r w:rsidRPr="00E9400A">
        <w:rPr>
          <w:rFonts w:ascii="Arial" w:hAnsi="Arial" w:cs="Arial"/>
          <w:sz w:val="22"/>
          <w:szCs w:val="22"/>
        </w:rPr>
        <w:t xml:space="preserve">o limite para inscrição em restos a pagar ocorreu no exercício financeiro de 2008. Dos 293 municípios que tiveram suas contas apreciadas pelo TCE/SC, 68 (23,2%) “descumpriram o art. 42”, sendo que 42 obtiveram parecer prévio pela aprovação e 26 pela rejeição. </w:t>
      </w:r>
    </w:p>
    <w:p w:rsidR="0055158B" w:rsidRPr="00E9400A" w:rsidRDefault="0055158B" w:rsidP="00C96A3E">
      <w:pPr>
        <w:autoSpaceDE w:val="0"/>
        <w:autoSpaceDN w:val="0"/>
        <w:adjustRightInd w:val="0"/>
        <w:rPr>
          <w:rFonts w:ascii="Arial" w:hAnsi="Arial" w:cs="Arial"/>
          <w:sz w:val="22"/>
          <w:szCs w:val="22"/>
        </w:rPr>
      </w:pPr>
      <w:r w:rsidRPr="00E9400A">
        <w:rPr>
          <w:rFonts w:ascii="Arial" w:hAnsi="Arial" w:cs="Arial"/>
          <w:sz w:val="22"/>
          <w:szCs w:val="22"/>
        </w:rPr>
        <w:t xml:space="preserve">Após os pedidos de reapreciações, os resultados foram diferentes. O maior número de </w:t>
      </w:r>
      <w:r w:rsidRPr="00E9400A">
        <w:rPr>
          <w:rFonts w:ascii="Arial" w:hAnsi="Arial" w:cs="Arial"/>
          <w:sz w:val="22"/>
          <w:szCs w:val="22"/>
        </w:rPr>
        <w:lastRenderedPageBreak/>
        <w:t xml:space="preserve">municípios </w:t>
      </w:r>
      <w:r w:rsidR="00F53D1E" w:rsidRPr="00E9400A">
        <w:rPr>
          <w:rFonts w:ascii="Arial" w:hAnsi="Arial" w:cs="Arial"/>
          <w:sz w:val="22"/>
          <w:szCs w:val="22"/>
        </w:rPr>
        <w:t xml:space="preserve">que </w:t>
      </w:r>
      <w:r w:rsidRPr="00E9400A">
        <w:rPr>
          <w:rFonts w:ascii="Arial" w:hAnsi="Arial" w:cs="Arial"/>
          <w:sz w:val="22"/>
          <w:szCs w:val="22"/>
        </w:rPr>
        <w:t>descumpri</w:t>
      </w:r>
      <w:r w:rsidR="00F53D1E" w:rsidRPr="00E9400A">
        <w:rPr>
          <w:rFonts w:ascii="Arial" w:hAnsi="Arial" w:cs="Arial"/>
          <w:sz w:val="22"/>
          <w:szCs w:val="22"/>
        </w:rPr>
        <w:t>ram</w:t>
      </w:r>
      <w:r w:rsidRPr="00E9400A">
        <w:rPr>
          <w:rFonts w:ascii="Arial" w:hAnsi="Arial" w:cs="Arial"/>
          <w:sz w:val="22"/>
          <w:szCs w:val="22"/>
        </w:rPr>
        <w:t xml:space="preserve"> o limite ocorreu no exercício financeiro de 2004. Dos 293 municípios, 149 (50,9%) “descumpriram o art. 42”, sendo que 93 obtiveram parecer pela aprovação e 56 pela rejeição. Por sua vez, o menor número de municípios </w:t>
      </w:r>
      <w:r w:rsidR="00BA3B68" w:rsidRPr="00E9400A">
        <w:rPr>
          <w:rFonts w:ascii="Arial" w:hAnsi="Arial" w:cs="Arial"/>
          <w:sz w:val="22"/>
          <w:szCs w:val="22"/>
        </w:rPr>
        <w:t xml:space="preserve">que </w:t>
      </w:r>
      <w:r w:rsidRPr="00E9400A">
        <w:rPr>
          <w:rFonts w:ascii="Arial" w:hAnsi="Arial" w:cs="Arial"/>
          <w:sz w:val="22"/>
          <w:szCs w:val="22"/>
        </w:rPr>
        <w:t>descumpri</w:t>
      </w:r>
      <w:r w:rsidR="00BA3B68" w:rsidRPr="00E9400A">
        <w:rPr>
          <w:rFonts w:ascii="Arial" w:hAnsi="Arial" w:cs="Arial"/>
          <w:sz w:val="22"/>
          <w:szCs w:val="22"/>
        </w:rPr>
        <w:t xml:space="preserve">ram </w:t>
      </w:r>
      <w:r w:rsidRPr="00E9400A">
        <w:rPr>
          <w:rFonts w:ascii="Arial" w:hAnsi="Arial" w:cs="Arial"/>
          <w:sz w:val="22"/>
          <w:szCs w:val="22"/>
        </w:rPr>
        <w:t>o limite ocorreu no exercício financeiro de 2000. Dos 293 municípios, 57 (19,5%) “descumpriram o art. 42”, sendo que um obteve parecer pela aprovação e 56 pela rejeição.</w:t>
      </w:r>
    </w:p>
    <w:p w:rsidR="0055158B" w:rsidRPr="00E9400A" w:rsidRDefault="00961149" w:rsidP="00C96A3E">
      <w:pPr>
        <w:rPr>
          <w:rFonts w:ascii="Arial" w:hAnsi="Arial" w:cs="Arial"/>
          <w:sz w:val="22"/>
          <w:szCs w:val="22"/>
        </w:rPr>
      </w:pPr>
      <w:r w:rsidRPr="00E9400A">
        <w:rPr>
          <w:rFonts w:ascii="Arial" w:hAnsi="Arial" w:cs="Arial"/>
          <w:sz w:val="22"/>
          <w:szCs w:val="22"/>
        </w:rPr>
        <w:t>Mesmo após treze</w:t>
      </w:r>
      <w:r w:rsidR="0055158B" w:rsidRPr="00E9400A">
        <w:rPr>
          <w:rFonts w:ascii="Arial" w:hAnsi="Arial" w:cs="Arial"/>
          <w:sz w:val="22"/>
          <w:szCs w:val="22"/>
        </w:rPr>
        <w:t xml:space="preserve"> anos de vigência da LRF, alguns titulares do Poder Executivo municipal continuaram deixando restos a pagar para seus sucessores</w:t>
      </w:r>
      <w:r w:rsidR="00C97766" w:rsidRPr="00E9400A">
        <w:rPr>
          <w:rFonts w:ascii="Arial" w:hAnsi="Arial" w:cs="Arial"/>
          <w:sz w:val="22"/>
          <w:szCs w:val="22"/>
        </w:rPr>
        <w:t>,</w:t>
      </w:r>
      <w:r w:rsidR="0055158B" w:rsidRPr="00E9400A">
        <w:rPr>
          <w:rFonts w:ascii="Arial" w:hAnsi="Arial" w:cs="Arial"/>
          <w:sz w:val="22"/>
          <w:szCs w:val="22"/>
        </w:rPr>
        <w:t xml:space="preserve"> sem a correspondente disponibilidade em caixa para cobri-los. Por</w:t>
      </w:r>
      <w:r w:rsidR="00C97766" w:rsidRPr="00E9400A">
        <w:rPr>
          <w:rFonts w:ascii="Arial" w:hAnsi="Arial" w:cs="Arial"/>
          <w:sz w:val="22"/>
          <w:szCs w:val="22"/>
        </w:rPr>
        <w:t xml:space="preserve">tanto, estariam desrespeitando </w:t>
      </w:r>
      <w:r w:rsidR="0055158B" w:rsidRPr="00E9400A">
        <w:rPr>
          <w:rFonts w:ascii="Arial" w:hAnsi="Arial" w:cs="Arial"/>
          <w:sz w:val="22"/>
          <w:szCs w:val="22"/>
        </w:rPr>
        <w:t xml:space="preserve">o que dispõe o art. 42 da LRF. Da totalidade dos municípios que tiveram suas contas apreciadas pelo TCE/SC, nos exercícios financeiros de 2000, 2004, 2008 e 2012, respectivamente, 19,5%, 50,9%, 23,2% e 36,5% descumpriram o limite para inscrição em restos a pagar (após os pedidos de reapreciações). Dessa forma, entende-se que a </w:t>
      </w:r>
      <w:r w:rsidR="0055158B" w:rsidRPr="00E9400A">
        <w:rPr>
          <w:rFonts w:ascii="Arial" w:eastAsiaTheme="minorHAnsi" w:hAnsi="Arial" w:cs="Arial"/>
          <w:sz w:val="22"/>
          <w:szCs w:val="22"/>
          <w:lang w:eastAsia="en-US"/>
        </w:rPr>
        <w:t xml:space="preserve">inscrição de despesas em restos a pagar </w:t>
      </w:r>
      <w:r w:rsidR="0055158B" w:rsidRPr="00E9400A">
        <w:rPr>
          <w:rFonts w:ascii="Arial" w:hAnsi="Arial" w:cs="Arial"/>
          <w:sz w:val="22"/>
          <w:szCs w:val="22"/>
        </w:rPr>
        <w:t xml:space="preserve">continua sendo um ponto </w:t>
      </w:r>
      <w:r w:rsidR="001E6529">
        <w:rPr>
          <w:rFonts w:ascii="Arial" w:hAnsi="Arial" w:cs="Arial"/>
          <w:sz w:val="22"/>
          <w:szCs w:val="22"/>
        </w:rPr>
        <w:t xml:space="preserve">que requer </w:t>
      </w:r>
      <w:r w:rsidR="0055158B" w:rsidRPr="00E9400A">
        <w:rPr>
          <w:rFonts w:ascii="Arial" w:hAnsi="Arial" w:cs="Arial"/>
          <w:sz w:val="22"/>
          <w:szCs w:val="22"/>
        </w:rPr>
        <w:t>atenção na administração pública municipal catarinense.</w:t>
      </w:r>
    </w:p>
    <w:p w:rsidR="0055158B" w:rsidRPr="00E9400A" w:rsidRDefault="0055158B" w:rsidP="00C96A3E">
      <w:pPr>
        <w:autoSpaceDE w:val="0"/>
        <w:autoSpaceDN w:val="0"/>
        <w:adjustRightInd w:val="0"/>
        <w:rPr>
          <w:rFonts w:ascii="Arial" w:hAnsi="Arial" w:cs="Arial"/>
          <w:sz w:val="22"/>
          <w:szCs w:val="22"/>
        </w:rPr>
      </w:pPr>
      <w:r w:rsidRPr="00E9400A">
        <w:rPr>
          <w:rFonts w:ascii="Arial" w:hAnsi="Arial" w:cs="Arial"/>
          <w:sz w:val="22"/>
          <w:szCs w:val="22"/>
        </w:rPr>
        <w:t>No que concerne às limitações da presente pesquisa, tem-se a impossibilidade de identificar a totalidade das restrições remanescentes apontadas nos relatórios da Diretoria de Controle de Municípios (DMU)</w:t>
      </w:r>
      <w:r w:rsidR="004C192B" w:rsidRPr="00E9400A">
        <w:rPr>
          <w:rFonts w:ascii="Arial" w:hAnsi="Arial" w:cs="Arial"/>
          <w:sz w:val="22"/>
          <w:szCs w:val="22"/>
        </w:rPr>
        <w:t>,</w:t>
      </w:r>
      <w:r w:rsidRPr="00E9400A">
        <w:rPr>
          <w:rFonts w:ascii="Arial" w:hAnsi="Arial" w:cs="Arial"/>
          <w:sz w:val="22"/>
          <w:szCs w:val="22"/>
        </w:rPr>
        <w:t xml:space="preserve"> referentes aos exercícios de 2000, 2004 e 2012, por não se ter acesso a tais documentos</w:t>
      </w:r>
      <w:r w:rsidR="00752D5D" w:rsidRPr="00E9400A">
        <w:rPr>
          <w:rFonts w:ascii="Arial" w:hAnsi="Arial" w:cs="Arial"/>
          <w:sz w:val="22"/>
          <w:szCs w:val="22"/>
        </w:rPr>
        <w:t xml:space="preserve"> </w:t>
      </w:r>
      <w:r w:rsidRPr="00E9400A">
        <w:rPr>
          <w:rFonts w:ascii="Arial" w:hAnsi="Arial" w:cs="Arial"/>
          <w:sz w:val="22"/>
          <w:szCs w:val="22"/>
        </w:rPr>
        <w:t>ou aos relatórios e votos dos relatores. Tal limitação representa 70,6% (207), 1% (3)</w:t>
      </w:r>
      <w:r w:rsidR="00752D5D" w:rsidRPr="00E9400A">
        <w:rPr>
          <w:rFonts w:ascii="Arial" w:hAnsi="Arial" w:cs="Arial"/>
          <w:sz w:val="22"/>
          <w:szCs w:val="22"/>
        </w:rPr>
        <w:t xml:space="preserve"> </w:t>
      </w:r>
      <w:r w:rsidRPr="00E9400A">
        <w:rPr>
          <w:rFonts w:ascii="Arial" w:hAnsi="Arial" w:cs="Arial"/>
          <w:sz w:val="22"/>
          <w:szCs w:val="22"/>
        </w:rPr>
        <w:t>e 1,7% (5) dos municípios analisados após os pedidos de reapreciações nos exercícios de 2000, 2004 e 2012, respectivamente.</w:t>
      </w:r>
    </w:p>
    <w:p w:rsidR="0055158B" w:rsidRPr="00E9400A" w:rsidRDefault="0055158B" w:rsidP="00B62248">
      <w:pPr>
        <w:autoSpaceDE w:val="0"/>
        <w:autoSpaceDN w:val="0"/>
        <w:adjustRightInd w:val="0"/>
        <w:rPr>
          <w:rFonts w:ascii="Arial" w:hAnsi="Arial" w:cs="Arial"/>
          <w:sz w:val="22"/>
          <w:szCs w:val="22"/>
        </w:rPr>
      </w:pPr>
      <w:r w:rsidRPr="00E9400A">
        <w:rPr>
          <w:rFonts w:ascii="Arial" w:hAnsi="Arial" w:cs="Arial"/>
          <w:sz w:val="22"/>
          <w:szCs w:val="22"/>
        </w:rPr>
        <w:t>Por fim, para pesquisas futuras, sugere-se: ampliar a série histórica com exercícios financeiros posteriores a 2012; investigar os motivos que levam os gestores públicos a descumprir o limite p</w:t>
      </w:r>
      <w:r w:rsidR="009D671C" w:rsidRPr="00E9400A">
        <w:rPr>
          <w:rFonts w:ascii="Arial" w:hAnsi="Arial" w:cs="Arial"/>
          <w:sz w:val="22"/>
          <w:szCs w:val="22"/>
        </w:rPr>
        <w:t>ara inscrição em restos a pagar</w:t>
      </w:r>
      <w:r w:rsidR="005B1E77" w:rsidRPr="00E9400A">
        <w:rPr>
          <w:rFonts w:ascii="Arial" w:hAnsi="Arial" w:cs="Arial"/>
          <w:sz w:val="22"/>
          <w:szCs w:val="22"/>
        </w:rPr>
        <w:t>;</w:t>
      </w:r>
      <w:r w:rsidRPr="00E9400A">
        <w:rPr>
          <w:rFonts w:ascii="Arial" w:hAnsi="Arial" w:cs="Arial"/>
          <w:sz w:val="22"/>
          <w:szCs w:val="22"/>
        </w:rPr>
        <w:t xml:space="preserve"> </w:t>
      </w:r>
      <w:r w:rsidR="005E2CA7" w:rsidRPr="00E9400A">
        <w:rPr>
          <w:rFonts w:ascii="Arial" w:hAnsi="Arial" w:cs="Arial"/>
          <w:sz w:val="22"/>
          <w:szCs w:val="22"/>
        </w:rPr>
        <w:t xml:space="preserve">e </w:t>
      </w:r>
      <w:r w:rsidRPr="00E9400A">
        <w:rPr>
          <w:rFonts w:ascii="Arial" w:hAnsi="Arial" w:cs="Arial"/>
          <w:sz w:val="22"/>
          <w:szCs w:val="22"/>
        </w:rPr>
        <w:t>averiguar o quanto, em termos monetários, o descumprimento do art. 42 da LRF representa</w:t>
      </w:r>
      <w:r w:rsidR="005E2CA7" w:rsidRPr="00E9400A">
        <w:rPr>
          <w:rFonts w:ascii="Arial" w:hAnsi="Arial" w:cs="Arial"/>
          <w:sz w:val="22"/>
          <w:szCs w:val="22"/>
        </w:rPr>
        <w:t xml:space="preserve"> </w:t>
      </w:r>
      <w:r w:rsidR="008E7D4A" w:rsidRPr="00E9400A">
        <w:rPr>
          <w:rFonts w:ascii="Arial" w:hAnsi="Arial" w:cs="Arial"/>
          <w:sz w:val="22"/>
          <w:szCs w:val="22"/>
        </w:rPr>
        <w:t>ness</w:t>
      </w:r>
      <w:r w:rsidR="005E2CA7" w:rsidRPr="00E9400A">
        <w:rPr>
          <w:rFonts w:ascii="Arial" w:hAnsi="Arial" w:cs="Arial"/>
          <w:sz w:val="22"/>
          <w:szCs w:val="22"/>
        </w:rPr>
        <w:t>es municípios.</w:t>
      </w:r>
    </w:p>
    <w:p w:rsidR="00B62248" w:rsidRPr="00E9400A" w:rsidRDefault="00B62248" w:rsidP="00B62248">
      <w:pPr>
        <w:pStyle w:val="Ttulo1"/>
        <w:numPr>
          <w:ilvl w:val="0"/>
          <w:numId w:val="0"/>
        </w:numPr>
        <w:spacing w:before="0" w:after="0"/>
        <w:jc w:val="center"/>
        <w:rPr>
          <w:rFonts w:ascii="Arial" w:eastAsia="TimesNewRoman" w:hAnsi="Arial" w:cs="Arial"/>
          <w:b w:val="0"/>
          <w:szCs w:val="22"/>
          <w:lang w:val="pt-BR" w:eastAsia="pt-BR"/>
        </w:rPr>
      </w:pPr>
    </w:p>
    <w:p w:rsidR="0029150E" w:rsidRPr="00E9400A" w:rsidRDefault="0029150E" w:rsidP="00B62248">
      <w:pPr>
        <w:pStyle w:val="Ttulo1"/>
        <w:numPr>
          <w:ilvl w:val="0"/>
          <w:numId w:val="0"/>
        </w:numPr>
        <w:spacing w:before="0" w:after="0" w:line="360" w:lineRule="auto"/>
        <w:jc w:val="center"/>
        <w:rPr>
          <w:rFonts w:ascii="Arial" w:hAnsi="Arial" w:cs="Arial"/>
          <w:szCs w:val="22"/>
        </w:rPr>
      </w:pPr>
      <w:r w:rsidRPr="00E9400A">
        <w:rPr>
          <w:rFonts w:ascii="Arial" w:hAnsi="Arial" w:cs="Arial"/>
          <w:szCs w:val="22"/>
        </w:rPr>
        <w:t>REFERÊNCIAS</w:t>
      </w:r>
    </w:p>
    <w:p w:rsidR="00FB489B" w:rsidRPr="00E9400A" w:rsidRDefault="00FB489B" w:rsidP="00334223">
      <w:pPr>
        <w:spacing w:after="120"/>
        <w:ind w:firstLine="0"/>
        <w:jc w:val="left"/>
        <w:rPr>
          <w:rFonts w:ascii="Arial" w:hAnsi="Arial" w:cs="Arial"/>
          <w:sz w:val="22"/>
          <w:szCs w:val="22"/>
        </w:rPr>
      </w:pPr>
      <w:r w:rsidRPr="00E9400A">
        <w:rPr>
          <w:rFonts w:ascii="Arial" w:hAnsi="Arial" w:cs="Arial"/>
          <w:sz w:val="22"/>
          <w:szCs w:val="22"/>
        </w:rPr>
        <w:t xml:space="preserve">ARROYO, Irma Patrícia Kühn. </w:t>
      </w:r>
      <w:r w:rsidRPr="00E9400A">
        <w:rPr>
          <w:rStyle w:val="Forte"/>
          <w:rFonts w:ascii="Arial" w:hAnsi="Arial" w:cs="Arial"/>
          <w:sz w:val="22"/>
          <w:szCs w:val="22"/>
        </w:rPr>
        <w:t xml:space="preserve">O artigo 42 da Lei de Responsabilidade Fiscal e a aprovação de contas em municípios catarinenses. </w:t>
      </w:r>
      <w:r w:rsidRPr="00E9400A">
        <w:rPr>
          <w:rFonts w:ascii="Arial" w:hAnsi="Arial" w:cs="Arial"/>
          <w:sz w:val="22"/>
          <w:szCs w:val="22"/>
        </w:rPr>
        <w:t>2015. 162 f. TCC (Graduação) - Curso de Direito, Universidade Federal de Santa Catarina, Florianópolis, 2015. Disponível em:&lt;https://repositorio.</w:t>
      </w:r>
      <w:r w:rsidR="00A6758F" w:rsidRPr="00E9400A">
        <w:rPr>
          <w:rFonts w:ascii="Arial" w:hAnsi="Arial" w:cs="Arial"/>
          <w:sz w:val="22"/>
          <w:szCs w:val="22"/>
        </w:rPr>
        <w:t xml:space="preserve"> </w:t>
      </w:r>
      <w:r w:rsidRPr="00E9400A">
        <w:rPr>
          <w:rFonts w:ascii="Arial" w:hAnsi="Arial" w:cs="Arial"/>
          <w:sz w:val="22"/>
          <w:szCs w:val="22"/>
        </w:rPr>
        <w:t>ufsc.br/handle/123456789/7507&gt;. Acesso em: 14 jun. 2016.</w:t>
      </w:r>
    </w:p>
    <w:p w:rsidR="00FB489B" w:rsidRPr="00E9400A" w:rsidRDefault="00FB489B" w:rsidP="00334223">
      <w:pPr>
        <w:spacing w:after="120"/>
        <w:ind w:firstLine="0"/>
        <w:jc w:val="left"/>
        <w:rPr>
          <w:rFonts w:ascii="Arial" w:hAnsi="Arial" w:cs="Arial"/>
          <w:sz w:val="22"/>
          <w:szCs w:val="22"/>
        </w:rPr>
      </w:pPr>
      <w:r w:rsidRPr="00E9400A">
        <w:rPr>
          <w:rFonts w:ascii="Arial" w:hAnsi="Arial" w:cs="Arial"/>
          <w:sz w:val="22"/>
          <w:szCs w:val="22"/>
        </w:rPr>
        <w:t xml:space="preserve">BEUREN, Ilse Maria et al (Org.). </w:t>
      </w:r>
      <w:r w:rsidRPr="00E9400A">
        <w:rPr>
          <w:rFonts w:ascii="Arial" w:hAnsi="Arial" w:cs="Arial"/>
          <w:b/>
          <w:bCs/>
          <w:sz w:val="22"/>
          <w:szCs w:val="22"/>
        </w:rPr>
        <w:t xml:space="preserve">Como elaborar trabalhos monográficos em Contabilidade: </w:t>
      </w:r>
      <w:r w:rsidRPr="00E9400A">
        <w:rPr>
          <w:rFonts w:ascii="Arial" w:hAnsi="Arial" w:cs="Arial"/>
          <w:sz w:val="22"/>
          <w:szCs w:val="22"/>
        </w:rPr>
        <w:t>teoria e prática. 3. ed. São Paulo: Atlas, 2009. 195 p.</w:t>
      </w:r>
    </w:p>
    <w:p w:rsidR="00FB489B" w:rsidRPr="00E9400A" w:rsidRDefault="00FB489B" w:rsidP="006F711D">
      <w:pPr>
        <w:autoSpaceDE w:val="0"/>
        <w:autoSpaceDN w:val="0"/>
        <w:adjustRightInd w:val="0"/>
        <w:spacing w:after="120"/>
        <w:ind w:firstLine="0"/>
        <w:jc w:val="left"/>
        <w:rPr>
          <w:rFonts w:ascii="Arial" w:hAnsi="Arial" w:cs="Arial"/>
          <w:sz w:val="22"/>
          <w:szCs w:val="22"/>
        </w:rPr>
      </w:pPr>
      <w:r w:rsidRPr="00E9400A">
        <w:rPr>
          <w:rFonts w:ascii="Arial" w:hAnsi="Arial" w:cs="Arial"/>
          <w:sz w:val="22"/>
          <w:szCs w:val="22"/>
        </w:rPr>
        <w:t xml:space="preserve">BRASIL. </w:t>
      </w:r>
      <w:r w:rsidRPr="00E9400A">
        <w:rPr>
          <w:rFonts w:ascii="Arial" w:hAnsi="Arial" w:cs="Arial"/>
          <w:b/>
          <w:bCs/>
          <w:sz w:val="22"/>
          <w:szCs w:val="22"/>
        </w:rPr>
        <w:t xml:space="preserve">Constituição da República Federativa do Brasil: </w:t>
      </w:r>
      <w:r w:rsidRPr="00E9400A">
        <w:rPr>
          <w:rFonts w:ascii="Arial" w:hAnsi="Arial" w:cs="Arial"/>
          <w:sz w:val="22"/>
          <w:szCs w:val="22"/>
        </w:rPr>
        <w:t>promulgada em 5 de outubro de 1988. Atualizada até a Emenda Constitucional n.º 91, de 18 de fevereiro de 2016. Disponível</w:t>
      </w:r>
      <w:r w:rsidR="0037670F" w:rsidRPr="00E9400A">
        <w:rPr>
          <w:rFonts w:ascii="Arial" w:hAnsi="Arial" w:cs="Arial"/>
          <w:sz w:val="22"/>
          <w:szCs w:val="22"/>
        </w:rPr>
        <w:t xml:space="preserve"> </w:t>
      </w:r>
      <w:r w:rsidRPr="00E9400A">
        <w:rPr>
          <w:rFonts w:ascii="Arial" w:hAnsi="Arial" w:cs="Arial"/>
          <w:sz w:val="22"/>
          <w:szCs w:val="22"/>
        </w:rPr>
        <w:t>em:</w:t>
      </w:r>
      <w:r w:rsidR="0037670F" w:rsidRPr="00E9400A">
        <w:rPr>
          <w:rFonts w:ascii="Arial" w:hAnsi="Arial" w:cs="Arial"/>
          <w:sz w:val="22"/>
          <w:szCs w:val="22"/>
        </w:rPr>
        <w:t xml:space="preserve"> </w:t>
      </w:r>
      <w:r w:rsidRPr="00E9400A">
        <w:rPr>
          <w:rFonts w:ascii="Arial" w:hAnsi="Arial" w:cs="Arial"/>
          <w:sz w:val="22"/>
          <w:szCs w:val="22"/>
        </w:rPr>
        <w:t>&lt;http://www.planalto.gov.br/ccivil_03/constituicao/constituicaocompilado.htm&gt;. Acesso em: 04 fev. 2017.</w:t>
      </w:r>
    </w:p>
    <w:p w:rsidR="00FB489B" w:rsidRPr="00E9400A" w:rsidRDefault="00FB489B" w:rsidP="006F711D">
      <w:pPr>
        <w:spacing w:after="120"/>
        <w:ind w:firstLine="0"/>
        <w:jc w:val="left"/>
        <w:rPr>
          <w:rFonts w:ascii="Arial" w:hAnsi="Arial" w:cs="Arial"/>
          <w:sz w:val="22"/>
          <w:szCs w:val="22"/>
        </w:rPr>
      </w:pPr>
      <w:r w:rsidRPr="00E9400A">
        <w:rPr>
          <w:rFonts w:ascii="Arial" w:hAnsi="Arial" w:cs="Arial"/>
          <w:sz w:val="22"/>
          <w:szCs w:val="22"/>
        </w:rPr>
        <w:t xml:space="preserve">_______. </w:t>
      </w:r>
      <w:r w:rsidRPr="00E9400A">
        <w:rPr>
          <w:rFonts w:ascii="Arial" w:hAnsi="Arial" w:cs="Arial"/>
          <w:b/>
          <w:sz w:val="22"/>
          <w:szCs w:val="22"/>
        </w:rPr>
        <w:t>Lei n.º 4.320</w:t>
      </w:r>
      <w:r w:rsidRPr="00E9400A">
        <w:rPr>
          <w:rFonts w:ascii="Arial" w:hAnsi="Arial" w:cs="Arial"/>
          <w:sz w:val="22"/>
          <w:szCs w:val="22"/>
        </w:rPr>
        <w:t>, de 17 de março de 1964. Estatui normas ge</w:t>
      </w:r>
      <w:r w:rsidR="00E310DC" w:rsidRPr="00E9400A">
        <w:rPr>
          <w:rFonts w:ascii="Arial" w:hAnsi="Arial" w:cs="Arial"/>
          <w:sz w:val="22"/>
          <w:szCs w:val="22"/>
        </w:rPr>
        <w:t xml:space="preserve">rais de direito financeiro para </w:t>
      </w:r>
      <w:r w:rsidRPr="00E9400A">
        <w:rPr>
          <w:rFonts w:ascii="Arial" w:hAnsi="Arial" w:cs="Arial"/>
          <w:sz w:val="22"/>
          <w:szCs w:val="22"/>
        </w:rPr>
        <w:t>elaboração e controle dos orçamentos e balanços da União, dos estados, dos municípios e do Distrito Federal. Disponível em: &lt;</w:t>
      </w:r>
      <w:hyperlink r:id="rId13" w:history="1">
        <w:r w:rsidRPr="00E9400A">
          <w:rPr>
            <w:rStyle w:val="Hyperlink"/>
            <w:rFonts w:ascii="Arial" w:hAnsi="Arial" w:cs="Arial"/>
            <w:color w:val="auto"/>
            <w:sz w:val="22"/>
            <w:szCs w:val="22"/>
            <w:u w:val="none"/>
          </w:rPr>
          <w:t>http://www.planalto.gov.br/ccivil_03/leis/L4320.htm</w:t>
        </w:r>
      </w:hyperlink>
      <w:r w:rsidRPr="00E9400A">
        <w:rPr>
          <w:rFonts w:ascii="Arial" w:hAnsi="Arial" w:cs="Arial"/>
          <w:sz w:val="22"/>
          <w:szCs w:val="22"/>
        </w:rPr>
        <w:t>&gt;. Acesso</w:t>
      </w:r>
      <w:r w:rsidR="00E310DC" w:rsidRPr="00E9400A">
        <w:rPr>
          <w:rFonts w:ascii="Arial" w:hAnsi="Arial" w:cs="Arial"/>
          <w:sz w:val="22"/>
          <w:szCs w:val="22"/>
        </w:rPr>
        <w:t xml:space="preserve"> </w:t>
      </w:r>
      <w:r w:rsidRPr="00E9400A">
        <w:rPr>
          <w:rFonts w:ascii="Arial" w:hAnsi="Arial" w:cs="Arial"/>
          <w:sz w:val="22"/>
          <w:szCs w:val="22"/>
        </w:rPr>
        <w:t>em: 21 out. 2016.</w:t>
      </w:r>
    </w:p>
    <w:p w:rsidR="00FB489B" w:rsidRPr="00E9400A" w:rsidRDefault="00FB489B" w:rsidP="006F711D">
      <w:pPr>
        <w:spacing w:after="120"/>
        <w:ind w:firstLine="0"/>
        <w:jc w:val="left"/>
        <w:rPr>
          <w:rFonts w:ascii="Arial" w:hAnsi="Arial" w:cs="Arial"/>
          <w:sz w:val="22"/>
          <w:szCs w:val="22"/>
        </w:rPr>
      </w:pPr>
      <w:r w:rsidRPr="00E9400A">
        <w:rPr>
          <w:rFonts w:ascii="Arial" w:hAnsi="Arial" w:cs="Arial"/>
          <w:sz w:val="22"/>
          <w:szCs w:val="22"/>
        </w:rPr>
        <w:t xml:space="preserve">_______. </w:t>
      </w:r>
      <w:r w:rsidRPr="00E9400A">
        <w:rPr>
          <w:rFonts w:ascii="Arial" w:hAnsi="Arial" w:cs="Arial"/>
          <w:b/>
          <w:bCs/>
          <w:sz w:val="22"/>
          <w:szCs w:val="22"/>
        </w:rPr>
        <w:t>Lei Complementar n. 101</w:t>
      </w:r>
      <w:r w:rsidRPr="00E9400A">
        <w:rPr>
          <w:rFonts w:ascii="Arial" w:hAnsi="Arial" w:cs="Arial"/>
          <w:bCs/>
          <w:sz w:val="22"/>
          <w:szCs w:val="22"/>
        </w:rPr>
        <w:t>, de 04 de maio de 2000</w:t>
      </w:r>
      <w:r w:rsidRPr="00E9400A">
        <w:rPr>
          <w:rFonts w:ascii="Arial" w:hAnsi="Arial" w:cs="Arial"/>
          <w:sz w:val="22"/>
          <w:szCs w:val="22"/>
        </w:rPr>
        <w:t>. Estabelece normas de finanças públicas voltadas para a responsabilidade na gestão fiscal e dá outras providências. Disponível em: &lt;http://www.planalto.gov.br/ccivil_03/Leis/LCP/Lcp101.htm&gt;. Acesso em: 19 ago. 2016. 2000a.</w:t>
      </w:r>
    </w:p>
    <w:p w:rsidR="00FB489B" w:rsidRPr="00F40810" w:rsidRDefault="00FB489B" w:rsidP="006F711D">
      <w:pPr>
        <w:autoSpaceDE w:val="0"/>
        <w:autoSpaceDN w:val="0"/>
        <w:adjustRightInd w:val="0"/>
        <w:spacing w:after="120"/>
        <w:ind w:firstLine="0"/>
        <w:jc w:val="left"/>
        <w:rPr>
          <w:rFonts w:ascii="Arial" w:hAnsi="Arial" w:cs="Arial"/>
          <w:sz w:val="22"/>
          <w:szCs w:val="22"/>
        </w:rPr>
      </w:pPr>
      <w:r w:rsidRPr="00F40810">
        <w:rPr>
          <w:rFonts w:ascii="Arial" w:hAnsi="Arial" w:cs="Arial"/>
          <w:sz w:val="22"/>
          <w:szCs w:val="22"/>
        </w:rPr>
        <w:lastRenderedPageBreak/>
        <w:t xml:space="preserve">_______. </w:t>
      </w:r>
      <w:r w:rsidRPr="00F40810">
        <w:rPr>
          <w:rFonts w:ascii="Arial" w:hAnsi="Arial" w:cs="Arial"/>
          <w:b/>
          <w:bCs/>
          <w:sz w:val="22"/>
          <w:szCs w:val="22"/>
        </w:rPr>
        <w:t>Lei n.º 10.028</w:t>
      </w:r>
      <w:r w:rsidRPr="00F40810">
        <w:rPr>
          <w:rFonts w:ascii="Arial" w:hAnsi="Arial" w:cs="Arial"/>
          <w:sz w:val="22"/>
          <w:szCs w:val="22"/>
        </w:rPr>
        <w:t>, de 19 de outubro de 2000. Altera o Decreto-Lei n º 2.848, de 7 de dezembro de 1940 – Código Penal, a Lei n.º 1.079, de 10 de abril de 1950, e o Decreto-Lei n.º 201, de 27 de fevereiro de 1967. Disponível em: &lt;https://www.planalto.gov.br/ccivil_03/Leis/ L10028.htm&gt;. Acesso em: 30 nov. 2016. 2000b.</w:t>
      </w:r>
    </w:p>
    <w:p w:rsidR="00FB489B" w:rsidRPr="00F40810" w:rsidRDefault="00FB489B" w:rsidP="006F711D">
      <w:pPr>
        <w:autoSpaceDE w:val="0"/>
        <w:autoSpaceDN w:val="0"/>
        <w:adjustRightInd w:val="0"/>
        <w:spacing w:after="120"/>
        <w:ind w:firstLine="0"/>
        <w:jc w:val="left"/>
        <w:rPr>
          <w:rFonts w:ascii="Arial" w:hAnsi="Arial" w:cs="Arial"/>
          <w:sz w:val="22"/>
          <w:szCs w:val="22"/>
        </w:rPr>
      </w:pPr>
      <w:r w:rsidRPr="00F40810">
        <w:rPr>
          <w:rFonts w:ascii="Arial" w:hAnsi="Arial" w:cs="Arial"/>
          <w:sz w:val="22"/>
          <w:szCs w:val="22"/>
        </w:rPr>
        <w:t xml:space="preserve">_______. </w:t>
      </w:r>
      <w:r w:rsidRPr="00F40810">
        <w:rPr>
          <w:rFonts w:ascii="Arial" w:hAnsi="Arial" w:cs="Arial"/>
          <w:b/>
          <w:bCs/>
          <w:sz w:val="22"/>
          <w:szCs w:val="22"/>
        </w:rPr>
        <w:t>Decreto-Lei n.º 93.872</w:t>
      </w:r>
      <w:r w:rsidRPr="00F40810">
        <w:rPr>
          <w:rFonts w:ascii="Arial" w:hAnsi="Arial" w:cs="Arial"/>
          <w:sz w:val="22"/>
          <w:szCs w:val="22"/>
        </w:rPr>
        <w:t>, de 23 de dezembro de 1986. Dispõe sobre a unificação dos recursos de caixa do Tesouro Nacional, atualiza e consolida a legislação pertinente e dá outras providências. Disponível em: &lt;http://www.planalto.gov.br/ccivil_03/decreto/D93872.htm&gt;. Ace</w:t>
      </w:r>
      <w:r w:rsidR="009C280C" w:rsidRPr="00F40810">
        <w:rPr>
          <w:rFonts w:ascii="Arial" w:hAnsi="Arial" w:cs="Arial"/>
          <w:sz w:val="22"/>
          <w:szCs w:val="22"/>
        </w:rPr>
        <w:t xml:space="preserve">sso </w:t>
      </w:r>
      <w:r w:rsidRPr="00F40810">
        <w:rPr>
          <w:rFonts w:ascii="Arial" w:hAnsi="Arial" w:cs="Arial"/>
          <w:sz w:val="22"/>
          <w:szCs w:val="22"/>
        </w:rPr>
        <w:t xml:space="preserve">em: 08 mar. 2017. </w:t>
      </w:r>
    </w:p>
    <w:p w:rsidR="00FB489B" w:rsidRPr="00F40810" w:rsidRDefault="00FB489B" w:rsidP="006F711D">
      <w:pPr>
        <w:autoSpaceDE w:val="0"/>
        <w:autoSpaceDN w:val="0"/>
        <w:adjustRightInd w:val="0"/>
        <w:spacing w:after="120"/>
        <w:ind w:firstLine="0"/>
        <w:jc w:val="left"/>
        <w:rPr>
          <w:rFonts w:ascii="Arial" w:hAnsi="Arial" w:cs="Arial"/>
          <w:sz w:val="22"/>
          <w:szCs w:val="22"/>
        </w:rPr>
      </w:pPr>
      <w:r w:rsidRPr="00F40810">
        <w:rPr>
          <w:rFonts w:ascii="Arial" w:hAnsi="Arial" w:cs="Arial"/>
          <w:sz w:val="22"/>
          <w:szCs w:val="22"/>
        </w:rPr>
        <w:t xml:space="preserve">CARVALHO, Deusvaldo. </w:t>
      </w:r>
      <w:r w:rsidRPr="00F40810">
        <w:rPr>
          <w:rFonts w:ascii="Arial" w:hAnsi="Arial" w:cs="Arial"/>
          <w:b/>
          <w:sz w:val="22"/>
          <w:szCs w:val="22"/>
        </w:rPr>
        <w:t>Orçamento e Contabilidade Pública:</w:t>
      </w:r>
      <w:r w:rsidRPr="00F40810">
        <w:rPr>
          <w:rFonts w:ascii="Arial" w:hAnsi="Arial" w:cs="Arial"/>
          <w:sz w:val="22"/>
          <w:szCs w:val="22"/>
        </w:rPr>
        <w:t xml:space="preserve"> teoria, prática e mais de 800 exercícios. 5. ed. (rev. e amp.). Rio de Janeiro: Elsevier, 2010.</w:t>
      </w:r>
    </w:p>
    <w:p w:rsidR="00FB489B" w:rsidRPr="00F40810" w:rsidRDefault="00FB489B" w:rsidP="006F711D">
      <w:pPr>
        <w:autoSpaceDE w:val="0"/>
        <w:autoSpaceDN w:val="0"/>
        <w:adjustRightInd w:val="0"/>
        <w:spacing w:after="120"/>
        <w:ind w:firstLine="0"/>
        <w:jc w:val="left"/>
        <w:rPr>
          <w:rFonts w:ascii="Arial" w:hAnsi="Arial" w:cs="Arial"/>
          <w:sz w:val="22"/>
          <w:szCs w:val="22"/>
        </w:rPr>
      </w:pPr>
      <w:r w:rsidRPr="00F40810">
        <w:rPr>
          <w:rFonts w:ascii="Arial" w:hAnsi="Arial" w:cs="Arial"/>
          <w:sz w:val="22"/>
          <w:szCs w:val="22"/>
        </w:rPr>
        <w:t xml:space="preserve">CRUZ, Flávio da </w:t>
      </w:r>
      <w:r w:rsidRPr="00F40810">
        <w:rPr>
          <w:rFonts w:ascii="Arial" w:hAnsi="Arial" w:cs="Arial"/>
          <w:i/>
          <w:sz w:val="22"/>
          <w:szCs w:val="22"/>
        </w:rPr>
        <w:t xml:space="preserve">et al. </w:t>
      </w:r>
      <w:r w:rsidRPr="00F40810">
        <w:rPr>
          <w:rFonts w:ascii="Arial" w:hAnsi="Arial" w:cs="Arial"/>
          <w:sz w:val="22"/>
          <w:szCs w:val="22"/>
        </w:rPr>
        <w:t xml:space="preserve">(Coord.). </w:t>
      </w:r>
      <w:r w:rsidRPr="00F40810">
        <w:rPr>
          <w:rStyle w:val="Forte"/>
          <w:rFonts w:ascii="Arial" w:hAnsi="Arial" w:cs="Arial"/>
          <w:sz w:val="22"/>
          <w:szCs w:val="22"/>
        </w:rPr>
        <w:t xml:space="preserve">Lei de Responsabilidade Fiscal comentada: </w:t>
      </w:r>
      <w:r w:rsidRPr="00F40810">
        <w:rPr>
          <w:rFonts w:ascii="Arial" w:hAnsi="Arial" w:cs="Arial"/>
          <w:sz w:val="22"/>
          <w:szCs w:val="22"/>
        </w:rPr>
        <w:t xml:space="preserve">Lei Complementar nº 101, de 4 de Maio de 2000. 9. ed. São Paulo: Atlas, 2014. 448 p. </w:t>
      </w:r>
    </w:p>
    <w:p w:rsidR="00FB489B" w:rsidRPr="00F40810" w:rsidRDefault="00FB489B" w:rsidP="006F711D">
      <w:pPr>
        <w:spacing w:after="120"/>
        <w:ind w:firstLine="0"/>
        <w:jc w:val="left"/>
        <w:rPr>
          <w:rFonts w:ascii="Arial" w:hAnsi="Arial" w:cs="Arial"/>
          <w:sz w:val="22"/>
          <w:szCs w:val="22"/>
        </w:rPr>
      </w:pPr>
      <w:r w:rsidRPr="00F40810">
        <w:rPr>
          <w:rFonts w:ascii="Arial" w:hAnsi="Arial" w:cs="Arial"/>
          <w:sz w:val="22"/>
          <w:szCs w:val="22"/>
        </w:rPr>
        <w:t xml:space="preserve">GIACOMONI, James. </w:t>
      </w:r>
      <w:r w:rsidRPr="00F40810">
        <w:rPr>
          <w:rStyle w:val="nfase"/>
          <w:rFonts w:ascii="Arial" w:eastAsia="Calibri" w:hAnsi="Arial" w:cs="Arial"/>
          <w:b/>
          <w:i w:val="0"/>
          <w:sz w:val="22"/>
          <w:szCs w:val="22"/>
        </w:rPr>
        <w:t>Orçamento público.</w:t>
      </w:r>
      <w:r w:rsidRPr="00F40810">
        <w:rPr>
          <w:rStyle w:val="nfase"/>
          <w:rFonts w:ascii="Arial" w:eastAsia="Calibri" w:hAnsi="Arial" w:cs="Arial"/>
          <w:sz w:val="22"/>
          <w:szCs w:val="22"/>
        </w:rPr>
        <w:t xml:space="preserve"> </w:t>
      </w:r>
      <w:r w:rsidRPr="00F40810">
        <w:rPr>
          <w:rFonts w:ascii="Arial" w:hAnsi="Arial" w:cs="Arial"/>
          <w:sz w:val="22"/>
          <w:szCs w:val="22"/>
        </w:rPr>
        <w:t>17. ed. São Paulo: Atlas, 2017. Disponível em: &lt;</w:t>
      </w:r>
      <w:r w:rsidRPr="00F40810">
        <w:rPr>
          <w:rStyle w:val="retrieved-from"/>
          <w:rFonts w:ascii="Arial" w:hAnsi="Arial" w:cs="Arial"/>
          <w:sz w:val="22"/>
          <w:szCs w:val="22"/>
        </w:rPr>
        <w:t>https://integrada.minhabiblioteca.com.br/#/books/9788597010473/</w:t>
      </w:r>
      <w:r w:rsidRPr="00F40810">
        <w:rPr>
          <w:rFonts w:ascii="Arial" w:hAnsi="Arial" w:cs="Arial"/>
          <w:sz w:val="22"/>
          <w:szCs w:val="22"/>
        </w:rPr>
        <w:t>&gt;. Acesso em: 07 mar. 2017.</w:t>
      </w:r>
    </w:p>
    <w:p w:rsidR="00FB489B" w:rsidRPr="00F40810" w:rsidRDefault="00FB489B" w:rsidP="006F711D">
      <w:pPr>
        <w:autoSpaceDE w:val="0"/>
        <w:autoSpaceDN w:val="0"/>
        <w:adjustRightInd w:val="0"/>
        <w:spacing w:after="120"/>
        <w:ind w:firstLine="0"/>
        <w:jc w:val="left"/>
        <w:rPr>
          <w:rFonts w:ascii="Arial" w:hAnsi="Arial" w:cs="Arial"/>
          <w:sz w:val="22"/>
          <w:szCs w:val="22"/>
          <w:shd w:val="clear" w:color="auto" w:fill="FFFFFF"/>
        </w:rPr>
      </w:pPr>
      <w:r w:rsidRPr="00F40810">
        <w:rPr>
          <w:rFonts w:ascii="Arial" w:hAnsi="Arial" w:cs="Arial"/>
          <w:sz w:val="22"/>
          <w:szCs w:val="22"/>
        </w:rPr>
        <w:t xml:space="preserve">KOHAMA, Heilio. </w:t>
      </w:r>
      <w:r w:rsidRPr="00F40810">
        <w:rPr>
          <w:rStyle w:val="nfase"/>
          <w:rFonts w:ascii="Arial" w:eastAsia="Calibri" w:hAnsi="Arial" w:cs="Arial"/>
          <w:b/>
          <w:i w:val="0"/>
          <w:sz w:val="22"/>
          <w:szCs w:val="22"/>
        </w:rPr>
        <w:t>Contabilidade Pública:</w:t>
      </w:r>
      <w:r w:rsidRPr="00F40810">
        <w:rPr>
          <w:rStyle w:val="nfase"/>
          <w:rFonts w:ascii="Arial" w:eastAsia="Calibri" w:hAnsi="Arial" w:cs="Arial"/>
          <w:i w:val="0"/>
          <w:sz w:val="22"/>
          <w:szCs w:val="22"/>
        </w:rPr>
        <w:t xml:space="preserve">  teoria e prática. 15. ed.</w:t>
      </w:r>
      <w:r w:rsidRPr="00F40810">
        <w:rPr>
          <w:rStyle w:val="nfase"/>
          <w:rFonts w:ascii="Arial" w:eastAsia="Calibri" w:hAnsi="Arial" w:cs="Arial"/>
          <w:sz w:val="22"/>
          <w:szCs w:val="22"/>
        </w:rPr>
        <w:t xml:space="preserve"> </w:t>
      </w:r>
      <w:r w:rsidRPr="00F40810">
        <w:rPr>
          <w:rFonts w:ascii="Arial" w:hAnsi="Arial" w:cs="Arial"/>
          <w:sz w:val="22"/>
          <w:szCs w:val="22"/>
        </w:rPr>
        <w:t>São Paulo: Atlas, 2016. Disponível em: &lt;</w:t>
      </w:r>
      <w:r w:rsidRPr="00F40810">
        <w:rPr>
          <w:rStyle w:val="retrieved-from"/>
          <w:rFonts w:ascii="Arial" w:hAnsi="Arial" w:cs="Arial"/>
          <w:sz w:val="22"/>
          <w:szCs w:val="22"/>
        </w:rPr>
        <w:t xml:space="preserve">https://integrada.minhabiblioteca.com.br/#/books/9788597006391/&gt;. </w:t>
      </w:r>
      <w:r w:rsidRPr="00F40810">
        <w:rPr>
          <w:rFonts w:ascii="Arial" w:hAnsi="Arial" w:cs="Arial"/>
          <w:sz w:val="22"/>
          <w:szCs w:val="22"/>
        </w:rPr>
        <w:t>Acesso em: 04 fev. 2017.</w:t>
      </w:r>
    </w:p>
    <w:p w:rsidR="00FB489B" w:rsidRPr="00F40810" w:rsidRDefault="00FB489B" w:rsidP="006F711D">
      <w:pPr>
        <w:spacing w:after="120"/>
        <w:ind w:firstLine="0"/>
        <w:jc w:val="left"/>
        <w:rPr>
          <w:rFonts w:ascii="Arial" w:hAnsi="Arial" w:cs="Arial"/>
          <w:sz w:val="22"/>
          <w:szCs w:val="22"/>
          <w:shd w:val="clear" w:color="auto" w:fill="FFFFFF"/>
        </w:rPr>
      </w:pPr>
      <w:r w:rsidRPr="00F40810">
        <w:rPr>
          <w:rFonts w:ascii="Arial" w:hAnsi="Arial" w:cs="Arial"/>
          <w:sz w:val="22"/>
          <w:szCs w:val="22"/>
        </w:rPr>
        <w:t xml:space="preserve">MPDG – Ministério do Planejamento, Desenvolvimento e Gestão. </w:t>
      </w:r>
      <w:r w:rsidRPr="00F40810">
        <w:rPr>
          <w:rStyle w:val="Forte"/>
          <w:rFonts w:ascii="Arial" w:hAnsi="Arial" w:cs="Arial"/>
          <w:sz w:val="22"/>
          <w:szCs w:val="22"/>
          <w:shd w:val="clear" w:color="auto" w:fill="FFFFFF"/>
        </w:rPr>
        <w:t xml:space="preserve">Dicas sobre a Lei de Responsabilidade Fiscal. </w:t>
      </w:r>
      <w:r w:rsidRPr="00F40810">
        <w:rPr>
          <w:rFonts w:ascii="Arial" w:hAnsi="Arial" w:cs="Arial"/>
          <w:sz w:val="22"/>
          <w:szCs w:val="22"/>
          <w:shd w:val="clear" w:color="auto" w:fill="FFFFFF"/>
        </w:rPr>
        <w:t>Disponível em: &lt;http://www.planejamento.gov.br/assuntos/ planeja/orcamento/lei-de-responsabilidade-fiscal/dicas/dicas&gt;. Acesso em: 21 mar. 2017.</w:t>
      </w:r>
    </w:p>
    <w:p w:rsidR="00FB489B" w:rsidRPr="00F40810" w:rsidRDefault="00FB489B" w:rsidP="006F711D">
      <w:pPr>
        <w:spacing w:after="120"/>
        <w:ind w:firstLine="0"/>
        <w:jc w:val="left"/>
        <w:rPr>
          <w:rFonts w:ascii="Arial" w:hAnsi="Arial" w:cs="Arial"/>
          <w:sz w:val="22"/>
          <w:szCs w:val="22"/>
        </w:rPr>
      </w:pPr>
      <w:r w:rsidRPr="00F40810">
        <w:rPr>
          <w:rFonts w:ascii="Arial" w:hAnsi="Arial" w:cs="Arial"/>
          <w:sz w:val="22"/>
          <w:szCs w:val="22"/>
        </w:rPr>
        <w:t xml:space="preserve">OLIVEIRA, Bianca dos Santos Ribeiro de; PLATT NETO, Orion Augusto; CRUZ, Flávio da. Resultados dos Pareceres do Tribunal de Contas em Relação ao Limite para Inscrição em Restos a Pagar (art. 42 da LRF) nos Últimos Anos de Mandato dos Prefeitos dos Municípios Catarinenses. In: CONGRESSO UFSC DE CONTROLADORIA E FINANÇAS, 4º. 2011, Florianópolis, SC. </w:t>
      </w:r>
      <w:r w:rsidRPr="00F40810">
        <w:rPr>
          <w:rStyle w:val="Forte"/>
          <w:rFonts w:ascii="Arial" w:hAnsi="Arial" w:cs="Arial"/>
          <w:sz w:val="22"/>
          <w:szCs w:val="22"/>
        </w:rPr>
        <w:t xml:space="preserve">Anais. </w:t>
      </w:r>
      <w:r w:rsidRPr="00F40810">
        <w:rPr>
          <w:rFonts w:ascii="Arial" w:hAnsi="Arial" w:cs="Arial"/>
          <w:sz w:val="22"/>
          <w:szCs w:val="22"/>
        </w:rPr>
        <w:t>Florianópolis: Departamento de Ciências Contábeis da Universidade Federal de Santa Catarina, 2011. p. 68. Disponível em: &lt;http://dvl.ccn.ufsc.br/ congresso/anais/</w:t>
      </w:r>
      <w:r w:rsidR="001B12B0" w:rsidRPr="00F40810">
        <w:rPr>
          <w:rFonts w:ascii="Arial" w:hAnsi="Arial" w:cs="Arial"/>
          <w:sz w:val="22"/>
          <w:szCs w:val="22"/>
        </w:rPr>
        <w:t xml:space="preserve"> </w:t>
      </w:r>
      <w:r w:rsidRPr="00F40810">
        <w:rPr>
          <w:rFonts w:ascii="Arial" w:hAnsi="Arial" w:cs="Arial"/>
          <w:sz w:val="22"/>
          <w:szCs w:val="22"/>
        </w:rPr>
        <w:t>4CCF/index.htm&gt;. Acesso em: 05 jul. 2016.</w:t>
      </w:r>
    </w:p>
    <w:p w:rsidR="00FB489B" w:rsidRPr="00F40810" w:rsidRDefault="00FB489B" w:rsidP="006F711D">
      <w:pPr>
        <w:spacing w:after="120"/>
        <w:ind w:firstLine="0"/>
        <w:jc w:val="left"/>
        <w:rPr>
          <w:rFonts w:ascii="Arial" w:hAnsi="Arial" w:cs="Arial"/>
          <w:sz w:val="22"/>
          <w:szCs w:val="22"/>
        </w:rPr>
      </w:pPr>
      <w:r w:rsidRPr="00F40810">
        <w:rPr>
          <w:rFonts w:ascii="Arial" w:hAnsi="Arial" w:cs="Arial"/>
          <w:sz w:val="22"/>
          <w:szCs w:val="22"/>
        </w:rPr>
        <w:t xml:space="preserve">PASCOAL, Valdecir. </w:t>
      </w:r>
      <w:r w:rsidRPr="00F40810">
        <w:rPr>
          <w:rStyle w:val="nfase"/>
          <w:rFonts w:ascii="Arial" w:eastAsia="Calibri" w:hAnsi="Arial" w:cs="Arial"/>
          <w:b/>
          <w:i w:val="0"/>
          <w:sz w:val="22"/>
          <w:szCs w:val="22"/>
        </w:rPr>
        <w:t>Direito financeiro e controle externo.</w:t>
      </w:r>
      <w:r w:rsidRPr="00F40810">
        <w:rPr>
          <w:rStyle w:val="nfase"/>
          <w:rFonts w:ascii="Arial" w:eastAsia="Calibri" w:hAnsi="Arial" w:cs="Arial"/>
          <w:sz w:val="22"/>
          <w:szCs w:val="22"/>
        </w:rPr>
        <w:t xml:space="preserve"> </w:t>
      </w:r>
      <w:r w:rsidRPr="00F40810">
        <w:rPr>
          <w:rFonts w:ascii="Arial" w:hAnsi="Arial" w:cs="Arial"/>
          <w:sz w:val="22"/>
          <w:szCs w:val="22"/>
        </w:rPr>
        <w:t>9. ed. São Paulo: Método, 2015. Disponível em: &lt;</w:t>
      </w:r>
      <w:r w:rsidRPr="00F40810">
        <w:rPr>
          <w:rStyle w:val="retrieved-from"/>
          <w:rFonts w:ascii="Arial" w:hAnsi="Arial" w:cs="Arial"/>
          <w:sz w:val="22"/>
          <w:szCs w:val="22"/>
        </w:rPr>
        <w:t>https://integrada.minhabiblioteca.com.br/#/books/978-85-309-6738-3/&gt;. A</w:t>
      </w:r>
      <w:r w:rsidRPr="00F40810">
        <w:rPr>
          <w:rFonts w:ascii="Arial" w:hAnsi="Arial" w:cs="Arial"/>
          <w:sz w:val="22"/>
          <w:szCs w:val="22"/>
        </w:rPr>
        <w:t>cesso em: 04 fev. 2017.</w:t>
      </w:r>
    </w:p>
    <w:p w:rsidR="00FB489B" w:rsidRPr="00F40810" w:rsidRDefault="00FB489B" w:rsidP="006F711D">
      <w:pPr>
        <w:autoSpaceDE w:val="0"/>
        <w:autoSpaceDN w:val="0"/>
        <w:adjustRightInd w:val="0"/>
        <w:spacing w:after="120"/>
        <w:ind w:firstLine="0"/>
        <w:jc w:val="left"/>
        <w:rPr>
          <w:rFonts w:ascii="Arial" w:hAnsi="Arial" w:cs="Arial"/>
          <w:sz w:val="22"/>
          <w:szCs w:val="22"/>
          <w:shd w:val="clear" w:color="auto" w:fill="FFFFFF"/>
        </w:rPr>
      </w:pPr>
      <w:r w:rsidRPr="00F40810">
        <w:rPr>
          <w:rFonts w:ascii="Arial" w:hAnsi="Arial" w:cs="Arial"/>
          <w:sz w:val="22"/>
          <w:szCs w:val="22"/>
        </w:rPr>
        <w:t xml:space="preserve">PLATT NETO, Orion Augusto. </w:t>
      </w:r>
      <w:r w:rsidRPr="00F40810">
        <w:rPr>
          <w:rFonts w:ascii="Arial" w:hAnsi="Arial" w:cs="Arial"/>
          <w:b/>
          <w:bCs/>
          <w:sz w:val="22"/>
          <w:szCs w:val="22"/>
        </w:rPr>
        <w:t xml:space="preserve">Contabilidade Pública: </w:t>
      </w:r>
      <w:r w:rsidRPr="00F40810">
        <w:rPr>
          <w:rFonts w:ascii="Arial" w:hAnsi="Arial" w:cs="Arial"/>
          <w:sz w:val="22"/>
          <w:szCs w:val="22"/>
        </w:rPr>
        <w:t>atualizada e focada. 17. ed. (rev. e atual.). Florianópolis: Edição do autor, 2017.</w:t>
      </w:r>
    </w:p>
    <w:p w:rsidR="00FB489B" w:rsidRPr="00F40810" w:rsidRDefault="00FB489B" w:rsidP="006F711D">
      <w:pPr>
        <w:autoSpaceDE w:val="0"/>
        <w:autoSpaceDN w:val="0"/>
        <w:adjustRightInd w:val="0"/>
        <w:spacing w:after="120"/>
        <w:ind w:firstLine="0"/>
        <w:jc w:val="left"/>
        <w:rPr>
          <w:rFonts w:ascii="Arial" w:hAnsi="Arial" w:cs="Arial"/>
          <w:sz w:val="22"/>
          <w:szCs w:val="22"/>
        </w:rPr>
      </w:pPr>
      <w:r w:rsidRPr="00F40810">
        <w:rPr>
          <w:rFonts w:ascii="Arial" w:hAnsi="Arial" w:cs="Arial"/>
          <w:sz w:val="22"/>
          <w:szCs w:val="22"/>
        </w:rPr>
        <w:t xml:space="preserve">ROCHA, Arlindo Carvalho. A realização da accountability em pareceres prévios do Tribunal de Contas de Santa Catarina. </w:t>
      </w:r>
      <w:r w:rsidRPr="00F40810">
        <w:rPr>
          <w:rStyle w:val="Forte"/>
          <w:rFonts w:ascii="Arial" w:hAnsi="Arial" w:cs="Arial"/>
          <w:sz w:val="22"/>
          <w:szCs w:val="22"/>
        </w:rPr>
        <w:t xml:space="preserve">Rev. Adm. Pública, </w:t>
      </w:r>
      <w:r w:rsidRPr="00F40810">
        <w:rPr>
          <w:rFonts w:ascii="Arial" w:hAnsi="Arial" w:cs="Arial"/>
          <w:sz w:val="22"/>
          <w:szCs w:val="22"/>
        </w:rPr>
        <w:t>Rio de Janeiro, v. 47, n. 4, p.901-926, jul./ago. 2013. Bimestral. Disponível em: &lt;http://bibliotecadigital.fgv.br/ojs/index.php/rap/ issue/view/</w:t>
      </w:r>
      <w:r w:rsidR="002911C9" w:rsidRPr="00F40810">
        <w:rPr>
          <w:rFonts w:ascii="Arial" w:hAnsi="Arial" w:cs="Arial"/>
          <w:sz w:val="22"/>
          <w:szCs w:val="22"/>
        </w:rPr>
        <w:t xml:space="preserve"> </w:t>
      </w:r>
      <w:r w:rsidRPr="00F40810">
        <w:rPr>
          <w:rFonts w:ascii="Arial" w:hAnsi="Arial" w:cs="Arial"/>
          <w:sz w:val="22"/>
          <w:szCs w:val="22"/>
        </w:rPr>
        <w:t>929&gt;</w:t>
      </w:r>
      <w:r w:rsidR="00BE2714" w:rsidRPr="00F40810">
        <w:rPr>
          <w:rFonts w:ascii="Arial" w:hAnsi="Arial" w:cs="Arial"/>
          <w:sz w:val="22"/>
          <w:szCs w:val="22"/>
        </w:rPr>
        <w:t xml:space="preserve">. </w:t>
      </w:r>
      <w:r w:rsidRPr="00F40810">
        <w:rPr>
          <w:rFonts w:ascii="Arial" w:hAnsi="Arial" w:cs="Arial"/>
          <w:sz w:val="22"/>
          <w:szCs w:val="22"/>
        </w:rPr>
        <w:t>Acesso em: 11 jun. 2016.</w:t>
      </w:r>
    </w:p>
    <w:p w:rsidR="00FB489B" w:rsidRPr="00F40810" w:rsidRDefault="00FB489B" w:rsidP="006F711D">
      <w:pPr>
        <w:spacing w:after="120"/>
        <w:ind w:firstLine="0"/>
        <w:jc w:val="left"/>
        <w:textAlignment w:val="baseline"/>
        <w:rPr>
          <w:rFonts w:ascii="Arial" w:hAnsi="Arial" w:cs="Arial"/>
          <w:sz w:val="22"/>
          <w:szCs w:val="22"/>
        </w:rPr>
      </w:pPr>
      <w:r w:rsidRPr="00F40810">
        <w:rPr>
          <w:rFonts w:ascii="Arial" w:hAnsi="Arial" w:cs="Arial"/>
          <w:sz w:val="22"/>
          <w:szCs w:val="22"/>
        </w:rPr>
        <w:t xml:space="preserve">SANTA CATARINA. </w:t>
      </w:r>
      <w:r w:rsidRPr="00F40810">
        <w:rPr>
          <w:rFonts w:ascii="Arial" w:hAnsi="Arial" w:cs="Arial"/>
          <w:b/>
          <w:bCs/>
          <w:sz w:val="22"/>
          <w:szCs w:val="22"/>
        </w:rPr>
        <w:t>Constituição do Estado de Santa Catarina</w:t>
      </w:r>
      <w:r w:rsidRPr="00F40810">
        <w:rPr>
          <w:rFonts w:ascii="Arial" w:hAnsi="Arial" w:cs="Arial"/>
          <w:b/>
          <w:sz w:val="22"/>
          <w:szCs w:val="22"/>
        </w:rPr>
        <w:t>:</w:t>
      </w:r>
      <w:r w:rsidRPr="00F40810">
        <w:rPr>
          <w:rFonts w:ascii="Arial" w:hAnsi="Arial" w:cs="Arial"/>
          <w:sz w:val="22"/>
          <w:szCs w:val="22"/>
        </w:rPr>
        <w:t xml:space="preserve"> promulgada em 5 de outubro de 1989. Atualizada até a Emenda Constitucional n.º 73, de 2016. Disponível em: &lt;http://www.</w:t>
      </w:r>
      <w:r w:rsidR="00D66267" w:rsidRPr="00F40810">
        <w:rPr>
          <w:rFonts w:ascii="Arial" w:hAnsi="Arial" w:cs="Arial"/>
          <w:sz w:val="22"/>
          <w:szCs w:val="22"/>
        </w:rPr>
        <w:t xml:space="preserve"> </w:t>
      </w:r>
      <w:r w:rsidRPr="00F40810">
        <w:rPr>
          <w:rFonts w:ascii="Arial" w:hAnsi="Arial" w:cs="Arial"/>
          <w:sz w:val="22"/>
          <w:szCs w:val="22"/>
        </w:rPr>
        <w:t>alesc.sc.gov.br/portal_alesc/sites/default/files/CESC%202017%20-2072%20e%2073%20emds.</w:t>
      </w:r>
      <w:r w:rsidR="00D66267" w:rsidRPr="00F40810">
        <w:rPr>
          <w:rFonts w:ascii="Arial" w:hAnsi="Arial" w:cs="Arial"/>
          <w:sz w:val="22"/>
          <w:szCs w:val="22"/>
        </w:rPr>
        <w:t xml:space="preserve"> </w:t>
      </w:r>
      <w:r w:rsidRPr="00F40810">
        <w:rPr>
          <w:rFonts w:ascii="Arial" w:hAnsi="Arial" w:cs="Arial"/>
          <w:sz w:val="22"/>
          <w:szCs w:val="22"/>
        </w:rPr>
        <w:t>pdf&gt;. Acesso em: 30 mar. 2017.</w:t>
      </w:r>
    </w:p>
    <w:p w:rsidR="00FB489B" w:rsidRPr="00F40810" w:rsidRDefault="00FB489B" w:rsidP="006F711D">
      <w:pPr>
        <w:spacing w:after="120"/>
        <w:ind w:firstLine="0"/>
        <w:jc w:val="left"/>
        <w:rPr>
          <w:rFonts w:ascii="Arial" w:hAnsi="Arial" w:cs="Arial"/>
          <w:sz w:val="22"/>
          <w:szCs w:val="22"/>
        </w:rPr>
      </w:pPr>
      <w:r w:rsidRPr="00F40810">
        <w:rPr>
          <w:rFonts w:ascii="Arial" w:hAnsi="Arial" w:cs="Arial"/>
          <w:sz w:val="22"/>
          <w:szCs w:val="22"/>
        </w:rPr>
        <w:lastRenderedPageBreak/>
        <w:t xml:space="preserve">SILVA, Lino Martins da. </w:t>
      </w:r>
      <w:r w:rsidRPr="00F40810">
        <w:rPr>
          <w:rStyle w:val="nfase"/>
          <w:rFonts w:ascii="Arial" w:eastAsia="Calibri" w:hAnsi="Arial" w:cs="Arial"/>
          <w:b/>
          <w:i w:val="0"/>
          <w:sz w:val="22"/>
          <w:szCs w:val="22"/>
        </w:rPr>
        <w:t>Contabilidade Governamental:</w:t>
      </w:r>
      <w:r w:rsidRPr="00F40810">
        <w:rPr>
          <w:rStyle w:val="nfase"/>
          <w:rFonts w:ascii="Arial" w:eastAsia="Calibri" w:hAnsi="Arial" w:cs="Arial"/>
          <w:i w:val="0"/>
          <w:sz w:val="22"/>
          <w:szCs w:val="22"/>
        </w:rPr>
        <w:t xml:space="preserve"> um enfoque administrativo da nova contabilidade pública.</w:t>
      </w:r>
      <w:r w:rsidRPr="00F40810">
        <w:rPr>
          <w:rStyle w:val="nfase"/>
          <w:rFonts w:ascii="Arial" w:eastAsia="Calibri" w:hAnsi="Arial" w:cs="Arial"/>
          <w:sz w:val="22"/>
          <w:szCs w:val="22"/>
        </w:rPr>
        <w:t xml:space="preserve"> </w:t>
      </w:r>
      <w:r w:rsidRPr="00F40810">
        <w:rPr>
          <w:rFonts w:ascii="Arial" w:hAnsi="Arial" w:cs="Arial"/>
          <w:sz w:val="22"/>
          <w:szCs w:val="22"/>
        </w:rPr>
        <w:t>9. ed. São Paulo: Atlas, 2011. 400 p. Disponível em: &lt;</w:t>
      </w:r>
      <w:r w:rsidRPr="00F40810">
        <w:rPr>
          <w:rStyle w:val="retrieved-from"/>
          <w:rFonts w:ascii="Arial" w:hAnsi="Arial" w:cs="Arial"/>
          <w:sz w:val="22"/>
          <w:szCs w:val="22"/>
        </w:rPr>
        <w:t xml:space="preserve">https:// integrada.minhabiblioteca.com.br/#/books/9788522477968/&gt;. </w:t>
      </w:r>
      <w:r w:rsidRPr="00F40810">
        <w:rPr>
          <w:rFonts w:ascii="Arial" w:hAnsi="Arial" w:cs="Arial"/>
          <w:sz w:val="22"/>
          <w:szCs w:val="22"/>
        </w:rPr>
        <w:t>Acesso em: 04 fev. 2017.</w:t>
      </w:r>
    </w:p>
    <w:p w:rsidR="00FB489B" w:rsidRPr="00F40810" w:rsidRDefault="00FB489B" w:rsidP="006F711D">
      <w:pPr>
        <w:autoSpaceDE w:val="0"/>
        <w:autoSpaceDN w:val="0"/>
        <w:adjustRightInd w:val="0"/>
        <w:spacing w:after="120"/>
        <w:ind w:firstLine="0"/>
        <w:jc w:val="left"/>
        <w:rPr>
          <w:rFonts w:ascii="Arial" w:hAnsi="Arial" w:cs="Arial"/>
          <w:sz w:val="22"/>
          <w:szCs w:val="22"/>
          <w:shd w:val="clear" w:color="auto" w:fill="FFFFFF"/>
        </w:rPr>
      </w:pPr>
      <w:r w:rsidRPr="00F40810">
        <w:rPr>
          <w:rFonts w:ascii="Arial" w:hAnsi="Arial" w:cs="Arial"/>
          <w:sz w:val="22"/>
          <w:szCs w:val="22"/>
        </w:rPr>
        <w:t>STN – Secretaria do Tesouro Nacional.</w:t>
      </w:r>
      <w:r w:rsidRPr="00F40810">
        <w:rPr>
          <w:rFonts w:ascii="Arial" w:hAnsi="Arial" w:cs="Arial"/>
          <w:b/>
          <w:sz w:val="22"/>
          <w:szCs w:val="22"/>
        </w:rPr>
        <w:t xml:space="preserve"> Manual de Contabilidade Aplicada ao Setor Público (MCASP)</w:t>
      </w:r>
      <w:r w:rsidRPr="00F40810">
        <w:rPr>
          <w:rFonts w:ascii="Arial" w:hAnsi="Arial" w:cs="Arial"/>
          <w:sz w:val="22"/>
          <w:szCs w:val="22"/>
        </w:rPr>
        <w:t>. Aprovado pela Portaria STN n.º 840/2016 e pela Portaria Conjunta STN/SOF n.º 02/2016. 7. ed. Brasília, DF, 2016. Disponível em: &lt;http://www.te</w:t>
      </w:r>
      <w:r w:rsidR="00917AF4" w:rsidRPr="00F40810">
        <w:rPr>
          <w:rFonts w:ascii="Arial" w:hAnsi="Arial" w:cs="Arial"/>
          <w:sz w:val="22"/>
          <w:szCs w:val="22"/>
        </w:rPr>
        <w:t xml:space="preserve">souro. fazenda.gov.br/-/mcasp&gt;. </w:t>
      </w:r>
      <w:r w:rsidRPr="00F40810">
        <w:rPr>
          <w:rFonts w:ascii="Arial" w:hAnsi="Arial" w:cs="Arial"/>
          <w:sz w:val="22"/>
          <w:szCs w:val="22"/>
        </w:rPr>
        <w:t>Acesso em: 01 mar. 2017. 2016a.</w:t>
      </w:r>
    </w:p>
    <w:p w:rsidR="00FB489B" w:rsidRPr="00F40810" w:rsidRDefault="00FB489B" w:rsidP="006F711D">
      <w:pPr>
        <w:autoSpaceDE w:val="0"/>
        <w:autoSpaceDN w:val="0"/>
        <w:adjustRightInd w:val="0"/>
        <w:spacing w:after="120"/>
        <w:ind w:firstLine="0"/>
        <w:jc w:val="left"/>
        <w:rPr>
          <w:rFonts w:ascii="Arial" w:hAnsi="Arial" w:cs="Arial"/>
          <w:sz w:val="22"/>
          <w:szCs w:val="22"/>
        </w:rPr>
      </w:pPr>
      <w:r w:rsidRPr="00F40810">
        <w:rPr>
          <w:rFonts w:ascii="Arial" w:hAnsi="Arial" w:cs="Arial"/>
          <w:sz w:val="22"/>
          <w:szCs w:val="22"/>
        </w:rPr>
        <w:t xml:space="preserve">_______. </w:t>
      </w:r>
      <w:r w:rsidRPr="00F40810">
        <w:rPr>
          <w:rFonts w:ascii="Arial" w:hAnsi="Arial" w:cs="Arial"/>
          <w:b/>
          <w:sz w:val="22"/>
          <w:szCs w:val="22"/>
        </w:rPr>
        <w:t>Manual de Demonstrativos Fiscais:</w:t>
      </w:r>
      <w:r w:rsidRPr="00F40810">
        <w:rPr>
          <w:rFonts w:ascii="Arial" w:hAnsi="Arial" w:cs="Arial"/>
          <w:sz w:val="22"/>
          <w:szCs w:val="22"/>
        </w:rPr>
        <w:t xml:space="preserve"> aplicado à União e aos Estados, Distrito Federal e Municípios / Ministério da Fazenda, Secretaria do Tesouro Nacional. 7. ed. Brasília: Secretaria do Tesouro Nacional, Subsecretaria de Contabilidade Pública, Coordenação-Geral de Normas de Contabilidade Aplicadas à Federação, 2016. Disponível em: &lt;http://www. tesouro.fazenda.gov.br/mdf&gt;. Acesso em: 08 mar. 2017. 2016b.</w:t>
      </w:r>
    </w:p>
    <w:p w:rsidR="00FB489B" w:rsidRPr="00F40810" w:rsidRDefault="00FB489B" w:rsidP="006F711D">
      <w:pPr>
        <w:autoSpaceDE w:val="0"/>
        <w:autoSpaceDN w:val="0"/>
        <w:adjustRightInd w:val="0"/>
        <w:spacing w:after="120"/>
        <w:ind w:firstLine="0"/>
        <w:jc w:val="left"/>
        <w:rPr>
          <w:rFonts w:ascii="Arial" w:hAnsi="Arial" w:cs="Arial"/>
          <w:sz w:val="22"/>
          <w:szCs w:val="22"/>
        </w:rPr>
      </w:pPr>
      <w:r w:rsidRPr="00F40810">
        <w:rPr>
          <w:rFonts w:ascii="Arial" w:hAnsi="Arial" w:cs="Arial"/>
          <w:sz w:val="22"/>
          <w:szCs w:val="22"/>
        </w:rPr>
        <w:t xml:space="preserve">_______. </w:t>
      </w:r>
      <w:r w:rsidRPr="00F40810">
        <w:rPr>
          <w:rFonts w:ascii="Arial" w:hAnsi="Arial" w:cs="Arial"/>
          <w:b/>
          <w:sz w:val="22"/>
          <w:szCs w:val="22"/>
        </w:rPr>
        <w:t xml:space="preserve">Artigo SIAFI: </w:t>
      </w:r>
      <w:r w:rsidRPr="00F40810">
        <w:rPr>
          <w:rFonts w:ascii="Arial" w:hAnsi="Arial" w:cs="Arial"/>
          <w:sz w:val="22"/>
          <w:szCs w:val="22"/>
        </w:rPr>
        <w:t xml:space="preserve">execução orçamentária. </w:t>
      </w:r>
      <w:r w:rsidRPr="00F40810">
        <w:rPr>
          <w:rFonts w:ascii="Arial" w:hAnsi="Arial" w:cs="Arial"/>
          <w:sz w:val="22"/>
          <w:szCs w:val="22"/>
          <w:shd w:val="clear" w:color="auto" w:fill="FFFFFF"/>
        </w:rPr>
        <w:t>Disponível em: &lt;http://www.tesouro. fazenda.gov.br/execucao-orcamentaria&gt;. Acesso em: 08 mar. 2017.</w:t>
      </w:r>
    </w:p>
    <w:p w:rsidR="00FB489B" w:rsidRPr="00F40810" w:rsidRDefault="00FB489B" w:rsidP="006F711D">
      <w:pPr>
        <w:autoSpaceDE w:val="0"/>
        <w:autoSpaceDN w:val="0"/>
        <w:adjustRightInd w:val="0"/>
        <w:spacing w:after="120"/>
        <w:ind w:firstLine="0"/>
        <w:jc w:val="left"/>
        <w:rPr>
          <w:rFonts w:ascii="Arial" w:hAnsi="Arial" w:cs="Arial"/>
          <w:sz w:val="22"/>
          <w:szCs w:val="22"/>
        </w:rPr>
      </w:pPr>
      <w:r w:rsidRPr="00F40810">
        <w:rPr>
          <w:rFonts w:ascii="Arial" w:hAnsi="Arial" w:cs="Arial"/>
          <w:sz w:val="22"/>
          <w:szCs w:val="22"/>
        </w:rPr>
        <w:t xml:space="preserve">TCE/SC – Tribunal de Contas do Estado de Santa Catarina. </w:t>
      </w:r>
      <w:r w:rsidRPr="00F40810">
        <w:rPr>
          <w:rFonts w:ascii="Arial" w:hAnsi="Arial" w:cs="Arial"/>
          <w:b/>
          <w:sz w:val="22"/>
          <w:szCs w:val="22"/>
        </w:rPr>
        <w:t>Contas dos municípios:</w:t>
      </w:r>
      <w:r w:rsidRPr="00F40810">
        <w:rPr>
          <w:rFonts w:ascii="Arial" w:hAnsi="Arial" w:cs="Arial"/>
          <w:sz w:val="22"/>
          <w:szCs w:val="22"/>
        </w:rPr>
        <w:t xml:space="preserve"> </w:t>
      </w:r>
      <w:r w:rsidRPr="00F40810">
        <w:rPr>
          <w:rFonts w:ascii="Arial" w:hAnsi="Arial" w:cs="Arial"/>
          <w:bCs/>
          <w:sz w:val="22"/>
          <w:szCs w:val="22"/>
        </w:rPr>
        <w:t>pareceres prévios, reapreciações</w:t>
      </w:r>
      <w:r w:rsidRPr="00F40810">
        <w:rPr>
          <w:rFonts w:ascii="Arial" w:hAnsi="Arial" w:cs="Arial"/>
          <w:sz w:val="22"/>
          <w:szCs w:val="22"/>
        </w:rPr>
        <w:t xml:space="preserve">, </w:t>
      </w:r>
      <w:r w:rsidRPr="00F40810">
        <w:rPr>
          <w:rFonts w:ascii="Arial" w:hAnsi="Arial" w:cs="Arial"/>
          <w:bCs/>
          <w:sz w:val="22"/>
          <w:szCs w:val="22"/>
        </w:rPr>
        <w:t>relatórios técnicos, relatórios e votos dos relatores</w:t>
      </w:r>
      <w:r w:rsidRPr="00F40810">
        <w:rPr>
          <w:rFonts w:ascii="Arial" w:hAnsi="Arial" w:cs="Arial"/>
          <w:b/>
          <w:bCs/>
          <w:sz w:val="22"/>
          <w:szCs w:val="22"/>
        </w:rPr>
        <w:t xml:space="preserve"> </w:t>
      </w:r>
      <w:r w:rsidRPr="00F40810">
        <w:rPr>
          <w:rFonts w:ascii="Arial" w:hAnsi="Arial" w:cs="Arial"/>
          <w:bCs/>
          <w:sz w:val="22"/>
          <w:szCs w:val="22"/>
        </w:rPr>
        <w:t>sobre as</w:t>
      </w:r>
      <w:r w:rsidRPr="00F40810">
        <w:rPr>
          <w:rFonts w:ascii="Arial" w:hAnsi="Arial" w:cs="Arial"/>
          <w:b/>
          <w:bCs/>
          <w:sz w:val="22"/>
          <w:szCs w:val="22"/>
        </w:rPr>
        <w:t xml:space="preserve"> </w:t>
      </w:r>
      <w:r w:rsidRPr="00F40810">
        <w:rPr>
          <w:rFonts w:ascii="Arial" w:hAnsi="Arial" w:cs="Arial"/>
          <w:bCs/>
          <w:sz w:val="22"/>
          <w:szCs w:val="22"/>
        </w:rPr>
        <w:t xml:space="preserve">prestações de contas dos prefeitos </w:t>
      </w:r>
      <w:r w:rsidRPr="00F40810">
        <w:rPr>
          <w:rFonts w:ascii="Arial" w:hAnsi="Arial" w:cs="Arial"/>
          <w:sz w:val="22"/>
          <w:szCs w:val="22"/>
        </w:rPr>
        <w:t>anos de 2000, 2004, 2008 e 2012. Disponível em: &lt;http://www.tce.sc. gov.br/contas/municipios/decisoes&gt;. Acesso em: 31 maio 2016. 2016a.</w:t>
      </w:r>
    </w:p>
    <w:p w:rsidR="00FB489B" w:rsidRPr="00F40810" w:rsidRDefault="00FB489B" w:rsidP="006F711D">
      <w:pPr>
        <w:pStyle w:val="Default"/>
        <w:spacing w:after="120"/>
        <w:rPr>
          <w:rStyle w:val="normaltextrun"/>
          <w:rFonts w:ascii="Arial" w:hAnsi="Arial" w:cs="Arial"/>
          <w:color w:val="auto"/>
          <w:sz w:val="22"/>
          <w:szCs w:val="22"/>
        </w:rPr>
      </w:pPr>
      <w:r w:rsidRPr="00F40810">
        <w:rPr>
          <w:rFonts w:ascii="Arial" w:hAnsi="Arial" w:cs="Arial"/>
          <w:color w:val="auto"/>
          <w:sz w:val="22"/>
          <w:szCs w:val="22"/>
        </w:rPr>
        <w:t xml:space="preserve">_______. </w:t>
      </w:r>
      <w:r w:rsidRPr="00F40810">
        <w:rPr>
          <w:rStyle w:val="normaltextrun"/>
          <w:rFonts w:ascii="Arial" w:hAnsi="Arial" w:cs="Arial"/>
          <w:b/>
          <w:bCs/>
          <w:color w:val="auto"/>
          <w:sz w:val="22"/>
          <w:szCs w:val="22"/>
        </w:rPr>
        <w:t>Resolução n.º TC-06/2001</w:t>
      </w:r>
      <w:r w:rsidRPr="00F40810">
        <w:rPr>
          <w:rStyle w:val="normaltextrun"/>
          <w:rFonts w:ascii="Arial" w:hAnsi="Arial" w:cs="Arial"/>
          <w:bCs/>
          <w:color w:val="auto"/>
          <w:sz w:val="22"/>
          <w:szCs w:val="22"/>
        </w:rPr>
        <w:t xml:space="preserve">, de </w:t>
      </w:r>
      <w:r w:rsidRPr="00F40810">
        <w:rPr>
          <w:rFonts w:ascii="Arial" w:hAnsi="Arial" w:cs="Arial"/>
          <w:color w:val="auto"/>
          <w:sz w:val="22"/>
          <w:szCs w:val="22"/>
        </w:rPr>
        <w:t>03 de dezembro de 2001</w:t>
      </w:r>
      <w:r w:rsidRPr="00F40810">
        <w:rPr>
          <w:rStyle w:val="normaltextrun"/>
          <w:rFonts w:ascii="Arial" w:hAnsi="Arial" w:cs="Arial"/>
          <w:bCs/>
          <w:color w:val="auto"/>
          <w:sz w:val="22"/>
          <w:szCs w:val="22"/>
        </w:rPr>
        <w:t>.</w:t>
      </w:r>
      <w:r w:rsidRPr="00F40810">
        <w:rPr>
          <w:rStyle w:val="normaltextrun"/>
          <w:rFonts w:ascii="Arial" w:hAnsi="Arial" w:cs="Arial"/>
          <w:b/>
          <w:bCs/>
          <w:color w:val="auto"/>
          <w:sz w:val="22"/>
          <w:szCs w:val="22"/>
        </w:rPr>
        <w:t xml:space="preserve"> </w:t>
      </w:r>
      <w:r w:rsidRPr="00F40810">
        <w:rPr>
          <w:rStyle w:val="normaltextrun"/>
          <w:rFonts w:ascii="Arial" w:hAnsi="Arial" w:cs="Arial"/>
          <w:color w:val="auto"/>
          <w:sz w:val="22"/>
          <w:szCs w:val="22"/>
        </w:rPr>
        <w:t>Institui o regimento interno do Tribunal de Contas do Estado de Santa Catarina. Disponível em: &lt;http://www.tce.sc.gov.</w:t>
      </w:r>
      <w:r w:rsidR="005A038A" w:rsidRPr="00F40810">
        <w:rPr>
          <w:rStyle w:val="normaltextrun"/>
          <w:rFonts w:ascii="Arial" w:hAnsi="Arial" w:cs="Arial"/>
          <w:color w:val="auto"/>
          <w:sz w:val="22"/>
          <w:szCs w:val="22"/>
        </w:rPr>
        <w:t xml:space="preserve"> </w:t>
      </w:r>
      <w:r w:rsidRPr="00F40810">
        <w:rPr>
          <w:rStyle w:val="normaltextrun"/>
          <w:rFonts w:ascii="Arial" w:hAnsi="Arial" w:cs="Arial"/>
          <w:color w:val="auto"/>
          <w:sz w:val="22"/>
          <w:szCs w:val="22"/>
        </w:rPr>
        <w:t>br/sites/default/files/regimento_interno_consolidado_24022017.pdf&gt;. Acesso em: 30 mar</w:t>
      </w:r>
      <w:r w:rsidR="009674E5" w:rsidRPr="00F40810">
        <w:rPr>
          <w:rStyle w:val="normaltextrun"/>
          <w:rFonts w:ascii="Arial" w:hAnsi="Arial" w:cs="Arial"/>
          <w:color w:val="auto"/>
          <w:sz w:val="22"/>
          <w:szCs w:val="22"/>
        </w:rPr>
        <w:t>.</w:t>
      </w:r>
      <w:r w:rsidRPr="00F40810">
        <w:rPr>
          <w:rStyle w:val="normaltextrun"/>
          <w:rFonts w:ascii="Arial" w:hAnsi="Arial" w:cs="Arial"/>
          <w:color w:val="auto"/>
          <w:sz w:val="22"/>
          <w:szCs w:val="22"/>
        </w:rPr>
        <w:t xml:space="preserve"> 2017.</w:t>
      </w:r>
    </w:p>
    <w:p w:rsidR="00FB489B" w:rsidRPr="00F40810" w:rsidRDefault="00FB489B" w:rsidP="006F711D">
      <w:pPr>
        <w:pStyle w:val="Default"/>
        <w:spacing w:after="120"/>
        <w:rPr>
          <w:rFonts w:ascii="Arial" w:hAnsi="Arial" w:cs="Arial"/>
          <w:color w:val="auto"/>
          <w:sz w:val="22"/>
          <w:szCs w:val="22"/>
        </w:rPr>
      </w:pPr>
      <w:r w:rsidRPr="00F40810">
        <w:rPr>
          <w:rFonts w:ascii="Arial" w:hAnsi="Arial" w:cs="Arial"/>
          <w:color w:val="auto"/>
          <w:sz w:val="22"/>
          <w:szCs w:val="22"/>
        </w:rPr>
        <w:t xml:space="preserve">_______. </w:t>
      </w:r>
      <w:r w:rsidRPr="00F40810">
        <w:rPr>
          <w:rFonts w:ascii="Arial" w:hAnsi="Arial" w:cs="Arial"/>
          <w:b/>
          <w:color w:val="auto"/>
          <w:sz w:val="22"/>
          <w:szCs w:val="22"/>
        </w:rPr>
        <w:t>Portaria n.º TC-233/2003</w:t>
      </w:r>
      <w:r w:rsidRPr="00F40810">
        <w:rPr>
          <w:rFonts w:ascii="Arial" w:hAnsi="Arial" w:cs="Arial"/>
          <w:color w:val="auto"/>
          <w:sz w:val="22"/>
          <w:szCs w:val="22"/>
        </w:rPr>
        <w:t>, de</w:t>
      </w:r>
      <w:r w:rsidRPr="00F40810">
        <w:rPr>
          <w:rFonts w:ascii="Arial" w:hAnsi="Arial" w:cs="Arial"/>
          <w:b/>
          <w:color w:val="auto"/>
          <w:sz w:val="22"/>
          <w:szCs w:val="22"/>
        </w:rPr>
        <w:t xml:space="preserve"> </w:t>
      </w:r>
      <w:r w:rsidRPr="00F40810">
        <w:rPr>
          <w:rFonts w:ascii="Arial" w:hAnsi="Arial" w:cs="Arial"/>
          <w:color w:val="auto"/>
          <w:sz w:val="22"/>
          <w:szCs w:val="22"/>
        </w:rPr>
        <w:t>09 julho de 2003. Dispõe sobre os critérios para emissão do parecer prévio sobre as contas anuais dos Prefeitos Municipais e dá outras providências. Disponível em: &lt;http://www.tce.sc.gov.br/sites/default/files/leis_normas/ portaria_n_233-2003_consolidada.pdf&gt;. Acesso em: 04 fev. 2017.</w:t>
      </w:r>
    </w:p>
    <w:p w:rsidR="00FB489B" w:rsidRPr="00F40810" w:rsidRDefault="00FB489B" w:rsidP="006F711D">
      <w:pPr>
        <w:pStyle w:val="Default"/>
        <w:spacing w:after="120"/>
        <w:rPr>
          <w:rFonts w:ascii="Arial" w:hAnsi="Arial" w:cs="Arial"/>
          <w:color w:val="auto"/>
          <w:sz w:val="22"/>
          <w:szCs w:val="22"/>
        </w:rPr>
      </w:pPr>
      <w:r w:rsidRPr="00F40810">
        <w:rPr>
          <w:rFonts w:ascii="Arial" w:hAnsi="Arial" w:cs="Arial"/>
          <w:color w:val="auto"/>
          <w:sz w:val="22"/>
          <w:szCs w:val="22"/>
        </w:rPr>
        <w:t xml:space="preserve">_______. </w:t>
      </w:r>
      <w:r w:rsidRPr="00F40810">
        <w:rPr>
          <w:rFonts w:ascii="Arial" w:hAnsi="Arial" w:cs="Arial"/>
          <w:b/>
          <w:color w:val="auto"/>
          <w:sz w:val="22"/>
          <w:szCs w:val="22"/>
        </w:rPr>
        <w:t>Decisão Normativa n.º TC-06/2008</w:t>
      </w:r>
      <w:r w:rsidRPr="00F40810">
        <w:rPr>
          <w:rFonts w:ascii="Arial" w:hAnsi="Arial" w:cs="Arial"/>
          <w:color w:val="auto"/>
          <w:sz w:val="22"/>
          <w:szCs w:val="22"/>
        </w:rPr>
        <w:t>, de 17 de dezembro de 2008. Estabelece crit</w:t>
      </w:r>
      <w:r w:rsidR="002D1A68" w:rsidRPr="00F40810">
        <w:rPr>
          <w:rFonts w:ascii="Arial" w:hAnsi="Arial" w:cs="Arial"/>
          <w:color w:val="auto"/>
          <w:sz w:val="22"/>
          <w:szCs w:val="22"/>
        </w:rPr>
        <w:t xml:space="preserve">érios </w:t>
      </w:r>
      <w:r w:rsidRPr="00F40810">
        <w:rPr>
          <w:rFonts w:ascii="Arial" w:hAnsi="Arial" w:cs="Arial"/>
          <w:color w:val="auto"/>
          <w:sz w:val="22"/>
          <w:szCs w:val="22"/>
        </w:rPr>
        <w:t>para apreciação, mediante parecer prévio, das contas anuais prestadas pelos Prefeitos Municipais, e o julgamento das contas anuais dos Administradores Municipais, e dá outras providências. Disponível em: &lt;http://www.tce.sc.gov.br/sites/default/files/leis_normas/ decisao_normativa_n_06-2008_consolidada.pdf&gt;. Acesso em: 04 fev. 2017.</w:t>
      </w:r>
    </w:p>
    <w:p w:rsidR="00FB489B" w:rsidRPr="00F40810" w:rsidRDefault="00FB489B" w:rsidP="006F711D">
      <w:pPr>
        <w:pStyle w:val="Default"/>
        <w:spacing w:after="120"/>
        <w:rPr>
          <w:rFonts w:ascii="Arial" w:hAnsi="Arial" w:cs="Arial"/>
          <w:color w:val="auto"/>
          <w:sz w:val="22"/>
          <w:szCs w:val="22"/>
        </w:rPr>
      </w:pPr>
      <w:r w:rsidRPr="00F40810">
        <w:rPr>
          <w:rFonts w:ascii="Arial" w:hAnsi="Arial" w:cs="Arial"/>
          <w:color w:val="auto"/>
          <w:sz w:val="22"/>
          <w:szCs w:val="22"/>
        </w:rPr>
        <w:t xml:space="preserve"> _______. </w:t>
      </w:r>
      <w:r w:rsidRPr="00F40810">
        <w:rPr>
          <w:rFonts w:ascii="Arial" w:hAnsi="Arial" w:cs="Arial"/>
          <w:b/>
          <w:color w:val="auto"/>
          <w:sz w:val="22"/>
          <w:szCs w:val="22"/>
        </w:rPr>
        <w:t>Contas dos municípios:</w:t>
      </w:r>
      <w:r w:rsidRPr="00F40810">
        <w:rPr>
          <w:rFonts w:ascii="Arial" w:hAnsi="Arial" w:cs="Arial"/>
          <w:color w:val="auto"/>
          <w:sz w:val="22"/>
          <w:szCs w:val="22"/>
        </w:rPr>
        <w:t xml:space="preserve"> </w:t>
      </w:r>
      <w:r w:rsidRPr="00F40810">
        <w:rPr>
          <w:rFonts w:ascii="Arial" w:hAnsi="Arial" w:cs="Arial"/>
          <w:bCs/>
          <w:color w:val="auto"/>
          <w:sz w:val="22"/>
          <w:szCs w:val="22"/>
        </w:rPr>
        <w:t>relatório e voto do relator</w:t>
      </w:r>
      <w:r w:rsidRPr="00F40810">
        <w:rPr>
          <w:rFonts w:ascii="Arial" w:hAnsi="Arial" w:cs="Arial"/>
          <w:b/>
          <w:bCs/>
          <w:color w:val="auto"/>
          <w:sz w:val="22"/>
          <w:szCs w:val="22"/>
        </w:rPr>
        <w:t xml:space="preserve"> </w:t>
      </w:r>
      <w:r w:rsidRPr="00F40810">
        <w:rPr>
          <w:rFonts w:ascii="Arial" w:hAnsi="Arial" w:cs="Arial"/>
          <w:bCs/>
          <w:color w:val="auto"/>
          <w:sz w:val="22"/>
          <w:szCs w:val="22"/>
        </w:rPr>
        <w:t>emitido em 2007</w:t>
      </w:r>
      <w:r w:rsidRPr="00F40810">
        <w:rPr>
          <w:rFonts w:ascii="Arial" w:hAnsi="Arial" w:cs="Arial"/>
          <w:color w:val="auto"/>
          <w:sz w:val="22"/>
          <w:szCs w:val="22"/>
        </w:rPr>
        <w:t xml:space="preserve"> – </w:t>
      </w:r>
      <w:r w:rsidRPr="00F40810">
        <w:rPr>
          <w:rFonts w:ascii="Arial" w:hAnsi="Arial" w:cs="Arial"/>
          <w:bCs/>
          <w:color w:val="auto"/>
          <w:sz w:val="22"/>
          <w:szCs w:val="22"/>
        </w:rPr>
        <w:t xml:space="preserve">PCP 05/00644446, 01/00471153 e 01/00441084. </w:t>
      </w:r>
      <w:r w:rsidRPr="00F40810">
        <w:rPr>
          <w:rFonts w:ascii="Arial" w:hAnsi="Arial" w:cs="Arial"/>
          <w:color w:val="auto"/>
          <w:sz w:val="22"/>
          <w:szCs w:val="22"/>
        </w:rPr>
        <w:t>Disponível em: &lt;http://servicos.tce.sc.gov.br/ processo/index.php&gt;. Acesso em: 17 fev</w:t>
      </w:r>
      <w:r w:rsidR="002B1039" w:rsidRPr="00F40810">
        <w:rPr>
          <w:rFonts w:ascii="Arial" w:hAnsi="Arial" w:cs="Arial"/>
          <w:color w:val="auto"/>
          <w:sz w:val="22"/>
          <w:szCs w:val="22"/>
        </w:rPr>
        <w:t>.</w:t>
      </w:r>
      <w:r w:rsidRPr="00F40810">
        <w:rPr>
          <w:rFonts w:ascii="Arial" w:hAnsi="Arial" w:cs="Arial"/>
          <w:color w:val="auto"/>
          <w:sz w:val="22"/>
          <w:szCs w:val="22"/>
        </w:rPr>
        <w:t xml:space="preserve"> 2016.</w:t>
      </w:r>
    </w:p>
    <w:p w:rsidR="00FB489B" w:rsidRPr="00F40810" w:rsidRDefault="00FB489B" w:rsidP="006F711D">
      <w:pPr>
        <w:pStyle w:val="Default"/>
        <w:spacing w:after="120"/>
        <w:rPr>
          <w:rFonts w:ascii="Arial" w:hAnsi="Arial" w:cs="Arial"/>
          <w:color w:val="auto"/>
          <w:sz w:val="22"/>
          <w:szCs w:val="22"/>
        </w:rPr>
      </w:pPr>
      <w:r w:rsidRPr="00F40810">
        <w:rPr>
          <w:rFonts w:ascii="Arial" w:hAnsi="Arial" w:cs="Arial"/>
          <w:color w:val="auto"/>
          <w:sz w:val="22"/>
          <w:szCs w:val="22"/>
        </w:rPr>
        <w:t xml:space="preserve">_______. </w:t>
      </w:r>
      <w:r w:rsidRPr="00F40810">
        <w:rPr>
          <w:rFonts w:ascii="Arial" w:hAnsi="Arial" w:cs="Arial"/>
          <w:b/>
          <w:color w:val="auto"/>
          <w:sz w:val="22"/>
          <w:szCs w:val="22"/>
        </w:rPr>
        <w:t>Contas dos municípios:</w:t>
      </w:r>
      <w:r w:rsidRPr="00F40810">
        <w:rPr>
          <w:rFonts w:ascii="Arial" w:hAnsi="Arial" w:cs="Arial"/>
          <w:color w:val="auto"/>
          <w:sz w:val="22"/>
          <w:szCs w:val="22"/>
        </w:rPr>
        <w:t xml:space="preserve"> </w:t>
      </w:r>
      <w:r w:rsidRPr="00F40810">
        <w:rPr>
          <w:rFonts w:ascii="Arial" w:hAnsi="Arial" w:cs="Arial"/>
          <w:bCs/>
          <w:color w:val="auto"/>
          <w:sz w:val="22"/>
          <w:szCs w:val="22"/>
        </w:rPr>
        <w:t>relatório e voto divergente emitido em 2009</w:t>
      </w:r>
      <w:r w:rsidRPr="00F40810">
        <w:rPr>
          <w:rFonts w:ascii="Arial" w:hAnsi="Arial" w:cs="Arial"/>
          <w:color w:val="auto"/>
          <w:sz w:val="22"/>
          <w:szCs w:val="22"/>
        </w:rPr>
        <w:t xml:space="preserve"> – </w:t>
      </w:r>
      <w:r w:rsidRPr="00F40810">
        <w:rPr>
          <w:rFonts w:ascii="Arial" w:hAnsi="Arial" w:cs="Arial"/>
          <w:bCs/>
          <w:color w:val="auto"/>
          <w:sz w:val="22"/>
          <w:szCs w:val="22"/>
        </w:rPr>
        <w:t>PCP 09/0017</w:t>
      </w:r>
      <w:r w:rsidR="005A0C2E" w:rsidRPr="00F40810">
        <w:rPr>
          <w:rFonts w:ascii="Arial" w:hAnsi="Arial" w:cs="Arial"/>
          <w:bCs/>
          <w:color w:val="auto"/>
          <w:sz w:val="22"/>
          <w:szCs w:val="22"/>
        </w:rPr>
        <w:t xml:space="preserve"> </w:t>
      </w:r>
      <w:r w:rsidRPr="00F40810">
        <w:rPr>
          <w:rFonts w:ascii="Arial" w:hAnsi="Arial" w:cs="Arial"/>
          <w:bCs/>
          <w:color w:val="auto"/>
          <w:sz w:val="22"/>
          <w:szCs w:val="22"/>
        </w:rPr>
        <w:t xml:space="preserve">1537. </w:t>
      </w:r>
      <w:r w:rsidRPr="00F40810">
        <w:rPr>
          <w:rFonts w:ascii="Arial" w:hAnsi="Arial" w:cs="Arial"/>
          <w:color w:val="auto"/>
          <w:sz w:val="22"/>
          <w:szCs w:val="22"/>
        </w:rPr>
        <w:t>Disponível em: &lt;http://servicos.tce.sc.gov.br/processo/index.php&gt;. Acesso em: 23 fev. 2016.</w:t>
      </w:r>
    </w:p>
    <w:p w:rsidR="00FB489B" w:rsidRPr="00F40810" w:rsidRDefault="00FB489B" w:rsidP="006F711D">
      <w:pPr>
        <w:pStyle w:val="Default"/>
        <w:spacing w:after="120"/>
        <w:rPr>
          <w:rFonts w:ascii="Arial" w:hAnsi="Arial" w:cs="Arial"/>
          <w:color w:val="auto"/>
          <w:sz w:val="22"/>
          <w:szCs w:val="22"/>
          <w:shd w:val="clear" w:color="auto" w:fill="FFFFFF"/>
        </w:rPr>
      </w:pPr>
      <w:r w:rsidRPr="00F40810">
        <w:rPr>
          <w:rFonts w:ascii="Arial" w:hAnsi="Arial" w:cs="Arial"/>
          <w:color w:val="auto"/>
          <w:sz w:val="22"/>
          <w:szCs w:val="22"/>
          <w:shd w:val="clear" w:color="auto" w:fill="FFFFFF"/>
        </w:rPr>
        <w:t>VASCONCELOS, Clayton Arruda de.</w:t>
      </w:r>
      <w:r w:rsidRPr="00F40810">
        <w:rPr>
          <w:rStyle w:val="apple-converted-space"/>
          <w:rFonts w:ascii="Arial" w:hAnsi="Arial" w:cs="Arial"/>
          <w:b/>
          <w:bCs/>
          <w:color w:val="auto"/>
          <w:sz w:val="22"/>
          <w:szCs w:val="22"/>
          <w:bdr w:val="none" w:sz="0" w:space="0" w:color="auto" w:frame="1"/>
          <w:shd w:val="clear" w:color="auto" w:fill="FFFFFF"/>
        </w:rPr>
        <w:t> </w:t>
      </w:r>
      <w:r w:rsidRPr="00F40810">
        <w:rPr>
          <w:rFonts w:ascii="Arial" w:hAnsi="Arial" w:cs="Arial"/>
          <w:b/>
          <w:bCs/>
          <w:color w:val="auto"/>
          <w:sz w:val="22"/>
          <w:szCs w:val="22"/>
          <w:bdr w:val="none" w:sz="0" w:space="0" w:color="auto" w:frame="1"/>
          <w:shd w:val="clear" w:color="auto" w:fill="FFFFFF"/>
        </w:rPr>
        <w:t xml:space="preserve">Artigo 42 da Lei de Responsabilidade Fiscal: </w:t>
      </w:r>
      <w:r w:rsidRPr="00F40810">
        <w:rPr>
          <w:rFonts w:ascii="Arial" w:hAnsi="Arial" w:cs="Arial"/>
          <w:color w:val="auto"/>
          <w:sz w:val="22"/>
          <w:szCs w:val="22"/>
          <w:shd w:val="clear" w:color="auto" w:fill="FFFFFF"/>
        </w:rPr>
        <w:t xml:space="preserve">aspectos controversos. 2010. 29 p. Trabalho de conclusão de curso </w:t>
      </w:r>
      <w:r w:rsidRPr="00F40810">
        <w:rPr>
          <w:rFonts w:ascii="Arial" w:hAnsi="Arial" w:cs="Arial"/>
          <w:b/>
          <w:color w:val="auto"/>
          <w:sz w:val="22"/>
          <w:szCs w:val="22"/>
        </w:rPr>
        <w:t xml:space="preserve">– </w:t>
      </w:r>
      <w:r w:rsidRPr="00F40810">
        <w:rPr>
          <w:rFonts w:ascii="Arial" w:hAnsi="Arial" w:cs="Arial"/>
          <w:color w:val="auto"/>
          <w:sz w:val="22"/>
          <w:szCs w:val="22"/>
          <w:shd w:val="clear" w:color="auto" w:fill="FFFFFF"/>
        </w:rPr>
        <w:t xml:space="preserve">Artigo científico (Especialização em Orçamento Público) </w:t>
      </w:r>
      <w:r w:rsidRPr="00F40810">
        <w:rPr>
          <w:rFonts w:ascii="Arial" w:hAnsi="Arial" w:cs="Arial"/>
          <w:b/>
          <w:color w:val="auto"/>
          <w:sz w:val="22"/>
          <w:szCs w:val="22"/>
        </w:rPr>
        <w:t xml:space="preserve">– </w:t>
      </w:r>
      <w:r w:rsidRPr="00F40810">
        <w:rPr>
          <w:rFonts w:ascii="Arial" w:hAnsi="Arial" w:cs="Arial"/>
          <w:color w:val="auto"/>
          <w:sz w:val="22"/>
          <w:szCs w:val="22"/>
          <w:shd w:val="clear" w:color="auto" w:fill="FFFFFF"/>
        </w:rPr>
        <w:t>Instituto Serzedello Corrêa do Tribunal de Contas da União, Brasília, DF. Disponível em: &lt;http://portal2.tcu.gov.br/portal/pls/portal/docs/ 2190975.PDF&gt;. Acesso em: 14 set. 2016.</w:t>
      </w:r>
    </w:p>
    <w:sectPr w:rsidR="00FB489B" w:rsidRPr="00F40810" w:rsidSect="004251EF">
      <w:headerReference w:type="default" r:id="rId14"/>
      <w:footerReference w:type="default" r:id="rId15"/>
      <w:pgSz w:w="12240" w:h="15840" w:code="119"/>
      <w:pgMar w:top="1701" w:right="1134" w:bottom="1134" w:left="1701" w:header="142" w:footer="1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6D0" w:rsidRDefault="003916D0" w:rsidP="005840EF">
      <w:r>
        <w:separator/>
      </w:r>
    </w:p>
  </w:endnote>
  <w:endnote w:type="continuationSeparator" w:id="0">
    <w:p w:rsidR="003916D0" w:rsidRDefault="003916D0"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751" w:rsidRPr="00F05FBB" w:rsidRDefault="00947751"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0B02C2">
      <w:rPr>
        <w:noProof/>
        <w:sz w:val="20"/>
      </w:rPr>
      <w:t>1</w:t>
    </w:r>
    <w:r w:rsidRPr="00F05FBB">
      <w:rPr>
        <w:sz w:val="20"/>
      </w:rPr>
      <w:fldChar w:fldCharType="end"/>
    </w:r>
  </w:p>
  <w:p w:rsidR="00947751" w:rsidRPr="00862FD2" w:rsidRDefault="00947751" w:rsidP="004E0B39">
    <w:pPr>
      <w:pStyle w:val="Rodap"/>
      <w:ind w:firstLine="0"/>
      <w:jc w:val="center"/>
    </w:pPr>
    <w:r w:rsidRPr="004E0B39">
      <w:rPr>
        <w:noProof/>
        <w:lang w:val="pt-BR" w:eastAsia="pt-BR"/>
      </w:rPr>
      <w:drawing>
        <wp:inline distT="0" distB="0" distL="0" distR="0" wp14:anchorId="4E33D19A" wp14:editId="34FCD2B1">
          <wp:extent cx="3895725" cy="971550"/>
          <wp:effectExtent l="0" t="0" r="0" b="0"/>
          <wp:docPr id="18" name="Imagem 18"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751" w:rsidRPr="00F05FBB" w:rsidRDefault="00947751"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0B02C2">
      <w:rPr>
        <w:noProof/>
        <w:sz w:val="20"/>
      </w:rPr>
      <w:t>20</w:t>
    </w:r>
    <w:r w:rsidRPr="00F05FBB">
      <w:rPr>
        <w:sz w:val="20"/>
      </w:rPr>
      <w:fldChar w:fldCharType="end"/>
    </w:r>
  </w:p>
  <w:p w:rsidR="00947751" w:rsidRPr="00862FD2" w:rsidRDefault="00947751" w:rsidP="004E0B39">
    <w:pPr>
      <w:pStyle w:val="Rodap"/>
      <w:ind w:firstLine="0"/>
      <w:jc w:val="center"/>
    </w:pPr>
    <w:r w:rsidRPr="004E0B39">
      <w:rPr>
        <w:noProof/>
        <w:lang w:val="pt-BR" w:eastAsia="pt-BR"/>
      </w:rPr>
      <w:drawing>
        <wp:inline distT="0" distB="0" distL="0" distR="0">
          <wp:extent cx="3896360" cy="969010"/>
          <wp:effectExtent l="0" t="0" r="0"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6360" cy="9690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6D0" w:rsidRDefault="003916D0" w:rsidP="005840EF">
      <w:r>
        <w:separator/>
      </w:r>
    </w:p>
  </w:footnote>
  <w:footnote w:type="continuationSeparator" w:id="0">
    <w:p w:rsidR="003916D0" w:rsidRDefault="003916D0" w:rsidP="005840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751" w:rsidRPr="004E0B39" w:rsidRDefault="00947751" w:rsidP="004E0B39">
    <w:pPr>
      <w:pStyle w:val="Cabealho"/>
      <w:ind w:firstLine="0"/>
      <w:jc w:val="center"/>
    </w:pPr>
    <w:r w:rsidRPr="004E0B39">
      <w:rPr>
        <w:noProof/>
      </w:rPr>
      <w:drawing>
        <wp:inline distT="0" distB="0" distL="0" distR="0" wp14:anchorId="12C6D1B3" wp14:editId="706783AF">
          <wp:extent cx="5610225" cy="1314450"/>
          <wp:effectExtent l="0" t="0" r="0" b="0"/>
          <wp:docPr id="17" name="Imagem 17" descr="banner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annerarti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0225" cy="13144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7751" w:rsidRPr="004E0B39" w:rsidRDefault="00947751" w:rsidP="004E0B39">
    <w:pPr>
      <w:pStyle w:val="Cabealho"/>
      <w:ind w:firstLine="0"/>
      <w:jc w:val="center"/>
    </w:pPr>
    <w:r w:rsidRPr="004E0B39">
      <w:rPr>
        <w:noProof/>
      </w:rPr>
      <w:drawing>
        <wp:inline distT="0" distB="0" distL="0" distR="0">
          <wp:extent cx="5608955" cy="1316990"/>
          <wp:effectExtent l="0" t="0" r="0" b="0"/>
          <wp:docPr id="3" name="Imagem 1" descr="bannerarti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annerarti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8955" cy="13169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 w15:restartNumberingAfterBreak="0">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4" w15:restartNumberingAfterBreak="0">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5" w15:restartNumberingAfterBreak="0">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72917D1D"/>
    <w:multiLevelType w:val="hybridMultilevel"/>
    <w:tmpl w:val="F0EC33BA"/>
    <w:lvl w:ilvl="0" w:tplc="223EF94E">
      <w:start w:val="1"/>
      <w:numFmt w:val="lowerLetter"/>
      <w:lvlText w:val="%1)"/>
      <w:lvlJc w:val="left"/>
      <w:pPr>
        <w:tabs>
          <w:tab w:val="num" w:pos="360"/>
        </w:tabs>
        <w:ind w:left="360" w:hanging="360"/>
      </w:pPr>
      <w:rPr>
        <w:rFonts w:hint="default"/>
        <w:b/>
        <w:i w:val="0"/>
        <w:color w:val="000000"/>
        <w:sz w:val="24"/>
        <w:szCs w:val="24"/>
      </w:rPr>
    </w:lvl>
    <w:lvl w:ilvl="1" w:tplc="D6924BCC" w:tentative="1">
      <w:start w:val="1"/>
      <w:numFmt w:val="bullet"/>
      <w:lvlText w:val="o"/>
      <w:lvlJc w:val="left"/>
      <w:pPr>
        <w:tabs>
          <w:tab w:val="num" w:pos="1440"/>
        </w:tabs>
        <w:ind w:left="1440" w:hanging="360"/>
      </w:pPr>
      <w:rPr>
        <w:rFonts w:ascii="Courier New" w:hAnsi="Courier New" w:cs="Courier New" w:hint="default"/>
      </w:rPr>
    </w:lvl>
    <w:lvl w:ilvl="2" w:tplc="5B2ABB24" w:tentative="1">
      <w:start w:val="1"/>
      <w:numFmt w:val="bullet"/>
      <w:lvlText w:val=""/>
      <w:lvlJc w:val="left"/>
      <w:pPr>
        <w:tabs>
          <w:tab w:val="num" w:pos="2160"/>
        </w:tabs>
        <w:ind w:left="2160" w:hanging="360"/>
      </w:pPr>
      <w:rPr>
        <w:rFonts w:ascii="Wingdings" w:hAnsi="Wingdings" w:hint="default"/>
      </w:rPr>
    </w:lvl>
    <w:lvl w:ilvl="3" w:tplc="CBC004B0" w:tentative="1">
      <w:start w:val="1"/>
      <w:numFmt w:val="bullet"/>
      <w:lvlText w:val=""/>
      <w:lvlJc w:val="left"/>
      <w:pPr>
        <w:tabs>
          <w:tab w:val="num" w:pos="2880"/>
        </w:tabs>
        <w:ind w:left="2880" w:hanging="360"/>
      </w:pPr>
      <w:rPr>
        <w:rFonts w:ascii="Symbol" w:hAnsi="Symbol" w:hint="default"/>
      </w:rPr>
    </w:lvl>
    <w:lvl w:ilvl="4" w:tplc="17522C00" w:tentative="1">
      <w:start w:val="1"/>
      <w:numFmt w:val="bullet"/>
      <w:lvlText w:val="o"/>
      <w:lvlJc w:val="left"/>
      <w:pPr>
        <w:tabs>
          <w:tab w:val="num" w:pos="3600"/>
        </w:tabs>
        <w:ind w:left="3600" w:hanging="360"/>
      </w:pPr>
      <w:rPr>
        <w:rFonts w:ascii="Courier New" w:hAnsi="Courier New" w:cs="Courier New" w:hint="default"/>
      </w:rPr>
    </w:lvl>
    <w:lvl w:ilvl="5" w:tplc="7304D688" w:tentative="1">
      <w:start w:val="1"/>
      <w:numFmt w:val="bullet"/>
      <w:lvlText w:val=""/>
      <w:lvlJc w:val="left"/>
      <w:pPr>
        <w:tabs>
          <w:tab w:val="num" w:pos="4320"/>
        </w:tabs>
        <w:ind w:left="4320" w:hanging="360"/>
      </w:pPr>
      <w:rPr>
        <w:rFonts w:ascii="Wingdings" w:hAnsi="Wingdings" w:hint="default"/>
      </w:rPr>
    </w:lvl>
    <w:lvl w:ilvl="6" w:tplc="AD48317C" w:tentative="1">
      <w:start w:val="1"/>
      <w:numFmt w:val="bullet"/>
      <w:lvlText w:val=""/>
      <w:lvlJc w:val="left"/>
      <w:pPr>
        <w:tabs>
          <w:tab w:val="num" w:pos="5040"/>
        </w:tabs>
        <w:ind w:left="5040" w:hanging="360"/>
      </w:pPr>
      <w:rPr>
        <w:rFonts w:ascii="Symbol" w:hAnsi="Symbol" w:hint="default"/>
      </w:rPr>
    </w:lvl>
    <w:lvl w:ilvl="7" w:tplc="A734276E" w:tentative="1">
      <w:start w:val="1"/>
      <w:numFmt w:val="bullet"/>
      <w:lvlText w:val="o"/>
      <w:lvlJc w:val="left"/>
      <w:pPr>
        <w:tabs>
          <w:tab w:val="num" w:pos="5760"/>
        </w:tabs>
        <w:ind w:left="5760" w:hanging="360"/>
      </w:pPr>
      <w:rPr>
        <w:rFonts w:ascii="Courier New" w:hAnsi="Courier New" w:cs="Courier New" w:hint="default"/>
      </w:rPr>
    </w:lvl>
    <w:lvl w:ilvl="8" w:tplc="00F89FCC"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3"/>
  </w:num>
  <w:num w:numId="6">
    <w:abstractNumId w:val="1"/>
  </w:num>
  <w:num w:numId="7">
    <w:abstractNumId w:val="0"/>
  </w:num>
  <w:num w:numId="8">
    <w:abstractNumId w:val="2"/>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02EC"/>
    <w:rsid w:val="00000521"/>
    <w:rsid w:val="00000BA0"/>
    <w:rsid w:val="000011A2"/>
    <w:rsid w:val="00001C5D"/>
    <w:rsid w:val="00001CB1"/>
    <w:rsid w:val="00002F45"/>
    <w:rsid w:val="000033CA"/>
    <w:rsid w:val="000041D5"/>
    <w:rsid w:val="000049A5"/>
    <w:rsid w:val="000103E0"/>
    <w:rsid w:val="00012B92"/>
    <w:rsid w:val="00013D0C"/>
    <w:rsid w:val="00013DB3"/>
    <w:rsid w:val="0001496A"/>
    <w:rsid w:val="00014DE4"/>
    <w:rsid w:val="00016A56"/>
    <w:rsid w:val="0001789A"/>
    <w:rsid w:val="00017C4F"/>
    <w:rsid w:val="00020176"/>
    <w:rsid w:val="00021054"/>
    <w:rsid w:val="00021587"/>
    <w:rsid w:val="00026642"/>
    <w:rsid w:val="00027EBF"/>
    <w:rsid w:val="00032A31"/>
    <w:rsid w:val="00032E08"/>
    <w:rsid w:val="0003403A"/>
    <w:rsid w:val="0003429E"/>
    <w:rsid w:val="00037639"/>
    <w:rsid w:val="00041152"/>
    <w:rsid w:val="000418F8"/>
    <w:rsid w:val="000423F9"/>
    <w:rsid w:val="00042C74"/>
    <w:rsid w:val="00044A6D"/>
    <w:rsid w:val="00045065"/>
    <w:rsid w:val="00045485"/>
    <w:rsid w:val="00050B54"/>
    <w:rsid w:val="0005343F"/>
    <w:rsid w:val="000547F8"/>
    <w:rsid w:val="000570E0"/>
    <w:rsid w:val="000572D9"/>
    <w:rsid w:val="000604FC"/>
    <w:rsid w:val="0006123A"/>
    <w:rsid w:val="0006261D"/>
    <w:rsid w:val="00062E99"/>
    <w:rsid w:val="000652DE"/>
    <w:rsid w:val="00066A06"/>
    <w:rsid w:val="0006755A"/>
    <w:rsid w:val="00070168"/>
    <w:rsid w:val="00070560"/>
    <w:rsid w:val="000719F9"/>
    <w:rsid w:val="000720BF"/>
    <w:rsid w:val="000722CC"/>
    <w:rsid w:val="000739AF"/>
    <w:rsid w:val="00073D3A"/>
    <w:rsid w:val="000742DE"/>
    <w:rsid w:val="00074878"/>
    <w:rsid w:val="0007572D"/>
    <w:rsid w:val="00076A91"/>
    <w:rsid w:val="0007753A"/>
    <w:rsid w:val="00081408"/>
    <w:rsid w:val="0008199F"/>
    <w:rsid w:val="000823D0"/>
    <w:rsid w:val="000844E3"/>
    <w:rsid w:val="000856E2"/>
    <w:rsid w:val="000868BC"/>
    <w:rsid w:val="0009057C"/>
    <w:rsid w:val="00093233"/>
    <w:rsid w:val="00094C07"/>
    <w:rsid w:val="00094F8F"/>
    <w:rsid w:val="000968A7"/>
    <w:rsid w:val="000A0BFB"/>
    <w:rsid w:val="000A11C3"/>
    <w:rsid w:val="000A154F"/>
    <w:rsid w:val="000A22AD"/>
    <w:rsid w:val="000A2913"/>
    <w:rsid w:val="000A35B6"/>
    <w:rsid w:val="000A464F"/>
    <w:rsid w:val="000B02C2"/>
    <w:rsid w:val="000B107B"/>
    <w:rsid w:val="000B3E25"/>
    <w:rsid w:val="000B3E34"/>
    <w:rsid w:val="000B5BF0"/>
    <w:rsid w:val="000B78AC"/>
    <w:rsid w:val="000C07FF"/>
    <w:rsid w:val="000C1B71"/>
    <w:rsid w:val="000C355C"/>
    <w:rsid w:val="000C3613"/>
    <w:rsid w:val="000C375E"/>
    <w:rsid w:val="000C39BE"/>
    <w:rsid w:val="000C5965"/>
    <w:rsid w:val="000C6B01"/>
    <w:rsid w:val="000C7D74"/>
    <w:rsid w:val="000D008B"/>
    <w:rsid w:val="000D1496"/>
    <w:rsid w:val="000D21F9"/>
    <w:rsid w:val="000D31B6"/>
    <w:rsid w:val="000D7DA7"/>
    <w:rsid w:val="000E13B6"/>
    <w:rsid w:val="000E39DA"/>
    <w:rsid w:val="000E5E62"/>
    <w:rsid w:val="000E7835"/>
    <w:rsid w:val="000F03CC"/>
    <w:rsid w:val="000F0530"/>
    <w:rsid w:val="000F17B0"/>
    <w:rsid w:val="000F2ADD"/>
    <w:rsid w:val="000F5B75"/>
    <w:rsid w:val="000F6586"/>
    <w:rsid w:val="000F7129"/>
    <w:rsid w:val="0010344D"/>
    <w:rsid w:val="00104950"/>
    <w:rsid w:val="00107B4E"/>
    <w:rsid w:val="00112694"/>
    <w:rsid w:val="00114089"/>
    <w:rsid w:val="001151BF"/>
    <w:rsid w:val="001152D1"/>
    <w:rsid w:val="00120514"/>
    <w:rsid w:val="00122D66"/>
    <w:rsid w:val="00122E37"/>
    <w:rsid w:val="00122FAE"/>
    <w:rsid w:val="00123611"/>
    <w:rsid w:val="001252FE"/>
    <w:rsid w:val="00125355"/>
    <w:rsid w:val="00125CAD"/>
    <w:rsid w:val="00127586"/>
    <w:rsid w:val="001319FE"/>
    <w:rsid w:val="00132479"/>
    <w:rsid w:val="001332B5"/>
    <w:rsid w:val="00134514"/>
    <w:rsid w:val="00135156"/>
    <w:rsid w:val="00135975"/>
    <w:rsid w:val="001359C6"/>
    <w:rsid w:val="00140449"/>
    <w:rsid w:val="00140CFF"/>
    <w:rsid w:val="00141199"/>
    <w:rsid w:val="00143959"/>
    <w:rsid w:val="001457BE"/>
    <w:rsid w:val="00145B3A"/>
    <w:rsid w:val="00156318"/>
    <w:rsid w:val="0015785F"/>
    <w:rsid w:val="001601CC"/>
    <w:rsid w:val="00160D52"/>
    <w:rsid w:val="00162339"/>
    <w:rsid w:val="00162B34"/>
    <w:rsid w:val="00162EC0"/>
    <w:rsid w:val="00164802"/>
    <w:rsid w:val="00166B14"/>
    <w:rsid w:val="00167210"/>
    <w:rsid w:val="001672F4"/>
    <w:rsid w:val="00172957"/>
    <w:rsid w:val="00173D5B"/>
    <w:rsid w:val="00173F22"/>
    <w:rsid w:val="001740BA"/>
    <w:rsid w:val="0017594A"/>
    <w:rsid w:val="00176CAC"/>
    <w:rsid w:val="001771E4"/>
    <w:rsid w:val="00180149"/>
    <w:rsid w:val="001804BC"/>
    <w:rsid w:val="00181F75"/>
    <w:rsid w:val="00182602"/>
    <w:rsid w:val="00186470"/>
    <w:rsid w:val="001878B2"/>
    <w:rsid w:val="001912D9"/>
    <w:rsid w:val="001924EF"/>
    <w:rsid w:val="00192628"/>
    <w:rsid w:val="00193175"/>
    <w:rsid w:val="001940CB"/>
    <w:rsid w:val="00195A72"/>
    <w:rsid w:val="001966EB"/>
    <w:rsid w:val="001977D3"/>
    <w:rsid w:val="001A100D"/>
    <w:rsid w:val="001A26DF"/>
    <w:rsid w:val="001A3C7B"/>
    <w:rsid w:val="001A7079"/>
    <w:rsid w:val="001B12B0"/>
    <w:rsid w:val="001B13FF"/>
    <w:rsid w:val="001B272D"/>
    <w:rsid w:val="001B3FB1"/>
    <w:rsid w:val="001B4959"/>
    <w:rsid w:val="001B5BE0"/>
    <w:rsid w:val="001B7C6C"/>
    <w:rsid w:val="001C1C24"/>
    <w:rsid w:val="001C3B83"/>
    <w:rsid w:val="001C5203"/>
    <w:rsid w:val="001D18E0"/>
    <w:rsid w:val="001D3DC1"/>
    <w:rsid w:val="001D60DB"/>
    <w:rsid w:val="001D673F"/>
    <w:rsid w:val="001E001B"/>
    <w:rsid w:val="001E05ED"/>
    <w:rsid w:val="001E132B"/>
    <w:rsid w:val="001E25B4"/>
    <w:rsid w:val="001E2E6C"/>
    <w:rsid w:val="001E48E7"/>
    <w:rsid w:val="001E6529"/>
    <w:rsid w:val="001E7C5E"/>
    <w:rsid w:val="001F0361"/>
    <w:rsid w:val="001F117E"/>
    <w:rsid w:val="001F1921"/>
    <w:rsid w:val="001F1F35"/>
    <w:rsid w:val="001F2068"/>
    <w:rsid w:val="001F26EA"/>
    <w:rsid w:val="001F337D"/>
    <w:rsid w:val="001F35AB"/>
    <w:rsid w:val="001F5641"/>
    <w:rsid w:val="00200043"/>
    <w:rsid w:val="0020354A"/>
    <w:rsid w:val="00203ECE"/>
    <w:rsid w:val="002056D7"/>
    <w:rsid w:val="002074CF"/>
    <w:rsid w:val="00210584"/>
    <w:rsid w:val="002136AE"/>
    <w:rsid w:val="002143D3"/>
    <w:rsid w:val="002147A1"/>
    <w:rsid w:val="00214DAD"/>
    <w:rsid w:val="00216730"/>
    <w:rsid w:val="00216A6C"/>
    <w:rsid w:val="00217DEF"/>
    <w:rsid w:val="002207F7"/>
    <w:rsid w:val="00220A04"/>
    <w:rsid w:val="00220BE5"/>
    <w:rsid w:val="002228C4"/>
    <w:rsid w:val="0022520C"/>
    <w:rsid w:val="002259EC"/>
    <w:rsid w:val="00232787"/>
    <w:rsid w:val="002343CE"/>
    <w:rsid w:val="002344F8"/>
    <w:rsid w:val="002356DF"/>
    <w:rsid w:val="00236F7A"/>
    <w:rsid w:val="0024055D"/>
    <w:rsid w:val="00240841"/>
    <w:rsid w:val="002428B3"/>
    <w:rsid w:val="00244401"/>
    <w:rsid w:val="00244C0A"/>
    <w:rsid w:val="002455D1"/>
    <w:rsid w:val="002459D5"/>
    <w:rsid w:val="00251105"/>
    <w:rsid w:val="00252215"/>
    <w:rsid w:val="002548B3"/>
    <w:rsid w:val="00254E09"/>
    <w:rsid w:val="002563CE"/>
    <w:rsid w:val="00257304"/>
    <w:rsid w:val="00257901"/>
    <w:rsid w:val="00260A83"/>
    <w:rsid w:val="00262878"/>
    <w:rsid w:val="00263CEF"/>
    <w:rsid w:val="002640A6"/>
    <w:rsid w:val="002661E7"/>
    <w:rsid w:val="00267751"/>
    <w:rsid w:val="00267DC9"/>
    <w:rsid w:val="002711F2"/>
    <w:rsid w:val="00271A24"/>
    <w:rsid w:val="00272957"/>
    <w:rsid w:val="002751FB"/>
    <w:rsid w:val="0027612A"/>
    <w:rsid w:val="00277579"/>
    <w:rsid w:val="00282402"/>
    <w:rsid w:val="002826C0"/>
    <w:rsid w:val="0028305B"/>
    <w:rsid w:val="00284B4B"/>
    <w:rsid w:val="00284CCB"/>
    <w:rsid w:val="0028520B"/>
    <w:rsid w:val="00286903"/>
    <w:rsid w:val="00287469"/>
    <w:rsid w:val="0029055A"/>
    <w:rsid w:val="00290CDA"/>
    <w:rsid w:val="002911C9"/>
    <w:rsid w:val="0029150E"/>
    <w:rsid w:val="00291A74"/>
    <w:rsid w:val="00295B8A"/>
    <w:rsid w:val="0029692F"/>
    <w:rsid w:val="00297835"/>
    <w:rsid w:val="00297B22"/>
    <w:rsid w:val="002A1765"/>
    <w:rsid w:val="002A23F1"/>
    <w:rsid w:val="002A5B77"/>
    <w:rsid w:val="002B1039"/>
    <w:rsid w:val="002B21A9"/>
    <w:rsid w:val="002B5778"/>
    <w:rsid w:val="002B5B74"/>
    <w:rsid w:val="002B6397"/>
    <w:rsid w:val="002B6D01"/>
    <w:rsid w:val="002B6D9D"/>
    <w:rsid w:val="002B78FC"/>
    <w:rsid w:val="002C103E"/>
    <w:rsid w:val="002C1148"/>
    <w:rsid w:val="002C4638"/>
    <w:rsid w:val="002C4749"/>
    <w:rsid w:val="002C4BAF"/>
    <w:rsid w:val="002C60E8"/>
    <w:rsid w:val="002C7235"/>
    <w:rsid w:val="002D17D9"/>
    <w:rsid w:val="002D1A68"/>
    <w:rsid w:val="002D278D"/>
    <w:rsid w:val="002D634D"/>
    <w:rsid w:val="002E0632"/>
    <w:rsid w:val="002E14FF"/>
    <w:rsid w:val="002E44C9"/>
    <w:rsid w:val="002E485E"/>
    <w:rsid w:val="002F22A1"/>
    <w:rsid w:val="002F3213"/>
    <w:rsid w:val="002F67D6"/>
    <w:rsid w:val="002F71D0"/>
    <w:rsid w:val="002F7904"/>
    <w:rsid w:val="002F7DD4"/>
    <w:rsid w:val="0030194B"/>
    <w:rsid w:val="00301F48"/>
    <w:rsid w:val="00302540"/>
    <w:rsid w:val="00302D7E"/>
    <w:rsid w:val="00302F6A"/>
    <w:rsid w:val="003034DA"/>
    <w:rsid w:val="00303C6F"/>
    <w:rsid w:val="003062F5"/>
    <w:rsid w:val="0030705D"/>
    <w:rsid w:val="00307769"/>
    <w:rsid w:val="00310393"/>
    <w:rsid w:val="00317A5D"/>
    <w:rsid w:val="00317DF5"/>
    <w:rsid w:val="0032084B"/>
    <w:rsid w:val="00320877"/>
    <w:rsid w:val="00320D66"/>
    <w:rsid w:val="003210D6"/>
    <w:rsid w:val="00322646"/>
    <w:rsid w:val="00327C53"/>
    <w:rsid w:val="00330E17"/>
    <w:rsid w:val="00332067"/>
    <w:rsid w:val="00334223"/>
    <w:rsid w:val="00334625"/>
    <w:rsid w:val="00335D6D"/>
    <w:rsid w:val="00335EA5"/>
    <w:rsid w:val="003365B3"/>
    <w:rsid w:val="003378F9"/>
    <w:rsid w:val="00341F64"/>
    <w:rsid w:val="003420D0"/>
    <w:rsid w:val="00342527"/>
    <w:rsid w:val="00343352"/>
    <w:rsid w:val="00344578"/>
    <w:rsid w:val="003459E3"/>
    <w:rsid w:val="0035030C"/>
    <w:rsid w:val="0035251C"/>
    <w:rsid w:val="003530A7"/>
    <w:rsid w:val="00353306"/>
    <w:rsid w:val="00354E61"/>
    <w:rsid w:val="00356B99"/>
    <w:rsid w:val="00360380"/>
    <w:rsid w:val="0036054F"/>
    <w:rsid w:val="00360D73"/>
    <w:rsid w:val="0036268D"/>
    <w:rsid w:val="003634A3"/>
    <w:rsid w:val="00364C95"/>
    <w:rsid w:val="00365C20"/>
    <w:rsid w:val="00370E2B"/>
    <w:rsid w:val="0037164D"/>
    <w:rsid w:val="00371A66"/>
    <w:rsid w:val="00371DFF"/>
    <w:rsid w:val="00372DB8"/>
    <w:rsid w:val="00373142"/>
    <w:rsid w:val="003742BB"/>
    <w:rsid w:val="0037670F"/>
    <w:rsid w:val="00377DAF"/>
    <w:rsid w:val="00380204"/>
    <w:rsid w:val="00380844"/>
    <w:rsid w:val="00380D7C"/>
    <w:rsid w:val="00380D89"/>
    <w:rsid w:val="003838BB"/>
    <w:rsid w:val="00384174"/>
    <w:rsid w:val="00386033"/>
    <w:rsid w:val="003862DD"/>
    <w:rsid w:val="00386C96"/>
    <w:rsid w:val="003874D7"/>
    <w:rsid w:val="00387C2C"/>
    <w:rsid w:val="0039133F"/>
    <w:rsid w:val="003916D0"/>
    <w:rsid w:val="00391F00"/>
    <w:rsid w:val="003923C3"/>
    <w:rsid w:val="00393981"/>
    <w:rsid w:val="00393BD8"/>
    <w:rsid w:val="00395244"/>
    <w:rsid w:val="00395A5B"/>
    <w:rsid w:val="00395FA1"/>
    <w:rsid w:val="00396780"/>
    <w:rsid w:val="003A0E05"/>
    <w:rsid w:val="003A2C69"/>
    <w:rsid w:val="003A2D09"/>
    <w:rsid w:val="003A3639"/>
    <w:rsid w:val="003A435A"/>
    <w:rsid w:val="003A481B"/>
    <w:rsid w:val="003A77E0"/>
    <w:rsid w:val="003B0005"/>
    <w:rsid w:val="003B0980"/>
    <w:rsid w:val="003B1787"/>
    <w:rsid w:val="003B2274"/>
    <w:rsid w:val="003B28FC"/>
    <w:rsid w:val="003B6BB2"/>
    <w:rsid w:val="003B76A2"/>
    <w:rsid w:val="003C1B87"/>
    <w:rsid w:val="003C1C34"/>
    <w:rsid w:val="003C3573"/>
    <w:rsid w:val="003D0AC4"/>
    <w:rsid w:val="003D136F"/>
    <w:rsid w:val="003D203D"/>
    <w:rsid w:val="003D2F7D"/>
    <w:rsid w:val="003D386A"/>
    <w:rsid w:val="003D48EF"/>
    <w:rsid w:val="003D6EBB"/>
    <w:rsid w:val="003E17AE"/>
    <w:rsid w:val="003E2467"/>
    <w:rsid w:val="003E3D9D"/>
    <w:rsid w:val="003E3E27"/>
    <w:rsid w:val="003E5236"/>
    <w:rsid w:val="003E644F"/>
    <w:rsid w:val="003E6484"/>
    <w:rsid w:val="003F1F3C"/>
    <w:rsid w:val="003F2403"/>
    <w:rsid w:val="003F4DC8"/>
    <w:rsid w:val="003F4FD4"/>
    <w:rsid w:val="003F4FD9"/>
    <w:rsid w:val="003F5884"/>
    <w:rsid w:val="003F6BB8"/>
    <w:rsid w:val="003F70E9"/>
    <w:rsid w:val="003F7482"/>
    <w:rsid w:val="003F7AFE"/>
    <w:rsid w:val="00402022"/>
    <w:rsid w:val="00402165"/>
    <w:rsid w:val="00403C46"/>
    <w:rsid w:val="00404472"/>
    <w:rsid w:val="00406C08"/>
    <w:rsid w:val="0040756F"/>
    <w:rsid w:val="00407CB1"/>
    <w:rsid w:val="00410418"/>
    <w:rsid w:val="00411D00"/>
    <w:rsid w:val="00412322"/>
    <w:rsid w:val="00412E4F"/>
    <w:rsid w:val="00417C4F"/>
    <w:rsid w:val="00423365"/>
    <w:rsid w:val="004251EF"/>
    <w:rsid w:val="00425889"/>
    <w:rsid w:val="00426B98"/>
    <w:rsid w:val="00430880"/>
    <w:rsid w:val="004330B5"/>
    <w:rsid w:val="004339B2"/>
    <w:rsid w:val="00434005"/>
    <w:rsid w:val="00435315"/>
    <w:rsid w:val="00435706"/>
    <w:rsid w:val="00435B6D"/>
    <w:rsid w:val="00437DA1"/>
    <w:rsid w:val="00442A41"/>
    <w:rsid w:val="00444188"/>
    <w:rsid w:val="0044562C"/>
    <w:rsid w:val="00446254"/>
    <w:rsid w:val="004475D1"/>
    <w:rsid w:val="004477B0"/>
    <w:rsid w:val="004503B5"/>
    <w:rsid w:val="0045195E"/>
    <w:rsid w:val="004524BB"/>
    <w:rsid w:val="00452524"/>
    <w:rsid w:val="00453DE0"/>
    <w:rsid w:val="00454373"/>
    <w:rsid w:val="00454B47"/>
    <w:rsid w:val="00454F48"/>
    <w:rsid w:val="00457504"/>
    <w:rsid w:val="00461B09"/>
    <w:rsid w:val="00462826"/>
    <w:rsid w:val="00462E7D"/>
    <w:rsid w:val="00463E7F"/>
    <w:rsid w:val="00465681"/>
    <w:rsid w:val="004668A7"/>
    <w:rsid w:val="00470887"/>
    <w:rsid w:val="00470BA2"/>
    <w:rsid w:val="00470C23"/>
    <w:rsid w:val="00470F35"/>
    <w:rsid w:val="0047159A"/>
    <w:rsid w:val="004726A6"/>
    <w:rsid w:val="00472EE1"/>
    <w:rsid w:val="00473CD1"/>
    <w:rsid w:val="00475413"/>
    <w:rsid w:val="00476954"/>
    <w:rsid w:val="00481B3B"/>
    <w:rsid w:val="00484C98"/>
    <w:rsid w:val="0048579A"/>
    <w:rsid w:val="00486579"/>
    <w:rsid w:val="004867C5"/>
    <w:rsid w:val="00487C7F"/>
    <w:rsid w:val="00490469"/>
    <w:rsid w:val="00491BDF"/>
    <w:rsid w:val="0049262F"/>
    <w:rsid w:val="004926AD"/>
    <w:rsid w:val="00493764"/>
    <w:rsid w:val="004947D6"/>
    <w:rsid w:val="00495EDF"/>
    <w:rsid w:val="00496CDD"/>
    <w:rsid w:val="00496E57"/>
    <w:rsid w:val="004A2284"/>
    <w:rsid w:val="004A30E7"/>
    <w:rsid w:val="004A4548"/>
    <w:rsid w:val="004A46FE"/>
    <w:rsid w:val="004A4C70"/>
    <w:rsid w:val="004A75F1"/>
    <w:rsid w:val="004A7D9A"/>
    <w:rsid w:val="004B3E18"/>
    <w:rsid w:val="004B3F0C"/>
    <w:rsid w:val="004B5BEB"/>
    <w:rsid w:val="004C192B"/>
    <w:rsid w:val="004C2EF8"/>
    <w:rsid w:val="004C4C2A"/>
    <w:rsid w:val="004C56B1"/>
    <w:rsid w:val="004C5C40"/>
    <w:rsid w:val="004C66C3"/>
    <w:rsid w:val="004D0BA2"/>
    <w:rsid w:val="004D3514"/>
    <w:rsid w:val="004D3A03"/>
    <w:rsid w:val="004D3B0B"/>
    <w:rsid w:val="004D610D"/>
    <w:rsid w:val="004D6E02"/>
    <w:rsid w:val="004D72E3"/>
    <w:rsid w:val="004E0B39"/>
    <w:rsid w:val="004E2C00"/>
    <w:rsid w:val="004E3C67"/>
    <w:rsid w:val="004E641C"/>
    <w:rsid w:val="004E6509"/>
    <w:rsid w:val="004E783E"/>
    <w:rsid w:val="004F0227"/>
    <w:rsid w:val="004F2D20"/>
    <w:rsid w:val="004F48FB"/>
    <w:rsid w:val="004F59D9"/>
    <w:rsid w:val="004F5FF8"/>
    <w:rsid w:val="004F6DA0"/>
    <w:rsid w:val="004F6FB7"/>
    <w:rsid w:val="004F7477"/>
    <w:rsid w:val="004F7DC7"/>
    <w:rsid w:val="005000C5"/>
    <w:rsid w:val="00500A35"/>
    <w:rsid w:val="00501ADA"/>
    <w:rsid w:val="005040A5"/>
    <w:rsid w:val="005041CD"/>
    <w:rsid w:val="0050551B"/>
    <w:rsid w:val="00505FC0"/>
    <w:rsid w:val="00507E0C"/>
    <w:rsid w:val="005144E8"/>
    <w:rsid w:val="0051467C"/>
    <w:rsid w:val="005152DD"/>
    <w:rsid w:val="00517C85"/>
    <w:rsid w:val="00523BAB"/>
    <w:rsid w:val="00523D4A"/>
    <w:rsid w:val="00523E04"/>
    <w:rsid w:val="0052452C"/>
    <w:rsid w:val="00525B71"/>
    <w:rsid w:val="005260A2"/>
    <w:rsid w:val="005260FF"/>
    <w:rsid w:val="00526C0D"/>
    <w:rsid w:val="00526F8B"/>
    <w:rsid w:val="00527B50"/>
    <w:rsid w:val="00527DD9"/>
    <w:rsid w:val="00531A76"/>
    <w:rsid w:val="005322EB"/>
    <w:rsid w:val="005340BC"/>
    <w:rsid w:val="00537240"/>
    <w:rsid w:val="00537B1A"/>
    <w:rsid w:val="00543279"/>
    <w:rsid w:val="005440FC"/>
    <w:rsid w:val="00544424"/>
    <w:rsid w:val="00544B74"/>
    <w:rsid w:val="00545968"/>
    <w:rsid w:val="005477F2"/>
    <w:rsid w:val="00547EFC"/>
    <w:rsid w:val="0055088A"/>
    <w:rsid w:val="00550C56"/>
    <w:rsid w:val="00550F0E"/>
    <w:rsid w:val="0055158B"/>
    <w:rsid w:val="0055247B"/>
    <w:rsid w:val="005525F8"/>
    <w:rsid w:val="00553A18"/>
    <w:rsid w:val="00553F85"/>
    <w:rsid w:val="005553A8"/>
    <w:rsid w:val="00555EEC"/>
    <w:rsid w:val="00560121"/>
    <w:rsid w:val="00563227"/>
    <w:rsid w:val="0056322D"/>
    <w:rsid w:val="00563C6D"/>
    <w:rsid w:val="00564135"/>
    <w:rsid w:val="005706FE"/>
    <w:rsid w:val="005720F3"/>
    <w:rsid w:val="005741DF"/>
    <w:rsid w:val="00577C53"/>
    <w:rsid w:val="00577E9B"/>
    <w:rsid w:val="0058116D"/>
    <w:rsid w:val="00581AD9"/>
    <w:rsid w:val="00581AF3"/>
    <w:rsid w:val="00581DEF"/>
    <w:rsid w:val="005825EA"/>
    <w:rsid w:val="005826F0"/>
    <w:rsid w:val="00583586"/>
    <w:rsid w:val="005840EF"/>
    <w:rsid w:val="0058440B"/>
    <w:rsid w:val="0058496D"/>
    <w:rsid w:val="0059130B"/>
    <w:rsid w:val="00591895"/>
    <w:rsid w:val="00592F67"/>
    <w:rsid w:val="0059345E"/>
    <w:rsid w:val="0059388D"/>
    <w:rsid w:val="0059620C"/>
    <w:rsid w:val="00597BF9"/>
    <w:rsid w:val="005A038A"/>
    <w:rsid w:val="005A0C2E"/>
    <w:rsid w:val="005A1519"/>
    <w:rsid w:val="005A2884"/>
    <w:rsid w:val="005A28EF"/>
    <w:rsid w:val="005A346B"/>
    <w:rsid w:val="005A499F"/>
    <w:rsid w:val="005A524C"/>
    <w:rsid w:val="005A62DD"/>
    <w:rsid w:val="005B0365"/>
    <w:rsid w:val="005B1D06"/>
    <w:rsid w:val="005B1E77"/>
    <w:rsid w:val="005B1F1C"/>
    <w:rsid w:val="005B3E5D"/>
    <w:rsid w:val="005B75A0"/>
    <w:rsid w:val="005B7E25"/>
    <w:rsid w:val="005C25AD"/>
    <w:rsid w:val="005C3288"/>
    <w:rsid w:val="005C381E"/>
    <w:rsid w:val="005C38B7"/>
    <w:rsid w:val="005C7194"/>
    <w:rsid w:val="005C7A15"/>
    <w:rsid w:val="005D05F4"/>
    <w:rsid w:val="005D0785"/>
    <w:rsid w:val="005D23BC"/>
    <w:rsid w:val="005D6335"/>
    <w:rsid w:val="005D67E1"/>
    <w:rsid w:val="005D693F"/>
    <w:rsid w:val="005D6B87"/>
    <w:rsid w:val="005D711E"/>
    <w:rsid w:val="005D758B"/>
    <w:rsid w:val="005D75FC"/>
    <w:rsid w:val="005D769A"/>
    <w:rsid w:val="005E0852"/>
    <w:rsid w:val="005E0977"/>
    <w:rsid w:val="005E2CA7"/>
    <w:rsid w:val="005E33AC"/>
    <w:rsid w:val="005E3FA2"/>
    <w:rsid w:val="005E4094"/>
    <w:rsid w:val="005E70FF"/>
    <w:rsid w:val="005E7443"/>
    <w:rsid w:val="005E7AB9"/>
    <w:rsid w:val="005F0812"/>
    <w:rsid w:val="005F1203"/>
    <w:rsid w:val="005F18A6"/>
    <w:rsid w:val="005F2658"/>
    <w:rsid w:val="005F2A8D"/>
    <w:rsid w:val="005F49AD"/>
    <w:rsid w:val="005F53F4"/>
    <w:rsid w:val="005F6936"/>
    <w:rsid w:val="00600208"/>
    <w:rsid w:val="006004D8"/>
    <w:rsid w:val="0060077D"/>
    <w:rsid w:val="00603CC0"/>
    <w:rsid w:val="00604587"/>
    <w:rsid w:val="00606F36"/>
    <w:rsid w:val="006072B7"/>
    <w:rsid w:val="006102AF"/>
    <w:rsid w:val="006102ED"/>
    <w:rsid w:val="0061063D"/>
    <w:rsid w:val="00612573"/>
    <w:rsid w:val="0061271A"/>
    <w:rsid w:val="006127ED"/>
    <w:rsid w:val="00612BC6"/>
    <w:rsid w:val="00612FCB"/>
    <w:rsid w:val="0061527F"/>
    <w:rsid w:val="00615AB5"/>
    <w:rsid w:val="006162E0"/>
    <w:rsid w:val="006229B5"/>
    <w:rsid w:val="00623615"/>
    <w:rsid w:val="00625127"/>
    <w:rsid w:val="0062548C"/>
    <w:rsid w:val="00625A06"/>
    <w:rsid w:val="00630228"/>
    <w:rsid w:val="00630964"/>
    <w:rsid w:val="006310F3"/>
    <w:rsid w:val="0063135F"/>
    <w:rsid w:val="006315C5"/>
    <w:rsid w:val="00632732"/>
    <w:rsid w:val="006327AB"/>
    <w:rsid w:val="00633CC2"/>
    <w:rsid w:val="0063432D"/>
    <w:rsid w:val="00635D4C"/>
    <w:rsid w:val="00636449"/>
    <w:rsid w:val="00636827"/>
    <w:rsid w:val="006370AA"/>
    <w:rsid w:val="00637F21"/>
    <w:rsid w:val="00640696"/>
    <w:rsid w:val="006406F7"/>
    <w:rsid w:val="0064156E"/>
    <w:rsid w:val="006429D6"/>
    <w:rsid w:val="006458FB"/>
    <w:rsid w:val="0065150D"/>
    <w:rsid w:val="00652358"/>
    <w:rsid w:val="00652850"/>
    <w:rsid w:val="00652866"/>
    <w:rsid w:val="00653220"/>
    <w:rsid w:val="00661139"/>
    <w:rsid w:val="00661691"/>
    <w:rsid w:val="006620B1"/>
    <w:rsid w:val="00662EBF"/>
    <w:rsid w:val="006716D2"/>
    <w:rsid w:val="006717BC"/>
    <w:rsid w:val="00674152"/>
    <w:rsid w:val="006750E6"/>
    <w:rsid w:val="0067636D"/>
    <w:rsid w:val="00677AC7"/>
    <w:rsid w:val="00680028"/>
    <w:rsid w:val="006824DD"/>
    <w:rsid w:val="00682B2D"/>
    <w:rsid w:val="00683BE5"/>
    <w:rsid w:val="0068521A"/>
    <w:rsid w:val="006860D6"/>
    <w:rsid w:val="00686876"/>
    <w:rsid w:val="00686DEA"/>
    <w:rsid w:val="00687A03"/>
    <w:rsid w:val="00690A80"/>
    <w:rsid w:val="0069107C"/>
    <w:rsid w:val="00691FBF"/>
    <w:rsid w:val="006A09CD"/>
    <w:rsid w:val="006A404D"/>
    <w:rsid w:val="006A41EA"/>
    <w:rsid w:val="006A5DC7"/>
    <w:rsid w:val="006B0BD1"/>
    <w:rsid w:val="006B1AB7"/>
    <w:rsid w:val="006B2548"/>
    <w:rsid w:val="006B2AF3"/>
    <w:rsid w:val="006B2E77"/>
    <w:rsid w:val="006B3C98"/>
    <w:rsid w:val="006B6A62"/>
    <w:rsid w:val="006B79AC"/>
    <w:rsid w:val="006B7D9B"/>
    <w:rsid w:val="006C21F5"/>
    <w:rsid w:val="006C284A"/>
    <w:rsid w:val="006C496E"/>
    <w:rsid w:val="006D02CA"/>
    <w:rsid w:val="006D08C6"/>
    <w:rsid w:val="006D340F"/>
    <w:rsid w:val="006D3E6A"/>
    <w:rsid w:val="006D4321"/>
    <w:rsid w:val="006D43CA"/>
    <w:rsid w:val="006E1D30"/>
    <w:rsid w:val="006E26F7"/>
    <w:rsid w:val="006E3DFA"/>
    <w:rsid w:val="006E5DEE"/>
    <w:rsid w:val="006E69A2"/>
    <w:rsid w:val="006F1C94"/>
    <w:rsid w:val="006F2565"/>
    <w:rsid w:val="006F2F29"/>
    <w:rsid w:val="006F4536"/>
    <w:rsid w:val="006F4734"/>
    <w:rsid w:val="006F560E"/>
    <w:rsid w:val="006F5D17"/>
    <w:rsid w:val="006F711D"/>
    <w:rsid w:val="006F7A6A"/>
    <w:rsid w:val="006F7A9C"/>
    <w:rsid w:val="006F7F3D"/>
    <w:rsid w:val="007040A8"/>
    <w:rsid w:val="00710D8D"/>
    <w:rsid w:val="00712551"/>
    <w:rsid w:val="00712D84"/>
    <w:rsid w:val="00712EA5"/>
    <w:rsid w:val="00713F77"/>
    <w:rsid w:val="00714245"/>
    <w:rsid w:val="00715012"/>
    <w:rsid w:val="0071795F"/>
    <w:rsid w:val="00720776"/>
    <w:rsid w:val="007218B8"/>
    <w:rsid w:val="00721915"/>
    <w:rsid w:val="00721D34"/>
    <w:rsid w:val="00721E04"/>
    <w:rsid w:val="00722D80"/>
    <w:rsid w:val="00722E59"/>
    <w:rsid w:val="0072406F"/>
    <w:rsid w:val="007246C2"/>
    <w:rsid w:val="00726FFE"/>
    <w:rsid w:val="00727BB3"/>
    <w:rsid w:val="00730A41"/>
    <w:rsid w:val="00731EAE"/>
    <w:rsid w:val="00732C76"/>
    <w:rsid w:val="007332FF"/>
    <w:rsid w:val="007336DA"/>
    <w:rsid w:val="00733A23"/>
    <w:rsid w:val="00734189"/>
    <w:rsid w:val="007345E3"/>
    <w:rsid w:val="00741016"/>
    <w:rsid w:val="00741096"/>
    <w:rsid w:val="00741B20"/>
    <w:rsid w:val="007422F3"/>
    <w:rsid w:val="007425A1"/>
    <w:rsid w:val="00742FBE"/>
    <w:rsid w:val="00747C45"/>
    <w:rsid w:val="00750083"/>
    <w:rsid w:val="0075253A"/>
    <w:rsid w:val="00752D5D"/>
    <w:rsid w:val="00752DB1"/>
    <w:rsid w:val="00754B86"/>
    <w:rsid w:val="00754C8F"/>
    <w:rsid w:val="0076064C"/>
    <w:rsid w:val="007610F3"/>
    <w:rsid w:val="007645E3"/>
    <w:rsid w:val="00767B50"/>
    <w:rsid w:val="007726CA"/>
    <w:rsid w:val="00773E7A"/>
    <w:rsid w:val="007750F7"/>
    <w:rsid w:val="00776452"/>
    <w:rsid w:val="00783E33"/>
    <w:rsid w:val="00784A1D"/>
    <w:rsid w:val="00784EFE"/>
    <w:rsid w:val="00785731"/>
    <w:rsid w:val="00786BEC"/>
    <w:rsid w:val="007876FA"/>
    <w:rsid w:val="00790C99"/>
    <w:rsid w:val="00794BAE"/>
    <w:rsid w:val="007A0BE4"/>
    <w:rsid w:val="007A3C65"/>
    <w:rsid w:val="007B0FDF"/>
    <w:rsid w:val="007B1489"/>
    <w:rsid w:val="007B5137"/>
    <w:rsid w:val="007B559C"/>
    <w:rsid w:val="007B6393"/>
    <w:rsid w:val="007B6A92"/>
    <w:rsid w:val="007B6E17"/>
    <w:rsid w:val="007B7033"/>
    <w:rsid w:val="007B772B"/>
    <w:rsid w:val="007C0C2C"/>
    <w:rsid w:val="007C1109"/>
    <w:rsid w:val="007C3814"/>
    <w:rsid w:val="007D1517"/>
    <w:rsid w:val="007D2713"/>
    <w:rsid w:val="007D4CD0"/>
    <w:rsid w:val="007D6806"/>
    <w:rsid w:val="007E1F16"/>
    <w:rsid w:val="007E2588"/>
    <w:rsid w:val="007E2BA6"/>
    <w:rsid w:val="007E50E2"/>
    <w:rsid w:val="007E6A1C"/>
    <w:rsid w:val="007E77C5"/>
    <w:rsid w:val="007F1447"/>
    <w:rsid w:val="007F553A"/>
    <w:rsid w:val="007F79E4"/>
    <w:rsid w:val="008009A5"/>
    <w:rsid w:val="00801316"/>
    <w:rsid w:val="008016C1"/>
    <w:rsid w:val="00806774"/>
    <w:rsid w:val="00810A35"/>
    <w:rsid w:val="00813D88"/>
    <w:rsid w:val="00814944"/>
    <w:rsid w:val="00815CC6"/>
    <w:rsid w:val="00816AB2"/>
    <w:rsid w:val="00821AE6"/>
    <w:rsid w:val="00822143"/>
    <w:rsid w:val="00823C77"/>
    <w:rsid w:val="00825F70"/>
    <w:rsid w:val="008277EA"/>
    <w:rsid w:val="00830CBB"/>
    <w:rsid w:val="00832AC8"/>
    <w:rsid w:val="0083355F"/>
    <w:rsid w:val="008339CE"/>
    <w:rsid w:val="008343F1"/>
    <w:rsid w:val="00835010"/>
    <w:rsid w:val="00835B45"/>
    <w:rsid w:val="0083688E"/>
    <w:rsid w:val="008378DA"/>
    <w:rsid w:val="008405E9"/>
    <w:rsid w:val="00840D33"/>
    <w:rsid w:val="0084195D"/>
    <w:rsid w:val="0084370D"/>
    <w:rsid w:val="00844123"/>
    <w:rsid w:val="00845C05"/>
    <w:rsid w:val="008465EE"/>
    <w:rsid w:val="00846EC9"/>
    <w:rsid w:val="00852455"/>
    <w:rsid w:val="00852BE7"/>
    <w:rsid w:val="00855F42"/>
    <w:rsid w:val="00857F2B"/>
    <w:rsid w:val="0086006A"/>
    <w:rsid w:val="00862028"/>
    <w:rsid w:val="00862FD2"/>
    <w:rsid w:val="00863871"/>
    <w:rsid w:val="0086389E"/>
    <w:rsid w:val="00865A23"/>
    <w:rsid w:val="00866591"/>
    <w:rsid w:val="00866642"/>
    <w:rsid w:val="00872632"/>
    <w:rsid w:val="00872CDB"/>
    <w:rsid w:val="00873458"/>
    <w:rsid w:val="00877C7A"/>
    <w:rsid w:val="00880D01"/>
    <w:rsid w:val="008812A2"/>
    <w:rsid w:val="0088228D"/>
    <w:rsid w:val="00883658"/>
    <w:rsid w:val="00884481"/>
    <w:rsid w:val="008850AB"/>
    <w:rsid w:val="00886193"/>
    <w:rsid w:val="00886F2C"/>
    <w:rsid w:val="008902BE"/>
    <w:rsid w:val="0089408A"/>
    <w:rsid w:val="00894413"/>
    <w:rsid w:val="00894A0F"/>
    <w:rsid w:val="00895AE0"/>
    <w:rsid w:val="008A116A"/>
    <w:rsid w:val="008A21F9"/>
    <w:rsid w:val="008A3044"/>
    <w:rsid w:val="008A6314"/>
    <w:rsid w:val="008A6454"/>
    <w:rsid w:val="008B03A3"/>
    <w:rsid w:val="008B12AB"/>
    <w:rsid w:val="008B1C57"/>
    <w:rsid w:val="008B21BE"/>
    <w:rsid w:val="008B3290"/>
    <w:rsid w:val="008B4241"/>
    <w:rsid w:val="008C2E7F"/>
    <w:rsid w:val="008C3345"/>
    <w:rsid w:val="008C4054"/>
    <w:rsid w:val="008C4748"/>
    <w:rsid w:val="008C6DF1"/>
    <w:rsid w:val="008C7545"/>
    <w:rsid w:val="008C77A9"/>
    <w:rsid w:val="008C798E"/>
    <w:rsid w:val="008D0458"/>
    <w:rsid w:val="008D12B4"/>
    <w:rsid w:val="008D1405"/>
    <w:rsid w:val="008D183F"/>
    <w:rsid w:val="008D1D3D"/>
    <w:rsid w:val="008D3091"/>
    <w:rsid w:val="008D313F"/>
    <w:rsid w:val="008D3C78"/>
    <w:rsid w:val="008D3E3B"/>
    <w:rsid w:val="008D3E9D"/>
    <w:rsid w:val="008D4F0E"/>
    <w:rsid w:val="008D7024"/>
    <w:rsid w:val="008E01B5"/>
    <w:rsid w:val="008E08BA"/>
    <w:rsid w:val="008E409A"/>
    <w:rsid w:val="008E4924"/>
    <w:rsid w:val="008E7306"/>
    <w:rsid w:val="008E7D4A"/>
    <w:rsid w:val="008F0896"/>
    <w:rsid w:val="008F11C8"/>
    <w:rsid w:val="008F1890"/>
    <w:rsid w:val="008F1B7C"/>
    <w:rsid w:val="008F30DC"/>
    <w:rsid w:val="008F42FF"/>
    <w:rsid w:val="008F465E"/>
    <w:rsid w:val="008F4C14"/>
    <w:rsid w:val="008F53C6"/>
    <w:rsid w:val="008F67F7"/>
    <w:rsid w:val="008F6B05"/>
    <w:rsid w:val="00900482"/>
    <w:rsid w:val="00903B0E"/>
    <w:rsid w:val="00904302"/>
    <w:rsid w:val="009045DC"/>
    <w:rsid w:val="00904A49"/>
    <w:rsid w:val="009054EA"/>
    <w:rsid w:val="00906B70"/>
    <w:rsid w:val="00906DF0"/>
    <w:rsid w:val="009105F5"/>
    <w:rsid w:val="00911BF9"/>
    <w:rsid w:val="00912E1B"/>
    <w:rsid w:val="009140D7"/>
    <w:rsid w:val="00915D01"/>
    <w:rsid w:val="00917AF4"/>
    <w:rsid w:val="00917D3C"/>
    <w:rsid w:val="00922FAF"/>
    <w:rsid w:val="0092413C"/>
    <w:rsid w:val="009242EE"/>
    <w:rsid w:val="00924C10"/>
    <w:rsid w:val="00926C49"/>
    <w:rsid w:val="00932AA9"/>
    <w:rsid w:val="00933DF0"/>
    <w:rsid w:val="00935196"/>
    <w:rsid w:val="00935EA8"/>
    <w:rsid w:val="00943459"/>
    <w:rsid w:val="00943A18"/>
    <w:rsid w:val="0094558B"/>
    <w:rsid w:val="00947751"/>
    <w:rsid w:val="00950092"/>
    <w:rsid w:val="00950B32"/>
    <w:rsid w:val="00952306"/>
    <w:rsid w:val="00953AA5"/>
    <w:rsid w:val="00954449"/>
    <w:rsid w:val="00957097"/>
    <w:rsid w:val="00961149"/>
    <w:rsid w:val="00965B0A"/>
    <w:rsid w:val="00965DDA"/>
    <w:rsid w:val="0096615A"/>
    <w:rsid w:val="00966A06"/>
    <w:rsid w:val="009674E5"/>
    <w:rsid w:val="00967FA5"/>
    <w:rsid w:val="009724D8"/>
    <w:rsid w:val="009732D3"/>
    <w:rsid w:val="009733F3"/>
    <w:rsid w:val="00973BDD"/>
    <w:rsid w:val="00974227"/>
    <w:rsid w:val="0097537C"/>
    <w:rsid w:val="00976974"/>
    <w:rsid w:val="00976DB0"/>
    <w:rsid w:val="00977AB1"/>
    <w:rsid w:val="00977BAE"/>
    <w:rsid w:val="00980364"/>
    <w:rsid w:val="00980983"/>
    <w:rsid w:val="00982234"/>
    <w:rsid w:val="00983354"/>
    <w:rsid w:val="00985741"/>
    <w:rsid w:val="00991110"/>
    <w:rsid w:val="00993C52"/>
    <w:rsid w:val="009976D2"/>
    <w:rsid w:val="009A074A"/>
    <w:rsid w:val="009A226E"/>
    <w:rsid w:val="009A299D"/>
    <w:rsid w:val="009A446B"/>
    <w:rsid w:val="009A4623"/>
    <w:rsid w:val="009B0EBF"/>
    <w:rsid w:val="009B11E7"/>
    <w:rsid w:val="009B3488"/>
    <w:rsid w:val="009C13E0"/>
    <w:rsid w:val="009C280C"/>
    <w:rsid w:val="009C2916"/>
    <w:rsid w:val="009C3CB6"/>
    <w:rsid w:val="009C45AB"/>
    <w:rsid w:val="009C517B"/>
    <w:rsid w:val="009C585E"/>
    <w:rsid w:val="009C5BD8"/>
    <w:rsid w:val="009C7DFA"/>
    <w:rsid w:val="009D0090"/>
    <w:rsid w:val="009D018B"/>
    <w:rsid w:val="009D01C6"/>
    <w:rsid w:val="009D21B7"/>
    <w:rsid w:val="009D4030"/>
    <w:rsid w:val="009D44AE"/>
    <w:rsid w:val="009D4CFB"/>
    <w:rsid w:val="009D53F9"/>
    <w:rsid w:val="009D6601"/>
    <w:rsid w:val="009D671C"/>
    <w:rsid w:val="009D68AF"/>
    <w:rsid w:val="009D6D58"/>
    <w:rsid w:val="009E03A1"/>
    <w:rsid w:val="009E1278"/>
    <w:rsid w:val="009E1828"/>
    <w:rsid w:val="009E2391"/>
    <w:rsid w:val="009E363F"/>
    <w:rsid w:val="009E3B43"/>
    <w:rsid w:val="009E5212"/>
    <w:rsid w:val="009F24FB"/>
    <w:rsid w:val="009F6A25"/>
    <w:rsid w:val="009F7E8A"/>
    <w:rsid w:val="00A01395"/>
    <w:rsid w:val="00A028B0"/>
    <w:rsid w:val="00A034C0"/>
    <w:rsid w:val="00A039E7"/>
    <w:rsid w:val="00A0517F"/>
    <w:rsid w:val="00A0644A"/>
    <w:rsid w:val="00A10157"/>
    <w:rsid w:val="00A12EB1"/>
    <w:rsid w:val="00A12EC8"/>
    <w:rsid w:val="00A13D89"/>
    <w:rsid w:val="00A14C3C"/>
    <w:rsid w:val="00A14EFD"/>
    <w:rsid w:val="00A15D5C"/>
    <w:rsid w:val="00A16AF3"/>
    <w:rsid w:val="00A16D53"/>
    <w:rsid w:val="00A17A0E"/>
    <w:rsid w:val="00A17A64"/>
    <w:rsid w:val="00A17CBF"/>
    <w:rsid w:val="00A17F69"/>
    <w:rsid w:val="00A227E7"/>
    <w:rsid w:val="00A22E9A"/>
    <w:rsid w:val="00A24299"/>
    <w:rsid w:val="00A25184"/>
    <w:rsid w:val="00A25B4D"/>
    <w:rsid w:val="00A26E50"/>
    <w:rsid w:val="00A32C70"/>
    <w:rsid w:val="00A354CC"/>
    <w:rsid w:val="00A357B5"/>
    <w:rsid w:val="00A35CEB"/>
    <w:rsid w:val="00A3604C"/>
    <w:rsid w:val="00A37F1C"/>
    <w:rsid w:val="00A403AB"/>
    <w:rsid w:val="00A414B3"/>
    <w:rsid w:val="00A42FC5"/>
    <w:rsid w:val="00A43702"/>
    <w:rsid w:val="00A444C7"/>
    <w:rsid w:val="00A461CD"/>
    <w:rsid w:val="00A4683F"/>
    <w:rsid w:val="00A46E5A"/>
    <w:rsid w:val="00A525B4"/>
    <w:rsid w:val="00A5273F"/>
    <w:rsid w:val="00A53162"/>
    <w:rsid w:val="00A540A3"/>
    <w:rsid w:val="00A55AE3"/>
    <w:rsid w:val="00A56DBB"/>
    <w:rsid w:val="00A62103"/>
    <w:rsid w:val="00A6262B"/>
    <w:rsid w:val="00A62F15"/>
    <w:rsid w:val="00A639E4"/>
    <w:rsid w:val="00A64B58"/>
    <w:rsid w:val="00A6526C"/>
    <w:rsid w:val="00A6567A"/>
    <w:rsid w:val="00A6758F"/>
    <w:rsid w:val="00A73463"/>
    <w:rsid w:val="00A75711"/>
    <w:rsid w:val="00A76B84"/>
    <w:rsid w:val="00A776B9"/>
    <w:rsid w:val="00A80641"/>
    <w:rsid w:val="00A843D3"/>
    <w:rsid w:val="00A869A8"/>
    <w:rsid w:val="00A8712E"/>
    <w:rsid w:val="00A8790B"/>
    <w:rsid w:val="00A916D8"/>
    <w:rsid w:val="00A945D1"/>
    <w:rsid w:val="00A9755A"/>
    <w:rsid w:val="00AA0BDD"/>
    <w:rsid w:val="00AA0DC2"/>
    <w:rsid w:val="00AA232B"/>
    <w:rsid w:val="00AA3F77"/>
    <w:rsid w:val="00AA7847"/>
    <w:rsid w:val="00AA7D57"/>
    <w:rsid w:val="00AA7EB6"/>
    <w:rsid w:val="00AB0E7B"/>
    <w:rsid w:val="00AB2D7C"/>
    <w:rsid w:val="00AB3ACF"/>
    <w:rsid w:val="00AB51ED"/>
    <w:rsid w:val="00AB5527"/>
    <w:rsid w:val="00AB6367"/>
    <w:rsid w:val="00AB6D76"/>
    <w:rsid w:val="00AC0C35"/>
    <w:rsid w:val="00AC2822"/>
    <w:rsid w:val="00AC2E31"/>
    <w:rsid w:val="00AC7E25"/>
    <w:rsid w:val="00AD1E86"/>
    <w:rsid w:val="00AD570D"/>
    <w:rsid w:val="00AD669F"/>
    <w:rsid w:val="00AE58F9"/>
    <w:rsid w:val="00AE752B"/>
    <w:rsid w:val="00AE788F"/>
    <w:rsid w:val="00AF0EA7"/>
    <w:rsid w:val="00AF1264"/>
    <w:rsid w:val="00AF71A4"/>
    <w:rsid w:val="00B00C17"/>
    <w:rsid w:val="00B010BE"/>
    <w:rsid w:val="00B02A99"/>
    <w:rsid w:val="00B02C45"/>
    <w:rsid w:val="00B030B7"/>
    <w:rsid w:val="00B03803"/>
    <w:rsid w:val="00B04177"/>
    <w:rsid w:val="00B06056"/>
    <w:rsid w:val="00B065E8"/>
    <w:rsid w:val="00B0786D"/>
    <w:rsid w:val="00B12485"/>
    <w:rsid w:val="00B13155"/>
    <w:rsid w:val="00B16011"/>
    <w:rsid w:val="00B169EE"/>
    <w:rsid w:val="00B16EBE"/>
    <w:rsid w:val="00B20BA4"/>
    <w:rsid w:val="00B22413"/>
    <w:rsid w:val="00B237D0"/>
    <w:rsid w:val="00B25525"/>
    <w:rsid w:val="00B25FFE"/>
    <w:rsid w:val="00B276C6"/>
    <w:rsid w:val="00B325BB"/>
    <w:rsid w:val="00B332DC"/>
    <w:rsid w:val="00B342AB"/>
    <w:rsid w:val="00B344DA"/>
    <w:rsid w:val="00B34EE6"/>
    <w:rsid w:val="00B35810"/>
    <w:rsid w:val="00B35866"/>
    <w:rsid w:val="00B36B6C"/>
    <w:rsid w:val="00B378F8"/>
    <w:rsid w:val="00B409F7"/>
    <w:rsid w:val="00B40E1F"/>
    <w:rsid w:val="00B4269F"/>
    <w:rsid w:val="00B43748"/>
    <w:rsid w:val="00B44C37"/>
    <w:rsid w:val="00B4727E"/>
    <w:rsid w:val="00B476BB"/>
    <w:rsid w:val="00B52DE5"/>
    <w:rsid w:val="00B53B9E"/>
    <w:rsid w:val="00B53F9E"/>
    <w:rsid w:val="00B56D58"/>
    <w:rsid w:val="00B56E8D"/>
    <w:rsid w:val="00B6147B"/>
    <w:rsid w:val="00B62248"/>
    <w:rsid w:val="00B6368B"/>
    <w:rsid w:val="00B63BD0"/>
    <w:rsid w:val="00B64B11"/>
    <w:rsid w:val="00B662CD"/>
    <w:rsid w:val="00B66540"/>
    <w:rsid w:val="00B717F1"/>
    <w:rsid w:val="00B719F7"/>
    <w:rsid w:val="00B720C5"/>
    <w:rsid w:val="00B72325"/>
    <w:rsid w:val="00B74DCE"/>
    <w:rsid w:val="00B76736"/>
    <w:rsid w:val="00B801AB"/>
    <w:rsid w:val="00B808D1"/>
    <w:rsid w:val="00B80D64"/>
    <w:rsid w:val="00B8246C"/>
    <w:rsid w:val="00B82760"/>
    <w:rsid w:val="00B82B82"/>
    <w:rsid w:val="00B8340A"/>
    <w:rsid w:val="00B84FD6"/>
    <w:rsid w:val="00B85685"/>
    <w:rsid w:val="00B86AC5"/>
    <w:rsid w:val="00B9537E"/>
    <w:rsid w:val="00B96464"/>
    <w:rsid w:val="00BA2CBC"/>
    <w:rsid w:val="00BA312E"/>
    <w:rsid w:val="00BA3B68"/>
    <w:rsid w:val="00BA3FDC"/>
    <w:rsid w:val="00BA588A"/>
    <w:rsid w:val="00BB0938"/>
    <w:rsid w:val="00BB205A"/>
    <w:rsid w:val="00BB397E"/>
    <w:rsid w:val="00BB4E0B"/>
    <w:rsid w:val="00BB538E"/>
    <w:rsid w:val="00BC0711"/>
    <w:rsid w:val="00BC7D19"/>
    <w:rsid w:val="00BD24AE"/>
    <w:rsid w:val="00BD45C9"/>
    <w:rsid w:val="00BD4B41"/>
    <w:rsid w:val="00BD7D4D"/>
    <w:rsid w:val="00BE0A64"/>
    <w:rsid w:val="00BE1A2E"/>
    <w:rsid w:val="00BE1EA5"/>
    <w:rsid w:val="00BE2714"/>
    <w:rsid w:val="00BE274A"/>
    <w:rsid w:val="00BE6321"/>
    <w:rsid w:val="00BF1AA8"/>
    <w:rsid w:val="00BF2061"/>
    <w:rsid w:val="00BF4557"/>
    <w:rsid w:val="00BF4573"/>
    <w:rsid w:val="00BF4617"/>
    <w:rsid w:val="00BF59A7"/>
    <w:rsid w:val="00BF5DAF"/>
    <w:rsid w:val="00BF6709"/>
    <w:rsid w:val="00C007F3"/>
    <w:rsid w:val="00C01F1F"/>
    <w:rsid w:val="00C032EC"/>
    <w:rsid w:val="00C03693"/>
    <w:rsid w:val="00C04C6D"/>
    <w:rsid w:val="00C055D7"/>
    <w:rsid w:val="00C0607C"/>
    <w:rsid w:val="00C06E17"/>
    <w:rsid w:val="00C07EB9"/>
    <w:rsid w:val="00C11508"/>
    <w:rsid w:val="00C1195B"/>
    <w:rsid w:val="00C120EB"/>
    <w:rsid w:val="00C1264A"/>
    <w:rsid w:val="00C15CAF"/>
    <w:rsid w:val="00C16016"/>
    <w:rsid w:val="00C17797"/>
    <w:rsid w:val="00C22A7A"/>
    <w:rsid w:val="00C23260"/>
    <w:rsid w:val="00C23E1E"/>
    <w:rsid w:val="00C247F6"/>
    <w:rsid w:val="00C32BC9"/>
    <w:rsid w:val="00C32E5C"/>
    <w:rsid w:val="00C3332D"/>
    <w:rsid w:val="00C3477C"/>
    <w:rsid w:val="00C363DC"/>
    <w:rsid w:val="00C364FD"/>
    <w:rsid w:val="00C3708D"/>
    <w:rsid w:val="00C40172"/>
    <w:rsid w:val="00C43E6A"/>
    <w:rsid w:val="00C50944"/>
    <w:rsid w:val="00C5181C"/>
    <w:rsid w:val="00C523D0"/>
    <w:rsid w:val="00C600ED"/>
    <w:rsid w:val="00C60444"/>
    <w:rsid w:val="00C60FA1"/>
    <w:rsid w:val="00C61603"/>
    <w:rsid w:val="00C617FB"/>
    <w:rsid w:val="00C6186A"/>
    <w:rsid w:val="00C633FE"/>
    <w:rsid w:val="00C639B8"/>
    <w:rsid w:val="00C646CC"/>
    <w:rsid w:val="00C64CD2"/>
    <w:rsid w:val="00C64ECD"/>
    <w:rsid w:val="00C65358"/>
    <w:rsid w:val="00C67013"/>
    <w:rsid w:val="00C671EC"/>
    <w:rsid w:val="00C70276"/>
    <w:rsid w:val="00C72007"/>
    <w:rsid w:val="00C75BEA"/>
    <w:rsid w:val="00C760D4"/>
    <w:rsid w:val="00C77A8D"/>
    <w:rsid w:val="00C82305"/>
    <w:rsid w:val="00C84F71"/>
    <w:rsid w:val="00C84F8E"/>
    <w:rsid w:val="00C86A95"/>
    <w:rsid w:val="00C870C1"/>
    <w:rsid w:val="00C915F6"/>
    <w:rsid w:val="00C91BFF"/>
    <w:rsid w:val="00C93D9B"/>
    <w:rsid w:val="00C96A3E"/>
    <w:rsid w:val="00C973C0"/>
    <w:rsid w:val="00C9743F"/>
    <w:rsid w:val="00C97766"/>
    <w:rsid w:val="00C97B11"/>
    <w:rsid w:val="00CA281D"/>
    <w:rsid w:val="00CA347A"/>
    <w:rsid w:val="00CA3632"/>
    <w:rsid w:val="00CA45B9"/>
    <w:rsid w:val="00CA55B8"/>
    <w:rsid w:val="00CA6C77"/>
    <w:rsid w:val="00CB1575"/>
    <w:rsid w:val="00CB1617"/>
    <w:rsid w:val="00CB1888"/>
    <w:rsid w:val="00CB276E"/>
    <w:rsid w:val="00CB2A89"/>
    <w:rsid w:val="00CB4D62"/>
    <w:rsid w:val="00CB753C"/>
    <w:rsid w:val="00CB76C7"/>
    <w:rsid w:val="00CB7E33"/>
    <w:rsid w:val="00CC038E"/>
    <w:rsid w:val="00CC0E3F"/>
    <w:rsid w:val="00CC355E"/>
    <w:rsid w:val="00CC5399"/>
    <w:rsid w:val="00CC57B3"/>
    <w:rsid w:val="00CC57F7"/>
    <w:rsid w:val="00CD2F4F"/>
    <w:rsid w:val="00CD4CF6"/>
    <w:rsid w:val="00CD58D0"/>
    <w:rsid w:val="00CE166D"/>
    <w:rsid w:val="00CE2733"/>
    <w:rsid w:val="00CE4CD2"/>
    <w:rsid w:val="00CE725F"/>
    <w:rsid w:val="00CF0D35"/>
    <w:rsid w:val="00CF10BB"/>
    <w:rsid w:val="00CF1A51"/>
    <w:rsid w:val="00CF2ACF"/>
    <w:rsid w:val="00CF3E3C"/>
    <w:rsid w:val="00CF4A15"/>
    <w:rsid w:val="00CF6AA6"/>
    <w:rsid w:val="00CF6D50"/>
    <w:rsid w:val="00D01D94"/>
    <w:rsid w:val="00D0219B"/>
    <w:rsid w:val="00D038A3"/>
    <w:rsid w:val="00D04BD7"/>
    <w:rsid w:val="00D0653E"/>
    <w:rsid w:val="00D115B9"/>
    <w:rsid w:val="00D13E27"/>
    <w:rsid w:val="00D1499B"/>
    <w:rsid w:val="00D1517B"/>
    <w:rsid w:val="00D16490"/>
    <w:rsid w:val="00D20039"/>
    <w:rsid w:val="00D2028A"/>
    <w:rsid w:val="00D21584"/>
    <w:rsid w:val="00D2164D"/>
    <w:rsid w:val="00D2342D"/>
    <w:rsid w:val="00D25124"/>
    <w:rsid w:val="00D2657E"/>
    <w:rsid w:val="00D265CE"/>
    <w:rsid w:val="00D2717E"/>
    <w:rsid w:val="00D3032C"/>
    <w:rsid w:val="00D32A41"/>
    <w:rsid w:val="00D35451"/>
    <w:rsid w:val="00D37EBB"/>
    <w:rsid w:val="00D41B31"/>
    <w:rsid w:val="00D41CCF"/>
    <w:rsid w:val="00D420F3"/>
    <w:rsid w:val="00D42CFB"/>
    <w:rsid w:val="00D45850"/>
    <w:rsid w:val="00D45F6E"/>
    <w:rsid w:val="00D506B8"/>
    <w:rsid w:val="00D50AB8"/>
    <w:rsid w:val="00D51360"/>
    <w:rsid w:val="00D51808"/>
    <w:rsid w:val="00D55F59"/>
    <w:rsid w:val="00D57E45"/>
    <w:rsid w:val="00D600D9"/>
    <w:rsid w:val="00D60DFD"/>
    <w:rsid w:val="00D6181E"/>
    <w:rsid w:val="00D66267"/>
    <w:rsid w:val="00D66A11"/>
    <w:rsid w:val="00D72519"/>
    <w:rsid w:val="00D72740"/>
    <w:rsid w:val="00D72CDA"/>
    <w:rsid w:val="00D73005"/>
    <w:rsid w:val="00D770D6"/>
    <w:rsid w:val="00D77533"/>
    <w:rsid w:val="00D77ED0"/>
    <w:rsid w:val="00D82C77"/>
    <w:rsid w:val="00D84402"/>
    <w:rsid w:val="00D8488B"/>
    <w:rsid w:val="00D85E63"/>
    <w:rsid w:val="00D86B5F"/>
    <w:rsid w:val="00D90BD3"/>
    <w:rsid w:val="00D91637"/>
    <w:rsid w:val="00D91D73"/>
    <w:rsid w:val="00D9290E"/>
    <w:rsid w:val="00D930E8"/>
    <w:rsid w:val="00D9392F"/>
    <w:rsid w:val="00D94D3C"/>
    <w:rsid w:val="00D94E67"/>
    <w:rsid w:val="00DA1C99"/>
    <w:rsid w:val="00DA5E5B"/>
    <w:rsid w:val="00DA6680"/>
    <w:rsid w:val="00DB3646"/>
    <w:rsid w:val="00DB61C8"/>
    <w:rsid w:val="00DC2106"/>
    <w:rsid w:val="00DC29D2"/>
    <w:rsid w:val="00DC609B"/>
    <w:rsid w:val="00DD1E22"/>
    <w:rsid w:val="00DD2457"/>
    <w:rsid w:val="00DD3437"/>
    <w:rsid w:val="00DD69B5"/>
    <w:rsid w:val="00DD6BE0"/>
    <w:rsid w:val="00DE0666"/>
    <w:rsid w:val="00DE1E14"/>
    <w:rsid w:val="00DE21C9"/>
    <w:rsid w:val="00DE4167"/>
    <w:rsid w:val="00DE45E5"/>
    <w:rsid w:val="00DE631D"/>
    <w:rsid w:val="00DE673D"/>
    <w:rsid w:val="00DE6A44"/>
    <w:rsid w:val="00DE75F7"/>
    <w:rsid w:val="00DF1651"/>
    <w:rsid w:val="00DF591F"/>
    <w:rsid w:val="00DF61E4"/>
    <w:rsid w:val="00DF671C"/>
    <w:rsid w:val="00DF68EC"/>
    <w:rsid w:val="00DF7644"/>
    <w:rsid w:val="00E01826"/>
    <w:rsid w:val="00E028A3"/>
    <w:rsid w:val="00E0718D"/>
    <w:rsid w:val="00E07F6A"/>
    <w:rsid w:val="00E1185C"/>
    <w:rsid w:val="00E13386"/>
    <w:rsid w:val="00E16385"/>
    <w:rsid w:val="00E1786F"/>
    <w:rsid w:val="00E2067F"/>
    <w:rsid w:val="00E20E22"/>
    <w:rsid w:val="00E213D6"/>
    <w:rsid w:val="00E23022"/>
    <w:rsid w:val="00E24E18"/>
    <w:rsid w:val="00E25EE8"/>
    <w:rsid w:val="00E2623F"/>
    <w:rsid w:val="00E26C50"/>
    <w:rsid w:val="00E3012D"/>
    <w:rsid w:val="00E310DC"/>
    <w:rsid w:val="00E320E6"/>
    <w:rsid w:val="00E332CC"/>
    <w:rsid w:val="00E3343E"/>
    <w:rsid w:val="00E35246"/>
    <w:rsid w:val="00E376F9"/>
    <w:rsid w:val="00E37711"/>
    <w:rsid w:val="00E4034D"/>
    <w:rsid w:val="00E4110B"/>
    <w:rsid w:val="00E41CD9"/>
    <w:rsid w:val="00E42450"/>
    <w:rsid w:val="00E45859"/>
    <w:rsid w:val="00E46FB0"/>
    <w:rsid w:val="00E541EB"/>
    <w:rsid w:val="00E544A5"/>
    <w:rsid w:val="00E56D18"/>
    <w:rsid w:val="00E575ED"/>
    <w:rsid w:val="00E61461"/>
    <w:rsid w:val="00E634C0"/>
    <w:rsid w:val="00E65316"/>
    <w:rsid w:val="00E66E17"/>
    <w:rsid w:val="00E71158"/>
    <w:rsid w:val="00E72BD2"/>
    <w:rsid w:val="00E7313E"/>
    <w:rsid w:val="00E74461"/>
    <w:rsid w:val="00E74A05"/>
    <w:rsid w:val="00E75CC8"/>
    <w:rsid w:val="00E771F3"/>
    <w:rsid w:val="00E81ABB"/>
    <w:rsid w:val="00E81CEB"/>
    <w:rsid w:val="00E8263F"/>
    <w:rsid w:val="00E859C9"/>
    <w:rsid w:val="00E86728"/>
    <w:rsid w:val="00E86CE5"/>
    <w:rsid w:val="00E87757"/>
    <w:rsid w:val="00E87B2E"/>
    <w:rsid w:val="00E918B7"/>
    <w:rsid w:val="00E9267E"/>
    <w:rsid w:val="00E9400A"/>
    <w:rsid w:val="00E94A5E"/>
    <w:rsid w:val="00E964DD"/>
    <w:rsid w:val="00E977AF"/>
    <w:rsid w:val="00EA064E"/>
    <w:rsid w:val="00EA0AAC"/>
    <w:rsid w:val="00EA1895"/>
    <w:rsid w:val="00EA6259"/>
    <w:rsid w:val="00EA6F89"/>
    <w:rsid w:val="00EB4DEE"/>
    <w:rsid w:val="00EB60F8"/>
    <w:rsid w:val="00EB63A2"/>
    <w:rsid w:val="00EB7270"/>
    <w:rsid w:val="00EB745A"/>
    <w:rsid w:val="00EB7BAC"/>
    <w:rsid w:val="00EC026C"/>
    <w:rsid w:val="00EC07C7"/>
    <w:rsid w:val="00EC1F5B"/>
    <w:rsid w:val="00EC394E"/>
    <w:rsid w:val="00EC3CC1"/>
    <w:rsid w:val="00EC4A07"/>
    <w:rsid w:val="00EC6111"/>
    <w:rsid w:val="00EC6EDB"/>
    <w:rsid w:val="00EC73CA"/>
    <w:rsid w:val="00ED227B"/>
    <w:rsid w:val="00ED22D6"/>
    <w:rsid w:val="00ED374C"/>
    <w:rsid w:val="00ED3F0B"/>
    <w:rsid w:val="00ED4666"/>
    <w:rsid w:val="00ED62EA"/>
    <w:rsid w:val="00ED6578"/>
    <w:rsid w:val="00EE0C42"/>
    <w:rsid w:val="00EE1A7F"/>
    <w:rsid w:val="00EE463E"/>
    <w:rsid w:val="00EE5F32"/>
    <w:rsid w:val="00EE60D3"/>
    <w:rsid w:val="00EE736C"/>
    <w:rsid w:val="00EE7A3D"/>
    <w:rsid w:val="00EF07AA"/>
    <w:rsid w:val="00EF1C65"/>
    <w:rsid w:val="00EF213A"/>
    <w:rsid w:val="00EF257C"/>
    <w:rsid w:val="00EF3069"/>
    <w:rsid w:val="00EF4C4F"/>
    <w:rsid w:val="00EF70ED"/>
    <w:rsid w:val="00F003AF"/>
    <w:rsid w:val="00F02478"/>
    <w:rsid w:val="00F02F5B"/>
    <w:rsid w:val="00F04253"/>
    <w:rsid w:val="00F05FBB"/>
    <w:rsid w:val="00F06A72"/>
    <w:rsid w:val="00F07E90"/>
    <w:rsid w:val="00F12A2E"/>
    <w:rsid w:val="00F2033F"/>
    <w:rsid w:val="00F20C0C"/>
    <w:rsid w:val="00F2185E"/>
    <w:rsid w:val="00F2191F"/>
    <w:rsid w:val="00F221D3"/>
    <w:rsid w:val="00F2406C"/>
    <w:rsid w:val="00F26FCA"/>
    <w:rsid w:val="00F27A61"/>
    <w:rsid w:val="00F306B3"/>
    <w:rsid w:val="00F3186C"/>
    <w:rsid w:val="00F322A8"/>
    <w:rsid w:val="00F32E4D"/>
    <w:rsid w:val="00F333A3"/>
    <w:rsid w:val="00F34E7C"/>
    <w:rsid w:val="00F40810"/>
    <w:rsid w:val="00F40B88"/>
    <w:rsid w:val="00F41553"/>
    <w:rsid w:val="00F4359B"/>
    <w:rsid w:val="00F4471D"/>
    <w:rsid w:val="00F44E42"/>
    <w:rsid w:val="00F45396"/>
    <w:rsid w:val="00F475FC"/>
    <w:rsid w:val="00F53D1E"/>
    <w:rsid w:val="00F53E49"/>
    <w:rsid w:val="00F5425C"/>
    <w:rsid w:val="00F5639A"/>
    <w:rsid w:val="00F56B6A"/>
    <w:rsid w:val="00F56DF4"/>
    <w:rsid w:val="00F56E91"/>
    <w:rsid w:val="00F60BEE"/>
    <w:rsid w:val="00F61809"/>
    <w:rsid w:val="00F632C1"/>
    <w:rsid w:val="00F64D9B"/>
    <w:rsid w:val="00F65465"/>
    <w:rsid w:val="00F664B1"/>
    <w:rsid w:val="00F67098"/>
    <w:rsid w:val="00F67823"/>
    <w:rsid w:val="00F70C1F"/>
    <w:rsid w:val="00F70D09"/>
    <w:rsid w:val="00F73286"/>
    <w:rsid w:val="00F770F4"/>
    <w:rsid w:val="00F819B0"/>
    <w:rsid w:val="00F82809"/>
    <w:rsid w:val="00F84B04"/>
    <w:rsid w:val="00F85A03"/>
    <w:rsid w:val="00F91277"/>
    <w:rsid w:val="00F928CE"/>
    <w:rsid w:val="00F930C6"/>
    <w:rsid w:val="00F94AC6"/>
    <w:rsid w:val="00F94FEF"/>
    <w:rsid w:val="00F952AD"/>
    <w:rsid w:val="00F97BBE"/>
    <w:rsid w:val="00F97BE8"/>
    <w:rsid w:val="00FA288C"/>
    <w:rsid w:val="00FA46EB"/>
    <w:rsid w:val="00FA4B43"/>
    <w:rsid w:val="00FB0ABA"/>
    <w:rsid w:val="00FB2A22"/>
    <w:rsid w:val="00FB2ED9"/>
    <w:rsid w:val="00FB3F0C"/>
    <w:rsid w:val="00FB489B"/>
    <w:rsid w:val="00FB50E3"/>
    <w:rsid w:val="00FB7C84"/>
    <w:rsid w:val="00FC1C75"/>
    <w:rsid w:val="00FC2746"/>
    <w:rsid w:val="00FC3E1B"/>
    <w:rsid w:val="00FC4D07"/>
    <w:rsid w:val="00FC5FFC"/>
    <w:rsid w:val="00FD12B5"/>
    <w:rsid w:val="00FD19D7"/>
    <w:rsid w:val="00FD2B78"/>
    <w:rsid w:val="00FD3107"/>
    <w:rsid w:val="00FD427D"/>
    <w:rsid w:val="00FD5E82"/>
    <w:rsid w:val="00FD7075"/>
    <w:rsid w:val="00FE262C"/>
    <w:rsid w:val="00FE2EF2"/>
    <w:rsid w:val="00FE46E7"/>
    <w:rsid w:val="00FE48BD"/>
    <w:rsid w:val="00FE66BD"/>
    <w:rsid w:val="00FF04E2"/>
    <w:rsid w:val="00FF36B5"/>
    <w:rsid w:val="00FF74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chartTrackingRefBased/>
  <w15:docId w15:val="{BAB0A19E-58FE-4F42-AFE9-0F082DCD5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uiPriority w:val="9"/>
    <w:qFormat/>
    <w:rsid w:val="002056D7"/>
    <w:pPr>
      <w:keepNext/>
      <w:numPr>
        <w:ilvl w:val="1"/>
        <w:numId w:val="8"/>
      </w:numPr>
      <w:outlineLvl w:val="1"/>
    </w:pPr>
    <w:rPr>
      <w:caps/>
      <w:lang w:val="x-none" w:eastAsia="x-none"/>
    </w:rPr>
  </w:style>
  <w:style w:type="paragraph" w:styleId="Ttulo3">
    <w:name w:val="heading 3"/>
    <w:basedOn w:val="Normal"/>
    <w:next w:val="Normal"/>
    <w:link w:val="Ttulo3Char"/>
    <w:uiPriority w:val="9"/>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uiPriority w:val="9"/>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uiPriority w:val="9"/>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iPriority w:val="9"/>
    <w:semiHidden/>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character" w:customStyle="1" w:styleId="RodapChar">
    <w:name w:val="Rodapé Char"/>
    <w:link w:val="Rodap"/>
    <w:uiPriority w:val="99"/>
    <w:rsid w:val="005D711E"/>
    <w:rPr>
      <w:sz w:val="24"/>
      <w:szCs w:val="24"/>
    </w:rPr>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Ttulo1Char">
    <w:name w:val="Título 1 Char"/>
    <w:link w:val="Ttulo1"/>
    <w:uiPriority w:val="9"/>
    <w:rsid w:val="002056D7"/>
    <w:rPr>
      <w:b/>
      <w:sz w:val="22"/>
      <w:lang w:val="x-none" w:eastAsia="x-none"/>
    </w:rPr>
  </w:style>
  <w:style w:type="character" w:customStyle="1" w:styleId="apple-converted-space">
    <w:name w:val="apple-converted-space"/>
    <w:rsid w:val="000720BF"/>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comgrade">
    <w:name w:val="Table Grid"/>
    <w:basedOn w:val="Tabelanormal"/>
    <w:uiPriority w:val="59"/>
    <w:rsid w:val="00E24E18"/>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paragraph" w:styleId="Legenda">
    <w:name w:val="caption"/>
    <w:basedOn w:val="Normal"/>
    <w:next w:val="Normal"/>
    <w:uiPriority w:val="35"/>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customStyle="1" w:styleId="Default">
    <w:name w:val="Default"/>
    <w:rsid w:val="00924C10"/>
    <w:pPr>
      <w:autoSpaceDE w:val="0"/>
      <w:autoSpaceDN w:val="0"/>
      <w:adjustRightInd w:val="0"/>
    </w:pPr>
    <w:rPr>
      <w:color w:val="000000"/>
      <w:sz w:val="24"/>
      <w:szCs w:val="24"/>
    </w:rPr>
  </w:style>
  <w:style w:type="character" w:customStyle="1" w:styleId="normaltextrun">
    <w:name w:val="normaltextrun"/>
    <w:rsid w:val="00682B2D"/>
  </w:style>
  <w:style w:type="paragraph" w:styleId="PargrafodaLista">
    <w:name w:val="List Paragraph"/>
    <w:basedOn w:val="Normal"/>
    <w:uiPriority w:val="34"/>
    <w:qFormat/>
    <w:rsid w:val="00D9392F"/>
    <w:pPr>
      <w:widowControl/>
      <w:suppressLineNumbers w:val="0"/>
      <w:suppressAutoHyphens w:val="0"/>
      <w:spacing w:after="200" w:line="276" w:lineRule="auto"/>
      <w:ind w:left="720" w:firstLine="0"/>
      <w:contextualSpacing/>
      <w:jc w:val="left"/>
    </w:pPr>
    <w:rPr>
      <w:rFonts w:ascii="Calibri" w:hAnsi="Calibri"/>
      <w:sz w:val="22"/>
      <w:szCs w:val="22"/>
    </w:rPr>
  </w:style>
  <w:style w:type="paragraph" w:styleId="Corpodetexto">
    <w:name w:val="Body Text"/>
    <w:basedOn w:val="Normal"/>
    <w:link w:val="CorpodetextoChar"/>
    <w:uiPriority w:val="99"/>
    <w:semiHidden/>
    <w:unhideWhenUsed/>
    <w:rsid w:val="00E9267E"/>
    <w:pPr>
      <w:spacing w:after="120"/>
    </w:pPr>
  </w:style>
  <w:style w:type="character" w:customStyle="1" w:styleId="CorpodetextoChar">
    <w:name w:val="Corpo de texto Char"/>
    <w:link w:val="Corpodetexto"/>
    <w:uiPriority w:val="99"/>
    <w:semiHidden/>
    <w:rsid w:val="00E9267E"/>
    <w:rPr>
      <w:sz w:val="24"/>
    </w:rPr>
  </w:style>
  <w:style w:type="character" w:styleId="nfase">
    <w:name w:val="Emphasis"/>
    <w:basedOn w:val="Fontepargpadro"/>
    <w:uiPriority w:val="20"/>
    <w:qFormat/>
    <w:rsid w:val="009A074A"/>
    <w:rPr>
      <w:i/>
      <w:iCs/>
    </w:rPr>
  </w:style>
  <w:style w:type="character" w:customStyle="1" w:styleId="retrieved-from">
    <w:name w:val="retrieved-from"/>
    <w:basedOn w:val="Fontepargpadro"/>
    <w:rsid w:val="009A0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224295345">
      <w:bodyDiv w:val="1"/>
      <w:marLeft w:val="0"/>
      <w:marRight w:val="0"/>
      <w:marTop w:val="0"/>
      <w:marBottom w:val="0"/>
      <w:divBdr>
        <w:top w:val="none" w:sz="0" w:space="0" w:color="auto"/>
        <w:left w:val="none" w:sz="0" w:space="0" w:color="auto"/>
        <w:bottom w:val="none" w:sz="0" w:space="0" w:color="auto"/>
        <w:right w:val="none" w:sz="0" w:space="0" w:color="auto"/>
      </w:divBdr>
    </w:div>
    <w:div w:id="241991568">
      <w:bodyDiv w:val="1"/>
      <w:marLeft w:val="0"/>
      <w:marRight w:val="0"/>
      <w:marTop w:val="0"/>
      <w:marBottom w:val="0"/>
      <w:divBdr>
        <w:top w:val="none" w:sz="0" w:space="0" w:color="auto"/>
        <w:left w:val="none" w:sz="0" w:space="0" w:color="auto"/>
        <w:bottom w:val="none" w:sz="0" w:space="0" w:color="auto"/>
        <w:right w:val="none" w:sz="0" w:space="0" w:color="auto"/>
      </w:divBdr>
    </w:div>
    <w:div w:id="273482423">
      <w:bodyDiv w:val="1"/>
      <w:marLeft w:val="0"/>
      <w:marRight w:val="0"/>
      <w:marTop w:val="0"/>
      <w:marBottom w:val="0"/>
      <w:divBdr>
        <w:top w:val="none" w:sz="0" w:space="0" w:color="auto"/>
        <w:left w:val="none" w:sz="0" w:space="0" w:color="auto"/>
        <w:bottom w:val="none" w:sz="0" w:space="0" w:color="auto"/>
        <w:right w:val="none" w:sz="0" w:space="0" w:color="auto"/>
      </w:divBdr>
    </w:div>
    <w:div w:id="1131286262">
      <w:bodyDiv w:val="1"/>
      <w:marLeft w:val="0"/>
      <w:marRight w:val="0"/>
      <w:marTop w:val="0"/>
      <w:marBottom w:val="0"/>
      <w:divBdr>
        <w:top w:val="none" w:sz="0" w:space="0" w:color="auto"/>
        <w:left w:val="none" w:sz="0" w:space="0" w:color="auto"/>
        <w:bottom w:val="none" w:sz="0" w:space="0" w:color="auto"/>
        <w:right w:val="none" w:sz="0" w:space="0" w:color="auto"/>
      </w:divBdr>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540438615">
      <w:bodyDiv w:val="1"/>
      <w:marLeft w:val="0"/>
      <w:marRight w:val="0"/>
      <w:marTop w:val="0"/>
      <w:marBottom w:val="0"/>
      <w:divBdr>
        <w:top w:val="none" w:sz="0" w:space="0" w:color="auto"/>
        <w:left w:val="none" w:sz="0" w:space="0" w:color="auto"/>
        <w:bottom w:val="none" w:sz="0" w:space="0" w:color="auto"/>
        <w:right w:val="none" w:sz="0" w:space="0" w:color="auto"/>
      </w:divBdr>
    </w:div>
    <w:div w:id="206556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planalto.gov.br/ccivil_03/leis/L4320.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planalto.gov.br/ccivil_03/Decreto-Lei/Del2848.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H:\ARTIGO\Coleta%20de%20Dados\Resultados\Gr&#225;fic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ARTIGO\Coleta%20de%20Dados\Resultados\Gr&#225;fic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'1'!$B$5</c:f>
              <c:strCache>
                <c:ptCount val="1"/>
                <c:pt idx="0">
                  <c:v>Pela Aprovação</c:v>
                </c:pt>
              </c:strCache>
            </c:strRef>
          </c:tx>
          <c:spPr>
            <a:pattFill prst="pct5">
              <a:fgClr>
                <a:schemeClr val="tx1"/>
              </a:fgClr>
              <a:bgClr>
                <a:schemeClr val="bg1"/>
              </a:bgClr>
            </a:pattFill>
            <a:ln>
              <a:solidFill>
                <a:schemeClr val="tx1"/>
              </a:solidFill>
            </a:ln>
            <a:effectLst/>
          </c:spPr>
          <c:invertIfNegative val="0"/>
          <c:dLbls>
            <c:spPr>
              <a:solidFill>
                <a:schemeClr val="bg1">
                  <a:alpha val="80000"/>
                </a:schemeClr>
              </a:solid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'1'!$C$3:$J$4</c:f>
              <c:multiLvlStrCache>
                <c:ptCount val="8"/>
                <c:lvl>
                  <c:pt idx="0">
                    <c:v>Prévio</c:v>
                  </c:pt>
                  <c:pt idx="1">
                    <c:v>Após Reapreciações</c:v>
                  </c:pt>
                  <c:pt idx="2">
                    <c:v>Prévio</c:v>
                  </c:pt>
                  <c:pt idx="3">
                    <c:v>Após Reapreciações</c:v>
                  </c:pt>
                  <c:pt idx="4">
                    <c:v>Prévio</c:v>
                  </c:pt>
                  <c:pt idx="5">
                    <c:v>Após Reapreciações</c:v>
                  </c:pt>
                  <c:pt idx="6">
                    <c:v>Prévio</c:v>
                  </c:pt>
                  <c:pt idx="7">
                    <c:v>Após Reapreciações</c:v>
                  </c:pt>
                </c:lvl>
                <c:lvl>
                  <c:pt idx="0">
                    <c:v>2000</c:v>
                  </c:pt>
                  <c:pt idx="2">
                    <c:v>2004</c:v>
                  </c:pt>
                  <c:pt idx="4">
                    <c:v>2008</c:v>
                  </c:pt>
                  <c:pt idx="6">
                    <c:v>2012</c:v>
                  </c:pt>
                </c:lvl>
              </c:multiLvlStrCache>
            </c:multiLvlStrRef>
          </c:cat>
          <c:val>
            <c:numRef>
              <c:f>'1'!$C$5:$J$5</c:f>
              <c:numCache>
                <c:formatCode>0.0%</c:formatCode>
                <c:ptCount val="8"/>
                <c:pt idx="0">
                  <c:v>0.27986348122866894</c:v>
                </c:pt>
                <c:pt idx="1">
                  <c:v>0.77133105802047786</c:v>
                </c:pt>
                <c:pt idx="2">
                  <c:v>0.73720136518771329</c:v>
                </c:pt>
                <c:pt idx="3">
                  <c:v>0.80546075085324231</c:v>
                </c:pt>
                <c:pt idx="4">
                  <c:v>0.89419795221843001</c:v>
                </c:pt>
                <c:pt idx="5">
                  <c:v>0.93515358361774747</c:v>
                </c:pt>
                <c:pt idx="6">
                  <c:v>0.8225255972696246</c:v>
                </c:pt>
                <c:pt idx="7">
                  <c:v>0.86006825938566556</c:v>
                </c:pt>
              </c:numCache>
            </c:numRef>
          </c:val>
          <c:extLst>
            <c:ext xmlns:c16="http://schemas.microsoft.com/office/drawing/2014/chart" uri="{C3380CC4-5D6E-409C-BE32-E72D297353CC}">
              <c16:uniqueId val="{00000000-88E6-4A73-9B68-833C7CC57219}"/>
            </c:ext>
          </c:extLst>
        </c:ser>
        <c:ser>
          <c:idx val="1"/>
          <c:order val="1"/>
          <c:tx>
            <c:strRef>
              <c:f>'1'!$B$6</c:f>
              <c:strCache>
                <c:ptCount val="1"/>
                <c:pt idx="0">
                  <c:v>Pela Rejeição</c:v>
                </c:pt>
              </c:strCache>
            </c:strRef>
          </c:tx>
          <c:spPr>
            <a:pattFill prst="ltDnDiag">
              <a:fgClr>
                <a:schemeClr val="tx1"/>
              </a:fgClr>
              <a:bgClr>
                <a:schemeClr val="bg1"/>
              </a:bgClr>
            </a:pattFill>
            <a:ln>
              <a:solidFill>
                <a:schemeClr val="tx1"/>
              </a:solidFill>
            </a:ln>
            <a:effectLst/>
          </c:spPr>
          <c:invertIfNegative val="0"/>
          <c:dLbls>
            <c:dLbl>
              <c:idx val="5"/>
              <c:layout>
                <c:manualLayout>
                  <c:x val="6.3037243594770784E-3"/>
                  <c:y val="0"/>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9D7-43AB-84B0-759E98478083}"/>
                </c:ext>
              </c:extLst>
            </c:dLbl>
            <c:spPr>
              <a:solidFill>
                <a:schemeClr val="bg1">
                  <a:alpha val="80000"/>
                </a:schemeClr>
              </a:solid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'1'!$C$3:$J$4</c:f>
              <c:multiLvlStrCache>
                <c:ptCount val="8"/>
                <c:lvl>
                  <c:pt idx="0">
                    <c:v>Prévio</c:v>
                  </c:pt>
                  <c:pt idx="1">
                    <c:v>Após Reapreciações</c:v>
                  </c:pt>
                  <c:pt idx="2">
                    <c:v>Prévio</c:v>
                  </c:pt>
                  <c:pt idx="3">
                    <c:v>Após Reapreciações</c:v>
                  </c:pt>
                  <c:pt idx="4">
                    <c:v>Prévio</c:v>
                  </c:pt>
                  <c:pt idx="5">
                    <c:v>Após Reapreciações</c:v>
                  </c:pt>
                  <c:pt idx="6">
                    <c:v>Prévio</c:v>
                  </c:pt>
                  <c:pt idx="7">
                    <c:v>Após Reapreciações</c:v>
                  </c:pt>
                </c:lvl>
                <c:lvl>
                  <c:pt idx="0">
                    <c:v>2000</c:v>
                  </c:pt>
                  <c:pt idx="2">
                    <c:v>2004</c:v>
                  </c:pt>
                  <c:pt idx="4">
                    <c:v>2008</c:v>
                  </c:pt>
                  <c:pt idx="6">
                    <c:v>2012</c:v>
                  </c:pt>
                </c:lvl>
              </c:multiLvlStrCache>
            </c:multiLvlStrRef>
          </c:cat>
          <c:val>
            <c:numRef>
              <c:f>'1'!$C$6:$J$6</c:f>
              <c:numCache>
                <c:formatCode>0.0%</c:formatCode>
                <c:ptCount val="8"/>
                <c:pt idx="0">
                  <c:v>0.72013651877133111</c:v>
                </c:pt>
                <c:pt idx="1">
                  <c:v>0.22866894197952217</c:v>
                </c:pt>
                <c:pt idx="2">
                  <c:v>0.26279863481228671</c:v>
                </c:pt>
                <c:pt idx="3">
                  <c:v>0.19453924914675769</c:v>
                </c:pt>
                <c:pt idx="4">
                  <c:v>0.10580204778156997</c:v>
                </c:pt>
                <c:pt idx="5">
                  <c:v>6.4846416382252553E-2</c:v>
                </c:pt>
                <c:pt idx="6">
                  <c:v>0.17747440273037543</c:v>
                </c:pt>
                <c:pt idx="7">
                  <c:v>0.13993174061433447</c:v>
                </c:pt>
              </c:numCache>
            </c:numRef>
          </c:val>
          <c:extLst>
            <c:ext xmlns:c16="http://schemas.microsoft.com/office/drawing/2014/chart" uri="{C3380CC4-5D6E-409C-BE32-E72D297353CC}">
              <c16:uniqueId val="{00000001-88E6-4A73-9B68-833C7CC57219}"/>
            </c:ext>
          </c:extLst>
        </c:ser>
        <c:dLbls>
          <c:showLegendKey val="0"/>
          <c:showVal val="0"/>
          <c:showCatName val="0"/>
          <c:showSerName val="0"/>
          <c:showPercent val="0"/>
          <c:showBubbleSize val="0"/>
        </c:dLbls>
        <c:gapWidth val="25"/>
        <c:overlap val="100"/>
        <c:axId val="-2127903760"/>
        <c:axId val="-2127906480"/>
      </c:barChart>
      <c:catAx>
        <c:axId val="-2127903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2127906480"/>
        <c:crosses val="autoZero"/>
        <c:auto val="1"/>
        <c:lblAlgn val="ctr"/>
        <c:lblOffset val="100"/>
        <c:noMultiLvlLbl val="0"/>
      </c:catAx>
      <c:valAx>
        <c:axId val="-212790648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crossAx val="-21279037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'2.3'!$B$3</c:f>
              <c:strCache>
                <c:ptCount val="1"/>
                <c:pt idx="0">
                  <c:v>Cumpriram o art. 42</c:v>
                </c:pt>
              </c:strCache>
            </c:strRef>
          </c:tx>
          <c:spPr>
            <a:pattFill prst="zigZag">
              <a:fgClr>
                <a:schemeClr val="tx1"/>
              </a:fgClr>
              <a:bgClr>
                <a:schemeClr val="bg1"/>
              </a:bgClr>
            </a:pattFill>
            <a:ln>
              <a:solidFill>
                <a:schemeClr val="tx1"/>
              </a:solidFill>
            </a:ln>
            <a:effectLst/>
          </c:spPr>
          <c:invertIfNegative val="0"/>
          <c:dLbls>
            <c:spPr>
              <a:solidFill>
                <a:schemeClr val="bg1">
                  <a:alpha val="95000"/>
                </a:schemeClr>
              </a:solid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'2.3'!$C$1:$J$2</c:f>
              <c:multiLvlStrCache>
                <c:ptCount val="8"/>
                <c:lvl>
                  <c:pt idx="0">
                    <c:v>Parecer        Prévio</c:v>
                  </c:pt>
                  <c:pt idx="1">
                    <c:v>Após Rea-preciações</c:v>
                  </c:pt>
                  <c:pt idx="2">
                    <c:v>Parecer        Prévio</c:v>
                  </c:pt>
                  <c:pt idx="3">
                    <c:v>Após Rea-preciações</c:v>
                  </c:pt>
                  <c:pt idx="4">
                    <c:v>Parecer        Prévio</c:v>
                  </c:pt>
                  <c:pt idx="5">
                    <c:v>Após Rea-preciações</c:v>
                  </c:pt>
                  <c:pt idx="6">
                    <c:v>Parecer        Prévio</c:v>
                  </c:pt>
                  <c:pt idx="7">
                    <c:v>Após Rea-preciações</c:v>
                  </c:pt>
                </c:lvl>
                <c:lvl>
                  <c:pt idx="0">
                    <c:v>2000</c:v>
                  </c:pt>
                  <c:pt idx="2">
                    <c:v>2004</c:v>
                  </c:pt>
                  <c:pt idx="4">
                    <c:v>2008</c:v>
                  </c:pt>
                  <c:pt idx="6">
                    <c:v>2012</c:v>
                  </c:pt>
                </c:lvl>
              </c:multiLvlStrCache>
            </c:multiLvlStrRef>
          </c:cat>
          <c:val>
            <c:numRef>
              <c:f>'2.3'!$C$3:$J$3</c:f>
              <c:numCache>
                <c:formatCode>0.0%</c:formatCode>
                <c:ptCount val="8"/>
                <c:pt idx="0">
                  <c:v>0</c:v>
                </c:pt>
                <c:pt idx="1">
                  <c:v>9.9000000000000005E-2</c:v>
                </c:pt>
                <c:pt idx="2">
                  <c:v>0.47799999999999998</c:v>
                </c:pt>
                <c:pt idx="3">
                  <c:v>0.48099999999999998</c:v>
                </c:pt>
                <c:pt idx="4">
                  <c:v>0.76800000000000002</c:v>
                </c:pt>
                <c:pt idx="5">
                  <c:v>0.76800000000000002</c:v>
                </c:pt>
                <c:pt idx="6">
                  <c:v>0.61799999999999999</c:v>
                </c:pt>
                <c:pt idx="7">
                  <c:v>0.61799999999999999</c:v>
                </c:pt>
              </c:numCache>
            </c:numRef>
          </c:val>
          <c:extLst>
            <c:ext xmlns:c16="http://schemas.microsoft.com/office/drawing/2014/chart" uri="{C3380CC4-5D6E-409C-BE32-E72D297353CC}">
              <c16:uniqueId val="{00000000-5BF8-45D4-BAE6-7CFE274ED894}"/>
            </c:ext>
          </c:extLst>
        </c:ser>
        <c:ser>
          <c:idx val="1"/>
          <c:order val="1"/>
          <c:tx>
            <c:strRef>
              <c:f>'2.3'!$B$4</c:f>
              <c:strCache>
                <c:ptCount val="1"/>
                <c:pt idx="0">
                  <c:v>Descumpriram o art. 42</c:v>
                </c:pt>
              </c:strCache>
            </c:strRef>
          </c:tx>
          <c:spPr>
            <a:pattFill prst="dkDnDiag">
              <a:fgClr>
                <a:schemeClr val="tx1"/>
              </a:fgClr>
              <a:bgClr>
                <a:schemeClr val="bg1"/>
              </a:bgClr>
            </a:pattFill>
            <a:ln>
              <a:solidFill>
                <a:schemeClr val="tx1"/>
              </a:solidFill>
            </a:ln>
            <a:effectLst/>
          </c:spPr>
          <c:invertIfNegative val="0"/>
          <c:dLbls>
            <c:spPr>
              <a:solidFill>
                <a:schemeClr val="bg1">
                  <a:alpha val="95000"/>
                </a:schemeClr>
              </a:solid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'2.3'!$C$1:$J$2</c:f>
              <c:multiLvlStrCache>
                <c:ptCount val="8"/>
                <c:lvl>
                  <c:pt idx="0">
                    <c:v>Parecer        Prévio</c:v>
                  </c:pt>
                  <c:pt idx="1">
                    <c:v>Após Rea-preciações</c:v>
                  </c:pt>
                  <c:pt idx="2">
                    <c:v>Parecer        Prévio</c:v>
                  </c:pt>
                  <c:pt idx="3">
                    <c:v>Após Rea-preciações</c:v>
                  </c:pt>
                  <c:pt idx="4">
                    <c:v>Parecer        Prévio</c:v>
                  </c:pt>
                  <c:pt idx="5">
                    <c:v>Após Rea-preciações</c:v>
                  </c:pt>
                  <c:pt idx="6">
                    <c:v>Parecer        Prévio</c:v>
                  </c:pt>
                  <c:pt idx="7">
                    <c:v>Após Rea-preciações</c:v>
                  </c:pt>
                </c:lvl>
                <c:lvl>
                  <c:pt idx="0">
                    <c:v>2000</c:v>
                  </c:pt>
                  <c:pt idx="2">
                    <c:v>2004</c:v>
                  </c:pt>
                  <c:pt idx="4">
                    <c:v>2008</c:v>
                  </c:pt>
                  <c:pt idx="6">
                    <c:v>2012</c:v>
                  </c:pt>
                </c:lvl>
              </c:multiLvlStrCache>
            </c:multiLvlStrRef>
          </c:cat>
          <c:val>
            <c:numRef>
              <c:f>'2.3'!$C$4:$J$4</c:f>
              <c:numCache>
                <c:formatCode>0.0%</c:formatCode>
                <c:ptCount val="8"/>
                <c:pt idx="0">
                  <c:v>0.67600000000000005</c:v>
                </c:pt>
                <c:pt idx="1">
                  <c:v>0.19500000000000001</c:v>
                </c:pt>
                <c:pt idx="2">
                  <c:v>0.51200000000000001</c:v>
                </c:pt>
                <c:pt idx="3">
                  <c:v>0.50900000000000001</c:v>
                </c:pt>
                <c:pt idx="4">
                  <c:v>0.23200000000000001</c:v>
                </c:pt>
                <c:pt idx="5">
                  <c:v>0.23200000000000001</c:v>
                </c:pt>
                <c:pt idx="6">
                  <c:v>0.375</c:v>
                </c:pt>
                <c:pt idx="7">
                  <c:v>0.36499999999999999</c:v>
                </c:pt>
              </c:numCache>
            </c:numRef>
          </c:val>
          <c:extLst>
            <c:ext xmlns:c16="http://schemas.microsoft.com/office/drawing/2014/chart" uri="{C3380CC4-5D6E-409C-BE32-E72D297353CC}">
              <c16:uniqueId val="{00000001-5BF8-45D4-BAE6-7CFE274ED894}"/>
            </c:ext>
          </c:extLst>
        </c:ser>
        <c:ser>
          <c:idx val="2"/>
          <c:order val="2"/>
          <c:tx>
            <c:strRef>
              <c:f>'2.3'!$B$5</c:f>
              <c:strCache>
                <c:ptCount val="1"/>
                <c:pt idx="0">
                  <c:v>Sem informação sobre o art. 42*</c:v>
                </c:pt>
              </c:strCache>
            </c:strRef>
          </c:tx>
          <c:spPr>
            <a:pattFill prst="pct5">
              <a:fgClr>
                <a:schemeClr val="tx1"/>
              </a:fgClr>
              <a:bgClr>
                <a:schemeClr val="bg1"/>
              </a:bgClr>
            </a:pattFill>
            <a:ln>
              <a:solidFill>
                <a:schemeClr val="tx1"/>
              </a:solidFill>
            </a:ln>
            <a:effectLst/>
          </c:spPr>
          <c:invertIfNegative val="0"/>
          <c:dLbls>
            <c:dLbl>
              <c:idx val="0"/>
              <c:spPr>
                <a:solidFill>
                  <a:schemeClr val="bg1">
                    <a:alpha val="95000"/>
                  </a:schemeClr>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extLst>
                <c:ext xmlns:c16="http://schemas.microsoft.com/office/drawing/2014/chart" uri="{C3380CC4-5D6E-409C-BE32-E72D297353CC}">
                  <c16:uniqueId val="{00000000-2B13-42A4-AD61-FC346AAF8E77}"/>
                </c:ext>
              </c:extLst>
            </c:dLbl>
            <c:dLbl>
              <c:idx val="1"/>
              <c:spPr>
                <a:solidFill>
                  <a:schemeClr val="bg1">
                    <a:alpha val="95000"/>
                  </a:schemeClr>
                </a:solid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extLst>
                <c:ext xmlns:c16="http://schemas.microsoft.com/office/drawing/2014/chart" uri="{C3380CC4-5D6E-409C-BE32-E72D297353CC}">
                  <c16:uniqueId val="{00000001-2B13-42A4-AD61-FC346AAF8E77}"/>
                </c:ext>
              </c:extLst>
            </c:dLbl>
            <c:dLbl>
              <c:idx val="2"/>
              <c:layout>
                <c:manualLayout>
                  <c:x val="2.2048285745783266E-3"/>
                  <c:y val="-3.362927045563446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5BF8-45D4-BAE6-7CFE274ED894}"/>
                </c:ext>
              </c:extLst>
            </c:dLbl>
            <c:dLbl>
              <c:idx val="3"/>
              <c:layout>
                <c:manualLayout>
                  <c:x val="2.2048285745783266E-3"/>
                  <c:y val="-3.3629270455634457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5BF8-45D4-BAE6-7CFE274ED894}"/>
                </c:ext>
              </c:extLst>
            </c:dLbl>
            <c:dLbl>
              <c:idx val="4"/>
              <c:layout>
                <c:manualLayout>
                  <c:x val="-8.0842780498506403E-17"/>
                  <c:y val="-2.889685110887025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5BF8-45D4-BAE6-7CFE274ED894}"/>
                </c:ext>
              </c:extLst>
            </c:dLbl>
            <c:dLbl>
              <c:idx val="5"/>
              <c:layout>
                <c:manualLayout>
                  <c:x val="0"/>
                  <c:y val="-2.8896851108870254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5BF8-45D4-BAE6-7CFE274ED894}"/>
                </c:ext>
              </c:extLst>
            </c:dLbl>
            <c:dLbl>
              <c:idx val="6"/>
              <c:layout>
                <c:manualLayout>
                  <c:x val="-2.2048285745783266E-3"/>
                  <c:y val="-3.0016520414512218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5BF8-45D4-BAE6-7CFE274ED894}"/>
                </c:ext>
              </c:extLst>
            </c:dLbl>
            <c:dLbl>
              <c:idx val="7"/>
              <c:layout>
                <c:manualLayout>
                  <c:x val="-2.2048285745784883E-3"/>
                  <c:y val="-3.427063442682744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5BF8-45D4-BAE6-7CFE274ED894}"/>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'2.3'!$C$1:$J$2</c:f>
              <c:multiLvlStrCache>
                <c:ptCount val="8"/>
                <c:lvl>
                  <c:pt idx="0">
                    <c:v>Parecer        Prévio</c:v>
                  </c:pt>
                  <c:pt idx="1">
                    <c:v>Após Rea-preciações</c:v>
                  </c:pt>
                  <c:pt idx="2">
                    <c:v>Parecer        Prévio</c:v>
                  </c:pt>
                  <c:pt idx="3">
                    <c:v>Após Rea-preciações</c:v>
                  </c:pt>
                  <c:pt idx="4">
                    <c:v>Parecer        Prévio</c:v>
                  </c:pt>
                  <c:pt idx="5">
                    <c:v>Após Rea-preciações</c:v>
                  </c:pt>
                  <c:pt idx="6">
                    <c:v>Parecer        Prévio</c:v>
                  </c:pt>
                  <c:pt idx="7">
                    <c:v>Após Rea-preciações</c:v>
                  </c:pt>
                </c:lvl>
                <c:lvl>
                  <c:pt idx="0">
                    <c:v>2000</c:v>
                  </c:pt>
                  <c:pt idx="2">
                    <c:v>2004</c:v>
                  </c:pt>
                  <c:pt idx="4">
                    <c:v>2008</c:v>
                  </c:pt>
                  <c:pt idx="6">
                    <c:v>2012</c:v>
                  </c:pt>
                </c:lvl>
              </c:multiLvlStrCache>
            </c:multiLvlStrRef>
          </c:cat>
          <c:val>
            <c:numRef>
              <c:f>'2.3'!$C$5:$J$5</c:f>
              <c:numCache>
                <c:formatCode>0.0%</c:formatCode>
                <c:ptCount val="8"/>
                <c:pt idx="0">
                  <c:v>0.32400000000000001</c:v>
                </c:pt>
                <c:pt idx="1">
                  <c:v>0.70599999999999996</c:v>
                </c:pt>
                <c:pt idx="2">
                  <c:v>0.01</c:v>
                </c:pt>
                <c:pt idx="3">
                  <c:v>0.01</c:v>
                </c:pt>
                <c:pt idx="4">
                  <c:v>0</c:v>
                </c:pt>
                <c:pt idx="5">
                  <c:v>0</c:v>
                </c:pt>
                <c:pt idx="6">
                  <c:v>7.0000000000000001E-3</c:v>
                </c:pt>
                <c:pt idx="7">
                  <c:v>1.7000000000000001E-2</c:v>
                </c:pt>
              </c:numCache>
            </c:numRef>
          </c:val>
          <c:extLst>
            <c:ext xmlns:c16="http://schemas.microsoft.com/office/drawing/2014/chart" uri="{C3380CC4-5D6E-409C-BE32-E72D297353CC}">
              <c16:uniqueId val="{0000000A-5BF8-45D4-BAE6-7CFE274ED894}"/>
            </c:ext>
          </c:extLst>
        </c:ser>
        <c:dLbls>
          <c:dLblPos val="ctr"/>
          <c:showLegendKey val="0"/>
          <c:showVal val="1"/>
          <c:showCatName val="0"/>
          <c:showSerName val="0"/>
          <c:showPercent val="0"/>
          <c:showBubbleSize val="0"/>
        </c:dLbls>
        <c:gapWidth val="25"/>
        <c:overlap val="100"/>
        <c:axId val="-164868240"/>
        <c:axId val="-164878032"/>
      </c:barChart>
      <c:catAx>
        <c:axId val="-164868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85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64878032"/>
        <c:crosses val="autoZero"/>
        <c:auto val="1"/>
        <c:lblAlgn val="ctr"/>
        <c:lblOffset val="100"/>
        <c:noMultiLvlLbl val="0"/>
      </c:catAx>
      <c:valAx>
        <c:axId val="-1648780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crossAx val="-164868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00">
          <a:solidFill>
            <a:sysClr val="windowText" lastClr="000000"/>
          </a:solidFill>
          <a:latin typeface="Times New Roman" panose="02020603050405020304" pitchFamily="18" charset="0"/>
          <a:cs typeface="Times New Roman" panose="02020603050405020304" pitchFamily="18"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7B439-1C44-4032-BB8E-2314E0C0A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20</Pages>
  <Words>10392</Words>
  <Characters>56120</Characters>
  <Application>Microsoft Office Word</Application>
  <DocSecurity>0</DocSecurity>
  <Lines>467</Lines>
  <Paragraphs>132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À</vt:lpstr>
    </vt:vector>
  </TitlesOfParts>
  <Company/>
  <LinksUpToDate>false</LinksUpToDate>
  <CharactersWithSpaces>66380</CharactersWithSpaces>
  <SharedDoc>false</SharedDoc>
  <HLinks>
    <vt:vector size="6" baseType="variant">
      <vt:variant>
        <vt:i4>4194422</vt:i4>
      </vt:variant>
      <vt:variant>
        <vt:i4>0</vt:i4>
      </vt:variant>
      <vt:variant>
        <vt:i4>0</vt:i4>
      </vt:variant>
      <vt:variant>
        <vt:i4>5</vt:i4>
      </vt:variant>
      <vt:variant>
        <vt:lpwstr>http://www.planalto.gov.br/ccivil_03/Decreto-Lei/Del2848.htm</vt:lpwstr>
      </vt:variant>
      <vt:variant>
        <vt:lpwstr>art359c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anna caroline menegusso diehl</cp:lastModifiedBy>
  <cp:revision>5</cp:revision>
  <cp:lastPrinted>2017-05-12T23:47:00Z</cp:lastPrinted>
  <dcterms:created xsi:type="dcterms:W3CDTF">2017-05-06T01:23:00Z</dcterms:created>
  <dcterms:modified xsi:type="dcterms:W3CDTF">2017-08-29T13:15:00Z</dcterms:modified>
</cp:coreProperties>
</file>