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77D" w:rsidRDefault="0036377D" w:rsidP="001E4635">
      <w:pPr>
        <w:rPr>
          <w:b/>
          <w:sz w:val="24"/>
        </w:rPr>
      </w:pPr>
      <w:bookmarkStart w:id="0" w:name="_GoBack"/>
      <w:bookmarkEnd w:id="0"/>
    </w:p>
    <w:p w:rsidR="00F366D2" w:rsidRPr="00F366D2" w:rsidRDefault="00F366D2" w:rsidP="00F366D2">
      <w:pPr>
        <w:pBdr>
          <w:top w:val="nil"/>
          <w:left w:val="nil"/>
          <w:bottom w:val="nil"/>
          <w:right w:val="nil"/>
          <w:between w:val="nil"/>
        </w:pBdr>
        <w:ind w:right="60"/>
        <w:jc w:val="center"/>
        <w:rPr>
          <w:b/>
          <w:color w:val="000000"/>
          <w:sz w:val="24"/>
          <w:szCs w:val="24"/>
        </w:rPr>
      </w:pPr>
      <w:r w:rsidRPr="00F366D2">
        <w:rPr>
          <w:b/>
          <w:color w:val="000000"/>
          <w:sz w:val="24"/>
          <w:szCs w:val="24"/>
        </w:rPr>
        <w:t>Análise dos Gastos Com Pessoal do Poder Legislativo Segundo a Lei de Responsabilidade Fiscal</w:t>
      </w:r>
    </w:p>
    <w:p w:rsidR="0036377D" w:rsidRDefault="0036377D" w:rsidP="0036377D">
      <w:pPr>
        <w:jc w:val="center"/>
        <w:rPr>
          <w:color w:val="999999"/>
        </w:rPr>
      </w:pPr>
    </w:p>
    <w:p w:rsidR="0036377D" w:rsidRDefault="0036377D" w:rsidP="00067126">
      <w:pPr>
        <w:widowControl w:val="0"/>
        <w:jc w:val="right"/>
        <w:rPr>
          <w:b/>
          <w:sz w:val="24"/>
          <w:szCs w:val="24"/>
        </w:rPr>
      </w:pPr>
    </w:p>
    <w:p w:rsidR="00586833" w:rsidRDefault="00F366D2" w:rsidP="00586833">
      <w:pPr>
        <w:jc w:val="right"/>
        <w:rPr>
          <w:b/>
          <w:sz w:val="24"/>
          <w:szCs w:val="24"/>
        </w:rPr>
      </w:pPr>
      <w:r>
        <w:rPr>
          <w:b/>
          <w:sz w:val="24"/>
          <w:szCs w:val="24"/>
        </w:rPr>
        <w:t>Jeferson Luiz da Silva</w:t>
      </w:r>
    </w:p>
    <w:p w:rsidR="00586833" w:rsidRDefault="00F366D2" w:rsidP="00586833">
      <w:pPr>
        <w:jc w:val="right"/>
        <w:rPr>
          <w:b/>
          <w:i/>
          <w:sz w:val="24"/>
          <w:szCs w:val="24"/>
        </w:rPr>
      </w:pPr>
      <w:r>
        <w:rPr>
          <w:b/>
          <w:sz w:val="24"/>
          <w:szCs w:val="24"/>
        </w:rPr>
        <w:t>Universidade Federal de Santa Cataria</w:t>
      </w:r>
      <w:r w:rsidR="00586833">
        <w:rPr>
          <w:b/>
          <w:sz w:val="24"/>
          <w:szCs w:val="24"/>
        </w:rPr>
        <w:t xml:space="preserve"> (</w:t>
      </w:r>
      <w:r>
        <w:rPr>
          <w:b/>
          <w:sz w:val="24"/>
          <w:szCs w:val="24"/>
        </w:rPr>
        <w:t>Uf</w:t>
      </w:r>
      <w:r w:rsidR="00DF60BC">
        <w:rPr>
          <w:b/>
          <w:sz w:val="24"/>
          <w:szCs w:val="24"/>
        </w:rPr>
        <w:t>SC</w:t>
      </w:r>
      <w:r w:rsidR="00586833">
        <w:rPr>
          <w:b/>
          <w:sz w:val="24"/>
          <w:szCs w:val="24"/>
        </w:rPr>
        <w:t>)</w:t>
      </w:r>
    </w:p>
    <w:p w:rsidR="00586833" w:rsidRDefault="00586833" w:rsidP="00586833">
      <w:pPr>
        <w:jc w:val="right"/>
        <w:rPr>
          <w:b/>
          <w:sz w:val="24"/>
          <w:szCs w:val="24"/>
        </w:rPr>
      </w:pPr>
      <w:r>
        <w:rPr>
          <w:b/>
          <w:i/>
          <w:sz w:val="24"/>
          <w:szCs w:val="24"/>
        </w:rPr>
        <w:t>E-mail:</w:t>
      </w:r>
      <w:r w:rsidR="00F366D2">
        <w:rPr>
          <w:b/>
          <w:i/>
          <w:sz w:val="24"/>
          <w:szCs w:val="24"/>
        </w:rPr>
        <w:t xml:space="preserve"> jefersonluiz_afc@hotmail.com</w:t>
      </w:r>
    </w:p>
    <w:p w:rsidR="00586833" w:rsidRDefault="00586833" w:rsidP="00586833">
      <w:pPr>
        <w:jc w:val="right"/>
        <w:rPr>
          <w:b/>
          <w:sz w:val="24"/>
          <w:szCs w:val="24"/>
        </w:rPr>
      </w:pPr>
    </w:p>
    <w:p w:rsidR="00586833" w:rsidRDefault="00F366D2" w:rsidP="00586833">
      <w:pPr>
        <w:widowControl w:val="0"/>
        <w:jc w:val="right"/>
        <w:rPr>
          <w:b/>
          <w:sz w:val="24"/>
          <w:szCs w:val="24"/>
        </w:rPr>
      </w:pPr>
      <w:r>
        <w:rPr>
          <w:b/>
          <w:sz w:val="24"/>
          <w:szCs w:val="24"/>
        </w:rPr>
        <w:t>Fabricia Silva da Rosa</w:t>
      </w:r>
    </w:p>
    <w:p w:rsidR="00586833" w:rsidRDefault="00F366D2" w:rsidP="00586833">
      <w:pPr>
        <w:widowControl w:val="0"/>
        <w:jc w:val="right"/>
        <w:rPr>
          <w:b/>
          <w:i/>
          <w:sz w:val="24"/>
          <w:szCs w:val="24"/>
        </w:rPr>
      </w:pPr>
      <w:r>
        <w:rPr>
          <w:b/>
          <w:sz w:val="24"/>
          <w:szCs w:val="24"/>
        </w:rPr>
        <w:t>Universidade Federal de Santa Cataria (Uf</w:t>
      </w:r>
      <w:r w:rsidR="00DF60BC">
        <w:rPr>
          <w:b/>
          <w:sz w:val="24"/>
          <w:szCs w:val="24"/>
        </w:rPr>
        <w:t>SC</w:t>
      </w:r>
      <w:r>
        <w:rPr>
          <w:b/>
          <w:sz w:val="24"/>
          <w:szCs w:val="24"/>
        </w:rPr>
        <w:t>)</w:t>
      </w:r>
    </w:p>
    <w:p w:rsidR="00586833" w:rsidRDefault="00586833" w:rsidP="00586833">
      <w:pPr>
        <w:widowControl w:val="0"/>
        <w:jc w:val="right"/>
        <w:rPr>
          <w:b/>
          <w:sz w:val="24"/>
          <w:szCs w:val="24"/>
        </w:rPr>
      </w:pPr>
      <w:r>
        <w:rPr>
          <w:b/>
          <w:i/>
          <w:sz w:val="24"/>
          <w:szCs w:val="24"/>
        </w:rPr>
        <w:t>E-mail:</w:t>
      </w:r>
      <w:r w:rsidR="00F366D2">
        <w:rPr>
          <w:b/>
          <w:i/>
          <w:sz w:val="24"/>
          <w:szCs w:val="24"/>
        </w:rPr>
        <w:t xml:space="preserve"> fabricia.rosa@ufsc.br</w:t>
      </w:r>
    </w:p>
    <w:p w:rsidR="00586833" w:rsidRDefault="00586833" w:rsidP="00067126">
      <w:pPr>
        <w:widowControl w:val="0"/>
        <w:jc w:val="right"/>
        <w:rPr>
          <w:b/>
          <w:sz w:val="24"/>
          <w:szCs w:val="24"/>
        </w:rPr>
      </w:pPr>
    </w:p>
    <w:p w:rsidR="00586833" w:rsidRDefault="00586833" w:rsidP="00067126">
      <w:pPr>
        <w:widowControl w:val="0"/>
        <w:jc w:val="right"/>
        <w:rPr>
          <w:b/>
          <w:sz w:val="24"/>
          <w:szCs w:val="24"/>
        </w:rPr>
      </w:pPr>
    </w:p>
    <w:p w:rsidR="00586833" w:rsidRDefault="00586833" w:rsidP="00067126">
      <w:pPr>
        <w:widowControl w:val="0"/>
        <w:jc w:val="right"/>
        <w:rPr>
          <w:b/>
          <w:sz w:val="24"/>
          <w:szCs w:val="24"/>
        </w:rPr>
      </w:pPr>
    </w:p>
    <w:p w:rsidR="00586833" w:rsidRDefault="00586833" w:rsidP="00067126">
      <w:pPr>
        <w:widowControl w:val="0"/>
        <w:jc w:val="right"/>
        <w:rPr>
          <w:b/>
          <w:sz w:val="24"/>
          <w:szCs w:val="24"/>
        </w:rPr>
      </w:pPr>
    </w:p>
    <w:p w:rsidR="00586833" w:rsidRDefault="00586833" w:rsidP="00067126">
      <w:pPr>
        <w:widowControl w:val="0"/>
        <w:jc w:val="right"/>
        <w:rPr>
          <w:b/>
          <w:sz w:val="24"/>
          <w:szCs w:val="24"/>
        </w:rPr>
      </w:pPr>
    </w:p>
    <w:p w:rsidR="00586833" w:rsidRDefault="00586833" w:rsidP="00067126">
      <w:pPr>
        <w:widowControl w:val="0"/>
        <w:jc w:val="right"/>
        <w:rPr>
          <w:b/>
          <w:sz w:val="24"/>
          <w:szCs w:val="24"/>
        </w:rPr>
      </w:pPr>
    </w:p>
    <w:p w:rsidR="00586833" w:rsidRDefault="00586833" w:rsidP="00067126">
      <w:pPr>
        <w:widowControl w:val="0"/>
        <w:jc w:val="right"/>
        <w:rPr>
          <w:b/>
          <w:sz w:val="24"/>
          <w:szCs w:val="24"/>
        </w:rPr>
      </w:pPr>
    </w:p>
    <w:p w:rsidR="00586833" w:rsidRDefault="00586833" w:rsidP="00067126">
      <w:pPr>
        <w:widowControl w:val="0"/>
        <w:jc w:val="right"/>
        <w:rPr>
          <w:b/>
          <w:sz w:val="24"/>
          <w:szCs w:val="24"/>
        </w:rPr>
      </w:pPr>
    </w:p>
    <w:p w:rsidR="00C04F45" w:rsidRPr="006D0E1E" w:rsidRDefault="0036377D" w:rsidP="00067126">
      <w:pPr>
        <w:widowControl w:val="0"/>
        <w:jc w:val="both"/>
        <w:rPr>
          <w:b/>
          <w:sz w:val="24"/>
          <w:szCs w:val="24"/>
        </w:rPr>
      </w:pPr>
      <w:r w:rsidRPr="006D0E1E">
        <w:rPr>
          <w:b/>
          <w:sz w:val="24"/>
          <w:szCs w:val="24"/>
        </w:rPr>
        <w:t xml:space="preserve">Resumo </w:t>
      </w:r>
    </w:p>
    <w:p w:rsidR="00FA7C0B" w:rsidRPr="00AD1C04" w:rsidRDefault="00F366D2" w:rsidP="00FA7C0B">
      <w:pPr>
        <w:contextualSpacing/>
        <w:jc w:val="both"/>
        <w:rPr>
          <w:sz w:val="24"/>
          <w:szCs w:val="24"/>
        </w:rPr>
      </w:pPr>
      <w:r w:rsidRPr="006D0E1E">
        <w:rPr>
          <w:sz w:val="24"/>
          <w:szCs w:val="24"/>
        </w:rPr>
        <w:t xml:space="preserve">O objetivo central desta pesquisa é analisar o cumprimento legal sobre os gastos com pessoal determinados pela a Lei de Responsabilidade Fiscal (LRF), dos órgãos que compõem o Poder Legislativo, Assembleia Legislativa e Tribunal de Contas do Estado, dos Estados da Região Sul do Brasil, entre os anos de 2010 a 2016. </w:t>
      </w:r>
      <w:r w:rsidR="00FA7C0B" w:rsidRPr="006D0E1E">
        <w:rPr>
          <w:sz w:val="24"/>
          <w:szCs w:val="24"/>
        </w:rPr>
        <w:t>No que se diz respeito aos procedimentos adotados, trata-</w:t>
      </w:r>
      <w:r w:rsidR="00FA7C0B" w:rsidRPr="00C1772C">
        <w:rPr>
          <w:sz w:val="24"/>
          <w:szCs w:val="24"/>
        </w:rPr>
        <w:t>se de uma pesquisa documental,</w:t>
      </w:r>
      <w:r w:rsidR="006D0E1E" w:rsidRPr="00C1772C">
        <w:rPr>
          <w:sz w:val="24"/>
          <w:szCs w:val="24"/>
        </w:rPr>
        <w:t xml:space="preserve"> e </w:t>
      </w:r>
      <w:r w:rsidR="00FA7C0B" w:rsidRPr="00C1772C">
        <w:rPr>
          <w:sz w:val="24"/>
          <w:szCs w:val="24"/>
        </w:rPr>
        <w:t xml:space="preserve">quanto ao seu objetivo trata-se de uma pesquisa descritiva. </w:t>
      </w:r>
      <w:r w:rsidR="00AD1C04" w:rsidRPr="00C1772C">
        <w:rPr>
          <w:sz w:val="24"/>
          <w:szCs w:val="24"/>
        </w:rPr>
        <w:t>Para esta pesquisa utilizou-se os Relatórios de Gestão Fiscal, apresentados no portal da transparência apresentados por cada órgão legislativo. Pode-se con</w:t>
      </w:r>
      <w:r w:rsidR="00EB2EBD" w:rsidRPr="00C1772C">
        <w:rPr>
          <w:sz w:val="24"/>
          <w:szCs w:val="24"/>
        </w:rPr>
        <w:t>stat</w:t>
      </w:r>
      <w:r w:rsidR="00AD1C04" w:rsidRPr="00C1772C">
        <w:rPr>
          <w:sz w:val="24"/>
          <w:szCs w:val="24"/>
        </w:rPr>
        <w:t>ar</w:t>
      </w:r>
      <w:r w:rsidR="00FA7C0B" w:rsidRPr="00C1772C">
        <w:rPr>
          <w:sz w:val="24"/>
          <w:szCs w:val="24"/>
        </w:rPr>
        <w:t xml:space="preserve"> que o Poder Legislativo dos Estados do Paraná e do Rio Grande do Sul cumpriram os limites máximo, prudencial e de alerta em todos os anos analisados</w:t>
      </w:r>
      <w:r w:rsidR="00EB2EBD" w:rsidRPr="00C1772C">
        <w:rPr>
          <w:sz w:val="24"/>
          <w:szCs w:val="24"/>
        </w:rPr>
        <w:t>. Já no Estado de Santa Catarina o Poder Legislativo apresentou dificuldade em cumprir o que determina a LRF. Pode-se perceber que o</w:t>
      </w:r>
      <w:r w:rsidR="00FA7C0B" w:rsidRPr="00C1772C">
        <w:rPr>
          <w:sz w:val="24"/>
          <w:szCs w:val="24"/>
        </w:rPr>
        <w:t xml:space="preserve"> Estado </w:t>
      </w:r>
      <w:r w:rsidR="00EB2EBD" w:rsidRPr="00C1772C">
        <w:rPr>
          <w:sz w:val="24"/>
          <w:szCs w:val="24"/>
        </w:rPr>
        <w:t>do Rio Grande do Sul</w:t>
      </w:r>
      <w:r w:rsidR="00FA7C0B" w:rsidRPr="00C1772C">
        <w:rPr>
          <w:sz w:val="24"/>
          <w:szCs w:val="24"/>
        </w:rPr>
        <w:t xml:space="preserve">, durante os anos analisados, </w:t>
      </w:r>
      <w:r w:rsidR="00EB2EBD" w:rsidRPr="00C1772C">
        <w:rPr>
          <w:sz w:val="24"/>
          <w:szCs w:val="24"/>
        </w:rPr>
        <w:t>a</w:t>
      </w:r>
      <w:r w:rsidR="00FA7C0B" w:rsidRPr="00C1772C">
        <w:rPr>
          <w:sz w:val="24"/>
          <w:szCs w:val="24"/>
        </w:rPr>
        <w:t xml:space="preserve"> Receita Corrente Liquida (RCL)</w:t>
      </w:r>
      <w:r w:rsidR="00EB2EBD" w:rsidRPr="00C1772C">
        <w:rPr>
          <w:sz w:val="24"/>
          <w:szCs w:val="24"/>
        </w:rPr>
        <w:t xml:space="preserve"> apresentou um aumento de</w:t>
      </w:r>
      <w:r w:rsidR="00FA7C0B" w:rsidRPr="00C1772C">
        <w:rPr>
          <w:sz w:val="24"/>
          <w:szCs w:val="24"/>
        </w:rPr>
        <w:t xml:space="preserve"> 79,97%. Por sua vez o Tribunal de Contas do Estado de Santa Catarina apresentou uma variação de sua Despesa Total com Pessoal</w:t>
      </w:r>
      <w:r w:rsidR="00EB2EBD" w:rsidRPr="00C1772C">
        <w:rPr>
          <w:sz w:val="24"/>
          <w:szCs w:val="24"/>
        </w:rPr>
        <w:t xml:space="preserve"> (DTP)</w:t>
      </w:r>
      <w:r w:rsidR="00FA7C0B" w:rsidRPr="00C1772C">
        <w:rPr>
          <w:sz w:val="24"/>
          <w:szCs w:val="24"/>
        </w:rPr>
        <w:t xml:space="preserve"> num percentual de 93,96%.</w:t>
      </w:r>
      <w:r w:rsidR="00AD1C04" w:rsidRPr="00C1772C">
        <w:rPr>
          <w:sz w:val="24"/>
          <w:szCs w:val="24"/>
        </w:rPr>
        <w:t xml:space="preserve"> Com o presente resultado alcançado espera-se que possa contribuir com o entendimento em relação à verificação e controle dos gastos com pessoal.</w:t>
      </w:r>
    </w:p>
    <w:p w:rsidR="00FA7C0B" w:rsidRPr="006D0E1E" w:rsidRDefault="00FA7C0B" w:rsidP="00FA7C0B">
      <w:pPr>
        <w:contextualSpacing/>
        <w:jc w:val="both"/>
        <w:rPr>
          <w:b/>
          <w:sz w:val="24"/>
          <w:szCs w:val="24"/>
        </w:rPr>
      </w:pPr>
    </w:p>
    <w:p w:rsidR="0036377D" w:rsidRPr="006D0E1E" w:rsidRDefault="0036377D" w:rsidP="00067126">
      <w:pPr>
        <w:widowControl w:val="0"/>
        <w:rPr>
          <w:sz w:val="24"/>
          <w:szCs w:val="24"/>
        </w:rPr>
      </w:pPr>
      <w:r w:rsidRPr="006D0E1E">
        <w:rPr>
          <w:b/>
          <w:sz w:val="24"/>
          <w:szCs w:val="24"/>
        </w:rPr>
        <w:t xml:space="preserve">Palavras-chave: </w:t>
      </w:r>
      <w:r w:rsidR="00FA7C0B" w:rsidRPr="006D0E1E">
        <w:rPr>
          <w:sz w:val="24"/>
          <w:szCs w:val="24"/>
        </w:rPr>
        <w:t>Despesa com Pessoal</w:t>
      </w:r>
      <w:r w:rsidRPr="006D0E1E">
        <w:rPr>
          <w:sz w:val="24"/>
          <w:szCs w:val="24"/>
        </w:rPr>
        <w:t xml:space="preserve">; </w:t>
      </w:r>
      <w:r w:rsidR="00FA7C0B" w:rsidRPr="006D0E1E">
        <w:rPr>
          <w:sz w:val="24"/>
          <w:szCs w:val="24"/>
        </w:rPr>
        <w:t>Lei de Responsabilidade Fiscal</w:t>
      </w:r>
      <w:r w:rsidRPr="006D0E1E">
        <w:rPr>
          <w:sz w:val="24"/>
          <w:szCs w:val="24"/>
        </w:rPr>
        <w:t xml:space="preserve">; </w:t>
      </w:r>
      <w:r w:rsidR="00FA7C0B" w:rsidRPr="006D0E1E">
        <w:rPr>
          <w:sz w:val="24"/>
          <w:szCs w:val="24"/>
        </w:rPr>
        <w:t>Poder Legislativo.</w:t>
      </w:r>
    </w:p>
    <w:p w:rsidR="0036377D" w:rsidRPr="006D0E1E" w:rsidRDefault="0036377D" w:rsidP="00067126">
      <w:pPr>
        <w:widowControl w:val="0"/>
        <w:rPr>
          <w:sz w:val="24"/>
          <w:szCs w:val="24"/>
        </w:rPr>
      </w:pPr>
    </w:p>
    <w:p w:rsidR="0036377D" w:rsidRPr="0036377D" w:rsidRDefault="0036377D" w:rsidP="00067126">
      <w:pPr>
        <w:widowControl w:val="0"/>
        <w:rPr>
          <w:sz w:val="24"/>
          <w:szCs w:val="24"/>
        </w:rPr>
      </w:pPr>
      <w:r w:rsidRPr="006D0E1E">
        <w:rPr>
          <w:b/>
          <w:sz w:val="24"/>
          <w:szCs w:val="24"/>
        </w:rPr>
        <w:t xml:space="preserve">Linha Temática: </w:t>
      </w:r>
      <w:r w:rsidR="00FA7C0B" w:rsidRPr="006D0E1E">
        <w:rPr>
          <w:b/>
          <w:sz w:val="24"/>
          <w:szCs w:val="24"/>
        </w:rPr>
        <w:t>Contabilidade Aplicada ao Setor Público.</w:t>
      </w:r>
    </w:p>
    <w:p w:rsidR="00582630" w:rsidRDefault="00582630" w:rsidP="00067126">
      <w:pPr>
        <w:widowControl w:val="0"/>
      </w:pPr>
    </w:p>
    <w:p w:rsidR="00DF60BC" w:rsidRDefault="00DF60BC">
      <w:pPr>
        <w:suppressAutoHyphens w:val="0"/>
      </w:pPr>
      <w:r>
        <w:br w:type="page"/>
      </w:r>
    </w:p>
    <w:p w:rsidR="00F366D2" w:rsidRPr="00F366D2" w:rsidRDefault="00DF60BC" w:rsidP="00DF60BC">
      <w:pPr>
        <w:pBdr>
          <w:top w:val="nil"/>
          <w:left w:val="nil"/>
          <w:bottom w:val="nil"/>
          <w:right w:val="nil"/>
          <w:between w:val="nil"/>
        </w:pBdr>
        <w:suppressAutoHyphens w:val="0"/>
        <w:spacing w:line="360" w:lineRule="auto"/>
        <w:contextualSpacing/>
        <w:rPr>
          <w:b/>
          <w:sz w:val="24"/>
          <w:szCs w:val="24"/>
        </w:rPr>
      </w:pPr>
      <w:r>
        <w:rPr>
          <w:b/>
          <w:color w:val="000000"/>
          <w:sz w:val="24"/>
          <w:szCs w:val="24"/>
        </w:rPr>
        <w:lastRenderedPageBreak/>
        <w:t xml:space="preserve">1 </w:t>
      </w:r>
      <w:r w:rsidR="00F366D2" w:rsidRPr="00F366D2">
        <w:rPr>
          <w:b/>
          <w:color w:val="000000"/>
          <w:sz w:val="24"/>
          <w:szCs w:val="24"/>
        </w:rPr>
        <w:t xml:space="preserve">INTRODUÇÃO </w:t>
      </w:r>
    </w:p>
    <w:p w:rsidR="00F366D2" w:rsidRPr="00F366D2" w:rsidRDefault="00F366D2" w:rsidP="00F366D2">
      <w:pPr>
        <w:ind w:firstLine="709"/>
        <w:contextualSpacing/>
        <w:jc w:val="both"/>
        <w:rPr>
          <w:sz w:val="24"/>
          <w:szCs w:val="24"/>
        </w:rPr>
      </w:pPr>
      <w:r w:rsidRPr="00F366D2">
        <w:rPr>
          <w:sz w:val="24"/>
          <w:szCs w:val="24"/>
        </w:rPr>
        <w:t>A discussão sobre gastos com pessoal, não é recente e nos remota a Carta Magna de 1967. Tal visão ganhou força com a Lei Complementar nº 101, de 04 de maio de 2000, conhecida como a Lei de Responsabilidade Fiscal (LRF), que estabelece normas de finanças públicas voltadas para a responsabilidade na gestão fiscal. Esta lei impôs regras e limites específicos para a Despesa com Pessoal, diferenciando limites para cada tipo de poder</w:t>
      </w:r>
      <w:r w:rsidR="00026562">
        <w:rPr>
          <w:sz w:val="24"/>
          <w:szCs w:val="24"/>
        </w:rPr>
        <w:t xml:space="preserve"> do governo (executivo, legislativo, judiciário e de controle)</w:t>
      </w:r>
      <w:r w:rsidRPr="00F366D2">
        <w:rPr>
          <w:sz w:val="24"/>
          <w:szCs w:val="24"/>
        </w:rPr>
        <w:t>.</w:t>
      </w:r>
      <w:r w:rsidR="00026562">
        <w:rPr>
          <w:sz w:val="24"/>
          <w:szCs w:val="24"/>
        </w:rPr>
        <w:t xml:space="preserve"> </w:t>
      </w:r>
      <w:r w:rsidRPr="00F366D2">
        <w:rPr>
          <w:sz w:val="24"/>
          <w:szCs w:val="24"/>
        </w:rPr>
        <w:t xml:space="preserve">A LRF trata que em cada período de apuração e em cada ente da Federação, a União, os Estados e os Municípios, não poderão exceder a receita corrente líquida nos percentuais de 50%, 60% e 60%, respectivamente, (BRASIL, 2000, art. 19, incisos primeiro, segundo e terceiro). Na esfera estadual ocorre a repartição de tais limites globais em 3% para o Legislativo, onde se inclui o Tribunal de Contas do Estado; 6% para o Judiciário; 49% para o Executivo; e 2% para o Ministério Público do Estado (BRASIL, 2000, art. 20, inciso segundo). </w:t>
      </w:r>
    </w:p>
    <w:p w:rsidR="00F366D2" w:rsidRPr="00F366D2" w:rsidRDefault="00F366D2" w:rsidP="00F366D2">
      <w:pPr>
        <w:ind w:firstLine="709"/>
        <w:contextualSpacing/>
        <w:jc w:val="both"/>
        <w:rPr>
          <w:b/>
          <w:sz w:val="24"/>
          <w:szCs w:val="24"/>
        </w:rPr>
      </w:pPr>
      <w:r w:rsidRPr="00F366D2">
        <w:rPr>
          <w:sz w:val="24"/>
          <w:szCs w:val="24"/>
        </w:rPr>
        <w:t>Estudos recentes vêm com o intuito de verificar, analisar e demonstrar como se comportam os entes da União, conforme pesquisa de Campagnoni e Platt Neto (2014), e, principalmente, os Municípios, conforme pesquisas de Cesconetto e Fey (2017) e de</w:t>
      </w:r>
      <w:r w:rsidR="00DF60BC">
        <w:rPr>
          <w:sz w:val="24"/>
          <w:szCs w:val="24"/>
        </w:rPr>
        <w:t xml:space="preserve"> </w:t>
      </w:r>
      <w:r w:rsidRPr="00F366D2">
        <w:rPr>
          <w:sz w:val="24"/>
          <w:szCs w:val="24"/>
        </w:rPr>
        <w:t xml:space="preserve">Santos e Sell (2016), em relação à Despesa com pessoal, e muitos tem apontado a dificuldade dos entes do governo em cumprir os limites estabelecidos, por mais diversos motivos. Neste contexto emerge a seguinte questão de pesquisa: </w:t>
      </w:r>
      <w:r w:rsidRPr="00F366D2">
        <w:rPr>
          <w:b/>
          <w:sz w:val="24"/>
          <w:szCs w:val="24"/>
        </w:rPr>
        <w:t xml:space="preserve">Qual o nível de gastos com pessoal do poder </w:t>
      </w:r>
      <w:r>
        <w:rPr>
          <w:b/>
          <w:sz w:val="24"/>
          <w:szCs w:val="24"/>
        </w:rPr>
        <w:t>legislativo</w:t>
      </w:r>
      <w:r w:rsidRPr="00F366D2">
        <w:rPr>
          <w:b/>
          <w:sz w:val="24"/>
          <w:szCs w:val="24"/>
        </w:rPr>
        <w:t xml:space="preserve"> segundo parâmetros da Lei de Responsabilidade Fiscal?</w:t>
      </w:r>
    </w:p>
    <w:p w:rsidR="00F366D2" w:rsidRPr="00F366D2" w:rsidRDefault="00F366D2" w:rsidP="00F366D2">
      <w:pPr>
        <w:ind w:firstLine="709"/>
        <w:contextualSpacing/>
        <w:jc w:val="both"/>
        <w:rPr>
          <w:sz w:val="24"/>
          <w:szCs w:val="24"/>
        </w:rPr>
      </w:pPr>
      <w:r w:rsidRPr="00F366D2">
        <w:rPr>
          <w:sz w:val="24"/>
          <w:szCs w:val="24"/>
        </w:rPr>
        <w:t>O objetivo central desta pesquisa é analisar o cumprimento legal sobre os gastos com pessoal determinados pela a Lei de Responsabilidade Fiscal (LRF), dos órgãos que compõem o Poder Legislativo, Assembleia Legislativa e Tribunal de Contas do Estado, dos Estados da Região Sul do Brasil, entre os anos de 2010 a 2016.</w:t>
      </w:r>
    </w:p>
    <w:p w:rsidR="00F366D2" w:rsidRPr="00F366D2" w:rsidRDefault="00F366D2" w:rsidP="00F366D2">
      <w:pPr>
        <w:ind w:firstLine="709"/>
        <w:contextualSpacing/>
        <w:jc w:val="both"/>
        <w:rPr>
          <w:sz w:val="24"/>
          <w:szCs w:val="24"/>
        </w:rPr>
      </w:pPr>
      <w:r w:rsidRPr="00F366D2">
        <w:rPr>
          <w:sz w:val="24"/>
          <w:szCs w:val="24"/>
        </w:rPr>
        <w:t>Ao analisar os Poderes Legislativos, este trabalho busca trazer uma visão de como se comportam tais poderes, visto que o limite de 3% do Legislativo deve ser repartido pela Assembleia Legislativa e o Tribunal de Contas do Estado. Os três Estados foram selecionados por englobarem a segunda região do Brasil que mais contribui com o Produto Interno Bruto (PIB) do país, conforme levantamento do Instituto Brasileiro de Geografia e Estatística (IBGE) publicado em 2017. Foi considerado o período de 2010 a 2016 por serem estes os últimos dados disponíveis, e de que em 2010 fez-se dez anos da constituição da Lei Complementar de nº101, de 2000.</w:t>
      </w:r>
    </w:p>
    <w:p w:rsidR="00F366D2" w:rsidRDefault="00F366D2" w:rsidP="00F366D2">
      <w:pPr>
        <w:ind w:firstLine="709"/>
        <w:contextualSpacing/>
        <w:jc w:val="both"/>
        <w:rPr>
          <w:sz w:val="24"/>
          <w:szCs w:val="24"/>
        </w:rPr>
      </w:pPr>
      <w:r w:rsidRPr="00F366D2">
        <w:rPr>
          <w:sz w:val="24"/>
          <w:szCs w:val="24"/>
        </w:rPr>
        <w:t>Após esta introdução o trabalho segue com o referencial teórico onde foi estruturada a base legal e conceitual. Na terceira seção são apresentados os procedimentos conceituais, seguido pelos resultados do trabalho. Por fim as considerações finais são expostas na seção 5.</w:t>
      </w:r>
    </w:p>
    <w:p w:rsidR="006D0E1E" w:rsidRPr="00F366D2" w:rsidRDefault="006D0E1E" w:rsidP="00F366D2">
      <w:pPr>
        <w:ind w:firstLine="709"/>
        <w:contextualSpacing/>
        <w:jc w:val="both"/>
        <w:rPr>
          <w:sz w:val="24"/>
          <w:szCs w:val="24"/>
        </w:rPr>
      </w:pPr>
    </w:p>
    <w:p w:rsidR="00F366D2" w:rsidRPr="00F366D2" w:rsidRDefault="00DF60BC" w:rsidP="00DF60BC">
      <w:pPr>
        <w:pBdr>
          <w:top w:val="nil"/>
          <w:left w:val="nil"/>
          <w:bottom w:val="nil"/>
          <w:right w:val="nil"/>
          <w:between w:val="nil"/>
        </w:pBdr>
        <w:suppressAutoHyphens w:val="0"/>
        <w:contextualSpacing/>
        <w:rPr>
          <w:b/>
          <w:sz w:val="24"/>
          <w:szCs w:val="24"/>
        </w:rPr>
      </w:pPr>
      <w:r>
        <w:rPr>
          <w:b/>
          <w:color w:val="000000"/>
          <w:sz w:val="24"/>
          <w:szCs w:val="24"/>
        </w:rPr>
        <w:t xml:space="preserve">2 </w:t>
      </w:r>
      <w:r w:rsidR="00F366D2" w:rsidRPr="00F366D2">
        <w:rPr>
          <w:b/>
          <w:color w:val="000000"/>
          <w:sz w:val="24"/>
          <w:szCs w:val="24"/>
        </w:rPr>
        <w:t>FUNDAMENTAÇÃO TEÓRICA</w:t>
      </w:r>
    </w:p>
    <w:p w:rsidR="00DF60BC" w:rsidRDefault="00DF60BC" w:rsidP="00F366D2">
      <w:pPr>
        <w:ind w:firstLine="709"/>
        <w:contextualSpacing/>
        <w:jc w:val="both"/>
        <w:rPr>
          <w:sz w:val="24"/>
          <w:szCs w:val="24"/>
        </w:rPr>
      </w:pPr>
    </w:p>
    <w:p w:rsidR="00F366D2" w:rsidRDefault="00E074D5" w:rsidP="00DF60BC">
      <w:pPr>
        <w:ind w:firstLine="709"/>
        <w:contextualSpacing/>
        <w:jc w:val="both"/>
        <w:rPr>
          <w:sz w:val="24"/>
          <w:szCs w:val="24"/>
        </w:rPr>
      </w:pPr>
      <w:r w:rsidRPr="00EB2EBD">
        <w:rPr>
          <w:sz w:val="24"/>
          <w:szCs w:val="24"/>
        </w:rPr>
        <w:t>A Contabilidade é uma ciência que possui como objetivo o estudo do patrimônio da entidade. Kohama (2010) defende que o objetivo da Contabilidade Pública é gerir os acontecimentos que afetam as situações orçamentárias financeiras e patrimoniais das entidades públicas.</w:t>
      </w:r>
    </w:p>
    <w:p w:rsidR="00DF60BC" w:rsidRPr="00EB2EBD" w:rsidRDefault="00DF60BC" w:rsidP="00DF60BC">
      <w:pPr>
        <w:ind w:firstLine="709"/>
        <w:contextualSpacing/>
        <w:jc w:val="both"/>
        <w:rPr>
          <w:sz w:val="24"/>
          <w:szCs w:val="24"/>
        </w:rPr>
      </w:pPr>
    </w:p>
    <w:p w:rsidR="00DF60BC" w:rsidRDefault="00DF60BC">
      <w:pPr>
        <w:suppressAutoHyphens w:val="0"/>
        <w:rPr>
          <w:color w:val="000000"/>
          <w:sz w:val="24"/>
          <w:szCs w:val="24"/>
        </w:rPr>
      </w:pPr>
      <w:r>
        <w:rPr>
          <w:color w:val="000000"/>
          <w:sz w:val="24"/>
          <w:szCs w:val="24"/>
        </w:rPr>
        <w:br w:type="page"/>
      </w:r>
    </w:p>
    <w:p w:rsidR="00F366D2" w:rsidRPr="00DF60BC" w:rsidRDefault="00DF60BC" w:rsidP="00DF60BC">
      <w:pPr>
        <w:pStyle w:val="PargrafodaLista"/>
        <w:pBdr>
          <w:top w:val="nil"/>
          <w:left w:val="nil"/>
          <w:bottom w:val="nil"/>
          <w:right w:val="nil"/>
          <w:between w:val="nil"/>
        </w:pBdr>
        <w:suppressAutoHyphens w:val="0"/>
        <w:ind w:left="0"/>
        <w:rPr>
          <w:color w:val="000000"/>
          <w:sz w:val="24"/>
          <w:szCs w:val="24"/>
        </w:rPr>
      </w:pPr>
      <w:r>
        <w:rPr>
          <w:color w:val="000000"/>
          <w:sz w:val="24"/>
          <w:szCs w:val="24"/>
        </w:rPr>
        <w:lastRenderedPageBreak/>
        <w:t xml:space="preserve">2.1 </w:t>
      </w:r>
      <w:r w:rsidR="00F366D2" w:rsidRPr="00DF60BC">
        <w:rPr>
          <w:color w:val="000000"/>
          <w:sz w:val="24"/>
          <w:szCs w:val="24"/>
        </w:rPr>
        <w:t>CONTABILIDADE PÚBLICA E DESPESA PÚBLICA</w:t>
      </w:r>
    </w:p>
    <w:p w:rsidR="00DF60BC" w:rsidRDefault="00DF60BC" w:rsidP="00F366D2">
      <w:pPr>
        <w:ind w:firstLine="567"/>
        <w:jc w:val="both"/>
        <w:rPr>
          <w:sz w:val="24"/>
          <w:szCs w:val="24"/>
        </w:rPr>
      </w:pPr>
    </w:p>
    <w:p w:rsidR="00F366D2" w:rsidRPr="00F366D2" w:rsidRDefault="00E074D5" w:rsidP="00F366D2">
      <w:pPr>
        <w:ind w:firstLine="567"/>
        <w:jc w:val="both"/>
        <w:rPr>
          <w:sz w:val="24"/>
          <w:szCs w:val="24"/>
        </w:rPr>
      </w:pPr>
      <w:r w:rsidRPr="00EB2EBD">
        <w:rPr>
          <w:sz w:val="24"/>
          <w:szCs w:val="24"/>
        </w:rPr>
        <w:t>T</w:t>
      </w:r>
      <w:r w:rsidR="00F366D2" w:rsidRPr="00EB2EBD">
        <w:rPr>
          <w:sz w:val="24"/>
          <w:szCs w:val="24"/>
        </w:rPr>
        <w:t>emos que a Contabilidade Pública é considerada como uma divisão desta ciência onde se deseja uma administração voltada para o bem comum. Conforme o Manual de Contabilidade Aplicada ao Setor Público (MCASP) 2016 é importante compreender os</w:t>
      </w:r>
      <w:r w:rsidR="00F366D2" w:rsidRPr="00F366D2">
        <w:rPr>
          <w:sz w:val="24"/>
          <w:szCs w:val="24"/>
        </w:rPr>
        <w:t xml:space="preserve"> diferentes aspectos da Contabilidade Aplicada ao Setor Público (CASP) – orçamentário, patrimonial e fiscal de modo a interpretar corretamente as informações contábeis (MCASP, 201</w:t>
      </w:r>
      <w:r w:rsidR="001F2459">
        <w:rPr>
          <w:sz w:val="24"/>
          <w:szCs w:val="24"/>
        </w:rPr>
        <w:t>7</w:t>
      </w:r>
      <w:r w:rsidR="00F366D2" w:rsidRPr="00F366D2">
        <w:rPr>
          <w:sz w:val="24"/>
          <w:szCs w:val="24"/>
        </w:rPr>
        <w:t>, p.</w:t>
      </w:r>
      <w:r w:rsidR="001F2459">
        <w:rPr>
          <w:sz w:val="24"/>
          <w:szCs w:val="24"/>
        </w:rPr>
        <w:t xml:space="preserve"> </w:t>
      </w:r>
      <w:r w:rsidR="00F366D2" w:rsidRPr="00F366D2">
        <w:rPr>
          <w:sz w:val="24"/>
          <w:szCs w:val="24"/>
        </w:rPr>
        <w:t>23).</w:t>
      </w:r>
    </w:p>
    <w:p w:rsidR="00F366D2" w:rsidRPr="00F366D2" w:rsidRDefault="00F366D2" w:rsidP="00F366D2">
      <w:pPr>
        <w:ind w:firstLine="709"/>
        <w:contextualSpacing/>
        <w:jc w:val="both"/>
        <w:rPr>
          <w:sz w:val="24"/>
          <w:szCs w:val="24"/>
        </w:rPr>
      </w:pPr>
      <w:r w:rsidRPr="00F366D2">
        <w:rPr>
          <w:sz w:val="24"/>
          <w:szCs w:val="24"/>
        </w:rPr>
        <w:t>A Lei 4.320, de 17 de março de 1964, trata sobre a técnica orçamentária e contábil para obter o controle. Santos e Sell (2016) tratam que caso o gestor não obtenha um controle das despesas pode ocasionar um déficit tanto orçamentário quanto financeiro, resultando por sua vez numa gestão desestruturada. O orçamento é tratado como um instrumento, onde o administrador dispõe-se de sistemas de planejamento e finanças, para garantir o controle.</w:t>
      </w:r>
      <w:r w:rsidR="00DF60BC">
        <w:rPr>
          <w:sz w:val="24"/>
          <w:szCs w:val="24"/>
        </w:rPr>
        <w:t xml:space="preserve"> </w:t>
      </w:r>
      <w:bookmarkStart w:id="1" w:name="_Hlk517629333"/>
      <w:r w:rsidR="00151B99">
        <w:rPr>
          <w:sz w:val="24"/>
          <w:szCs w:val="24"/>
        </w:rPr>
        <w:t xml:space="preserve">Machado </w:t>
      </w:r>
      <w:r w:rsidRPr="00F366D2">
        <w:rPr>
          <w:sz w:val="24"/>
          <w:szCs w:val="24"/>
        </w:rPr>
        <w:t xml:space="preserve">Júnior e Reis (2002) </w:t>
      </w:r>
      <w:bookmarkEnd w:id="1"/>
      <w:r w:rsidRPr="00F366D2">
        <w:rPr>
          <w:sz w:val="24"/>
          <w:szCs w:val="24"/>
        </w:rPr>
        <w:t>defendem que a contabilidade, por sua vez, é a área que gera informações sobre as ações da administração. A Lei 4.320/64 delimita normas gerais de direito financeiro para elaboração e controle dos orçamentos e balanços da União, dos Estados, dos Municípios e do Distrito Federal, como é tratado no seu Art. 1º. O presente artigo tem como foco o aspecto fiscal pelo motivo de “compreender a apuração e evidenciação, por meio da contabilidade, dos indicadores estabelecidos pela LRF, dentre os quais se destacam os da despesa com pessoal”</w:t>
      </w:r>
      <w:r w:rsidR="00DF60BC">
        <w:rPr>
          <w:sz w:val="24"/>
          <w:szCs w:val="24"/>
        </w:rPr>
        <w:t>.</w:t>
      </w:r>
      <w:r w:rsidRPr="00F366D2">
        <w:rPr>
          <w:sz w:val="24"/>
          <w:szCs w:val="24"/>
        </w:rPr>
        <w:t xml:space="preserve"> (</w:t>
      </w:r>
      <w:r w:rsidR="001F2459">
        <w:rPr>
          <w:sz w:val="24"/>
          <w:szCs w:val="24"/>
        </w:rPr>
        <w:t>BRASIL</w:t>
      </w:r>
      <w:r w:rsidRPr="00F366D2">
        <w:rPr>
          <w:sz w:val="24"/>
          <w:szCs w:val="24"/>
        </w:rPr>
        <w:t>, 201</w:t>
      </w:r>
      <w:r w:rsidR="001F2459">
        <w:rPr>
          <w:sz w:val="24"/>
          <w:szCs w:val="24"/>
        </w:rPr>
        <w:t>7</w:t>
      </w:r>
      <w:r w:rsidR="0078209A">
        <w:rPr>
          <w:sz w:val="24"/>
          <w:szCs w:val="24"/>
        </w:rPr>
        <w:t>b</w:t>
      </w:r>
      <w:r w:rsidRPr="00F366D2">
        <w:rPr>
          <w:sz w:val="24"/>
          <w:szCs w:val="24"/>
        </w:rPr>
        <w:t xml:space="preserve">, p. 23). </w:t>
      </w:r>
    </w:p>
    <w:p w:rsidR="00F366D2" w:rsidRPr="00F366D2" w:rsidRDefault="00F366D2" w:rsidP="00F366D2">
      <w:pPr>
        <w:ind w:firstLine="709"/>
        <w:contextualSpacing/>
        <w:jc w:val="both"/>
        <w:rPr>
          <w:sz w:val="24"/>
          <w:szCs w:val="24"/>
        </w:rPr>
      </w:pPr>
      <w:bookmarkStart w:id="2" w:name="_Hlk517629346"/>
      <w:r w:rsidRPr="00F366D2">
        <w:rPr>
          <w:sz w:val="24"/>
          <w:szCs w:val="24"/>
        </w:rPr>
        <w:t xml:space="preserve">Pires e Platt Neto (2016) </w:t>
      </w:r>
      <w:bookmarkEnd w:id="2"/>
      <w:r w:rsidRPr="00F366D2">
        <w:rPr>
          <w:sz w:val="24"/>
          <w:szCs w:val="24"/>
        </w:rPr>
        <w:t>citam que é a partir da despesa orçamentária que o Estado operacionaliza a prestação de seus serviços, pois através dela se dá à aplicação dos recursos. Considera-se despesa pública toda forma de distribuição e emprego das receitas fixadas na lei orçamentária ou em leis específicas voltadas à manutenção do serviço público. A classificação da despesa, conforme a natureza é formada por categoria econômica, grupo de natureza da despesa e elemento de despesa (</w:t>
      </w:r>
      <w:r w:rsidR="001F2459">
        <w:rPr>
          <w:sz w:val="24"/>
          <w:szCs w:val="24"/>
        </w:rPr>
        <w:t>BRASIL</w:t>
      </w:r>
      <w:r w:rsidRPr="00F366D2">
        <w:rPr>
          <w:sz w:val="24"/>
          <w:szCs w:val="24"/>
        </w:rPr>
        <w:t>,</w:t>
      </w:r>
      <w:r w:rsidR="001F2459">
        <w:rPr>
          <w:sz w:val="24"/>
          <w:szCs w:val="24"/>
        </w:rPr>
        <w:t xml:space="preserve"> 2017</w:t>
      </w:r>
      <w:r w:rsidR="0078209A">
        <w:rPr>
          <w:sz w:val="24"/>
          <w:szCs w:val="24"/>
        </w:rPr>
        <w:t>b</w:t>
      </w:r>
      <w:r w:rsidR="001F2459">
        <w:rPr>
          <w:sz w:val="24"/>
          <w:szCs w:val="24"/>
        </w:rPr>
        <w:t>,</w:t>
      </w:r>
      <w:r w:rsidRPr="00F366D2">
        <w:rPr>
          <w:sz w:val="24"/>
          <w:szCs w:val="24"/>
        </w:rPr>
        <w:t xml:space="preserve"> p.73). A despesa orçamentária depende de uma autorização legislativa, enquanto a despesa extraorçamentária independe de tal autorização. </w:t>
      </w:r>
    </w:p>
    <w:p w:rsidR="00F366D2" w:rsidRPr="00F366D2" w:rsidRDefault="00F366D2" w:rsidP="00F366D2">
      <w:pPr>
        <w:ind w:firstLine="709"/>
        <w:contextualSpacing/>
        <w:jc w:val="both"/>
        <w:rPr>
          <w:sz w:val="24"/>
          <w:szCs w:val="24"/>
        </w:rPr>
      </w:pPr>
      <w:r w:rsidRPr="00F366D2">
        <w:rPr>
          <w:sz w:val="24"/>
          <w:szCs w:val="24"/>
        </w:rPr>
        <w:t>Kohama (2010) trata que as despesas são classificadas conforme sua categoria econômica, em correntes, voltadas para a manutenção e funcionamento do órgão, e de capital, direcionada para a aquisição ou formação de um bem de capital. As categorias são subdivididas conforme a agregação de elementos de despesa que apresentam as mesmas características quanto ao objeto de gasto, o grupo de natureza (</w:t>
      </w:r>
      <w:bookmarkStart w:id="3" w:name="_Hlk517629379"/>
      <w:r w:rsidRPr="00F366D2">
        <w:rPr>
          <w:sz w:val="24"/>
          <w:szCs w:val="24"/>
        </w:rPr>
        <w:t>STN/SOF, 2001, art. 3º, §2º</w:t>
      </w:r>
      <w:bookmarkEnd w:id="3"/>
      <w:r w:rsidRPr="00F366D2">
        <w:rPr>
          <w:sz w:val="24"/>
          <w:szCs w:val="24"/>
        </w:rPr>
        <w:t xml:space="preserve">). </w:t>
      </w:r>
      <w:r w:rsidR="00C25EBD">
        <w:rPr>
          <w:sz w:val="24"/>
          <w:szCs w:val="24"/>
        </w:rPr>
        <w:t xml:space="preserve">(BRASIL, 2001). </w:t>
      </w:r>
      <w:r w:rsidRPr="00F366D2">
        <w:rPr>
          <w:sz w:val="24"/>
          <w:szCs w:val="24"/>
        </w:rPr>
        <w:t>Estes grupos de natureza estão relacionados à Pessoal e Encargos Sociais, Juros e Encargos da Dívida, Outras Despesas Correntes, Investimentos, Inversões Financeiras e Amortização da Dívida.A Lei de Responsabilidade Fiscal está relacionada diretamente com o grupo de natureza da despesa referente à Pessoal e Encargos Sociais.</w:t>
      </w:r>
      <w:bookmarkStart w:id="4" w:name="_i9otr9nzrfip" w:colFirst="0" w:colLast="0"/>
      <w:bookmarkEnd w:id="4"/>
    </w:p>
    <w:p w:rsidR="00F366D2" w:rsidRPr="00F366D2" w:rsidRDefault="00F366D2" w:rsidP="00F366D2">
      <w:pPr>
        <w:ind w:firstLine="709"/>
        <w:contextualSpacing/>
        <w:jc w:val="both"/>
        <w:rPr>
          <w:sz w:val="24"/>
          <w:szCs w:val="24"/>
        </w:rPr>
      </w:pPr>
    </w:p>
    <w:p w:rsidR="00F366D2" w:rsidRPr="00DF60BC" w:rsidRDefault="00DF60BC" w:rsidP="00DF60BC">
      <w:pPr>
        <w:suppressAutoHyphens w:val="0"/>
        <w:jc w:val="both"/>
        <w:rPr>
          <w:sz w:val="24"/>
          <w:szCs w:val="24"/>
        </w:rPr>
      </w:pPr>
      <w:r>
        <w:rPr>
          <w:sz w:val="24"/>
          <w:szCs w:val="24"/>
        </w:rPr>
        <w:t xml:space="preserve">2.2 </w:t>
      </w:r>
      <w:r w:rsidR="00F366D2" w:rsidRPr="00DF60BC">
        <w:rPr>
          <w:sz w:val="24"/>
          <w:szCs w:val="24"/>
        </w:rPr>
        <w:t>LEI DE RESPONSABILIDADE FISCAL</w:t>
      </w:r>
    </w:p>
    <w:p w:rsidR="00DF60BC" w:rsidRDefault="00DF60BC" w:rsidP="00F366D2">
      <w:pPr>
        <w:ind w:firstLine="709"/>
        <w:contextualSpacing/>
        <w:jc w:val="both"/>
        <w:rPr>
          <w:sz w:val="24"/>
          <w:szCs w:val="24"/>
        </w:rPr>
      </w:pPr>
    </w:p>
    <w:p w:rsidR="00F366D2" w:rsidRPr="00F366D2" w:rsidRDefault="00F366D2" w:rsidP="00F366D2">
      <w:pPr>
        <w:ind w:firstLine="709"/>
        <w:contextualSpacing/>
        <w:jc w:val="both"/>
        <w:rPr>
          <w:sz w:val="24"/>
          <w:szCs w:val="24"/>
        </w:rPr>
      </w:pPr>
      <w:r w:rsidRPr="00F366D2">
        <w:rPr>
          <w:sz w:val="24"/>
          <w:szCs w:val="24"/>
        </w:rPr>
        <w:t xml:space="preserve">A busca por um controle eficaz, no que se diz respeito à Despesa com pessoal, deu-se início com a </w:t>
      </w:r>
      <w:bookmarkStart w:id="5" w:name="_Hlk517629413"/>
      <w:r w:rsidRPr="00F366D2">
        <w:rPr>
          <w:sz w:val="24"/>
          <w:szCs w:val="24"/>
        </w:rPr>
        <w:t>Constituição Federal de 1967</w:t>
      </w:r>
      <w:bookmarkEnd w:id="5"/>
      <w:r w:rsidRPr="00F366D2">
        <w:rPr>
          <w:sz w:val="24"/>
          <w:szCs w:val="24"/>
        </w:rPr>
        <w:t>, onde estabeleceu que “a despesa de pessoal da União, Estados ou Municípios não poderá exceder de cinquenta por cento das respectivas receitas correntes” (</w:t>
      </w:r>
      <w:bookmarkStart w:id="6" w:name="_Hlk517629395"/>
      <w:r w:rsidRPr="00F366D2">
        <w:rPr>
          <w:sz w:val="24"/>
          <w:szCs w:val="24"/>
        </w:rPr>
        <w:t>BRASIL, 1967, art. 66, §4</w:t>
      </w:r>
      <w:bookmarkEnd w:id="6"/>
      <w:r w:rsidRPr="00F366D2">
        <w:rPr>
          <w:sz w:val="24"/>
          <w:szCs w:val="24"/>
        </w:rPr>
        <w:t>). Souza e Platt Neto (2012), indicam que devido às proporções que tais despesas ganhavam, viu-se necessidade de constituir tais normas. Em 1988 a Constituição definiu que tal despesa não poderia exceder os limites estabelecidos em lei complementar (</w:t>
      </w:r>
      <w:bookmarkStart w:id="7" w:name="_Hlk517629427"/>
      <w:r w:rsidRPr="00F366D2">
        <w:rPr>
          <w:sz w:val="24"/>
          <w:szCs w:val="24"/>
        </w:rPr>
        <w:t>BRASIL, 1988, art. 169º</w:t>
      </w:r>
      <w:bookmarkEnd w:id="7"/>
      <w:r w:rsidRPr="00F366D2">
        <w:rPr>
          <w:sz w:val="24"/>
          <w:szCs w:val="24"/>
        </w:rPr>
        <w:t xml:space="preserve">). Sendo assim a </w:t>
      </w:r>
      <w:bookmarkStart w:id="8" w:name="_Hlk517629451"/>
      <w:r w:rsidRPr="00F366D2">
        <w:rPr>
          <w:sz w:val="24"/>
          <w:szCs w:val="24"/>
        </w:rPr>
        <w:t>Lei Complementar n.º 82/1995</w:t>
      </w:r>
      <w:bookmarkEnd w:id="8"/>
      <w:r w:rsidRPr="00F366D2">
        <w:rPr>
          <w:sz w:val="24"/>
          <w:szCs w:val="24"/>
        </w:rPr>
        <w:t xml:space="preserve">, </w:t>
      </w:r>
      <w:r w:rsidRPr="00F366D2">
        <w:rPr>
          <w:sz w:val="24"/>
          <w:szCs w:val="24"/>
        </w:rPr>
        <w:lastRenderedPageBreak/>
        <w:t>conhecida como Lei Camata, estabeleceu o limite para tal despesa, da União e dos demais entes, em sessenta por cento das respectivas receitas (</w:t>
      </w:r>
      <w:bookmarkStart w:id="9" w:name="_Hlk517629439"/>
      <w:r w:rsidRPr="00F366D2">
        <w:rPr>
          <w:sz w:val="24"/>
          <w:szCs w:val="24"/>
        </w:rPr>
        <w:t>BRASIL, 1995, art. 1º, I, II e II</w:t>
      </w:r>
      <w:bookmarkEnd w:id="9"/>
      <w:r w:rsidRPr="00F366D2">
        <w:rPr>
          <w:sz w:val="24"/>
          <w:szCs w:val="24"/>
        </w:rPr>
        <w:t>).</w:t>
      </w:r>
    </w:p>
    <w:p w:rsidR="00F366D2" w:rsidRDefault="00F366D2" w:rsidP="00543873">
      <w:pPr>
        <w:ind w:firstLine="709"/>
        <w:contextualSpacing/>
        <w:jc w:val="both"/>
        <w:rPr>
          <w:sz w:val="24"/>
          <w:szCs w:val="24"/>
        </w:rPr>
      </w:pPr>
      <w:r w:rsidRPr="00F366D2">
        <w:rPr>
          <w:sz w:val="24"/>
          <w:szCs w:val="24"/>
        </w:rPr>
        <w:t xml:space="preserve">Pires e Platt Neto (2016) trazem que o Congresso Nacional, na busca de melhor distribuição dos recursos, decretou a </w:t>
      </w:r>
      <w:bookmarkStart w:id="10" w:name="_Hlk517629498"/>
      <w:r w:rsidRPr="00F366D2">
        <w:rPr>
          <w:sz w:val="24"/>
          <w:szCs w:val="24"/>
        </w:rPr>
        <w:t>Lei Complementar n.º 96/1999</w:t>
      </w:r>
      <w:bookmarkEnd w:id="10"/>
      <w:r w:rsidRPr="00F366D2">
        <w:rPr>
          <w:sz w:val="24"/>
          <w:szCs w:val="24"/>
        </w:rPr>
        <w:t>, conhecida como Lei Camata 2, revogando assim a Lei Camata. A nova determinação era que a União não poderia ultrapassar o limite de 50%, enquanto os Estados, o Distrito Federal e os Municípios respeitariam o limite de 60% das Receitas Correntes Liquidas (RCL), (</w:t>
      </w:r>
      <w:bookmarkStart w:id="11" w:name="_Hlk517629484"/>
      <w:r w:rsidRPr="00F366D2">
        <w:rPr>
          <w:sz w:val="24"/>
          <w:szCs w:val="24"/>
        </w:rPr>
        <w:t>BRASIL, 1999</w:t>
      </w:r>
      <w:bookmarkEnd w:id="11"/>
      <w:r w:rsidRPr="00F366D2">
        <w:rPr>
          <w:sz w:val="24"/>
          <w:szCs w:val="24"/>
        </w:rPr>
        <w:t xml:space="preserve">, art. 1º, I, II e III). Tal determinação trouxe um novo conceito, a Receita Corrente Liquida, da qual se considera “o somatório das receitas tributárias, de contribuições patrimoniais, industriais, agropecuárias e de serviços e outras receitas correntes, com as transferências correntes, destas excluídas as transferências intragovernamentais”, (BRASIL, 1999, art. 2º, IV). </w:t>
      </w:r>
      <w:bookmarkStart w:id="12" w:name="_Hlk517629558"/>
      <w:r w:rsidRPr="00F366D2">
        <w:rPr>
          <w:sz w:val="24"/>
          <w:szCs w:val="24"/>
        </w:rPr>
        <w:t>Cesconetto e Fey (2017)</w:t>
      </w:r>
      <w:bookmarkEnd w:id="12"/>
      <w:r w:rsidRPr="00F366D2">
        <w:rPr>
          <w:sz w:val="24"/>
          <w:szCs w:val="24"/>
        </w:rPr>
        <w:t xml:space="preserve"> tratam que em 4 de maio de 2000, foi decretado a Lei Complementar n.º 101, conhecida como Lei de Responsabilidade Fiscal </w:t>
      </w:r>
      <w:r w:rsidR="004328FA">
        <w:rPr>
          <w:sz w:val="24"/>
          <w:szCs w:val="24"/>
        </w:rPr>
        <w:t>quês s</w:t>
      </w:r>
      <w:r w:rsidRPr="00F366D2">
        <w:rPr>
          <w:sz w:val="24"/>
          <w:szCs w:val="24"/>
        </w:rPr>
        <w:t>urgiu com a intenção de acabar com determinadas duvidas existentes na administração das finanças públicas.</w:t>
      </w:r>
    </w:p>
    <w:p w:rsidR="004328FA" w:rsidRDefault="004328FA" w:rsidP="00543873">
      <w:pPr>
        <w:jc w:val="center"/>
        <w:rPr>
          <w:sz w:val="24"/>
          <w:szCs w:val="24"/>
        </w:rPr>
      </w:pPr>
    </w:p>
    <w:p w:rsidR="004328FA" w:rsidRPr="00815417" w:rsidRDefault="004328FA" w:rsidP="00DF60BC">
      <w:pPr>
        <w:jc w:val="center"/>
        <w:rPr>
          <w:b/>
          <w:sz w:val="24"/>
          <w:szCs w:val="24"/>
        </w:rPr>
      </w:pPr>
      <w:r w:rsidRPr="00815417">
        <w:rPr>
          <w:b/>
          <w:sz w:val="24"/>
          <w:szCs w:val="24"/>
        </w:rPr>
        <w:t>Tabela 1. Repartição dos limites referente à despesa total com pessoal.</w:t>
      </w:r>
    </w:p>
    <w:tbl>
      <w:tblPr>
        <w:tblW w:w="4614" w:type="dxa"/>
        <w:jc w:val="center"/>
        <w:tblCellMar>
          <w:left w:w="70" w:type="dxa"/>
          <w:right w:w="70" w:type="dxa"/>
        </w:tblCellMar>
        <w:tblLook w:val="04A0" w:firstRow="1" w:lastRow="0" w:firstColumn="1" w:lastColumn="0" w:noHBand="0" w:noVBand="1"/>
      </w:tblPr>
      <w:tblGrid>
        <w:gridCol w:w="1408"/>
        <w:gridCol w:w="572"/>
        <w:gridCol w:w="1835"/>
        <w:gridCol w:w="799"/>
      </w:tblGrid>
      <w:tr w:rsidR="004328FA" w:rsidRPr="00DF60BC" w:rsidTr="00DF60BC">
        <w:trPr>
          <w:trHeight w:val="300"/>
          <w:jc w:val="center"/>
        </w:trPr>
        <w:tc>
          <w:tcPr>
            <w:tcW w:w="1980" w:type="dxa"/>
            <w:gridSpan w:val="2"/>
            <w:tcBorders>
              <w:top w:val="single" w:sz="4" w:space="0" w:color="auto"/>
              <w:bottom w:val="single" w:sz="4" w:space="0" w:color="auto"/>
              <w:right w:val="single" w:sz="4" w:space="0" w:color="auto"/>
            </w:tcBorders>
            <w:shd w:val="clear" w:color="000000" w:fill="D8D8D8"/>
            <w:noWrap/>
            <w:vAlign w:val="bottom"/>
            <w:hideMark/>
          </w:tcPr>
          <w:p w:rsidR="004328FA" w:rsidRPr="00DF60BC" w:rsidRDefault="004328FA" w:rsidP="00DF60BC">
            <w:pPr>
              <w:suppressAutoHyphens w:val="0"/>
              <w:jc w:val="center"/>
              <w:rPr>
                <w:color w:val="000000"/>
              </w:rPr>
            </w:pPr>
            <w:r w:rsidRPr="00DF60BC">
              <w:rPr>
                <w:color w:val="000000"/>
              </w:rPr>
              <w:t>Entes da Federação</w:t>
            </w:r>
          </w:p>
        </w:tc>
        <w:tc>
          <w:tcPr>
            <w:tcW w:w="2634" w:type="dxa"/>
            <w:gridSpan w:val="2"/>
            <w:tcBorders>
              <w:top w:val="single" w:sz="4" w:space="0" w:color="auto"/>
              <w:left w:val="nil"/>
              <w:bottom w:val="single" w:sz="4" w:space="0" w:color="auto"/>
            </w:tcBorders>
            <w:shd w:val="clear" w:color="000000" w:fill="D8D8D8"/>
            <w:noWrap/>
            <w:vAlign w:val="bottom"/>
            <w:hideMark/>
          </w:tcPr>
          <w:p w:rsidR="004328FA" w:rsidRPr="00DF60BC" w:rsidRDefault="004328FA" w:rsidP="00DF60BC">
            <w:pPr>
              <w:suppressAutoHyphens w:val="0"/>
              <w:jc w:val="center"/>
              <w:rPr>
                <w:color w:val="000000"/>
              </w:rPr>
            </w:pPr>
            <w:r w:rsidRPr="00DF60BC">
              <w:rPr>
                <w:color w:val="000000"/>
              </w:rPr>
              <w:t>Poderes</w:t>
            </w:r>
          </w:p>
        </w:tc>
      </w:tr>
      <w:tr w:rsidR="00DF60BC" w:rsidRPr="00DF60BC" w:rsidTr="00DF60BC">
        <w:trPr>
          <w:trHeight w:val="1200"/>
          <w:jc w:val="center"/>
        </w:trPr>
        <w:tc>
          <w:tcPr>
            <w:tcW w:w="1408" w:type="dxa"/>
            <w:tcBorders>
              <w:top w:val="nil"/>
              <w:bottom w:val="single" w:sz="4" w:space="0" w:color="auto"/>
              <w:right w:val="single" w:sz="4" w:space="0" w:color="auto"/>
            </w:tcBorders>
            <w:shd w:val="clear" w:color="000000" w:fill="D8D8D8"/>
            <w:noWrap/>
            <w:vAlign w:val="center"/>
            <w:hideMark/>
          </w:tcPr>
          <w:p w:rsidR="00DF60BC" w:rsidRPr="00DF60BC" w:rsidRDefault="00DF60BC" w:rsidP="00DF60BC">
            <w:pPr>
              <w:suppressAutoHyphens w:val="0"/>
              <w:jc w:val="center"/>
              <w:rPr>
                <w:color w:val="000000"/>
              </w:rPr>
            </w:pPr>
            <w:r w:rsidRPr="00DF60BC">
              <w:rPr>
                <w:color w:val="000000"/>
              </w:rPr>
              <w:t>União</w:t>
            </w:r>
          </w:p>
        </w:tc>
        <w:tc>
          <w:tcPr>
            <w:tcW w:w="572" w:type="dxa"/>
            <w:tcBorders>
              <w:top w:val="nil"/>
              <w:left w:val="single" w:sz="4" w:space="0" w:color="auto"/>
              <w:bottom w:val="single" w:sz="4" w:space="0" w:color="auto"/>
              <w:right w:val="single" w:sz="4" w:space="0" w:color="auto"/>
            </w:tcBorders>
            <w:shd w:val="clear" w:color="auto" w:fill="auto"/>
            <w:noWrap/>
            <w:vAlign w:val="center"/>
            <w:hideMark/>
          </w:tcPr>
          <w:p w:rsidR="00DF60BC" w:rsidRPr="00DF60BC" w:rsidRDefault="00DF60BC" w:rsidP="00DF60BC">
            <w:pPr>
              <w:suppressAutoHyphens w:val="0"/>
              <w:jc w:val="center"/>
              <w:rPr>
                <w:color w:val="000000"/>
              </w:rPr>
            </w:pPr>
            <w:r w:rsidRPr="00DF60BC">
              <w:rPr>
                <w:color w:val="000000"/>
              </w:rPr>
              <w:t>50%</w:t>
            </w:r>
          </w:p>
        </w:tc>
        <w:tc>
          <w:tcPr>
            <w:tcW w:w="1835" w:type="dxa"/>
            <w:tcBorders>
              <w:top w:val="nil"/>
              <w:left w:val="nil"/>
              <w:bottom w:val="single" w:sz="4" w:space="0" w:color="auto"/>
              <w:right w:val="single" w:sz="4" w:space="0" w:color="auto"/>
            </w:tcBorders>
            <w:shd w:val="clear" w:color="000000" w:fill="D8D8D8"/>
            <w:noWrap/>
            <w:vAlign w:val="bottom"/>
            <w:hideMark/>
          </w:tcPr>
          <w:p w:rsidR="00DF60BC" w:rsidRPr="00DF60BC" w:rsidRDefault="00DF60BC" w:rsidP="00DF60BC">
            <w:pPr>
              <w:suppressAutoHyphens w:val="0"/>
              <w:rPr>
                <w:color w:val="000000"/>
              </w:rPr>
            </w:pPr>
            <w:r w:rsidRPr="00DF60BC">
              <w:rPr>
                <w:color w:val="000000"/>
              </w:rPr>
              <w:t>Legislativo</w:t>
            </w:r>
          </w:p>
          <w:p w:rsidR="00DF60BC" w:rsidRPr="00DF60BC" w:rsidRDefault="00DF60BC" w:rsidP="00DF60BC">
            <w:pPr>
              <w:suppressAutoHyphens w:val="0"/>
              <w:rPr>
                <w:color w:val="000000"/>
              </w:rPr>
            </w:pPr>
            <w:r w:rsidRPr="00DF60BC">
              <w:rPr>
                <w:color w:val="000000"/>
              </w:rPr>
              <w:t>Judiciário</w:t>
            </w:r>
          </w:p>
          <w:p w:rsidR="00DF60BC" w:rsidRPr="00DF60BC" w:rsidRDefault="00DF60BC" w:rsidP="00DF60BC">
            <w:pPr>
              <w:suppressAutoHyphens w:val="0"/>
              <w:rPr>
                <w:color w:val="000000"/>
              </w:rPr>
            </w:pPr>
            <w:r w:rsidRPr="00DF60BC">
              <w:rPr>
                <w:color w:val="000000"/>
              </w:rPr>
              <w:t>Executivo</w:t>
            </w:r>
          </w:p>
          <w:p w:rsidR="00DF60BC" w:rsidRPr="00DF60BC" w:rsidRDefault="00DF60BC" w:rsidP="00DF60BC">
            <w:pPr>
              <w:rPr>
                <w:color w:val="000000"/>
              </w:rPr>
            </w:pPr>
            <w:r w:rsidRPr="00DF60BC">
              <w:rPr>
                <w:color w:val="000000"/>
              </w:rPr>
              <w:t>Ministério Público</w:t>
            </w:r>
          </w:p>
        </w:tc>
        <w:tc>
          <w:tcPr>
            <w:tcW w:w="799" w:type="dxa"/>
            <w:tcBorders>
              <w:top w:val="nil"/>
              <w:left w:val="nil"/>
              <w:bottom w:val="single" w:sz="4" w:space="0" w:color="auto"/>
            </w:tcBorders>
            <w:shd w:val="clear" w:color="auto" w:fill="auto"/>
            <w:noWrap/>
            <w:vAlign w:val="bottom"/>
            <w:hideMark/>
          </w:tcPr>
          <w:p w:rsidR="00DF60BC" w:rsidRPr="00DF60BC" w:rsidRDefault="00DF60BC" w:rsidP="00DF60BC">
            <w:pPr>
              <w:suppressAutoHyphens w:val="0"/>
              <w:jc w:val="right"/>
              <w:rPr>
                <w:color w:val="000000"/>
              </w:rPr>
            </w:pPr>
            <w:r w:rsidRPr="00DF60BC">
              <w:rPr>
                <w:color w:val="000000"/>
              </w:rPr>
              <w:t>2,50%</w:t>
            </w:r>
          </w:p>
          <w:p w:rsidR="00DF60BC" w:rsidRPr="00DF60BC" w:rsidRDefault="00DF60BC" w:rsidP="00DF60BC">
            <w:pPr>
              <w:suppressAutoHyphens w:val="0"/>
              <w:jc w:val="right"/>
              <w:rPr>
                <w:color w:val="000000"/>
              </w:rPr>
            </w:pPr>
            <w:r w:rsidRPr="00DF60BC">
              <w:rPr>
                <w:color w:val="000000"/>
              </w:rPr>
              <w:t>6%</w:t>
            </w:r>
          </w:p>
          <w:p w:rsidR="00DF60BC" w:rsidRPr="00DF60BC" w:rsidRDefault="00DF60BC" w:rsidP="00DF60BC">
            <w:pPr>
              <w:suppressAutoHyphens w:val="0"/>
              <w:jc w:val="right"/>
              <w:rPr>
                <w:color w:val="000000"/>
              </w:rPr>
            </w:pPr>
            <w:r w:rsidRPr="00DF60BC">
              <w:rPr>
                <w:color w:val="000000"/>
              </w:rPr>
              <w:t>40,90%</w:t>
            </w:r>
          </w:p>
          <w:p w:rsidR="00DF60BC" w:rsidRPr="00DF60BC" w:rsidRDefault="00DF60BC" w:rsidP="00DF60BC">
            <w:pPr>
              <w:jc w:val="right"/>
              <w:rPr>
                <w:color w:val="000000"/>
              </w:rPr>
            </w:pPr>
            <w:r w:rsidRPr="00DF60BC">
              <w:rPr>
                <w:color w:val="000000"/>
              </w:rPr>
              <w:t>0,60%</w:t>
            </w:r>
          </w:p>
        </w:tc>
      </w:tr>
      <w:tr w:rsidR="00DF60BC" w:rsidRPr="00DF60BC" w:rsidTr="00DF60BC">
        <w:trPr>
          <w:trHeight w:val="915"/>
          <w:jc w:val="center"/>
        </w:trPr>
        <w:tc>
          <w:tcPr>
            <w:tcW w:w="1408" w:type="dxa"/>
            <w:vMerge w:val="restart"/>
            <w:tcBorders>
              <w:top w:val="nil"/>
              <w:bottom w:val="single" w:sz="4" w:space="0" w:color="auto"/>
              <w:right w:val="single" w:sz="4" w:space="0" w:color="auto"/>
            </w:tcBorders>
            <w:shd w:val="clear" w:color="000000" w:fill="D8D8D8"/>
            <w:noWrap/>
            <w:vAlign w:val="center"/>
            <w:hideMark/>
          </w:tcPr>
          <w:p w:rsidR="00DF60BC" w:rsidRPr="00DF60BC" w:rsidRDefault="00DF60BC" w:rsidP="00DF60BC">
            <w:pPr>
              <w:suppressAutoHyphens w:val="0"/>
              <w:jc w:val="center"/>
              <w:rPr>
                <w:color w:val="000000"/>
              </w:rPr>
            </w:pPr>
            <w:r w:rsidRPr="00DF60BC">
              <w:rPr>
                <w:color w:val="000000"/>
              </w:rPr>
              <w:t>Estados</w:t>
            </w:r>
          </w:p>
        </w:tc>
        <w:tc>
          <w:tcPr>
            <w:tcW w:w="57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F60BC" w:rsidRPr="00DF60BC" w:rsidRDefault="00DF60BC" w:rsidP="00DF60BC">
            <w:pPr>
              <w:suppressAutoHyphens w:val="0"/>
              <w:jc w:val="center"/>
              <w:rPr>
                <w:color w:val="000000"/>
              </w:rPr>
            </w:pPr>
            <w:r w:rsidRPr="00DF60BC">
              <w:rPr>
                <w:color w:val="000000"/>
              </w:rPr>
              <w:t>60%</w:t>
            </w:r>
          </w:p>
        </w:tc>
        <w:tc>
          <w:tcPr>
            <w:tcW w:w="1835" w:type="dxa"/>
            <w:vMerge w:val="restart"/>
            <w:tcBorders>
              <w:top w:val="single" w:sz="4" w:space="0" w:color="auto"/>
              <w:left w:val="nil"/>
              <w:right w:val="single" w:sz="4" w:space="0" w:color="auto"/>
            </w:tcBorders>
            <w:shd w:val="clear" w:color="000000" w:fill="D8D8D8"/>
            <w:noWrap/>
            <w:vAlign w:val="bottom"/>
            <w:hideMark/>
          </w:tcPr>
          <w:p w:rsidR="00DF60BC" w:rsidRPr="00DF60BC" w:rsidRDefault="00DF60BC" w:rsidP="00DF60BC">
            <w:pPr>
              <w:suppressAutoHyphens w:val="0"/>
              <w:rPr>
                <w:color w:val="000000"/>
              </w:rPr>
            </w:pPr>
            <w:r w:rsidRPr="00DF60BC">
              <w:rPr>
                <w:color w:val="000000"/>
              </w:rPr>
              <w:t>Legislativo</w:t>
            </w:r>
          </w:p>
          <w:p w:rsidR="00DF60BC" w:rsidRPr="00DF60BC" w:rsidRDefault="00DF60BC" w:rsidP="00DF60BC">
            <w:pPr>
              <w:rPr>
                <w:color w:val="000000"/>
              </w:rPr>
            </w:pPr>
            <w:r w:rsidRPr="00DF60BC">
              <w:rPr>
                <w:color w:val="000000"/>
              </w:rPr>
              <w:t>Judiciário</w:t>
            </w:r>
          </w:p>
          <w:p w:rsidR="00DF60BC" w:rsidRPr="00DF60BC" w:rsidRDefault="00DF60BC" w:rsidP="00DF60BC">
            <w:pPr>
              <w:rPr>
                <w:color w:val="000000"/>
              </w:rPr>
            </w:pPr>
            <w:r w:rsidRPr="00DF60BC">
              <w:rPr>
                <w:color w:val="000000"/>
              </w:rPr>
              <w:t>Executivo</w:t>
            </w:r>
          </w:p>
          <w:p w:rsidR="00DF60BC" w:rsidRPr="00DF60BC" w:rsidRDefault="00DF60BC" w:rsidP="00DF60BC">
            <w:pPr>
              <w:rPr>
                <w:color w:val="000000"/>
              </w:rPr>
            </w:pPr>
            <w:r w:rsidRPr="00DF60BC">
              <w:rPr>
                <w:color w:val="000000"/>
              </w:rPr>
              <w:t>Ministério Público</w:t>
            </w:r>
          </w:p>
        </w:tc>
        <w:tc>
          <w:tcPr>
            <w:tcW w:w="799" w:type="dxa"/>
            <w:tcBorders>
              <w:top w:val="single" w:sz="4" w:space="0" w:color="auto"/>
              <w:left w:val="nil"/>
            </w:tcBorders>
            <w:shd w:val="clear" w:color="auto" w:fill="auto"/>
            <w:noWrap/>
            <w:vAlign w:val="bottom"/>
            <w:hideMark/>
          </w:tcPr>
          <w:p w:rsidR="00DF60BC" w:rsidRPr="00DF60BC" w:rsidRDefault="00DF60BC" w:rsidP="00DF60BC">
            <w:pPr>
              <w:suppressAutoHyphens w:val="0"/>
              <w:jc w:val="right"/>
              <w:rPr>
                <w:color w:val="000000"/>
              </w:rPr>
            </w:pPr>
            <w:r w:rsidRPr="00DF60BC">
              <w:rPr>
                <w:color w:val="000000"/>
              </w:rPr>
              <w:t>3%</w:t>
            </w:r>
          </w:p>
          <w:p w:rsidR="00DF60BC" w:rsidRPr="00DF60BC" w:rsidRDefault="00DF60BC" w:rsidP="00DF60BC">
            <w:pPr>
              <w:jc w:val="right"/>
              <w:rPr>
                <w:color w:val="000000"/>
              </w:rPr>
            </w:pPr>
            <w:r w:rsidRPr="00DF60BC">
              <w:rPr>
                <w:color w:val="000000"/>
              </w:rPr>
              <w:t>6%</w:t>
            </w:r>
          </w:p>
          <w:p w:rsidR="00DF60BC" w:rsidRPr="00DF60BC" w:rsidRDefault="00DF60BC" w:rsidP="00DF60BC">
            <w:pPr>
              <w:jc w:val="right"/>
              <w:rPr>
                <w:color w:val="000000"/>
              </w:rPr>
            </w:pPr>
            <w:r w:rsidRPr="00DF60BC">
              <w:rPr>
                <w:color w:val="000000"/>
              </w:rPr>
              <w:t>49%</w:t>
            </w:r>
          </w:p>
        </w:tc>
      </w:tr>
      <w:tr w:rsidR="00DF60BC" w:rsidRPr="00DF60BC" w:rsidTr="00DF60BC">
        <w:trPr>
          <w:trHeight w:val="300"/>
          <w:jc w:val="center"/>
        </w:trPr>
        <w:tc>
          <w:tcPr>
            <w:tcW w:w="1408" w:type="dxa"/>
            <w:vMerge/>
            <w:tcBorders>
              <w:top w:val="nil"/>
              <w:bottom w:val="single" w:sz="4" w:space="0" w:color="auto"/>
              <w:right w:val="single" w:sz="4" w:space="0" w:color="auto"/>
            </w:tcBorders>
            <w:vAlign w:val="center"/>
            <w:hideMark/>
          </w:tcPr>
          <w:p w:rsidR="00DF60BC" w:rsidRPr="00DF60BC" w:rsidRDefault="00DF60BC" w:rsidP="00DF60BC">
            <w:pPr>
              <w:suppressAutoHyphens w:val="0"/>
              <w:rPr>
                <w:color w:val="000000"/>
              </w:rPr>
            </w:pPr>
          </w:p>
        </w:tc>
        <w:tc>
          <w:tcPr>
            <w:tcW w:w="572" w:type="dxa"/>
            <w:vMerge/>
            <w:tcBorders>
              <w:top w:val="nil"/>
              <w:left w:val="single" w:sz="4" w:space="0" w:color="auto"/>
              <w:bottom w:val="single" w:sz="4" w:space="0" w:color="auto"/>
              <w:right w:val="single" w:sz="4" w:space="0" w:color="auto"/>
            </w:tcBorders>
            <w:vAlign w:val="center"/>
            <w:hideMark/>
          </w:tcPr>
          <w:p w:rsidR="00DF60BC" w:rsidRPr="00DF60BC" w:rsidRDefault="00DF60BC" w:rsidP="00DF60BC">
            <w:pPr>
              <w:suppressAutoHyphens w:val="0"/>
              <w:rPr>
                <w:color w:val="000000"/>
              </w:rPr>
            </w:pPr>
          </w:p>
        </w:tc>
        <w:tc>
          <w:tcPr>
            <w:tcW w:w="1835" w:type="dxa"/>
            <w:vMerge/>
            <w:tcBorders>
              <w:left w:val="nil"/>
              <w:bottom w:val="single" w:sz="4" w:space="0" w:color="auto"/>
              <w:right w:val="single" w:sz="4" w:space="0" w:color="auto"/>
            </w:tcBorders>
            <w:shd w:val="clear" w:color="000000" w:fill="D8D8D8"/>
            <w:noWrap/>
            <w:vAlign w:val="bottom"/>
            <w:hideMark/>
          </w:tcPr>
          <w:p w:rsidR="00DF60BC" w:rsidRPr="00DF60BC" w:rsidRDefault="00DF60BC" w:rsidP="00DF60BC">
            <w:pPr>
              <w:suppressAutoHyphens w:val="0"/>
              <w:rPr>
                <w:color w:val="000000"/>
              </w:rPr>
            </w:pPr>
          </w:p>
        </w:tc>
        <w:tc>
          <w:tcPr>
            <w:tcW w:w="799" w:type="dxa"/>
            <w:tcBorders>
              <w:top w:val="nil"/>
              <w:left w:val="nil"/>
              <w:bottom w:val="single" w:sz="4" w:space="0" w:color="auto"/>
            </w:tcBorders>
            <w:shd w:val="clear" w:color="auto" w:fill="auto"/>
            <w:noWrap/>
            <w:vAlign w:val="bottom"/>
            <w:hideMark/>
          </w:tcPr>
          <w:p w:rsidR="00DF60BC" w:rsidRPr="00DF60BC" w:rsidRDefault="00DF60BC" w:rsidP="00DF60BC">
            <w:pPr>
              <w:suppressAutoHyphens w:val="0"/>
              <w:jc w:val="right"/>
              <w:rPr>
                <w:color w:val="000000"/>
              </w:rPr>
            </w:pPr>
            <w:r w:rsidRPr="00DF60BC">
              <w:rPr>
                <w:color w:val="000000"/>
              </w:rPr>
              <w:t>2%</w:t>
            </w:r>
          </w:p>
        </w:tc>
      </w:tr>
      <w:tr w:rsidR="00DF60BC" w:rsidRPr="00DF60BC" w:rsidTr="00DF60BC">
        <w:trPr>
          <w:trHeight w:val="600"/>
          <w:jc w:val="center"/>
        </w:trPr>
        <w:tc>
          <w:tcPr>
            <w:tcW w:w="1408" w:type="dxa"/>
            <w:tcBorders>
              <w:top w:val="nil"/>
              <w:bottom w:val="single" w:sz="4" w:space="0" w:color="auto"/>
              <w:right w:val="single" w:sz="4" w:space="0" w:color="auto"/>
            </w:tcBorders>
            <w:shd w:val="clear" w:color="000000" w:fill="D8D8D8"/>
            <w:noWrap/>
            <w:vAlign w:val="center"/>
            <w:hideMark/>
          </w:tcPr>
          <w:p w:rsidR="00DF60BC" w:rsidRPr="00DF60BC" w:rsidRDefault="00DF60BC" w:rsidP="00DF60BC">
            <w:pPr>
              <w:suppressAutoHyphens w:val="0"/>
              <w:jc w:val="center"/>
              <w:rPr>
                <w:color w:val="000000"/>
              </w:rPr>
            </w:pPr>
            <w:r w:rsidRPr="00DF60BC">
              <w:rPr>
                <w:color w:val="000000"/>
              </w:rPr>
              <w:t>Municípios</w:t>
            </w:r>
          </w:p>
        </w:tc>
        <w:tc>
          <w:tcPr>
            <w:tcW w:w="572" w:type="dxa"/>
            <w:tcBorders>
              <w:top w:val="nil"/>
              <w:left w:val="single" w:sz="4" w:space="0" w:color="auto"/>
              <w:bottom w:val="single" w:sz="4" w:space="0" w:color="auto"/>
              <w:right w:val="single" w:sz="4" w:space="0" w:color="auto"/>
            </w:tcBorders>
            <w:shd w:val="clear" w:color="auto" w:fill="auto"/>
            <w:noWrap/>
            <w:vAlign w:val="center"/>
            <w:hideMark/>
          </w:tcPr>
          <w:p w:rsidR="00DF60BC" w:rsidRPr="00DF60BC" w:rsidRDefault="00DF60BC" w:rsidP="00DF60BC">
            <w:pPr>
              <w:suppressAutoHyphens w:val="0"/>
              <w:jc w:val="center"/>
              <w:rPr>
                <w:color w:val="000000"/>
              </w:rPr>
            </w:pPr>
            <w:r w:rsidRPr="00DF60BC">
              <w:rPr>
                <w:color w:val="000000"/>
              </w:rPr>
              <w:t>60%</w:t>
            </w:r>
          </w:p>
        </w:tc>
        <w:tc>
          <w:tcPr>
            <w:tcW w:w="1835" w:type="dxa"/>
            <w:tcBorders>
              <w:top w:val="nil"/>
              <w:left w:val="nil"/>
              <w:right w:val="single" w:sz="4" w:space="0" w:color="auto"/>
            </w:tcBorders>
            <w:shd w:val="clear" w:color="000000" w:fill="D8D8D8"/>
            <w:noWrap/>
            <w:vAlign w:val="bottom"/>
            <w:hideMark/>
          </w:tcPr>
          <w:p w:rsidR="00DF60BC" w:rsidRPr="00DF60BC" w:rsidRDefault="00DF60BC" w:rsidP="00DF60BC">
            <w:pPr>
              <w:suppressAutoHyphens w:val="0"/>
              <w:rPr>
                <w:color w:val="000000"/>
              </w:rPr>
            </w:pPr>
            <w:r w:rsidRPr="00DF60BC">
              <w:rPr>
                <w:color w:val="000000"/>
              </w:rPr>
              <w:t>Legislativo</w:t>
            </w:r>
          </w:p>
          <w:p w:rsidR="00DF60BC" w:rsidRPr="00DF60BC" w:rsidRDefault="00DF60BC" w:rsidP="00DF60BC">
            <w:pPr>
              <w:rPr>
                <w:color w:val="000000"/>
              </w:rPr>
            </w:pPr>
            <w:r w:rsidRPr="00DF60BC">
              <w:rPr>
                <w:color w:val="000000"/>
              </w:rPr>
              <w:t>Executivo</w:t>
            </w:r>
          </w:p>
        </w:tc>
        <w:tc>
          <w:tcPr>
            <w:tcW w:w="799" w:type="dxa"/>
            <w:tcBorders>
              <w:top w:val="nil"/>
              <w:left w:val="nil"/>
            </w:tcBorders>
            <w:shd w:val="clear" w:color="auto" w:fill="auto"/>
            <w:noWrap/>
            <w:vAlign w:val="bottom"/>
            <w:hideMark/>
          </w:tcPr>
          <w:p w:rsidR="00DF60BC" w:rsidRPr="00DF60BC" w:rsidRDefault="00DF60BC" w:rsidP="00DF60BC">
            <w:pPr>
              <w:suppressAutoHyphens w:val="0"/>
              <w:jc w:val="right"/>
              <w:rPr>
                <w:color w:val="000000"/>
              </w:rPr>
            </w:pPr>
            <w:r w:rsidRPr="00DF60BC">
              <w:rPr>
                <w:color w:val="000000"/>
              </w:rPr>
              <w:t>6%</w:t>
            </w:r>
          </w:p>
          <w:p w:rsidR="00DF60BC" w:rsidRPr="00DF60BC" w:rsidRDefault="00DF60BC" w:rsidP="00DF60BC">
            <w:pPr>
              <w:jc w:val="right"/>
              <w:rPr>
                <w:color w:val="000000"/>
              </w:rPr>
            </w:pPr>
            <w:r w:rsidRPr="00DF60BC">
              <w:rPr>
                <w:color w:val="000000"/>
              </w:rPr>
              <w:t>54%</w:t>
            </w:r>
          </w:p>
        </w:tc>
      </w:tr>
    </w:tbl>
    <w:p w:rsidR="005E73E2" w:rsidRPr="00EB2EBD" w:rsidRDefault="004328FA" w:rsidP="004328FA">
      <w:pPr>
        <w:ind w:firstLine="709"/>
        <w:contextualSpacing/>
        <w:jc w:val="center"/>
        <w:rPr>
          <w:color w:val="FF0000"/>
        </w:rPr>
      </w:pPr>
      <w:r w:rsidRPr="00EB2EBD">
        <w:t>Fonte: Elaborado pelos autores com base na Lei de Responsabilidade Fiscal</w:t>
      </w:r>
    </w:p>
    <w:p w:rsidR="00111C37" w:rsidRPr="00EB2EBD" w:rsidRDefault="00111C37" w:rsidP="00F366D2">
      <w:pPr>
        <w:ind w:firstLine="709"/>
        <w:contextualSpacing/>
        <w:jc w:val="both"/>
        <w:rPr>
          <w:color w:val="FF0000"/>
          <w:sz w:val="24"/>
          <w:szCs w:val="24"/>
        </w:rPr>
      </w:pPr>
    </w:p>
    <w:p w:rsidR="00016019" w:rsidRDefault="004328FA" w:rsidP="00F366D2">
      <w:pPr>
        <w:ind w:firstLine="709"/>
        <w:contextualSpacing/>
        <w:jc w:val="both"/>
        <w:rPr>
          <w:sz w:val="24"/>
          <w:szCs w:val="24"/>
        </w:rPr>
      </w:pPr>
      <w:r w:rsidRPr="00EB2EBD">
        <w:rPr>
          <w:sz w:val="24"/>
          <w:szCs w:val="24"/>
        </w:rPr>
        <w:t>Cabe frisar que se entende como órgão,</w:t>
      </w:r>
      <w:r w:rsidR="00ED0893" w:rsidRPr="00EB2EBD">
        <w:rPr>
          <w:sz w:val="24"/>
          <w:szCs w:val="24"/>
        </w:rPr>
        <w:t xml:space="preserve"> </w:t>
      </w:r>
      <w:r w:rsidRPr="00EB2EBD">
        <w:rPr>
          <w:sz w:val="24"/>
          <w:szCs w:val="24"/>
        </w:rPr>
        <w:t>no que compõem o Poder legislativo, na esfera federa</w:t>
      </w:r>
      <w:r w:rsidR="00ED0893" w:rsidRPr="00EB2EBD">
        <w:rPr>
          <w:sz w:val="24"/>
          <w:szCs w:val="24"/>
        </w:rPr>
        <w:t>l</w:t>
      </w:r>
      <w:r w:rsidRPr="00EB2EBD">
        <w:rPr>
          <w:sz w:val="24"/>
          <w:szCs w:val="24"/>
        </w:rPr>
        <w:t xml:space="preserve"> as respectivas casas e o Tribunal de contas da União, na es</w:t>
      </w:r>
      <w:r w:rsidR="00ED0893" w:rsidRPr="00EB2EBD">
        <w:rPr>
          <w:sz w:val="24"/>
          <w:szCs w:val="24"/>
        </w:rPr>
        <w:t>fera estadual a Assembleia Legislativa e os Tribunais de Conta, do Distrito Federal a Câmera Legislativa e o Tribunal de Contas do Distrito Federal e na esfera municipal a Câmara de Vereadores e o Tribunal de Contas do Município, quando houver. Enquanto no Poder Judiciário deve-se considerar na esfera federal os tribunais referidos no art. 92 da Constituição e na esfera estadual o Tribunal de Justiça e outros, quando houver (BRASIL, 2000, art. 20, §2º).</w:t>
      </w:r>
    </w:p>
    <w:p w:rsidR="00F366D2" w:rsidRDefault="00F366D2" w:rsidP="00F366D2">
      <w:pPr>
        <w:ind w:firstLine="709"/>
        <w:contextualSpacing/>
        <w:jc w:val="both"/>
        <w:rPr>
          <w:sz w:val="24"/>
          <w:szCs w:val="24"/>
        </w:rPr>
      </w:pPr>
      <w:r w:rsidRPr="00F366D2">
        <w:rPr>
          <w:sz w:val="24"/>
          <w:szCs w:val="24"/>
        </w:rPr>
        <w:t xml:space="preserve">Dos Santos e Sell (2016) trazem que a contabilidade é atualizada conforme criação de novas legislações, buscando atender a necessidade da sociedade. Atualmente a sociedade esta preocupada com o controle público, sendo assim o foco maior é a </w:t>
      </w:r>
      <w:r w:rsidR="00C1772C" w:rsidRPr="00F366D2">
        <w:rPr>
          <w:sz w:val="24"/>
          <w:szCs w:val="24"/>
        </w:rPr>
        <w:t xml:space="preserve">transparência. </w:t>
      </w:r>
      <w:bookmarkStart w:id="13" w:name="_Hlk517629581"/>
      <w:r w:rsidRPr="00F366D2">
        <w:rPr>
          <w:sz w:val="24"/>
          <w:szCs w:val="24"/>
        </w:rPr>
        <w:t>Campagnoni e</w:t>
      </w:r>
      <w:r w:rsidR="00C1772C">
        <w:rPr>
          <w:sz w:val="24"/>
          <w:szCs w:val="24"/>
        </w:rPr>
        <w:t xml:space="preserve"> </w:t>
      </w:r>
      <w:r w:rsidRPr="00F366D2">
        <w:rPr>
          <w:sz w:val="24"/>
          <w:szCs w:val="24"/>
        </w:rPr>
        <w:t xml:space="preserve">Platt Neto (2014) </w:t>
      </w:r>
      <w:bookmarkEnd w:id="13"/>
      <w:r w:rsidRPr="00F366D2">
        <w:rPr>
          <w:sz w:val="24"/>
          <w:szCs w:val="24"/>
        </w:rPr>
        <w:t>citam que “</w:t>
      </w:r>
      <w:r w:rsidR="0011592D">
        <w:rPr>
          <w:sz w:val="24"/>
          <w:szCs w:val="24"/>
        </w:rPr>
        <w:t xml:space="preserve">[...] </w:t>
      </w:r>
      <w:r w:rsidRPr="00F366D2">
        <w:rPr>
          <w:sz w:val="24"/>
          <w:szCs w:val="24"/>
        </w:rPr>
        <w:t>a LRF reforça o controle sobre os gestores de modo que o equilíbrio orçamentário seja mantido, mas que todas as despesas necessárias na administração pública sejam contempladas”. Tal relatório dispõe que ao final de cada quadrimestre os titulares de Poderes e órgãos emitirão o Relatório de Gestão Fiscal (RGF).</w:t>
      </w:r>
    </w:p>
    <w:p w:rsidR="00DF60BC" w:rsidRPr="00F366D2" w:rsidRDefault="00DF60BC" w:rsidP="00F366D2">
      <w:pPr>
        <w:ind w:firstLine="709"/>
        <w:contextualSpacing/>
        <w:jc w:val="both"/>
        <w:rPr>
          <w:sz w:val="24"/>
          <w:szCs w:val="24"/>
        </w:rPr>
      </w:pPr>
    </w:p>
    <w:p w:rsidR="00F366D2" w:rsidRPr="00DF60BC" w:rsidRDefault="00DF60BC" w:rsidP="00DF60BC">
      <w:pPr>
        <w:suppressAutoHyphens w:val="0"/>
        <w:jc w:val="both"/>
        <w:rPr>
          <w:vanish/>
          <w:sz w:val="24"/>
          <w:szCs w:val="24"/>
        </w:rPr>
      </w:pPr>
      <w:r w:rsidRPr="00DF60BC">
        <w:rPr>
          <w:vanish/>
          <w:sz w:val="24"/>
          <w:szCs w:val="24"/>
        </w:rPr>
        <w:t xml:space="preserve">2.3 </w:t>
      </w:r>
      <w:r w:rsidR="00F366D2" w:rsidRPr="00DF60BC">
        <w:rPr>
          <w:vanish/>
          <w:sz w:val="24"/>
          <w:szCs w:val="24"/>
        </w:rPr>
        <w:t>RELATÓRIO DE GESTÃO FISCAL</w:t>
      </w:r>
    </w:p>
    <w:p w:rsidR="00DF60BC" w:rsidRDefault="00DF60BC" w:rsidP="00F366D2">
      <w:pPr>
        <w:ind w:firstLine="709"/>
        <w:contextualSpacing/>
        <w:jc w:val="both"/>
        <w:rPr>
          <w:sz w:val="24"/>
          <w:szCs w:val="24"/>
        </w:rPr>
      </w:pPr>
    </w:p>
    <w:p w:rsidR="00F366D2" w:rsidRDefault="00F366D2" w:rsidP="00F366D2">
      <w:pPr>
        <w:ind w:firstLine="709"/>
        <w:contextualSpacing/>
        <w:jc w:val="both"/>
        <w:rPr>
          <w:sz w:val="24"/>
          <w:szCs w:val="24"/>
        </w:rPr>
      </w:pPr>
      <w:r w:rsidRPr="00F366D2">
        <w:rPr>
          <w:sz w:val="24"/>
          <w:szCs w:val="24"/>
        </w:rPr>
        <w:lastRenderedPageBreak/>
        <w:t>O RGF é um dos instrumentos da Lei de Responsabilidade Fiscal, onde seu objetivo é o controle, monitoramento e publicidade do cumprimento dos limites estabelecidos por tal lei (STN). Tal relatório deverá ser publicado e disponibilizado ao publico até 30 (trinta) dias do encerramento do período, por exemplo, primeiro quadrimestre o prazo é até o dia 30 de maio, para o segundo quadrimestre o prazo é dia 30 de setembro e o terceiro quadrimestre até o dia 30 de janeiro. O conceito sobre a Despesa Total com Pessoal (DTP), tratado pela LRF é (BRASIL, 2000, art. 18, caput):</w:t>
      </w:r>
    </w:p>
    <w:p w:rsidR="0011592D" w:rsidRPr="00F366D2" w:rsidRDefault="0011592D" w:rsidP="00F366D2">
      <w:pPr>
        <w:ind w:firstLine="709"/>
        <w:contextualSpacing/>
        <w:jc w:val="both"/>
        <w:rPr>
          <w:sz w:val="24"/>
          <w:szCs w:val="24"/>
        </w:rPr>
      </w:pPr>
    </w:p>
    <w:p w:rsidR="00F366D2" w:rsidRPr="00F366D2" w:rsidRDefault="00F366D2" w:rsidP="00F366D2">
      <w:pPr>
        <w:ind w:left="2268"/>
        <w:contextualSpacing/>
        <w:jc w:val="both"/>
        <w:rPr>
          <w:sz w:val="24"/>
          <w:szCs w:val="24"/>
        </w:rPr>
      </w:pPr>
      <w:r w:rsidRPr="00F366D2">
        <w:t>[...] o somatório dos gastos do ente da Federação com os ativos, os inativos e os pensionistas, relativos a mandatos efetivos, cargos, funções ou empregos, civis, militares e de membros do Poder, com quaisquer espécies remuneratórias, tais como vencimento e vantagens, fixas e variáveis, subsídios, proventos da aposentadoria, reformas e pensões, inclusive adicionais, gratificações, horas extras e vantagens pessoais de qualquer natureza, bem como encargos sociais e contribuições recolhidas pelo ente às entidades de previdência</w:t>
      </w:r>
      <w:r w:rsidRPr="00F366D2">
        <w:rPr>
          <w:sz w:val="24"/>
          <w:szCs w:val="24"/>
        </w:rPr>
        <w:t xml:space="preserve">. </w:t>
      </w:r>
    </w:p>
    <w:p w:rsidR="0011592D" w:rsidRDefault="0011592D" w:rsidP="00F366D2">
      <w:pPr>
        <w:ind w:firstLine="709"/>
        <w:contextualSpacing/>
        <w:jc w:val="both"/>
        <w:rPr>
          <w:sz w:val="24"/>
          <w:szCs w:val="24"/>
        </w:rPr>
      </w:pPr>
    </w:p>
    <w:p w:rsidR="00F366D2" w:rsidRPr="00F366D2" w:rsidRDefault="00F366D2" w:rsidP="00F366D2">
      <w:pPr>
        <w:ind w:firstLine="709"/>
        <w:contextualSpacing/>
        <w:jc w:val="both"/>
        <w:rPr>
          <w:sz w:val="24"/>
          <w:szCs w:val="24"/>
        </w:rPr>
      </w:pPr>
      <w:r w:rsidRPr="00F366D2">
        <w:rPr>
          <w:sz w:val="24"/>
          <w:szCs w:val="24"/>
        </w:rPr>
        <w:t>No que se trada dos valores de contratos de terceirização, onde empresas, geralmente privadas, especializadas em mão de obra disponibilizam pessoal para formar a estrutura de serviço de determinada instituição, serão tratados como “Outras Despesas de Pessoal” (BRASIL, 2000, art. 18, § 1). As despesas não computadas (DNC) que não fazem parte da DTP devem ser deduzidas da despesa bruta com pessoal (DBP), conforme são mencionadas no artigo 19 da LRF.</w:t>
      </w:r>
    </w:p>
    <w:p w:rsidR="00F366D2" w:rsidRPr="00F366D2" w:rsidRDefault="00F366D2" w:rsidP="00F366D2">
      <w:pPr>
        <w:ind w:firstLine="709"/>
        <w:contextualSpacing/>
        <w:jc w:val="both"/>
        <w:rPr>
          <w:sz w:val="24"/>
          <w:szCs w:val="24"/>
        </w:rPr>
      </w:pPr>
      <w:r w:rsidRPr="00F366D2">
        <w:rPr>
          <w:sz w:val="24"/>
          <w:szCs w:val="24"/>
        </w:rPr>
        <w:t>A Secretaria do Tesouro Nacional (STN) criou grupos técnicos que buscam, através de diálogos permanentes, a valorização da transparência da gestão fiscal. O resultado de tais diálogos são os pilares do MCASP e do Manual de Demonstrativos Fiscais (MDF), o qual apresenta os modelos de RGF a serem seguidos. Em seguida é apresentado o modelo do relatório de gestão fiscal no ano de 2016:</w:t>
      </w:r>
    </w:p>
    <w:p w:rsidR="006D0E1E" w:rsidRDefault="006D0E1E" w:rsidP="0011592D">
      <w:pPr>
        <w:contextualSpacing/>
        <w:jc w:val="both"/>
        <w:rPr>
          <w:sz w:val="24"/>
          <w:szCs w:val="24"/>
        </w:rPr>
      </w:pPr>
    </w:p>
    <w:p w:rsidR="0011592D" w:rsidRPr="00815417" w:rsidRDefault="0011592D" w:rsidP="0011592D">
      <w:pPr>
        <w:contextualSpacing/>
        <w:jc w:val="center"/>
        <w:rPr>
          <w:b/>
          <w:sz w:val="24"/>
          <w:szCs w:val="24"/>
        </w:rPr>
      </w:pPr>
      <w:r w:rsidRPr="00815417">
        <w:rPr>
          <w:b/>
          <w:sz w:val="24"/>
          <w:szCs w:val="24"/>
        </w:rPr>
        <w:t>Tabela 2. Modelo do relatório de gestão fiscal no ano de 2016</w:t>
      </w:r>
    </w:p>
    <w:p w:rsidR="00F366D2" w:rsidRPr="00F366D2" w:rsidRDefault="00F366D2" w:rsidP="00F366D2">
      <w:pPr>
        <w:contextualSpacing/>
        <w:jc w:val="both"/>
        <w:rPr>
          <w:sz w:val="24"/>
          <w:szCs w:val="24"/>
        </w:rPr>
      </w:pPr>
      <w:r w:rsidRPr="00F366D2">
        <w:rPr>
          <w:noProof/>
          <w:sz w:val="24"/>
          <w:szCs w:val="24"/>
        </w:rPr>
        <w:drawing>
          <wp:inline distT="0" distB="0" distL="0" distR="0">
            <wp:extent cx="5248275" cy="3239676"/>
            <wp:effectExtent l="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53497" cy="3242900"/>
                    </a:xfrm>
                    <a:prstGeom prst="rect">
                      <a:avLst/>
                    </a:prstGeom>
                    <a:noFill/>
                    <a:ln w="9525">
                      <a:noFill/>
                      <a:miter lim="800000"/>
                      <a:headEnd/>
                      <a:tailEnd/>
                    </a:ln>
                  </pic:spPr>
                </pic:pic>
              </a:graphicData>
            </a:graphic>
          </wp:inline>
        </w:drawing>
      </w:r>
    </w:p>
    <w:p w:rsidR="00F366D2" w:rsidRPr="00F366D2" w:rsidRDefault="00F366D2" w:rsidP="00D77C43">
      <w:pPr>
        <w:spacing w:line="360" w:lineRule="auto"/>
        <w:contextualSpacing/>
        <w:jc w:val="center"/>
      </w:pPr>
      <w:r w:rsidRPr="00F366D2">
        <w:t xml:space="preserve">Fonte: </w:t>
      </w:r>
      <w:r w:rsidR="0078209A">
        <w:t>Brasil (2017a)</w:t>
      </w:r>
      <w:r w:rsidRPr="00F366D2">
        <w:t>.</w:t>
      </w:r>
    </w:p>
    <w:p w:rsidR="00F366D2" w:rsidRPr="00F366D2" w:rsidRDefault="00F366D2" w:rsidP="00F366D2">
      <w:pPr>
        <w:ind w:firstLine="709"/>
        <w:contextualSpacing/>
        <w:jc w:val="both"/>
        <w:rPr>
          <w:sz w:val="24"/>
          <w:szCs w:val="24"/>
        </w:rPr>
      </w:pPr>
      <w:bookmarkStart w:id="14" w:name="_Hlk517629670"/>
      <w:r w:rsidRPr="00F366D2">
        <w:rPr>
          <w:sz w:val="24"/>
          <w:szCs w:val="24"/>
        </w:rPr>
        <w:lastRenderedPageBreak/>
        <w:t xml:space="preserve">Campagnoni e Platt Neto (2014) </w:t>
      </w:r>
      <w:bookmarkEnd w:id="14"/>
      <w:r w:rsidRPr="00F366D2">
        <w:rPr>
          <w:sz w:val="24"/>
          <w:szCs w:val="24"/>
        </w:rPr>
        <w:t>enfatizam que os limites são tratados como máximo, prudencial e de alerta, mesmo que a lei não os trate de tal maneira. Conforme a distribuição dos limites globais referente a esfera estadual, o Poder Legislativo não deve ultrapassar o gasto com pessoal num percentual legal, máximo,</w:t>
      </w:r>
      <w:r w:rsidR="0011592D">
        <w:rPr>
          <w:sz w:val="24"/>
          <w:szCs w:val="24"/>
        </w:rPr>
        <w:t xml:space="preserve"> </w:t>
      </w:r>
      <w:r w:rsidRPr="00F366D2">
        <w:rPr>
          <w:sz w:val="24"/>
          <w:szCs w:val="24"/>
        </w:rPr>
        <w:t>de 3% sobre a receita corrente liquida. No que se diz respeito aos poderes Legislativos e Judiciários de cada esfera, os limites são divididos de forma proporcional a média das despesas com pessoal, visto que no Legislativo deve-se incluir o Tribunal de Contas do Estado (BRASIL, 2000, art. 20º II, §1º).  Conforme estudo de Souza e Platt Neto (2012), os limites de alerta e prudencial são interpretações do artigo 59 da LRF, onde cabe, no primeiro caso, ao Poder Legislativo junto ao Tribunal de Contas encaminhar ao responsável, do ente que exceder o limite 90% do limite estabelecido por lei, um oficio informando-o quanto sua DTP. Enquanto o limite Prudencial, correspondente a 95% do limite máximo, impede o Poder ou órgão que o exceder de conceder vantagens, aumento, reajuste ou adequação de remuneração, além de não autorizar a criação novos cargos, funções ou alterar estruturas de carreiras, (BRASIL, 2000).</w:t>
      </w:r>
    </w:p>
    <w:p w:rsidR="00F366D2" w:rsidRPr="00F366D2" w:rsidRDefault="00F366D2" w:rsidP="00F366D2">
      <w:pPr>
        <w:ind w:firstLine="709"/>
        <w:contextualSpacing/>
        <w:jc w:val="both"/>
        <w:rPr>
          <w:sz w:val="24"/>
          <w:szCs w:val="24"/>
        </w:rPr>
      </w:pPr>
    </w:p>
    <w:p w:rsidR="00F366D2" w:rsidRPr="0011592D" w:rsidRDefault="0011592D" w:rsidP="0011592D">
      <w:pPr>
        <w:suppressAutoHyphens w:val="0"/>
        <w:jc w:val="both"/>
        <w:rPr>
          <w:sz w:val="24"/>
          <w:szCs w:val="24"/>
        </w:rPr>
      </w:pPr>
      <w:r w:rsidRPr="0011592D">
        <w:rPr>
          <w:sz w:val="24"/>
          <w:szCs w:val="24"/>
        </w:rPr>
        <w:t xml:space="preserve">2.4 </w:t>
      </w:r>
      <w:r w:rsidR="00F366D2" w:rsidRPr="0011592D">
        <w:rPr>
          <w:sz w:val="24"/>
          <w:szCs w:val="24"/>
        </w:rPr>
        <w:t>ESTUDOS ANTERIORES</w:t>
      </w:r>
    </w:p>
    <w:p w:rsidR="0011592D" w:rsidRDefault="0011592D" w:rsidP="00F366D2">
      <w:pPr>
        <w:ind w:firstLine="709"/>
        <w:contextualSpacing/>
        <w:jc w:val="both"/>
        <w:rPr>
          <w:sz w:val="24"/>
          <w:szCs w:val="24"/>
        </w:rPr>
      </w:pPr>
    </w:p>
    <w:p w:rsidR="00F366D2" w:rsidRPr="00F366D2" w:rsidRDefault="00F366D2" w:rsidP="00F366D2">
      <w:pPr>
        <w:ind w:firstLine="709"/>
        <w:contextualSpacing/>
        <w:jc w:val="both"/>
        <w:rPr>
          <w:sz w:val="24"/>
          <w:szCs w:val="24"/>
        </w:rPr>
      </w:pPr>
      <w:r w:rsidRPr="00F366D2">
        <w:rPr>
          <w:sz w:val="24"/>
          <w:szCs w:val="24"/>
        </w:rPr>
        <w:t>Grande parte dos estudos anteriores, relacionados com despesa com pessoal, possui como foco os</w:t>
      </w:r>
      <w:r>
        <w:rPr>
          <w:sz w:val="24"/>
          <w:szCs w:val="24"/>
        </w:rPr>
        <w:t xml:space="preserve"> </w:t>
      </w:r>
      <w:r w:rsidRPr="00F366D2">
        <w:rPr>
          <w:sz w:val="24"/>
          <w:szCs w:val="24"/>
        </w:rPr>
        <w:t>Municípios e os Estados, devido aos problemas encontrados em suas administrações publicas.</w:t>
      </w:r>
    </w:p>
    <w:p w:rsidR="00F366D2" w:rsidRPr="00F366D2" w:rsidRDefault="00F366D2" w:rsidP="00F366D2">
      <w:pPr>
        <w:ind w:firstLine="709"/>
        <w:contextualSpacing/>
        <w:jc w:val="both"/>
        <w:rPr>
          <w:sz w:val="24"/>
          <w:szCs w:val="24"/>
        </w:rPr>
      </w:pPr>
      <w:r w:rsidRPr="00F366D2">
        <w:rPr>
          <w:sz w:val="24"/>
          <w:szCs w:val="24"/>
        </w:rPr>
        <w:t xml:space="preserve">Cesconetto e Fey (2017) buscaram evidenciar o desempenho do município de Florianópolis/SC em relação ao cumprimento dos limites, entre os anos de 2011 e 2015. Os resultados obtidos no estudo foram que o Poder Executivo do Município de Florianópolis no ano de 2011 ultrapassou o limite de alerta, nos anos de 2012, 2013 e 2014 ultrapassou os limites prudenciais e fechou 2015 ultrapassando o limite máximo. Visto que a RCL a partir de 2012 teve um aumento considerável pode-se afirmar que tal poder sofreu com uma má gestão </w:t>
      </w:r>
      <w:r w:rsidR="006D0E1E" w:rsidRPr="00F366D2">
        <w:rPr>
          <w:sz w:val="24"/>
          <w:szCs w:val="24"/>
        </w:rPr>
        <w:t>pública</w:t>
      </w:r>
      <w:r w:rsidRPr="00F366D2">
        <w:rPr>
          <w:sz w:val="24"/>
          <w:szCs w:val="24"/>
        </w:rPr>
        <w:t>. Enquanto o Poder Legislativo, contou com uma boa administração cumprindo com as imposições da LRF, ficando abaixo do limite de alerta.</w:t>
      </w:r>
    </w:p>
    <w:p w:rsidR="00F366D2" w:rsidRPr="00F366D2" w:rsidRDefault="00F366D2" w:rsidP="00F366D2">
      <w:pPr>
        <w:ind w:firstLine="709"/>
        <w:contextualSpacing/>
        <w:jc w:val="both"/>
        <w:rPr>
          <w:sz w:val="24"/>
          <w:szCs w:val="24"/>
        </w:rPr>
      </w:pPr>
      <w:r w:rsidRPr="00F366D2">
        <w:rPr>
          <w:sz w:val="24"/>
          <w:szCs w:val="24"/>
        </w:rPr>
        <w:t>Santos e Sell (2016) analisaram os municípios de Florianópolis, Palhoça e São José nos anos de 2011 e 2013. Tal estudo apurou que entre os três municípios, São José foi o único que seguiu os limites propostos pela LRF. Palhoça o ano de 2013 ultrapassou o limite de alerta, enquanto Florianópolis ultrapassou o limite prudencial.</w:t>
      </w:r>
    </w:p>
    <w:p w:rsidR="00F366D2" w:rsidRPr="00F366D2" w:rsidRDefault="00F366D2" w:rsidP="00F366D2">
      <w:pPr>
        <w:ind w:firstLine="709"/>
        <w:contextualSpacing/>
        <w:jc w:val="both"/>
        <w:rPr>
          <w:sz w:val="24"/>
          <w:szCs w:val="24"/>
        </w:rPr>
      </w:pPr>
      <w:r w:rsidRPr="00F366D2">
        <w:rPr>
          <w:sz w:val="24"/>
          <w:szCs w:val="24"/>
        </w:rPr>
        <w:t xml:space="preserve">Pires e Platt Neto (2016) evidenciaram o cumprimento dos limites, referente à LRF, dos poderes estado de Mato Grosso do Sul entre os anos de 2000 e 2014. Os autores puderam concluir que até o ano de 2004 houve um período de adequação visto que no </w:t>
      </w:r>
      <w:r w:rsidR="006D0E1E" w:rsidRPr="00F366D2">
        <w:rPr>
          <w:sz w:val="24"/>
          <w:szCs w:val="24"/>
        </w:rPr>
        <w:t>início</w:t>
      </w:r>
      <w:r w:rsidRPr="00F366D2">
        <w:rPr>
          <w:sz w:val="24"/>
          <w:szCs w:val="24"/>
        </w:rPr>
        <w:t xml:space="preserve"> a DTP ultrapassou os limites prudenciais determinadas, enquanto a partir de 2014 todos os poderes cumpriram com os limites estabelecidos.</w:t>
      </w:r>
    </w:p>
    <w:p w:rsidR="00F366D2" w:rsidRPr="00F366D2" w:rsidRDefault="00F366D2" w:rsidP="00F366D2">
      <w:pPr>
        <w:ind w:firstLine="709"/>
        <w:contextualSpacing/>
        <w:jc w:val="both"/>
        <w:rPr>
          <w:sz w:val="24"/>
          <w:szCs w:val="24"/>
        </w:rPr>
      </w:pPr>
      <w:r w:rsidRPr="00F366D2">
        <w:rPr>
          <w:sz w:val="24"/>
          <w:szCs w:val="24"/>
        </w:rPr>
        <w:t>Souza e Platt Neto (2012) buscaram apresentar a composição e a evolução das despesas com pessoal dos poderes e órgãos do Estado de Santa Catarina, entre 2000 e 2011. Os resultados obtidos são que o Poder Executivo teve um período de adaptação até o ano de 2005 onde os limites foram ultrapassados. No Poder Legislativo tais órgãos que o compõe, Assembleia Legislativa e Tribunal de Contas do Estado, obtendo percentuais variados respeitaram o limite máximo de 3%. O Poder Judiciário não atingiu sequer o limite de alerta em nenhum dos anos. O Ministério Público do Estado ultrapassou o limite de alerta entre os anos de 2002 e 2007. Entre os anos de 2007 e 2008 ocorreu uma redução da DTP, com isto manteve-se respeitando os limites desde então.</w:t>
      </w:r>
    </w:p>
    <w:p w:rsidR="00F366D2" w:rsidRPr="00F366D2" w:rsidRDefault="00F366D2" w:rsidP="00F366D2">
      <w:pPr>
        <w:ind w:firstLine="709"/>
        <w:contextualSpacing/>
        <w:jc w:val="both"/>
        <w:rPr>
          <w:sz w:val="24"/>
          <w:szCs w:val="24"/>
        </w:rPr>
      </w:pPr>
      <w:r w:rsidRPr="00F366D2">
        <w:rPr>
          <w:sz w:val="24"/>
          <w:szCs w:val="24"/>
        </w:rPr>
        <w:lastRenderedPageBreak/>
        <w:t>Campagnoni e Platt Neto (2014) trouxeram um estudo, referente a LRF, focado na União entre os anos de 2000 e 2013. Após sua análise, concluíram que a União, seus Poderes e seus órgãos respeitaram a Lei de Responsabilidade Fiscal, visto que desde a implantação em 2000 não foi ultrapassado nenhum dos limites impostos.</w:t>
      </w:r>
    </w:p>
    <w:p w:rsidR="006D0E1E" w:rsidRPr="00F366D2" w:rsidRDefault="006D0E1E" w:rsidP="00F366D2">
      <w:pPr>
        <w:ind w:firstLine="709"/>
        <w:contextualSpacing/>
        <w:jc w:val="both"/>
        <w:rPr>
          <w:sz w:val="24"/>
          <w:szCs w:val="24"/>
        </w:rPr>
      </w:pPr>
    </w:p>
    <w:p w:rsidR="00F366D2" w:rsidRPr="0011592D" w:rsidRDefault="0011592D" w:rsidP="0011592D">
      <w:pPr>
        <w:suppressAutoHyphens w:val="0"/>
        <w:jc w:val="both"/>
        <w:rPr>
          <w:b/>
          <w:sz w:val="24"/>
          <w:szCs w:val="24"/>
        </w:rPr>
      </w:pPr>
      <w:r>
        <w:rPr>
          <w:b/>
          <w:sz w:val="24"/>
          <w:szCs w:val="24"/>
        </w:rPr>
        <w:t xml:space="preserve">3 </w:t>
      </w:r>
      <w:r w:rsidR="00F366D2" w:rsidRPr="0011592D">
        <w:rPr>
          <w:b/>
          <w:sz w:val="24"/>
          <w:szCs w:val="24"/>
        </w:rPr>
        <w:t>METODOLOGIA</w:t>
      </w:r>
    </w:p>
    <w:p w:rsidR="0011592D" w:rsidRDefault="0011592D" w:rsidP="00E074D5">
      <w:pPr>
        <w:ind w:firstLine="709"/>
        <w:jc w:val="both"/>
        <w:rPr>
          <w:sz w:val="24"/>
          <w:szCs w:val="24"/>
        </w:rPr>
      </w:pPr>
    </w:p>
    <w:p w:rsidR="00E074D5" w:rsidRDefault="00E074D5" w:rsidP="00E074D5">
      <w:pPr>
        <w:ind w:firstLine="709"/>
        <w:jc w:val="both"/>
        <w:rPr>
          <w:sz w:val="24"/>
          <w:szCs w:val="24"/>
        </w:rPr>
      </w:pPr>
      <w:bookmarkStart w:id="15" w:name="_Hlk517629688"/>
      <w:r w:rsidRPr="00EB2EBD">
        <w:rPr>
          <w:sz w:val="24"/>
          <w:szCs w:val="24"/>
        </w:rPr>
        <w:t xml:space="preserve">Gil (2010) </w:t>
      </w:r>
      <w:bookmarkEnd w:id="15"/>
      <w:r w:rsidRPr="00EB2EBD">
        <w:rPr>
          <w:sz w:val="24"/>
          <w:szCs w:val="24"/>
        </w:rPr>
        <w:t>traz que uma pesquisa pode ser considerada exploratória, descritiva ou explicativa, de acordo com seu objeto. Sendo assim esta pesquisa é classificada descritiva, por buscar evidenciar o cumprimento dos limites determinados por lei, além de observar e registra-los.</w:t>
      </w:r>
    </w:p>
    <w:p w:rsidR="0078209A" w:rsidRPr="00EB2EBD" w:rsidRDefault="0078209A" w:rsidP="00E074D5">
      <w:pPr>
        <w:ind w:firstLine="709"/>
        <w:jc w:val="both"/>
        <w:rPr>
          <w:sz w:val="24"/>
          <w:szCs w:val="24"/>
        </w:rPr>
      </w:pPr>
    </w:p>
    <w:p w:rsidR="00F366D2" w:rsidRPr="00EB2EBD" w:rsidRDefault="00F366D2" w:rsidP="00F366D2">
      <w:pPr>
        <w:contextualSpacing/>
        <w:jc w:val="both"/>
        <w:rPr>
          <w:vanish/>
          <w:sz w:val="24"/>
          <w:szCs w:val="24"/>
        </w:rPr>
      </w:pPr>
    </w:p>
    <w:p w:rsidR="00F366D2" w:rsidRPr="0011592D" w:rsidRDefault="0011592D" w:rsidP="0011592D">
      <w:pPr>
        <w:suppressAutoHyphens w:val="0"/>
        <w:jc w:val="both"/>
        <w:rPr>
          <w:sz w:val="24"/>
          <w:szCs w:val="24"/>
        </w:rPr>
      </w:pPr>
      <w:r w:rsidRPr="0011592D">
        <w:rPr>
          <w:sz w:val="24"/>
          <w:szCs w:val="24"/>
        </w:rPr>
        <w:t xml:space="preserve">3.1 </w:t>
      </w:r>
      <w:r w:rsidR="00F366D2" w:rsidRPr="0011592D">
        <w:rPr>
          <w:sz w:val="24"/>
          <w:szCs w:val="24"/>
        </w:rPr>
        <w:t>CLASSIFICAÇÃO DA PESQUISA</w:t>
      </w:r>
    </w:p>
    <w:p w:rsidR="0011592D" w:rsidRDefault="0011592D" w:rsidP="00F366D2">
      <w:pPr>
        <w:ind w:firstLine="709"/>
        <w:contextualSpacing/>
        <w:jc w:val="both"/>
        <w:rPr>
          <w:sz w:val="24"/>
          <w:szCs w:val="24"/>
        </w:rPr>
      </w:pPr>
    </w:p>
    <w:p w:rsidR="00F366D2" w:rsidRPr="00F366D2" w:rsidRDefault="00F366D2" w:rsidP="00F366D2">
      <w:pPr>
        <w:ind w:firstLine="709"/>
        <w:contextualSpacing/>
        <w:jc w:val="both"/>
        <w:rPr>
          <w:sz w:val="24"/>
          <w:szCs w:val="24"/>
        </w:rPr>
      </w:pPr>
      <w:r w:rsidRPr="00EB2EBD">
        <w:rPr>
          <w:sz w:val="24"/>
          <w:szCs w:val="24"/>
        </w:rPr>
        <w:t xml:space="preserve">Quanto a sua natureza a presente pesquisa é considerada como qualitativa, devido a análise e descrição da variável despesa com pessoal e de seu comportamento em relação à receita corrente liquida. </w:t>
      </w:r>
      <w:bookmarkStart w:id="16" w:name="_Hlk517629696"/>
      <w:r w:rsidRPr="00EB2EBD">
        <w:rPr>
          <w:sz w:val="24"/>
          <w:szCs w:val="24"/>
        </w:rPr>
        <w:t xml:space="preserve">Raupp e Beuren (2012) </w:t>
      </w:r>
      <w:bookmarkEnd w:id="16"/>
      <w:r w:rsidRPr="00EB2EBD">
        <w:rPr>
          <w:sz w:val="24"/>
          <w:szCs w:val="24"/>
        </w:rPr>
        <w:t>tratam que a classificação de uma pesquisa é feita de acordo com a abordagem de seu problema.</w:t>
      </w:r>
    </w:p>
    <w:p w:rsidR="00F366D2" w:rsidRPr="00F366D2" w:rsidRDefault="00F366D2" w:rsidP="00F366D2">
      <w:pPr>
        <w:ind w:firstLine="709"/>
        <w:contextualSpacing/>
        <w:jc w:val="both"/>
        <w:rPr>
          <w:sz w:val="24"/>
          <w:szCs w:val="24"/>
        </w:rPr>
      </w:pPr>
      <w:r w:rsidRPr="00F366D2">
        <w:rPr>
          <w:sz w:val="24"/>
          <w:szCs w:val="24"/>
        </w:rPr>
        <w:t xml:space="preserve">No que se diz respeito aos procedimentos adotados, trata-se de uma pesquisa documental baseada nos Relatórios de Gestão Fiscal disponibilizadas pelos órgãos do Poder Legislativo, dos Estados do Paraná, do Rio Grande do Sul e de Santa Catarina, nos portais de transparência das Assembleias Legislativas e Tribunais de Contas do Estado. Os dados referentes ao Produto Interno Bruto nacional e o percentual de participação dos Estados, foram coletados no sítio eletrônico do Instituto Brasileiro de Geografia e Estatística. Tal coleta buscou evidenciar a escolha de tal região para análise. </w:t>
      </w:r>
    </w:p>
    <w:p w:rsidR="005E73E2" w:rsidRPr="00F366D2" w:rsidRDefault="005E73E2" w:rsidP="00F366D2">
      <w:pPr>
        <w:contextualSpacing/>
        <w:jc w:val="both"/>
        <w:rPr>
          <w:b/>
          <w:sz w:val="24"/>
          <w:szCs w:val="24"/>
        </w:rPr>
      </w:pPr>
    </w:p>
    <w:p w:rsidR="00F366D2" w:rsidRPr="0011592D" w:rsidRDefault="0011592D" w:rsidP="0011592D">
      <w:pPr>
        <w:suppressAutoHyphens w:val="0"/>
        <w:jc w:val="both"/>
        <w:rPr>
          <w:sz w:val="24"/>
          <w:szCs w:val="24"/>
        </w:rPr>
      </w:pPr>
      <w:r w:rsidRPr="0011592D">
        <w:rPr>
          <w:sz w:val="24"/>
          <w:szCs w:val="24"/>
        </w:rPr>
        <w:t xml:space="preserve">3.2 </w:t>
      </w:r>
      <w:r w:rsidR="00F366D2" w:rsidRPr="0011592D">
        <w:rPr>
          <w:sz w:val="24"/>
          <w:szCs w:val="24"/>
        </w:rPr>
        <w:t>PROCEDIMENTOS DE COLETA DE DADOS</w:t>
      </w:r>
    </w:p>
    <w:p w:rsidR="0011592D" w:rsidRDefault="0011592D" w:rsidP="00F366D2">
      <w:pPr>
        <w:ind w:firstLine="709"/>
        <w:contextualSpacing/>
        <w:jc w:val="both"/>
        <w:rPr>
          <w:sz w:val="24"/>
          <w:szCs w:val="24"/>
        </w:rPr>
      </w:pPr>
    </w:p>
    <w:p w:rsidR="00F366D2" w:rsidRPr="00F366D2" w:rsidRDefault="00F366D2" w:rsidP="00F366D2">
      <w:pPr>
        <w:ind w:firstLine="709"/>
        <w:contextualSpacing/>
        <w:jc w:val="both"/>
        <w:rPr>
          <w:sz w:val="24"/>
          <w:szCs w:val="24"/>
        </w:rPr>
      </w:pPr>
      <w:r w:rsidRPr="00F366D2">
        <w:rPr>
          <w:sz w:val="24"/>
          <w:szCs w:val="24"/>
        </w:rPr>
        <w:t xml:space="preserve">O objetivo de tal pesquisa é alcançado a partir da consulta nos Relatórios de Gestão Fiscal, entre os anos de 2010 e 2016. Importante enfatizar que os valores e percentuais apresentados em relação aos limites foram calculados pelos autores com base na despesa total com pessoal, visando evidenciar a veracidade dos dados apresentados por tais órgãos. Os resultados alcançados através da consulta encontram-se no próximo capitulo. Os instrumentos da pesquisa foram de caráter documental, onde ocorreu à busca de informações nos demonstrativos contábeis referentes à despesa com pessoal dos órgãos do Poder Legislativo de cada Estado, para que possa ser feito a análise e a comparação das exigências da LRF. </w:t>
      </w:r>
    </w:p>
    <w:p w:rsidR="00F366D2" w:rsidRPr="00F366D2" w:rsidRDefault="00F366D2" w:rsidP="00F366D2">
      <w:pPr>
        <w:contextualSpacing/>
        <w:jc w:val="both"/>
        <w:rPr>
          <w:b/>
          <w:sz w:val="24"/>
          <w:szCs w:val="24"/>
        </w:rPr>
      </w:pPr>
    </w:p>
    <w:p w:rsidR="00F366D2" w:rsidRPr="0011592D" w:rsidRDefault="0011592D" w:rsidP="0011592D">
      <w:pPr>
        <w:suppressAutoHyphens w:val="0"/>
        <w:jc w:val="both"/>
        <w:rPr>
          <w:sz w:val="24"/>
          <w:szCs w:val="24"/>
        </w:rPr>
      </w:pPr>
      <w:r w:rsidRPr="0011592D">
        <w:rPr>
          <w:sz w:val="24"/>
          <w:szCs w:val="24"/>
        </w:rPr>
        <w:t xml:space="preserve">3.3 </w:t>
      </w:r>
      <w:r w:rsidR="00F366D2" w:rsidRPr="0011592D">
        <w:rPr>
          <w:sz w:val="24"/>
          <w:szCs w:val="24"/>
        </w:rPr>
        <w:t>PROCEDIMENTOS DA PESQUISA</w:t>
      </w:r>
    </w:p>
    <w:p w:rsidR="0011592D" w:rsidRDefault="0011592D" w:rsidP="00F366D2">
      <w:pPr>
        <w:ind w:firstLine="709"/>
        <w:contextualSpacing/>
        <w:jc w:val="both"/>
        <w:rPr>
          <w:sz w:val="24"/>
          <w:szCs w:val="24"/>
        </w:rPr>
      </w:pPr>
    </w:p>
    <w:p w:rsidR="00F366D2" w:rsidRPr="00F366D2" w:rsidRDefault="00F366D2" w:rsidP="00F366D2">
      <w:pPr>
        <w:ind w:firstLine="709"/>
        <w:contextualSpacing/>
        <w:jc w:val="both"/>
        <w:rPr>
          <w:sz w:val="24"/>
          <w:szCs w:val="24"/>
        </w:rPr>
      </w:pPr>
      <w:r w:rsidRPr="00F366D2">
        <w:rPr>
          <w:sz w:val="24"/>
          <w:szCs w:val="24"/>
        </w:rPr>
        <w:t xml:space="preserve">Os procedimentos das análises dos dados coletados tiveram como base os artigos de </w:t>
      </w:r>
      <w:bookmarkStart w:id="17" w:name="_Hlk517629713"/>
      <w:r w:rsidRPr="00F366D2">
        <w:rPr>
          <w:sz w:val="24"/>
          <w:szCs w:val="24"/>
        </w:rPr>
        <w:t xml:space="preserve">Souza e Platt Neto (2012), de Campagnoni e Platt Neto (2014), e de Pires e Platt Neto (2016). </w:t>
      </w:r>
      <w:bookmarkEnd w:id="17"/>
      <w:r w:rsidRPr="00F366D2">
        <w:rPr>
          <w:sz w:val="24"/>
          <w:szCs w:val="24"/>
        </w:rPr>
        <w:t>Tais pesquisas buscaram observar o comportamento dos Poderes e órgãos em relação aos limites das despesas com pessoal determinados pela Lei de Responsabilidade Fiscal, alem de analisarem as evoluções de tais despesas.</w:t>
      </w:r>
    </w:p>
    <w:p w:rsidR="006D0E1E" w:rsidRDefault="00F366D2" w:rsidP="00F366D2">
      <w:pPr>
        <w:ind w:firstLine="709"/>
        <w:contextualSpacing/>
        <w:jc w:val="both"/>
        <w:rPr>
          <w:sz w:val="24"/>
          <w:szCs w:val="24"/>
        </w:rPr>
      </w:pPr>
      <w:r w:rsidRPr="00F366D2">
        <w:rPr>
          <w:sz w:val="24"/>
          <w:szCs w:val="24"/>
        </w:rPr>
        <w:t>Tal processo foi estruturado em etapas buscando facilitar o desenvolvimento da pesquisa, conforme segue:</w:t>
      </w:r>
    </w:p>
    <w:p w:rsidR="006D0E1E" w:rsidRDefault="006D0E1E" w:rsidP="00F366D2">
      <w:pPr>
        <w:ind w:firstLine="709"/>
        <w:contextualSpacing/>
        <w:jc w:val="both"/>
        <w:rPr>
          <w:sz w:val="24"/>
          <w:szCs w:val="24"/>
        </w:rPr>
      </w:pPr>
    </w:p>
    <w:p w:rsidR="006D0E1E" w:rsidRDefault="00F366D2" w:rsidP="006D0E1E">
      <w:pPr>
        <w:ind w:left="709"/>
        <w:contextualSpacing/>
        <w:jc w:val="both"/>
        <w:rPr>
          <w:sz w:val="24"/>
          <w:szCs w:val="24"/>
        </w:rPr>
      </w:pPr>
      <w:r w:rsidRPr="00F366D2">
        <w:rPr>
          <w:sz w:val="24"/>
          <w:szCs w:val="24"/>
        </w:rPr>
        <w:lastRenderedPageBreak/>
        <w:t>1ª etapa: Identificação e revisão</w:t>
      </w:r>
      <w:r w:rsidR="00C1772C">
        <w:rPr>
          <w:sz w:val="24"/>
          <w:szCs w:val="24"/>
        </w:rPr>
        <w:t xml:space="preserve"> </w:t>
      </w:r>
      <w:r w:rsidRPr="00F366D2">
        <w:rPr>
          <w:sz w:val="24"/>
          <w:szCs w:val="24"/>
        </w:rPr>
        <w:t>das normas que determinam os limites de despesa com pessoal alem de pesquisas relacionadas com tal assunto.</w:t>
      </w:r>
    </w:p>
    <w:p w:rsidR="006D0E1E" w:rsidRDefault="00F366D2" w:rsidP="006D0E1E">
      <w:pPr>
        <w:ind w:left="709"/>
        <w:contextualSpacing/>
        <w:jc w:val="both"/>
        <w:rPr>
          <w:sz w:val="24"/>
          <w:szCs w:val="24"/>
        </w:rPr>
      </w:pPr>
      <w:r w:rsidRPr="00F366D2">
        <w:rPr>
          <w:sz w:val="24"/>
          <w:szCs w:val="24"/>
        </w:rPr>
        <w:t>2ª etapa: Apresentação da Região Sul do país, destacando o Poder Legislativo Estadual e seus os órgãos que o compõe.</w:t>
      </w:r>
    </w:p>
    <w:p w:rsidR="006D0E1E" w:rsidRDefault="00F366D2" w:rsidP="006D0E1E">
      <w:pPr>
        <w:ind w:left="709"/>
        <w:contextualSpacing/>
        <w:jc w:val="both"/>
        <w:rPr>
          <w:sz w:val="24"/>
          <w:szCs w:val="24"/>
        </w:rPr>
      </w:pPr>
      <w:r w:rsidRPr="00F366D2">
        <w:rPr>
          <w:sz w:val="24"/>
          <w:szCs w:val="24"/>
        </w:rPr>
        <w:t>3ª etapa: Coleta de dados referentes à Despesa Total com Pessoal e à Receita Corrente Liquida das Assembleias Legislativas (AL) e Tribunais de Contas do Estado (TCE).</w:t>
      </w:r>
    </w:p>
    <w:p w:rsidR="006D0E1E" w:rsidRDefault="00F366D2" w:rsidP="006D0E1E">
      <w:pPr>
        <w:ind w:left="709"/>
        <w:contextualSpacing/>
        <w:jc w:val="both"/>
        <w:rPr>
          <w:sz w:val="24"/>
          <w:szCs w:val="24"/>
        </w:rPr>
      </w:pPr>
      <w:r w:rsidRPr="00F366D2">
        <w:rPr>
          <w:sz w:val="24"/>
          <w:szCs w:val="24"/>
        </w:rPr>
        <w:t>4ª etapa: Tabulação dos dados coletados em planilhas eletrônicas, facilitando as análises.</w:t>
      </w:r>
    </w:p>
    <w:p w:rsidR="006D0E1E" w:rsidRDefault="00F366D2" w:rsidP="006D0E1E">
      <w:pPr>
        <w:ind w:left="709"/>
        <w:contextualSpacing/>
        <w:jc w:val="both"/>
        <w:rPr>
          <w:sz w:val="24"/>
          <w:szCs w:val="24"/>
        </w:rPr>
      </w:pPr>
      <w:r w:rsidRPr="00F366D2">
        <w:rPr>
          <w:sz w:val="24"/>
          <w:szCs w:val="24"/>
        </w:rPr>
        <w:t>5ª etapa: Confecção de gráficos para facilitar a comparação dos resultados encontrados, através dos dados coletados.</w:t>
      </w:r>
    </w:p>
    <w:p w:rsidR="00F366D2" w:rsidRPr="00F366D2" w:rsidRDefault="00F366D2" w:rsidP="006D0E1E">
      <w:pPr>
        <w:ind w:left="709"/>
        <w:contextualSpacing/>
        <w:jc w:val="both"/>
        <w:rPr>
          <w:sz w:val="24"/>
          <w:szCs w:val="24"/>
        </w:rPr>
      </w:pPr>
      <w:r w:rsidRPr="00F366D2">
        <w:rPr>
          <w:sz w:val="24"/>
          <w:szCs w:val="24"/>
        </w:rPr>
        <w:t>6ª etapa: Apresentação dos resultados alcançados com a pesquisa, utilizando-se de textos e gráficos para facilitar a visualização.</w:t>
      </w:r>
    </w:p>
    <w:p w:rsidR="006D0E1E" w:rsidRPr="00F366D2" w:rsidRDefault="006D0E1E" w:rsidP="00F366D2">
      <w:pPr>
        <w:ind w:firstLine="709"/>
        <w:contextualSpacing/>
        <w:jc w:val="both"/>
        <w:rPr>
          <w:sz w:val="24"/>
          <w:szCs w:val="24"/>
        </w:rPr>
      </w:pPr>
    </w:p>
    <w:p w:rsidR="00F366D2" w:rsidRPr="0011592D" w:rsidRDefault="0011592D" w:rsidP="0011592D">
      <w:pPr>
        <w:suppressAutoHyphens w:val="0"/>
        <w:jc w:val="both"/>
        <w:rPr>
          <w:sz w:val="24"/>
          <w:szCs w:val="24"/>
        </w:rPr>
      </w:pPr>
      <w:r>
        <w:rPr>
          <w:b/>
          <w:sz w:val="24"/>
          <w:szCs w:val="24"/>
        </w:rPr>
        <w:t xml:space="preserve">4 </w:t>
      </w:r>
      <w:r w:rsidR="00F366D2" w:rsidRPr="0011592D">
        <w:rPr>
          <w:b/>
          <w:sz w:val="24"/>
          <w:szCs w:val="24"/>
        </w:rPr>
        <w:t>RESULTADOS DA PESQUISA</w:t>
      </w:r>
    </w:p>
    <w:p w:rsidR="0011592D" w:rsidRDefault="0011592D" w:rsidP="00F366D2">
      <w:pPr>
        <w:pStyle w:val="PargrafodaLista"/>
        <w:ind w:left="0" w:firstLine="709"/>
        <w:jc w:val="both"/>
        <w:rPr>
          <w:sz w:val="24"/>
          <w:szCs w:val="24"/>
        </w:rPr>
      </w:pPr>
    </w:p>
    <w:p w:rsidR="00F366D2" w:rsidRPr="00F366D2" w:rsidRDefault="00F366D2" w:rsidP="00F366D2">
      <w:pPr>
        <w:pStyle w:val="PargrafodaLista"/>
        <w:ind w:left="0" w:firstLine="709"/>
        <w:jc w:val="both"/>
        <w:rPr>
          <w:sz w:val="24"/>
          <w:szCs w:val="24"/>
        </w:rPr>
      </w:pPr>
      <w:r w:rsidRPr="00F366D2">
        <w:rPr>
          <w:sz w:val="24"/>
          <w:szCs w:val="24"/>
        </w:rPr>
        <w:t>Nesta seção são apresentados os resultados da presente pesquisa. Primeiramente é apresentado o motivo pelo qual foi delimitado o estudo aos três Estados. Em seguida é feito a observância das despesas e receitas de cada Estado no decorrer dos anos, de 2010 e 2016, e por fim temos a observância dos limites impostos pela lei de responsabilidade fiscal destacando cada Estado e um comparativo entre eles.</w:t>
      </w:r>
    </w:p>
    <w:p w:rsidR="00F366D2" w:rsidRPr="00F366D2" w:rsidRDefault="00F366D2" w:rsidP="00F366D2">
      <w:pPr>
        <w:pStyle w:val="PargrafodaLista"/>
        <w:ind w:left="360"/>
        <w:jc w:val="both"/>
        <w:rPr>
          <w:sz w:val="24"/>
          <w:szCs w:val="24"/>
        </w:rPr>
      </w:pPr>
    </w:p>
    <w:p w:rsidR="00F366D2" w:rsidRPr="0011592D" w:rsidRDefault="0011592D" w:rsidP="0011592D">
      <w:pPr>
        <w:suppressAutoHyphens w:val="0"/>
        <w:jc w:val="both"/>
        <w:rPr>
          <w:sz w:val="24"/>
          <w:szCs w:val="24"/>
        </w:rPr>
      </w:pPr>
      <w:r w:rsidRPr="0011592D">
        <w:rPr>
          <w:sz w:val="24"/>
          <w:szCs w:val="24"/>
        </w:rPr>
        <w:t xml:space="preserve">4.1 </w:t>
      </w:r>
      <w:r w:rsidR="00F366D2" w:rsidRPr="0011592D">
        <w:rPr>
          <w:sz w:val="24"/>
          <w:szCs w:val="24"/>
        </w:rPr>
        <w:t>APRESENTAÇÃO DOS ESTADOS ANALISADOS</w:t>
      </w:r>
    </w:p>
    <w:p w:rsidR="0011592D" w:rsidRDefault="0011592D" w:rsidP="00F366D2">
      <w:pPr>
        <w:ind w:firstLine="709"/>
        <w:contextualSpacing/>
        <w:jc w:val="both"/>
        <w:rPr>
          <w:sz w:val="24"/>
          <w:szCs w:val="24"/>
        </w:rPr>
      </w:pPr>
    </w:p>
    <w:p w:rsidR="00F366D2" w:rsidRPr="00F366D2" w:rsidRDefault="00F366D2" w:rsidP="00F366D2">
      <w:pPr>
        <w:ind w:firstLine="709"/>
        <w:contextualSpacing/>
        <w:jc w:val="both"/>
        <w:rPr>
          <w:sz w:val="24"/>
          <w:szCs w:val="24"/>
        </w:rPr>
      </w:pPr>
      <w:r w:rsidRPr="00F366D2">
        <w:rPr>
          <w:sz w:val="24"/>
          <w:szCs w:val="24"/>
        </w:rPr>
        <w:t>Este estudo trás os gastos com pessoal dos três Es</w:t>
      </w:r>
      <w:r w:rsidR="00E074D5">
        <w:rPr>
          <w:sz w:val="24"/>
          <w:szCs w:val="24"/>
        </w:rPr>
        <w:t xml:space="preserve">tados da Região Sul no período </w:t>
      </w:r>
      <w:r w:rsidRPr="00F366D2">
        <w:rPr>
          <w:sz w:val="24"/>
          <w:szCs w:val="24"/>
        </w:rPr>
        <w:t xml:space="preserve">de 2002 a 2015, na Tabela </w:t>
      </w:r>
      <w:r w:rsidR="00815417">
        <w:rPr>
          <w:sz w:val="24"/>
          <w:szCs w:val="24"/>
        </w:rPr>
        <w:t>3</w:t>
      </w:r>
      <w:r w:rsidRPr="00F366D2">
        <w:rPr>
          <w:sz w:val="24"/>
          <w:szCs w:val="24"/>
        </w:rPr>
        <w:t xml:space="preserve"> apresenta-se o percentual do PIB desses estados ao longo deste período de análise para demonstrar a relevância da região para o país, e consequentemente a relevância de aprofundar-se em um item de gasto.</w:t>
      </w:r>
    </w:p>
    <w:p w:rsidR="006D0E1E" w:rsidRPr="00F366D2" w:rsidRDefault="006D0E1E" w:rsidP="00F366D2">
      <w:pPr>
        <w:spacing w:line="360" w:lineRule="auto"/>
        <w:jc w:val="center"/>
        <w:rPr>
          <w:sz w:val="24"/>
          <w:szCs w:val="24"/>
        </w:rPr>
      </w:pPr>
    </w:p>
    <w:p w:rsidR="00F366D2" w:rsidRPr="00815417" w:rsidRDefault="00F366D2" w:rsidP="00C668C4">
      <w:pPr>
        <w:jc w:val="center"/>
        <w:rPr>
          <w:sz w:val="24"/>
          <w:szCs w:val="24"/>
        </w:rPr>
      </w:pPr>
      <w:r w:rsidRPr="00815417">
        <w:rPr>
          <w:b/>
          <w:sz w:val="24"/>
          <w:szCs w:val="24"/>
        </w:rPr>
        <w:t>Tabela</w:t>
      </w:r>
      <w:r w:rsidR="0011592D" w:rsidRPr="00815417">
        <w:rPr>
          <w:b/>
          <w:sz w:val="24"/>
          <w:szCs w:val="24"/>
        </w:rPr>
        <w:t xml:space="preserve"> 3</w:t>
      </w:r>
      <w:r w:rsidRPr="00815417">
        <w:rPr>
          <w:b/>
          <w:sz w:val="24"/>
          <w:szCs w:val="24"/>
        </w:rPr>
        <w:t>. Variação em volume acumulada, variação em volume média ao ano, participação percentual do PIB por Unidade da Federação 2002-2015</w:t>
      </w:r>
      <w:r w:rsidRPr="00815417">
        <w:rPr>
          <w:sz w:val="24"/>
          <w:szCs w:val="24"/>
        </w:rPr>
        <w:t>.</w:t>
      </w:r>
    </w:p>
    <w:tbl>
      <w:tblPr>
        <w:tblStyle w:val="TabeladeGradeClara1"/>
        <w:tblW w:w="8775" w:type="dxa"/>
        <w:tblInd w:w="5" w:type="dxa"/>
        <w:tblLook w:val="04A0" w:firstRow="1" w:lastRow="0" w:firstColumn="1" w:lastColumn="0" w:noHBand="0" w:noVBand="1"/>
      </w:tblPr>
      <w:tblGrid>
        <w:gridCol w:w="1280"/>
        <w:gridCol w:w="1969"/>
        <w:gridCol w:w="1926"/>
        <w:gridCol w:w="1800"/>
        <w:gridCol w:w="1800"/>
      </w:tblGrid>
      <w:tr w:rsidR="00F366D2" w:rsidRPr="00F366D2" w:rsidTr="0011592D">
        <w:trPr>
          <w:trHeight w:val="276"/>
        </w:trPr>
        <w:tc>
          <w:tcPr>
            <w:tcW w:w="1280" w:type="dxa"/>
            <w:vMerge w:val="restart"/>
            <w:tcBorders>
              <w:left w:val="nil"/>
            </w:tcBorders>
            <w:hideMark/>
          </w:tcPr>
          <w:p w:rsidR="00F366D2" w:rsidRPr="00F366D2" w:rsidRDefault="00F366D2" w:rsidP="00582630">
            <w:pPr>
              <w:jc w:val="center"/>
              <w:rPr>
                <w:b/>
                <w:bCs/>
                <w:color w:val="4B4B4C"/>
              </w:rPr>
            </w:pPr>
            <w:r w:rsidRPr="00F366D2">
              <w:rPr>
                <w:b/>
                <w:bCs/>
                <w:color w:val="4B4B4C"/>
              </w:rPr>
              <w:t>Unidades da Federação</w:t>
            </w:r>
          </w:p>
        </w:tc>
        <w:tc>
          <w:tcPr>
            <w:tcW w:w="1969" w:type="dxa"/>
            <w:vMerge w:val="restart"/>
            <w:hideMark/>
          </w:tcPr>
          <w:p w:rsidR="00F366D2" w:rsidRPr="00F366D2" w:rsidRDefault="00F366D2" w:rsidP="00582630">
            <w:pPr>
              <w:jc w:val="center"/>
              <w:rPr>
                <w:b/>
                <w:bCs/>
                <w:color w:val="4B4B4C"/>
              </w:rPr>
            </w:pPr>
            <w:r w:rsidRPr="00F366D2">
              <w:rPr>
                <w:b/>
                <w:bCs/>
                <w:color w:val="4B4B4C"/>
              </w:rPr>
              <w:t>Variação em volume acumulada (%) 2002-2015</w:t>
            </w:r>
          </w:p>
        </w:tc>
        <w:tc>
          <w:tcPr>
            <w:tcW w:w="1926" w:type="dxa"/>
            <w:vMerge w:val="restart"/>
            <w:hideMark/>
          </w:tcPr>
          <w:p w:rsidR="00F366D2" w:rsidRPr="00F366D2" w:rsidRDefault="00F366D2" w:rsidP="00582630">
            <w:pPr>
              <w:jc w:val="center"/>
              <w:rPr>
                <w:b/>
                <w:bCs/>
                <w:color w:val="4B4B4C"/>
              </w:rPr>
            </w:pPr>
            <w:r w:rsidRPr="00F366D2">
              <w:rPr>
                <w:b/>
                <w:bCs/>
                <w:color w:val="4B4B4C"/>
              </w:rPr>
              <w:t>Variação em volume média ao ano (%) 2002-2015</w:t>
            </w:r>
          </w:p>
        </w:tc>
        <w:tc>
          <w:tcPr>
            <w:tcW w:w="1800" w:type="dxa"/>
            <w:vMerge w:val="restart"/>
            <w:hideMark/>
          </w:tcPr>
          <w:p w:rsidR="00F366D2" w:rsidRPr="00F366D2" w:rsidRDefault="00F366D2" w:rsidP="00582630">
            <w:pPr>
              <w:jc w:val="center"/>
              <w:rPr>
                <w:b/>
                <w:bCs/>
                <w:color w:val="4B4B4C"/>
              </w:rPr>
            </w:pPr>
            <w:r w:rsidRPr="00F366D2">
              <w:rPr>
                <w:b/>
                <w:bCs/>
                <w:color w:val="4B4B4C"/>
              </w:rPr>
              <w:t>Participação no PIB do Brasil (%) 2002</w:t>
            </w:r>
          </w:p>
        </w:tc>
        <w:tc>
          <w:tcPr>
            <w:tcW w:w="1800" w:type="dxa"/>
            <w:vMerge w:val="restart"/>
            <w:tcBorders>
              <w:right w:val="nil"/>
            </w:tcBorders>
            <w:hideMark/>
          </w:tcPr>
          <w:p w:rsidR="00F366D2" w:rsidRPr="00F366D2" w:rsidRDefault="00F366D2" w:rsidP="00582630">
            <w:pPr>
              <w:jc w:val="center"/>
              <w:rPr>
                <w:b/>
                <w:bCs/>
                <w:color w:val="4B4B4C"/>
              </w:rPr>
            </w:pPr>
            <w:r w:rsidRPr="00F366D2">
              <w:rPr>
                <w:b/>
                <w:bCs/>
                <w:color w:val="4B4B4C"/>
              </w:rPr>
              <w:t>Participação no PIB do Brasil (%) 2015</w:t>
            </w:r>
          </w:p>
        </w:tc>
      </w:tr>
      <w:tr w:rsidR="00F366D2" w:rsidRPr="00F366D2" w:rsidTr="0011592D">
        <w:trPr>
          <w:trHeight w:val="276"/>
        </w:trPr>
        <w:tc>
          <w:tcPr>
            <w:tcW w:w="1280" w:type="dxa"/>
            <w:vMerge/>
            <w:tcBorders>
              <w:left w:val="nil"/>
            </w:tcBorders>
            <w:hideMark/>
          </w:tcPr>
          <w:p w:rsidR="00F366D2" w:rsidRPr="00F366D2" w:rsidRDefault="00F366D2" w:rsidP="00582630">
            <w:pPr>
              <w:rPr>
                <w:b/>
                <w:bCs/>
                <w:color w:val="4B4B4C"/>
              </w:rPr>
            </w:pPr>
          </w:p>
        </w:tc>
        <w:tc>
          <w:tcPr>
            <w:tcW w:w="1969" w:type="dxa"/>
            <w:vMerge/>
            <w:hideMark/>
          </w:tcPr>
          <w:p w:rsidR="00F366D2" w:rsidRPr="00F366D2" w:rsidRDefault="00F366D2" w:rsidP="00582630">
            <w:pPr>
              <w:rPr>
                <w:b/>
                <w:bCs/>
                <w:color w:val="4B4B4C"/>
              </w:rPr>
            </w:pPr>
          </w:p>
        </w:tc>
        <w:tc>
          <w:tcPr>
            <w:tcW w:w="1926" w:type="dxa"/>
            <w:vMerge/>
            <w:hideMark/>
          </w:tcPr>
          <w:p w:rsidR="00F366D2" w:rsidRPr="00F366D2" w:rsidRDefault="00F366D2" w:rsidP="00582630">
            <w:pPr>
              <w:rPr>
                <w:b/>
                <w:bCs/>
                <w:color w:val="4B4B4C"/>
              </w:rPr>
            </w:pPr>
          </w:p>
        </w:tc>
        <w:tc>
          <w:tcPr>
            <w:tcW w:w="1800" w:type="dxa"/>
            <w:vMerge/>
            <w:hideMark/>
          </w:tcPr>
          <w:p w:rsidR="00F366D2" w:rsidRPr="00F366D2" w:rsidRDefault="00F366D2" w:rsidP="00582630">
            <w:pPr>
              <w:rPr>
                <w:b/>
                <w:bCs/>
                <w:color w:val="4B4B4C"/>
              </w:rPr>
            </w:pPr>
          </w:p>
        </w:tc>
        <w:tc>
          <w:tcPr>
            <w:tcW w:w="1800" w:type="dxa"/>
            <w:vMerge/>
            <w:tcBorders>
              <w:right w:val="nil"/>
            </w:tcBorders>
            <w:hideMark/>
          </w:tcPr>
          <w:p w:rsidR="00F366D2" w:rsidRPr="00F366D2" w:rsidRDefault="00F366D2" w:rsidP="00582630">
            <w:pPr>
              <w:rPr>
                <w:b/>
                <w:bCs/>
                <w:color w:val="4B4B4C"/>
              </w:rPr>
            </w:pPr>
          </w:p>
        </w:tc>
      </w:tr>
      <w:tr w:rsidR="00F366D2" w:rsidRPr="00F366D2" w:rsidTr="0011592D">
        <w:trPr>
          <w:trHeight w:val="20"/>
        </w:trPr>
        <w:tc>
          <w:tcPr>
            <w:tcW w:w="1280" w:type="dxa"/>
            <w:tcBorders>
              <w:left w:val="nil"/>
            </w:tcBorders>
            <w:hideMark/>
          </w:tcPr>
          <w:p w:rsidR="00F366D2" w:rsidRPr="00F366D2" w:rsidRDefault="00F366D2" w:rsidP="00582630">
            <w:pPr>
              <w:rPr>
                <w:b/>
                <w:bCs/>
                <w:color w:val="4B4B4C"/>
              </w:rPr>
            </w:pPr>
            <w:r w:rsidRPr="00F366D2">
              <w:rPr>
                <w:b/>
                <w:bCs/>
                <w:color w:val="4B4B4C"/>
              </w:rPr>
              <w:t>Brasil</w:t>
            </w:r>
          </w:p>
        </w:tc>
        <w:tc>
          <w:tcPr>
            <w:tcW w:w="1969" w:type="dxa"/>
            <w:hideMark/>
          </w:tcPr>
          <w:p w:rsidR="00F366D2" w:rsidRPr="00F366D2" w:rsidRDefault="00F366D2" w:rsidP="00582630">
            <w:pPr>
              <w:jc w:val="right"/>
              <w:rPr>
                <w:b/>
                <w:bCs/>
                <w:color w:val="4B4B4C"/>
              </w:rPr>
            </w:pPr>
            <w:r w:rsidRPr="00F366D2">
              <w:rPr>
                <w:b/>
                <w:bCs/>
                <w:color w:val="4B4B4C"/>
              </w:rPr>
              <w:t>45,4</w:t>
            </w:r>
          </w:p>
        </w:tc>
        <w:tc>
          <w:tcPr>
            <w:tcW w:w="1926" w:type="dxa"/>
            <w:hideMark/>
          </w:tcPr>
          <w:p w:rsidR="00F366D2" w:rsidRPr="00F366D2" w:rsidRDefault="00F366D2" w:rsidP="00582630">
            <w:pPr>
              <w:jc w:val="right"/>
              <w:rPr>
                <w:b/>
                <w:bCs/>
                <w:color w:val="4B4B4C"/>
              </w:rPr>
            </w:pPr>
            <w:r w:rsidRPr="00F366D2">
              <w:rPr>
                <w:b/>
                <w:bCs/>
                <w:color w:val="4B4B4C"/>
              </w:rPr>
              <w:t>2,9</w:t>
            </w:r>
          </w:p>
        </w:tc>
        <w:tc>
          <w:tcPr>
            <w:tcW w:w="1800" w:type="dxa"/>
            <w:hideMark/>
          </w:tcPr>
          <w:p w:rsidR="00F366D2" w:rsidRPr="00F366D2" w:rsidRDefault="00F366D2" w:rsidP="00582630">
            <w:pPr>
              <w:rPr>
                <w:color w:val="4B4B4C"/>
              </w:rPr>
            </w:pPr>
            <w:r w:rsidRPr="00F366D2">
              <w:rPr>
                <w:color w:val="4B4B4C"/>
              </w:rPr>
              <w:t> </w:t>
            </w:r>
          </w:p>
        </w:tc>
        <w:tc>
          <w:tcPr>
            <w:tcW w:w="1800" w:type="dxa"/>
            <w:tcBorders>
              <w:right w:val="nil"/>
            </w:tcBorders>
            <w:hideMark/>
          </w:tcPr>
          <w:p w:rsidR="00F366D2" w:rsidRPr="00F366D2" w:rsidRDefault="00F366D2" w:rsidP="00582630">
            <w:pPr>
              <w:rPr>
                <w:color w:val="4B4B4C"/>
              </w:rPr>
            </w:pPr>
            <w:r w:rsidRPr="00F366D2">
              <w:rPr>
                <w:color w:val="4B4B4C"/>
              </w:rPr>
              <w:t> </w:t>
            </w:r>
          </w:p>
        </w:tc>
      </w:tr>
      <w:tr w:rsidR="00F366D2" w:rsidRPr="00F366D2" w:rsidTr="0011592D">
        <w:trPr>
          <w:trHeight w:val="20"/>
        </w:trPr>
        <w:tc>
          <w:tcPr>
            <w:tcW w:w="1280" w:type="dxa"/>
            <w:tcBorders>
              <w:left w:val="nil"/>
            </w:tcBorders>
            <w:hideMark/>
          </w:tcPr>
          <w:p w:rsidR="00F366D2" w:rsidRPr="00F366D2" w:rsidRDefault="00F366D2" w:rsidP="00582630">
            <w:pPr>
              <w:rPr>
                <w:b/>
                <w:bCs/>
                <w:color w:val="4B4B4C"/>
              </w:rPr>
            </w:pPr>
            <w:r w:rsidRPr="00F366D2">
              <w:rPr>
                <w:b/>
                <w:bCs/>
                <w:color w:val="4B4B4C"/>
              </w:rPr>
              <w:t>Norte</w:t>
            </w:r>
          </w:p>
        </w:tc>
        <w:tc>
          <w:tcPr>
            <w:tcW w:w="1969" w:type="dxa"/>
            <w:hideMark/>
          </w:tcPr>
          <w:p w:rsidR="00F366D2" w:rsidRPr="00F366D2" w:rsidRDefault="00F366D2" w:rsidP="00582630">
            <w:pPr>
              <w:jc w:val="right"/>
              <w:rPr>
                <w:b/>
                <w:bCs/>
                <w:color w:val="4B4B4C"/>
              </w:rPr>
            </w:pPr>
            <w:r w:rsidRPr="00F366D2">
              <w:rPr>
                <w:b/>
                <w:bCs/>
                <w:color w:val="4B4B4C"/>
              </w:rPr>
              <w:t>73,5</w:t>
            </w:r>
          </w:p>
        </w:tc>
        <w:tc>
          <w:tcPr>
            <w:tcW w:w="1926" w:type="dxa"/>
            <w:hideMark/>
          </w:tcPr>
          <w:p w:rsidR="00F366D2" w:rsidRPr="00F366D2" w:rsidRDefault="00F366D2" w:rsidP="00582630">
            <w:pPr>
              <w:jc w:val="right"/>
              <w:rPr>
                <w:b/>
                <w:bCs/>
                <w:color w:val="4B4B4C"/>
              </w:rPr>
            </w:pPr>
            <w:r w:rsidRPr="00F366D2">
              <w:rPr>
                <w:b/>
                <w:bCs/>
                <w:color w:val="4B4B4C"/>
              </w:rPr>
              <w:t>4,3</w:t>
            </w:r>
          </w:p>
        </w:tc>
        <w:tc>
          <w:tcPr>
            <w:tcW w:w="1800" w:type="dxa"/>
            <w:hideMark/>
          </w:tcPr>
          <w:p w:rsidR="00F366D2" w:rsidRPr="00F366D2" w:rsidRDefault="00F366D2" w:rsidP="00582630">
            <w:pPr>
              <w:jc w:val="right"/>
              <w:rPr>
                <w:b/>
                <w:bCs/>
                <w:color w:val="4B4B4C"/>
              </w:rPr>
            </w:pPr>
            <w:r w:rsidRPr="00F366D2">
              <w:rPr>
                <w:b/>
                <w:bCs/>
                <w:color w:val="4B4B4C"/>
              </w:rPr>
              <w:t>4,7</w:t>
            </w:r>
          </w:p>
        </w:tc>
        <w:tc>
          <w:tcPr>
            <w:tcW w:w="1800" w:type="dxa"/>
            <w:tcBorders>
              <w:right w:val="nil"/>
            </w:tcBorders>
            <w:hideMark/>
          </w:tcPr>
          <w:p w:rsidR="00F366D2" w:rsidRPr="00F366D2" w:rsidRDefault="00F366D2" w:rsidP="00582630">
            <w:pPr>
              <w:jc w:val="right"/>
              <w:rPr>
                <w:b/>
                <w:bCs/>
                <w:color w:val="4B4B4C"/>
              </w:rPr>
            </w:pPr>
            <w:r w:rsidRPr="00F366D2">
              <w:rPr>
                <w:b/>
                <w:bCs/>
                <w:color w:val="4B4B4C"/>
              </w:rPr>
              <w:t>5,4</w:t>
            </w:r>
          </w:p>
        </w:tc>
      </w:tr>
      <w:tr w:rsidR="00F366D2" w:rsidRPr="00F366D2" w:rsidTr="0011592D">
        <w:trPr>
          <w:trHeight w:val="20"/>
        </w:trPr>
        <w:tc>
          <w:tcPr>
            <w:tcW w:w="1280" w:type="dxa"/>
            <w:tcBorders>
              <w:left w:val="nil"/>
            </w:tcBorders>
            <w:hideMark/>
          </w:tcPr>
          <w:p w:rsidR="00F366D2" w:rsidRPr="00F366D2" w:rsidRDefault="00F366D2" w:rsidP="00582630">
            <w:pPr>
              <w:rPr>
                <w:b/>
                <w:bCs/>
                <w:color w:val="4B4B4C"/>
              </w:rPr>
            </w:pPr>
            <w:r w:rsidRPr="00F366D2">
              <w:rPr>
                <w:b/>
                <w:bCs/>
                <w:color w:val="4B4B4C"/>
              </w:rPr>
              <w:t>Nordeste</w:t>
            </w:r>
          </w:p>
        </w:tc>
        <w:tc>
          <w:tcPr>
            <w:tcW w:w="1969" w:type="dxa"/>
            <w:hideMark/>
          </w:tcPr>
          <w:p w:rsidR="00F366D2" w:rsidRPr="00F366D2" w:rsidRDefault="00F366D2" w:rsidP="00582630">
            <w:pPr>
              <w:jc w:val="right"/>
              <w:rPr>
                <w:b/>
                <w:bCs/>
                <w:color w:val="4B4B4C"/>
              </w:rPr>
            </w:pPr>
            <w:r w:rsidRPr="00F366D2">
              <w:rPr>
                <w:b/>
                <w:bCs/>
                <w:color w:val="4B4B4C"/>
              </w:rPr>
              <w:t>53,5</w:t>
            </w:r>
          </w:p>
        </w:tc>
        <w:tc>
          <w:tcPr>
            <w:tcW w:w="1926" w:type="dxa"/>
            <w:hideMark/>
          </w:tcPr>
          <w:p w:rsidR="00F366D2" w:rsidRPr="00F366D2" w:rsidRDefault="00F366D2" w:rsidP="00582630">
            <w:pPr>
              <w:jc w:val="right"/>
              <w:rPr>
                <w:b/>
                <w:bCs/>
                <w:color w:val="4B4B4C"/>
              </w:rPr>
            </w:pPr>
            <w:r w:rsidRPr="00F366D2">
              <w:rPr>
                <w:b/>
                <w:bCs/>
                <w:color w:val="4B4B4C"/>
              </w:rPr>
              <w:t>3,3</w:t>
            </w:r>
          </w:p>
        </w:tc>
        <w:tc>
          <w:tcPr>
            <w:tcW w:w="1800" w:type="dxa"/>
            <w:hideMark/>
          </w:tcPr>
          <w:p w:rsidR="00F366D2" w:rsidRPr="00F366D2" w:rsidRDefault="00F366D2" w:rsidP="00582630">
            <w:pPr>
              <w:jc w:val="right"/>
              <w:rPr>
                <w:b/>
                <w:bCs/>
                <w:color w:val="4B4B4C"/>
              </w:rPr>
            </w:pPr>
            <w:r w:rsidRPr="00F366D2">
              <w:rPr>
                <w:b/>
                <w:bCs/>
                <w:color w:val="4B4B4C"/>
              </w:rPr>
              <w:t>13,1</w:t>
            </w:r>
          </w:p>
        </w:tc>
        <w:tc>
          <w:tcPr>
            <w:tcW w:w="1800" w:type="dxa"/>
            <w:tcBorders>
              <w:right w:val="nil"/>
            </w:tcBorders>
            <w:hideMark/>
          </w:tcPr>
          <w:p w:rsidR="00F366D2" w:rsidRPr="00F366D2" w:rsidRDefault="00F366D2" w:rsidP="00582630">
            <w:pPr>
              <w:jc w:val="right"/>
              <w:rPr>
                <w:b/>
                <w:bCs/>
                <w:color w:val="4B4B4C"/>
              </w:rPr>
            </w:pPr>
            <w:r w:rsidRPr="00F366D2">
              <w:rPr>
                <w:b/>
                <w:bCs/>
                <w:color w:val="4B4B4C"/>
              </w:rPr>
              <w:t>14,2</w:t>
            </w:r>
          </w:p>
        </w:tc>
      </w:tr>
      <w:tr w:rsidR="00F366D2" w:rsidRPr="00F366D2" w:rsidTr="0011592D">
        <w:trPr>
          <w:trHeight w:val="20"/>
        </w:trPr>
        <w:tc>
          <w:tcPr>
            <w:tcW w:w="1280" w:type="dxa"/>
            <w:tcBorders>
              <w:left w:val="nil"/>
            </w:tcBorders>
            <w:hideMark/>
          </w:tcPr>
          <w:p w:rsidR="00F366D2" w:rsidRPr="00F366D2" w:rsidRDefault="00F366D2" w:rsidP="00582630">
            <w:pPr>
              <w:rPr>
                <w:b/>
                <w:bCs/>
                <w:color w:val="4B4B4C"/>
              </w:rPr>
            </w:pPr>
            <w:r w:rsidRPr="00F366D2">
              <w:rPr>
                <w:b/>
                <w:bCs/>
                <w:color w:val="4B4B4C"/>
              </w:rPr>
              <w:t>Sudeste</w:t>
            </w:r>
          </w:p>
        </w:tc>
        <w:tc>
          <w:tcPr>
            <w:tcW w:w="1969" w:type="dxa"/>
            <w:hideMark/>
          </w:tcPr>
          <w:p w:rsidR="00F366D2" w:rsidRPr="00F366D2" w:rsidRDefault="00F366D2" w:rsidP="00582630">
            <w:pPr>
              <w:jc w:val="right"/>
              <w:rPr>
                <w:b/>
                <w:bCs/>
                <w:color w:val="4B4B4C"/>
              </w:rPr>
            </w:pPr>
            <w:r w:rsidRPr="00F366D2">
              <w:rPr>
                <w:b/>
                <w:bCs/>
                <w:color w:val="4B4B4C"/>
              </w:rPr>
              <w:t>40,4</w:t>
            </w:r>
          </w:p>
        </w:tc>
        <w:tc>
          <w:tcPr>
            <w:tcW w:w="1926" w:type="dxa"/>
            <w:hideMark/>
          </w:tcPr>
          <w:p w:rsidR="00F366D2" w:rsidRPr="00F366D2" w:rsidRDefault="00F366D2" w:rsidP="00582630">
            <w:pPr>
              <w:jc w:val="right"/>
              <w:rPr>
                <w:b/>
                <w:bCs/>
                <w:color w:val="4B4B4C"/>
              </w:rPr>
            </w:pPr>
            <w:r w:rsidRPr="00F366D2">
              <w:rPr>
                <w:b/>
                <w:bCs/>
                <w:color w:val="4B4B4C"/>
              </w:rPr>
              <w:t>2,6</w:t>
            </w:r>
          </w:p>
        </w:tc>
        <w:tc>
          <w:tcPr>
            <w:tcW w:w="1800" w:type="dxa"/>
            <w:hideMark/>
          </w:tcPr>
          <w:p w:rsidR="00F366D2" w:rsidRPr="00F366D2" w:rsidRDefault="00F366D2" w:rsidP="00582630">
            <w:pPr>
              <w:jc w:val="right"/>
              <w:rPr>
                <w:b/>
                <w:bCs/>
                <w:color w:val="4B4B4C"/>
              </w:rPr>
            </w:pPr>
            <w:r w:rsidRPr="00F366D2">
              <w:rPr>
                <w:b/>
                <w:bCs/>
                <w:color w:val="4B4B4C"/>
              </w:rPr>
              <w:t>57,4</w:t>
            </w:r>
          </w:p>
        </w:tc>
        <w:tc>
          <w:tcPr>
            <w:tcW w:w="1800" w:type="dxa"/>
            <w:tcBorders>
              <w:right w:val="nil"/>
            </w:tcBorders>
            <w:hideMark/>
          </w:tcPr>
          <w:p w:rsidR="00F366D2" w:rsidRPr="00F366D2" w:rsidRDefault="00F366D2" w:rsidP="00582630">
            <w:pPr>
              <w:jc w:val="right"/>
              <w:rPr>
                <w:b/>
                <w:bCs/>
                <w:color w:val="4B4B4C"/>
              </w:rPr>
            </w:pPr>
            <w:r w:rsidRPr="00F366D2">
              <w:rPr>
                <w:b/>
                <w:bCs/>
                <w:color w:val="4B4B4C"/>
              </w:rPr>
              <w:t>54</w:t>
            </w:r>
          </w:p>
        </w:tc>
      </w:tr>
      <w:tr w:rsidR="00F366D2" w:rsidRPr="00F366D2" w:rsidTr="0011592D">
        <w:trPr>
          <w:trHeight w:val="20"/>
        </w:trPr>
        <w:tc>
          <w:tcPr>
            <w:tcW w:w="1280" w:type="dxa"/>
            <w:tcBorders>
              <w:left w:val="nil"/>
            </w:tcBorders>
            <w:hideMark/>
          </w:tcPr>
          <w:p w:rsidR="00F366D2" w:rsidRPr="00F366D2" w:rsidRDefault="00F366D2" w:rsidP="00582630">
            <w:pPr>
              <w:rPr>
                <w:b/>
                <w:bCs/>
                <w:color w:val="4B4B4C"/>
              </w:rPr>
            </w:pPr>
            <w:r w:rsidRPr="00F366D2">
              <w:rPr>
                <w:b/>
                <w:bCs/>
                <w:color w:val="4B4B4C"/>
              </w:rPr>
              <w:t>Sul</w:t>
            </w:r>
          </w:p>
        </w:tc>
        <w:tc>
          <w:tcPr>
            <w:tcW w:w="1969" w:type="dxa"/>
            <w:hideMark/>
          </w:tcPr>
          <w:p w:rsidR="00F366D2" w:rsidRPr="00F366D2" w:rsidRDefault="00F366D2" w:rsidP="00582630">
            <w:pPr>
              <w:jc w:val="right"/>
              <w:rPr>
                <w:b/>
                <w:bCs/>
                <w:color w:val="4B4B4C"/>
              </w:rPr>
            </w:pPr>
            <w:r w:rsidRPr="00F366D2">
              <w:rPr>
                <w:b/>
                <w:bCs/>
                <w:color w:val="4B4B4C"/>
              </w:rPr>
              <w:t>36,9</w:t>
            </w:r>
          </w:p>
        </w:tc>
        <w:tc>
          <w:tcPr>
            <w:tcW w:w="1926" w:type="dxa"/>
            <w:hideMark/>
          </w:tcPr>
          <w:p w:rsidR="00F366D2" w:rsidRPr="00F366D2" w:rsidRDefault="00F366D2" w:rsidP="00582630">
            <w:pPr>
              <w:jc w:val="right"/>
              <w:rPr>
                <w:b/>
                <w:bCs/>
                <w:color w:val="4B4B4C"/>
              </w:rPr>
            </w:pPr>
            <w:r w:rsidRPr="00F366D2">
              <w:rPr>
                <w:b/>
                <w:bCs/>
                <w:color w:val="4B4B4C"/>
              </w:rPr>
              <w:t>2,4</w:t>
            </w:r>
          </w:p>
        </w:tc>
        <w:tc>
          <w:tcPr>
            <w:tcW w:w="1800" w:type="dxa"/>
            <w:hideMark/>
          </w:tcPr>
          <w:p w:rsidR="00F366D2" w:rsidRPr="00F366D2" w:rsidRDefault="00F366D2" w:rsidP="00582630">
            <w:pPr>
              <w:jc w:val="right"/>
              <w:rPr>
                <w:b/>
                <w:bCs/>
                <w:color w:val="4B4B4C"/>
              </w:rPr>
            </w:pPr>
            <w:r w:rsidRPr="00F366D2">
              <w:rPr>
                <w:b/>
                <w:bCs/>
                <w:color w:val="4B4B4C"/>
              </w:rPr>
              <w:t>16,2</w:t>
            </w:r>
          </w:p>
        </w:tc>
        <w:tc>
          <w:tcPr>
            <w:tcW w:w="1800" w:type="dxa"/>
            <w:tcBorders>
              <w:right w:val="nil"/>
            </w:tcBorders>
            <w:hideMark/>
          </w:tcPr>
          <w:p w:rsidR="00F366D2" w:rsidRPr="00F366D2" w:rsidRDefault="00F366D2" w:rsidP="00582630">
            <w:pPr>
              <w:jc w:val="right"/>
              <w:rPr>
                <w:b/>
                <w:bCs/>
                <w:color w:val="4B4B4C"/>
              </w:rPr>
            </w:pPr>
            <w:r w:rsidRPr="00F366D2">
              <w:rPr>
                <w:b/>
                <w:bCs/>
                <w:color w:val="4B4B4C"/>
              </w:rPr>
              <w:t>16,8</w:t>
            </w:r>
          </w:p>
        </w:tc>
      </w:tr>
      <w:tr w:rsidR="00F366D2" w:rsidRPr="00F366D2" w:rsidTr="0011592D">
        <w:trPr>
          <w:trHeight w:val="20"/>
        </w:trPr>
        <w:tc>
          <w:tcPr>
            <w:tcW w:w="1280" w:type="dxa"/>
            <w:tcBorders>
              <w:left w:val="nil"/>
            </w:tcBorders>
            <w:hideMark/>
          </w:tcPr>
          <w:p w:rsidR="00F366D2" w:rsidRPr="00F366D2" w:rsidRDefault="00F366D2" w:rsidP="00582630">
            <w:pPr>
              <w:rPr>
                <w:b/>
                <w:bCs/>
                <w:color w:val="4B4B4C"/>
              </w:rPr>
            </w:pPr>
            <w:r w:rsidRPr="00F366D2">
              <w:rPr>
                <w:b/>
                <w:bCs/>
                <w:color w:val="4B4B4C"/>
              </w:rPr>
              <w:t>Centro-Oeste</w:t>
            </w:r>
          </w:p>
        </w:tc>
        <w:tc>
          <w:tcPr>
            <w:tcW w:w="1969" w:type="dxa"/>
            <w:hideMark/>
          </w:tcPr>
          <w:p w:rsidR="00F366D2" w:rsidRPr="00F366D2" w:rsidRDefault="00F366D2" w:rsidP="00582630">
            <w:pPr>
              <w:jc w:val="right"/>
              <w:rPr>
                <w:b/>
                <w:bCs/>
                <w:color w:val="4B4B4C"/>
              </w:rPr>
            </w:pPr>
            <w:r w:rsidRPr="00F366D2">
              <w:rPr>
                <w:b/>
                <w:bCs/>
                <w:color w:val="4B4B4C"/>
              </w:rPr>
              <w:t>67,7</w:t>
            </w:r>
          </w:p>
        </w:tc>
        <w:tc>
          <w:tcPr>
            <w:tcW w:w="1926" w:type="dxa"/>
            <w:hideMark/>
          </w:tcPr>
          <w:p w:rsidR="00F366D2" w:rsidRPr="00F366D2" w:rsidRDefault="00F366D2" w:rsidP="00582630">
            <w:pPr>
              <w:jc w:val="right"/>
              <w:rPr>
                <w:b/>
                <w:bCs/>
                <w:color w:val="4B4B4C"/>
              </w:rPr>
            </w:pPr>
            <w:r w:rsidRPr="00F366D2">
              <w:rPr>
                <w:b/>
                <w:bCs/>
                <w:color w:val="4B4B4C"/>
              </w:rPr>
              <w:t>4,1</w:t>
            </w:r>
          </w:p>
        </w:tc>
        <w:tc>
          <w:tcPr>
            <w:tcW w:w="1800" w:type="dxa"/>
            <w:hideMark/>
          </w:tcPr>
          <w:p w:rsidR="00F366D2" w:rsidRPr="00F366D2" w:rsidRDefault="00F366D2" w:rsidP="00582630">
            <w:pPr>
              <w:jc w:val="right"/>
              <w:rPr>
                <w:b/>
                <w:bCs/>
                <w:color w:val="4B4B4C"/>
              </w:rPr>
            </w:pPr>
            <w:r w:rsidRPr="00F366D2">
              <w:rPr>
                <w:b/>
                <w:bCs/>
                <w:color w:val="4B4B4C"/>
              </w:rPr>
              <w:t>8,6</w:t>
            </w:r>
          </w:p>
        </w:tc>
        <w:tc>
          <w:tcPr>
            <w:tcW w:w="1800" w:type="dxa"/>
            <w:tcBorders>
              <w:right w:val="nil"/>
            </w:tcBorders>
            <w:hideMark/>
          </w:tcPr>
          <w:p w:rsidR="00F366D2" w:rsidRPr="00F366D2" w:rsidRDefault="00F366D2" w:rsidP="00582630">
            <w:pPr>
              <w:jc w:val="right"/>
              <w:rPr>
                <w:b/>
                <w:bCs/>
                <w:color w:val="4B4B4C"/>
              </w:rPr>
            </w:pPr>
            <w:r w:rsidRPr="00F366D2">
              <w:rPr>
                <w:b/>
                <w:bCs/>
                <w:color w:val="4B4B4C"/>
              </w:rPr>
              <w:t>9,7</w:t>
            </w:r>
          </w:p>
        </w:tc>
      </w:tr>
    </w:tbl>
    <w:p w:rsidR="00F366D2" w:rsidRPr="00F366D2" w:rsidRDefault="00F366D2" w:rsidP="00C668C4">
      <w:pPr>
        <w:jc w:val="center"/>
        <w:rPr>
          <w:sz w:val="24"/>
          <w:szCs w:val="24"/>
        </w:rPr>
      </w:pPr>
      <w:r w:rsidRPr="00F366D2">
        <w:t>Fonte: Adaptado pelos autores conforme pesquisa apresentado IBGE, em parceria com os Órgãos Estaduais de Estatística, Secretarias Estaduais de Governo e Superintendência da Zona Franca de Manaus - SUFRAMA.</w:t>
      </w:r>
    </w:p>
    <w:p w:rsidR="00F366D2" w:rsidRPr="00F366D2" w:rsidRDefault="00F366D2" w:rsidP="00C668C4">
      <w:pPr>
        <w:pStyle w:val="PargrafodaLista"/>
        <w:ind w:left="0" w:firstLine="709"/>
        <w:jc w:val="both"/>
        <w:rPr>
          <w:sz w:val="24"/>
          <w:szCs w:val="24"/>
        </w:rPr>
      </w:pPr>
    </w:p>
    <w:p w:rsidR="00F366D2" w:rsidRDefault="00F366D2" w:rsidP="00C668C4">
      <w:pPr>
        <w:pStyle w:val="PargrafodaLista"/>
        <w:ind w:left="0" w:firstLine="709"/>
        <w:jc w:val="both"/>
        <w:rPr>
          <w:sz w:val="24"/>
          <w:szCs w:val="24"/>
        </w:rPr>
      </w:pPr>
      <w:r w:rsidRPr="00F366D2">
        <w:rPr>
          <w:sz w:val="24"/>
          <w:szCs w:val="24"/>
        </w:rPr>
        <w:t xml:space="preserve">A região sul do Brasil composta por Paraná, Rio Grande do Sul e Santa Catarina contribui com aproximadamente 17% do Produto Interno Bruto da Federação, conforme apresentado na tabela </w:t>
      </w:r>
      <w:r w:rsidR="00815417">
        <w:rPr>
          <w:sz w:val="24"/>
          <w:szCs w:val="24"/>
        </w:rPr>
        <w:t>3</w:t>
      </w:r>
      <w:r w:rsidRPr="00F366D2">
        <w:rPr>
          <w:sz w:val="24"/>
          <w:szCs w:val="24"/>
        </w:rPr>
        <w:t xml:space="preserve"> adaptado pelos autores baseados em estudo feito pelo Instituto Brasileiro de Geografia e Estatística entre os anos de 2002 e 2015, divulgados em 2017.</w:t>
      </w:r>
    </w:p>
    <w:p w:rsidR="00ED0893" w:rsidRPr="00F366D2" w:rsidRDefault="00ED0893" w:rsidP="00F366D2">
      <w:pPr>
        <w:pStyle w:val="PargrafodaLista"/>
        <w:ind w:left="0" w:firstLine="709"/>
        <w:jc w:val="both"/>
        <w:rPr>
          <w:sz w:val="24"/>
          <w:szCs w:val="24"/>
        </w:rPr>
      </w:pPr>
    </w:p>
    <w:p w:rsidR="00F366D2" w:rsidRPr="0011592D" w:rsidRDefault="0011592D" w:rsidP="0011592D">
      <w:pPr>
        <w:suppressAutoHyphens w:val="0"/>
        <w:jc w:val="both"/>
        <w:rPr>
          <w:sz w:val="24"/>
          <w:szCs w:val="24"/>
        </w:rPr>
      </w:pPr>
      <w:r w:rsidRPr="0011592D">
        <w:rPr>
          <w:sz w:val="24"/>
          <w:szCs w:val="24"/>
        </w:rPr>
        <w:lastRenderedPageBreak/>
        <w:t xml:space="preserve">4.2 </w:t>
      </w:r>
      <w:r w:rsidR="00F366D2" w:rsidRPr="0011592D">
        <w:rPr>
          <w:sz w:val="24"/>
          <w:szCs w:val="24"/>
        </w:rPr>
        <w:t xml:space="preserve">OBSERVÂNCIA DAS DESPESAS </w:t>
      </w:r>
    </w:p>
    <w:p w:rsidR="0011592D" w:rsidRDefault="0011592D" w:rsidP="00F366D2">
      <w:pPr>
        <w:ind w:firstLine="709"/>
        <w:contextualSpacing/>
        <w:jc w:val="both"/>
        <w:rPr>
          <w:sz w:val="24"/>
          <w:szCs w:val="24"/>
        </w:rPr>
      </w:pPr>
    </w:p>
    <w:p w:rsidR="00F366D2" w:rsidRPr="00F366D2" w:rsidRDefault="00F366D2" w:rsidP="00F366D2">
      <w:pPr>
        <w:ind w:firstLine="709"/>
        <w:contextualSpacing/>
        <w:jc w:val="both"/>
        <w:rPr>
          <w:sz w:val="24"/>
          <w:szCs w:val="24"/>
        </w:rPr>
      </w:pPr>
      <w:r w:rsidRPr="00F366D2">
        <w:rPr>
          <w:sz w:val="24"/>
          <w:szCs w:val="24"/>
        </w:rPr>
        <w:t>Nesta seção são</w:t>
      </w:r>
      <w:r w:rsidR="006D0E1E">
        <w:rPr>
          <w:sz w:val="24"/>
          <w:szCs w:val="24"/>
        </w:rPr>
        <w:t xml:space="preserve"> </w:t>
      </w:r>
      <w:r w:rsidRPr="00F366D2">
        <w:rPr>
          <w:sz w:val="24"/>
          <w:szCs w:val="24"/>
        </w:rPr>
        <w:t>apresentados</w:t>
      </w:r>
      <w:r w:rsidR="006D0E1E">
        <w:rPr>
          <w:sz w:val="24"/>
          <w:szCs w:val="24"/>
        </w:rPr>
        <w:t xml:space="preserve"> </w:t>
      </w:r>
      <w:r w:rsidRPr="00F366D2">
        <w:rPr>
          <w:sz w:val="24"/>
          <w:szCs w:val="24"/>
        </w:rPr>
        <w:t>os totais de despesas totais com pessoal realizados por cada órgão entre os anos de 2010 e 2016. A análise é feita com relação à receita corrente liquida de cada Estado. Todos os dados foram colhidos nos portais de transparência dos respectivos órgãos.</w:t>
      </w:r>
      <w:r w:rsidR="006D0E1E">
        <w:rPr>
          <w:sz w:val="24"/>
          <w:szCs w:val="24"/>
        </w:rPr>
        <w:t xml:space="preserve"> </w:t>
      </w:r>
      <w:r w:rsidRPr="00F366D2">
        <w:rPr>
          <w:sz w:val="24"/>
          <w:szCs w:val="24"/>
        </w:rPr>
        <w:t>Os dados colhidos como da despesa total com pessoal e receita corrente liquida estão expressos na Tabela 5, na qual apresentam</w:t>
      </w:r>
      <w:r w:rsidR="006D0E1E">
        <w:rPr>
          <w:sz w:val="24"/>
          <w:szCs w:val="24"/>
        </w:rPr>
        <w:t xml:space="preserve"> </w:t>
      </w:r>
      <w:r w:rsidRPr="00F366D2">
        <w:rPr>
          <w:sz w:val="24"/>
          <w:szCs w:val="24"/>
        </w:rPr>
        <w:t>também os limites determinados pela Lei de Responsabilidade Fiscal, a fim de facilitar a análise dos dados.</w:t>
      </w:r>
    </w:p>
    <w:p w:rsidR="00F366D2" w:rsidRPr="00F366D2" w:rsidRDefault="00F366D2" w:rsidP="00F366D2">
      <w:pPr>
        <w:ind w:firstLine="709"/>
        <w:contextualSpacing/>
        <w:jc w:val="both"/>
        <w:rPr>
          <w:sz w:val="24"/>
          <w:szCs w:val="24"/>
        </w:rPr>
      </w:pPr>
      <w:r w:rsidRPr="00F366D2">
        <w:rPr>
          <w:sz w:val="24"/>
          <w:szCs w:val="24"/>
        </w:rPr>
        <w:t xml:space="preserve">Em uma primeira análise dos dados coletados pode-se observar um ponto importante nos relatórios apresentados pelos órgãos do Paraná. No Relatório de Gestão Fiscal emitido, em 31 de janeiro de 2011, pela Assembleia Legislativa a receita corrente líquida apresentada é de R$16.484.389.093,22, enquanto o valor apresentado pelo Tribunal de Contas do Estado traz um valor de R$ 18.967.281.689,00. Entretanto o Tribunal de contas traz em sua nota que tal valor dar-se a partir de uma republicação da Secretaria de Estado da Fazenda extraída em 28 de março de 2011. Neste contexto, percebe-se que faltou uma republicação do relatório por parte da assembleia legislativa, visto que com a mudança da receita os limites devem ser alterados. </w:t>
      </w:r>
    </w:p>
    <w:p w:rsidR="00F366D2" w:rsidRPr="00F366D2" w:rsidRDefault="00F366D2" w:rsidP="00F366D2">
      <w:pPr>
        <w:ind w:firstLine="709"/>
        <w:contextualSpacing/>
        <w:jc w:val="both"/>
        <w:rPr>
          <w:sz w:val="24"/>
          <w:szCs w:val="24"/>
        </w:rPr>
      </w:pPr>
      <w:r w:rsidRPr="00F366D2">
        <w:rPr>
          <w:sz w:val="24"/>
          <w:szCs w:val="24"/>
        </w:rPr>
        <w:t>Nos relatórios</w:t>
      </w:r>
      <w:r w:rsidR="006D0E1E">
        <w:rPr>
          <w:sz w:val="24"/>
          <w:szCs w:val="24"/>
        </w:rPr>
        <w:t xml:space="preserve"> </w:t>
      </w:r>
      <w:r w:rsidRPr="00F366D2">
        <w:rPr>
          <w:sz w:val="24"/>
          <w:szCs w:val="24"/>
        </w:rPr>
        <w:t>analisados pode-se identificar, a partir do cálculo efetuado pelos autores no que se referem aos limites, inconsistências nos valores referentes ao limite de prudência do Estado do Paraná em todos os anos analisados da assembleia legislativa e entre os anos de 2010 e 2014 do tribunal de contas. Tais inconsistências acreditasse ser questão de arredondamento do índice.</w:t>
      </w:r>
      <w:r w:rsidR="006D0E1E">
        <w:rPr>
          <w:sz w:val="24"/>
          <w:szCs w:val="24"/>
        </w:rPr>
        <w:t xml:space="preserve"> </w:t>
      </w:r>
      <w:r w:rsidRPr="00F366D2">
        <w:rPr>
          <w:sz w:val="24"/>
          <w:szCs w:val="24"/>
        </w:rPr>
        <w:t>No Estado do Rio Grande do Sul foi possível identificar tal inconsistência, em ambos os órgãos, entre os anos de 2010 e 2014, nos relatórios dos órgãos que compõem o poder legislativo do Estado de Santa Catarina a inconsistência, referente ao arredondamento, não foi encontrado.</w:t>
      </w:r>
      <w:r w:rsidR="006D0E1E">
        <w:rPr>
          <w:sz w:val="24"/>
          <w:szCs w:val="24"/>
        </w:rPr>
        <w:t xml:space="preserve"> </w:t>
      </w:r>
      <w:r w:rsidRPr="00F366D2">
        <w:rPr>
          <w:sz w:val="24"/>
          <w:szCs w:val="24"/>
        </w:rPr>
        <w:t>Os limites de alerta não foram informados pela assembleia legislativa do Paraná em nenhum dos anos analisados, já os órgãos dos estados do Rio Grande do Sul e de Santa Catarina apresentam o limite de alerta a partir do ano de 2013.</w:t>
      </w:r>
    </w:p>
    <w:p w:rsidR="00F366D2" w:rsidRPr="00F366D2" w:rsidRDefault="00F366D2" w:rsidP="00543873">
      <w:pPr>
        <w:ind w:firstLine="709"/>
        <w:contextualSpacing/>
        <w:jc w:val="both"/>
        <w:rPr>
          <w:sz w:val="24"/>
          <w:szCs w:val="24"/>
        </w:rPr>
      </w:pPr>
      <w:r w:rsidRPr="00F366D2">
        <w:rPr>
          <w:sz w:val="24"/>
          <w:szCs w:val="24"/>
        </w:rPr>
        <w:t xml:space="preserve">No que se diz respeito a corrente liquida podemos observar, conforme Gráfico 1, que ocorreu um aumento significativo nos três estados. Ao compararmos o ano de 2010 ao de 2016, obtendo um aumento acima de 70% em ambos estados. O Estado do Rio Grande do Sul apresenta a maior receita corrente liquida, no montante de R$ 34.654.897.410,30, seguido de perto pelo Estado do Paraná com um montante de R$ 34.135.447.821,98. O Estado de Santa Catarina apresenta uma receita aproximadamente 59% menor do que a receita do Estado do Rio Grande do Sul, com um montante de R$ 20.488.858.892,36. </w:t>
      </w:r>
    </w:p>
    <w:p w:rsidR="00F366D2" w:rsidRPr="00F366D2" w:rsidRDefault="0011592D" w:rsidP="00F366D2">
      <w:pPr>
        <w:spacing w:line="360" w:lineRule="auto"/>
        <w:jc w:val="center"/>
        <w:rPr>
          <w:sz w:val="24"/>
          <w:szCs w:val="24"/>
        </w:rPr>
      </w:pPr>
      <w:r w:rsidRPr="00F366D2">
        <w:rPr>
          <w:noProof/>
          <w:sz w:val="24"/>
          <w:szCs w:val="24"/>
        </w:rPr>
        <w:drawing>
          <wp:inline distT="0" distB="0" distL="0" distR="0">
            <wp:extent cx="3495675" cy="1495425"/>
            <wp:effectExtent l="0" t="0" r="0" b="0"/>
            <wp:docPr id="6"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1592D" w:rsidRPr="00815417" w:rsidRDefault="0011592D" w:rsidP="00C668C4">
      <w:pPr>
        <w:contextualSpacing/>
        <w:jc w:val="center"/>
        <w:rPr>
          <w:b/>
          <w:sz w:val="24"/>
          <w:szCs w:val="24"/>
        </w:rPr>
      </w:pPr>
      <w:r w:rsidRPr="00815417">
        <w:rPr>
          <w:b/>
          <w:sz w:val="24"/>
          <w:szCs w:val="24"/>
        </w:rPr>
        <w:t>Figura 1. Receita corrente liquida por Estado - Valores monetários originais em milhares de reais</w:t>
      </w:r>
    </w:p>
    <w:p w:rsidR="00F366D2" w:rsidRPr="00F366D2" w:rsidRDefault="00F366D2" w:rsidP="00C668C4">
      <w:pPr>
        <w:contextualSpacing/>
        <w:jc w:val="center"/>
      </w:pPr>
      <w:r w:rsidRPr="00F366D2">
        <w:t>Fonte: Elaborado pelos autores com base nos Relatórios de Gestão Fiscal, disponibilizados por cada órgão em seu respectivo portal de transparência.</w:t>
      </w:r>
    </w:p>
    <w:p w:rsidR="00F366D2" w:rsidRPr="00F366D2" w:rsidRDefault="00F366D2" w:rsidP="00543873">
      <w:pPr>
        <w:ind w:firstLine="709"/>
        <w:contextualSpacing/>
        <w:jc w:val="both"/>
        <w:rPr>
          <w:sz w:val="24"/>
          <w:szCs w:val="24"/>
        </w:rPr>
      </w:pPr>
    </w:p>
    <w:p w:rsidR="00F366D2" w:rsidRPr="00F366D2" w:rsidRDefault="00F366D2" w:rsidP="00543873">
      <w:pPr>
        <w:ind w:firstLine="709"/>
        <w:contextualSpacing/>
        <w:jc w:val="both"/>
        <w:rPr>
          <w:sz w:val="24"/>
          <w:szCs w:val="24"/>
        </w:rPr>
      </w:pPr>
      <w:r w:rsidRPr="00F366D2">
        <w:rPr>
          <w:sz w:val="24"/>
          <w:szCs w:val="24"/>
        </w:rPr>
        <w:lastRenderedPageBreak/>
        <w:t xml:space="preserve">Conforme a tabela </w:t>
      </w:r>
      <w:r w:rsidR="00815417">
        <w:rPr>
          <w:sz w:val="24"/>
          <w:szCs w:val="24"/>
        </w:rPr>
        <w:t>4</w:t>
      </w:r>
      <w:r w:rsidRPr="00F366D2">
        <w:rPr>
          <w:sz w:val="24"/>
          <w:szCs w:val="24"/>
        </w:rPr>
        <w:t xml:space="preserve"> percebeu-se que a receita do Estado do Paraná apresentou aumento significativo em quatro anos seguidos, fazendo com quem em 2015 tal receita fosse superior à receita do Estado do Rio Grande do Sul o que não aconteceu nos demais anos analisados. O maior aumento foi registrado pelo Estado de Santa Catarina aonde em 2011 a receita foi aproximadamente 14% superior ao ano de 2010. </w:t>
      </w:r>
    </w:p>
    <w:p w:rsidR="00F366D2" w:rsidRPr="00F366D2" w:rsidRDefault="00F366D2" w:rsidP="00543873">
      <w:pPr>
        <w:ind w:firstLine="709"/>
        <w:contextualSpacing/>
        <w:jc w:val="both"/>
        <w:rPr>
          <w:sz w:val="24"/>
          <w:szCs w:val="24"/>
        </w:rPr>
      </w:pPr>
    </w:p>
    <w:p w:rsidR="00F366D2" w:rsidRPr="00815417" w:rsidRDefault="00F366D2" w:rsidP="00543873">
      <w:pPr>
        <w:contextualSpacing/>
        <w:jc w:val="center"/>
        <w:rPr>
          <w:b/>
          <w:sz w:val="24"/>
          <w:szCs w:val="24"/>
        </w:rPr>
      </w:pPr>
      <w:r w:rsidRPr="00815417">
        <w:rPr>
          <w:b/>
          <w:sz w:val="24"/>
          <w:szCs w:val="24"/>
        </w:rPr>
        <w:t xml:space="preserve">Tabela </w:t>
      </w:r>
      <w:r w:rsidR="0075762A" w:rsidRPr="00815417">
        <w:rPr>
          <w:b/>
          <w:sz w:val="24"/>
          <w:szCs w:val="24"/>
        </w:rPr>
        <w:t>4</w:t>
      </w:r>
      <w:r w:rsidRPr="00815417">
        <w:rPr>
          <w:b/>
          <w:sz w:val="24"/>
          <w:szCs w:val="24"/>
        </w:rPr>
        <w:t xml:space="preserve">. </w:t>
      </w:r>
      <w:r w:rsidR="00C1772C" w:rsidRPr="00815417">
        <w:rPr>
          <w:b/>
          <w:sz w:val="24"/>
          <w:szCs w:val="24"/>
        </w:rPr>
        <w:t>Variação das receitas correntes liquida</w:t>
      </w:r>
      <w:r w:rsidRPr="00815417">
        <w:rPr>
          <w:b/>
          <w:sz w:val="24"/>
          <w:szCs w:val="24"/>
        </w:rPr>
        <w:t xml:space="preserve"> em cada ano</w:t>
      </w:r>
    </w:p>
    <w:tbl>
      <w:tblPr>
        <w:tblW w:w="0" w:type="auto"/>
        <w:jc w:val="center"/>
        <w:tblCellMar>
          <w:left w:w="70" w:type="dxa"/>
          <w:right w:w="70" w:type="dxa"/>
        </w:tblCellMar>
        <w:tblLook w:val="04A0" w:firstRow="1" w:lastRow="0" w:firstColumn="1" w:lastColumn="0" w:noHBand="0" w:noVBand="1"/>
      </w:tblPr>
      <w:tblGrid>
        <w:gridCol w:w="1735"/>
        <w:gridCol w:w="540"/>
        <w:gridCol w:w="757"/>
        <w:gridCol w:w="657"/>
        <w:gridCol w:w="757"/>
        <w:gridCol w:w="757"/>
        <w:gridCol w:w="757"/>
        <w:gridCol w:w="757"/>
      </w:tblGrid>
      <w:tr w:rsidR="00F366D2" w:rsidRPr="00F366D2" w:rsidTr="006B30D7">
        <w:trPr>
          <w:trHeight w:val="20"/>
          <w:jc w:val="center"/>
        </w:trPr>
        <w:tc>
          <w:tcPr>
            <w:tcW w:w="0" w:type="auto"/>
            <w:tcBorders>
              <w:top w:val="single" w:sz="4" w:space="0" w:color="auto"/>
              <w:left w:val="single" w:sz="4" w:space="0" w:color="D8D8D8"/>
              <w:bottom w:val="single" w:sz="4" w:space="0" w:color="auto"/>
              <w:right w:val="single" w:sz="4" w:space="0" w:color="auto"/>
            </w:tcBorders>
            <w:shd w:val="clear" w:color="000000" w:fill="D8D8D8"/>
            <w:noWrap/>
            <w:vAlign w:val="bottom"/>
            <w:hideMark/>
          </w:tcPr>
          <w:p w:rsidR="00F366D2" w:rsidRPr="00F366D2" w:rsidRDefault="00F366D2" w:rsidP="00582630">
            <w:pPr>
              <w:spacing w:line="480" w:lineRule="auto"/>
              <w:jc w:val="center"/>
              <w:rPr>
                <w:b/>
                <w:bCs/>
                <w:color w:val="000000"/>
              </w:rPr>
            </w:pPr>
            <w:r w:rsidRPr="00F366D2">
              <w:rPr>
                <w:b/>
                <w:bCs/>
                <w:color w:val="000000"/>
              </w:rPr>
              <w:t>Estado/Ano</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366D2" w:rsidRPr="00F366D2" w:rsidRDefault="00F366D2" w:rsidP="00582630">
            <w:pPr>
              <w:spacing w:line="480" w:lineRule="auto"/>
              <w:jc w:val="center"/>
              <w:rPr>
                <w:b/>
                <w:bCs/>
                <w:color w:val="000000"/>
              </w:rPr>
            </w:pPr>
            <w:r w:rsidRPr="00F366D2">
              <w:rPr>
                <w:b/>
                <w:bCs/>
                <w:color w:val="000000"/>
              </w:rPr>
              <w:t>2010</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366D2" w:rsidRPr="00F366D2" w:rsidRDefault="00F366D2" w:rsidP="00582630">
            <w:pPr>
              <w:spacing w:line="480" w:lineRule="auto"/>
              <w:jc w:val="center"/>
              <w:rPr>
                <w:b/>
                <w:bCs/>
                <w:color w:val="000000"/>
              </w:rPr>
            </w:pPr>
            <w:r w:rsidRPr="00F366D2">
              <w:rPr>
                <w:b/>
                <w:bCs/>
                <w:color w:val="000000"/>
              </w:rPr>
              <w:t>2011</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366D2" w:rsidRPr="00F366D2" w:rsidRDefault="00F366D2" w:rsidP="00582630">
            <w:pPr>
              <w:spacing w:line="480" w:lineRule="auto"/>
              <w:jc w:val="center"/>
              <w:rPr>
                <w:b/>
                <w:bCs/>
                <w:color w:val="000000"/>
              </w:rPr>
            </w:pPr>
            <w:r w:rsidRPr="00F366D2">
              <w:rPr>
                <w:b/>
                <w:bCs/>
                <w:color w:val="000000"/>
              </w:rPr>
              <w:t>2012</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366D2" w:rsidRPr="00F366D2" w:rsidRDefault="00F366D2" w:rsidP="00582630">
            <w:pPr>
              <w:spacing w:line="480" w:lineRule="auto"/>
              <w:jc w:val="center"/>
              <w:rPr>
                <w:b/>
                <w:bCs/>
                <w:color w:val="000000"/>
              </w:rPr>
            </w:pPr>
            <w:r w:rsidRPr="00F366D2">
              <w:rPr>
                <w:b/>
                <w:bCs/>
                <w:color w:val="000000"/>
              </w:rPr>
              <w:t>2013</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366D2" w:rsidRPr="00F366D2" w:rsidRDefault="00F366D2" w:rsidP="00582630">
            <w:pPr>
              <w:spacing w:line="480" w:lineRule="auto"/>
              <w:jc w:val="center"/>
              <w:rPr>
                <w:b/>
                <w:bCs/>
                <w:color w:val="000000"/>
              </w:rPr>
            </w:pPr>
            <w:r w:rsidRPr="00F366D2">
              <w:rPr>
                <w:b/>
                <w:bCs/>
                <w:color w:val="000000"/>
              </w:rPr>
              <w:t>2014</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366D2" w:rsidRPr="00F366D2" w:rsidRDefault="00F366D2" w:rsidP="00582630">
            <w:pPr>
              <w:spacing w:line="480" w:lineRule="auto"/>
              <w:jc w:val="center"/>
              <w:rPr>
                <w:b/>
                <w:bCs/>
                <w:color w:val="000000"/>
              </w:rPr>
            </w:pPr>
            <w:r w:rsidRPr="00F366D2">
              <w:rPr>
                <w:b/>
                <w:bCs/>
                <w:color w:val="000000"/>
              </w:rPr>
              <w:t>2015</w:t>
            </w:r>
          </w:p>
        </w:tc>
        <w:tc>
          <w:tcPr>
            <w:tcW w:w="0" w:type="auto"/>
            <w:tcBorders>
              <w:top w:val="single" w:sz="4" w:space="0" w:color="auto"/>
              <w:left w:val="single" w:sz="4" w:space="0" w:color="auto"/>
              <w:bottom w:val="single" w:sz="4" w:space="0" w:color="auto"/>
              <w:right w:val="single" w:sz="4" w:space="0" w:color="D8D8D8"/>
            </w:tcBorders>
            <w:shd w:val="clear" w:color="000000" w:fill="D8D8D8"/>
            <w:noWrap/>
            <w:vAlign w:val="bottom"/>
            <w:hideMark/>
          </w:tcPr>
          <w:p w:rsidR="00F366D2" w:rsidRPr="00F366D2" w:rsidRDefault="00F366D2" w:rsidP="00582630">
            <w:pPr>
              <w:spacing w:line="480" w:lineRule="auto"/>
              <w:jc w:val="center"/>
              <w:rPr>
                <w:b/>
                <w:bCs/>
                <w:color w:val="000000"/>
              </w:rPr>
            </w:pPr>
            <w:r w:rsidRPr="00F366D2">
              <w:rPr>
                <w:b/>
                <w:bCs/>
                <w:color w:val="000000"/>
              </w:rPr>
              <w:t>2016</w:t>
            </w:r>
          </w:p>
        </w:tc>
      </w:tr>
      <w:tr w:rsidR="00F366D2" w:rsidRPr="00F366D2" w:rsidTr="006B30D7">
        <w:trPr>
          <w:trHeight w:val="20"/>
          <w:jc w:val="center"/>
        </w:trPr>
        <w:tc>
          <w:tcPr>
            <w:tcW w:w="0" w:type="auto"/>
            <w:tcBorders>
              <w:top w:val="single" w:sz="4" w:space="0" w:color="auto"/>
              <w:left w:val="single" w:sz="4" w:space="0" w:color="D8D8D8"/>
              <w:bottom w:val="single" w:sz="4" w:space="0" w:color="D8D8D8"/>
              <w:right w:val="single" w:sz="4" w:space="0" w:color="auto"/>
            </w:tcBorders>
            <w:shd w:val="clear" w:color="000000" w:fill="D8D8D8"/>
            <w:noWrap/>
            <w:vAlign w:val="bottom"/>
            <w:hideMark/>
          </w:tcPr>
          <w:p w:rsidR="00F366D2" w:rsidRPr="00F366D2" w:rsidRDefault="00F366D2" w:rsidP="00582630">
            <w:pPr>
              <w:spacing w:line="480" w:lineRule="auto"/>
              <w:jc w:val="center"/>
              <w:rPr>
                <w:b/>
                <w:bCs/>
                <w:color w:val="000000"/>
              </w:rPr>
            </w:pPr>
            <w:r w:rsidRPr="00F366D2">
              <w:rPr>
                <w:b/>
                <w:bCs/>
                <w:color w:val="000000"/>
              </w:rPr>
              <w:t>Paraná</w:t>
            </w:r>
          </w:p>
        </w:tc>
        <w:tc>
          <w:tcPr>
            <w:tcW w:w="0" w:type="auto"/>
            <w:tcBorders>
              <w:top w:val="single" w:sz="4" w:space="0" w:color="auto"/>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582630">
            <w:pPr>
              <w:spacing w:line="480" w:lineRule="auto"/>
              <w:jc w:val="center"/>
              <w:rPr>
                <w:color w:val="000000"/>
              </w:rPr>
            </w:pPr>
            <w:r w:rsidRPr="00F366D2">
              <w:rPr>
                <w:color w:val="000000"/>
              </w:rPr>
              <w:t>-</w:t>
            </w:r>
          </w:p>
        </w:tc>
        <w:tc>
          <w:tcPr>
            <w:tcW w:w="0" w:type="auto"/>
            <w:tcBorders>
              <w:top w:val="single" w:sz="4" w:space="0" w:color="auto"/>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582630">
            <w:pPr>
              <w:spacing w:line="480" w:lineRule="auto"/>
              <w:jc w:val="center"/>
              <w:rPr>
                <w:color w:val="000000"/>
              </w:rPr>
            </w:pPr>
            <w:r w:rsidRPr="00F366D2">
              <w:rPr>
                <w:color w:val="000000"/>
              </w:rPr>
              <w:t>3,77%</w:t>
            </w:r>
          </w:p>
        </w:tc>
        <w:tc>
          <w:tcPr>
            <w:tcW w:w="0" w:type="auto"/>
            <w:tcBorders>
              <w:top w:val="single" w:sz="4" w:space="0" w:color="auto"/>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582630">
            <w:pPr>
              <w:spacing w:line="480" w:lineRule="auto"/>
              <w:jc w:val="center"/>
              <w:rPr>
                <w:color w:val="000000"/>
              </w:rPr>
            </w:pPr>
            <w:r w:rsidRPr="00F366D2">
              <w:rPr>
                <w:color w:val="000000"/>
              </w:rPr>
              <w:t>9,79%</w:t>
            </w:r>
          </w:p>
        </w:tc>
        <w:tc>
          <w:tcPr>
            <w:tcW w:w="0" w:type="auto"/>
            <w:tcBorders>
              <w:top w:val="single" w:sz="4" w:space="0" w:color="auto"/>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582630">
            <w:pPr>
              <w:spacing w:line="480" w:lineRule="auto"/>
              <w:jc w:val="center"/>
              <w:rPr>
                <w:color w:val="000000"/>
              </w:rPr>
            </w:pPr>
            <w:r w:rsidRPr="00F366D2">
              <w:rPr>
                <w:color w:val="000000"/>
              </w:rPr>
              <w:t>13,97%</w:t>
            </w:r>
          </w:p>
        </w:tc>
        <w:tc>
          <w:tcPr>
            <w:tcW w:w="0" w:type="auto"/>
            <w:tcBorders>
              <w:top w:val="single" w:sz="4" w:space="0" w:color="auto"/>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582630">
            <w:pPr>
              <w:spacing w:line="480" w:lineRule="auto"/>
              <w:jc w:val="center"/>
              <w:rPr>
                <w:color w:val="000000"/>
              </w:rPr>
            </w:pPr>
            <w:r w:rsidRPr="00F366D2">
              <w:rPr>
                <w:color w:val="000000"/>
              </w:rPr>
              <w:t>10,37%</w:t>
            </w:r>
          </w:p>
        </w:tc>
        <w:tc>
          <w:tcPr>
            <w:tcW w:w="0" w:type="auto"/>
            <w:tcBorders>
              <w:top w:val="single" w:sz="4" w:space="0" w:color="auto"/>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582630">
            <w:pPr>
              <w:spacing w:line="480" w:lineRule="auto"/>
              <w:jc w:val="center"/>
              <w:rPr>
                <w:color w:val="000000"/>
              </w:rPr>
            </w:pPr>
            <w:r w:rsidRPr="00F366D2">
              <w:rPr>
                <w:color w:val="000000"/>
              </w:rPr>
              <w:t>11,10%</w:t>
            </w:r>
          </w:p>
        </w:tc>
        <w:tc>
          <w:tcPr>
            <w:tcW w:w="0" w:type="auto"/>
            <w:tcBorders>
              <w:top w:val="single" w:sz="4" w:space="0" w:color="auto"/>
              <w:left w:val="single" w:sz="4" w:space="0" w:color="auto"/>
              <w:bottom w:val="single" w:sz="4" w:space="0" w:color="D8D8D8"/>
              <w:right w:val="single" w:sz="4" w:space="0" w:color="D8D8D8"/>
            </w:tcBorders>
            <w:shd w:val="clear" w:color="auto" w:fill="auto"/>
            <w:noWrap/>
            <w:vAlign w:val="bottom"/>
            <w:hideMark/>
          </w:tcPr>
          <w:p w:rsidR="00F366D2" w:rsidRPr="00F366D2" w:rsidRDefault="00F366D2" w:rsidP="00582630">
            <w:pPr>
              <w:spacing w:line="480" w:lineRule="auto"/>
              <w:jc w:val="center"/>
              <w:rPr>
                <w:color w:val="000000"/>
              </w:rPr>
            </w:pPr>
            <w:r w:rsidRPr="00F366D2">
              <w:rPr>
                <w:color w:val="000000"/>
              </w:rPr>
              <w:t>6,62%</w:t>
            </w:r>
          </w:p>
        </w:tc>
      </w:tr>
      <w:tr w:rsidR="00F366D2" w:rsidRPr="00F366D2" w:rsidTr="006B30D7">
        <w:trPr>
          <w:trHeight w:val="20"/>
          <w:jc w:val="center"/>
        </w:trPr>
        <w:tc>
          <w:tcPr>
            <w:tcW w:w="0" w:type="auto"/>
            <w:tcBorders>
              <w:top w:val="single" w:sz="4" w:space="0" w:color="D8D8D8"/>
              <w:left w:val="single" w:sz="4" w:space="0" w:color="D8D8D8"/>
              <w:bottom w:val="single" w:sz="4" w:space="0" w:color="D8D8D8"/>
              <w:right w:val="single" w:sz="4" w:space="0" w:color="auto"/>
            </w:tcBorders>
            <w:shd w:val="clear" w:color="000000" w:fill="D8D8D8"/>
            <w:noWrap/>
            <w:vAlign w:val="bottom"/>
            <w:hideMark/>
          </w:tcPr>
          <w:p w:rsidR="00F366D2" w:rsidRPr="00F366D2" w:rsidRDefault="00F366D2" w:rsidP="00582630">
            <w:pPr>
              <w:spacing w:line="480" w:lineRule="auto"/>
              <w:jc w:val="center"/>
              <w:rPr>
                <w:b/>
                <w:bCs/>
                <w:color w:val="000000"/>
              </w:rPr>
            </w:pPr>
            <w:r w:rsidRPr="00F366D2">
              <w:rPr>
                <w:b/>
                <w:bCs/>
                <w:color w:val="000000"/>
              </w:rPr>
              <w:t>Rio Grande do Sul</w:t>
            </w:r>
          </w:p>
        </w:tc>
        <w:tc>
          <w:tcPr>
            <w:tcW w:w="0" w:type="auto"/>
            <w:tcBorders>
              <w:top w:val="nil"/>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582630">
            <w:pPr>
              <w:spacing w:line="480" w:lineRule="auto"/>
              <w:jc w:val="center"/>
              <w:rPr>
                <w:color w:val="000000"/>
              </w:rPr>
            </w:pPr>
            <w:r w:rsidRPr="00F366D2">
              <w:rPr>
                <w:color w:val="000000"/>
              </w:rPr>
              <w:t>-</w:t>
            </w:r>
          </w:p>
        </w:tc>
        <w:tc>
          <w:tcPr>
            <w:tcW w:w="0" w:type="auto"/>
            <w:tcBorders>
              <w:top w:val="nil"/>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582630">
            <w:pPr>
              <w:spacing w:line="480" w:lineRule="auto"/>
              <w:jc w:val="center"/>
              <w:rPr>
                <w:color w:val="000000"/>
              </w:rPr>
            </w:pPr>
            <w:r w:rsidRPr="00F366D2">
              <w:rPr>
                <w:color w:val="000000"/>
              </w:rPr>
              <w:t>7,43%</w:t>
            </w:r>
          </w:p>
        </w:tc>
        <w:tc>
          <w:tcPr>
            <w:tcW w:w="0" w:type="auto"/>
            <w:tcBorders>
              <w:top w:val="nil"/>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582630">
            <w:pPr>
              <w:spacing w:line="480" w:lineRule="auto"/>
              <w:jc w:val="center"/>
              <w:rPr>
                <w:color w:val="000000"/>
              </w:rPr>
            </w:pPr>
            <w:r w:rsidRPr="00F366D2">
              <w:rPr>
                <w:color w:val="000000"/>
              </w:rPr>
              <w:t>7,52%</w:t>
            </w:r>
          </w:p>
        </w:tc>
        <w:tc>
          <w:tcPr>
            <w:tcW w:w="0" w:type="auto"/>
            <w:tcBorders>
              <w:top w:val="nil"/>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582630">
            <w:pPr>
              <w:spacing w:line="480" w:lineRule="auto"/>
              <w:jc w:val="center"/>
              <w:rPr>
                <w:color w:val="000000"/>
              </w:rPr>
            </w:pPr>
            <w:r w:rsidRPr="00F366D2">
              <w:rPr>
                <w:color w:val="000000"/>
              </w:rPr>
              <w:t>10,15%</w:t>
            </w:r>
          </w:p>
        </w:tc>
        <w:tc>
          <w:tcPr>
            <w:tcW w:w="0" w:type="auto"/>
            <w:tcBorders>
              <w:top w:val="nil"/>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582630">
            <w:pPr>
              <w:spacing w:line="480" w:lineRule="auto"/>
              <w:jc w:val="center"/>
              <w:rPr>
                <w:color w:val="000000"/>
              </w:rPr>
            </w:pPr>
            <w:r w:rsidRPr="00F366D2">
              <w:rPr>
                <w:color w:val="000000"/>
              </w:rPr>
              <w:t>7,84%</w:t>
            </w:r>
          </w:p>
        </w:tc>
        <w:tc>
          <w:tcPr>
            <w:tcW w:w="0" w:type="auto"/>
            <w:tcBorders>
              <w:top w:val="nil"/>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582630">
            <w:pPr>
              <w:spacing w:line="480" w:lineRule="auto"/>
              <w:jc w:val="center"/>
              <w:rPr>
                <w:color w:val="000000"/>
              </w:rPr>
            </w:pPr>
            <w:r w:rsidRPr="00F366D2">
              <w:rPr>
                <w:color w:val="000000"/>
              </w:rPr>
              <w:t>5,00%</w:t>
            </w:r>
          </w:p>
        </w:tc>
        <w:tc>
          <w:tcPr>
            <w:tcW w:w="0" w:type="auto"/>
            <w:tcBorders>
              <w:top w:val="nil"/>
              <w:left w:val="single" w:sz="4" w:space="0" w:color="auto"/>
              <w:bottom w:val="single" w:sz="4" w:space="0" w:color="D8D8D8"/>
              <w:right w:val="single" w:sz="4" w:space="0" w:color="D8D8D8"/>
            </w:tcBorders>
            <w:shd w:val="clear" w:color="auto" w:fill="auto"/>
            <w:noWrap/>
            <w:vAlign w:val="bottom"/>
            <w:hideMark/>
          </w:tcPr>
          <w:p w:rsidR="00F366D2" w:rsidRPr="00F366D2" w:rsidRDefault="00F366D2" w:rsidP="00582630">
            <w:pPr>
              <w:spacing w:line="480" w:lineRule="auto"/>
              <w:jc w:val="center"/>
              <w:rPr>
                <w:color w:val="000000"/>
              </w:rPr>
            </w:pPr>
            <w:r w:rsidRPr="00F366D2">
              <w:rPr>
                <w:color w:val="000000"/>
              </w:rPr>
              <w:t>13,03%</w:t>
            </w:r>
          </w:p>
        </w:tc>
      </w:tr>
      <w:tr w:rsidR="00F366D2" w:rsidRPr="00F366D2" w:rsidTr="006B30D7">
        <w:trPr>
          <w:trHeight w:val="20"/>
          <w:jc w:val="center"/>
        </w:trPr>
        <w:tc>
          <w:tcPr>
            <w:tcW w:w="0" w:type="auto"/>
            <w:tcBorders>
              <w:top w:val="single" w:sz="4" w:space="0" w:color="D8D8D8"/>
              <w:left w:val="single" w:sz="4" w:space="0" w:color="D8D8D8"/>
              <w:bottom w:val="single" w:sz="4" w:space="0" w:color="auto"/>
              <w:right w:val="single" w:sz="4" w:space="0" w:color="auto"/>
            </w:tcBorders>
            <w:shd w:val="clear" w:color="000000" w:fill="D8D8D8"/>
            <w:noWrap/>
            <w:vAlign w:val="bottom"/>
            <w:hideMark/>
          </w:tcPr>
          <w:p w:rsidR="00F366D2" w:rsidRPr="00F366D2" w:rsidRDefault="00F366D2" w:rsidP="00582630">
            <w:pPr>
              <w:spacing w:line="480" w:lineRule="auto"/>
              <w:jc w:val="center"/>
              <w:rPr>
                <w:b/>
                <w:bCs/>
                <w:color w:val="000000"/>
              </w:rPr>
            </w:pPr>
            <w:r w:rsidRPr="00F366D2">
              <w:rPr>
                <w:b/>
                <w:bCs/>
                <w:color w:val="000000"/>
              </w:rPr>
              <w:t>Santa Catarina</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366D2" w:rsidRPr="00F366D2" w:rsidRDefault="00F366D2" w:rsidP="00582630">
            <w:pPr>
              <w:spacing w:line="480" w:lineRule="auto"/>
              <w:jc w:val="center"/>
              <w:rPr>
                <w:color w:val="000000"/>
              </w:rPr>
            </w:pPr>
            <w:r w:rsidRPr="00F366D2">
              <w:rPr>
                <w:color w:val="000000"/>
              </w:rPr>
              <w:t>-</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366D2" w:rsidRPr="00F366D2" w:rsidRDefault="00F366D2" w:rsidP="00582630">
            <w:pPr>
              <w:spacing w:line="480" w:lineRule="auto"/>
              <w:jc w:val="center"/>
              <w:rPr>
                <w:color w:val="000000"/>
              </w:rPr>
            </w:pPr>
            <w:r w:rsidRPr="00F366D2">
              <w:rPr>
                <w:color w:val="000000"/>
              </w:rPr>
              <w:t>14,02%</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366D2" w:rsidRPr="00F366D2" w:rsidRDefault="00F366D2" w:rsidP="00582630">
            <w:pPr>
              <w:spacing w:line="480" w:lineRule="auto"/>
              <w:jc w:val="center"/>
              <w:rPr>
                <w:color w:val="000000"/>
              </w:rPr>
            </w:pPr>
            <w:r w:rsidRPr="00F366D2">
              <w:rPr>
                <w:color w:val="000000"/>
              </w:rPr>
              <w:t>5,12%</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366D2" w:rsidRPr="00F366D2" w:rsidRDefault="00F366D2" w:rsidP="00582630">
            <w:pPr>
              <w:spacing w:line="480" w:lineRule="auto"/>
              <w:jc w:val="center"/>
              <w:rPr>
                <w:color w:val="000000"/>
              </w:rPr>
            </w:pPr>
            <w:r w:rsidRPr="00F366D2">
              <w:rPr>
                <w:color w:val="000000"/>
              </w:rPr>
              <w:t>8,54%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366D2" w:rsidRPr="00F366D2" w:rsidRDefault="00F366D2" w:rsidP="00582630">
            <w:pPr>
              <w:spacing w:line="480" w:lineRule="auto"/>
              <w:jc w:val="center"/>
              <w:rPr>
                <w:color w:val="000000"/>
              </w:rPr>
            </w:pPr>
            <w:r w:rsidRPr="00F366D2">
              <w:rPr>
                <w:color w:val="000000"/>
              </w:rPr>
              <w:t>10,89%</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366D2" w:rsidRPr="00F366D2" w:rsidRDefault="00F366D2" w:rsidP="00582630">
            <w:pPr>
              <w:spacing w:line="480" w:lineRule="auto"/>
              <w:jc w:val="center"/>
              <w:rPr>
                <w:color w:val="000000"/>
              </w:rPr>
            </w:pPr>
            <w:r w:rsidRPr="00F366D2">
              <w:rPr>
                <w:color w:val="000000"/>
              </w:rPr>
              <w:t>8,11%</w:t>
            </w:r>
          </w:p>
        </w:tc>
        <w:tc>
          <w:tcPr>
            <w:tcW w:w="0" w:type="auto"/>
            <w:tcBorders>
              <w:top w:val="nil"/>
              <w:left w:val="single" w:sz="4" w:space="0" w:color="auto"/>
              <w:bottom w:val="single" w:sz="4" w:space="0" w:color="auto"/>
              <w:right w:val="single" w:sz="4" w:space="0" w:color="D8D8D8"/>
            </w:tcBorders>
            <w:shd w:val="clear" w:color="auto" w:fill="auto"/>
            <w:noWrap/>
            <w:vAlign w:val="bottom"/>
            <w:hideMark/>
          </w:tcPr>
          <w:p w:rsidR="00F366D2" w:rsidRPr="00F366D2" w:rsidRDefault="00F366D2" w:rsidP="00582630">
            <w:pPr>
              <w:spacing w:line="480" w:lineRule="auto"/>
              <w:jc w:val="center"/>
              <w:rPr>
                <w:color w:val="000000"/>
              </w:rPr>
            </w:pPr>
            <w:r w:rsidRPr="00F366D2">
              <w:rPr>
                <w:color w:val="000000"/>
              </w:rPr>
              <w:t>5,27%</w:t>
            </w:r>
          </w:p>
        </w:tc>
      </w:tr>
    </w:tbl>
    <w:p w:rsidR="00F366D2" w:rsidRPr="00F366D2" w:rsidRDefault="00F366D2" w:rsidP="00C668C4">
      <w:pPr>
        <w:contextualSpacing/>
        <w:jc w:val="center"/>
      </w:pPr>
      <w:r w:rsidRPr="00F366D2">
        <w:rPr>
          <w:color w:val="000000"/>
        </w:rPr>
        <w:t>Fonte: Elaborado pelos autores com base nos Relatórios de Gestão Fiscal, disponibilizados por cada órgão em seu respectivo portal de transparência</w:t>
      </w:r>
    </w:p>
    <w:p w:rsidR="006B30D7" w:rsidRDefault="006B30D7" w:rsidP="00C668C4">
      <w:pPr>
        <w:ind w:firstLine="709"/>
        <w:contextualSpacing/>
        <w:jc w:val="both"/>
        <w:rPr>
          <w:sz w:val="24"/>
          <w:szCs w:val="24"/>
        </w:rPr>
      </w:pPr>
    </w:p>
    <w:p w:rsidR="00F366D2" w:rsidRPr="00F366D2" w:rsidRDefault="00F366D2" w:rsidP="00543873">
      <w:pPr>
        <w:ind w:firstLine="709"/>
        <w:contextualSpacing/>
        <w:jc w:val="both"/>
        <w:rPr>
          <w:sz w:val="24"/>
          <w:szCs w:val="24"/>
        </w:rPr>
      </w:pPr>
      <w:r w:rsidRPr="00F366D2">
        <w:rPr>
          <w:sz w:val="24"/>
          <w:szCs w:val="24"/>
        </w:rPr>
        <w:t>Na contramão do que foi apresentado, pela receita corrente liquida, a despesa total com pessoal da assembleia legislativa de Santa Catarina, com exceção do ano de 2010 foi superior aos Estados do Paraná e do Rio Grande do Sul. Esta superioridade dar-se a partir da distribuição dos limites máximos, conforme analisado anteriormente. No ano de 2012 pode-se perceber o período onde os montantes mais se aproximam entre si quando a diferença entre a despesa total com pessoal da assembleia legislativa de Santa Catarina e do Paraná foi de R$ 18.615.919,27, enquanto a maior diferença entre gastos foi apresentada em 2015, uma diferença de R$ 93.081.441,18.</w:t>
      </w:r>
    </w:p>
    <w:p w:rsidR="00F366D2" w:rsidRPr="00F366D2" w:rsidRDefault="00F366D2" w:rsidP="00543873">
      <w:pPr>
        <w:ind w:firstLine="709"/>
        <w:contextualSpacing/>
        <w:jc w:val="both"/>
        <w:rPr>
          <w:sz w:val="24"/>
          <w:szCs w:val="24"/>
        </w:rPr>
      </w:pPr>
    </w:p>
    <w:p w:rsidR="00F366D2" w:rsidRPr="00F366D2" w:rsidRDefault="00F366D2" w:rsidP="00F366D2">
      <w:pPr>
        <w:spacing w:line="360" w:lineRule="auto"/>
        <w:contextualSpacing/>
        <w:jc w:val="center"/>
        <w:rPr>
          <w:sz w:val="24"/>
          <w:szCs w:val="24"/>
        </w:rPr>
      </w:pPr>
      <w:r w:rsidRPr="00F366D2">
        <w:rPr>
          <w:noProof/>
          <w:sz w:val="24"/>
          <w:szCs w:val="24"/>
        </w:rPr>
        <w:drawing>
          <wp:inline distT="0" distB="0" distL="0" distR="0">
            <wp:extent cx="4629150" cy="2038350"/>
            <wp:effectExtent l="0" t="0" r="0" b="0"/>
            <wp:docPr id="7"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B30D7" w:rsidRPr="00815417" w:rsidRDefault="006B30D7" w:rsidP="00C668C4">
      <w:pPr>
        <w:contextualSpacing/>
        <w:jc w:val="center"/>
        <w:rPr>
          <w:b/>
          <w:sz w:val="24"/>
          <w:szCs w:val="24"/>
        </w:rPr>
      </w:pPr>
      <w:r w:rsidRPr="00815417">
        <w:rPr>
          <w:b/>
          <w:sz w:val="24"/>
          <w:szCs w:val="24"/>
        </w:rPr>
        <w:t>Figura 2. Despesa Total com Pessoal Assembleia Legislativa - Valores monetários originais em milhares de reais.</w:t>
      </w:r>
    </w:p>
    <w:p w:rsidR="00F366D2" w:rsidRPr="00F366D2" w:rsidRDefault="00F366D2" w:rsidP="00C668C4">
      <w:pPr>
        <w:contextualSpacing/>
        <w:jc w:val="center"/>
      </w:pPr>
      <w:r w:rsidRPr="00F366D2">
        <w:t>Fonte: Elaborado pelos autores com base nos Relatórios de Gestão Fiscal, disponibilizados por cada órgão em seu respectivo portal de transparência.</w:t>
      </w:r>
    </w:p>
    <w:p w:rsidR="00F366D2" w:rsidRPr="00F366D2" w:rsidRDefault="00F366D2" w:rsidP="00C668C4">
      <w:pPr>
        <w:ind w:firstLine="709"/>
        <w:contextualSpacing/>
        <w:jc w:val="both"/>
        <w:rPr>
          <w:sz w:val="24"/>
          <w:szCs w:val="24"/>
        </w:rPr>
      </w:pPr>
    </w:p>
    <w:p w:rsidR="00F366D2" w:rsidRPr="00F366D2" w:rsidRDefault="00E074D5" w:rsidP="00C668C4">
      <w:pPr>
        <w:ind w:firstLine="709"/>
        <w:contextualSpacing/>
        <w:jc w:val="both"/>
        <w:rPr>
          <w:sz w:val="24"/>
          <w:szCs w:val="24"/>
        </w:rPr>
      </w:pPr>
      <w:r>
        <w:rPr>
          <w:sz w:val="24"/>
          <w:szCs w:val="24"/>
        </w:rPr>
        <w:t xml:space="preserve">Conforme </w:t>
      </w:r>
      <w:r w:rsidR="00543873">
        <w:rPr>
          <w:sz w:val="24"/>
          <w:szCs w:val="24"/>
        </w:rPr>
        <w:t>a figura</w:t>
      </w:r>
      <w:r>
        <w:rPr>
          <w:sz w:val="24"/>
          <w:szCs w:val="24"/>
        </w:rPr>
        <w:t xml:space="preserve"> 2</w:t>
      </w:r>
      <w:r w:rsidR="00F366D2" w:rsidRPr="00F366D2">
        <w:rPr>
          <w:sz w:val="24"/>
          <w:szCs w:val="24"/>
        </w:rPr>
        <w:t xml:space="preserve"> percebeu-se que a despesa total com pessoal da Assembleia legislativa do Estado de Santa Catarina apresentou o maior aumento entre os estados analisados, onde apresenta uma despesa, em 2016, 73%superior ao ano de 2010. Comprovando este aumento, temos que do ano de 2011 ao de 2015 a despesa sofreu aumentos, anualmente, acima </w:t>
      </w:r>
      <w:r w:rsidR="00F366D2" w:rsidRPr="00F366D2">
        <w:rPr>
          <w:sz w:val="24"/>
          <w:szCs w:val="24"/>
        </w:rPr>
        <w:lastRenderedPageBreak/>
        <w:t xml:space="preserve">de 8%. Mas o aumento que mais chamou a atenção foi em 2012 onde a assembleia legislativa do Paraná obteve um aumento de aproximadamente 21%. </w:t>
      </w:r>
    </w:p>
    <w:p w:rsidR="00F366D2" w:rsidRPr="00F366D2" w:rsidRDefault="00F366D2" w:rsidP="00C668C4">
      <w:pPr>
        <w:ind w:firstLine="709"/>
        <w:contextualSpacing/>
        <w:jc w:val="both"/>
        <w:rPr>
          <w:sz w:val="24"/>
          <w:szCs w:val="24"/>
        </w:rPr>
      </w:pPr>
    </w:p>
    <w:p w:rsidR="00F366D2" w:rsidRPr="00815417" w:rsidRDefault="00F366D2" w:rsidP="00F366D2">
      <w:pPr>
        <w:spacing w:line="360" w:lineRule="auto"/>
        <w:contextualSpacing/>
        <w:jc w:val="center"/>
        <w:rPr>
          <w:b/>
          <w:sz w:val="24"/>
          <w:szCs w:val="24"/>
        </w:rPr>
      </w:pPr>
      <w:r w:rsidRPr="00815417">
        <w:rPr>
          <w:b/>
          <w:sz w:val="24"/>
          <w:szCs w:val="24"/>
        </w:rPr>
        <w:t xml:space="preserve">Tabela </w:t>
      </w:r>
      <w:r w:rsidR="006B30D7" w:rsidRPr="00815417">
        <w:rPr>
          <w:b/>
          <w:sz w:val="24"/>
          <w:szCs w:val="24"/>
        </w:rPr>
        <w:t>5</w:t>
      </w:r>
      <w:r w:rsidRPr="00815417">
        <w:rPr>
          <w:b/>
          <w:sz w:val="24"/>
          <w:szCs w:val="24"/>
        </w:rPr>
        <w:t xml:space="preserve">. </w:t>
      </w:r>
      <w:r w:rsidR="00C1772C" w:rsidRPr="00815417">
        <w:rPr>
          <w:b/>
          <w:sz w:val="24"/>
          <w:szCs w:val="24"/>
        </w:rPr>
        <w:t>Variações das despesas totais com pessoal de cada assembleia legislativa</w:t>
      </w:r>
    </w:p>
    <w:tbl>
      <w:tblPr>
        <w:tblW w:w="6960" w:type="dxa"/>
        <w:jc w:val="center"/>
        <w:tblCellMar>
          <w:left w:w="70" w:type="dxa"/>
          <w:right w:w="70" w:type="dxa"/>
        </w:tblCellMar>
        <w:tblLook w:val="04A0" w:firstRow="1" w:lastRow="0" w:firstColumn="1" w:lastColumn="0" w:noHBand="0" w:noVBand="1"/>
      </w:tblPr>
      <w:tblGrid>
        <w:gridCol w:w="1860"/>
        <w:gridCol w:w="540"/>
        <w:gridCol w:w="760"/>
        <w:gridCol w:w="760"/>
        <w:gridCol w:w="760"/>
        <w:gridCol w:w="760"/>
        <w:gridCol w:w="760"/>
        <w:gridCol w:w="760"/>
      </w:tblGrid>
      <w:tr w:rsidR="00F366D2" w:rsidRPr="00F366D2" w:rsidTr="00D77C43">
        <w:trPr>
          <w:trHeight w:val="300"/>
          <w:jc w:val="center"/>
        </w:trPr>
        <w:tc>
          <w:tcPr>
            <w:tcW w:w="1860" w:type="dxa"/>
            <w:tcBorders>
              <w:top w:val="single" w:sz="4" w:space="0" w:color="auto"/>
              <w:left w:val="single" w:sz="4" w:space="0" w:color="D8D8D8"/>
              <w:bottom w:val="single" w:sz="4" w:space="0" w:color="auto"/>
              <w:right w:val="single" w:sz="4" w:space="0" w:color="auto"/>
            </w:tcBorders>
            <w:shd w:val="clear" w:color="000000" w:fill="D8D8D8"/>
            <w:noWrap/>
            <w:vAlign w:val="bottom"/>
            <w:hideMark/>
          </w:tcPr>
          <w:p w:rsidR="00F366D2" w:rsidRPr="00F366D2" w:rsidRDefault="00F366D2" w:rsidP="006B30D7">
            <w:pPr>
              <w:spacing w:line="480" w:lineRule="auto"/>
              <w:jc w:val="center"/>
              <w:rPr>
                <w:b/>
                <w:bCs/>
                <w:color w:val="000000"/>
              </w:rPr>
            </w:pPr>
            <w:r w:rsidRPr="00F366D2">
              <w:rPr>
                <w:b/>
                <w:bCs/>
                <w:color w:val="000000"/>
              </w:rPr>
              <w:t>Estado/Ano</w:t>
            </w:r>
          </w:p>
        </w:tc>
        <w:tc>
          <w:tcPr>
            <w:tcW w:w="54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366D2" w:rsidRPr="00F366D2" w:rsidRDefault="00F366D2" w:rsidP="006B30D7">
            <w:pPr>
              <w:spacing w:line="480" w:lineRule="auto"/>
              <w:jc w:val="center"/>
              <w:rPr>
                <w:b/>
                <w:bCs/>
                <w:color w:val="000000"/>
              </w:rPr>
            </w:pPr>
            <w:r w:rsidRPr="00F366D2">
              <w:rPr>
                <w:b/>
                <w:bCs/>
                <w:color w:val="000000"/>
              </w:rPr>
              <w:t>2010</w:t>
            </w:r>
          </w:p>
        </w:tc>
        <w:tc>
          <w:tcPr>
            <w:tcW w:w="76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366D2" w:rsidRPr="00F366D2" w:rsidRDefault="00F366D2" w:rsidP="006B30D7">
            <w:pPr>
              <w:spacing w:line="480" w:lineRule="auto"/>
              <w:jc w:val="center"/>
              <w:rPr>
                <w:b/>
                <w:bCs/>
                <w:color w:val="000000"/>
              </w:rPr>
            </w:pPr>
            <w:r w:rsidRPr="00F366D2">
              <w:rPr>
                <w:b/>
                <w:bCs/>
                <w:color w:val="000000"/>
              </w:rPr>
              <w:t>2011</w:t>
            </w:r>
          </w:p>
        </w:tc>
        <w:tc>
          <w:tcPr>
            <w:tcW w:w="76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366D2" w:rsidRPr="00F366D2" w:rsidRDefault="00F366D2" w:rsidP="006B30D7">
            <w:pPr>
              <w:spacing w:line="480" w:lineRule="auto"/>
              <w:jc w:val="center"/>
              <w:rPr>
                <w:b/>
                <w:bCs/>
                <w:color w:val="000000"/>
              </w:rPr>
            </w:pPr>
            <w:r w:rsidRPr="00F366D2">
              <w:rPr>
                <w:b/>
                <w:bCs/>
                <w:color w:val="000000"/>
              </w:rPr>
              <w:t>2012</w:t>
            </w:r>
          </w:p>
        </w:tc>
        <w:tc>
          <w:tcPr>
            <w:tcW w:w="76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366D2" w:rsidRPr="00F366D2" w:rsidRDefault="00F366D2" w:rsidP="006B30D7">
            <w:pPr>
              <w:spacing w:line="480" w:lineRule="auto"/>
              <w:jc w:val="center"/>
              <w:rPr>
                <w:b/>
                <w:bCs/>
                <w:color w:val="000000"/>
              </w:rPr>
            </w:pPr>
            <w:r w:rsidRPr="00F366D2">
              <w:rPr>
                <w:b/>
                <w:bCs/>
                <w:color w:val="000000"/>
              </w:rPr>
              <w:t>2013</w:t>
            </w:r>
          </w:p>
        </w:tc>
        <w:tc>
          <w:tcPr>
            <w:tcW w:w="76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366D2" w:rsidRPr="00F366D2" w:rsidRDefault="00F366D2" w:rsidP="006B30D7">
            <w:pPr>
              <w:spacing w:line="480" w:lineRule="auto"/>
              <w:jc w:val="center"/>
              <w:rPr>
                <w:b/>
                <w:bCs/>
                <w:color w:val="000000"/>
              </w:rPr>
            </w:pPr>
            <w:r w:rsidRPr="00F366D2">
              <w:rPr>
                <w:b/>
                <w:bCs/>
                <w:color w:val="000000"/>
              </w:rPr>
              <w:t>2014</w:t>
            </w:r>
          </w:p>
        </w:tc>
        <w:tc>
          <w:tcPr>
            <w:tcW w:w="76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366D2" w:rsidRPr="00F366D2" w:rsidRDefault="00F366D2" w:rsidP="006B30D7">
            <w:pPr>
              <w:spacing w:line="480" w:lineRule="auto"/>
              <w:jc w:val="center"/>
              <w:rPr>
                <w:b/>
                <w:bCs/>
                <w:color w:val="000000"/>
              </w:rPr>
            </w:pPr>
            <w:r w:rsidRPr="00F366D2">
              <w:rPr>
                <w:b/>
                <w:bCs/>
                <w:color w:val="000000"/>
              </w:rPr>
              <w:t>2015</w:t>
            </w:r>
          </w:p>
        </w:tc>
        <w:tc>
          <w:tcPr>
            <w:tcW w:w="760" w:type="dxa"/>
            <w:tcBorders>
              <w:top w:val="single" w:sz="4" w:space="0" w:color="auto"/>
              <w:left w:val="single" w:sz="4" w:space="0" w:color="auto"/>
              <w:bottom w:val="single" w:sz="4" w:space="0" w:color="auto"/>
              <w:right w:val="single" w:sz="4" w:space="0" w:color="D8D8D8"/>
            </w:tcBorders>
            <w:shd w:val="clear" w:color="000000" w:fill="D8D8D8"/>
            <w:noWrap/>
            <w:vAlign w:val="bottom"/>
            <w:hideMark/>
          </w:tcPr>
          <w:p w:rsidR="00F366D2" w:rsidRPr="00F366D2" w:rsidRDefault="00F366D2" w:rsidP="006B30D7">
            <w:pPr>
              <w:spacing w:line="480" w:lineRule="auto"/>
              <w:jc w:val="center"/>
              <w:rPr>
                <w:b/>
                <w:bCs/>
                <w:color w:val="000000"/>
              </w:rPr>
            </w:pPr>
            <w:r w:rsidRPr="00F366D2">
              <w:rPr>
                <w:b/>
                <w:bCs/>
                <w:color w:val="000000"/>
              </w:rPr>
              <w:t>2016</w:t>
            </w:r>
          </w:p>
        </w:tc>
      </w:tr>
      <w:tr w:rsidR="00F366D2" w:rsidRPr="00F366D2" w:rsidTr="00D77C43">
        <w:trPr>
          <w:trHeight w:val="300"/>
          <w:jc w:val="center"/>
        </w:trPr>
        <w:tc>
          <w:tcPr>
            <w:tcW w:w="1860" w:type="dxa"/>
            <w:tcBorders>
              <w:top w:val="single" w:sz="4" w:space="0" w:color="auto"/>
              <w:left w:val="single" w:sz="4" w:space="0" w:color="D8D8D8"/>
              <w:bottom w:val="single" w:sz="4" w:space="0" w:color="D8D8D8"/>
              <w:right w:val="single" w:sz="4" w:space="0" w:color="auto"/>
            </w:tcBorders>
            <w:shd w:val="clear" w:color="000000" w:fill="D8D8D8"/>
            <w:noWrap/>
            <w:vAlign w:val="bottom"/>
            <w:hideMark/>
          </w:tcPr>
          <w:p w:rsidR="00F366D2" w:rsidRPr="00F366D2" w:rsidRDefault="00F366D2" w:rsidP="006B30D7">
            <w:pPr>
              <w:spacing w:line="480" w:lineRule="auto"/>
              <w:jc w:val="center"/>
              <w:rPr>
                <w:b/>
                <w:bCs/>
                <w:color w:val="000000"/>
              </w:rPr>
            </w:pPr>
            <w:r w:rsidRPr="00F366D2">
              <w:rPr>
                <w:b/>
                <w:bCs/>
                <w:color w:val="000000"/>
              </w:rPr>
              <w:t>Paraná</w:t>
            </w:r>
          </w:p>
        </w:tc>
        <w:tc>
          <w:tcPr>
            <w:tcW w:w="540" w:type="dxa"/>
            <w:tcBorders>
              <w:top w:val="single" w:sz="4" w:space="0" w:color="auto"/>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6B30D7">
            <w:pPr>
              <w:spacing w:line="480" w:lineRule="auto"/>
              <w:jc w:val="center"/>
              <w:rPr>
                <w:color w:val="000000"/>
              </w:rPr>
            </w:pPr>
            <w:r w:rsidRPr="00F366D2">
              <w:rPr>
                <w:color w:val="000000"/>
              </w:rPr>
              <w:t>-</w:t>
            </w:r>
          </w:p>
        </w:tc>
        <w:tc>
          <w:tcPr>
            <w:tcW w:w="760" w:type="dxa"/>
            <w:tcBorders>
              <w:top w:val="single" w:sz="4" w:space="0" w:color="auto"/>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6B30D7">
            <w:pPr>
              <w:spacing w:line="480" w:lineRule="auto"/>
              <w:jc w:val="center"/>
              <w:rPr>
                <w:color w:val="000000"/>
              </w:rPr>
            </w:pPr>
            <w:r w:rsidRPr="00F366D2">
              <w:rPr>
                <w:color w:val="000000"/>
              </w:rPr>
              <w:t>4,03%</w:t>
            </w:r>
          </w:p>
        </w:tc>
        <w:tc>
          <w:tcPr>
            <w:tcW w:w="760" w:type="dxa"/>
            <w:tcBorders>
              <w:top w:val="single" w:sz="4" w:space="0" w:color="auto"/>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6B30D7">
            <w:pPr>
              <w:spacing w:line="480" w:lineRule="auto"/>
              <w:jc w:val="center"/>
              <w:rPr>
                <w:color w:val="000000"/>
              </w:rPr>
            </w:pPr>
            <w:r w:rsidRPr="00F366D2">
              <w:rPr>
                <w:color w:val="000000"/>
              </w:rPr>
              <w:t>21,38%</w:t>
            </w:r>
          </w:p>
        </w:tc>
        <w:tc>
          <w:tcPr>
            <w:tcW w:w="760" w:type="dxa"/>
            <w:tcBorders>
              <w:top w:val="single" w:sz="4" w:space="0" w:color="auto"/>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6B30D7">
            <w:pPr>
              <w:spacing w:line="480" w:lineRule="auto"/>
              <w:jc w:val="center"/>
              <w:rPr>
                <w:color w:val="000000"/>
              </w:rPr>
            </w:pPr>
            <w:r w:rsidRPr="00F366D2">
              <w:rPr>
                <w:color w:val="000000"/>
              </w:rPr>
              <w:t>5,06%</w:t>
            </w:r>
          </w:p>
        </w:tc>
        <w:tc>
          <w:tcPr>
            <w:tcW w:w="760" w:type="dxa"/>
            <w:tcBorders>
              <w:top w:val="single" w:sz="4" w:space="0" w:color="auto"/>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6B30D7">
            <w:pPr>
              <w:spacing w:line="480" w:lineRule="auto"/>
              <w:jc w:val="center"/>
              <w:rPr>
                <w:color w:val="000000"/>
              </w:rPr>
            </w:pPr>
            <w:r w:rsidRPr="00F366D2">
              <w:rPr>
                <w:color w:val="000000"/>
              </w:rPr>
              <w:t>1,07%</w:t>
            </w:r>
          </w:p>
        </w:tc>
        <w:tc>
          <w:tcPr>
            <w:tcW w:w="760" w:type="dxa"/>
            <w:tcBorders>
              <w:top w:val="single" w:sz="4" w:space="0" w:color="auto"/>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6B30D7">
            <w:pPr>
              <w:spacing w:line="480" w:lineRule="auto"/>
              <w:jc w:val="center"/>
              <w:rPr>
                <w:color w:val="000000"/>
              </w:rPr>
            </w:pPr>
            <w:r w:rsidRPr="00F366D2">
              <w:rPr>
                <w:color w:val="000000"/>
              </w:rPr>
              <w:t>0,94%</w:t>
            </w:r>
          </w:p>
        </w:tc>
        <w:tc>
          <w:tcPr>
            <w:tcW w:w="760" w:type="dxa"/>
            <w:tcBorders>
              <w:top w:val="single" w:sz="4" w:space="0" w:color="auto"/>
              <w:left w:val="single" w:sz="4" w:space="0" w:color="auto"/>
              <w:bottom w:val="single" w:sz="4" w:space="0" w:color="D8D8D8"/>
              <w:right w:val="single" w:sz="4" w:space="0" w:color="D8D8D8"/>
            </w:tcBorders>
            <w:shd w:val="clear" w:color="auto" w:fill="auto"/>
            <w:noWrap/>
            <w:vAlign w:val="bottom"/>
            <w:hideMark/>
          </w:tcPr>
          <w:p w:rsidR="00F366D2" w:rsidRPr="00F366D2" w:rsidRDefault="00F366D2" w:rsidP="006B30D7">
            <w:pPr>
              <w:spacing w:line="480" w:lineRule="auto"/>
              <w:jc w:val="center"/>
              <w:rPr>
                <w:color w:val="000000"/>
              </w:rPr>
            </w:pPr>
            <w:r w:rsidRPr="00F366D2">
              <w:rPr>
                <w:color w:val="000000"/>
              </w:rPr>
              <w:t>7,33%</w:t>
            </w:r>
          </w:p>
        </w:tc>
      </w:tr>
      <w:tr w:rsidR="00F366D2" w:rsidRPr="00F366D2" w:rsidTr="00D77C43">
        <w:trPr>
          <w:trHeight w:val="300"/>
          <w:jc w:val="center"/>
        </w:trPr>
        <w:tc>
          <w:tcPr>
            <w:tcW w:w="1860" w:type="dxa"/>
            <w:tcBorders>
              <w:top w:val="single" w:sz="4" w:space="0" w:color="D8D8D8"/>
              <w:left w:val="single" w:sz="4" w:space="0" w:color="D8D8D8"/>
              <w:bottom w:val="single" w:sz="4" w:space="0" w:color="D8D8D8"/>
              <w:right w:val="single" w:sz="4" w:space="0" w:color="auto"/>
            </w:tcBorders>
            <w:shd w:val="clear" w:color="000000" w:fill="D8D8D8"/>
            <w:noWrap/>
            <w:vAlign w:val="bottom"/>
            <w:hideMark/>
          </w:tcPr>
          <w:p w:rsidR="00F366D2" w:rsidRPr="00F366D2" w:rsidRDefault="00F366D2" w:rsidP="006B30D7">
            <w:pPr>
              <w:spacing w:line="480" w:lineRule="auto"/>
              <w:jc w:val="center"/>
              <w:rPr>
                <w:b/>
                <w:bCs/>
                <w:color w:val="000000"/>
              </w:rPr>
            </w:pPr>
            <w:r w:rsidRPr="00F366D2">
              <w:rPr>
                <w:b/>
                <w:bCs/>
                <w:color w:val="000000"/>
              </w:rPr>
              <w:t>Rio Grande do Sul</w:t>
            </w:r>
          </w:p>
        </w:tc>
        <w:tc>
          <w:tcPr>
            <w:tcW w:w="540" w:type="dxa"/>
            <w:tcBorders>
              <w:top w:val="nil"/>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6B30D7">
            <w:pPr>
              <w:spacing w:line="480" w:lineRule="auto"/>
              <w:jc w:val="center"/>
              <w:rPr>
                <w:color w:val="000000"/>
              </w:rPr>
            </w:pPr>
            <w:r w:rsidRPr="00F366D2">
              <w:rPr>
                <w:color w:val="000000"/>
              </w:rPr>
              <w:t>-</w:t>
            </w:r>
          </w:p>
        </w:tc>
        <w:tc>
          <w:tcPr>
            <w:tcW w:w="760" w:type="dxa"/>
            <w:tcBorders>
              <w:top w:val="nil"/>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6B30D7">
            <w:pPr>
              <w:spacing w:line="480" w:lineRule="auto"/>
              <w:jc w:val="center"/>
              <w:rPr>
                <w:color w:val="000000"/>
              </w:rPr>
            </w:pPr>
            <w:r w:rsidRPr="00F366D2">
              <w:rPr>
                <w:color w:val="000000"/>
              </w:rPr>
              <w:t>5,15%</w:t>
            </w:r>
          </w:p>
        </w:tc>
        <w:tc>
          <w:tcPr>
            <w:tcW w:w="760" w:type="dxa"/>
            <w:tcBorders>
              <w:top w:val="nil"/>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6B30D7">
            <w:pPr>
              <w:spacing w:line="480" w:lineRule="auto"/>
              <w:jc w:val="center"/>
              <w:rPr>
                <w:color w:val="000000"/>
              </w:rPr>
            </w:pPr>
            <w:r w:rsidRPr="00F366D2">
              <w:rPr>
                <w:color w:val="000000"/>
              </w:rPr>
              <w:t>10,22%</w:t>
            </w:r>
          </w:p>
        </w:tc>
        <w:tc>
          <w:tcPr>
            <w:tcW w:w="760" w:type="dxa"/>
            <w:tcBorders>
              <w:top w:val="nil"/>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6B30D7">
            <w:pPr>
              <w:spacing w:line="480" w:lineRule="auto"/>
              <w:jc w:val="center"/>
              <w:rPr>
                <w:color w:val="000000"/>
              </w:rPr>
            </w:pPr>
            <w:r w:rsidRPr="00F366D2">
              <w:rPr>
                <w:color w:val="000000"/>
              </w:rPr>
              <w:t>3,50%</w:t>
            </w:r>
          </w:p>
        </w:tc>
        <w:tc>
          <w:tcPr>
            <w:tcW w:w="760" w:type="dxa"/>
            <w:tcBorders>
              <w:top w:val="nil"/>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6B30D7">
            <w:pPr>
              <w:spacing w:line="480" w:lineRule="auto"/>
              <w:jc w:val="center"/>
              <w:rPr>
                <w:color w:val="000000"/>
              </w:rPr>
            </w:pPr>
            <w:r w:rsidRPr="00F366D2">
              <w:rPr>
                <w:color w:val="000000"/>
              </w:rPr>
              <w:t>7,40%</w:t>
            </w:r>
          </w:p>
        </w:tc>
        <w:tc>
          <w:tcPr>
            <w:tcW w:w="760" w:type="dxa"/>
            <w:tcBorders>
              <w:top w:val="nil"/>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6B30D7">
            <w:pPr>
              <w:spacing w:line="480" w:lineRule="auto"/>
              <w:jc w:val="center"/>
              <w:rPr>
                <w:color w:val="000000"/>
              </w:rPr>
            </w:pPr>
            <w:r w:rsidRPr="00F366D2">
              <w:rPr>
                <w:color w:val="000000"/>
              </w:rPr>
              <w:t>8,63%</w:t>
            </w:r>
          </w:p>
        </w:tc>
        <w:tc>
          <w:tcPr>
            <w:tcW w:w="760" w:type="dxa"/>
            <w:tcBorders>
              <w:top w:val="nil"/>
              <w:left w:val="single" w:sz="4" w:space="0" w:color="auto"/>
              <w:bottom w:val="single" w:sz="4" w:space="0" w:color="D8D8D8"/>
              <w:right w:val="single" w:sz="4" w:space="0" w:color="D8D8D8"/>
            </w:tcBorders>
            <w:shd w:val="clear" w:color="auto" w:fill="auto"/>
            <w:noWrap/>
            <w:vAlign w:val="bottom"/>
            <w:hideMark/>
          </w:tcPr>
          <w:p w:rsidR="00F366D2" w:rsidRPr="00F366D2" w:rsidRDefault="00F366D2" w:rsidP="006B30D7">
            <w:pPr>
              <w:spacing w:line="480" w:lineRule="auto"/>
              <w:jc w:val="center"/>
              <w:rPr>
                <w:color w:val="000000"/>
              </w:rPr>
            </w:pPr>
            <w:r w:rsidRPr="00F366D2">
              <w:rPr>
                <w:color w:val="000000"/>
              </w:rPr>
              <w:t>5,29%</w:t>
            </w:r>
          </w:p>
        </w:tc>
      </w:tr>
      <w:tr w:rsidR="00F366D2" w:rsidRPr="00F366D2" w:rsidTr="00D77C43">
        <w:trPr>
          <w:trHeight w:val="300"/>
          <w:jc w:val="center"/>
        </w:trPr>
        <w:tc>
          <w:tcPr>
            <w:tcW w:w="1860" w:type="dxa"/>
            <w:tcBorders>
              <w:top w:val="single" w:sz="4" w:space="0" w:color="D8D8D8"/>
              <w:left w:val="single" w:sz="4" w:space="0" w:color="D8D8D8"/>
              <w:bottom w:val="single" w:sz="4" w:space="0" w:color="auto"/>
              <w:right w:val="single" w:sz="4" w:space="0" w:color="auto"/>
            </w:tcBorders>
            <w:shd w:val="clear" w:color="000000" w:fill="D8D8D8"/>
            <w:noWrap/>
            <w:vAlign w:val="bottom"/>
            <w:hideMark/>
          </w:tcPr>
          <w:p w:rsidR="00F366D2" w:rsidRPr="00F366D2" w:rsidRDefault="00F366D2" w:rsidP="006B30D7">
            <w:pPr>
              <w:spacing w:line="480" w:lineRule="auto"/>
              <w:jc w:val="center"/>
              <w:rPr>
                <w:b/>
                <w:bCs/>
                <w:color w:val="000000"/>
              </w:rPr>
            </w:pPr>
            <w:r w:rsidRPr="00F366D2">
              <w:rPr>
                <w:b/>
                <w:bCs/>
                <w:color w:val="000000"/>
              </w:rPr>
              <w:t>Santa Catarina</w:t>
            </w: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366D2" w:rsidRPr="00F366D2" w:rsidRDefault="00F366D2" w:rsidP="006B30D7">
            <w:pPr>
              <w:spacing w:line="480" w:lineRule="auto"/>
              <w:jc w:val="center"/>
              <w:rPr>
                <w:color w:val="000000"/>
              </w:rPr>
            </w:pPr>
            <w:r w:rsidRPr="00F366D2">
              <w:rPr>
                <w:color w:val="000000"/>
              </w:rPr>
              <w:t>-</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366D2" w:rsidRPr="00F366D2" w:rsidRDefault="00F366D2" w:rsidP="006B30D7">
            <w:pPr>
              <w:spacing w:line="480" w:lineRule="auto"/>
              <w:jc w:val="center"/>
              <w:rPr>
                <w:color w:val="000000"/>
              </w:rPr>
            </w:pPr>
            <w:r w:rsidRPr="00F366D2">
              <w:rPr>
                <w:color w:val="000000"/>
              </w:rPr>
              <w:t>12,22%</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366D2" w:rsidRPr="00F366D2" w:rsidRDefault="00F366D2" w:rsidP="006B30D7">
            <w:pPr>
              <w:spacing w:line="480" w:lineRule="auto"/>
              <w:jc w:val="center"/>
              <w:rPr>
                <w:color w:val="000000"/>
              </w:rPr>
            </w:pPr>
            <w:r w:rsidRPr="00F366D2">
              <w:rPr>
                <w:color w:val="000000"/>
              </w:rPr>
              <w:t>8,51%</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366D2" w:rsidRPr="00F366D2" w:rsidRDefault="00F366D2" w:rsidP="006B30D7">
            <w:pPr>
              <w:spacing w:line="480" w:lineRule="auto"/>
              <w:jc w:val="center"/>
              <w:rPr>
                <w:color w:val="000000"/>
              </w:rPr>
            </w:pPr>
            <w:r w:rsidRPr="00F366D2">
              <w:rPr>
                <w:color w:val="000000"/>
              </w:rPr>
              <w:t>8,30%</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366D2" w:rsidRPr="00F366D2" w:rsidRDefault="00F366D2" w:rsidP="006B30D7">
            <w:pPr>
              <w:spacing w:line="480" w:lineRule="auto"/>
              <w:jc w:val="center"/>
              <w:rPr>
                <w:color w:val="000000"/>
              </w:rPr>
            </w:pPr>
            <w:r w:rsidRPr="00F366D2">
              <w:rPr>
                <w:color w:val="000000"/>
              </w:rPr>
              <w:t>9,31%</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366D2" w:rsidRPr="00F366D2" w:rsidRDefault="00F366D2" w:rsidP="006B30D7">
            <w:pPr>
              <w:spacing w:line="480" w:lineRule="auto"/>
              <w:jc w:val="center"/>
              <w:rPr>
                <w:color w:val="000000"/>
              </w:rPr>
            </w:pPr>
            <w:r w:rsidRPr="00F366D2">
              <w:rPr>
                <w:color w:val="000000"/>
              </w:rPr>
              <w:t>9,66%</w:t>
            </w:r>
          </w:p>
        </w:tc>
        <w:tc>
          <w:tcPr>
            <w:tcW w:w="760" w:type="dxa"/>
            <w:tcBorders>
              <w:top w:val="nil"/>
              <w:left w:val="single" w:sz="4" w:space="0" w:color="auto"/>
              <w:bottom w:val="single" w:sz="4" w:space="0" w:color="auto"/>
              <w:right w:val="single" w:sz="4" w:space="0" w:color="D8D8D8"/>
            </w:tcBorders>
            <w:shd w:val="clear" w:color="auto" w:fill="auto"/>
            <w:noWrap/>
            <w:vAlign w:val="bottom"/>
            <w:hideMark/>
          </w:tcPr>
          <w:p w:rsidR="00F366D2" w:rsidRPr="00F366D2" w:rsidRDefault="00F366D2" w:rsidP="006B30D7">
            <w:pPr>
              <w:spacing w:line="480" w:lineRule="auto"/>
              <w:jc w:val="center"/>
              <w:rPr>
                <w:color w:val="000000"/>
              </w:rPr>
            </w:pPr>
            <w:r w:rsidRPr="00F366D2">
              <w:rPr>
                <w:color w:val="000000"/>
              </w:rPr>
              <w:t>4,25%</w:t>
            </w:r>
          </w:p>
        </w:tc>
      </w:tr>
    </w:tbl>
    <w:p w:rsidR="00F366D2" w:rsidRPr="00F366D2" w:rsidRDefault="00F366D2" w:rsidP="00C668C4">
      <w:pPr>
        <w:jc w:val="center"/>
        <w:rPr>
          <w:color w:val="000000"/>
        </w:rPr>
      </w:pPr>
      <w:r w:rsidRPr="00F366D2">
        <w:rPr>
          <w:color w:val="000000"/>
        </w:rPr>
        <w:t>Fonte: Elaborado pelos autores com base nos Relatórios de Gestão Fiscal, disponibilizados por cada órgão em seu respectivo portal de transparência</w:t>
      </w:r>
    </w:p>
    <w:p w:rsidR="00F366D2" w:rsidRPr="00F366D2" w:rsidRDefault="00F366D2" w:rsidP="00C668C4">
      <w:pPr>
        <w:ind w:firstLine="709"/>
        <w:jc w:val="both"/>
        <w:rPr>
          <w:sz w:val="24"/>
          <w:szCs w:val="24"/>
        </w:rPr>
      </w:pPr>
    </w:p>
    <w:p w:rsidR="00F366D2" w:rsidRPr="00F366D2" w:rsidRDefault="00F366D2" w:rsidP="00C668C4">
      <w:pPr>
        <w:ind w:firstLine="709"/>
        <w:contextualSpacing/>
        <w:jc w:val="both"/>
        <w:rPr>
          <w:sz w:val="24"/>
          <w:szCs w:val="24"/>
        </w:rPr>
      </w:pPr>
      <w:r w:rsidRPr="00F366D2">
        <w:rPr>
          <w:sz w:val="24"/>
          <w:szCs w:val="24"/>
        </w:rPr>
        <w:t>Devido à distribuição dos limites esperava-se que o tribunal de contas do Estado do Paraná apresentasse maior despesa total com pessoal, em relação aos demais estados, mas o resultado é que o Estado do Rio Grande do Sul em todos os anos teve um gasto superior,</w:t>
      </w:r>
      <w:r w:rsidR="00D77C43">
        <w:rPr>
          <w:sz w:val="24"/>
          <w:szCs w:val="24"/>
        </w:rPr>
        <w:t xml:space="preserve"> </w:t>
      </w:r>
      <w:r w:rsidRPr="00F366D2">
        <w:rPr>
          <w:sz w:val="24"/>
          <w:szCs w:val="24"/>
        </w:rPr>
        <w:t>tendo em 2015 a maior diferença para o Estado do Paraná de R$ 26.826.064,40. Tal diferença foi resultado de uma diminuição de 0,25%da despesa incorrida pelo tribunal de contas do Paraná. O Estado de Santa Catarina apresenta os menores gastos com pessoal, no seu tribunal de contas, onde o maior gasto apurado foi em 2016 num montante de R$ 170.398.980,47, devido ao limite máximo de tal órgão ser de 0,80%, até o ano de 2015 onde passou a ser 0,90%. Neste mesmo ano os mesmos gastos do Estado do Rio Grande do Sul foram de aproximadamente 78%maior.</w:t>
      </w:r>
    </w:p>
    <w:p w:rsidR="00F366D2" w:rsidRPr="00F366D2" w:rsidRDefault="00F366D2" w:rsidP="00F366D2">
      <w:pPr>
        <w:spacing w:line="360" w:lineRule="auto"/>
        <w:contextualSpacing/>
        <w:jc w:val="center"/>
        <w:rPr>
          <w:sz w:val="24"/>
          <w:szCs w:val="24"/>
        </w:rPr>
      </w:pPr>
    </w:p>
    <w:p w:rsidR="00F366D2" w:rsidRPr="00F366D2" w:rsidRDefault="00F366D2" w:rsidP="00F366D2">
      <w:pPr>
        <w:spacing w:line="360" w:lineRule="auto"/>
        <w:contextualSpacing/>
        <w:jc w:val="center"/>
        <w:rPr>
          <w:b/>
          <w:sz w:val="24"/>
          <w:szCs w:val="24"/>
        </w:rPr>
      </w:pPr>
      <w:r w:rsidRPr="00F366D2">
        <w:rPr>
          <w:b/>
          <w:noProof/>
          <w:sz w:val="24"/>
          <w:szCs w:val="24"/>
        </w:rPr>
        <w:drawing>
          <wp:inline distT="0" distB="0" distL="0" distR="0">
            <wp:extent cx="3733800" cy="1790700"/>
            <wp:effectExtent l="0" t="0" r="0" b="0"/>
            <wp:docPr id="8"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77C43" w:rsidRPr="00815417" w:rsidRDefault="00D77C43" w:rsidP="00815417">
      <w:pPr>
        <w:contextualSpacing/>
        <w:jc w:val="center"/>
        <w:rPr>
          <w:b/>
          <w:sz w:val="24"/>
          <w:szCs w:val="24"/>
        </w:rPr>
      </w:pPr>
      <w:r w:rsidRPr="00815417">
        <w:rPr>
          <w:b/>
          <w:sz w:val="24"/>
          <w:szCs w:val="24"/>
        </w:rPr>
        <w:t>Figura 3. Despesa Total com Pessoal Tribunal de Contas do Estado - Valores monetários originais em milhares de reais.</w:t>
      </w:r>
    </w:p>
    <w:p w:rsidR="00F366D2" w:rsidRPr="00F366D2" w:rsidRDefault="00F366D2" w:rsidP="00815417">
      <w:pPr>
        <w:contextualSpacing/>
        <w:jc w:val="center"/>
      </w:pPr>
      <w:r w:rsidRPr="00F366D2">
        <w:t>Fonte: Elaborado pelos autores com base nos Relatórios de Gestão Fiscal, disponibilizados por cada órgão em seu respectivo portal de transparência.</w:t>
      </w:r>
    </w:p>
    <w:p w:rsidR="00F366D2" w:rsidRPr="00F366D2" w:rsidRDefault="00F366D2" w:rsidP="00815417">
      <w:pPr>
        <w:ind w:firstLine="709"/>
        <w:contextualSpacing/>
        <w:jc w:val="center"/>
        <w:rPr>
          <w:sz w:val="24"/>
          <w:szCs w:val="24"/>
        </w:rPr>
      </w:pPr>
    </w:p>
    <w:p w:rsidR="00F366D2" w:rsidRPr="00F366D2" w:rsidRDefault="00F366D2" w:rsidP="00543873">
      <w:pPr>
        <w:ind w:firstLine="709"/>
        <w:contextualSpacing/>
        <w:jc w:val="both"/>
        <w:rPr>
          <w:sz w:val="24"/>
          <w:szCs w:val="24"/>
        </w:rPr>
      </w:pPr>
      <w:r w:rsidRPr="00F366D2">
        <w:rPr>
          <w:sz w:val="24"/>
          <w:szCs w:val="24"/>
        </w:rPr>
        <w:t xml:space="preserve">O tribunal de contas do Estado do Paraná sofreu a maior variação da despesa total com pessoal no ano de 2016, aproximadamente 20%, logo após um ano onde basicamente a despesa se manteve em 2015. A maior variação no Estado do Rio Grande do Sul deu-se no ano e 2012 onde tal variação aproximou-se de 18%, já tal órgão do poder legislativo de Santa Catarina apresentou em 2014 sua maior variação, quase 15%, conforme a tabela </w:t>
      </w:r>
      <w:r w:rsidR="00E074D5">
        <w:rPr>
          <w:sz w:val="24"/>
          <w:szCs w:val="24"/>
        </w:rPr>
        <w:t>5</w:t>
      </w:r>
      <w:r w:rsidRPr="00F366D2">
        <w:rPr>
          <w:sz w:val="24"/>
          <w:szCs w:val="24"/>
        </w:rPr>
        <w:t>.</w:t>
      </w:r>
    </w:p>
    <w:p w:rsidR="00F366D2" w:rsidRPr="00F366D2" w:rsidRDefault="00F366D2" w:rsidP="00543873">
      <w:pPr>
        <w:contextualSpacing/>
        <w:jc w:val="center"/>
        <w:rPr>
          <w:sz w:val="24"/>
          <w:szCs w:val="24"/>
        </w:rPr>
      </w:pPr>
    </w:p>
    <w:p w:rsidR="0078209A" w:rsidRDefault="0078209A">
      <w:pPr>
        <w:suppressAutoHyphens w:val="0"/>
        <w:rPr>
          <w:b/>
          <w:sz w:val="24"/>
          <w:szCs w:val="24"/>
        </w:rPr>
      </w:pPr>
      <w:r>
        <w:rPr>
          <w:b/>
          <w:sz w:val="24"/>
          <w:szCs w:val="24"/>
        </w:rPr>
        <w:br w:type="page"/>
      </w:r>
    </w:p>
    <w:p w:rsidR="00F366D2" w:rsidRPr="00815417" w:rsidRDefault="00F366D2" w:rsidP="007F1934">
      <w:pPr>
        <w:contextualSpacing/>
        <w:jc w:val="center"/>
        <w:rPr>
          <w:b/>
          <w:sz w:val="24"/>
          <w:szCs w:val="24"/>
        </w:rPr>
      </w:pPr>
      <w:r w:rsidRPr="00815417">
        <w:rPr>
          <w:b/>
          <w:sz w:val="24"/>
          <w:szCs w:val="24"/>
        </w:rPr>
        <w:lastRenderedPageBreak/>
        <w:t xml:space="preserve">Tabela </w:t>
      </w:r>
      <w:r w:rsidR="00D77C43" w:rsidRPr="00815417">
        <w:rPr>
          <w:b/>
          <w:sz w:val="24"/>
          <w:szCs w:val="24"/>
        </w:rPr>
        <w:t>6</w:t>
      </w:r>
      <w:r w:rsidRPr="00815417">
        <w:rPr>
          <w:b/>
          <w:sz w:val="24"/>
          <w:szCs w:val="24"/>
        </w:rPr>
        <w:t xml:space="preserve">. </w:t>
      </w:r>
      <w:r w:rsidR="00C1772C" w:rsidRPr="00815417">
        <w:rPr>
          <w:b/>
          <w:sz w:val="24"/>
          <w:szCs w:val="24"/>
        </w:rPr>
        <w:t>Variações das despesas totais com pessoal de cada assembleia legislativa</w:t>
      </w:r>
    </w:p>
    <w:tbl>
      <w:tblPr>
        <w:tblW w:w="6960" w:type="dxa"/>
        <w:jc w:val="center"/>
        <w:tblCellMar>
          <w:left w:w="70" w:type="dxa"/>
          <w:right w:w="70" w:type="dxa"/>
        </w:tblCellMar>
        <w:tblLook w:val="04A0" w:firstRow="1" w:lastRow="0" w:firstColumn="1" w:lastColumn="0" w:noHBand="0" w:noVBand="1"/>
      </w:tblPr>
      <w:tblGrid>
        <w:gridCol w:w="1860"/>
        <w:gridCol w:w="540"/>
        <w:gridCol w:w="760"/>
        <w:gridCol w:w="760"/>
        <w:gridCol w:w="760"/>
        <w:gridCol w:w="760"/>
        <w:gridCol w:w="760"/>
        <w:gridCol w:w="760"/>
      </w:tblGrid>
      <w:tr w:rsidR="00F366D2" w:rsidRPr="00F366D2" w:rsidTr="00D77C43">
        <w:trPr>
          <w:trHeight w:val="300"/>
          <w:jc w:val="center"/>
        </w:trPr>
        <w:tc>
          <w:tcPr>
            <w:tcW w:w="1860" w:type="dxa"/>
            <w:tcBorders>
              <w:top w:val="single" w:sz="4" w:space="0" w:color="auto"/>
              <w:left w:val="single" w:sz="4" w:space="0" w:color="D8D8D8"/>
              <w:bottom w:val="single" w:sz="4" w:space="0" w:color="auto"/>
              <w:right w:val="single" w:sz="4" w:space="0" w:color="auto"/>
            </w:tcBorders>
            <w:shd w:val="clear" w:color="000000" w:fill="D8D8D8"/>
            <w:noWrap/>
            <w:vAlign w:val="bottom"/>
            <w:hideMark/>
          </w:tcPr>
          <w:p w:rsidR="00F366D2" w:rsidRPr="00F366D2" w:rsidRDefault="00F366D2" w:rsidP="007F1934">
            <w:pPr>
              <w:jc w:val="center"/>
              <w:rPr>
                <w:b/>
                <w:bCs/>
                <w:color w:val="000000"/>
              </w:rPr>
            </w:pPr>
            <w:r w:rsidRPr="00F366D2">
              <w:rPr>
                <w:b/>
                <w:bCs/>
                <w:color w:val="000000"/>
              </w:rPr>
              <w:t>Estado/Ano</w:t>
            </w:r>
          </w:p>
        </w:tc>
        <w:tc>
          <w:tcPr>
            <w:tcW w:w="54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366D2" w:rsidRPr="00F366D2" w:rsidRDefault="00F366D2" w:rsidP="007F1934">
            <w:pPr>
              <w:jc w:val="center"/>
              <w:rPr>
                <w:b/>
                <w:bCs/>
                <w:color w:val="000000"/>
              </w:rPr>
            </w:pPr>
            <w:r w:rsidRPr="00F366D2">
              <w:rPr>
                <w:b/>
                <w:bCs/>
                <w:color w:val="000000"/>
              </w:rPr>
              <w:t>2010</w:t>
            </w:r>
          </w:p>
        </w:tc>
        <w:tc>
          <w:tcPr>
            <w:tcW w:w="76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366D2" w:rsidRPr="00F366D2" w:rsidRDefault="00F366D2" w:rsidP="007F1934">
            <w:pPr>
              <w:jc w:val="center"/>
              <w:rPr>
                <w:b/>
                <w:bCs/>
                <w:color w:val="000000"/>
              </w:rPr>
            </w:pPr>
            <w:r w:rsidRPr="00F366D2">
              <w:rPr>
                <w:b/>
                <w:bCs/>
                <w:color w:val="000000"/>
              </w:rPr>
              <w:t>2011</w:t>
            </w:r>
          </w:p>
        </w:tc>
        <w:tc>
          <w:tcPr>
            <w:tcW w:w="76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366D2" w:rsidRPr="00F366D2" w:rsidRDefault="00F366D2" w:rsidP="007F1934">
            <w:pPr>
              <w:jc w:val="center"/>
              <w:rPr>
                <w:b/>
                <w:bCs/>
                <w:color w:val="000000"/>
              </w:rPr>
            </w:pPr>
            <w:r w:rsidRPr="00F366D2">
              <w:rPr>
                <w:b/>
                <w:bCs/>
                <w:color w:val="000000"/>
              </w:rPr>
              <w:t>2012</w:t>
            </w:r>
          </w:p>
        </w:tc>
        <w:tc>
          <w:tcPr>
            <w:tcW w:w="76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366D2" w:rsidRPr="00F366D2" w:rsidRDefault="00F366D2" w:rsidP="007F1934">
            <w:pPr>
              <w:jc w:val="center"/>
              <w:rPr>
                <w:b/>
                <w:bCs/>
                <w:color w:val="000000"/>
              </w:rPr>
            </w:pPr>
            <w:r w:rsidRPr="00F366D2">
              <w:rPr>
                <w:b/>
                <w:bCs/>
                <w:color w:val="000000"/>
              </w:rPr>
              <w:t>2013</w:t>
            </w:r>
          </w:p>
        </w:tc>
        <w:tc>
          <w:tcPr>
            <w:tcW w:w="76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366D2" w:rsidRPr="00F366D2" w:rsidRDefault="00F366D2" w:rsidP="007F1934">
            <w:pPr>
              <w:jc w:val="center"/>
              <w:rPr>
                <w:b/>
                <w:bCs/>
                <w:color w:val="000000"/>
              </w:rPr>
            </w:pPr>
            <w:r w:rsidRPr="00F366D2">
              <w:rPr>
                <w:b/>
                <w:bCs/>
                <w:color w:val="000000"/>
              </w:rPr>
              <w:t>2014</w:t>
            </w:r>
          </w:p>
        </w:tc>
        <w:tc>
          <w:tcPr>
            <w:tcW w:w="76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366D2" w:rsidRPr="00F366D2" w:rsidRDefault="00F366D2" w:rsidP="007F1934">
            <w:pPr>
              <w:jc w:val="center"/>
              <w:rPr>
                <w:b/>
                <w:bCs/>
                <w:color w:val="000000"/>
              </w:rPr>
            </w:pPr>
            <w:r w:rsidRPr="00F366D2">
              <w:rPr>
                <w:b/>
                <w:bCs/>
                <w:color w:val="000000"/>
              </w:rPr>
              <w:t>2015</w:t>
            </w:r>
          </w:p>
        </w:tc>
        <w:tc>
          <w:tcPr>
            <w:tcW w:w="760" w:type="dxa"/>
            <w:tcBorders>
              <w:top w:val="single" w:sz="4" w:space="0" w:color="auto"/>
              <w:left w:val="single" w:sz="4" w:space="0" w:color="auto"/>
              <w:bottom w:val="single" w:sz="4" w:space="0" w:color="auto"/>
              <w:right w:val="single" w:sz="4" w:space="0" w:color="D8D8D8"/>
            </w:tcBorders>
            <w:shd w:val="clear" w:color="000000" w:fill="D8D8D8"/>
            <w:noWrap/>
            <w:vAlign w:val="bottom"/>
            <w:hideMark/>
          </w:tcPr>
          <w:p w:rsidR="00F366D2" w:rsidRPr="00F366D2" w:rsidRDefault="00F366D2" w:rsidP="007F1934">
            <w:pPr>
              <w:jc w:val="center"/>
              <w:rPr>
                <w:b/>
                <w:bCs/>
                <w:color w:val="000000"/>
              </w:rPr>
            </w:pPr>
            <w:r w:rsidRPr="00F366D2">
              <w:rPr>
                <w:b/>
                <w:bCs/>
                <w:color w:val="000000"/>
              </w:rPr>
              <w:t>2016</w:t>
            </w:r>
          </w:p>
        </w:tc>
      </w:tr>
      <w:tr w:rsidR="00F366D2" w:rsidRPr="00F366D2" w:rsidTr="00D77C43">
        <w:trPr>
          <w:trHeight w:val="300"/>
          <w:jc w:val="center"/>
        </w:trPr>
        <w:tc>
          <w:tcPr>
            <w:tcW w:w="1860" w:type="dxa"/>
            <w:tcBorders>
              <w:top w:val="single" w:sz="4" w:space="0" w:color="auto"/>
              <w:left w:val="single" w:sz="4" w:space="0" w:color="D8D8D8"/>
              <w:bottom w:val="single" w:sz="4" w:space="0" w:color="D8D8D8"/>
              <w:right w:val="single" w:sz="4" w:space="0" w:color="auto"/>
            </w:tcBorders>
            <w:shd w:val="clear" w:color="000000" w:fill="D8D8D8"/>
            <w:noWrap/>
            <w:vAlign w:val="bottom"/>
            <w:hideMark/>
          </w:tcPr>
          <w:p w:rsidR="00F366D2" w:rsidRPr="00F366D2" w:rsidRDefault="00F366D2" w:rsidP="007F1934">
            <w:pPr>
              <w:jc w:val="center"/>
              <w:rPr>
                <w:b/>
                <w:bCs/>
                <w:color w:val="000000"/>
              </w:rPr>
            </w:pPr>
            <w:r w:rsidRPr="00F366D2">
              <w:rPr>
                <w:b/>
                <w:bCs/>
                <w:color w:val="000000"/>
              </w:rPr>
              <w:t>Paraná</w:t>
            </w:r>
          </w:p>
        </w:tc>
        <w:tc>
          <w:tcPr>
            <w:tcW w:w="540" w:type="dxa"/>
            <w:tcBorders>
              <w:top w:val="single" w:sz="4" w:space="0" w:color="auto"/>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7F1934">
            <w:pPr>
              <w:jc w:val="center"/>
              <w:rPr>
                <w:color w:val="000000"/>
              </w:rPr>
            </w:pPr>
            <w:r w:rsidRPr="00F366D2">
              <w:rPr>
                <w:color w:val="000000"/>
              </w:rPr>
              <w:t>-</w:t>
            </w:r>
          </w:p>
        </w:tc>
        <w:tc>
          <w:tcPr>
            <w:tcW w:w="760" w:type="dxa"/>
            <w:tcBorders>
              <w:top w:val="single" w:sz="4" w:space="0" w:color="auto"/>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7F1934">
            <w:pPr>
              <w:jc w:val="center"/>
              <w:rPr>
                <w:color w:val="000000"/>
              </w:rPr>
            </w:pPr>
            <w:r w:rsidRPr="00F366D2">
              <w:rPr>
                <w:color w:val="000000"/>
              </w:rPr>
              <w:t>16,45%</w:t>
            </w:r>
          </w:p>
        </w:tc>
        <w:tc>
          <w:tcPr>
            <w:tcW w:w="760" w:type="dxa"/>
            <w:tcBorders>
              <w:top w:val="single" w:sz="4" w:space="0" w:color="auto"/>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7F1934">
            <w:pPr>
              <w:jc w:val="center"/>
              <w:rPr>
                <w:color w:val="000000"/>
              </w:rPr>
            </w:pPr>
            <w:r w:rsidRPr="00F366D2">
              <w:rPr>
                <w:color w:val="000000"/>
              </w:rPr>
              <w:t>6,26%</w:t>
            </w:r>
          </w:p>
        </w:tc>
        <w:tc>
          <w:tcPr>
            <w:tcW w:w="760" w:type="dxa"/>
            <w:tcBorders>
              <w:top w:val="single" w:sz="4" w:space="0" w:color="auto"/>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7F1934">
            <w:pPr>
              <w:jc w:val="center"/>
              <w:rPr>
                <w:color w:val="000000"/>
              </w:rPr>
            </w:pPr>
            <w:r w:rsidRPr="00F366D2">
              <w:rPr>
                <w:color w:val="000000"/>
              </w:rPr>
              <w:t>8,66%</w:t>
            </w:r>
          </w:p>
        </w:tc>
        <w:tc>
          <w:tcPr>
            <w:tcW w:w="760" w:type="dxa"/>
            <w:tcBorders>
              <w:top w:val="single" w:sz="4" w:space="0" w:color="auto"/>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7F1934">
            <w:pPr>
              <w:jc w:val="center"/>
              <w:rPr>
                <w:color w:val="000000"/>
              </w:rPr>
            </w:pPr>
            <w:r w:rsidRPr="00F366D2">
              <w:rPr>
                <w:color w:val="000000"/>
              </w:rPr>
              <w:t>8,44%</w:t>
            </w:r>
          </w:p>
        </w:tc>
        <w:tc>
          <w:tcPr>
            <w:tcW w:w="760" w:type="dxa"/>
            <w:tcBorders>
              <w:top w:val="single" w:sz="4" w:space="0" w:color="auto"/>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7F1934">
            <w:pPr>
              <w:jc w:val="center"/>
              <w:rPr>
                <w:color w:val="000000"/>
              </w:rPr>
            </w:pPr>
            <w:r w:rsidRPr="00F366D2">
              <w:rPr>
                <w:color w:val="000000"/>
              </w:rPr>
              <w:t>-0,25%</w:t>
            </w:r>
          </w:p>
        </w:tc>
        <w:tc>
          <w:tcPr>
            <w:tcW w:w="760" w:type="dxa"/>
            <w:tcBorders>
              <w:top w:val="single" w:sz="4" w:space="0" w:color="auto"/>
              <w:left w:val="single" w:sz="4" w:space="0" w:color="auto"/>
              <w:bottom w:val="single" w:sz="4" w:space="0" w:color="D8D8D8"/>
              <w:right w:val="single" w:sz="4" w:space="0" w:color="D8D8D8"/>
            </w:tcBorders>
            <w:shd w:val="clear" w:color="auto" w:fill="auto"/>
            <w:noWrap/>
            <w:vAlign w:val="bottom"/>
            <w:hideMark/>
          </w:tcPr>
          <w:p w:rsidR="00F366D2" w:rsidRPr="00F366D2" w:rsidRDefault="00F366D2" w:rsidP="007F1934">
            <w:pPr>
              <w:jc w:val="center"/>
              <w:rPr>
                <w:color w:val="000000"/>
              </w:rPr>
            </w:pPr>
            <w:r w:rsidRPr="00F366D2">
              <w:rPr>
                <w:color w:val="000000"/>
              </w:rPr>
              <w:t>19,99%</w:t>
            </w:r>
          </w:p>
        </w:tc>
      </w:tr>
      <w:tr w:rsidR="00F366D2" w:rsidRPr="00F366D2" w:rsidTr="00D77C43">
        <w:trPr>
          <w:trHeight w:val="300"/>
          <w:jc w:val="center"/>
        </w:trPr>
        <w:tc>
          <w:tcPr>
            <w:tcW w:w="1860" w:type="dxa"/>
            <w:tcBorders>
              <w:top w:val="single" w:sz="4" w:space="0" w:color="D8D8D8"/>
              <w:left w:val="single" w:sz="4" w:space="0" w:color="D8D8D8"/>
              <w:bottom w:val="single" w:sz="4" w:space="0" w:color="D8D8D8"/>
              <w:right w:val="single" w:sz="4" w:space="0" w:color="auto"/>
            </w:tcBorders>
            <w:shd w:val="clear" w:color="000000" w:fill="D8D8D8"/>
            <w:noWrap/>
            <w:vAlign w:val="bottom"/>
            <w:hideMark/>
          </w:tcPr>
          <w:p w:rsidR="00F366D2" w:rsidRPr="00F366D2" w:rsidRDefault="00F366D2" w:rsidP="007F1934">
            <w:pPr>
              <w:jc w:val="center"/>
              <w:rPr>
                <w:b/>
                <w:bCs/>
                <w:color w:val="000000"/>
              </w:rPr>
            </w:pPr>
            <w:r w:rsidRPr="00F366D2">
              <w:rPr>
                <w:b/>
                <w:bCs/>
                <w:color w:val="000000"/>
              </w:rPr>
              <w:t>Rio Grande do Sul</w:t>
            </w:r>
          </w:p>
        </w:tc>
        <w:tc>
          <w:tcPr>
            <w:tcW w:w="540" w:type="dxa"/>
            <w:tcBorders>
              <w:top w:val="nil"/>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7F1934">
            <w:pPr>
              <w:jc w:val="center"/>
              <w:rPr>
                <w:color w:val="000000"/>
              </w:rPr>
            </w:pPr>
            <w:r w:rsidRPr="00F366D2">
              <w:rPr>
                <w:color w:val="000000"/>
              </w:rPr>
              <w:t>-</w:t>
            </w:r>
          </w:p>
        </w:tc>
        <w:tc>
          <w:tcPr>
            <w:tcW w:w="760" w:type="dxa"/>
            <w:tcBorders>
              <w:top w:val="nil"/>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7F1934">
            <w:pPr>
              <w:jc w:val="center"/>
              <w:rPr>
                <w:color w:val="000000"/>
              </w:rPr>
            </w:pPr>
            <w:r w:rsidRPr="00F366D2">
              <w:rPr>
                <w:color w:val="000000"/>
              </w:rPr>
              <w:t>10,85%</w:t>
            </w:r>
          </w:p>
        </w:tc>
        <w:tc>
          <w:tcPr>
            <w:tcW w:w="760" w:type="dxa"/>
            <w:tcBorders>
              <w:top w:val="nil"/>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7F1934">
            <w:pPr>
              <w:jc w:val="center"/>
              <w:rPr>
                <w:color w:val="000000"/>
              </w:rPr>
            </w:pPr>
            <w:r w:rsidRPr="00F366D2">
              <w:rPr>
                <w:color w:val="000000"/>
              </w:rPr>
              <w:t>17,98%</w:t>
            </w:r>
          </w:p>
        </w:tc>
        <w:tc>
          <w:tcPr>
            <w:tcW w:w="760" w:type="dxa"/>
            <w:tcBorders>
              <w:top w:val="nil"/>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7F1934">
            <w:pPr>
              <w:jc w:val="center"/>
              <w:rPr>
                <w:color w:val="000000"/>
              </w:rPr>
            </w:pPr>
            <w:r w:rsidRPr="00F366D2">
              <w:rPr>
                <w:color w:val="000000"/>
              </w:rPr>
              <w:t>5,72%</w:t>
            </w:r>
          </w:p>
        </w:tc>
        <w:tc>
          <w:tcPr>
            <w:tcW w:w="760" w:type="dxa"/>
            <w:tcBorders>
              <w:top w:val="nil"/>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7F1934">
            <w:pPr>
              <w:jc w:val="center"/>
              <w:rPr>
                <w:color w:val="000000"/>
              </w:rPr>
            </w:pPr>
            <w:r w:rsidRPr="00F366D2">
              <w:rPr>
                <w:color w:val="000000"/>
              </w:rPr>
              <w:t>7,69%</w:t>
            </w:r>
          </w:p>
        </w:tc>
        <w:tc>
          <w:tcPr>
            <w:tcW w:w="760" w:type="dxa"/>
            <w:tcBorders>
              <w:top w:val="nil"/>
              <w:left w:val="single" w:sz="4" w:space="0" w:color="auto"/>
              <w:bottom w:val="single" w:sz="4" w:space="0" w:color="D8D8D8"/>
              <w:right w:val="single" w:sz="4" w:space="0" w:color="auto"/>
            </w:tcBorders>
            <w:shd w:val="clear" w:color="auto" w:fill="auto"/>
            <w:noWrap/>
            <w:vAlign w:val="bottom"/>
            <w:hideMark/>
          </w:tcPr>
          <w:p w:rsidR="00F366D2" w:rsidRPr="00F366D2" w:rsidRDefault="00F366D2" w:rsidP="007F1934">
            <w:pPr>
              <w:jc w:val="center"/>
              <w:rPr>
                <w:color w:val="000000"/>
              </w:rPr>
            </w:pPr>
            <w:r w:rsidRPr="00F366D2">
              <w:rPr>
                <w:color w:val="000000"/>
              </w:rPr>
              <w:t>11,51%</w:t>
            </w:r>
          </w:p>
        </w:tc>
        <w:tc>
          <w:tcPr>
            <w:tcW w:w="760" w:type="dxa"/>
            <w:tcBorders>
              <w:top w:val="nil"/>
              <w:left w:val="single" w:sz="4" w:space="0" w:color="auto"/>
              <w:bottom w:val="single" w:sz="4" w:space="0" w:color="D8D8D8"/>
              <w:right w:val="single" w:sz="4" w:space="0" w:color="D8D8D8"/>
            </w:tcBorders>
            <w:shd w:val="clear" w:color="auto" w:fill="auto"/>
            <w:noWrap/>
            <w:vAlign w:val="bottom"/>
            <w:hideMark/>
          </w:tcPr>
          <w:p w:rsidR="00F366D2" w:rsidRPr="00F366D2" w:rsidRDefault="00F366D2" w:rsidP="007F1934">
            <w:pPr>
              <w:jc w:val="center"/>
              <w:rPr>
                <w:color w:val="000000"/>
              </w:rPr>
            </w:pPr>
            <w:r w:rsidRPr="00F366D2">
              <w:rPr>
                <w:color w:val="000000"/>
              </w:rPr>
              <w:t>5,33%</w:t>
            </w:r>
          </w:p>
        </w:tc>
      </w:tr>
      <w:tr w:rsidR="00F366D2" w:rsidRPr="00F366D2" w:rsidTr="00D77C43">
        <w:trPr>
          <w:trHeight w:val="300"/>
          <w:jc w:val="center"/>
        </w:trPr>
        <w:tc>
          <w:tcPr>
            <w:tcW w:w="1860" w:type="dxa"/>
            <w:tcBorders>
              <w:top w:val="single" w:sz="4" w:space="0" w:color="D8D8D8"/>
              <w:left w:val="single" w:sz="4" w:space="0" w:color="D8D8D8"/>
              <w:bottom w:val="single" w:sz="4" w:space="0" w:color="auto"/>
              <w:right w:val="single" w:sz="4" w:space="0" w:color="auto"/>
            </w:tcBorders>
            <w:shd w:val="clear" w:color="000000" w:fill="D8D8D8"/>
            <w:noWrap/>
            <w:vAlign w:val="bottom"/>
            <w:hideMark/>
          </w:tcPr>
          <w:p w:rsidR="00F366D2" w:rsidRPr="00F366D2" w:rsidRDefault="00F366D2" w:rsidP="007F1934">
            <w:pPr>
              <w:jc w:val="center"/>
              <w:rPr>
                <w:b/>
                <w:bCs/>
                <w:color w:val="000000"/>
              </w:rPr>
            </w:pPr>
            <w:r w:rsidRPr="00F366D2">
              <w:rPr>
                <w:b/>
                <w:bCs/>
                <w:color w:val="000000"/>
              </w:rPr>
              <w:t>Santa Catarina</w:t>
            </w: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366D2" w:rsidRPr="00F366D2" w:rsidRDefault="00F366D2" w:rsidP="007F1934">
            <w:pPr>
              <w:jc w:val="center"/>
              <w:rPr>
                <w:color w:val="000000"/>
              </w:rPr>
            </w:pPr>
            <w:r w:rsidRPr="00F366D2">
              <w:rPr>
                <w:color w:val="000000"/>
              </w:rPr>
              <w:t>-</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366D2" w:rsidRPr="00F366D2" w:rsidRDefault="00F366D2" w:rsidP="007F1934">
            <w:pPr>
              <w:jc w:val="center"/>
              <w:rPr>
                <w:color w:val="000000"/>
              </w:rPr>
            </w:pPr>
            <w:r w:rsidRPr="00F366D2">
              <w:rPr>
                <w:color w:val="000000"/>
              </w:rPr>
              <w:t>12,80%</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366D2" w:rsidRPr="00F366D2" w:rsidRDefault="00F366D2" w:rsidP="007F1934">
            <w:pPr>
              <w:jc w:val="center"/>
              <w:rPr>
                <w:color w:val="000000"/>
              </w:rPr>
            </w:pPr>
            <w:r w:rsidRPr="00F366D2">
              <w:rPr>
                <w:color w:val="000000"/>
              </w:rPr>
              <w:t>8,35%</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366D2" w:rsidRPr="00F366D2" w:rsidRDefault="00F366D2" w:rsidP="007F1934">
            <w:pPr>
              <w:jc w:val="center"/>
              <w:rPr>
                <w:color w:val="000000"/>
              </w:rPr>
            </w:pPr>
            <w:r w:rsidRPr="00F366D2">
              <w:rPr>
                <w:color w:val="000000"/>
              </w:rPr>
              <w:t>7,35%</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366D2" w:rsidRPr="00F366D2" w:rsidRDefault="00F366D2" w:rsidP="007F1934">
            <w:pPr>
              <w:jc w:val="center"/>
              <w:rPr>
                <w:color w:val="000000"/>
              </w:rPr>
            </w:pPr>
            <w:r w:rsidRPr="00F366D2">
              <w:rPr>
                <w:color w:val="000000"/>
              </w:rPr>
              <w:t>14,99%</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366D2" w:rsidRPr="00F366D2" w:rsidRDefault="00F366D2" w:rsidP="007F1934">
            <w:pPr>
              <w:jc w:val="center"/>
              <w:rPr>
                <w:color w:val="000000"/>
              </w:rPr>
            </w:pPr>
            <w:r w:rsidRPr="00F366D2">
              <w:rPr>
                <w:color w:val="000000"/>
              </w:rPr>
              <w:t>10,16%</w:t>
            </w:r>
          </w:p>
        </w:tc>
        <w:tc>
          <w:tcPr>
            <w:tcW w:w="760" w:type="dxa"/>
            <w:tcBorders>
              <w:top w:val="nil"/>
              <w:left w:val="single" w:sz="4" w:space="0" w:color="auto"/>
              <w:bottom w:val="single" w:sz="4" w:space="0" w:color="auto"/>
              <w:right w:val="single" w:sz="4" w:space="0" w:color="D8D8D8"/>
            </w:tcBorders>
            <w:shd w:val="clear" w:color="auto" w:fill="auto"/>
            <w:noWrap/>
            <w:vAlign w:val="bottom"/>
            <w:hideMark/>
          </w:tcPr>
          <w:p w:rsidR="00F366D2" w:rsidRPr="00F366D2" w:rsidRDefault="00F366D2" w:rsidP="007F1934">
            <w:pPr>
              <w:jc w:val="center"/>
              <w:rPr>
                <w:color w:val="000000"/>
              </w:rPr>
            </w:pPr>
            <w:r w:rsidRPr="00F366D2">
              <w:rPr>
                <w:color w:val="000000"/>
              </w:rPr>
              <w:t>8,84%</w:t>
            </w:r>
          </w:p>
        </w:tc>
      </w:tr>
    </w:tbl>
    <w:p w:rsidR="00F366D2" w:rsidRPr="00F366D2" w:rsidRDefault="00F366D2" w:rsidP="00D77C43">
      <w:pPr>
        <w:ind w:firstLine="709"/>
        <w:jc w:val="center"/>
      </w:pPr>
      <w:r w:rsidRPr="00F366D2">
        <w:rPr>
          <w:color w:val="000000"/>
        </w:rPr>
        <w:t>Fonte: Elaborado pelos autores com base nos Relatórios de Gestão Fiscal, disponibilizados por cada órgão em seu respectivo portal de transparência</w:t>
      </w:r>
    </w:p>
    <w:p w:rsidR="00F366D2" w:rsidRPr="00F366D2" w:rsidRDefault="00F366D2" w:rsidP="00F366D2">
      <w:pPr>
        <w:jc w:val="both"/>
        <w:rPr>
          <w:b/>
          <w:sz w:val="24"/>
          <w:szCs w:val="24"/>
        </w:rPr>
      </w:pPr>
    </w:p>
    <w:p w:rsidR="00F366D2" w:rsidRPr="00D77C43" w:rsidRDefault="00D77C43" w:rsidP="00D77C43">
      <w:pPr>
        <w:suppressAutoHyphens w:val="0"/>
        <w:jc w:val="both"/>
        <w:rPr>
          <w:sz w:val="24"/>
          <w:szCs w:val="24"/>
        </w:rPr>
      </w:pPr>
      <w:r w:rsidRPr="00D77C43">
        <w:rPr>
          <w:sz w:val="24"/>
          <w:szCs w:val="24"/>
        </w:rPr>
        <w:t xml:space="preserve">4.3 </w:t>
      </w:r>
      <w:r w:rsidR="00F366D2" w:rsidRPr="00D77C43">
        <w:rPr>
          <w:sz w:val="24"/>
          <w:szCs w:val="24"/>
        </w:rPr>
        <w:t>OBSERVÂNCIA DOS LIMITES</w:t>
      </w:r>
    </w:p>
    <w:p w:rsidR="00D77C43" w:rsidRDefault="00D77C43" w:rsidP="00F366D2">
      <w:pPr>
        <w:ind w:firstLine="709"/>
        <w:jc w:val="both"/>
        <w:rPr>
          <w:sz w:val="24"/>
          <w:szCs w:val="24"/>
        </w:rPr>
      </w:pPr>
    </w:p>
    <w:p w:rsidR="00F366D2" w:rsidRPr="00F366D2" w:rsidRDefault="00F366D2" w:rsidP="00F366D2">
      <w:pPr>
        <w:ind w:firstLine="709"/>
        <w:jc w:val="both"/>
        <w:rPr>
          <w:sz w:val="24"/>
          <w:szCs w:val="24"/>
        </w:rPr>
      </w:pPr>
      <w:r w:rsidRPr="00F366D2">
        <w:rPr>
          <w:sz w:val="24"/>
          <w:szCs w:val="24"/>
        </w:rPr>
        <w:t>A distribuição dos índices correspondentes ao limite máximo, de cada órgão, do Estado do Paraná é o mais equilibrado onde temos 1,64% para a assembleia legislativa e 1,36% para o tribunal de contas. O Estado do Rio Grande do Sul, onde o limite máximo da assembleia legislativa é de 1,82% e o do tribunal de contas é de 1,18%, apresenta uma distribuição mais equilibrada do que o Estado de Santa Catarina onde, até 2015, limita a assembleia a 2,20% e o tribunal de contas a 0,80%.</w:t>
      </w:r>
    </w:p>
    <w:p w:rsidR="00F366D2" w:rsidRPr="00F366D2" w:rsidRDefault="00F366D2" w:rsidP="00F366D2">
      <w:pPr>
        <w:ind w:firstLine="709"/>
        <w:contextualSpacing/>
        <w:jc w:val="both"/>
        <w:rPr>
          <w:sz w:val="24"/>
          <w:szCs w:val="24"/>
        </w:rPr>
      </w:pPr>
      <w:r w:rsidRPr="00F366D2">
        <w:rPr>
          <w:sz w:val="24"/>
          <w:szCs w:val="24"/>
        </w:rPr>
        <w:t xml:space="preserve">No que se diz respeito ao cumprimento legal dos limites estipulados pela Lei de Responsabilidade Fiscal, podemos observar que os órgãos que compõem o poder legislativo dos estados do Paraná e do Rio Grande do Sul estão em conformidade com a lei, observando os limites e mantendo-se, consideravelmente, abaixo do limite de alerta. </w:t>
      </w:r>
    </w:p>
    <w:p w:rsidR="00F366D2" w:rsidRPr="00F366D2" w:rsidRDefault="00F366D2" w:rsidP="00F366D2">
      <w:pPr>
        <w:ind w:firstLine="709"/>
        <w:contextualSpacing/>
        <w:jc w:val="both"/>
        <w:rPr>
          <w:sz w:val="24"/>
          <w:szCs w:val="24"/>
        </w:rPr>
      </w:pPr>
      <w:r w:rsidRPr="00F366D2">
        <w:rPr>
          <w:sz w:val="24"/>
          <w:szCs w:val="24"/>
        </w:rPr>
        <w:t>No Estado de Santa Catarina a assembleia legislativa manteve-se abaixo do limite de alerta até o ano de 2015, enquanto o tribunal de conta esteve acima do limite de alerta nos anos de 2010, 2011 e 2013, e ultrapassando o limite prudencial nos anos de 2012 e 2014. No ano de 2015, o Ofício nº 0501/15/GP, de 20/08/2015 encaminhado ao Presidente do Tribunal de Contas, informou que, com caráter provisório, a assembleia legislativa estava cedendo 0,10% do limite máximo para o tribunal de contas do estado. Tal mudança fez com que a assembleia no mesmo ano ultrapassasse o limite de alerta e o tribunal se estabelecesse abaixo do limite referido.</w:t>
      </w:r>
    </w:p>
    <w:p w:rsidR="00F366D2" w:rsidRPr="00F366D2" w:rsidRDefault="00F366D2" w:rsidP="00C668C4">
      <w:pPr>
        <w:ind w:firstLine="709"/>
        <w:jc w:val="both"/>
        <w:rPr>
          <w:sz w:val="24"/>
          <w:szCs w:val="24"/>
        </w:rPr>
      </w:pPr>
    </w:p>
    <w:p w:rsidR="00F366D2" w:rsidRPr="00D77C43" w:rsidRDefault="00D77C43" w:rsidP="00C668C4">
      <w:pPr>
        <w:suppressAutoHyphens w:val="0"/>
        <w:jc w:val="both"/>
        <w:rPr>
          <w:sz w:val="24"/>
          <w:szCs w:val="24"/>
        </w:rPr>
      </w:pPr>
      <w:r>
        <w:rPr>
          <w:b/>
          <w:sz w:val="24"/>
          <w:szCs w:val="24"/>
        </w:rPr>
        <w:t xml:space="preserve">4.3.1 </w:t>
      </w:r>
      <w:r w:rsidR="00F366D2" w:rsidRPr="00D77C43">
        <w:rPr>
          <w:b/>
          <w:sz w:val="24"/>
          <w:szCs w:val="24"/>
        </w:rPr>
        <w:t>E</w:t>
      </w:r>
      <w:r w:rsidRPr="00D77C43">
        <w:rPr>
          <w:b/>
          <w:sz w:val="24"/>
          <w:szCs w:val="24"/>
        </w:rPr>
        <w:t>stado</w:t>
      </w:r>
      <w:r w:rsidR="00F366D2" w:rsidRPr="00D77C43">
        <w:rPr>
          <w:b/>
          <w:sz w:val="24"/>
          <w:szCs w:val="24"/>
        </w:rPr>
        <w:t xml:space="preserve"> </w:t>
      </w:r>
      <w:r>
        <w:rPr>
          <w:b/>
          <w:sz w:val="24"/>
          <w:szCs w:val="24"/>
        </w:rPr>
        <w:t xml:space="preserve">do </w:t>
      </w:r>
      <w:r w:rsidR="00F366D2" w:rsidRPr="00D77C43">
        <w:rPr>
          <w:b/>
          <w:sz w:val="24"/>
          <w:szCs w:val="24"/>
        </w:rPr>
        <w:t>P</w:t>
      </w:r>
      <w:r>
        <w:rPr>
          <w:b/>
          <w:sz w:val="24"/>
          <w:szCs w:val="24"/>
        </w:rPr>
        <w:t>araná</w:t>
      </w:r>
    </w:p>
    <w:p w:rsidR="00D77C43" w:rsidRPr="00815417" w:rsidRDefault="00D77C43" w:rsidP="00C668C4">
      <w:pPr>
        <w:rPr>
          <w:sz w:val="24"/>
          <w:szCs w:val="24"/>
        </w:rPr>
      </w:pPr>
    </w:p>
    <w:p w:rsidR="00F366D2" w:rsidRPr="00815417" w:rsidRDefault="00F366D2" w:rsidP="007F1934">
      <w:pPr>
        <w:jc w:val="center"/>
        <w:rPr>
          <w:b/>
          <w:sz w:val="24"/>
          <w:szCs w:val="24"/>
        </w:rPr>
      </w:pPr>
      <w:r w:rsidRPr="00815417">
        <w:rPr>
          <w:b/>
          <w:sz w:val="24"/>
          <w:szCs w:val="24"/>
        </w:rPr>
        <w:t>Tabela</w:t>
      </w:r>
      <w:r w:rsidR="00D77C43" w:rsidRPr="00815417">
        <w:rPr>
          <w:b/>
          <w:sz w:val="24"/>
          <w:szCs w:val="24"/>
        </w:rPr>
        <w:t xml:space="preserve"> 7</w:t>
      </w:r>
      <w:r w:rsidRPr="00815417">
        <w:rPr>
          <w:b/>
          <w:sz w:val="24"/>
          <w:szCs w:val="24"/>
        </w:rPr>
        <w:t xml:space="preserve">. Dados e apurações dos limites para as despesas com pessoal por órgão do Poder Legislativo </w:t>
      </w:r>
    </w:p>
    <w:p w:rsidR="00F366D2" w:rsidRPr="00F366D2" w:rsidRDefault="00F366D2" w:rsidP="007F1934">
      <w:pPr>
        <w:ind w:firstLine="709"/>
        <w:jc w:val="right"/>
      </w:pPr>
      <w:r w:rsidRPr="00F366D2">
        <w:rPr>
          <w:sz w:val="24"/>
          <w:szCs w:val="24"/>
        </w:rPr>
        <w:t>V</w:t>
      </w:r>
      <w:r w:rsidRPr="00F366D2">
        <w:t>alores monetários originais em milhares de reais.</w:t>
      </w:r>
    </w:p>
    <w:tbl>
      <w:tblPr>
        <w:tblW w:w="9558" w:type="dxa"/>
        <w:tblInd w:w="-152" w:type="dxa"/>
        <w:tblCellMar>
          <w:left w:w="70" w:type="dxa"/>
          <w:right w:w="70" w:type="dxa"/>
        </w:tblCellMar>
        <w:tblLook w:val="04A0" w:firstRow="1" w:lastRow="0" w:firstColumn="1" w:lastColumn="0" w:noHBand="0" w:noVBand="1"/>
      </w:tblPr>
      <w:tblGrid>
        <w:gridCol w:w="396"/>
        <w:gridCol w:w="552"/>
        <w:gridCol w:w="1330"/>
        <w:gridCol w:w="1040"/>
        <w:gridCol w:w="1040"/>
        <w:gridCol w:w="1040"/>
        <w:gridCol w:w="1040"/>
        <w:gridCol w:w="1040"/>
        <w:gridCol w:w="1040"/>
        <w:gridCol w:w="1040"/>
      </w:tblGrid>
      <w:tr w:rsidR="00F366D2" w:rsidRPr="00F366D2" w:rsidTr="00D77C43">
        <w:trPr>
          <w:trHeight w:val="300"/>
        </w:trPr>
        <w:tc>
          <w:tcPr>
            <w:tcW w:w="948" w:type="dxa"/>
            <w:gridSpan w:val="2"/>
            <w:vMerge w:val="restart"/>
            <w:tcBorders>
              <w:top w:val="single" w:sz="4" w:space="0" w:color="auto"/>
              <w:left w:val="single" w:sz="8" w:space="0" w:color="D8D8D8"/>
              <w:bottom w:val="single" w:sz="4" w:space="0" w:color="D8D8D8"/>
              <w:right w:val="single" w:sz="4" w:space="0" w:color="D8D8D8"/>
            </w:tcBorders>
            <w:shd w:val="clear" w:color="000000" w:fill="D8D8D8"/>
            <w:noWrap/>
            <w:vAlign w:val="center"/>
            <w:hideMark/>
          </w:tcPr>
          <w:p w:rsidR="00F366D2" w:rsidRPr="00F366D2" w:rsidRDefault="00F366D2" w:rsidP="00582630">
            <w:pPr>
              <w:jc w:val="center"/>
              <w:rPr>
                <w:b/>
                <w:bCs/>
              </w:rPr>
            </w:pPr>
            <w:r w:rsidRPr="00F366D2">
              <w:rPr>
                <w:b/>
                <w:bCs/>
              </w:rPr>
              <w:t>Paraná</w:t>
            </w:r>
          </w:p>
        </w:tc>
        <w:tc>
          <w:tcPr>
            <w:tcW w:w="1330" w:type="dxa"/>
            <w:tcBorders>
              <w:top w:val="single" w:sz="4" w:space="0" w:color="auto"/>
              <w:left w:val="nil"/>
              <w:bottom w:val="single" w:sz="4" w:space="0" w:color="D8D8D8"/>
              <w:right w:val="single" w:sz="4" w:space="0" w:color="auto"/>
            </w:tcBorders>
            <w:shd w:val="clear" w:color="000000" w:fill="D8D8D8"/>
            <w:noWrap/>
            <w:vAlign w:val="bottom"/>
            <w:hideMark/>
          </w:tcPr>
          <w:p w:rsidR="00F366D2" w:rsidRPr="00F366D2" w:rsidRDefault="00F366D2" w:rsidP="00582630">
            <w:pPr>
              <w:rPr>
                <w:b/>
                <w:bCs/>
              </w:rPr>
            </w:pPr>
            <w:r w:rsidRPr="00F366D2">
              <w:rPr>
                <w:b/>
                <w:bCs/>
              </w:rPr>
              <w:t>Ano</w:t>
            </w:r>
          </w:p>
        </w:tc>
        <w:tc>
          <w:tcPr>
            <w:tcW w:w="1040"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F366D2" w:rsidRPr="00F366D2" w:rsidRDefault="00F366D2" w:rsidP="00582630">
            <w:pPr>
              <w:jc w:val="center"/>
              <w:rPr>
                <w:b/>
                <w:bCs/>
              </w:rPr>
            </w:pPr>
            <w:r w:rsidRPr="00F366D2">
              <w:rPr>
                <w:b/>
                <w:bCs/>
              </w:rPr>
              <w:t>2010</w:t>
            </w:r>
          </w:p>
        </w:tc>
        <w:tc>
          <w:tcPr>
            <w:tcW w:w="1040"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F366D2" w:rsidRPr="00F366D2" w:rsidRDefault="00F366D2" w:rsidP="00582630">
            <w:pPr>
              <w:jc w:val="center"/>
              <w:rPr>
                <w:b/>
                <w:bCs/>
              </w:rPr>
            </w:pPr>
            <w:r w:rsidRPr="00F366D2">
              <w:rPr>
                <w:b/>
                <w:bCs/>
              </w:rPr>
              <w:t>2011</w:t>
            </w:r>
          </w:p>
        </w:tc>
        <w:tc>
          <w:tcPr>
            <w:tcW w:w="1040"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F366D2" w:rsidRPr="00F366D2" w:rsidRDefault="00F366D2" w:rsidP="00582630">
            <w:pPr>
              <w:jc w:val="center"/>
              <w:rPr>
                <w:b/>
                <w:bCs/>
              </w:rPr>
            </w:pPr>
            <w:r w:rsidRPr="00F366D2">
              <w:rPr>
                <w:b/>
                <w:bCs/>
              </w:rPr>
              <w:t>2012</w:t>
            </w:r>
          </w:p>
        </w:tc>
        <w:tc>
          <w:tcPr>
            <w:tcW w:w="1040"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F366D2" w:rsidRPr="00F366D2" w:rsidRDefault="00F366D2" w:rsidP="00582630">
            <w:pPr>
              <w:jc w:val="center"/>
              <w:rPr>
                <w:b/>
                <w:bCs/>
              </w:rPr>
            </w:pPr>
            <w:r w:rsidRPr="00F366D2">
              <w:rPr>
                <w:b/>
                <w:bCs/>
              </w:rPr>
              <w:t>2013</w:t>
            </w:r>
          </w:p>
        </w:tc>
        <w:tc>
          <w:tcPr>
            <w:tcW w:w="1040"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F366D2" w:rsidRPr="00F366D2" w:rsidRDefault="00F366D2" w:rsidP="00582630">
            <w:pPr>
              <w:jc w:val="center"/>
              <w:rPr>
                <w:b/>
                <w:bCs/>
              </w:rPr>
            </w:pPr>
            <w:r w:rsidRPr="00F366D2">
              <w:rPr>
                <w:b/>
                <w:bCs/>
              </w:rPr>
              <w:t>2014</w:t>
            </w:r>
          </w:p>
        </w:tc>
        <w:tc>
          <w:tcPr>
            <w:tcW w:w="1040"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F366D2" w:rsidRPr="00F366D2" w:rsidRDefault="00F366D2" w:rsidP="00582630">
            <w:pPr>
              <w:jc w:val="center"/>
              <w:rPr>
                <w:b/>
                <w:bCs/>
              </w:rPr>
            </w:pPr>
            <w:r w:rsidRPr="00F366D2">
              <w:rPr>
                <w:b/>
                <w:bCs/>
              </w:rPr>
              <w:t>2015</w:t>
            </w:r>
          </w:p>
        </w:tc>
        <w:tc>
          <w:tcPr>
            <w:tcW w:w="1040"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F366D2" w:rsidRPr="00F366D2" w:rsidRDefault="00F366D2" w:rsidP="00582630">
            <w:pPr>
              <w:jc w:val="center"/>
              <w:rPr>
                <w:b/>
                <w:bCs/>
              </w:rPr>
            </w:pPr>
            <w:r w:rsidRPr="00F366D2">
              <w:rPr>
                <w:b/>
                <w:bCs/>
              </w:rPr>
              <w:t>2016</w:t>
            </w:r>
          </w:p>
        </w:tc>
      </w:tr>
      <w:tr w:rsidR="00F366D2" w:rsidRPr="00F366D2" w:rsidTr="00D77C43">
        <w:trPr>
          <w:trHeight w:val="300"/>
        </w:trPr>
        <w:tc>
          <w:tcPr>
            <w:tcW w:w="948" w:type="dxa"/>
            <w:gridSpan w:val="2"/>
            <w:vMerge/>
            <w:tcBorders>
              <w:top w:val="single" w:sz="8" w:space="0" w:color="D8D8D8"/>
              <w:left w:val="single" w:sz="8" w:space="0" w:color="D8D8D8"/>
              <w:bottom w:val="single" w:sz="4" w:space="0" w:color="auto"/>
              <w:right w:val="single" w:sz="4" w:space="0" w:color="D8D8D8"/>
            </w:tcBorders>
            <w:vAlign w:val="center"/>
            <w:hideMark/>
          </w:tcPr>
          <w:p w:rsidR="00F366D2" w:rsidRPr="00F366D2" w:rsidRDefault="00F366D2" w:rsidP="00582630">
            <w:pPr>
              <w:rPr>
                <w:b/>
                <w:bCs/>
              </w:rPr>
            </w:pPr>
          </w:p>
        </w:tc>
        <w:tc>
          <w:tcPr>
            <w:tcW w:w="1330" w:type="dxa"/>
            <w:tcBorders>
              <w:top w:val="nil"/>
              <w:left w:val="nil"/>
              <w:bottom w:val="single" w:sz="4" w:space="0" w:color="auto"/>
              <w:right w:val="single" w:sz="4" w:space="0" w:color="auto"/>
            </w:tcBorders>
            <w:shd w:val="clear" w:color="000000" w:fill="D8D8D8"/>
            <w:noWrap/>
            <w:vAlign w:val="bottom"/>
            <w:hideMark/>
          </w:tcPr>
          <w:p w:rsidR="00F366D2" w:rsidRPr="00F366D2" w:rsidRDefault="00F366D2" w:rsidP="00582630">
            <w:pPr>
              <w:rPr>
                <w:b/>
                <w:bCs/>
              </w:rPr>
            </w:pPr>
            <w:r w:rsidRPr="00F366D2">
              <w:rPr>
                <w:b/>
                <w:bCs/>
              </w:rPr>
              <w:t>RCL</w:t>
            </w:r>
          </w:p>
        </w:tc>
        <w:tc>
          <w:tcPr>
            <w:tcW w:w="1040" w:type="dxa"/>
            <w:tcBorders>
              <w:top w:val="single" w:sz="4" w:space="0" w:color="auto"/>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18.967.282</w:t>
            </w:r>
          </w:p>
        </w:tc>
        <w:tc>
          <w:tcPr>
            <w:tcW w:w="1040" w:type="dxa"/>
            <w:tcBorders>
              <w:top w:val="single" w:sz="4" w:space="0" w:color="auto"/>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19.710.630</w:t>
            </w:r>
          </w:p>
        </w:tc>
        <w:tc>
          <w:tcPr>
            <w:tcW w:w="1040" w:type="dxa"/>
            <w:tcBorders>
              <w:top w:val="single" w:sz="4" w:space="0" w:color="auto"/>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21.849.073</w:t>
            </w:r>
          </w:p>
        </w:tc>
        <w:tc>
          <w:tcPr>
            <w:tcW w:w="1040" w:type="dxa"/>
            <w:tcBorders>
              <w:top w:val="single" w:sz="4" w:space="0" w:color="auto"/>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25.397.666</w:t>
            </w:r>
          </w:p>
        </w:tc>
        <w:tc>
          <w:tcPr>
            <w:tcW w:w="1040" w:type="dxa"/>
            <w:tcBorders>
              <w:top w:val="single" w:sz="4" w:space="0" w:color="auto"/>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28.336.699</w:t>
            </w:r>
          </w:p>
        </w:tc>
        <w:tc>
          <w:tcPr>
            <w:tcW w:w="1040" w:type="dxa"/>
            <w:tcBorders>
              <w:top w:val="single" w:sz="4" w:space="0" w:color="auto"/>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31.876.372</w:t>
            </w:r>
          </w:p>
        </w:tc>
        <w:tc>
          <w:tcPr>
            <w:tcW w:w="1040" w:type="dxa"/>
            <w:tcBorders>
              <w:top w:val="single" w:sz="4" w:space="0" w:color="auto"/>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34.135.478</w:t>
            </w:r>
          </w:p>
        </w:tc>
      </w:tr>
      <w:tr w:rsidR="00F366D2" w:rsidRPr="00F366D2" w:rsidTr="00D77C43">
        <w:trPr>
          <w:trHeight w:val="300"/>
        </w:trPr>
        <w:tc>
          <w:tcPr>
            <w:tcW w:w="396" w:type="dxa"/>
            <w:vMerge w:val="restart"/>
            <w:tcBorders>
              <w:top w:val="single" w:sz="4" w:space="0" w:color="auto"/>
              <w:left w:val="single" w:sz="8" w:space="0" w:color="D8D8D8"/>
              <w:bottom w:val="single" w:sz="4" w:space="0" w:color="D8D8D8"/>
              <w:right w:val="single" w:sz="4" w:space="0" w:color="D8D8D8"/>
            </w:tcBorders>
            <w:shd w:val="clear" w:color="auto" w:fill="auto"/>
            <w:noWrap/>
            <w:vAlign w:val="center"/>
            <w:hideMark/>
          </w:tcPr>
          <w:p w:rsidR="00F366D2" w:rsidRPr="00F366D2" w:rsidRDefault="00F366D2" w:rsidP="00582630">
            <w:pPr>
              <w:jc w:val="center"/>
              <w:rPr>
                <w:b/>
                <w:bCs/>
              </w:rPr>
            </w:pPr>
            <w:r w:rsidRPr="00F366D2">
              <w:rPr>
                <w:b/>
                <w:bCs/>
              </w:rPr>
              <w:t>PL</w:t>
            </w:r>
          </w:p>
        </w:tc>
        <w:tc>
          <w:tcPr>
            <w:tcW w:w="552" w:type="dxa"/>
            <w:vMerge w:val="restart"/>
            <w:tcBorders>
              <w:top w:val="single" w:sz="4" w:space="0" w:color="auto"/>
              <w:left w:val="single" w:sz="4" w:space="0" w:color="D8D8D8"/>
              <w:bottom w:val="single" w:sz="4" w:space="0" w:color="D8D8D8"/>
              <w:right w:val="single" w:sz="4" w:space="0" w:color="D8D8D8"/>
            </w:tcBorders>
            <w:shd w:val="clear" w:color="auto" w:fill="auto"/>
            <w:noWrap/>
            <w:vAlign w:val="center"/>
            <w:hideMark/>
          </w:tcPr>
          <w:p w:rsidR="00F366D2" w:rsidRPr="00F366D2" w:rsidRDefault="00F366D2" w:rsidP="00582630">
            <w:pPr>
              <w:jc w:val="center"/>
              <w:rPr>
                <w:b/>
                <w:bCs/>
              </w:rPr>
            </w:pPr>
            <w:r w:rsidRPr="00F366D2">
              <w:rPr>
                <w:b/>
                <w:bCs/>
              </w:rPr>
              <w:t>AL</w:t>
            </w:r>
          </w:p>
        </w:tc>
        <w:tc>
          <w:tcPr>
            <w:tcW w:w="1330" w:type="dxa"/>
            <w:tcBorders>
              <w:top w:val="single" w:sz="4" w:space="0" w:color="auto"/>
              <w:left w:val="nil"/>
              <w:bottom w:val="single" w:sz="4" w:space="0" w:color="D8D8D8"/>
              <w:right w:val="single" w:sz="4" w:space="0" w:color="auto"/>
            </w:tcBorders>
            <w:shd w:val="clear" w:color="auto" w:fill="auto"/>
            <w:noWrap/>
            <w:vAlign w:val="bottom"/>
            <w:hideMark/>
          </w:tcPr>
          <w:p w:rsidR="00F366D2" w:rsidRPr="00F366D2" w:rsidRDefault="00F366D2" w:rsidP="00582630">
            <w:r w:rsidRPr="00F366D2">
              <w:t>DTP (R$)</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201.059</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209.513</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266.493</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280.686</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283.726</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286.410</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309.070</w:t>
            </w:r>
          </w:p>
        </w:tc>
      </w:tr>
      <w:tr w:rsidR="00F366D2" w:rsidRPr="00F366D2" w:rsidTr="00D77C43">
        <w:trPr>
          <w:trHeight w:val="300"/>
        </w:trPr>
        <w:tc>
          <w:tcPr>
            <w:tcW w:w="396" w:type="dxa"/>
            <w:vMerge/>
            <w:tcBorders>
              <w:top w:val="nil"/>
              <w:left w:val="single" w:sz="8" w:space="0" w:color="D8D8D8"/>
              <w:bottom w:val="single" w:sz="4" w:space="0" w:color="D8D8D8"/>
              <w:right w:val="single" w:sz="4" w:space="0" w:color="D8D8D8"/>
            </w:tcBorders>
            <w:vAlign w:val="center"/>
            <w:hideMark/>
          </w:tcPr>
          <w:p w:rsidR="00F366D2" w:rsidRPr="00F366D2" w:rsidRDefault="00F366D2" w:rsidP="00582630">
            <w:pPr>
              <w:rPr>
                <w:b/>
                <w:bCs/>
              </w:rPr>
            </w:pPr>
          </w:p>
        </w:tc>
        <w:tc>
          <w:tcPr>
            <w:tcW w:w="552" w:type="dxa"/>
            <w:vMerge/>
            <w:tcBorders>
              <w:top w:val="single" w:sz="4" w:space="0" w:color="D8D8D8"/>
              <w:left w:val="single" w:sz="4" w:space="0" w:color="D8D8D8"/>
              <w:bottom w:val="single" w:sz="4" w:space="0" w:color="D8D8D8"/>
              <w:right w:val="single" w:sz="4" w:space="0" w:color="D8D8D8"/>
            </w:tcBorders>
            <w:vAlign w:val="center"/>
            <w:hideMark/>
          </w:tcPr>
          <w:p w:rsidR="00F366D2" w:rsidRPr="00F366D2" w:rsidRDefault="00F366D2" w:rsidP="00582630">
            <w:pPr>
              <w:rPr>
                <w:b/>
                <w:bCs/>
              </w:rPr>
            </w:pPr>
          </w:p>
        </w:tc>
        <w:tc>
          <w:tcPr>
            <w:tcW w:w="1330" w:type="dxa"/>
            <w:tcBorders>
              <w:top w:val="nil"/>
              <w:left w:val="nil"/>
              <w:bottom w:val="single" w:sz="4" w:space="0" w:color="D8D8D8"/>
              <w:right w:val="single" w:sz="4" w:space="0" w:color="auto"/>
            </w:tcBorders>
            <w:shd w:val="clear" w:color="auto" w:fill="auto"/>
            <w:noWrap/>
            <w:vAlign w:val="bottom"/>
            <w:hideMark/>
          </w:tcPr>
          <w:p w:rsidR="00F366D2" w:rsidRPr="00F366D2" w:rsidRDefault="00F366D2" w:rsidP="00582630">
            <w:r w:rsidRPr="00F366D2">
              <w:t>DTP (%)</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1,22%</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1,06%</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1,22%</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1,11%</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1,00%</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0,90%</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0,91%</w:t>
            </w:r>
          </w:p>
        </w:tc>
      </w:tr>
      <w:tr w:rsidR="00F366D2" w:rsidRPr="00F366D2" w:rsidTr="00D77C43">
        <w:trPr>
          <w:trHeight w:val="300"/>
        </w:trPr>
        <w:tc>
          <w:tcPr>
            <w:tcW w:w="396" w:type="dxa"/>
            <w:vMerge/>
            <w:tcBorders>
              <w:top w:val="nil"/>
              <w:left w:val="single" w:sz="8" w:space="0" w:color="D8D8D8"/>
              <w:bottom w:val="single" w:sz="4" w:space="0" w:color="D8D8D8"/>
              <w:right w:val="single" w:sz="4" w:space="0" w:color="D8D8D8"/>
            </w:tcBorders>
            <w:vAlign w:val="center"/>
            <w:hideMark/>
          </w:tcPr>
          <w:p w:rsidR="00F366D2" w:rsidRPr="00F366D2" w:rsidRDefault="00F366D2" w:rsidP="00582630">
            <w:pPr>
              <w:rPr>
                <w:b/>
                <w:bCs/>
              </w:rPr>
            </w:pPr>
          </w:p>
        </w:tc>
        <w:tc>
          <w:tcPr>
            <w:tcW w:w="552" w:type="dxa"/>
            <w:vMerge/>
            <w:tcBorders>
              <w:top w:val="single" w:sz="4" w:space="0" w:color="D8D8D8"/>
              <w:left w:val="single" w:sz="4" w:space="0" w:color="D8D8D8"/>
              <w:bottom w:val="single" w:sz="4" w:space="0" w:color="D8D8D8"/>
              <w:right w:val="single" w:sz="4" w:space="0" w:color="D8D8D8"/>
            </w:tcBorders>
            <w:vAlign w:val="center"/>
            <w:hideMark/>
          </w:tcPr>
          <w:p w:rsidR="00F366D2" w:rsidRPr="00F366D2" w:rsidRDefault="00F366D2" w:rsidP="00582630">
            <w:pPr>
              <w:rPr>
                <w:b/>
                <w:bCs/>
              </w:rPr>
            </w:pPr>
          </w:p>
        </w:tc>
        <w:tc>
          <w:tcPr>
            <w:tcW w:w="1330" w:type="dxa"/>
            <w:tcBorders>
              <w:top w:val="nil"/>
              <w:left w:val="nil"/>
              <w:bottom w:val="single" w:sz="4" w:space="0" w:color="D8D8D8"/>
              <w:right w:val="single" w:sz="4" w:space="0" w:color="auto"/>
            </w:tcBorders>
            <w:shd w:val="clear" w:color="auto" w:fill="auto"/>
            <w:noWrap/>
            <w:vAlign w:val="bottom"/>
            <w:hideMark/>
          </w:tcPr>
          <w:p w:rsidR="00F366D2" w:rsidRPr="00F366D2" w:rsidRDefault="00F366D2" w:rsidP="00582630">
            <w:r w:rsidRPr="00F366D2">
              <w:t>LM (1,64%)</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311.063</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323.254</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358.325</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416.522</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464.722</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522.772</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559.822</w:t>
            </w:r>
          </w:p>
        </w:tc>
      </w:tr>
      <w:tr w:rsidR="00F366D2" w:rsidRPr="00F366D2" w:rsidTr="00D77C43">
        <w:trPr>
          <w:trHeight w:val="300"/>
        </w:trPr>
        <w:tc>
          <w:tcPr>
            <w:tcW w:w="396" w:type="dxa"/>
            <w:vMerge/>
            <w:tcBorders>
              <w:top w:val="nil"/>
              <w:left w:val="single" w:sz="8" w:space="0" w:color="D8D8D8"/>
              <w:bottom w:val="single" w:sz="4" w:space="0" w:color="D8D8D8"/>
              <w:right w:val="single" w:sz="4" w:space="0" w:color="D8D8D8"/>
            </w:tcBorders>
            <w:vAlign w:val="center"/>
            <w:hideMark/>
          </w:tcPr>
          <w:p w:rsidR="00F366D2" w:rsidRPr="00F366D2" w:rsidRDefault="00F366D2" w:rsidP="00582630">
            <w:pPr>
              <w:rPr>
                <w:b/>
                <w:bCs/>
              </w:rPr>
            </w:pPr>
          </w:p>
        </w:tc>
        <w:tc>
          <w:tcPr>
            <w:tcW w:w="552" w:type="dxa"/>
            <w:vMerge/>
            <w:tcBorders>
              <w:top w:val="single" w:sz="4" w:space="0" w:color="D8D8D8"/>
              <w:left w:val="single" w:sz="4" w:space="0" w:color="D8D8D8"/>
              <w:bottom w:val="single" w:sz="4" w:space="0" w:color="D8D8D8"/>
              <w:right w:val="single" w:sz="4" w:space="0" w:color="D8D8D8"/>
            </w:tcBorders>
            <w:vAlign w:val="center"/>
            <w:hideMark/>
          </w:tcPr>
          <w:p w:rsidR="00F366D2" w:rsidRPr="00F366D2" w:rsidRDefault="00F366D2" w:rsidP="00582630">
            <w:pPr>
              <w:rPr>
                <w:b/>
                <w:bCs/>
              </w:rPr>
            </w:pPr>
          </w:p>
        </w:tc>
        <w:tc>
          <w:tcPr>
            <w:tcW w:w="1330" w:type="dxa"/>
            <w:tcBorders>
              <w:top w:val="nil"/>
              <w:left w:val="nil"/>
              <w:bottom w:val="single" w:sz="4" w:space="0" w:color="D8D8D8"/>
              <w:right w:val="single" w:sz="4" w:space="0" w:color="auto"/>
            </w:tcBorders>
            <w:shd w:val="clear" w:color="auto" w:fill="auto"/>
            <w:noWrap/>
            <w:vAlign w:val="bottom"/>
            <w:hideMark/>
          </w:tcPr>
          <w:p w:rsidR="00F366D2" w:rsidRPr="00F366D2" w:rsidRDefault="00F366D2" w:rsidP="00582630">
            <w:r w:rsidRPr="00F366D2">
              <w:t>LP (1,55%)</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295.510</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307.092</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340.409</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395.696</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441.486</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496.634</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531.831</w:t>
            </w:r>
          </w:p>
        </w:tc>
      </w:tr>
      <w:tr w:rsidR="00F366D2" w:rsidRPr="00F366D2" w:rsidTr="00D77C43">
        <w:trPr>
          <w:trHeight w:val="300"/>
        </w:trPr>
        <w:tc>
          <w:tcPr>
            <w:tcW w:w="396" w:type="dxa"/>
            <w:vMerge/>
            <w:tcBorders>
              <w:top w:val="nil"/>
              <w:left w:val="single" w:sz="8" w:space="0" w:color="D8D8D8"/>
              <w:bottom w:val="single" w:sz="4" w:space="0" w:color="D8D8D8"/>
              <w:right w:val="single" w:sz="4" w:space="0" w:color="D8D8D8"/>
            </w:tcBorders>
            <w:vAlign w:val="center"/>
            <w:hideMark/>
          </w:tcPr>
          <w:p w:rsidR="00F366D2" w:rsidRPr="00F366D2" w:rsidRDefault="00F366D2" w:rsidP="00582630">
            <w:pPr>
              <w:rPr>
                <w:b/>
                <w:bCs/>
              </w:rPr>
            </w:pPr>
          </w:p>
        </w:tc>
        <w:tc>
          <w:tcPr>
            <w:tcW w:w="552" w:type="dxa"/>
            <w:vMerge/>
            <w:tcBorders>
              <w:top w:val="single" w:sz="4" w:space="0" w:color="D8D8D8"/>
              <w:left w:val="single" w:sz="4" w:space="0" w:color="D8D8D8"/>
              <w:bottom w:val="single" w:sz="4" w:space="0" w:color="D8D8D8"/>
              <w:right w:val="single" w:sz="4" w:space="0" w:color="D8D8D8"/>
            </w:tcBorders>
            <w:vAlign w:val="center"/>
            <w:hideMark/>
          </w:tcPr>
          <w:p w:rsidR="00F366D2" w:rsidRPr="00F366D2" w:rsidRDefault="00F366D2" w:rsidP="00582630">
            <w:pPr>
              <w:rPr>
                <w:b/>
                <w:bCs/>
              </w:rPr>
            </w:pPr>
          </w:p>
        </w:tc>
        <w:tc>
          <w:tcPr>
            <w:tcW w:w="1330" w:type="dxa"/>
            <w:tcBorders>
              <w:top w:val="nil"/>
              <w:left w:val="nil"/>
              <w:bottom w:val="single" w:sz="4" w:space="0" w:color="D8D8D8"/>
              <w:right w:val="single" w:sz="4" w:space="0" w:color="auto"/>
            </w:tcBorders>
            <w:shd w:val="clear" w:color="auto" w:fill="auto"/>
            <w:noWrap/>
            <w:vAlign w:val="bottom"/>
            <w:hideMark/>
          </w:tcPr>
          <w:p w:rsidR="00F366D2" w:rsidRPr="00F366D2" w:rsidRDefault="00F366D2" w:rsidP="00582630">
            <w:r w:rsidRPr="00F366D2">
              <w:t xml:space="preserve">LA </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279.957</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290.929</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322.492</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374.870</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418.250</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470.495</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503.840</w:t>
            </w:r>
          </w:p>
        </w:tc>
      </w:tr>
      <w:tr w:rsidR="00F366D2" w:rsidRPr="00F366D2" w:rsidTr="00D77C43">
        <w:trPr>
          <w:trHeight w:val="300"/>
        </w:trPr>
        <w:tc>
          <w:tcPr>
            <w:tcW w:w="396" w:type="dxa"/>
            <w:vMerge/>
            <w:tcBorders>
              <w:top w:val="nil"/>
              <w:left w:val="single" w:sz="8" w:space="0" w:color="D8D8D8"/>
              <w:bottom w:val="single" w:sz="4" w:space="0" w:color="D8D8D8"/>
              <w:right w:val="single" w:sz="4" w:space="0" w:color="D8D8D8"/>
            </w:tcBorders>
            <w:vAlign w:val="center"/>
            <w:hideMark/>
          </w:tcPr>
          <w:p w:rsidR="00F366D2" w:rsidRPr="00F366D2" w:rsidRDefault="00F366D2" w:rsidP="00582630">
            <w:pPr>
              <w:rPr>
                <w:b/>
                <w:bCs/>
              </w:rPr>
            </w:pPr>
          </w:p>
        </w:tc>
        <w:tc>
          <w:tcPr>
            <w:tcW w:w="552" w:type="dxa"/>
            <w:vMerge w:val="restart"/>
            <w:tcBorders>
              <w:top w:val="single" w:sz="4" w:space="0" w:color="D8D8D8"/>
              <w:left w:val="single" w:sz="4" w:space="0" w:color="D8D8D8"/>
              <w:bottom w:val="single" w:sz="4" w:space="0" w:color="D8D8D8"/>
              <w:right w:val="single" w:sz="4" w:space="0" w:color="D8D8D8"/>
            </w:tcBorders>
            <w:shd w:val="clear" w:color="auto" w:fill="auto"/>
            <w:noWrap/>
            <w:vAlign w:val="center"/>
            <w:hideMark/>
          </w:tcPr>
          <w:p w:rsidR="00F366D2" w:rsidRPr="00F366D2" w:rsidRDefault="00F366D2" w:rsidP="00582630">
            <w:pPr>
              <w:jc w:val="center"/>
              <w:rPr>
                <w:b/>
                <w:bCs/>
              </w:rPr>
            </w:pPr>
            <w:r w:rsidRPr="00F366D2">
              <w:rPr>
                <w:b/>
                <w:bCs/>
              </w:rPr>
              <w:t>TCE</w:t>
            </w:r>
          </w:p>
        </w:tc>
        <w:tc>
          <w:tcPr>
            <w:tcW w:w="1330" w:type="dxa"/>
            <w:tcBorders>
              <w:top w:val="nil"/>
              <w:left w:val="nil"/>
              <w:bottom w:val="single" w:sz="4" w:space="0" w:color="D8D8D8"/>
              <w:right w:val="single" w:sz="4" w:space="0" w:color="auto"/>
            </w:tcBorders>
            <w:shd w:val="clear" w:color="auto" w:fill="auto"/>
            <w:noWrap/>
            <w:vAlign w:val="bottom"/>
            <w:hideMark/>
          </w:tcPr>
          <w:p w:rsidR="00F366D2" w:rsidRPr="00F366D2" w:rsidRDefault="00F366D2" w:rsidP="00582630">
            <w:r w:rsidRPr="00F366D2">
              <w:t>DTP (R$)</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148.741</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178.019</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189.915</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207.924</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227.092</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226.537</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283.136</w:t>
            </w:r>
          </w:p>
        </w:tc>
      </w:tr>
      <w:tr w:rsidR="00F366D2" w:rsidRPr="00F366D2" w:rsidTr="00D77C43">
        <w:trPr>
          <w:trHeight w:val="300"/>
        </w:trPr>
        <w:tc>
          <w:tcPr>
            <w:tcW w:w="396" w:type="dxa"/>
            <w:vMerge/>
            <w:tcBorders>
              <w:top w:val="nil"/>
              <w:left w:val="single" w:sz="8" w:space="0" w:color="D8D8D8"/>
              <w:bottom w:val="single" w:sz="4" w:space="0" w:color="D8D8D8"/>
              <w:right w:val="single" w:sz="4" w:space="0" w:color="D8D8D8"/>
            </w:tcBorders>
            <w:vAlign w:val="center"/>
            <w:hideMark/>
          </w:tcPr>
          <w:p w:rsidR="00F366D2" w:rsidRPr="00F366D2" w:rsidRDefault="00F366D2" w:rsidP="00582630">
            <w:pPr>
              <w:rPr>
                <w:b/>
                <w:bCs/>
              </w:rPr>
            </w:pPr>
          </w:p>
        </w:tc>
        <w:tc>
          <w:tcPr>
            <w:tcW w:w="552" w:type="dxa"/>
            <w:vMerge/>
            <w:tcBorders>
              <w:top w:val="single" w:sz="4" w:space="0" w:color="D8D8D8"/>
              <w:left w:val="single" w:sz="4" w:space="0" w:color="D8D8D8"/>
              <w:bottom w:val="single" w:sz="4" w:space="0" w:color="D8D8D8"/>
              <w:right w:val="single" w:sz="4" w:space="0" w:color="D8D8D8"/>
            </w:tcBorders>
            <w:vAlign w:val="center"/>
            <w:hideMark/>
          </w:tcPr>
          <w:p w:rsidR="00F366D2" w:rsidRPr="00F366D2" w:rsidRDefault="00F366D2" w:rsidP="00582630">
            <w:pPr>
              <w:rPr>
                <w:b/>
                <w:bCs/>
              </w:rPr>
            </w:pPr>
          </w:p>
        </w:tc>
        <w:tc>
          <w:tcPr>
            <w:tcW w:w="1330" w:type="dxa"/>
            <w:tcBorders>
              <w:top w:val="nil"/>
              <w:left w:val="nil"/>
              <w:bottom w:val="single" w:sz="4" w:space="0" w:color="D8D8D8"/>
              <w:right w:val="single" w:sz="4" w:space="0" w:color="auto"/>
            </w:tcBorders>
            <w:shd w:val="clear" w:color="auto" w:fill="auto"/>
            <w:noWrap/>
            <w:vAlign w:val="bottom"/>
            <w:hideMark/>
          </w:tcPr>
          <w:p w:rsidR="00F366D2" w:rsidRPr="00F366D2" w:rsidRDefault="00F366D2" w:rsidP="00582630">
            <w:r w:rsidRPr="00F366D2">
              <w:t>DTP (%)</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0,78%</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0,90%</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0,87%</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0,82%</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0,80%</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0,71%</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0,83%</w:t>
            </w:r>
          </w:p>
        </w:tc>
      </w:tr>
      <w:tr w:rsidR="00F366D2" w:rsidRPr="00F366D2" w:rsidTr="00D77C43">
        <w:trPr>
          <w:trHeight w:val="300"/>
        </w:trPr>
        <w:tc>
          <w:tcPr>
            <w:tcW w:w="396" w:type="dxa"/>
            <w:vMerge/>
            <w:tcBorders>
              <w:top w:val="nil"/>
              <w:left w:val="single" w:sz="8" w:space="0" w:color="D8D8D8"/>
              <w:bottom w:val="single" w:sz="4" w:space="0" w:color="D8D8D8"/>
              <w:right w:val="single" w:sz="4" w:space="0" w:color="D8D8D8"/>
            </w:tcBorders>
            <w:vAlign w:val="center"/>
            <w:hideMark/>
          </w:tcPr>
          <w:p w:rsidR="00F366D2" w:rsidRPr="00F366D2" w:rsidRDefault="00F366D2" w:rsidP="00582630">
            <w:pPr>
              <w:rPr>
                <w:b/>
                <w:bCs/>
              </w:rPr>
            </w:pPr>
          </w:p>
        </w:tc>
        <w:tc>
          <w:tcPr>
            <w:tcW w:w="552" w:type="dxa"/>
            <w:vMerge/>
            <w:tcBorders>
              <w:top w:val="single" w:sz="4" w:space="0" w:color="D8D8D8"/>
              <w:left w:val="single" w:sz="4" w:space="0" w:color="D8D8D8"/>
              <w:bottom w:val="single" w:sz="4" w:space="0" w:color="D8D8D8"/>
              <w:right w:val="single" w:sz="4" w:space="0" w:color="D8D8D8"/>
            </w:tcBorders>
            <w:vAlign w:val="center"/>
            <w:hideMark/>
          </w:tcPr>
          <w:p w:rsidR="00F366D2" w:rsidRPr="00F366D2" w:rsidRDefault="00F366D2" w:rsidP="00582630">
            <w:pPr>
              <w:rPr>
                <w:b/>
                <w:bCs/>
              </w:rPr>
            </w:pPr>
          </w:p>
        </w:tc>
        <w:tc>
          <w:tcPr>
            <w:tcW w:w="1330" w:type="dxa"/>
            <w:tcBorders>
              <w:top w:val="nil"/>
              <w:left w:val="nil"/>
              <w:bottom w:val="single" w:sz="4" w:space="0" w:color="D8D8D8"/>
              <w:right w:val="single" w:sz="4" w:space="0" w:color="auto"/>
            </w:tcBorders>
            <w:shd w:val="clear" w:color="auto" w:fill="auto"/>
            <w:noWrap/>
            <w:vAlign w:val="bottom"/>
            <w:hideMark/>
          </w:tcPr>
          <w:p w:rsidR="00F366D2" w:rsidRPr="00F366D2" w:rsidRDefault="00F366D2" w:rsidP="00582630">
            <w:r w:rsidRPr="00F366D2">
              <w:t>LM (1,36%)</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257.955</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268.065</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297.147</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345.408</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385.379</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433.519</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464.242</w:t>
            </w:r>
          </w:p>
        </w:tc>
      </w:tr>
      <w:tr w:rsidR="00F366D2" w:rsidRPr="00F366D2" w:rsidTr="00D77C43">
        <w:trPr>
          <w:trHeight w:val="300"/>
        </w:trPr>
        <w:tc>
          <w:tcPr>
            <w:tcW w:w="396" w:type="dxa"/>
            <w:vMerge/>
            <w:tcBorders>
              <w:top w:val="nil"/>
              <w:left w:val="single" w:sz="8" w:space="0" w:color="D8D8D8"/>
              <w:bottom w:val="single" w:sz="4" w:space="0" w:color="D8D8D8"/>
              <w:right w:val="single" w:sz="4" w:space="0" w:color="D8D8D8"/>
            </w:tcBorders>
            <w:vAlign w:val="center"/>
            <w:hideMark/>
          </w:tcPr>
          <w:p w:rsidR="00F366D2" w:rsidRPr="00F366D2" w:rsidRDefault="00F366D2" w:rsidP="00582630">
            <w:pPr>
              <w:rPr>
                <w:b/>
                <w:bCs/>
              </w:rPr>
            </w:pPr>
          </w:p>
        </w:tc>
        <w:tc>
          <w:tcPr>
            <w:tcW w:w="552" w:type="dxa"/>
            <w:vMerge/>
            <w:tcBorders>
              <w:top w:val="single" w:sz="4" w:space="0" w:color="D8D8D8"/>
              <w:left w:val="single" w:sz="4" w:space="0" w:color="D8D8D8"/>
              <w:bottom w:val="single" w:sz="4" w:space="0" w:color="D8D8D8"/>
              <w:right w:val="single" w:sz="4" w:space="0" w:color="D8D8D8"/>
            </w:tcBorders>
            <w:vAlign w:val="center"/>
            <w:hideMark/>
          </w:tcPr>
          <w:p w:rsidR="00F366D2" w:rsidRPr="00F366D2" w:rsidRDefault="00F366D2" w:rsidP="00582630">
            <w:pPr>
              <w:rPr>
                <w:b/>
                <w:bCs/>
              </w:rPr>
            </w:pPr>
          </w:p>
        </w:tc>
        <w:tc>
          <w:tcPr>
            <w:tcW w:w="1330" w:type="dxa"/>
            <w:tcBorders>
              <w:top w:val="nil"/>
              <w:left w:val="nil"/>
              <w:bottom w:val="single" w:sz="4" w:space="0" w:color="D8D8D8"/>
              <w:right w:val="single" w:sz="4" w:space="0" w:color="auto"/>
            </w:tcBorders>
            <w:shd w:val="clear" w:color="auto" w:fill="auto"/>
            <w:noWrap/>
            <w:vAlign w:val="bottom"/>
            <w:hideMark/>
          </w:tcPr>
          <w:p w:rsidR="00F366D2" w:rsidRPr="00F366D2" w:rsidRDefault="00F366D2" w:rsidP="00582630">
            <w:r w:rsidRPr="00F366D2">
              <w:t>LP (1,29%)</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245.057</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254.661</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282.290</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328.138</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366.110</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411.843</w:t>
            </w:r>
          </w:p>
        </w:tc>
        <w:tc>
          <w:tcPr>
            <w:tcW w:w="1040" w:type="dxa"/>
            <w:tcBorders>
              <w:top w:val="nil"/>
              <w:left w:val="single" w:sz="4" w:space="0" w:color="auto"/>
              <w:bottom w:val="single" w:sz="4" w:space="0" w:color="D8D8D8"/>
              <w:right w:val="single" w:sz="4" w:space="0" w:color="auto"/>
            </w:tcBorders>
            <w:shd w:val="clear" w:color="auto" w:fill="auto"/>
            <w:noWrap/>
            <w:vAlign w:val="center"/>
            <w:hideMark/>
          </w:tcPr>
          <w:p w:rsidR="00F366D2" w:rsidRPr="00F366D2" w:rsidRDefault="00F366D2" w:rsidP="00582630">
            <w:pPr>
              <w:jc w:val="right"/>
            </w:pPr>
            <w:r w:rsidRPr="00F366D2">
              <w:t>441.030</w:t>
            </w:r>
          </w:p>
        </w:tc>
      </w:tr>
      <w:tr w:rsidR="00F366D2" w:rsidRPr="00F366D2" w:rsidTr="00D77C43">
        <w:trPr>
          <w:trHeight w:val="300"/>
        </w:trPr>
        <w:tc>
          <w:tcPr>
            <w:tcW w:w="396" w:type="dxa"/>
            <w:vMerge/>
            <w:tcBorders>
              <w:top w:val="nil"/>
              <w:left w:val="single" w:sz="8" w:space="0" w:color="D8D8D8"/>
              <w:bottom w:val="single" w:sz="4" w:space="0" w:color="auto"/>
              <w:right w:val="single" w:sz="4" w:space="0" w:color="D8D8D8"/>
            </w:tcBorders>
            <w:vAlign w:val="center"/>
            <w:hideMark/>
          </w:tcPr>
          <w:p w:rsidR="00F366D2" w:rsidRPr="00F366D2" w:rsidRDefault="00F366D2" w:rsidP="00582630">
            <w:pPr>
              <w:rPr>
                <w:b/>
                <w:bCs/>
              </w:rPr>
            </w:pPr>
          </w:p>
        </w:tc>
        <w:tc>
          <w:tcPr>
            <w:tcW w:w="552" w:type="dxa"/>
            <w:vMerge/>
            <w:tcBorders>
              <w:top w:val="single" w:sz="4" w:space="0" w:color="D8D8D8"/>
              <w:left w:val="single" w:sz="4" w:space="0" w:color="D8D8D8"/>
              <w:bottom w:val="single" w:sz="4" w:space="0" w:color="auto"/>
              <w:right w:val="single" w:sz="4" w:space="0" w:color="D8D8D8"/>
            </w:tcBorders>
            <w:vAlign w:val="center"/>
            <w:hideMark/>
          </w:tcPr>
          <w:p w:rsidR="00F366D2" w:rsidRPr="00F366D2" w:rsidRDefault="00F366D2" w:rsidP="00582630">
            <w:pPr>
              <w:rPr>
                <w:b/>
                <w:bCs/>
              </w:rPr>
            </w:pPr>
          </w:p>
        </w:tc>
        <w:tc>
          <w:tcPr>
            <w:tcW w:w="1330" w:type="dxa"/>
            <w:tcBorders>
              <w:top w:val="nil"/>
              <w:left w:val="nil"/>
              <w:bottom w:val="single" w:sz="4" w:space="0" w:color="auto"/>
              <w:right w:val="single" w:sz="4" w:space="0" w:color="auto"/>
            </w:tcBorders>
            <w:shd w:val="clear" w:color="auto" w:fill="auto"/>
            <w:noWrap/>
            <w:vAlign w:val="bottom"/>
            <w:hideMark/>
          </w:tcPr>
          <w:p w:rsidR="00F366D2" w:rsidRPr="00F366D2" w:rsidRDefault="00F366D2" w:rsidP="00582630">
            <w:r w:rsidRPr="00F366D2">
              <w:t>LA (1,22%)</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F366D2" w:rsidRPr="00F366D2" w:rsidRDefault="00F366D2" w:rsidP="00582630">
            <w:pPr>
              <w:jc w:val="right"/>
            </w:pPr>
            <w:r w:rsidRPr="00F366D2">
              <w:t>232.160</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F366D2" w:rsidRPr="00F366D2" w:rsidRDefault="00F366D2" w:rsidP="00582630">
            <w:pPr>
              <w:jc w:val="right"/>
            </w:pPr>
            <w:r w:rsidRPr="00F366D2">
              <w:t>241.258</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F366D2" w:rsidRPr="00F366D2" w:rsidRDefault="00F366D2" w:rsidP="00582630">
            <w:pPr>
              <w:jc w:val="right"/>
            </w:pPr>
            <w:r w:rsidRPr="00F366D2">
              <w:t>267.433</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F366D2" w:rsidRPr="00F366D2" w:rsidRDefault="00F366D2" w:rsidP="00582630">
            <w:pPr>
              <w:jc w:val="right"/>
            </w:pPr>
            <w:r w:rsidRPr="00F366D2">
              <w:t>310.867</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F366D2" w:rsidRPr="00F366D2" w:rsidRDefault="00F366D2" w:rsidP="00582630">
            <w:pPr>
              <w:jc w:val="right"/>
            </w:pPr>
            <w:r w:rsidRPr="00F366D2">
              <w:t>346.841</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F366D2" w:rsidRPr="00F366D2" w:rsidRDefault="00F366D2" w:rsidP="00582630">
            <w:pPr>
              <w:jc w:val="right"/>
            </w:pPr>
            <w:r w:rsidRPr="00F366D2">
              <w:t>390.167</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F366D2" w:rsidRPr="00F366D2" w:rsidRDefault="00F366D2" w:rsidP="00582630">
            <w:pPr>
              <w:jc w:val="right"/>
            </w:pPr>
            <w:r w:rsidRPr="00F366D2">
              <w:t>417.818</w:t>
            </w:r>
          </w:p>
        </w:tc>
      </w:tr>
      <w:tr w:rsidR="00F366D2" w:rsidRPr="00F366D2" w:rsidTr="00D77C43">
        <w:trPr>
          <w:trHeight w:val="300"/>
        </w:trPr>
        <w:tc>
          <w:tcPr>
            <w:tcW w:w="9558" w:type="dxa"/>
            <w:gridSpan w:val="10"/>
            <w:vMerge w:val="restart"/>
            <w:tcBorders>
              <w:top w:val="single" w:sz="4" w:space="0" w:color="auto"/>
              <w:left w:val="single" w:sz="8" w:space="0" w:color="D8D8D8"/>
              <w:bottom w:val="single" w:sz="4" w:space="0" w:color="D8D8D8"/>
              <w:right w:val="single" w:sz="8" w:space="0" w:color="D8D8D8"/>
            </w:tcBorders>
            <w:shd w:val="clear" w:color="auto" w:fill="auto"/>
            <w:hideMark/>
          </w:tcPr>
          <w:p w:rsidR="00F366D2" w:rsidRPr="00F366D2" w:rsidRDefault="00F366D2" w:rsidP="00582630">
            <w:r w:rsidRPr="00F366D2">
              <w:t xml:space="preserve">Siglas: PL= Poder Legislativo. AL= Assembleia Legislativa. TCE= Tribunal de Contas do Estado. RCL= Receita Corrente Líquida. DTP= Despesa Total com Pessoal. LM= Limite Máximo. LP= Limite Prudencial. LA= Limite de Alerta. </w:t>
            </w:r>
          </w:p>
        </w:tc>
      </w:tr>
      <w:tr w:rsidR="00F366D2" w:rsidRPr="00F366D2" w:rsidTr="006D0E1E">
        <w:trPr>
          <w:trHeight w:val="276"/>
        </w:trPr>
        <w:tc>
          <w:tcPr>
            <w:tcW w:w="9558" w:type="dxa"/>
            <w:gridSpan w:val="10"/>
            <w:vMerge/>
            <w:tcBorders>
              <w:top w:val="single" w:sz="4" w:space="0" w:color="D8D8D8"/>
              <w:left w:val="single" w:sz="8" w:space="0" w:color="D8D8D8"/>
              <w:bottom w:val="single" w:sz="4" w:space="0" w:color="D8D8D8"/>
              <w:right w:val="single" w:sz="8" w:space="0" w:color="D8D8D8"/>
            </w:tcBorders>
            <w:vAlign w:val="center"/>
            <w:hideMark/>
          </w:tcPr>
          <w:p w:rsidR="00F366D2" w:rsidRPr="00F366D2" w:rsidRDefault="00F366D2" w:rsidP="00582630"/>
        </w:tc>
      </w:tr>
      <w:tr w:rsidR="00F366D2" w:rsidRPr="00F366D2" w:rsidTr="006D0E1E">
        <w:trPr>
          <w:trHeight w:val="270"/>
        </w:trPr>
        <w:tc>
          <w:tcPr>
            <w:tcW w:w="9558" w:type="dxa"/>
            <w:gridSpan w:val="10"/>
            <w:tcBorders>
              <w:top w:val="single" w:sz="4" w:space="0" w:color="D8D8D8"/>
              <w:left w:val="single" w:sz="8" w:space="0" w:color="D8D8D8"/>
              <w:bottom w:val="single" w:sz="4" w:space="0" w:color="D8D8D8"/>
              <w:right w:val="single" w:sz="8" w:space="0" w:color="D8D8D8"/>
            </w:tcBorders>
            <w:shd w:val="clear" w:color="auto" w:fill="auto"/>
            <w:hideMark/>
          </w:tcPr>
          <w:p w:rsidR="00F366D2" w:rsidRPr="00F366D2" w:rsidRDefault="00F366D2" w:rsidP="00582630">
            <w:r w:rsidRPr="00F366D2">
              <w:t>Nota: Limites calculados com base na Receita Corrente Líquida do respectivo Estado.</w:t>
            </w:r>
          </w:p>
        </w:tc>
      </w:tr>
      <w:tr w:rsidR="00F366D2" w:rsidRPr="00F366D2" w:rsidTr="006D0E1E">
        <w:trPr>
          <w:trHeight w:val="300"/>
        </w:trPr>
        <w:tc>
          <w:tcPr>
            <w:tcW w:w="9558" w:type="dxa"/>
            <w:gridSpan w:val="10"/>
            <w:vMerge w:val="restart"/>
            <w:tcBorders>
              <w:top w:val="single" w:sz="4" w:space="0" w:color="D8D8D8"/>
              <w:left w:val="single" w:sz="8" w:space="0" w:color="D8D8D8"/>
              <w:bottom w:val="single" w:sz="8" w:space="0" w:color="D8D8D8"/>
              <w:right w:val="single" w:sz="8" w:space="0" w:color="D8D8D8"/>
            </w:tcBorders>
            <w:shd w:val="clear" w:color="auto" w:fill="auto"/>
            <w:hideMark/>
          </w:tcPr>
          <w:p w:rsidR="00F366D2" w:rsidRPr="00F366D2" w:rsidRDefault="00F366D2" w:rsidP="00582630">
            <w:r w:rsidRPr="00F366D2">
              <w:t xml:space="preserve">Fonte: Elaborado pelos autores com base nos Relatórios de Gestão Fiscal, disponibilizados por cada órgão em seu respectivo portal de transparência. </w:t>
            </w:r>
          </w:p>
        </w:tc>
      </w:tr>
      <w:tr w:rsidR="00F366D2" w:rsidRPr="00F366D2" w:rsidTr="006D0E1E">
        <w:trPr>
          <w:trHeight w:val="276"/>
        </w:trPr>
        <w:tc>
          <w:tcPr>
            <w:tcW w:w="9558" w:type="dxa"/>
            <w:gridSpan w:val="10"/>
            <w:vMerge/>
            <w:tcBorders>
              <w:top w:val="single" w:sz="4" w:space="0" w:color="D8D8D8"/>
              <w:left w:val="single" w:sz="8" w:space="0" w:color="D8D8D8"/>
              <w:bottom w:val="single" w:sz="8" w:space="0" w:color="D8D8D8"/>
              <w:right w:val="single" w:sz="8" w:space="0" w:color="D8D8D8"/>
            </w:tcBorders>
            <w:vAlign w:val="center"/>
            <w:hideMark/>
          </w:tcPr>
          <w:p w:rsidR="00F366D2" w:rsidRPr="00F366D2" w:rsidRDefault="00F366D2" w:rsidP="00582630">
            <w:pPr>
              <w:rPr>
                <w:color w:val="000000"/>
                <w:sz w:val="24"/>
                <w:szCs w:val="24"/>
              </w:rPr>
            </w:pPr>
          </w:p>
        </w:tc>
      </w:tr>
    </w:tbl>
    <w:p w:rsidR="00F366D2" w:rsidRPr="00F366D2" w:rsidRDefault="00F366D2" w:rsidP="00F366D2">
      <w:pPr>
        <w:spacing w:line="360" w:lineRule="auto"/>
        <w:ind w:firstLine="709"/>
        <w:contextualSpacing/>
        <w:jc w:val="both"/>
        <w:rPr>
          <w:sz w:val="24"/>
          <w:szCs w:val="24"/>
          <w:highlight w:val="yellow"/>
        </w:rPr>
      </w:pPr>
    </w:p>
    <w:p w:rsidR="00F366D2" w:rsidRPr="00F366D2" w:rsidRDefault="00F366D2" w:rsidP="00F366D2">
      <w:pPr>
        <w:ind w:firstLine="709"/>
        <w:contextualSpacing/>
        <w:jc w:val="both"/>
        <w:rPr>
          <w:sz w:val="24"/>
          <w:szCs w:val="24"/>
        </w:rPr>
      </w:pPr>
      <w:r w:rsidRPr="00F366D2">
        <w:rPr>
          <w:sz w:val="24"/>
          <w:szCs w:val="24"/>
        </w:rPr>
        <w:t xml:space="preserve">A tabela </w:t>
      </w:r>
      <w:r w:rsidR="00D77C43">
        <w:rPr>
          <w:sz w:val="24"/>
          <w:szCs w:val="24"/>
        </w:rPr>
        <w:t>7</w:t>
      </w:r>
      <w:r w:rsidRPr="00F366D2">
        <w:rPr>
          <w:sz w:val="24"/>
          <w:szCs w:val="24"/>
        </w:rPr>
        <w:t xml:space="preserve"> demonstra um resumo detalhado dos relatórios de gestão fiscal dos órgãos do Poder Legislativo do Estado do Paraná. Ambos os órgãos cumpriram o que determina a lei de responsabilidade fiscal. É possível identificar que a assembleia legislativa a partir do ano de 2012 teve um crescimento de sua despesa total com pessoal numa proporção menor do que o crescimento da receita corrente liquida do Estado, fazendo com que sua DTP diminuísse a cada ano.</w:t>
      </w:r>
    </w:p>
    <w:p w:rsidR="00F366D2" w:rsidRPr="00F366D2" w:rsidRDefault="00F366D2" w:rsidP="00F366D2">
      <w:pPr>
        <w:ind w:firstLine="709"/>
        <w:contextualSpacing/>
        <w:jc w:val="both"/>
        <w:rPr>
          <w:sz w:val="24"/>
          <w:szCs w:val="24"/>
        </w:rPr>
      </w:pPr>
      <w:r w:rsidRPr="00F366D2">
        <w:rPr>
          <w:sz w:val="24"/>
          <w:szCs w:val="24"/>
        </w:rPr>
        <w:t>No tribunal de contas do Estado pode-se perceber que nos anos de 2011 e 2016 a despesa total com pessoal teve um crescimento maior que a receita corrente liquida do Estado. Com exceção do ano de 2015, onde o referido poder apresentou uma redução em sua DTP, os demais anos apresentaram um crescimento consideravelmente menor, onde resultado de tais mudanças é a flutuação do incide da DTP.</w:t>
      </w:r>
    </w:p>
    <w:p w:rsidR="00F366D2" w:rsidRDefault="00F366D2" w:rsidP="00F366D2">
      <w:pPr>
        <w:ind w:firstLine="709"/>
        <w:contextualSpacing/>
        <w:jc w:val="both"/>
        <w:rPr>
          <w:sz w:val="24"/>
          <w:szCs w:val="24"/>
        </w:rPr>
      </w:pPr>
      <w:r w:rsidRPr="00F366D2">
        <w:rPr>
          <w:sz w:val="24"/>
          <w:szCs w:val="24"/>
        </w:rPr>
        <w:t>As maiores despesas de ambos órgãos ocorreram em 2016 quando a assembleia legislativa desembolsou o montante de R$309.058.693,98 com despesa com pessoal, enquanto o tribunal de contas desembolsou R$283.136.292,69.</w:t>
      </w:r>
    </w:p>
    <w:p w:rsidR="00E074D5" w:rsidRPr="00F366D2" w:rsidRDefault="00E074D5" w:rsidP="00F366D2">
      <w:pPr>
        <w:ind w:firstLine="709"/>
        <w:contextualSpacing/>
        <w:jc w:val="both"/>
        <w:rPr>
          <w:sz w:val="24"/>
          <w:szCs w:val="24"/>
        </w:rPr>
      </w:pPr>
    </w:p>
    <w:p w:rsidR="00F366D2" w:rsidRPr="00D77C43" w:rsidRDefault="00D77C43" w:rsidP="00C668C4">
      <w:pPr>
        <w:suppressAutoHyphens w:val="0"/>
        <w:jc w:val="both"/>
        <w:rPr>
          <w:sz w:val="24"/>
          <w:szCs w:val="24"/>
        </w:rPr>
      </w:pPr>
      <w:r>
        <w:rPr>
          <w:b/>
          <w:sz w:val="24"/>
          <w:szCs w:val="24"/>
        </w:rPr>
        <w:t xml:space="preserve">4.3.2 </w:t>
      </w:r>
      <w:r w:rsidR="00F366D2" w:rsidRPr="00D77C43">
        <w:rPr>
          <w:b/>
          <w:sz w:val="24"/>
          <w:szCs w:val="24"/>
        </w:rPr>
        <w:t>E</w:t>
      </w:r>
      <w:r w:rsidRPr="00D77C43">
        <w:rPr>
          <w:b/>
          <w:sz w:val="24"/>
          <w:szCs w:val="24"/>
        </w:rPr>
        <w:t>stado</w:t>
      </w:r>
      <w:r w:rsidR="00F366D2" w:rsidRPr="00D77C43">
        <w:rPr>
          <w:b/>
          <w:sz w:val="24"/>
          <w:szCs w:val="24"/>
        </w:rPr>
        <w:t xml:space="preserve"> </w:t>
      </w:r>
      <w:r>
        <w:rPr>
          <w:b/>
          <w:sz w:val="24"/>
          <w:szCs w:val="24"/>
        </w:rPr>
        <w:t xml:space="preserve">do Rio Grande do </w:t>
      </w:r>
      <w:r w:rsidR="00F366D2" w:rsidRPr="00D77C43">
        <w:rPr>
          <w:b/>
          <w:sz w:val="24"/>
          <w:szCs w:val="24"/>
        </w:rPr>
        <w:t>S</w:t>
      </w:r>
      <w:r>
        <w:rPr>
          <w:b/>
          <w:sz w:val="24"/>
          <w:szCs w:val="24"/>
        </w:rPr>
        <w:t>ul</w:t>
      </w:r>
    </w:p>
    <w:p w:rsidR="00D77C43" w:rsidRDefault="00D77C43" w:rsidP="00C668C4"/>
    <w:p w:rsidR="00F366D2" w:rsidRPr="00815417" w:rsidRDefault="00F366D2" w:rsidP="00D77C43">
      <w:pPr>
        <w:jc w:val="center"/>
        <w:rPr>
          <w:b/>
          <w:sz w:val="24"/>
          <w:szCs w:val="24"/>
        </w:rPr>
      </w:pPr>
      <w:r w:rsidRPr="00815417">
        <w:rPr>
          <w:b/>
          <w:sz w:val="24"/>
          <w:szCs w:val="24"/>
        </w:rPr>
        <w:t>Tabela</w:t>
      </w:r>
      <w:r w:rsidR="00D77C43" w:rsidRPr="00815417">
        <w:rPr>
          <w:b/>
          <w:sz w:val="24"/>
          <w:szCs w:val="24"/>
        </w:rPr>
        <w:t xml:space="preserve"> 8</w:t>
      </w:r>
      <w:r w:rsidRPr="00815417">
        <w:rPr>
          <w:b/>
          <w:sz w:val="24"/>
          <w:szCs w:val="24"/>
        </w:rPr>
        <w:t>. Dados e apurações dos limites para as despesas com pessoal por órgão do Poder Legislativo</w:t>
      </w:r>
    </w:p>
    <w:p w:rsidR="00F366D2" w:rsidRPr="00F366D2" w:rsidRDefault="00F366D2" w:rsidP="00D77C43">
      <w:pPr>
        <w:jc w:val="right"/>
      </w:pPr>
      <w:r w:rsidRPr="00F366D2">
        <w:t>Valores monetários originais em milhares de reais</w:t>
      </w:r>
    </w:p>
    <w:tbl>
      <w:tblPr>
        <w:tblW w:w="0" w:type="auto"/>
        <w:tblInd w:w="60" w:type="dxa"/>
        <w:tblCellMar>
          <w:left w:w="70" w:type="dxa"/>
          <w:right w:w="70" w:type="dxa"/>
        </w:tblCellMar>
        <w:tblLook w:val="04A0" w:firstRow="1" w:lastRow="0" w:firstColumn="1" w:lastColumn="0" w:noHBand="0" w:noVBand="1"/>
      </w:tblPr>
      <w:tblGrid>
        <w:gridCol w:w="731"/>
        <w:gridCol w:w="1019"/>
        <w:gridCol w:w="1152"/>
        <w:gridCol w:w="869"/>
        <w:gridCol w:w="869"/>
        <w:gridCol w:w="869"/>
        <w:gridCol w:w="869"/>
        <w:gridCol w:w="869"/>
        <w:gridCol w:w="869"/>
        <w:gridCol w:w="869"/>
      </w:tblGrid>
      <w:tr w:rsidR="00F366D2" w:rsidRPr="006D0E1E" w:rsidTr="0081386B">
        <w:trPr>
          <w:trHeight w:val="20"/>
        </w:trPr>
        <w:tc>
          <w:tcPr>
            <w:tcW w:w="0" w:type="auto"/>
            <w:gridSpan w:val="2"/>
            <w:vMerge w:val="restart"/>
            <w:tcBorders>
              <w:top w:val="single" w:sz="4" w:space="0" w:color="auto"/>
              <w:left w:val="single" w:sz="8" w:space="0" w:color="D8D8D8"/>
              <w:bottom w:val="single" w:sz="4" w:space="0" w:color="D8D8D8"/>
              <w:right w:val="single" w:sz="4" w:space="0" w:color="D8D8D8"/>
            </w:tcBorders>
            <w:shd w:val="clear" w:color="000000" w:fill="D8D8D8"/>
            <w:noWrap/>
            <w:vAlign w:val="center"/>
            <w:hideMark/>
          </w:tcPr>
          <w:p w:rsidR="00F366D2" w:rsidRPr="006D0E1E" w:rsidRDefault="00F366D2" w:rsidP="00582630">
            <w:pPr>
              <w:jc w:val="center"/>
              <w:rPr>
                <w:b/>
                <w:bCs/>
              </w:rPr>
            </w:pPr>
            <w:r w:rsidRPr="006D0E1E">
              <w:rPr>
                <w:b/>
                <w:bCs/>
              </w:rPr>
              <w:t>Rio Grande do Sul</w:t>
            </w:r>
          </w:p>
        </w:tc>
        <w:tc>
          <w:tcPr>
            <w:tcW w:w="0" w:type="auto"/>
            <w:tcBorders>
              <w:top w:val="single" w:sz="4" w:space="0" w:color="auto"/>
              <w:left w:val="nil"/>
              <w:bottom w:val="single" w:sz="4" w:space="0" w:color="D8D8D8"/>
              <w:right w:val="single" w:sz="4" w:space="0" w:color="D8D8D8"/>
            </w:tcBorders>
            <w:shd w:val="clear" w:color="000000" w:fill="D8D8D8"/>
            <w:noWrap/>
            <w:vAlign w:val="center"/>
            <w:hideMark/>
          </w:tcPr>
          <w:p w:rsidR="00F366D2" w:rsidRPr="006D0E1E" w:rsidRDefault="00F366D2" w:rsidP="00582630">
            <w:pPr>
              <w:rPr>
                <w:b/>
                <w:bCs/>
              </w:rPr>
            </w:pPr>
            <w:r w:rsidRPr="006D0E1E">
              <w:rPr>
                <w:b/>
                <w:bCs/>
              </w:rPr>
              <w:t>Ano</w:t>
            </w:r>
          </w:p>
        </w:tc>
        <w:tc>
          <w:tcPr>
            <w:tcW w:w="0" w:type="auto"/>
            <w:tcBorders>
              <w:top w:val="single" w:sz="4" w:space="0" w:color="auto"/>
              <w:left w:val="nil"/>
              <w:bottom w:val="single" w:sz="4" w:space="0" w:color="auto"/>
              <w:right w:val="single" w:sz="4" w:space="0" w:color="auto"/>
            </w:tcBorders>
            <w:shd w:val="clear" w:color="000000" w:fill="D8D8D8"/>
            <w:noWrap/>
            <w:vAlign w:val="center"/>
            <w:hideMark/>
          </w:tcPr>
          <w:p w:rsidR="00F366D2" w:rsidRPr="006D0E1E" w:rsidRDefault="00F366D2" w:rsidP="00582630">
            <w:pPr>
              <w:jc w:val="center"/>
              <w:rPr>
                <w:b/>
                <w:bCs/>
              </w:rPr>
            </w:pPr>
            <w:r w:rsidRPr="006D0E1E">
              <w:rPr>
                <w:b/>
                <w:bCs/>
              </w:rPr>
              <w:t>2010</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F366D2" w:rsidRPr="006D0E1E" w:rsidRDefault="00F366D2" w:rsidP="00582630">
            <w:pPr>
              <w:jc w:val="center"/>
              <w:rPr>
                <w:b/>
                <w:bCs/>
              </w:rPr>
            </w:pPr>
            <w:r w:rsidRPr="006D0E1E">
              <w:rPr>
                <w:b/>
                <w:bCs/>
              </w:rPr>
              <w:t>2011</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F366D2" w:rsidRPr="006D0E1E" w:rsidRDefault="00F366D2" w:rsidP="00582630">
            <w:pPr>
              <w:jc w:val="center"/>
              <w:rPr>
                <w:b/>
                <w:bCs/>
              </w:rPr>
            </w:pPr>
            <w:r w:rsidRPr="006D0E1E">
              <w:rPr>
                <w:b/>
                <w:bCs/>
              </w:rPr>
              <w:t>2012</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F366D2" w:rsidRPr="006D0E1E" w:rsidRDefault="00F366D2" w:rsidP="00582630">
            <w:pPr>
              <w:jc w:val="center"/>
              <w:rPr>
                <w:b/>
                <w:bCs/>
              </w:rPr>
            </w:pPr>
            <w:r w:rsidRPr="006D0E1E">
              <w:rPr>
                <w:b/>
                <w:bCs/>
              </w:rPr>
              <w:t>2013</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F366D2" w:rsidRPr="006D0E1E" w:rsidRDefault="00F366D2" w:rsidP="00582630">
            <w:pPr>
              <w:jc w:val="center"/>
              <w:rPr>
                <w:b/>
                <w:bCs/>
              </w:rPr>
            </w:pPr>
            <w:r w:rsidRPr="006D0E1E">
              <w:rPr>
                <w:b/>
                <w:bCs/>
              </w:rPr>
              <w:t>2014</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F366D2" w:rsidRPr="006D0E1E" w:rsidRDefault="00F366D2" w:rsidP="00582630">
            <w:pPr>
              <w:jc w:val="center"/>
              <w:rPr>
                <w:b/>
                <w:bCs/>
              </w:rPr>
            </w:pPr>
            <w:r w:rsidRPr="006D0E1E">
              <w:rPr>
                <w:b/>
                <w:bCs/>
              </w:rPr>
              <w:t>2015</w:t>
            </w:r>
          </w:p>
        </w:tc>
        <w:tc>
          <w:tcPr>
            <w:tcW w:w="0" w:type="auto"/>
            <w:tcBorders>
              <w:top w:val="single" w:sz="4" w:space="0" w:color="auto"/>
              <w:left w:val="single" w:sz="4" w:space="0" w:color="auto"/>
              <w:bottom w:val="single" w:sz="4" w:space="0" w:color="auto"/>
              <w:right w:val="single" w:sz="8" w:space="0" w:color="D8D8D8"/>
            </w:tcBorders>
            <w:shd w:val="clear" w:color="000000" w:fill="D8D8D8"/>
            <w:noWrap/>
            <w:vAlign w:val="center"/>
            <w:hideMark/>
          </w:tcPr>
          <w:p w:rsidR="00F366D2" w:rsidRPr="006D0E1E" w:rsidRDefault="00F366D2" w:rsidP="00582630">
            <w:pPr>
              <w:jc w:val="center"/>
              <w:rPr>
                <w:b/>
                <w:bCs/>
              </w:rPr>
            </w:pPr>
            <w:r w:rsidRPr="006D0E1E">
              <w:rPr>
                <w:b/>
                <w:bCs/>
              </w:rPr>
              <w:t>2016</w:t>
            </w:r>
          </w:p>
        </w:tc>
      </w:tr>
      <w:tr w:rsidR="00F366D2" w:rsidRPr="006D0E1E" w:rsidTr="0081386B">
        <w:trPr>
          <w:trHeight w:val="20"/>
        </w:trPr>
        <w:tc>
          <w:tcPr>
            <w:tcW w:w="0" w:type="auto"/>
            <w:gridSpan w:val="2"/>
            <w:vMerge/>
            <w:tcBorders>
              <w:top w:val="single" w:sz="4" w:space="0" w:color="D8D8D8"/>
              <w:left w:val="single" w:sz="8" w:space="0" w:color="D8D8D8"/>
              <w:bottom w:val="single" w:sz="4" w:space="0" w:color="auto"/>
              <w:right w:val="single" w:sz="4" w:space="0" w:color="D8D8D8"/>
            </w:tcBorders>
            <w:vAlign w:val="center"/>
            <w:hideMark/>
          </w:tcPr>
          <w:p w:rsidR="00F366D2" w:rsidRPr="006D0E1E" w:rsidRDefault="00F366D2" w:rsidP="00582630">
            <w:pPr>
              <w:rPr>
                <w:b/>
                <w:bCs/>
              </w:rPr>
            </w:pPr>
          </w:p>
        </w:tc>
        <w:tc>
          <w:tcPr>
            <w:tcW w:w="0" w:type="auto"/>
            <w:tcBorders>
              <w:top w:val="nil"/>
              <w:left w:val="nil"/>
              <w:bottom w:val="single" w:sz="4" w:space="0" w:color="auto"/>
              <w:right w:val="single" w:sz="4" w:space="0" w:color="auto"/>
            </w:tcBorders>
            <w:shd w:val="clear" w:color="000000" w:fill="D8D8D8"/>
            <w:noWrap/>
            <w:vAlign w:val="center"/>
            <w:hideMark/>
          </w:tcPr>
          <w:p w:rsidR="00F366D2" w:rsidRPr="006D0E1E" w:rsidRDefault="00F366D2" w:rsidP="00582630">
            <w:pPr>
              <w:rPr>
                <w:b/>
                <w:bCs/>
              </w:rPr>
            </w:pPr>
            <w:r w:rsidRPr="006D0E1E">
              <w:rPr>
                <w:b/>
                <w:bCs/>
              </w:rPr>
              <w:t>RCL</w:t>
            </w:r>
          </w:p>
        </w:tc>
        <w:tc>
          <w:tcPr>
            <w:tcW w:w="0" w:type="auto"/>
            <w:tcBorders>
              <w:top w:val="single" w:sz="4" w:space="0" w:color="auto"/>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20.297.847</w:t>
            </w:r>
          </w:p>
        </w:tc>
        <w:tc>
          <w:tcPr>
            <w:tcW w:w="0" w:type="auto"/>
            <w:tcBorders>
              <w:top w:val="single" w:sz="4" w:space="0" w:color="auto"/>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21.927.905</w:t>
            </w:r>
          </w:p>
        </w:tc>
        <w:tc>
          <w:tcPr>
            <w:tcW w:w="0" w:type="auto"/>
            <w:tcBorders>
              <w:top w:val="single" w:sz="4" w:space="0" w:color="auto"/>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23.710.654</w:t>
            </w:r>
          </w:p>
        </w:tc>
        <w:tc>
          <w:tcPr>
            <w:tcW w:w="0" w:type="auto"/>
            <w:tcBorders>
              <w:top w:val="single" w:sz="4" w:space="0" w:color="auto"/>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26.387.876</w:t>
            </w:r>
          </w:p>
        </w:tc>
        <w:tc>
          <w:tcPr>
            <w:tcW w:w="0" w:type="auto"/>
            <w:tcBorders>
              <w:top w:val="single" w:sz="4" w:space="0" w:color="auto"/>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28.633.466</w:t>
            </w:r>
          </w:p>
        </w:tc>
        <w:tc>
          <w:tcPr>
            <w:tcW w:w="0" w:type="auto"/>
            <w:tcBorders>
              <w:top w:val="single" w:sz="4" w:space="0" w:color="auto"/>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30.139.172</w:t>
            </w:r>
          </w:p>
        </w:tc>
        <w:tc>
          <w:tcPr>
            <w:tcW w:w="0" w:type="auto"/>
            <w:tcBorders>
              <w:top w:val="single" w:sz="4" w:space="0" w:color="auto"/>
              <w:left w:val="single" w:sz="4" w:space="0" w:color="auto"/>
              <w:bottom w:val="single" w:sz="4" w:space="0" w:color="D8D8D8"/>
              <w:right w:val="single" w:sz="8" w:space="0" w:color="D8D8D8"/>
            </w:tcBorders>
            <w:shd w:val="clear" w:color="auto" w:fill="auto"/>
            <w:noWrap/>
            <w:vAlign w:val="center"/>
            <w:hideMark/>
          </w:tcPr>
          <w:p w:rsidR="00F366D2" w:rsidRPr="006D0E1E" w:rsidRDefault="00F366D2" w:rsidP="00582630">
            <w:pPr>
              <w:jc w:val="right"/>
              <w:rPr>
                <w:sz w:val="16"/>
              </w:rPr>
            </w:pPr>
            <w:r w:rsidRPr="006D0E1E">
              <w:rPr>
                <w:sz w:val="16"/>
              </w:rPr>
              <w:t>34.654.897</w:t>
            </w:r>
          </w:p>
        </w:tc>
      </w:tr>
      <w:tr w:rsidR="00F366D2" w:rsidRPr="006D0E1E" w:rsidTr="0081386B">
        <w:trPr>
          <w:trHeight w:val="20"/>
        </w:trPr>
        <w:tc>
          <w:tcPr>
            <w:tcW w:w="0" w:type="auto"/>
            <w:vMerge w:val="restart"/>
            <w:tcBorders>
              <w:top w:val="single" w:sz="4" w:space="0" w:color="auto"/>
              <w:left w:val="single" w:sz="8" w:space="0" w:color="D8D8D8"/>
              <w:bottom w:val="single" w:sz="4" w:space="0" w:color="D8D8D8"/>
              <w:right w:val="single" w:sz="4" w:space="0" w:color="D8D8D8"/>
            </w:tcBorders>
            <w:shd w:val="clear" w:color="auto" w:fill="auto"/>
            <w:noWrap/>
            <w:vAlign w:val="center"/>
            <w:hideMark/>
          </w:tcPr>
          <w:p w:rsidR="00F366D2" w:rsidRPr="006D0E1E" w:rsidRDefault="00F366D2" w:rsidP="00582630">
            <w:pPr>
              <w:jc w:val="center"/>
              <w:rPr>
                <w:b/>
                <w:bCs/>
              </w:rPr>
            </w:pPr>
            <w:r w:rsidRPr="006D0E1E">
              <w:rPr>
                <w:b/>
                <w:bCs/>
              </w:rPr>
              <w:t>PL</w:t>
            </w:r>
          </w:p>
        </w:tc>
        <w:tc>
          <w:tcPr>
            <w:tcW w:w="0" w:type="auto"/>
            <w:vMerge w:val="restart"/>
            <w:tcBorders>
              <w:top w:val="single" w:sz="4" w:space="0" w:color="auto"/>
              <w:left w:val="single" w:sz="4" w:space="0" w:color="D8D8D8"/>
              <w:bottom w:val="single" w:sz="4" w:space="0" w:color="D8D8D8"/>
              <w:right w:val="single" w:sz="4" w:space="0" w:color="D8D8D8"/>
            </w:tcBorders>
            <w:shd w:val="clear" w:color="auto" w:fill="auto"/>
            <w:noWrap/>
            <w:vAlign w:val="center"/>
            <w:hideMark/>
          </w:tcPr>
          <w:p w:rsidR="00F366D2" w:rsidRPr="006D0E1E" w:rsidRDefault="00F366D2" w:rsidP="00582630">
            <w:pPr>
              <w:jc w:val="center"/>
              <w:rPr>
                <w:b/>
                <w:bCs/>
              </w:rPr>
            </w:pPr>
            <w:r w:rsidRPr="006D0E1E">
              <w:rPr>
                <w:b/>
                <w:bCs/>
              </w:rPr>
              <w:t>AL</w:t>
            </w:r>
          </w:p>
        </w:tc>
        <w:tc>
          <w:tcPr>
            <w:tcW w:w="0" w:type="auto"/>
            <w:tcBorders>
              <w:top w:val="single" w:sz="4" w:space="0" w:color="auto"/>
              <w:left w:val="nil"/>
              <w:bottom w:val="single" w:sz="4" w:space="0" w:color="D8D8D8"/>
              <w:right w:val="single" w:sz="4" w:space="0" w:color="auto"/>
            </w:tcBorders>
            <w:shd w:val="clear" w:color="auto" w:fill="auto"/>
            <w:noWrap/>
            <w:vAlign w:val="bottom"/>
            <w:hideMark/>
          </w:tcPr>
          <w:p w:rsidR="00F366D2" w:rsidRPr="006D0E1E" w:rsidRDefault="00F366D2" w:rsidP="00582630">
            <w:r w:rsidRPr="006D0E1E">
              <w:t>DTP (R$)</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233.049</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245.701</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273.681</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283.616</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306.281</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335.196</w:t>
            </w:r>
          </w:p>
        </w:tc>
        <w:tc>
          <w:tcPr>
            <w:tcW w:w="0" w:type="auto"/>
            <w:tcBorders>
              <w:top w:val="nil"/>
              <w:left w:val="single" w:sz="4" w:space="0" w:color="auto"/>
              <w:bottom w:val="single" w:sz="4" w:space="0" w:color="D8D8D8"/>
              <w:right w:val="single" w:sz="8" w:space="0" w:color="D8D8D8"/>
            </w:tcBorders>
            <w:shd w:val="clear" w:color="auto" w:fill="auto"/>
            <w:noWrap/>
            <w:vAlign w:val="center"/>
            <w:hideMark/>
          </w:tcPr>
          <w:p w:rsidR="00F366D2" w:rsidRPr="006D0E1E" w:rsidRDefault="00F366D2" w:rsidP="00582630">
            <w:pPr>
              <w:jc w:val="right"/>
              <w:rPr>
                <w:sz w:val="16"/>
              </w:rPr>
            </w:pPr>
            <w:r w:rsidRPr="006D0E1E">
              <w:rPr>
                <w:sz w:val="16"/>
              </w:rPr>
              <w:t>353.912</w:t>
            </w:r>
          </w:p>
        </w:tc>
      </w:tr>
      <w:tr w:rsidR="00F366D2" w:rsidRPr="006D0E1E" w:rsidTr="0081386B">
        <w:trPr>
          <w:trHeight w:val="20"/>
        </w:trPr>
        <w:tc>
          <w:tcPr>
            <w:tcW w:w="0" w:type="auto"/>
            <w:vMerge/>
            <w:tcBorders>
              <w:top w:val="nil"/>
              <w:left w:val="single" w:sz="8" w:space="0" w:color="D8D8D8"/>
              <w:bottom w:val="single" w:sz="4" w:space="0" w:color="D8D8D8"/>
              <w:right w:val="single" w:sz="4" w:space="0" w:color="D8D8D8"/>
            </w:tcBorders>
            <w:vAlign w:val="center"/>
            <w:hideMark/>
          </w:tcPr>
          <w:p w:rsidR="00F366D2" w:rsidRPr="006D0E1E" w:rsidRDefault="00F366D2" w:rsidP="00582630">
            <w:pPr>
              <w:rPr>
                <w:b/>
                <w:bCs/>
              </w:rPr>
            </w:pPr>
          </w:p>
        </w:tc>
        <w:tc>
          <w:tcPr>
            <w:tcW w:w="0" w:type="auto"/>
            <w:vMerge/>
            <w:tcBorders>
              <w:top w:val="single" w:sz="4" w:space="0" w:color="D8D8D8"/>
              <w:left w:val="single" w:sz="4" w:space="0" w:color="D8D8D8"/>
              <w:bottom w:val="single" w:sz="4" w:space="0" w:color="D8D8D8"/>
              <w:right w:val="single" w:sz="4" w:space="0" w:color="D8D8D8"/>
            </w:tcBorders>
            <w:vAlign w:val="center"/>
            <w:hideMark/>
          </w:tcPr>
          <w:p w:rsidR="00F366D2" w:rsidRPr="006D0E1E" w:rsidRDefault="00F366D2" w:rsidP="00582630">
            <w:pPr>
              <w:rPr>
                <w:b/>
                <w:bCs/>
              </w:rPr>
            </w:pPr>
          </w:p>
        </w:tc>
        <w:tc>
          <w:tcPr>
            <w:tcW w:w="0" w:type="auto"/>
            <w:tcBorders>
              <w:top w:val="nil"/>
              <w:left w:val="nil"/>
              <w:bottom w:val="single" w:sz="4" w:space="0" w:color="D8D8D8"/>
              <w:right w:val="single" w:sz="4" w:space="0" w:color="auto"/>
            </w:tcBorders>
            <w:shd w:val="clear" w:color="auto" w:fill="auto"/>
            <w:noWrap/>
            <w:vAlign w:val="bottom"/>
            <w:hideMark/>
          </w:tcPr>
          <w:p w:rsidR="00F366D2" w:rsidRPr="006D0E1E" w:rsidRDefault="00F366D2" w:rsidP="00582630">
            <w:r w:rsidRPr="006D0E1E">
              <w:t>DTP (%)</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1,15%</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1,12%</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1,15%</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1,07%</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1,07%</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1,11%</w:t>
            </w:r>
          </w:p>
        </w:tc>
        <w:tc>
          <w:tcPr>
            <w:tcW w:w="0" w:type="auto"/>
            <w:tcBorders>
              <w:top w:val="nil"/>
              <w:left w:val="single" w:sz="4" w:space="0" w:color="auto"/>
              <w:bottom w:val="single" w:sz="4" w:space="0" w:color="D8D8D8"/>
              <w:right w:val="single" w:sz="8" w:space="0" w:color="D8D8D8"/>
            </w:tcBorders>
            <w:shd w:val="clear" w:color="auto" w:fill="auto"/>
            <w:noWrap/>
            <w:vAlign w:val="center"/>
            <w:hideMark/>
          </w:tcPr>
          <w:p w:rsidR="00F366D2" w:rsidRPr="006D0E1E" w:rsidRDefault="00F366D2" w:rsidP="00582630">
            <w:pPr>
              <w:jc w:val="right"/>
              <w:rPr>
                <w:sz w:val="16"/>
              </w:rPr>
            </w:pPr>
            <w:r w:rsidRPr="006D0E1E">
              <w:rPr>
                <w:sz w:val="16"/>
              </w:rPr>
              <w:t>1,02%</w:t>
            </w:r>
          </w:p>
        </w:tc>
      </w:tr>
      <w:tr w:rsidR="00F366D2" w:rsidRPr="006D0E1E" w:rsidTr="0081386B">
        <w:trPr>
          <w:trHeight w:val="20"/>
        </w:trPr>
        <w:tc>
          <w:tcPr>
            <w:tcW w:w="0" w:type="auto"/>
            <w:vMerge/>
            <w:tcBorders>
              <w:top w:val="nil"/>
              <w:left w:val="single" w:sz="8" w:space="0" w:color="D8D8D8"/>
              <w:bottom w:val="single" w:sz="4" w:space="0" w:color="D8D8D8"/>
              <w:right w:val="single" w:sz="4" w:space="0" w:color="D8D8D8"/>
            </w:tcBorders>
            <w:vAlign w:val="center"/>
            <w:hideMark/>
          </w:tcPr>
          <w:p w:rsidR="00F366D2" w:rsidRPr="006D0E1E" w:rsidRDefault="00F366D2" w:rsidP="00582630">
            <w:pPr>
              <w:rPr>
                <w:b/>
                <w:bCs/>
              </w:rPr>
            </w:pPr>
          </w:p>
        </w:tc>
        <w:tc>
          <w:tcPr>
            <w:tcW w:w="0" w:type="auto"/>
            <w:vMerge/>
            <w:tcBorders>
              <w:top w:val="single" w:sz="4" w:space="0" w:color="D8D8D8"/>
              <w:left w:val="single" w:sz="4" w:space="0" w:color="D8D8D8"/>
              <w:bottom w:val="single" w:sz="4" w:space="0" w:color="D8D8D8"/>
              <w:right w:val="single" w:sz="4" w:space="0" w:color="D8D8D8"/>
            </w:tcBorders>
            <w:vAlign w:val="center"/>
            <w:hideMark/>
          </w:tcPr>
          <w:p w:rsidR="00F366D2" w:rsidRPr="006D0E1E" w:rsidRDefault="00F366D2" w:rsidP="00582630">
            <w:pPr>
              <w:rPr>
                <w:b/>
                <w:bCs/>
              </w:rPr>
            </w:pPr>
          </w:p>
        </w:tc>
        <w:tc>
          <w:tcPr>
            <w:tcW w:w="0" w:type="auto"/>
            <w:tcBorders>
              <w:top w:val="nil"/>
              <w:left w:val="nil"/>
              <w:bottom w:val="single" w:sz="4" w:space="0" w:color="D8D8D8"/>
              <w:right w:val="single" w:sz="4" w:space="0" w:color="auto"/>
            </w:tcBorders>
            <w:shd w:val="clear" w:color="auto" w:fill="auto"/>
            <w:noWrap/>
            <w:vAlign w:val="bottom"/>
            <w:hideMark/>
          </w:tcPr>
          <w:p w:rsidR="00F366D2" w:rsidRPr="006D0E1E" w:rsidRDefault="00F366D2" w:rsidP="00582630">
            <w:r w:rsidRPr="006D0E1E">
              <w:t>LM (1,82%)</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369.421</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399.088</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431.534</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480.259</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521.129</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548.533</w:t>
            </w:r>
          </w:p>
        </w:tc>
        <w:tc>
          <w:tcPr>
            <w:tcW w:w="0" w:type="auto"/>
            <w:tcBorders>
              <w:top w:val="nil"/>
              <w:left w:val="single" w:sz="4" w:space="0" w:color="auto"/>
              <w:bottom w:val="single" w:sz="4" w:space="0" w:color="D8D8D8"/>
              <w:right w:val="single" w:sz="8" w:space="0" w:color="D8D8D8"/>
            </w:tcBorders>
            <w:shd w:val="clear" w:color="auto" w:fill="auto"/>
            <w:noWrap/>
            <w:vAlign w:val="center"/>
            <w:hideMark/>
          </w:tcPr>
          <w:p w:rsidR="00F366D2" w:rsidRPr="006D0E1E" w:rsidRDefault="00F366D2" w:rsidP="00582630">
            <w:pPr>
              <w:jc w:val="right"/>
              <w:rPr>
                <w:sz w:val="16"/>
              </w:rPr>
            </w:pPr>
            <w:r w:rsidRPr="006D0E1E">
              <w:rPr>
                <w:sz w:val="16"/>
              </w:rPr>
              <w:t>630.719</w:t>
            </w:r>
          </w:p>
        </w:tc>
      </w:tr>
      <w:tr w:rsidR="00F366D2" w:rsidRPr="006D0E1E" w:rsidTr="0081386B">
        <w:trPr>
          <w:trHeight w:val="20"/>
        </w:trPr>
        <w:tc>
          <w:tcPr>
            <w:tcW w:w="0" w:type="auto"/>
            <w:vMerge/>
            <w:tcBorders>
              <w:top w:val="nil"/>
              <w:left w:val="single" w:sz="8" w:space="0" w:color="D8D8D8"/>
              <w:bottom w:val="single" w:sz="4" w:space="0" w:color="D8D8D8"/>
              <w:right w:val="single" w:sz="4" w:space="0" w:color="D8D8D8"/>
            </w:tcBorders>
            <w:vAlign w:val="center"/>
            <w:hideMark/>
          </w:tcPr>
          <w:p w:rsidR="00F366D2" w:rsidRPr="006D0E1E" w:rsidRDefault="00F366D2" w:rsidP="00582630">
            <w:pPr>
              <w:rPr>
                <w:b/>
                <w:bCs/>
              </w:rPr>
            </w:pPr>
          </w:p>
        </w:tc>
        <w:tc>
          <w:tcPr>
            <w:tcW w:w="0" w:type="auto"/>
            <w:vMerge/>
            <w:tcBorders>
              <w:top w:val="single" w:sz="4" w:space="0" w:color="D8D8D8"/>
              <w:left w:val="single" w:sz="4" w:space="0" w:color="D8D8D8"/>
              <w:bottom w:val="single" w:sz="4" w:space="0" w:color="D8D8D8"/>
              <w:right w:val="single" w:sz="4" w:space="0" w:color="D8D8D8"/>
            </w:tcBorders>
            <w:vAlign w:val="center"/>
            <w:hideMark/>
          </w:tcPr>
          <w:p w:rsidR="00F366D2" w:rsidRPr="006D0E1E" w:rsidRDefault="00F366D2" w:rsidP="00582630">
            <w:pPr>
              <w:rPr>
                <w:b/>
                <w:bCs/>
              </w:rPr>
            </w:pPr>
          </w:p>
        </w:tc>
        <w:tc>
          <w:tcPr>
            <w:tcW w:w="0" w:type="auto"/>
            <w:tcBorders>
              <w:top w:val="nil"/>
              <w:left w:val="nil"/>
              <w:bottom w:val="single" w:sz="4" w:space="0" w:color="D8D8D8"/>
              <w:right w:val="single" w:sz="4" w:space="0" w:color="auto"/>
            </w:tcBorders>
            <w:shd w:val="clear" w:color="auto" w:fill="auto"/>
            <w:noWrap/>
            <w:vAlign w:val="bottom"/>
            <w:hideMark/>
          </w:tcPr>
          <w:p w:rsidR="00F366D2" w:rsidRPr="006D0E1E" w:rsidRDefault="00F366D2" w:rsidP="00582630">
            <w:r w:rsidRPr="006D0E1E">
              <w:t>LP (1,73%)</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350.950</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379.133</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409.957</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456.246</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495.073</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521.106</w:t>
            </w:r>
          </w:p>
        </w:tc>
        <w:tc>
          <w:tcPr>
            <w:tcW w:w="0" w:type="auto"/>
            <w:tcBorders>
              <w:top w:val="nil"/>
              <w:left w:val="single" w:sz="4" w:space="0" w:color="auto"/>
              <w:bottom w:val="single" w:sz="4" w:space="0" w:color="D8D8D8"/>
              <w:right w:val="single" w:sz="8" w:space="0" w:color="D8D8D8"/>
            </w:tcBorders>
            <w:shd w:val="clear" w:color="auto" w:fill="auto"/>
            <w:noWrap/>
            <w:vAlign w:val="center"/>
            <w:hideMark/>
          </w:tcPr>
          <w:p w:rsidR="00F366D2" w:rsidRPr="006D0E1E" w:rsidRDefault="00F366D2" w:rsidP="00582630">
            <w:pPr>
              <w:jc w:val="right"/>
              <w:rPr>
                <w:sz w:val="16"/>
              </w:rPr>
            </w:pPr>
            <w:r w:rsidRPr="006D0E1E">
              <w:rPr>
                <w:sz w:val="16"/>
              </w:rPr>
              <w:t>599.183</w:t>
            </w:r>
          </w:p>
        </w:tc>
      </w:tr>
      <w:tr w:rsidR="00F366D2" w:rsidRPr="006D0E1E" w:rsidTr="0081386B">
        <w:trPr>
          <w:trHeight w:val="20"/>
        </w:trPr>
        <w:tc>
          <w:tcPr>
            <w:tcW w:w="0" w:type="auto"/>
            <w:vMerge/>
            <w:tcBorders>
              <w:top w:val="nil"/>
              <w:left w:val="single" w:sz="8" w:space="0" w:color="D8D8D8"/>
              <w:bottom w:val="single" w:sz="4" w:space="0" w:color="D8D8D8"/>
              <w:right w:val="single" w:sz="4" w:space="0" w:color="D8D8D8"/>
            </w:tcBorders>
            <w:vAlign w:val="center"/>
            <w:hideMark/>
          </w:tcPr>
          <w:p w:rsidR="00F366D2" w:rsidRPr="006D0E1E" w:rsidRDefault="00F366D2" w:rsidP="00582630">
            <w:pPr>
              <w:rPr>
                <w:b/>
                <w:bCs/>
              </w:rPr>
            </w:pPr>
          </w:p>
        </w:tc>
        <w:tc>
          <w:tcPr>
            <w:tcW w:w="0" w:type="auto"/>
            <w:vMerge/>
            <w:tcBorders>
              <w:top w:val="single" w:sz="4" w:space="0" w:color="D8D8D8"/>
              <w:left w:val="single" w:sz="4" w:space="0" w:color="D8D8D8"/>
              <w:bottom w:val="single" w:sz="4" w:space="0" w:color="D8D8D8"/>
              <w:right w:val="single" w:sz="4" w:space="0" w:color="D8D8D8"/>
            </w:tcBorders>
            <w:vAlign w:val="center"/>
            <w:hideMark/>
          </w:tcPr>
          <w:p w:rsidR="00F366D2" w:rsidRPr="006D0E1E" w:rsidRDefault="00F366D2" w:rsidP="00582630">
            <w:pPr>
              <w:rPr>
                <w:b/>
                <w:bCs/>
              </w:rPr>
            </w:pPr>
          </w:p>
        </w:tc>
        <w:tc>
          <w:tcPr>
            <w:tcW w:w="0" w:type="auto"/>
            <w:tcBorders>
              <w:top w:val="nil"/>
              <w:left w:val="nil"/>
              <w:bottom w:val="single" w:sz="4" w:space="0" w:color="D8D8D8"/>
              <w:right w:val="single" w:sz="4" w:space="0" w:color="auto"/>
            </w:tcBorders>
            <w:shd w:val="clear" w:color="auto" w:fill="auto"/>
            <w:noWrap/>
            <w:vAlign w:val="bottom"/>
            <w:hideMark/>
          </w:tcPr>
          <w:p w:rsidR="00F366D2" w:rsidRPr="006D0E1E" w:rsidRDefault="00F366D2" w:rsidP="00582630">
            <w:r w:rsidRPr="006D0E1E">
              <w:t>LA (1,64%)</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332.479</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359.179</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388.381</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432.233</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469.016</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493.680</w:t>
            </w:r>
          </w:p>
        </w:tc>
        <w:tc>
          <w:tcPr>
            <w:tcW w:w="0" w:type="auto"/>
            <w:tcBorders>
              <w:top w:val="nil"/>
              <w:left w:val="single" w:sz="4" w:space="0" w:color="auto"/>
              <w:bottom w:val="single" w:sz="4" w:space="0" w:color="D8D8D8"/>
              <w:right w:val="single" w:sz="8" w:space="0" w:color="D8D8D8"/>
            </w:tcBorders>
            <w:shd w:val="clear" w:color="auto" w:fill="auto"/>
            <w:noWrap/>
            <w:vAlign w:val="center"/>
            <w:hideMark/>
          </w:tcPr>
          <w:p w:rsidR="00F366D2" w:rsidRPr="006D0E1E" w:rsidRDefault="00F366D2" w:rsidP="00582630">
            <w:pPr>
              <w:jc w:val="right"/>
              <w:rPr>
                <w:sz w:val="16"/>
              </w:rPr>
            </w:pPr>
            <w:r w:rsidRPr="006D0E1E">
              <w:rPr>
                <w:sz w:val="16"/>
              </w:rPr>
              <w:t>567.647</w:t>
            </w:r>
          </w:p>
        </w:tc>
      </w:tr>
      <w:tr w:rsidR="00F366D2" w:rsidRPr="006D0E1E" w:rsidTr="0081386B">
        <w:trPr>
          <w:trHeight w:val="20"/>
        </w:trPr>
        <w:tc>
          <w:tcPr>
            <w:tcW w:w="0" w:type="auto"/>
            <w:vMerge/>
            <w:tcBorders>
              <w:top w:val="nil"/>
              <w:left w:val="single" w:sz="8" w:space="0" w:color="D8D8D8"/>
              <w:bottom w:val="single" w:sz="4" w:space="0" w:color="D8D8D8"/>
              <w:right w:val="single" w:sz="4" w:space="0" w:color="D8D8D8"/>
            </w:tcBorders>
            <w:vAlign w:val="center"/>
            <w:hideMark/>
          </w:tcPr>
          <w:p w:rsidR="00F366D2" w:rsidRPr="006D0E1E" w:rsidRDefault="00F366D2" w:rsidP="00582630">
            <w:pPr>
              <w:rPr>
                <w:b/>
                <w:bCs/>
              </w:rPr>
            </w:pPr>
          </w:p>
        </w:tc>
        <w:tc>
          <w:tcPr>
            <w:tcW w:w="0" w:type="auto"/>
            <w:vMerge w:val="restart"/>
            <w:tcBorders>
              <w:top w:val="single" w:sz="4" w:space="0" w:color="D8D8D8"/>
              <w:left w:val="single" w:sz="4" w:space="0" w:color="D8D8D8"/>
              <w:bottom w:val="single" w:sz="4" w:space="0" w:color="D8D8D8"/>
              <w:right w:val="single" w:sz="4" w:space="0" w:color="D8D8D8"/>
            </w:tcBorders>
            <w:shd w:val="clear" w:color="auto" w:fill="auto"/>
            <w:noWrap/>
            <w:vAlign w:val="center"/>
            <w:hideMark/>
          </w:tcPr>
          <w:p w:rsidR="00F366D2" w:rsidRPr="006D0E1E" w:rsidRDefault="00F366D2" w:rsidP="00582630">
            <w:pPr>
              <w:jc w:val="center"/>
              <w:rPr>
                <w:b/>
                <w:bCs/>
              </w:rPr>
            </w:pPr>
            <w:r w:rsidRPr="006D0E1E">
              <w:rPr>
                <w:b/>
                <w:bCs/>
              </w:rPr>
              <w:t>TCE</w:t>
            </w:r>
          </w:p>
        </w:tc>
        <w:tc>
          <w:tcPr>
            <w:tcW w:w="0" w:type="auto"/>
            <w:tcBorders>
              <w:top w:val="nil"/>
              <w:left w:val="nil"/>
              <w:bottom w:val="single" w:sz="4" w:space="0" w:color="D8D8D8"/>
              <w:right w:val="single" w:sz="4" w:space="0" w:color="auto"/>
            </w:tcBorders>
            <w:shd w:val="clear" w:color="auto" w:fill="auto"/>
            <w:noWrap/>
            <w:vAlign w:val="bottom"/>
            <w:hideMark/>
          </w:tcPr>
          <w:p w:rsidR="00F366D2" w:rsidRPr="006D0E1E" w:rsidRDefault="00F366D2" w:rsidP="00582630">
            <w:r w:rsidRPr="006D0E1E">
              <w:t>DTP (R$)</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161.585</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181.253</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220.999</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234.399</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253.919</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286.955</w:t>
            </w:r>
          </w:p>
        </w:tc>
        <w:tc>
          <w:tcPr>
            <w:tcW w:w="0" w:type="auto"/>
            <w:tcBorders>
              <w:top w:val="nil"/>
              <w:left w:val="single" w:sz="4" w:space="0" w:color="auto"/>
              <w:bottom w:val="single" w:sz="4" w:space="0" w:color="D8D8D8"/>
              <w:right w:val="single" w:sz="8" w:space="0" w:color="D8D8D8"/>
            </w:tcBorders>
            <w:shd w:val="clear" w:color="auto" w:fill="auto"/>
            <w:noWrap/>
            <w:vAlign w:val="center"/>
            <w:hideMark/>
          </w:tcPr>
          <w:p w:rsidR="00F366D2" w:rsidRPr="006D0E1E" w:rsidRDefault="00F366D2" w:rsidP="00582630">
            <w:pPr>
              <w:jc w:val="right"/>
              <w:rPr>
                <w:sz w:val="16"/>
              </w:rPr>
            </w:pPr>
            <w:r w:rsidRPr="006D0E1E">
              <w:rPr>
                <w:sz w:val="16"/>
              </w:rPr>
              <w:t>303.121</w:t>
            </w:r>
          </w:p>
        </w:tc>
      </w:tr>
      <w:tr w:rsidR="00F366D2" w:rsidRPr="006D0E1E" w:rsidTr="0081386B">
        <w:trPr>
          <w:trHeight w:val="20"/>
        </w:trPr>
        <w:tc>
          <w:tcPr>
            <w:tcW w:w="0" w:type="auto"/>
            <w:vMerge/>
            <w:tcBorders>
              <w:top w:val="nil"/>
              <w:left w:val="single" w:sz="8" w:space="0" w:color="D8D8D8"/>
              <w:bottom w:val="single" w:sz="4" w:space="0" w:color="D8D8D8"/>
              <w:right w:val="single" w:sz="4" w:space="0" w:color="D8D8D8"/>
            </w:tcBorders>
            <w:vAlign w:val="center"/>
            <w:hideMark/>
          </w:tcPr>
          <w:p w:rsidR="00F366D2" w:rsidRPr="006D0E1E" w:rsidRDefault="00F366D2" w:rsidP="00582630">
            <w:pPr>
              <w:rPr>
                <w:b/>
                <w:bCs/>
              </w:rPr>
            </w:pPr>
          </w:p>
        </w:tc>
        <w:tc>
          <w:tcPr>
            <w:tcW w:w="0" w:type="auto"/>
            <w:vMerge/>
            <w:tcBorders>
              <w:top w:val="single" w:sz="4" w:space="0" w:color="D8D8D8"/>
              <w:left w:val="single" w:sz="4" w:space="0" w:color="D8D8D8"/>
              <w:bottom w:val="single" w:sz="4" w:space="0" w:color="D8D8D8"/>
              <w:right w:val="single" w:sz="4" w:space="0" w:color="D8D8D8"/>
            </w:tcBorders>
            <w:vAlign w:val="center"/>
            <w:hideMark/>
          </w:tcPr>
          <w:p w:rsidR="00F366D2" w:rsidRPr="006D0E1E" w:rsidRDefault="00F366D2" w:rsidP="00582630">
            <w:pPr>
              <w:rPr>
                <w:b/>
                <w:bCs/>
              </w:rPr>
            </w:pPr>
          </w:p>
        </w:tc>
        <w:tc>
          <w:tcPr>
            <w:tcW w:w="0" w:type="auto"/>
            <w:tcBorders>
              <w:top w:val="nil"/>
              <w:left w:val="nil"/>
              <w:bottom w:val="single" w:sz="4" w:space="0" w:color="D8D8D8"/>
              <w:right w:val="single" w:sz="4" w:space="0" w:color="auto"/>
            </w:tcBorders>
            <w:shd w:val="clear" w:color="auto" w:fill="auto"/>
            <w:noWrap/>
            <w:vAlign w:val="bottom"/>
            <w:hideMark/>
          </w:tcPr>
          <w:p w:rsidR="00F366D2" w:rsidRPr="006D0E1E" w:rsidRDefault="00F366D2" w:rsidP="00582630">
            <w:r w:rsidRPr="006D0E1E">
              <w:t>DTP (%)</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0,80%</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0,83%</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0,93%</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0,89%</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0,89%</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0,95%</w:t>
            </w:r>
          </w:p>
        </w:tc>
        <w:tc>
          <w:tcPr>
            <w:tcW w:w="0" w:type="auto"/>
            <w:tcBorders>
              <w:top w:val="nil"/>
              <w:left w:val="single" w:sz="4" w:space="0" w:color="auto"/>
              <w:bottom w:val="single" w:sz="4" w:space="0" w:color="D8D8D8"/>
              <w:right w:val="single" w:sz="8" w:space="0" w:color="D8D8D8"/>
            </w:tcBorders>
            <w:shd w:val="clear" w:color="auto" w:fill="auto"/>
            <w:noWrap/>
            <w:vAlign w:val="center"/>
            <w:hideMark/>
          </w:tcPr>
          <w:p w:rsidR="00F366D2" w:rsidRPr="006D0E1E" w:rsidRDefault="00F366D2" w:rsidP="00582630">
            <w:pPr>
              <w:jc w:val="right"/>
              <w:rPr>
                <w:sz w:val="16"/>
              </w:rPr>
            </w:pPr>
            <w:r w:rsidRPr="006D0E1E">
              <w:rPr>
                <w:sz w:val="16"/>
              </w:rPr>
              <w:t>0,87%</w:t>
            </w:r>
          </w:p>
        </w:tc>
      </w:tr>
      <w:tr w:rsidR="00F366D2" w:rsidRPr="006D0E1E" w:rsidTr="0081386B">
        <w:trPr>
          <w:trHeight w:val="20"/>
        </w:trPr>
        <w:tc>
          <w:tcPr>
            <w:tcW w:w="0" w:type="auto"/>
            <w:vMerge/>
            <w:tcBorders>
              <w:top w:val="nil"/>
              <w:left w:val="single" w:sz="8" w:space="0" w:color="D8D8D8"/>
              <w:bottom w:val="single" w:sz="4" w:space="0" w:color="D8D8D8"/>
              <w:right w:val="single" w:sz="4" w:space="0" w:color="D8D8D8"/>
            </w:tcBorders>
            <w:vAlign w:val="center"/>
            <w:hideMark/>
          </w:tcPr>
          <w:p w:rsidR="00F366D2" w:rsidRPr="006D0E1E" w:rsidRDefault="00F366D2" w:rsidP="00582630">
            <w:pPr>
              <w:rPr>
                <w:b/>
                <w:bCs/>
              </w:rPr>
            </w:pPr>
          </w:p>
        </w:tc>
        <w:tc>
          <w:tcPr>
            <w:tcW w:w="0" w:type="auto"/>
            <w:vMerge/>
            <w:tcBorders>
              <w:top w:val="single" w:sz="4" w:space="0" w:color="D8D8D8"/>
              <w:left w:val="single" w:sz="4" w:space="0" w:color="D8D8D8"/>
              <w:bottom w:val="single" w:sz="4" w:space="0" w:color="D8D8D8"/>
              <w:right w:val="single" w:sz="4" w:space="0" w:color="D8D8D8"/>
            </w:tcBorders>
            <w:vAlign w:val="center"/>
            <w:hideMark/>
          </w:tcPr>
          <w:p w:rsidR="00F366D2" w:rsidRPr="006D0E1E" w:rsidRDefault="00F366D2" w:rsidP="00582630">
            <w:pPr>
              <w:rPr>
                <w:b/>
                <w:bCs/>
              </w:rPr>
            </w:pPr>
          </w:p>
        </w:tc>
        <w:tc>
          <w:tcPr>
            <w:tcW w:w="0" w:type="auto"/>
            <w:tcBorders>
              <w:top w:val="nil"/>
              <w:left w:val="nil"/>
              <w:bottom w:val="single" w:sz="4" w:space="0" w:color="D8D8D8"/>
              <w:right w:val="single" w:sz="4" w:space="0" w:color="auto"/>
            </w:tcBorders>
            <w:shd w:val="clear" w:color="auto" w:fill="auto"/>
            <w:noWrap/>
            <w:vAlign w:val="bottom"/>
            <w:hideMark/>
          </w:tcPr>
          <w:p w:rsidR="00F366D2" w:rsidRPr="006D0E1E" w:rsidRDefault="00F366D2" w:rsidP="00582630">
            <w:r w:rsidRPr="006D0E1E">
              <w:t>LM (1,18%)</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239.515</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258.749</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279.786</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311.377</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337.875</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355.642</w:t>
            </w:r>
          </w:p>
        </w:tc>
        <w:tc>
          <w:tcPr>
            <w:tcW w:w="0" w:type="auto"/>
            <w:tcBorders>
              <w:top w:val="nil"/>
              <w:left w:val="single" w:sz="4" w:space="0" w:color="auto"/>
              <w:bottom w:val="single" w:sz="4" w:space="0" w:color="D8D8D8"/>
              <w:right w:val="single" w:sz="8" w:space="0" w:color="D8D8D8"/>
            </w:tcBorders>
            <w:shd w:val="clear" w:color="auto" w:fill="auto"/>
            <w:noWrap/>
            <w:vAlign w:val="center"/>
            <w:hideMark/>
          </w:tcPr>
          <w:p w:rsidR="00F366D2" w:rsidRPr="006D0E1E" w:rsidRDefault="00F366D2" w:rsidP="00582630">
            <w:pPr>
              <w:jc w:val="right"/>
              <w:rPr>
                <w:sz w:val="16"/>
              </w:rPr>
            </w:pPr>
            <w:r w:rsidRPr="006D0E1E">
              <w:rPr>
                <w:sz w:val="16"/>
              </w:rPr>
              <w:t>408.928</w:t>
            </w:r>
          </w:p>
        </w:tc>
      </w:tr>
      <w:tr w:rsidR="00F366D2" w:rsidRPr="006D0E1E" w:rsidTr="0081386B">
        <w:trPr>
          <w:trHeight w:val="20"/>
        </w:trPr>
        <w:tc>
          <w:tcPr>
            <w:tcW w:w="0" w:type="auto"/>
            <w:vMerge/>
            <w:tcBorders>
              <w:top w:val="nil"/>
              <w:left w:val="single" w:sz="8" w:space="0" w:color="D8D8D8"/>
              <w:bottom w:val="single" w:sz="4" w:space="0" w:color="D8D8D8"/>
              <w:right w:val="single" w:sz="4" w:space="0" w:color="D8D8D8"/>
            </w:tcBorders>
            <w:vAlign w:val="center"/>
            <w:hideMark/>
          </w:tcPr>
          <w:p w:rsidR="00F366D2" w:rsidRPr="006D0E1E" w:rsidRDefault="00F366D2" w:rsidP="00582630">
            <w:pPr>
              <w:rPr>
                <w:b/>
                <w:bCs/>
              </w:rPr>
            </w:pPr>
          </w:p>
        </w:tc>
        <w:tc>
          <w:tcPr>
            <w:tcW w:w="0" w:type="auto"/>
            <w:vMerge/>
            <w:tcBorders>
              <w:top w:val="single" w:sz="4" w:space="0" w:color="D8D8D8"/>
              <w:left w:val="single" w:sz="4" w:space="0" w:color="D8D8D8"/>
              <w:bottom w:val="single" w:sz="4" w:space="0" w:color="D8D8D8"/>
              <w:right w:val="single" w:sz="4" w:space="0" w:color="D8D8D8"/>
            </w:tcBorders>
            <w:vAlign w:val="center"/>
            <w:hideMark/>
          </w:tcPr>
          <w:p w:rsidR="00F366D2" w:rsidRPr="006D0E1E" w:rsidRDefault="00F366D2" w:rsidP="00582630">
            <w:pPr>
              <w:rPr>
                <w:b/>
                <w:bCs/>
              </w:rPr>
            </w:pPr>
          </w:p>
        </w:tc>
        <w:tc>
          <w:tcPr>
            <w:tcW w:w="0" w:type="auto"/>
            <w:tcBorders>
              <w:top w:val="nil"/>
              <w:left w:val="nil"/>
              <w:bottom w:val="single" w:sz="4" w:space="0" w:color="D8D8D8"/>
              <w:right w:val="single" w:sz="4" w:space="0" w:color="auto"/>
            </w:tcBorders>
            <w:shd w:val="clear" w:color="auto" w:fill="auto"/>
            <w:noWrap/>
            <w:vAlign w:val="bottom"/>
            <w:hideMark/>
          </w:tcPr>
          <w:p w:rsidR="00F366D2" w:rsidRPr="006D0E1E" w:rsidRDefault="00F366D2" w:rsidP="00582630">
            <w:r w:rsidRPr="006D0E1E">
              <w:t>LP (1,12%)</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227.539</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245.812</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265.796</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295.808</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320.981</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337.860</w:t>
            </w:r>
          </w:p>
        </w:tc>
        <w:tc>
          <w:tcPr>
            <w:tcW w:w="0" w:type="auto"/>
            <w:tcBorders>
              <w:top w:val="nil"/>
              <w:left w:val="single" w:sz="4" w:space="0" w:color="auto"/>
              <w:bottom w:val="single" w:sz="4" w:space="0" w:color="D8D8D8"/>
              <w:right w:val="single" w:sz="8" w:space="0" w:color="D8D8D8"/>
            </w:tcBorders>
            <w:shd w:val="clear" w:color="auto" w:fill="auto"/>
            <w:noWrap/>
            <w:vAlign w:val="center"/>
            <w:hideMark/>
          </w:tcPr>
          <w:p w:rsidR="00F366D2" w:rsidRPr="006D0E1E" w:rsidRDefault="00F366D2" w:rsidP="00582630">
            <w:pPr>
              <w:jc w:val="right"/>
              <w:rPr>
                <w:sz w:val="16"/>
              </w:rPr>
            </w:pPr>
            <w:r w:rsidRPr="006D0E1E">
              <w:rPr>
                <w:sz w:val="16"/>
              </w:rPr>
              <w:t>388.481</w:t>
            </w:r>
          </w:p>
        </w:tc>
      </w:tr>
      <w:tr w:rsidR="00F366D2" w:rsidRPr="006D0E1E" w:rsidTr="0081386B">
        <w:trPr>
          <w:trHeight w:val="20"/>
        </w:trPr>
        <w:tc>
          <w:tcPr>
            <w:tcW w:w="0" w:type="auto"/>
            <w:vMerge/>
            <w:tcBorders>
              <w:top w:val="nil"/>
              <w:left w:val="single" w:sz="8" w:space="0" w:color="D8D8D8"/>
              <w:bottom w:val="single" w:sz="4" w:space="0" w:color="auto"/>
              <w:right w:val="single" w:sz="4" w:space="0" w:color="D8D8D8"/>
            </w:tcBorders>
            <w:vAlign w:val="center"/>
            <w:hideMark/>
          </w:tcPr>
          <w:p w:rsidR="00F366D2" w:rsidRPr="006D0E1E" w:rsidRDefault="00F366D2" w:rsidP="00582630">
            <w:pPr>
              <w:rPr>
                <w:b/>
                <w:bCs/>
              </w:rPr>
            </w:pPr>
          </w:p>
        </w:tc>
        <w:tc>
          <w:tcPr>
            <w:tcW w:w="0" w:type="auto"/>
            <w:vMerge/>
            <w:tcBorders>
              <w:top w:val="single" w:sz="4" w:space="0" w:color="D8D8D8"/>
              <w:left w:val="single" w:sz="4" w:space="0" w:color="D8D8D8"/>
              <w:bottom w:val="single" w:sz="4" w:space="0" w:color="auto"/>
              <w:right w:val="single" w:sz="4" w:space="0" w:color="D8D8D8"/>
            </w:tcBorders>
            <w:vAlign w:val="center"/>
            <w:hideMark/>
          </w:tcPr>
          <w:p w:rsidR="00F366D2" w:rsidRPr="006D0E1E" w:rsidRDefault="00F366D2" w:rsidP="00582630">
            <w:pPr>
              <w:rPr>
                <w:b/>
                <w:bCs/>
              </w:rPr>
            </w:pPr>
          </w:p>
        </w:tc>
        <w:tc>
          <w:tcPr>
            <w:tcW w:w="0" w:type="auto"/>
            <w:tcBorders>
              <w:top w:val="nil"/>
              <w:left w:val="nil"/>
              <w:bottom w:val="single" w:sz="4" w:space="0" w:color="auto"/>
              <w:right w:val="single" w:sz="4" w:space="0" w:color="auto"/>
            </w:tcBorders>
            <w:shd w:val="clear" w:color="auto" w:fill="auto"/>
            <w:noWrap/>
            <w:vAlign w:val="bottom"/>
            <w:hideMark/>
          </w:tcPr>
          <w:p w:rsidR="00F366D2" w:rsidRPr="006D0E1E" w:rsidRDefault="00F366D2" w:rsidP="00582630">
            <w:r w:rsidRPr="006D0E1E">
              <w:t>LA (1,06%)</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215.563</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232.874</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251.807</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280.239</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304.087</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320.078</w:t>
            </w:r>
          </w:p>
        </w:tc>
        <w:tc>
          <w:tcPr>
            <w:tcW w:w="0" w:type="auto"/>
            <w:tcBorders>
              <w:top w:val="nil"/>
              <w:left w:val="single" w:sz="4" w:space="0" w:color="auto"/>
              <w:bottom w:val="single" w:sz="4" w:space="0" w:color="auto"/>
              <w:right w:val="single" w:sz="8" w:space="0" w:color="D8D8D8"/>
            </w:tcBorders>
            <w:shd w:val="clear" w:color="auto" w:fill="auto"/>
            <w:noWrap/>
            <w:vAlign w:val="center"/>
            <w:hideMark/>
          </w:tcPr>
          <w:p w:rsidR="00F366D2" w:rsidRPr="006D0E1E" w:rsidRDefault="00F366D2" w:rsidP="00582630">
            <w:pPr>
              <w:jc w:val="right"/>
              <w:rPr>
                <w:sz w:val="16"/>
              </w:rPr>
            </w:pPr>
            <w:r w:rsidRPr="006D0E1E">
              <w:rPr>
                <w:sz w:val="16"/>
              </w:rPr>
              <w:t>368.035</w:t>
            </w:r>
          </w:p>
        </w:tc>
      </w:tr>
      <w:tr w:rsidR="00F366D2" w:rsidRPr="006D0E1E" w:rsidTr="00D77C43">
        <w:trPr>
          <w:trHeight w:val="230"/>
        </w:trPr>
        <w:tc>
          <w:tcPr>
            <w:tcW w:w="0" w:type="auto"/>
            <w:gridSpan w:val="10"/>
            <w:vMerge w:val="restart"/>
            <w:tcBorders>
              <w:top w:val="single" w:sz="4" w:space="0" w:color="auto"/>
              <w:left w:val="single" w:sz="8" w:space="0" w:color="D8D8D8"/>
              <w:bottom w:val="single" w:sz="4" w:space="0" w:color="D8D8D8"/>
              <w:right w:val="single" w:sz="8" w:space="0" w:color="D8D8D8"/>
            </w:tcBorders>
            <w:shd w:val="clear" w:color="auto" w:fill="auto"/>
            <w:hideMark/>
          </w:tcPr>
          <w:p w:rsidR="00F366D2" w:rsidRPr="006D0E1E" w:rsidRDefault="00F366D2" w:rsidP="00582630">
            <w:r w:rsidRPr="006D0E1E">
              <w:t xml:space="preserve">Siglas: PL= Poder Legislativo. AL= Assembleia Legislativa. TCE= Tribunal de Contas do Estado. RCL= Receita Corrente Líquida. DTP= Despesa Total com Pessoal. LM= Limite Máximo. LP= Limite Prudencial. LA= Limite de Alerta. </w:t>
            </w:r>
          </w:p>
        </w:tc>
      </w:tr>
      <w:tr w:rsidR="00F366D2" w:rsidRPr="006D0E1E" w:rsidTr="006D0E1E">
        <w:trPr>
          <w:trHeight w:val="230"/>
        </w:trPr>
        <w:tc>
          <w:tcPr>
            <w:tcW w:w="0" w:type="auto"/>
            <w:gridSpan w:val="10"/>
            <w:vMerge/>
            <w:tcBorders>
              <w:top w:val="single" w:sz="4" w:space="0" w:color="D8D8D8"/>
              <w:left w:val="single" w:sz="8" w:space="0" w:color="D8D8D8"/>
              <w:bottom w:val="single" w:sz="4" w:space="0" w:color="D8D8D8"/>
              <w:right w:val="single" w:sz="8" w:space="0" w:color="D8D8D8"/>
            </w:tcBorders>
            <w:vAlign w:val="center"/>
            <w:hideMark/>
          </w:tcPr>
          <w:p w:rsidR="00F366D2" w:rsidRPr="006D0E1E" w:rsidRDefault="00F366D2" w:rsidP="00582630"/>
        </w:tc>
      </w:tr>
      <w:tr w:rsidR="00F366D2" w:rsidRPr="006D0E1E" w:rsidTr="006D0E1E">
        <w:trPr>
          <w:trHeight w:val="20"/>
        </w:trPr>
        <w:tc>
          <w:tcPr>
            <w:tcW w:w="0" w:type="auto"/>
            <w:gridSpan w:val="10"/>
            <w:tcBorders>
              <w:top w:val="single" w:sz="4" w:space="0" w:color="D8D8D8"/>
              <w:left w:val="single" w:sz="8" w:space="0" w:color="D8D8D8"/>
              <w:bottom w:val="single" w:sz="4" w:space="0" w:color="D8D8D8"/>
              <w:right w:val="single" w:sz="8" w:space="0" w:color="D8D8D8"/>
            </w:tcBorders>
            <w:shd w:val="clear" w:color="auto" w:fill="auto"/>
            <w:hideMark/>
          </w:tcPr>
          <w:p w:rsidR="00F366D2" w:rsidRPr="006D0E1E" w:rsidRDefault="00F366D2" w:rsidP="00582630">
            <w:r w:rsidRPr="006D0E1E">
              <w:t>Nota: Limites calculados com base na Receita Corrente Líquida do respectivo Estado.</w:t>
            </w:r>
          </w:p>
        </w:tc>
      </w:tr>
      <w:tr w:rsidR="00F366D2" w:rsidRPr="006D0E1E" w:rsidTr="006D0E1E">
        <w:trPr>
          <w:trHeight w:val="230"/>
        </w:trPr>
        <w:tc>
          <w:tcPr>
            <w:tcW w:w="0" w:type="auto"/>
            <w:gridSpan w:val="10"/>
            <w:vMerge w:val="restart"/>
            <w:tcBorders>
              <w:top w:val="single" w:sz="4" w:space="0" w:color="D8D8D8"/>
              <w:left w:val="single" w:sz="8" w:space="0" w:color="D8D8D8"/>
              <w:bottom w:val="single" w:sz="8" w:space="0" w:color="D8D8D8"/>
              <w:right w:val="single" w:sz="8" w:space="0" w:color="D8D8D8"/>
            </w:tcBorders>
            <w:shd w:val="clear" w:color="auto" w:fill="auto"/>
            <w:hideMark/>
          </w:tcPr>
          <w:p w:rsidR="00F366D2" w:rsidRPr="006D0E1E" w:rsidRDefault="00F366D2" w:rsidP="00582630">
            <w:r w:rsidRPr="006D0E1E">
              <w:t xml:space="preserve">Fonte: Elaborado pelos autores com base nos Relatórios de Gestão Fiscal, disponibilizados por cada órgão em seu respectivo portal de transparência. </w:t>
            </w:r>
          </w:p>
        </w:tc>
      </w:tr>
      <w:tr w:rsidR="00F366D2" w:rsidRPr="006D0E1E" w:rsidTr="006D0E1E">
        <w:trPr>
          <w:trHeight w:val="276"/>
        </w:trPr>
        <w:tc>
          <w:tcPr>
            <w:tcW w:w="0" w:type="auto"/>
            <w:gridSpan w:val="10"/>
            <w:vMerge/>
            <w:tcBorders>
              <w:top w:val="single" w:sz="4" w:space="0" w:color="D8D8D8"/>
              <w:left w:val="single" w:sz="8" w:space="0" w:color="D8D8D8"/>
              <w:bottom w:val="single" w:sz="8" w:space="0" w:color="D8D8D8"/>
              <w:right w:val="single" w:sz="8" w:space="0" w:color="D8D8D8"/>
            </w:tcBorders>
            <w:vAlign w:val="center"/>
            <w:hideMark/>
          </w:tcPr>
          <w:p w:rsidR="00F366D2" w:rsidRPr="006D0E1E" w:rsidRDefault="00F366D2" w:rsidP="00582630">
            <w:pPr>
              <w:rPr>
                <w:color w:val="000000"/>
              </w:rPr>
            </w:pPr>
          </w:p>
        </w:tc>
      </w:tr>
    </w:tbl>
    <w:p w:rsidR="00F366D2" w:rsidRPr="00F366D2" w:rsidRDefault="00F366D2" w:rsidP="007F1934">
      <w:pPr>
        <w:ind w:firstLine="709"/>
        <w:contextualSpacing/>
        <w:jc w:val="both"/>
        <w:rPr>
          <w:sz w:val="24"/>
          <w:szCs w:val="24"/>
        </w:rPr>
      </w:pPr>
    </w:p>
    <w:p w:rsidR="00F366D2" w:rsidRPr="00F366D2" w:rsidRDefault="00F366D2" w:rsidP="00F366D2">
      <w:pPr>
        <w:ind w:firstLine="709"/>
        <w:contextualSpacing/>
        <w:jc w:val="both"/>
        <w:rPr>
          <w:sz w:val="24"/>
          <w:szCs w:val="24"/>
        </w:rPr>
      </w:pPr>
      <w:r w:rsidRPr="00F366D2">
        <w:rPr>
          <w:sz w:val="24"/>
          <w:szCs w:val="24"/>
        </w:rPr>
        <w:t xml:space="preserve">Conforme apresentado na tabela </w:t>
      </w:r>
      <w:r w:rsidR="0081386B">
        <w:rPr>
          <w:sz w:val="24"/>
          <w:szCs w:val="24"/>
        </w:rPr>
        <w:t>8</w:t>
      </w:r>
      <w:r w:rsidRPr="00F366D2">
        <w:rPr>
          <w:sz w:val="24"/>
          <w:szCs w:val="24"/>
        </w:rPr>
        <w:t xml:space="preserve"> a assembleia legislativa do Estado do Rio Grande do Sul, durante o período analisado, demonstra um percentual de despesa total com pessoal, em </w:t>
      </w:r>
      <w:r w:rsidRPr="00F366D2">
        <w:rPr>
          <w:sz w:val="24"/>
          <w:szCs w:val="24"/>
        </w:rPr>
        <w:lastRenderedPageBreak/>
        <w:t xml:space="preserve">relação à receita corrente liquida, entre 1,15% e 1,02%. Tais despesas ficaram consideravelmente abaixo do limite de alerta. O tribunal de contas do Estado também se manteve abaixo do limite de alerta em todos os períodos, estando, apenas em 2015, próximo de tal </w:t>
      </w:r>
      <w:r w:rsidR="00E074D5" w:rsidRPr="00F366D2">
        <w:rPr>
          <w:sz w:val="24"/>
          <w:szCs w:val="24"/>
        </w:rPr>
        <w:t xml:space="preserve">limite. </w:t>
      </w:r>
      <w:r w:rsidRPr="00F366D2">
        <w:rPr>
          <w:sz w:val="24"/>
          <w:szCs w:val="24"/>
        </w:rPr>
        <w:t xml:space="preserve">As maiores despesas de </w:t>
      </w:r>
      <w:r w:rsidR="00E074D5" w:rsidRPr="00F366D2">
        <w:rPr>
          <w:sz w:val="24"/>
          <w:szCs w:val="24"/>
        </w:rPr>
        <w:t>ambos os</w:t>
      </w:r>
      <w:r w:rsidRPr="00F366D2">
        <w:rPr>
          <w:sz w:val="24"/>
          <w:szCs w:val="24"/>
        </w:rPr>
        <w:t xml:space="preserve"> órgãos ocorreram em 2016 quando a assembleia legislativa desembolsou o montante de R$353.911.782,81 com despesa com pessoal, enquanto o tribunal de contas desembolsou R$303.120.512,57.</w:t>
      </w:r>
    </w:p>
    <w:p w:rsidR="00F366D2" w:rsidRPr="00F366D2" w:rsidRDefault="00F366D2" w:rsidP="00F366D2">
      <w:pPr>
        <w:ind w:firstLine="709"/>
        <w:contextualSpacing/>
        <w:jc w:val="both"/>
        <w:rPr>
          <w:sz w:val="24"/>
          <w:szCs w:val="24"/>
        </w:rPr>
      </w:pPr>
    </w:p>
    <w:p w:rsidR="00F366D2" w:rsidRPr="0081386B" w:rsidRDefault="0081386B" w:rsidP="0081386B">
      <w:pPr>
        <w:suppressAutoHyphens w:val="0"/>
        <w:spacing w:line="360" w:lineRule="auto"/>
        <w:jc w:val="both"/>
        <w:rPr>
          <w:sz w:val="24"/>
          <w:szCs w:val="24"/>
        </w:rPr>
      </w:pPr>
      <w:r>
        <w:rPr>
          <w:b/>
          <w:sz w:val="24"/>
          <w:szCs w:val="24"/>
        </w:rPr>
        <w:t xml:space="preserve">4.3.3 </w:t>
      </w:r>
      <w:r w:rsidR="00F366D2" w:rsidRPr="0081386B">
        <w:rPr>
          <w:b/>
          <w:sz w:val="24"/>
          <w:szCs w:val="24"/>
        </w:rPr>
        <w:t>E</w:t>
      </w:r>
      <w:r w:rsidRPr="0081386B">
        <w:rPr>
          <w:b/>
          <w:sz w:val="24"/>
          <w:szCs w:val="24"/>
        </w:rPr>
        <w:t>stado</w:t>
      </w:r>
      <w:r w:rsidR="00F366D2" w:rsidRPr="0081386B">
        <w:rPr>
          <w:b/>
          <w:sz w:val="24"/>
          <w:szCs w:val="24"/>
        </w:rPr>
        <w:t xml:space="preserve"> </w:t>
      </w:r>
      <w:r>
        <w:rPr>
          <w:b/>
          <w:sz w:val="24"/>
          <w:szCs w:val="24"/>
        </w:rPr>
        <w:t>de</w:t>
      </w:r>
      <w:r w:rsidR="00F366D2" w:rsidRPr="0081386B">
        <w:rPr>
          <w:b/>
          <w:sz w:val="24"/>
          <w:szCs w:val="24"/>
        </w:rPr>
        <w:t xml:space="preserve"> S</w:t>
      </w:r>
      <w:r w:rsidRPr="0081386B">
        <w:rPr>
          <w:b/>
          <w:sz w:val="24"/>
          <w:szCs w:val="24"/>
        </w:rPr>
        <w:t>anta</w:t>
      </w:r>
      <w:r w:rsidR="00F366D2" w:rsidRPr="0081386B">
        <w:rPr>
          <w:b/>
          <w:sz w:val="24"/>
          <w:szCs w:val="24"/>
        </w:rPr>
        <w:t xml:space="preserve"> C</w:t>
      </w:r>
      <w:r w:rsidRPr="0081386B">
        <w:rPr>
          <w:b/>
          <w:sz w:val="24"/>
          <w:szCs w:val="24"/>
        </w:rPr>
        <w:t>atarina</w:t>
      </w:r>
    </w:p>
    <w:p w:rsidR="0081386B" w:rsidRDefault="0081386B" w:rsidP="0081386B">
      <w:pPr>
        <w:jc w:val="center"/>
      </w:pPr>
    </w:p>
    <w:p w:rsidR="00F366D2" w:rsidRPr="00815417" w:rsidRDefault="00F366D2" w:rsidP="0081386B">
      <w:pPr>
        <w:jc w:val="center"/>
        <w:rPr>
          <w:b/>
          <w:sz w:val="24"/>
          <w:szCs w:val="24"/>
        </w:rPr>
      </w:pPr>
      <w:r w:rsidRPr="00815417">
        <w:rPr>
          <w:b/>
          <w:sz w:val="24"/>
          <w:szCs w:val="24"/>
        </w:rPr>
        <w:t xml:space="preserve">Tabela </w:t>
      </w:r>
      <w:r w:rsidR="00D456A3" w:rsidRPr="00815417">
        <w:rPr>
          <w:b/>
          <w:sz w:val="24"/>
          <w:szCs w:val="24"/>
        </w:rPr>
        <w:t>9</w:t>
      </w:r>
      <w:r w:rsidRPr="00815417">
        <w:rPr>
          <w:b/>
          <w:sz w:val="24"/>
          <w:szCs w:val="24"/>
        </w:rPr>
        <w:t>. Dados e apurações dos limites para as despesas com pessoal por órgão do Poder Legislativo</w:t>
      </w:r>
    </w:p>
    <w:p w:rsidR="00F366D2" w:rsidRPr="00F366D2" w:rsidRDefault="00F366D2" w:rsidP="0081386B">
      <w:pPr>
        <w:pStyle w:val="PargrafodaLista"/>
        <w:ind w:left="360"/>
        <w:jc w:val="right"/>
      </w:pPr>
      <w:r w:rsidRPr="00F366D2">
        <w:t>Valores monetários originais em milhares de reais</w:t>
      </w:r>
    </w:p>
    <w:tbl>
      <w:tblPr>
        <w:tblW w:w="0" w:type="auto"/>
        <w:tblInd w:w="60" w:type="dxa"/>
        <w:tblCellMar>
          <w:left w:w="70" w:type="dxa"/>
          <w:right w:w="70" w:type="dxa"/>
        </w:tblCellMar>
        <w:tblLook w:val="04A0" w:firstRow="1" w:lastRow="0" w:firstColumn="1" w:lastColumn="0" w:noHBand="0" w:noVBand="1"/>
      </w:tblPr>
      <w:tblGrid>
        <w:gridCol w:w="630"/>
        <w:gridCol w:w="879"/>
        <w:gridCol w:w="1190"/>
        <w:gridCol w:w="898"/>
        <w:gridCol w:w="898"/>
        <w:gridCol w:w="898"/>
        <w:gridCol w:w="898"/>
        <w:gridCol w:w="898"/>
        <w:gridCol w:w="898"/>
        <w:gridCol w:w="898"/>
      </w:tblGrid>
      <w:tr w:rsidR="00F366D2" w:rsidRPr="00F366D2" w:rsidTr="0081386B">
        <w:trPr>
          <w:trHeight w:val="20"/>
        </w:trPr>
        <w:tc>
          <w:tcPr>
            <w:tcW w:w="0" w:type="auto"/>
            <w:gridSpan w:val="2"/>
            <w:vMerge w:val="restart"/>
            <w:tcBorders>
              <w:top w:val="single" w:sz="4" w:space="0" w:color="auto"/>
              <w:left w:val="single" w:sz="8" w:space="0" w:color="D8D8D8"/>
              <w:bottom w:val="single" w:sz="4" w:space="0" w:color="D8D8D8"/>
              <w:right w:val="single" w:sz="4" w:space="0" w:color="D8D8D8"/>
            </w:tcBorders>
            <w:shd w:val="clear" w:color="000000" w:fill="D8D8D8"/>
            <w:noWrap/>
            <w:vAlign w:val="center"/>
            <w:hideMark/>
          </w:tcPr>
          <w:p w:rsidR="00F366D2" w:rsidRPr="00F366D2" w:rsidRDefault="00F366D2" w:rsidP="00582630">
            <w:pPr>
              <w:jc w:val="center"/>
              <w:rPr>
                <w:b/>
                <w:bCs/>
              </w:rPr>
            </w:pPr>
            <w:r w:rsidRPr="00F366D2">
              <w:rPr>
                <w:b/>
                <w:bCs/>
              </w:rPr>
              <w:t>Santa Catarina</w:t>
            </w:r>
          </w:p>
        </w:tc>
        <w:tc>
          <w:tcPr>
            <w:tcW w:w="0" w:type="auto"/>
            <w:tcBorders>
              <w:top w:val="single" w:sz="4" w:space="0" w:color="auto"/>
              <w:left w:val="nil"/>
              <w:bottom w:val="single" w:sz="4" w:space="0" w:color="D8D8D8"/>
              <w:right w:val="single" w:sz="4" w:space="0" w:color="auto"/>
            </w:tcBorders>
            <w:shd w:val="clear" w:color="000000" w:fill="D8D8D8"/>
            <w:noWrap/>
            <w:vAlign w:val="center"/>
            <w:hideMark/>
          </w:tcPr>
          <w:p w:rsidR="00F366D2" w:rsidRPr="00F366D2" w:rsidRDefault="00F366D2" w:rsidP="00582630">
            <w:pPr>
              <w:rPr>
                <w:b/>
                <w:bCs/>
              </w:rPr>
            </w:pPr>
            <w:r w:rsidRPr="00F366D2">
              <w:rPr>
                <w:b/>
                <w:bCs/>
              </w:rPr>
              <w:t>Ano</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F366D2" w:rsidRPr="00F366D2" w:rsidRDefault="00F366D2" w:rsidP="00582630">
            <w:pPr>
              <w:jc w:val="center"/>
              <w:rPr>
                <w:b/>
                <w:bCs/>
              </w:rPr>
            </w:pPr>
            <w:r w:rsidRPr="00F366D2">
              <w:rPr>
                <w:b/>
                <w:bCs/>
              </w:rPr>
              <w:t>2010</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F366D2" w:rsidRPr="00F366D2" w:rsidRDefault="00F366D2" w:rsidP="00582630">
            <w:pPr>
              <w:jc w:val="center"/>
              <w:rPr>
                <w:b/>
                <w:bCs/>
              </w:rPr>
            </w:pPr>
            <w:r w:rsidRPr="00F366D2">
              <w:rPr>
                <w:b/>
                <w:bCs/>
              </w:rPr>
              <w:t>2011</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F366D2" w:rsidRPr="00F366D2" w:rsidRDefault="00F366D2" w:rsidP="00582630">
            <w:pPr>
              <w:jc w:val="center"/>
              <w:rPr>
                <w:b/>
                <w:bCs/>
              </w:rPr>
            </w:pPr>
            <w:r w:rsidRPr="00F366D2">
              <w:rPr>
                <w:b/>
                <w:bCs/>
              </w:rPr>
              <w:t>2012</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F366D2" w:rsidRPr="00F366D2" w:rsidRDefault="00F366D2" w:rsidP="00582630">
            <w:pPr>
              <w:jc w:val="center"/>
              <w:rPr>
                <w:b/>
                <w:bCs/>
              </w:rPr>
            </w:pPr>
            <w:r w:rsidRPr="00F366D2">
              <w:rPr>
                <w:b/>
                <w:bCs/>
              </w:rPr>
              <w:t>2013</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F366D2" w:rsidRPr="00F366D2" w:rsidRDefault="00F366D2" w:rsidP="00582630">
            <w:pPr>
              <w:jc w:val="center"/>
              <w:rPr>
                <w:b/>
                <w:bCs/>
              </w:rPr>
            </w:pPr>
            <w:r w:rsidRPr="00F366D2">
              <w:rPr>
                <w:b/>
                <w:bCs/>
              </w:rPr>
              <w:t>2014</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F366D2" w:rsidRPr="00F366D2" w:rsidRDefault="00F366D2" w:rsidP="00582630">
            <w:pPr>
              <w:jc w:val="center"/>
              <w:rPr>
                <w:b/>
                <w:bCs/>
              </w:rPr>
            </w:pPr>
            <w:r w:rsidRPr="00F366D2">
              <w:rPr>
                <w:b/>
                <w:bCs/>
              </w:rPr>
              <w:t>2015*</w:t>
            </w:r>
          </w:p>
        </w:tc>
        <w:tc>
          <w:tcPr>
            <w:tcW w:w="0" w:type="auto"/>
            <w:tcBorders>
              <w:top w:val="single" w:sz="4" w:space="0" w:color="auto"/>
              <w:left w:val="single" w:sz="4" w:space="0" w:color="auto"/>
              <w:bottom w:val="single" w:sz="4" w:space="0" w:color="auto"/>
              <w:right w:val="single" w:sz="8" w:space="0" w:color="D8D8D8"/>
            </w:tcBorders>
            <w:shd w:val="clear" w:color="000000" w:fill="D8D8D8"/>
            <w:noWrap/>
            <w:vAlign w:val="center"/>
            <w:hideMark/>
          </w:tcPr>
          <w:p w:rsidR="00F366D2" w:rsidRPr="00F366D2" w:rsidRDefault="00F366D2" w:rsidP="00582630">
            <w:pPr>
              <w:jc w:val="center"/>
              <w:rPr>
                <w:b/>
                <w:bCs/>
              </w:rPr>
            </w:pPr>
            <w:r w:rsidRPr="00F366D2">
              <w:rPr>
                <w:b/>
                <w:bCs/>
              </w:rPr>
              <w:t>2016*</w:t>
            </w:r>
          </w:p>
        </w:tc>
      </w:tr>
      <w:tr w:rsidR="00F366D2" w:rsidRPr="00F366D2" w:rsidTr="0081386B">
        <w:trPr>
          <w:trHeight w:val="20"/>
        </w:trPr>
        <w:tc>
          <w:tcPr>
            <w:tcW w:w="0" w:type="auto"/>
            <w:gridSpan w:val="2"/>
            <w:vMerge/>
            <w:tcBorders>
              <w:top w:val="single" w:sz="4" w:space="0" w:color="D8D8D8"/>
              <w:left w:val="single" w:sz="8" w:space="0" w:color="D8D8D8"/>
              <w:bottom w:val="single" w:sz="4" w:space="0" w:color="auto"/>
              <w:right w:val="single" w:sz="4" w:space="0" w:color="D8D8D8"/>
            </w:tcBorders>
            <w:vAlign w:val="center"/>
            <w:hideMark/>
          </w:tcPr>
          <w:p w:rsidR="00F366D2" w:rsidRPr="00F366D2" w:rsidRDefault="00F366D2" w:rsidP="00582630">
            <w:pPr>
              <w:rPr>
                <w:b/>
                <w:bCs/>
              </w:rPr>
            </w:pPr>
          </w:p>
        </w:tc>
        <w:tc>
          <w:tcPr>
            <w:tcW w:w="0" w:type="auto"/>
            <w:tcBorders>
              <w:top w:val="nil"/>
              <w:left w:val="nil"/>
              <w:bottom w:val="single" w:sz="4" w:space="0" w:color="auto"/>
              <w:right w:val="single" w:sz="4" w:space="0" w:color="auto"/>
            </w:tcBorders>
            <w:shd w:val="clear" w:color="000000" w:fill="D8D8D8"/>
            <w:noWrap/>
            <w:vAlign w:val="center"/>
            <w:hideMark/>
          </w:tcPr>
          <w:p w:rsidR="00F366D2" w:rsidRPr="00F366D2" w:rsidRDefault="00F366D2" w:rsidP="00582630">
            <w:pPr>
              <w:rPr>
                <w:b/>
                <w:bCs/>
              </w:rPr>
            </w:pPr>
            <w:r w:rsidRPr="00F366D2">
              <w:rPr>
                <w:b/>
                <w:bCs/>
              </w:rPr>
              <w:t>RCL</w:t>
            </w:r>
          </w:p>
        </w:tc>
        <w:tc>
          <w:tcPr>
            <w:tcW w:w="0" w:type="auto"/>
            <w:tcBorders>
              <w:top w:val="single" w:sz="4" w:space="0" w:color="auto"/>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11.857.684</w:t>
            </w:r>
          </w:p>
        </w:tc>
        <w:tc>
          <w:tcPr>
            <w:tcW w:w="0" w:type="auto"/>
            <w:tcBorders>
              <w:top w:val="single" w:sz="4" w:space="0" w:color="auto"/>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13.791.475</w:t>
            </w:r>
          </w:p>
        </w:tc>
        <w:tc>
          <w:tcPr>
            <w:tcW w:w="0" w:type="auto"/>
            <w:tcBorders>
              <w:top w:val="single" w:sz="4" w:space="0" w:color="auto"/>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14.535.174</w:t>
            </w:r>
          </w:p>
        </w:tc>
        <w:tc>
          <w:tcPr>
            <w:tcW w:w="0" w:type="auto"/>
            <w:tcBorders>
              <w:top w:val="single" w:sz="4" w:space="0" w:color="auto"/>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15.892.968</w:t>
            </w:r>
          </w:p>
        </w:tc>
        <w:tc>
          <w:tcPr>
            <w:tcW w:w="0" w:type="auto"/>
            <w:tcBorders>
              <w:top w:val="single" w:sz="4" w:space="0" w:color="auto"/>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17.835.511</w:t>
            </w:r>
          </w:p>
        </w:tc>
        <w:tc>
          <w:tcPr>
            <w:tcW w:w="0" w:type="auto"/>
            <w:tcBorders>
              <w:top w:val="single" w:sz="4" w:space="0" w:color="auto"/>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19.409.871</w:t>
            </w:r>
          </w:p>
        </w:tc>
        <w:tc>
          <w:tcPr>
            <w:tcW w:w="0" w:type="auto"/>
            <w:tcBorders>
              <w:top w:val="single" w:sz="4" w:space="0" w:color="auto"/>
              <w:left w:val="single" w:sz="4" w:space="0" w:color="auto"/>
              <w:bottom w:val="single" w:sz="4" w:space="0" w:color="D8D8D8"/>
              <w:right w:val="single" w:sz="8" w:space="0" w:color="D8D8D8"/>
            </w:tcBorders>
            <w:shd w:val="clear" w:color="auto" w:fill="auto"/>
            <w:noWrap/>
            <w:vAlign w:val="center"/>
            <w:hideMark/>
          </w:tcPr>
          <w:p w:rsidR="00F366D2" w:rsidRPr="006D0E1E" w:rsidRDefault="00F366D2" w:rsidP="00582630">
            <w:pPr>
              <w:jc w:val="right"/>
              <w:rPr>
                <w:sz w:val="16"/>
              </w:rPr>
            </w:pPr>
            <w:r w:rsidRPr="006D0E1E">
              <w:rPr>
                <w:sz w:val="16"/>
              </w:rPr>
              <w:t>20.488.859</w:t>
            </w:r>
          </w:p>
        </w:tc>
      </w:tr>
      <w:tr w:rsidR="00F366D2" w:rsidRPr="00F366D2" w:rsidTr="0081386B">
        <w:trPr>
          <w:trHeight w:val="20"/>
        </w:trPr>
        <w:tc>
          <w:tcPr>
            <w:tcW w:w="0" w:type="auto"/>
            <w:vMerge w:val="restart"/>
            <w:tcBorders>
              <w:top w:val="single" w:sz="4" w:space="0" w:color="auto"/>
              <w:left w:val="single" w:sz="8" w:space="0" w:color="D8D8D8"/>
              <w:bottom w:val="single" w:sz="4" w:space="0" w:color="D8D8D8"/>
              <w:right w:val="single" w:sz="4" w:space="0" w:color="D8D8D8"/>
            </w:tcBorders>
            <w:shd w:val="clear" w:color="auto" w:fill="auto"/>
            <w:noWrap/>
            <w:vAlign w:val="center"/>
            <w:hideMark/>
          </w:tcPr>
          <w:p w:rsidR="00F366D2" w:rsidRPr="00F366D2" w:rsidRDefault="00F366D2" w:rsidP="00582630">
            <w:pPr>
              <w:jc w:val="center"/>
              <w:rPr>
                <w:b/>
                <w:bCs/>
              </w:rPr>
            </w:pPr>
            <w:r w:rsidRPr="00F366D2">
              <w:rPr>
                <w:b/>
                <w:bCs/>
              </w:rPr>
              <w:t>PL</w:t>
            </w:r>
          </w:p>
        </w:tc>
        <w:tc>
          <w:tcPr>
            <w:tcW w:w="0" w:type="auto"/>
            <w:vMerge w:val="restart"/>
            <w:tcBorders>
              <w:top w:val="single" w:sz="4" w:space="0" w:color="auto"/>
              <w:left w:val="single" w:sz="4" w:space="0" w:color="D8D8D8"/>
              <w:bottom w:val="single" w:sz="4" w:space="0" w:color="D8D8D8"/>
              <w:right w:val="single" w:sz="4" w:space="0" w:color="D8D8D8"/>
            </w:tcBorders>
            <w:shd w:val="clear" w:color="auto" w:fill="auto"/>
            <w:noWrap/>
            <w:vAlign w:val="center"/>
            <w:hideMark/>
          </w:tcPr>
          <w:p w:rsidR="00F366D2" w:rsidRPr="00F366D2" w:rsidRDefault="00F366D2" w:rsidP="00582630">
            <w:pPr>
              <w:jc w:val="center"/>
              <w:rPr>
                <w:b/>
                <w:bCs/>
              </w:rPr>
            </w:pPr>
            <w:r w:rsidRPr="00F366D2">
              <w:rPr>
                <w:b/>
                <w:bCs/>
              </w:rPr>
              <w:t>AL</w:t>
            </w:r>
          </w:p>
        </w:tc>
        <w:tc>
          <w:tcPr>
            <w:tcW w:w="0" w:type="auto"/>
            <w:tcBorders>
              <w:top w:val="single" w:sz="4" w:space="0" w:color="auto"/>
              <w:left w:val="nil"/>
              <w:bottom w:val="single" w:sz="4" w:space="0" w:color="D8D8D8"/>
              <w:right w:val="single" w:sz="4" w:space="0" w:color="auto"/>
            </w:tcBorders>
            <w:shd w:val="clear" w:color="auto" w:fill="auto"/>
            <w:noWrap/>
            <w:vAlign w:val="bottom"/>
            <w:hideMark/>
          </w:tcPr>
          <w:p w:rsidR="00F366D2" w:rsidRPr="00F366D2" w:rsidRDefault="00F366D2" w:rsidP="00582630">
            <w:r w:rsidRPr="00F366D2">
              <w:t>DTP (R$)</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228.979</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260.859</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285.109</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310.904</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342.825</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379.491</w:t>
            </w:r>
          </w:p>
        </w:tc>
        <w:tc>
          <w:tcPr>
            <w:tcW w:w="0" w:type="auto"/>
            <w:tcBorders>
              <w:top w:val="nil"/>
              <w:left w:val="single" w:sz="4" w:space="0" w:color="auto"/>
              <w:bottom w:val="single" w:sz="4" w:space="0" w:color="D8D8D8"/>
              <w:right w:val="single" w:sz="8" w:space="0" w:color="D8D8D8"/>
            </w:tcBorders>
            <w:shd w:val="clear" w:color="auto" w:fill="auto"/>
            <w:noWrap/>
            <w:vAlign w:val="center"/>
            <w:hideMark/>
          </w:tcPr>
          <w:p w:rsidR="00F366D2" w:rsidRPr="006D0E1E" w:rsidRDefault="00F366D2" w:rsidP="00582630">
            <w:pPr>
              <w:jc w:val="right"/>
              <w:rPr>
                <w:sz w:val="16"/>
              </w:rPr>
            </w:pPr>
            <w:r w:rsidRPr="006D0E1E">
              <w:rPr>
                <w:sz w:val="16"/>
              </w:rPr>
              <w:t>396.338</w:t>
            </w:r>
          </w:p>
        </w:tc>
      </w:tr>
      <w:tr w:rsidR="00F366D2" w:rsidRPr="00F366D2" w:rsidTr="0081386B">
        <w:trPr>
          <w:trHeight w:val="20"/>
        </w:trPr>
        <w:tc>
          <w:tcPr>
            <w:tcW w:w="0" w:type="auto"/>
            <w:vMerge/>
            <w:tcBorders>
              <w:top w:val="nil"/>
              <w:left w:val="single" w:sz="8" w:space="0" w:color="D8D8D8"/>
              <w:bottom w:val="single" w:sz="4" w:space="0" w:color="D8D8D8"/>
              <w:right w:val="single" w:sz="4" w:space="0" w:color="D8D8D8"/>
            </w:tcBorders>
            <w:vAlign w:val="center"/>
            <w:hideMark/>
          </w:tcPr>
          <w:p w:rsidR="00F366D2" w:rsidRPr="00F366D2" w:rsidRDefault="00F366D2" w:rsidP="00582630">
            <w:pPr>
              <w:rPr>
                <w:b/>
                <w:bCs/>
              </w:rPr>
            </w:pPr>
          </w:p>
        </w:tc>
        <w:tc>
          <w:tcPr>
            <w:tcW w:w="0" w:type="auto"/>
            <w:vMerge/>
            <w:tcBorders>
              <w:top w:val="single" w:sz="4" w:space="0" w:color="D8D8D8"/>
              <w:left w:val="single" w:sz="4" w:space="0" w:color="D8D8D8"/>
              <w:bottom w:val="single" w:sz="4" w:space="0" w:color="D8D8D8"/>
              <w:right w:val="single" w:sz="4" w:space="0" w:color="D8D8D8"/>
            </w:tcBorders>
            <w:vAlign w:val="center"/>
            <w:hideMark/>
          </w:tcPr>
          <w:p w:rsidR="00F366D2" w:rsidRPr="00F366D2" w:rsidRDefault="00F366D2" w:rsidP="00582630">
            <w:pPr>
              <w:rPr>
                <w:b/>
                <w:bCs/>
              </w:rPr>
            </w:pPr>
          </w:p>
        </w:tc>
        <w:tc>
          <w:tcPr>
            <w:tcW w:w="0" w:type="auto"/>
            <w:tcBorders>
              <w:top w:val="nil"/>
              <w:left w:val="nil"/>
              <w:bottom w:val="single" w:sz="4" w:space="0" w:color="D8D8D8"/>
              <w:right w:val="single" w:sz="4" w:space="0" w:color="auto"/>
            </w:tcBorders>
            <w:shd w:val="clear" w:color="auto" w:fill="auto"/>
            <w:noWrap/>
            <w:vAlign w:val="bottom"/>
            <w:hideMark/>
          </w:tcPr>
          <w:p w:rsidR="00F366D2" w:rsidRPr="00F366D2" w:rsidRDefault="00F366D2" w:rsidP="00582630">
            <w:r w:rsidRPr="00F366D2">
              <w:t>DTP (%)</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1,93%</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1,89%</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1,96%</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1,96%</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1,92%</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1,96%</w:t>
            </w:r>
          </w:p>
        </w:tc>
        <w:tc>
          <w:tcPr>
            <w:tcW w:w="0" w:type="auto"/>
            <w:tcBorders>
              <w:top w:val="nil"/>
              <w:left w:val="single" w:sz="4" w:space="0" w:color="auto"/>
              <w:bottom w:val="single" w:sz="4" w:space="0" w:color="D8D8D8"/>
              <w:right w:val="single" w:sz="8" w:space="0" w:color="D8D8D8"/>
            </w:tcBorders>
            <w:shd w:val="clear" w:color="auto" w:fill="auto"/>
            <w:noWrap/>
            <w:vAlign w:val="center"/>
            <w:hideMark/>
          </w:tcPr>
          <w:p w:rsidR="00F366D2" w:rsidRPr="006D0E1E" w:rsidRDefault="00F366D2" w:rsidP="00582630">
            <w:pPr>
              <w:jc w:val="right"/>
              <w:rPr>
                <w:sz w:val="16"/>
              </w:rPr>
            </w:pPr>
            <w:r w:rsidRPr="006D0E1E">
              <w:rPr>
                <w:sz w:val="16"/>
              </w:rPr>
              <w:t>1,93%</w:t>
            </w:r>
          </w:p>
        </w:tc>
      </w:tr>
      <w:tr w:rsidR="00F366D2" w:rsidRPr="00F366D2" w:rsidTr="0081386B">
        <w:trPr>
          <w:trHeight w:val="20"/>
        </w:trPr>
        <w:tc>
          <w:tcPr>
            <w:tcW w:w="0" w:type="auto"/>
            <w:vMerge/>
            <w:tcBorders>
              <w:top w:val="nil"/>
              <w:left w:val="single" w:sz="8" w:space="0" w:color="D8D8D8"/>
              <w:bottom w:val="single" w:sz="4" w:space="0" w:color="D8D8D8"/>
              <w:right w:val="single" w:sz="4" w:space="0" w:color="D8D8D8"/>
            </w:tcBorders>
            <w:vAlign w:val="center"/>
            <w:hideMark/>
          </w:tcPr>
          <w:p w:rsidR="00F366D2" w:rsidRPr="00F366D2" w:rsidRDefault="00F366D2" w:rsidP="00582630">
            <w:pPr>
              <w:rPr>
                <w:b/>
                <w:bCs/>
              </w:rPr>
            </w:pPr>
          </w:p>
        </w:tc>
        <w:tc>
          <w:tcPr>
            <w:tcW w:w="0" w:type="auto"/>
            <w:vMerge/>
            <w:tcBorders>
              <w:top w:val="single" w:sz="4" w:space="0" w:color="D8D8D8"/>
              <w:left w:val="single" w:sz="4" w:space="0" w:color="D8D8D8"/>
              <w:bottom w:val="single" w:sz="4" w:space="0" w:color="D8D8D8"/>
              <w:right w:val="single" w:sz="4" w:space="0" w:color="D8D8D8"/>
            </w:tcBorders>
            <w:vAlign w:val="center"/>
            <w:hideMark/>
          </w:tcPr>
          <w:p w:rsidR="00F366D2" w:rsidRPr="00F366D2" w:rsidRDefault="00F366D2" w:rsidP="00582630">
            <w:pPr>
              <w:rPr>
                <w:b/>
                <w:bCs/>
              </w:rPr>
            </w:pPr>
          </w:p>
        </w:tc>
        <w:tc>
          <w:tcPr>
            <w:tcW w:w="0" w:type="auto"/>
            <w:tcBorders>
              <w:top w:val="nil"/>
              <w:left w:val="nil"/>
              <w:bottom w:val="single" w:sz="4" w:space="0" w:color="D8D8D8"/>
              <w:right w:val="single" w:sz="4" w:space="0" w:color="auto"/>
            </w:tcBorders>
            <w:shd w:val="clear" w:color="auto" w:fill="auto"/>
            <w:noWrap/>
            <w:vAlign w:val="bottom"/>
            <w:hideMark/>
          </w:tcPr>
          <w:p w:rsidR="00F366D2" w:rsidRPr="00F366D2" w:rsidRDefault="00F366D2" w:rsidP="00582630">
            <w:r w:rsidRPr="00F366D2">
              <w:t>LM (2,20%)</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260.869</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303.412</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319.774</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349.645</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392.381</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407.607</w:t>
            </w:r>
          </w:p>
        </w:tc>
        <w:tc>
          <w:tcPr>
            <w:tcW w:w="0" w:type="auto"/>
            <w:tcBorders>
              <w:top w:val="nil"/>
              <w:left w:val="single" w:sz="4" w:space="0" w:color="auto"/>
              <w:bottom w:val="single" w:sz="4" w:space="0" w:color="D8D8D8"/>
              <w:right w:val="single" w:sz="8" w:space="0" w:color="D8D8D8"/>
            </w:tcBorders>
            <w:shd w:val="clear" w:color="auto" w:fill="auto"/>
            <w:noWrap/>
            <w:vAlign w:val="center"/>
            <w:hideMark/>
          </w:tcPr>
          <w:p w:rsidR="00F366D2" w:rsidRPr="006D0E1E" w:rsidRDefault="00F366D2" w:rsidP="00582630">
            <w:pPr>
              <w:jc w:val="right"/>
              <w:rPr>
                <w:sz w:val="16"/>
              </w:rPr>
            </w:pPr>
            <w:r w:rsidRPr="006D0E1E">
              <w:rPr>
                <w:sz w:val="16"/>
              </w:rPr>
              <w:t>430.266</w:t>
            </w:r>
          </w:p>
        </w:tc>
      </w:tr>
      <w:tr w:rsidR="00F366D2" w:rsidRPr="00F366D2" w:rsidTr="0081386B">
        <w:trPr>
          <w:trHeight w:val="20"/>
        </w:trPr>
        <w:tc>
          <w:tcPr>
            <w:tcW w:w="0" w:type="auto"/>
            <w:vMerge/>
            <w:tcBorders>
              <w:top w:val="nil"/>
              <w:left w:val="single" w:sz="8" w:space="0" w:color="D8D8D8"/>
              <w:bottom w:val="single" w:sz="4" w:space="0" w:color="D8D8D8"/>
              <w:right w:val="single" w:sz="4" w:space="0" w:color="D8D8D8"/>
            </w:tcBorders>
            <w:vAlign w:val="center"/>
            <w:hideMark/>
          </w:tcPr>
          <w:p w:rsidR="00F366D2" w:rsidRPr="00F366D2" w:rsidRDefault="00F366D2" w:rsidP="00582630">
            <w:pPr>
              <w:rPr>
                <w:b/>
                <w:bCs/>
              </w:rPr>
            </w:pPr>
          </w:p>
        </w:tc>
        <w:tc>
          <w:tcPr>
            <w:tcW w:w="0" w:type="auto"/>
            <w:vMerge/>
            <w:tcBorders>
              <w:top w:val="single" w:sz="4" w:space="0" w:color="D8D8D8"/>
              <w:left w:val="single" w:sz="4" w:space="0" w:color="D8D8D8"/>
              <w:bottom w:val="single" w:sz="4" w:space="0" w:color="D8D8D8"/>
              <w:right w:val="single" w:sz="4" w:space="0" w:color="D8D8D8"/>
            </w:tcBorders>
            <w:vAlign w:val="center"/>
            <w:hideMark/>
          </w:tcPr>
          <w:p w:rsidR="00F366D2" w:rsidRPr="00F366D2" w:rsidRDefault="00F366D2" w:rsidP="00582630">
            <w:pPr>
              <w:rPr>
                <w:b/>
                <w:bCs/>
              </w:rPr>
            </w:pPr>
          </w:p>
        </w:tc>
        <w:tc>
          <w:tcPr>
            <w:tcW w:w="0" w:type="auto"/>
            <w:tcBorders>
              <w:top w:val="nil"/>
              <w:left w:val="nil"/>
              <w:bottom w:val="single" w:sz="4" w:space="0" w:color="D8D8D8"/>
              <w:right w:val="single" w:sz="4" w:space="0" w:color="auto"/>
            </w:tcBorders>
            <w:shd w:val="clear" w:color="auto" w:fill="auto"/>
            <w:noWrap/>
            <w:vAlign w:val="bottom"/>
            <w:hideMark/>
          </w:tcPr>
          <w:p w:rsidR="00F366D2" w:rsidRPr="00F366D2" w:rsidRDefault="00F366D2" w:rsidP="00582630">
            <w:r w:rsidRPr="00F366D2">
              <w:t>LP (2,09%)</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247.826</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288.242</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303.785</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332.163</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372.762</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387.227</w:t>
            </w:r>
          </w:p>
        </w:tc>
        <w:tc>
          <w:tcPr>
            <w:tcW w:w="0" w:type="auto"/>
            <w:tcBorders>
              <w:top w:val="nil"/>
              <w:left w:val="single" w:sz="4" w:space="0" w:color="auto"/>
              <w:bottom w:val="single" w:sz="4" w:space="0" w:color="D8D8D8"/>
              <w:right w:val="single" w:sz="8" w:space="0" w:color="D8D8D8"/>
            </w:tcBorders>
            <w:shd w:val="clear" w:color="auto" w:fill="auto"/>
            <w:noWrap/>
            <w:vAlign w:val="center"/>
            <w:hideMark/>
          </w:tcPr>
          <w:p w:rsidR="00F366D2" w:rsidRPr="006D0E1E" w:rsidRDefault="00F366D2" w:rsidP="00582630">
            <w:pPr>
              <w:jc w:val="right"/>
              <w:rPr>
                <w:sz w:val="16"/>
              </w:rPr>
            </w:pPr>
            <w:r w:rsidRPr="006D0E1E">
              <w:rPr>
                <w:sz w:val="16"/>
              </w:rPr>
              <w:t>408.753</w:t>
            </w:r>
          </w:p>
        </w:tc>
      </w:tr>
      <w:tr w:rsidR="00F366D2" w:rsidRPr="00F366D2" w:rsidTr="0081386B">
        <w:trPr>
          <w:trHeight w:val="20"/>
        </w:trPr>
        <w:tc>
          <w:tcPr>
            <w:tcW w:w="0" w:type="auto"/>
            <w:vMerge/>
            <w:tcBorders>
              <w:top w:val="nil"/>
              <w:left w:val="single" w:sz="8" w:space="0" w:color="D8D8D8"/>
              <w:bottom w:val="single" w:sz="4" w:space="0" w:color="D8D8D8"/>
              <w:right w:val="single" w:sz="4" w:space="0" w:color="D8D8D8"/>
            </w:tcBorders>
            <w:vAlign w:val="center"/>
            <w:hideMark/>
          </w:tcPr>
          <w:p w:rsidR="00F366D2" w:rsidRPr="00F366D2" w:rsidRDefault="00F366D2" w:rsidP="00582630">
            <w:pPr>
              <w:rPr>
                <w:b/>
                <w:bCs/>
              </w:rPr>
            </w:pPr>
          </w:p>
        </w:tc>
        <w:tc>
          <w:tcPr>
            <w:tcW w:w="0" w:type="auto"/>
            <w:vMerge/>
            <w:tcBorders>
              <w:top w:val="single" w:sz="4" w:space="0" w:color="D8D8D8"/>
              <w:left w:val="single" w:sz="4" w:space="0" w:color="D8D8D8"/>
              <w:bottom w:val="single" w:sz="4" w:space="0" w:color="D8D8D8"/>
              <w:right w:val="single" w:sz="4" w:space="0" w:color="D8D8D8"/>
            </w:tcBorders>
            <w:vAlign w:val="center"/>
            <w:hideMark/>
          </w:tcPr>
          <w:p w:rsidR="00F366D2" w:rsidRPr="00F366D2" w:rsidRDefault="00F366D2" w:rsidP="00582630">
            <w:pPr>
              <w:rPr>
                <w:b/>
                <w:bCs/>
              </w:rPr>
            </w:pPr>
          </w:p>
        </w:tc>
        <w:tc>
          <w:tcPr>
            <w:tcW w:w="0" w:type="auto"/>
            <w:tcBorders>
              <w:top w:val="nil"/>
              <w:left w:val="nil"/>
              <w:bottom w:val="single" w:sz="4" w:space="0" w:color="D8D8D8"/>
              <w:right w:val="single" w:sz="4" w:space="0" w:color="auto"/>
            </w:tcBorders>
            <w:shd w:val="clear" w:color="auto" w:fill="auto"/>
            <w:noWrap/>
            <w:vAlign w:val="bottom"/>
            <w:hideMark/>
          </w:tcPr>
          <w:p w:rsidR="00F366D2" w:rsidRPr="00F366D2" w:rsidRDefault="00F366D2" w:rsidP="00582630">
            <w:r w:rsidRPr="00F366D2">
              <w:t>LA (1,98%)</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234.782</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273.071</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287.796</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314.681</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353.143</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366.847</w:t>
            </w:r>
          </w:p>
        </w:tc>
        <w:tc>
          <w:tcPr>
            <w:tcW w:w="0" w:type="auto"/>
            <w:tcBorders>
              <w:top w:val="nil"/>
              <w:left w:val="single" w:sz="4" w:space="0" w:color="auto"/>
              <w:bottom w:val="single" w:sz="4" w:space="0" w:color="D8D8D8"/>
              <w:right w:val="single" w:sz="8" w:space="0" w:color="D8D8D8"/>
            </w:tcBorders>
            <w:shd w:val="clear" w:color="auto" w:fill="auto"/>
            <w:noWrap/>
            <w:vAlign w:val="center"/>
            <w:hideMark/>
          </w:tcPr>
          <w:p w:rsidR="00F366D2" w:rsidRPr="006D0E1E" w:rsidRDefault="00F366D2" w:rsidP="00582630">
            <w:pPr>
              <w:jc w:val="right"/>
              <w:rPr>
                <w:sz w:val="16"/>
              </w:rPr>
            </w:pPr>
            <w:r w:rsidRPr="006D0E1E">
              <w:rPr>
                <w:sz w:val="16"/>
              </w:rPr>
              <w:t>387.239</w:t>
            </w:r>
          </w:p>
        </w:tc>
      </w:tr>
      <w:tr w:rsidR="00F366D2" w:rsidRPr="00F366D2" w:rsidTr="0081386B">
        <w:trPr>
          <w:trHeight w:val="20"/>
        </w:trPr>
        <w:tc>
          <w:tcPr>
            <w:tcW w:w="0" w:type="auto"/>
            <w:vMerge/>
            <w:tcBorders>
              <w:top w:val="nil"/>
              <w:left w:val="single" w:sz="8" w:space="0" w:color="D8D8D8"/>
              <w:bottom w:val="single" w:sz="4" w:space="0" w:color="D8D8D8"/>
              <w:right w:val="single" w:sz="4" w:space="0" w:color="D8D8D8"/>
            </w:tcBorders>
            <w:vAlign w:val="center"/>
            <w:hideMark/>
          </w:tcPr>
          <w:p w:rsidR="00F366D2" w:rsidRPr="00F366D2" w:rsidRDefault="00F366D2" w:rsidP="00582630">
            <w:pPr>
              <w:rPr>
                <w:b/>
                <w:bCs/>
              </w:rPr>
            </w:pPr>
          </w:p>
        </w:tc>
        <w:tc>
          <w:tcPr>
            <w:tcW w:w="0" w:type="auto"/>
            <w:vMerge w:val="restart"/>
            <w:tcBorders>
              <w:top w:val="single" w:sz="4" w:space="0" w:color="D8D8D8"/>
              <w:left w:val="single" w:sz="4" w:space="0" w:color="D8D8D8"/>
              <w:bottom w:val="single" w:sz="4" w:space="0" w:color="D8D8D8"/>
              <w:right w:val="single" w:sz="4" w:space="0" w:color="D8D8D8"/>
            </w:tcBorders>
            <w:shd w:val="clear" w:color="auto" w:fill="auto"/>
            <w:noWrap/>
            <w:vAlign w:val="center"/>
            <w:hideMark/>
          </w:tcPr>
          <w:p w:rsidR="00F366D2" w:rsidRPr="00F366D2" w:rsidRDefault="00F366D2" w:rsidP="00582630">
            <w:pPr>
              <w:jc w:val="center"/>
              <w:rPr>
                <w:b/>
                <w:bCs/>
              </w:rPr>
            </w:pPr>
            <w:r w:rsidRPr="00F366D2">
              <w:rPr>
                <w:b/>
                <w:bCs/>
              </w:rPr>
              <w:t>TCE</w:t>
            </w:r>
          </w:p>
        </w:tc>
        <w:tc>
          <w:tcPr>
            <w:tcW w:w="0" w:type="auto"/>
            <w:tcBorders>
              <w:top w:val="nil"/>
              <w:left w:val="nil"/>
              <w:bottom w:val="single" w:sz="4" w:space="0" w:color="D8D8D8"/>
              <w:right w:val="single" w:sz="4" w:space="0" w:color="auto"/>
            </w:tcBorders>
            <w:shd w:val="clear" w:color="auto" w:fill="auto"/>
            <w:noWrap/>
            <w:vAlign w:val="bottom"/>
            <w:hideMark/>
          </w:tcPr>
          <w:p w:rsidR="00F366D2" w:rsidRPr="00F366D2" w:rsidRDefault="00F366D2" w:rsidP="00582630">
            <w:r w:rsidRPr="00F366D2">
              <w:t>DTP (R$)</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87.852</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100.745</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109.918</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118.635</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139.555</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155.333</w:t>
            </w:r>
          </w:p>
        </w:tc>
        <w:tc>
          <w:tcPr>
            <w:tcW w:w="0" w:type="auto"/>
            <w:tcBorders>
              <w:top w:val="nil"/>
              <w:left w:val="single" w:sz="4" w:space="0" w:color="auto"/>
              <w:bottom w:val="single" w:sz="4" w:space="0" w:color="D8D8D8"/>
              <w:right w:val="single" w:sz="8" w:space="0" w:color="D8D8D8"/>
            </w:tcBorders>
            <w:shd w:val="clear" w:color="auto" w:fill="auto"/>
            <w:noWrap/>
            <w:vAlign w:val="center"/>
            <w:hideMark/>
          </w:tcPr>
          <w:p w:rsidR="00F366D2" w:rsidRPr="006D0E1E" w:rsidRDefault="00F366D2" w:rsidP="00582630">
            <w:pPr>
              <w:jc w:val="right"/>
              <w:rPr>
                <w:sz w:val="16"/>
              </w:rPr>
            </w:pPr>
            <w:r w:rsidRPr="006D0E1E">
              <w:rPr>
                <w:sz w:val="16"/>
              </w:rPr>
              <w:t>170.399</w:t>
            </w:r>
          </w:p>
        </w:tc>
      </w:tr>
      <w:tr w:rsidR="00F366D2" w:rsidRPr="00F366D2" w:rsidTr="0081386B">
        <w:trPr>
          <w:trHeight w:val="20"/>
        </w:trPr>
        <w:tc>
          <w:tcPr>
            <w:tcW w:w="0" w:type="auto"/>
            <w:vMerge/>
            <w:tcBorders>
              <w:top w:val="nil"/>
              <w:left w:val="single" w:sz="8" w:space="0" w:color="D8D8D8"/>
              <w:bottom w:val="single" w:sz="4" w:space="0" w:color="D8D8D8"/>
              <w:right w:val="single" w:sz="4" w:space="0" w:color="D8D8D8"/>
            </w:tcBorders>
            <w:vAlign w:val="center"/>
            <w:hideMark/>
          </w:tcPr>
          <w:p w:rsidR="00F366D2" w:rsidRPr="00F366D2" w:rsidRDefault="00F366D2" w:rsidP="00582630">
            <w:pPr>
              <w:rPr>
                <w:b/>
                <w:bCs/>
              </w:rPr>
            </w:pPr>
          </w:p>
        </w:tc>
        <w:tc>
          <w:tcPr>
            <w:tcW w:w="0" w:type="auto"/>
            <w:vMerge/>
            <w:tcBorders>
              <w:top w:val="single" w:sz="4" w:space="0" w:color="D8D8D8"/>
              <w:left w:val="single" w:sz="4" w:space="0" w:color="D8D8D8"/>
              <w:bottom w:val="single" w:sz="4" w:space="0" w:color="D8D8D8"/>
              <w:right w:val="single" w:sz="4" w:space="0" w:color="D8D8D8"/>
            </w:tcBorders>
            <w:vAlign w:val="center"/>
            <w:hideMark/>
          </w:tcPr>
          <w:p w:rsidR="00F366D2" w:rsidRPr="00F366D2" w:rsidRDefault="00F366D2" w:rsidP="00582630">
            <w:pPr>
              <w:rPr>
                <w:b/>
                <w:bCs/>
              </w:rPr>
            </w:pPr>
          </w:p>
        </w:tc>
        <w:tc>
          <w:tcPr>
            <w:tcW w:w="0" w:type="auto"/>
            <w:tcBorders>
              <w:top w:val="nil"/>
              <w:left w:val="nil"/>
              <w:bottom w:val="single" w:sz="4" w:space="0" w:color="D8D8D8"/>
              <w:right w:val="single" w:sz="4" w:space="0" w:color="auto"/>
            </w:tcBorders>
            <w:shd w:val="clear" w:color="auto" w:fill="auto"/>
            <w:noWrap/>
            <w:vAlign w:val="bottom"/>
            <w:hideMark/>
          </w:tcPr>
          <w:p w:rsidR="00F366D2" w:rsidRPr="00F366D2" w:rsidRDefault="00F366D2" w:rsidP="00582630">
            <w:r w:rsidRPr="00F366D2">
              <w:t>DTP (%)</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0,74%</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0,73%</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0,76%</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0,75%</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0,78%</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0,80%</w:t>
            </w:r>
          </w:p>
        </w:tc>
        <w:tc>
          <w:tcPr>
            <w:tcW w:w="0" w:type="auto"/>
            <w:tcBorders>
              <w:top w:val="nil"/>
              <w:left w:val="single" w:sz="4" w:space="0" w:color="auto"/>
              <w:bottom w:val="single" w:sz="4" w:space="0" w:color="D8D8D8"/>
              <w:right w:val="single" w:sz="8" w:space="0" w:color="D8D8D8"/>
            </w:tcBorders>
            <w:shd w:val="clear" w:color="auto" w:fill="auto"/>
            <w:noWrap/>
            <w:vAlign w:val="center"/>
            <w:hideMark/>
          </w:tcPr>
          <w:p w:rsidR="00F366D2" w:rsidRPr="006D0E1E" w:rsidRDefault="00F366D2" w:rsidP="00582630">
            <w:pPr>
              <w:jc w:val="right"/>
              <w:rPr>
                <w:sz w:val="16"/>
              </w:rPr>
            </w:pPr>
            <w:r w:rsidRPr="006D0E1E">
              <w:rPr>
                <w:sz w:val="16"/>
              </w:rPr>
              <w:t>0,83%</w:t>
            </w:r>
          </w:p>
        </w:tc>
      </w:tr>
      <w:tr w:rsidR="00F366D2" w:rsidRPr="00F366D2" w:rsidTr="0081386B">
        <w:trPr>
          <w:trHeight w:val="20"/>
        </w:trPr>
        <w:tc>
          <w:tcPr>
            <w:tcW w:w="0" w:type="auto"/>
            <w:vMerge/>
            <w:tcBorders>
              <w:top w:val="nil"/>
              <w:left w:val="single" w:sz="8" w:space="0" w:color="D8D8D8"/>
              <w:bottom w:val="single" w:sz="4" w:space="0" w:color="D8D8D8"/>
              <w:right w:val="single" w:sz="4" w:space="0" w:color="D8D8D8"/>
            </w:tcBorders>
            <w:vAlign w:val="center"/>
            <w:hideMark/>
          </w:tcPr>
          <w:p w:rsidR="00F366D2" w:rsidRPr="00F366D2" w:rsidRDefault="00F366D2" w:rsidP="00582630">
            <w:pPr>
              <w:rPr>
                <w:b/>
                <w:bCs/>
              </w:rPr>
            </w:pPr>
          </w:p>
        </w:tc>
        <w:tc>
          <w:tcPr>
            <w:tcW w:w="0" w:type="auto"/>
            <w:vMerge/>
            <w:tcBorders>
              <w:top w:val="single" w:sz="4" w:space="0" w:color="D8D8D8"/>
              <w:left w:val="single" w:sz="4" w:space="0" w:color="D8D8D8"/>
              <w:bottom w:val="single" w:sz="4" w:space="0" w:color="D8D8D8"/>
              <w:right w:val="single" w:sz="4" w:space="0" w:color="D8D8D8"/>
            </w:tcBorders>
            <w:vAlign w:val="center"/>
            <w:hideMark/>
          </w:tcPr>
          <w:p w:rsidR="00F366D2" w:rsidRPr="00F366D2" w:rsidRDefault="00F366D2" w:rsidP="00582630">
            <w:pPr>
              <w:rPr>
                <w:b/>
                <w:bCs/>
              </w:rPr>
            </w:pPr>
          </w:p>
        </w:tc>
        <w:tc>
          <w:tcPr>
            <w:tcW w:w="0" w:type="auto"/>
            <w:tcBorders>
              <w:top w:val="nil"/>
              <w:left w:val="nil"/>
              <w:bottom w:val="single" w:sz="4" w:space="0" w:color="D8D8D8"/>
              <w:right w:val="single" w:sz="4" w:space="0" w:color="auto"/>
            </w:tcBorders>
            <w:shd w:val="clear" w:color="auto" w:fill="auto"/>
            <w:noWrap/>
            <w:vAlign w:val="bottom"/>
            <w:hideMark/>
          </w:tcPr>
          <w:p w:rsidR="00F366D2" w:rsidRPr="00F366D2" w:rsidRDefault="00F366D2" w:rsidP="00582630">
            <w:r w:rsidRPr="00F366D2">
              <w:t>LM (0,80%)</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94.861</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110.332</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116.281</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127.144</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142.684</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174.689</w:t>
            </w:r>
          </w:p>
        </w:tc>
        <w:tc>
          <w:tcPr>
            <w:tcW w:w="0" w:type="auto"/>
            <w:tcBorders>
              <w:top w:val="nil"/>
              <w:left w:val="single" w:sz="4" w:space="0" w:color="auto"/>
              <w:bottom w:val="single" w:sz="4" w:space="0" w:color="D8D8D8"/>
              <w:right w:val="single" w:sz="8" w:space="0" w:color="D8D8D8"/>
            </w:tcBorders>
            <w:shd w:val="clear" w:color="auto" w:fill="auto"/>
            <w:noWrap/>
            <w:vAlign w:val="center"/>
            <w:hideMark/>
          </w:tcPr>
          <w:p w:rsidR="00F366D2" w:rsidRPr="006D0E1E" w:rsidRDefault="00F366D2" w:rsidP="00582630">
            <w:pPr>
              <w:jc w:val="right"/>
              <w:rPr>
                <w:sz w:val="16"/>
              </w:rPr>
            </w:pPr>
            <w:r w:rsidRPr="006D0E1E">
              <w:rPr>
                <w:sz w:val="16"/>
              </w:rPr>
              <w:t>184.400</w:t>
            </w:r>
          </w:p>
        </w:tc>
      </w:tr>
      <w:tr w:rsidR="00F366D2" w:rsidRPr="00F366D2" w:rsidTr="0081386B">
        <w:trPr>
          <w:trHeight w:val="20"/>
        </w:trPr>
        <w:tc>
          <w:tcPr>
            <w:tcW w:w="0" w:type="auto"/>
            <w:vMerge/>
            <w:tcBorders>
              <w:top w:val="nil"/>
              <w:left w:val="single" w:sz="8" w:space="0" w:color="D8D8D8"/>
              <w:bottom w:val="single" w:sz="4" w:space="0" w:color="D8D8D8"/>
              <w:right w:val="single" w:sz="4" w:space="0" w:color="D8D8D8"/>
            </w:tcBorders>
            <w:vAlign w:val="center"/>
            <w:hideMark/>
          </w:tcPr>
          <w:p w:rsidR="00F366D2" w:rsidRPr="00F366D2" w:rsidRDefault="00F366D2" w:rsidP="00582630">
            <w:pPr>
              <w:rPr>
                <w:b/>
                <w:bCs/>
              </w:rPr>
            </w:pPr>
          </w:p>
        </w:tc>
        <w:tc>
          <w:tcPr>
            <w:tcW w:w="0" w:type="auto"/>
            <w:vMerge/>
            <w:tcBorders>
              <w:top w:val="single" w:sz="4" w:space="0" w:color="D8D8D8"/>
              <w:left w:val="single" w:sz="4" w:space="0" w:color="D8D8D8"/>
              <w:bottom w:val="single" w:sz="4" w:space="0" w:color="D8D8D8"/>
              <w:right w:val="single" w:sz="4" w:space="0" w:color="D8D8D8"/>
            </w:tcBorders>
            <w:vAlign w:val="center"/>
            <w:hideMark/>
          </w:tcPr>
          <w:p w:rsidR="00F366D2" w:rsidRPr="00F366D2" w:rsidRDefault="00F366D2" w:rsidP="00582630">
            <w:pPr>
              <w:rPr>
                <w:b/>
                <w:bCs/>
              </w:rPr>
            </w:pPr>
          </w:p>
        </w:tc>
        <w:tc>
          <w:tcPr>
            <w:tcW w:w="0" w:type="auto"/>
            <w:tcBorders>
              <w:top w:val="nil"/>
              <w:left w:val="nil"/>
              <w:bottom w:val="single" w:sz="4" w:space="0" w:color="D8D8D8"/>
              <w:right w:val="single" w:sz="4" w:space="0" w:color="auto"/>
            </w:tcBorders>
            <w:shd w:val="clear" w:color="auto" w:fill="auto"/>
            <w:noWrap/>
            <w:vAlign w:val="bottom"/>
            <w:hideMark/>
          </w:tcPr>
          <w:p w:rsidR="00F366D2" w:rsidRPr="00F366D2" w:rsidRDefault="00F366D2" w:rsidP="00582630">
            <w:r w:rsidRPr="00F366D2">
              <w:t>LP (0,76%)</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90.118</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104.815</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110.467</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120.787</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135.550</w:t>
            </w:r>
          </w:p>
        </w:tc>
        <w:tc>
          <w:tcPr>
            <w:tcW w:w="0" w:type="auto"/>
            <w:tcBorders>
              <w:top w:val="nil"/>
              <w:left w:val="single" w:sz="4" w:space="0" w:color="auto"/>
              <w:bottom w:val="single" w:sz="4" w:space="0" w:color="D8D8D8"/>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165.954</w:t>
            </w:r>
          </w:p>
        </w:tc>
        <w:tc>
          <w:tcPr>
            <w:tcW w:w="0" w:type="auto"/>
            <w:tcBorders>
              <w:top w:val="nil"/>
              <w:left w:val="single" w:sz="4" w:space="0" w:color="auto"/>
              <w:bottom w:val="single" w:sz="4" w:space="0" w:color="D8D8D8"/>
              <w:right w:val="single" w:sz="8" w:space="0" w:color="D8D8D8"/>
            </w:tcBorders>
            <w:shd w:val="clear" w:color="auto" w:fill="auto"/>
            <w:noWrap/>
            <w:vAlign w:val="center"/>
            <w:hideMark/>
          </w:tcPr>
          <w:p w:rsidR="00F366D2" w:rsidRPr="006D0E1E" w:rsidRDefault="00F366D2" w:rsidP="00582630">
            <w:pPr>
              <w:jc w:val="right"/>
              <w:rPr>
                <w:sz w:val="16"/>
              </w:rPr>
            </w:pPr>
            <w:r w:rsidRPr="006D0E1E">
              <w:rPr>
                <w:sz w:val="16"/>
              </w:rPr>
              <w:t>175.180</w:t>
            </w:r>
          </w:p>
        </w:tc>
      </w:tr>
      <w:tr w:rsidR="00F366D2" w:rsidRPr="00F366D2" w:rsidTr="0081386B">
        <w:trPr>
          <w:trHeight w:val="20"/>
        </w:trPr>
        <w:tc>
          <w:tcPr>
            <w:tcW w:w="0" w:type="auto"/>
            <w:vMerge/>
            <w:tcBorders>
              <w:top w:val="nil"/>
              <w:left w:val="single" w:sz="8" w:space="0" w:color="D8D8D8"/>
              <w:bottom w:val="single" w:sz="4" w:space="0" w:color="auto"/>
              <w:right w:val="single" w:sz="4" w:space="0" w:color="D8D8D8"/>
            </w:tcBorders>
            <w:vAlign w:val="center"/>
            <w:hideMark/>
          </w:tcPr>
          <w:p w:rsidR="00F366D2" w:rsidRPr="00F366D2" w:rsidRDefault="00F366D2" w:rsidP="00582630">
            <w:pPr>
              <w:rPr>
                <w:b/>
                <w:bCs/>
              </w:rPr>
            </w:pPr>
          </w:p>
        </w:tc>
        <w:tc>
          <w:tcPr>
            <w:tcW w:w="0" w:type="auto"/>
            <w:vMerge/>
            <w:tcBorders>
              <w:top w:val="single" w:sz="4" w:space="0" w:color="D8D8D8"/>
              <w:left w:val="single" w:sz="4" w:space="0" w:color="D8D8D8"/>
              <w:bottom w:val="single" w:sz="4" w:space="0" w:color="auto"/>
              <w:right w:val="single" w:sz="4" w:space="0" w:color="D8D8D8"/>
            </w:tcBorders>
            <w:vAlign w:val="center"/>
            <w:hideMark/>
          </w:tcPr>
          <w:p w:rsidR="00F366D2" w:rsidRPr="00F366D2" w:rsidRDefault="00F366D2" w:rsidP="00582630">
            <w:pPr>
              <w:rPr>
                <w:b/>
                <w:bCs/>
              </w:rPr>
            </w:pPr>
          </w:p>
        </w:tc>
        <w:tc>
          <w:tcPr>
            <w:tcW w:w="0" w:type="auto"/>
            <w:tcBorders>
              <w:top w:val="nil"/>
              <w:left w:val="nil"/>
              <w:bottom w:val="single" w:sz="4" w:space="0" w:color="auto"/>
              <w:right w:val="single" w:sz="4" w:space="0" w:color="auto"/>
            </w:tcBorders>
            <w:shd w:val="clear" w:color="auto" w:fill="auto"/>
            <w:noWrap/>
            <w:vAlign w:val="bottom"/>
            <w:hideMark/>
          </w:tcPr>
          <w:p w:rsidR="00F366D2" w:rsidRPr="00F366D2" w:rsidRDefault="00F366D2" w:rsidP="00582630">
            <w:r w:rsidRPr="00F366D2">
              <w:t>LA (0,72%)</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85.375</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99.299</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104.653</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114.429</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128.416</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366D2" w:rsidRPr="006D0E1E" w:rsidRDefault="00F366D2" w:rsidP="00582630">
            <w:pPr>
              <w:jc w:val="right"/>
              <w:rPr>
                <w:sz w:val="16"/>
              </w:rPr>
            </w:pPr>
            <w:r w:rsidRPr="006D0E1E">
              <w:rPr>
                <w:sz w:val="16"/>
              </w:rPr>
              <w:t>157.220</w:t>
            </w:r>
          </w:p>
        </w:tc>
        <w:tc>
          <w:tcPr>
            <w:tcW w:w="0" w:type="auto"/>
            <w:tcBorders>
              <w:top w:val="nil"/>
              <w:left w:val="single" w:sz="4" w:space="0" w:color="auto"/>
              <w:bottom w:val="single" w:sz="4" w:space="0" w:color="auto"/>
              <w:right w:val="single" w:sz="8" w:space="0" w:color="D8D8D8"/>
            </w:tcBorders>
            <w:shd w:val="clear" w:color="auto" w:fill="auto"/>
            <w:noWrap/>
            <w:vAlign w:val="center"/>
            <w:hideMark/>
          </w:tcPr>
          <w:p w:rsidR="00F366D2" w:rsidRPr="006D0E1E" w:rsidRDefault="00F366D2" w:rsidP="00582630">
            <w:pPr>
              <w:jc w:val="right"/>
              <w:rPr>
                <w:sz w:val="16"/>
              </w:rPr>
            </w:pPr>
            <w:r w:rsidRPr="006D0E1E">
              <w:rPr>
                <w:sz w:val="16"/>
              </w:rPr>
              <w:t>165.960</w:t>
            </w:r>
          </w:p>
        </w:tc>
      </w:tr>
      <w:tr w:rsidR="00F366D2" w:rsidRPr="00F366D2" w:rsidTr="0081386B">
        <w:trPr>
          <w:trHeight w:val="230"/>
        </w:trPr>
        <w:tc>
          <w:tcPr>
            <w:tcW w:w="0" w:type="auto"/>
            <w:gridSpan w:val="10"/>
            <w:vMerge w:val="restart"/>
            <w:tcBorders>
              <w:top w:val="single" w:sz="4" w:space="0" w:color="auto"/>
              <w:left w:val="single" w:sz="8" w:space="0" w:color="D8D8D8"/>
              <w:bottom w:val="single" w:sz="4" w:space="0" w:color="D8D8D8"/>
              <w:right w:val="single" w:sz="8" w:space="0" w:color="D8D8D8"/>
            </w:tcBorders>
            <w:shd w:val="clear" w:color="auto" w:fill="auto"/>
            <w:hideMark/>
          </w:tcPr>
          <w:p w:rsidR="00F366D2" w:rsidRPr="00F366D2" w:rsidRDefault="00F366D2" w:rsidP="00582630">
            <w:r w:rsidRPr="00F366D2">
              <w:t>*Índice adotado em caráter provisório, conforme Ofício no 0501/15/GP, de 20/08/2015, encaminhado ao Presidente do Tribunal de Contas do Estado.</w:t>
            </w:r>
          </w:p>
        </w:tc>
      </w:tr>
      <w:tr w:rsidR="00F366D2" w:rsidRPr="00F366D2" w:rsidTr="006D0E1E">
        <w:trPr>
          <w:trHeight w:val="230"/>
        </w:trPr>
        <w:tc>
          <w:tcPr>
            <w:tcW w:w="0" w:type="auto"/>
            <w:gridSpan w:val="10"/>
            <w:vMerge/>
            <w:tcBorders>
              <w:top w:val="single" w:sz="4" w:space="0" w:color="D8D8D8"/>
              <w:left w:val="single" w:sz="8" w:space="0" w:color="D8D8D8"/>
              <w:bottom w:val="single" w:sz="4" w:space="0" w:color="D8D8D8"/>
              <w:right w:val="single" w:sz="8" w:space="0" w:color="D8D8D8"/>
            </w:tcBorders>
            <w:vAlign w:val="center"/>
            <w:hideMark/>
          </w:tcPr>
          <w:p w:rsidR="00F366D2" w:rsidRPr="00F366D2" w:rsidRDefault="00F366D2" w:rsidP="00582630"/>
        </w:tc>
      </w:tr>
      <w:tr w:rsidR="00F366D2" w:rsidRPr="00F366D2" w:rsidTr="006D0E1E">
        <w:trPr>
          <w:trHeight w:val="230"/>
        </w:trPr>
        <w:tc>
          <w:tcPr>
            <w:tcW w:w="0" w:type="auto"/>
            <w:gridSpan w:val="10"/>
            <w:vMerge w:val="restart"/>
            <w:tcBorders>
              <w:top w:val="single" w:sz="4" w:space="0" w:color="D8D8D8"/>
              <w:left w:val="single" w:sz="8" w:space="0" w:color="D8D8D8"/>
              <w:bottom w:val="single" w:sz="4" w:space="0" w:color="D8D8D8"/>
              <w:right w:val="single" w:sz="8" w:space="0" w:color="D8D8D8"/>
            </w:tcBorders>
            <w:shd w:val="clear" w:color="auto" w:fill="auto"/>
            <w:hideMark/>
          </w:tcPr>
          <w:p w:rsidR="00F366D2" w:rsidRPr="00F366D2" w:rsidRDefault="00F366D2" w:rsidP="00582630">
            <w:r w:rsidRPr="00F366D2">
              <w:t xml:space="preserve">Siglas: PL= Poder Legislativo. AL= Assembleia Legislativa. TCE= Tribunal de Contas do Estado. RCL= Receita Corrente Líquida. DTP= Despesa Total com Pessoal. LM= Limite Máximo. LP= Limite Prudencial. LA= Limite de Alerta. </w:t>
            </w:r>
          </w:p>
        </w:tc>
      </w:tr>
      <w:tr w:rsidR="00F366D2" w:rsidRPr="00F366D2" w:rsidTr="006D0E1E">
        <w:trPr>
          <w:trHeight w:val="230"/>
        </w:trPr>
        <w:tc>
          <w:tcPr>
            <w:tcW w:w="0" w:type="auto"/>
            <w:gridSpan w:val="10"/>
            <w:vMerge/>
            <w:tcBorders>
              <w:top w:val="single" w:sz="4" w:space="0" w:color="D8D8D8"/>
              <w:left w:val="single" w:sz="8" w:space="0" w:color="D8D8D8"/>
              <w:bottom w:val="single" w:sz="4" w:space="0" w:color="D8D8D8"/>
              <w:right w:val="single" w:sz="8" w:space="0" w:color="D8D8D8"/>
            </w:tcBorders>
            <w:vAlign w:val="center"/>
            <w:hideMark/>
          </w:tcPr>
          <w:p w:rsidR="00F366D2" w:rsidRPr="00F366D2" w:rsidRDefault="00F366D2" w:rsidP="00582630"/>
        </w:tc>
      </w:tr>
      <w:tr w:rsidR="00F366D2" w:rsidRPr="00F366D2" w:rsidTr="006D0E1E">
        <w:trPr>
          <w:trHeight w:val="20"/>
        </w:trPr>
        <w:tc>
          <w:tcPr>
            <w:tcW w:w="0" w:type="auto"/>
            <w:gridSpan w:val="10"/>
            <w:tcBorders>
              <w:top w:val="single" w:sz="4" w:space="0" w:color="D8D8D8"/>
              <w:left w:val="single" w:sz="8" w:space="0" w:color="D8D8D8"/>
              <w:bottom w:val="single" w:sz="4" w:space="0" w:color="D8D8D8"/>
              <w:right w:val="single" w:sz="8" w:space="0" w:color="D8D8D8"/>
            </w:tcBorders>
            <w:shd w:val="clear" w:color="auto" w:fill="auto"/>
            <w:hideMark/>
          </w:tcPr>
          <w:p w:rsidR="00F366D2" w:rsidRPr="00F366D2" w:rsidRDefault="00F366D2" w:rsidP="00582630">
            <w:r w:rsidRPr="00F366D2">
              <w:t>Nota: Limites calculados com base na Receita Corrente Líquida do respectivo Estado.</w:t>
            </w:r>
          </w:p>
        </w:tc>
      </w:tr>
      <w:tr w:rsidR="00F366D2" w:rsidRPr="00F366D2" w:rsidTr="006D0E1E">
        <w:trPr>
          <w:trHeight w:val="230"/>
        </w:trPr>
        <w:tc>
          <w:tcPr>
            <w:tcW w:w="0" w:type="auto"/>
            <w:gridSpan w:val="10"/>
            <w:vMerge w:val="restart"/>
            <w:tcBorders>
              <w:top w:val="single" w:sz="4" w:space="0" w:color="D8D8D8"/>
              <w:left w:val="single" w:sz="8" w:space="0" w:color="D8D8D8"/>
              <w:bottom w:val="single" w:sz="8" w:space="0" w:color="D8D8D8"/>
              <w:right w:val="single" w:sz="8" w:space="0" w:color="D8D8D8"/>
            </w:tcBorders>
            <w:shd w:val="clear" w:color="auto" w:fill="auto"/>
            <w:hideMark/>
          </w:tcPr>
          <w:p w:rsidR="00F366D2" w:rsidRPr="00F366D2" w:rsidRDefault="00F366D2" w:rsidP="00582630">
            <w:r w:rsidRPr="00F366D2">
              <w:t xml:space="preserve">Fonte: Elaborado pelos autores com base nos Relatórios de Gestão Fiscal, disponibilizados por cada órgão em seu respectivo portal de transparência. </w:t>
            </w:r>
          </w:p>
        </w:tc>
      </w:tr>
      <w:tr w:rsidR="00F366D2" w:rsidRPr="00F366D2" w:rsidTr="006D0E1E">
        <w:trPr>
          <w:trHeight w:val="276"/>
        </w:trPr>
        <w:tc>
          <w:tcPr>
            <w:tcW w:w="0" w:type="auto"/>
            <w:gridSpan w:val="10"/>
            <w:vMerge/>
            <w:tcBorders>
              <w:top w:val="single" w:sz="4" w:space="0" w:color="D8D8D8"/>
              <w:left w:val="single" w:sz="8" w:space="0" w:color="D8D8D8"/>
              <w:bottom w:val="single" w:sz="8" w:space="0" w:color="D8D8D8"/>
              <w:right w:val="single" w:sz="8" w:space="0" w:color="D8D8D8"/>
            </w:tcBorders>
            <w:vAlign w:val="center"/>
            <w:hideMark/>
          </w:tcPr>
          <w:p w:rsidR="00F366D2" w:rsidRPr="00F366D2" w:rsidRDefault="00F366D2" w:rsidP="00582630">
            <w:pPr>
              <w:rPr>
                <w:color w:val="000000"/>
                <w:sz w:val="24"/>
                <w:szCs w:val="24"/>
              </w:rPr>
            </w:pPr>
          </w:p>
        </w:tc>
      </w:tr>
    </w:tbl>
    <w:p w:rsidR="006D0E1E" w:rsidRDefault="006D0E1E" w:rsidP="00F366D2">
      <w:pPr>
        <w:ind w:firstLine="709"/>
        <w:contextualSpacing/>
        <w:jc w:val="both"/>
        <w:rPr>
          <w:sz w:val="24"/>
          <w:szCs w:val="24"/>
        </w:rPr>
      </w:pPr>
    </w:p>
    <w:p w:rsidR="00F366D2" w:rsidRPr="00F366D2" w:rsidRDefault="00F366D2" w:rsidP="00E074D5">
      <w:pPr>
        <w:ind w:firstLine="709"/>
        <w:contextualSpacing/>
        <w:jc w:val="both"/>
        <w:rPr>
          <w:sz w:val="24"/>
          <w:szCs w:val="24"/>
        </w:rPr>
      </w:pPr>
      <w:r w:rsidRPr="00F366D2">
        <w:rPr>
          <w:sz w:val="24"/>
          <w:szCs w:val="24"/>
        </w:rPr>
        <w:t xml:space="preserve">Em uma análise da tabela </w:t>
      </w:r>
      <w:r w:rsidR="007F1934">
        <w:rPr>
          <w:sz w:val="24"/>
          <w:szCs w:val="24"/>
        </w:rPr>
        <w:t>9</w:t>
      </w:r>
      <w:r w:rsidRPr="00F366D2">
        <w:rPr>
          <w:sz w:val="24"/>
          <w:szCs w:val="24"/>
        </w:rPr>
        <w:t>, percebemos que a assembleia legislativa do Estado de Santa Catarina encontra-se no limite de alerta desde o ano de 2015. Resultado de um ofício encaminhado pelo o governador do Estado à assembleia legislativa determinando que repassasse tal órgão cede-se 0,10% de seu limite de despesa total com pessoal para o tribunal de contas visto que, entre os anos de 2010 e 2014, seu limite de despesa oscilava entre os limites de alerta e o limite prudencial. Tal mudança mudou a gestão de ambos entes visto que, a partir de tal data, a assembleia teria que rever suas políticas de gastos com pessoal pois encontrasse no limite de alerta, enquanto o tribunal de contas pode respirar e administrar melhor seus gastos sem se preocupar com as providências previstas no artigo 23, da Lei Complementar nº 101/2000.As maiores despesas de ambos órgãos ocorreram em 2016 quando a assembleia legislativa desembolsou o montante de R$396.338.044,42 com despesa com pessoal, enquanto o tribunal de contas desembolsou R$170.398.980,47.</w:t>
      </w:r>
    </w:p>
    <w:p w:rsidR="00F366D2" w:rsidRPr="00F366D2" w:rsidRDefault="00F366D2" w:rsidP="00F366D2">
      <w:pPr>
        <w:ind w:firstLine="709"/>
        <w:contextualSpacing/>
        <w:jc w:val="both"/>
        <w:rPr>
          <w:sz w:val="24"/>
          <w:szCs w:val="24"/>
        </w:rPr>
      </w:pPr>
    </w:p>
    <w:p w:rsidR="00815417" w:rsidRDefault="00815417">
      <w:pPr>
        <w:suppressAutoHyphens w:val="0"/>
        <w:rPr>
          <w:b/>
          <w:sz w:val="24"/>
          <w:szCs w:val="24"/>
        </w:rPr>
      </w:pPr>
      <w:r>
        <w:rPr>
          <w:b/>
          <w:sz w:val="24"/>
          <w:szCs w:val="24"/>
        </w:rPr>
        <w:br w:type="page"/>
      </w:r>
    </w:p>
    <w:p w:rsidR="00F366D2" w:rsidRPr="00D456A3" w:rsidRDefault="00D456A3" w:rsidP="00D456A3">
      <w:pPr>
        <w:suppressAutoHyphens w:val="0"/>
        <w:rPr>
          <w:b/>
          <w:sz w:val="24"/>
          <w:szCs w:val="24"/>
        </w:rPr>
      </w:pPr>
      <w:r>
        <w:rPr>
          <w:b/>
          <w:sz w:val="24"/>
          <w:szCs w:val="24"/>
        </w:rPr>
        <w:lastRenderedPageBreak/>
        <w:t xml:space="preserve">5 </w:t>
      </w:r>
      <w:r w:rsidR="00F366D2" w:rsidRPr="00D456A3">
        <w:rPr>
          <w:b/>
          <w:sz w:val="24"/>
          <w:szCs w:val="24"/>
        </w:rPr>
        <w:t>RESULTADOS OBITDOS</w:t>
      </w:r>
    </w:p>
    <w:p w:rsidR="00D456A3" w:rsidRDefault="00D456A3" w:rsidP="00F366D2">
      <w:pPr>
        <w:ind w:firstLine="709"/>
        <w:contextualSpacing/>
        <w:jc w:val="both"/>
        <w:rPr>
          <w:sz w:val="24"/>
          <w:szCs w:val="24"/>
        </w:rPr>
      </w:pPr>
    </w:p>
    <w:p w:rsidR="006D0E1E" w:rsidRDefault="00F366D2" w:rsidP="00F366D2">
      <w:pPr>
        <w:ind w:firstLine="709"/>
        <w:contextualSpacing/>
        <w:jc w:val="both"/>
        <w:rPr>
          <w:sz w:val="24"/>
          <w:szCs w:val="24"/>
        </w:rPr>
      </w:pPr>
      <w:r w:rsidRPr="00F366D2">
        <w:rPr>
          <w:sz w:val="24"/>
          <w:szCs w:val="24"/>
        </w:rPr>
        <w:t xml:space="preserve">O presente trabalho apresentou uma pesquisa no Poder Legislativo dos Estados do Paraná, do Rio Grande do Sul e de Santa Catarina nos anos de 2010 </w:t>
      </w:r>
      <w:r w:rsidR="00582630" w:rsidRPr="00F366D2">
        <w:rPr>
          <w:sz w:val="24"/>
          <w:szCs w:val="24"/>
        </w:rPr>
        <w:t>a</w:t>
      </w:r>
      <w:r w:rsidRPr="00F366D2">
        <w:rPr>
          <w:sz w:val="24"/>
          <w:szCs w:val="24"/>
        </w:rPr>
        <w:t xml:space="preserve"> 2016 sobre gastos com despesa com pessoal, tendo como referência os limites da Lei de Responsabilidade Fiscal, buscando uma análise e discussão sobre os resultados obtidos.</w:t>
      </w:r>
    </w:p>
    <w:p w:rsidR="00F366D2" w:rsidRPr="00F366D2" w:rsidRDefault="00F366D2" w:rsidP="00F366D2">
      <w:pPr>
        <w:ind w:firstLine="709"/>
        <w:contextualSpacing/>
        <w:jc w:val="both"/>
        <w:rPr>
          <w:sz w:val="24"/>
          <w:szCs w:val="24"/>
        </w:rPr>
      </w:pPr>
      <w:r w:rsidRPr="00F366D2">
        <w:rPr>
          <w:sz w:val="24"/>
          <w:szCs w:val="24"/>
        </w:rPr>
        <w:t xml:space="preserve">Em relação à pergunta pesquisa e ao objetivo central, constatou-se que os órgãos que compõem o Poder Legislativo dos Estados do Paraná e do Rio Grande do Sul seguiram o que determina a Lei de Responsabilidade, após análise dos demonstrativos de despesas e receitas de cada órgão, enquanto o Poder Legislativo de Santa Catarina apresentou certa dificuldade. </w:t>
      </w:r>
    </w:p>
    <w:p w:rsidR="00F366D2" w:rsidRPr="00F366D2" w:rsidRDefault="00F366D2" w:rsidP="00F366D2">
      <w:pPr>
        <w:ind w:firstLine="709"/>
        <w:contextualSpacing/>
        <w:jc w:val="both"/>
        <w:rPr>
          <w:sz w:val="24"/>
          <w:szCs w:val="24"/>
        </w:rPr>
      </w:pPr>
      <w:r w:rsidRPr="00F366D2">
        <w:rPr>
          <w:sz w:val="24"/>
          <w:szCs w:val="24"/>
        </w:rPr>
        <w:t>Esta dificuldade é representada pela determinação do governador do Estado, em 2015, de que a assembleia legislativa cede-se 0,10% de seu limite máximo ao tribunal de contas, visto que tal órgão vinha</w:t>
      </w:r>
      <w:r w:rsidR="006D0E1E">
        <w:rPr>
          <w:sz w:val="24"/>
          <w:szCs w:val="24"/>
        </w:rPr>
        <w:t xml:space="preserve"> </w:t>
      </w:r>
      <w:r w:rsidRPr="00F366D2">
        <w:rPr>
          <w:sz w:val="24"/>
          <w:szCs w:val="24"/>
        </w:rPr>
        <w:t xml:space="preserve">ultrapassando </w:t>
      </w:r>
      <w:r w:rsidR="00E074D5" w:rsidRPr="00F366D2">
        <w:rPr>
          <w:sz w:val="24"/>
          <w:szCs w:val="24"/>
        </w:rPr>
        <w:t>os</w:t>
      </w:r>
      <w:r w:rsidRPr="00F366D2">
        <w:rPr>
          <w:sz w:val="24"/>
          <w:szCs w:val="24"/>
        </w:rPr>
        <w:t xml:space="preserve"> limite de alerta, chegando a infringir, no ano anterior, o limite de prudência. Tal determinação fez com que a assembleia legislativa, que mantinha seu percentual de gasto com pessoal abaixo do limite de alerta, adentrasse o limite de alerta, enquanto o tribunal de conta pode respirar.</w:t>
      </w:r>
    </w:p>
    <w:p w:rsidR="00F366D2" w:rsidRPr="00F366D2" w:rsidRDefault="00F366D2" w:rsidP="00F366D2">
      <w:pPr>
        <w:ind w:firstLine="709"/>
        <w:contextualSpacing/>
        <w:jc w:val="both"/>
        <w:rPr>
          <w:sz w:val="24"/>
          <w:szCs w:val="24"/>
        </w:rPr>
      </w:pPr>
      <w:r w:rsidRPr="00F366D2">
        <w:rPr>
          <w:sz w:val="24"/>
          <w:szCs w:val="24"/>
        </w:rPr>
        <w:t xml:space="preserve">Os montantes de despesa com pessoal foram demonstrados </w:t>
      </w:r>
      <w:r w:rsidR="00E074D5" w:rsidRPr="00F366D2">
        <w:rPr>
          <w:sz w:val="24"/>
          <w:szCs w:val="24"/>
        </w:rPr>
        <w:t xml:space="preserve">na tabela </w:t>
      </w:r>
      <w:r w:rsidR="00D456A3">
        <w:rPr>
          <w:sz w:val="24"/>
          <w:szCs w:val="24"/>
        </w:rPr>
        <w:t>7</w:t>
      </w:r>
      <w:r w:rsidRPr="00F366D2">
        <w:rPr>
          <w:sz w:val="24"/>
          <w:szCs w:val="24"/>
        </w:rPr>
        <w:t xml:space="preserve"> referente ao Estado do Paraná, onde</w:t>
      </w:r>
      <w:r w:rsidR="006D0E1E">
        <w:rPr>
          <w:sz w:val="24"/>
          <w:szCs w:val="24"/>
        </w:rPr>
        <w:t xml:space="preserve"> </w:t>
      </w:r>
      <w:r w:rsidRPr="00F366D2">
        <w:rPr>
          <w:sz w:val="24"/>
          <w:szCs w:val="24"/>
        </w:rPr>
        <w:t>a assembleia legislativa apresentou no ano de 2015 seu menor índice de despesa total com pessoal de 0,90% em relação à receita corrente liquida, enquanto no ano de 2010 e 2012 tal despesa representou 1,22%, sendo esta a maior. O tribunal de contas do referido Estado apresentou seu menor índice, também em 2015, aonde chegou a 0,71%, enquanto o ano de 2011 o tribunal chegou a ter um gasto com pessoal de 0,90% da receita.</w:t>
      </w:r>
    </w:p>
    <w:p w:rsidR="00F366D2" w:rsidRPr="00F366D2" w:rsidRDefault="00F366D2" w:rsidP="00F366D2">
      <w:pPr>
        <w:ind w:firstLine="709"/>
        <w:contextualSpacing/>
        <w:jc w:val="both"/>
        <w:rPr>
          <w:sz w:val="24"/>
          <w:szCs w:val="24"/>
        </w:rPr>
      </w:pPr>
      <w:r w:rsidRPr="00F366D2">
        <w:rPr>
          <w:sz w:val="24"/>
          <w:szCs w:val="24"/>
        </w:rPr>
        <w:t xml:space="preserve">Na tabela </w:t>
      </w:r>
      <w:r w:rsidR="00D456A3">
        <w:rPr>
          <w:sz w:val="24"/>
          <w:szCs w:val="24"/>
        </w:rPr>
        <w:t>8</w:t>
      </w:r>
      <w:r w:rsidRPr="00F366D2">
        <w:rPr>
          <w:sz w:val="24"/>
          <w:szCs w:val="24"/>
        </w:rPr>
        <w:t xml:space="preserve"> temos representado os montantes do Estado do Rio Grande do Sul.</w:t>
      </w:r>
      <w:r w:rsidR="006D0E1E">
        <w:rPr>
          <w:sz w:val="24"/>
          <w:szCs w:val="24"/>
        </w:rPr>
        <w:t xml:space="preserve"> </w:t>
      </w:r>
      <w:r w:rsidRPr="00F366D2">
        <w:rPr>
          <w:sz w:val="24"/>
          <w:szCs w:val="24"/>
        </w:rPr>
        <w:t xml:space="preserve">A assembleia legislativa apresentou em 2016 o menor índice de despesa total com pessoal representando 1,02%, enquanto nos anos de 2010 e 2012 o índice chegou a 1,15%, representando, assim, o maior índice durante o período analisado. O tribunal de contas por sua vez apresentou o menor índice, 0,80%, em 2010 e o maior índice, 0,95% em relação a receita liquida, em 2015. </w:t>
      </w:r>
    </w:p>
    <w:p w:rsidR="00F366D2" w:rsidRPr="00F366D2" w:rsidRDefault="00F366D2" w:rsidP="00F366D2">
      <w:pPr>
        <w:ind w:firstLine="709"/>
        <w:contextualSpacing/>
        <w:jc w:val="both"/>
        <w:rPr>
          <w:sz w:val="24"/>
          <w:szCs w:val="24"/>
        </w:rPr>
      </w:pPr>
      <w:r w:rsidRPr="00F366D2">
        <w:rPr>
          <w:sz w:val="24"/>
          <w:szCs w:val="24"/>
        </w:rPr>
        <w:t xml:space="preserve">A tabela </w:t>
      </w:r>
      <w:r w:rsidR="00D456A3">
        <w:rPr>
          <w:sz w:val="24"/>
          <w:szCs w:val="24"/>
        </w:rPr>
        <w:t>9</w:t>
      </w:r>
      <w:r w:rsidRPr="00F366D2">
        <w:rPr>
          <w:sz w:val="24"/>
          <w:szCs w:val="24"/>
        </w:rPr>
        <w:t xml:space="preserve"> demonstrou os dados dos órgãos que compõem o poder legislativo do Estado de Santa Catarina. Tais órgãos apresentaram no mesmo ano, 2011, os menores índices, 1,89% para a assembleia legislativa e 0,73% para o tribunal de contas. Já os maiores índices da despesa total com pessoal praticado pela assembleia legislativa foram apresentados em 2012, 2013 e 2015, num percentual de 1,93%. O tribunal de contas apresentou seu maior percentual em 2016, logo após a mudança do limite, num total de 0,83 da receita liquida.</w:t>
      </w:r>
    </w:p>
    <w:p w:rsidR="00F366D2" w:rsidRPr="00F366D2" w:rsidRDefault="00F366D2" w:rsidP="00F366D2">
      <w:pPr>
        <w:ind w:firstLine="709"/>
        <w:contextualSpacing/>
        <w:jc w:val="both"/>
        <w:rPr>
          <w:sz w:val="24"/>
          <w:szCs w:val="24"/>
        </w:rPr>
      </w:pPr>
      <w:r w:rsidRPr="00F366D2">
        <w:rPr>
          <w:sz w:val="24"/>
          <w:szCs w:val="24"/>
        </w:rPr>
        <w:t>Através dos resultados alcançados espera-se que possa contribuir com a sociedade em geral, em relação a verificação e controle dos gastos com pessoal, e com a comunidade acadêmica no que diz respeito à estudos futuros. Para estes estudos, recomenda-se analise e comparação com o poder legislativo dos Estados que fazem parte da região centro-oeste do Brasil, a qual mais contribui com o PIB brasileiro, conforme levantamento do IBGE, publicado em 2017. Além de sugerir a continuidade de estudos acerca das despesas com pessoal dos demais poderes dos Estados analisados.</w:t>
      </w:r>
    </w:p>
    <w:p w:rsidR="00F366D2" w:rsidRDefault="00F366D2" w:rsidP="007F1934">
      <w:pPr>
        <w:ind w:firstLine="709"/>
        <w:contextualSpacing/>
        <w:jc w:val="both"/>
        <w:rPr>
          <w:b/>
          <w:sz w:val="24"/>
          <w:szCs w:val="24"/>
        </w:rPr>
      </w:pPr>
    </w:p>
    <w:p w:rsidR="00F366D2" w:rsidRPr="00F366D2" w:rsidRDefault="00F366D2" w:rsidP="007F1934">
      <w:pPr>
        <w:contextualSpacing/>
        <w:rPr>
          <w:b/>
          <w:color w:val="FF0000"/>
          <w:sz w:val="24"/>
          <w:szCs w:val="24"/>
        </w:rPr>
      </w:pPr>
      <w:r w:rsidRPr="00F366D2">
        <w:rPr>
          <w:b/>
          <w:sz w:val="24"/>
          <w:szCs w:val="24"/>
        </w:rPr>
        <w:t xml:space="preserve">REFERÊNCIAS </w:t>
      </w:r>
    </w:p>
    <w:p w:rsidR="00D456A3" w:rsidRDefault="00D456A3" w:rsidP="007F1934">
      <w:pPr>
        <w:contextualSpacing/>
        <w:rPr>
          <w:color w:val="000000"/>
          <w:sz w:val="24"/>
          <w:szCs w:val="24"/>
        </w:rPr>
      </w:pPr>
    </w:p>
    <w:p w:rsidR="00C668C4" w:rsidRPr="00A22C54" w:rsidRDefault="00C668C4" w:rsidP="00D456A3">
      <w:pPr>
        <w:contextualSpacing/>
        <w:rPr>
          <w:color w:val="000000"/>
          <w:sz w:val="24"/>
          <w:szCs w:val="24"/>
        </w:rPr>
      </w:pPr>
      <w:r w:rsidRPr="00A22C54">
        <w:rPr>
          <w:color w:val="000000"/>
          <w:sz w:val="24"/>
          <w:szCs w:val="24"/>
        </w:rPr>
        <w:t xml:space="preserve">BRASIL. Constituição (1967). </w:t>
      </w:r>
      <w:r w:rsidRPr="00A22C54">
        <w:rPr>
          <w:b/>
          <w:color w:val="000000"/>
          <w:sz w:val="24"/>
          <w:szCs w:val="24"/>
        </w:rPr>
        <w:t>Constituição da República Federativa do Brasil</w:t>
      </w:r>
      <w:r w:rsidRPr="00A22C54">
        <w:rPr>
          <w:color w:val="000000"/>
          <w:sz w:val="24"/>
          <w:szCs w:val="24"/>
        </w:rPr>
        <w:t xml:space="preserve">: promulgada em 24 de janeiro de 1967. Atualizada até a emenda constitucional n.o 27, de 28 de novembro de 1985. Presidência da República. Casa Civil. Subchefia de Assuntos Jurídicos. </w:t>
      </w:r>
      <w:r w:rsidRPr="00A22C54">
        <w:rPr>
          <w:color w:val="000000"/>
          <w:sz w:val="24"/>
          <w:szCs w:val="24"/>
        </w:rPr>
        <w:lastRenderedPageBreak/>
        <w:t>Disponível em: &lt;http://www.planalto.gov.br/ccivil_03/constituicao/Emendas/Emc_anterior1988/_EMCs_CF1967.htm&gt;. Acesso em: 17 fev. 2018.</w:t>
      </w:r>
    </w:p>
    <w:p w:rsidR="00C668C4" w:rsidRPr="00A22C54" w:rsidRDefault="00C668C4" w:rsidP="00D456A3">
      <w:pPr>
        <w:contextualSpacing/>
        <w:rPr>
          <w:color w:val="000000"/>
          <w:sz w:val="24"/>
          <w:szCs w:val="24"/>
        </w:rPr>
      </w:pPr>
    </w:p>
    <w:p w:rsidR="00C668C4" w:rsidRPr="00A22C54" w:rsidRDefault="00C668C4" w:rsidP="00D456A3">
      <w:pPr>
        <w:contextualSpacing/>
        <w:rPr>
          <w:color w:val="000000"/>
          <w:sz w:val="24"/>
          <w:szCs w:val="24"/>
        </w:rPr>
      </w:pPr>
      <w:r w:rsidRPr="00A22C54">
        <w:rPr>
          <w:color w:val="000000"/>
          <w:sz w:val="24"/>
          <w:szCs w:val="24"/>
        </w:rPr>
        <w:t xml:space="preserve">BRASIL. Constituição (1988). </w:t>
      </w:r>
      <w:r w:rsidRPr="00A22C54">
        <w:rPr>
          <w:b/>
          <w:color w:val="000000"/>
          <w:sz w:val="24"/>
          <w:szCs w:val="24"/>
        </w:rPr>
        <w:t>Constituição da República Federativa do Brasil:</w:t>
      </w:r>
      <w:r w:rsidR="00815417">
        <w:rPr>
          <w:b/>
          <w:color w:val="000000"/>
          <w:sz w:val="24"/>
          <w:szCs w:val="24"/>
        </w:rPr>
        <w:t xml:space="preserve"> </w:t>
      </w:r>
      <w:r w:rsidRPr="00815417">
        <w:rPr>
          <w:color w:val="000000"/>
          <w:sz w:val="24"/>
          <w:szCs w:val="24"/>
        </w:rPr>
        <w:t>promulgada em 5 de outubro de 1988.</w:t>
      </w:r>
      <w:r w:rsidRPr="00A22C54">
        <w:rPr>
          <w:color w:val="000000"/>
          <w:sz w:val="24"/>
          <w:szCs w:val="24"/>
        </w:rPr>
        <w:t xml:space="preserve"> Atualizada até a Emenda Constitucional n.o 76, de 28 de novembro de 2013. Presidência da República. Casa Civil. Subchefia de Assuntos Jurídicos. Disponível em: &lt;http://www.planalto.gov.br/ccivil_03/constituicao/constituicao.htm &gt;. Acesso em: 17 fev. 2018.</w:t>
      </w:r>
    </w:p>
    <w:p w:rsidR="00C668C4" w:rsidRPr="00A22C54" w:rsidRDefault="00C668C4" w:rsidP="00D456A3">
      <w:pPr>
        <w:contextualSpacing/>
        <w:rPr>
          <w:color w:val="000000"/>
          <w:sz w:val="24"/>
          <w:szCs w:val="24"/>
        </w:rPr>
      </w:pPr>
    </w:p>
    <w:p w:rsidR="00C668C4" w:rsidRPr="00A22C54" w:rsidRDefault="00C668C4" w:rsidP="00D456A3">
      <w:pPr>
        <w:contextualSpacing/>
        <w:rPr>
          <w:color w:val="000000"/>
          <w:sz w:val="24"/>
          <w:szCs w:val="24"/>
        </w:rPr>
      </w:pPr>
      <w:r w:rsidRPr="00A22C54">
        <w:rPr>
          <w:color w:val="000000"/>
          <w:sz w:val="24"/>
          <w:szCs w:val="24"/>
        </w:rPr>
        <w:t>BRASIL</w:t>
      </w:r>
      <w:r w:rsidRPr="00815417">
        <w:rPr>
          <w:color w:val="000000"/>
          <w:sz w:val="24"/>
          <w:szCs w:val="24"/>
        </w:rPr>
        <w:t>. Lei Complementar n.o 101, de 4 de maio de 2000</w:t>
      </w:r>
      <w:r w:rsidR="00815417" w:rsidRPr="00815417">
        <w:rPr>
          <w:color w:val="000000"/>
          <w:sz w:val="24"/>
          <w:szCs w:val="24"/>
        </w:rPr>
        <w:t>.</w:t>
      </w:r>
      <w:r w:rsidRPr="00A22C54">
        <w:rPr>
          <w:color w:val="000000"/>
          <w:sz w:val="24"/>
          <w:szCs w:val="24"/>
        </w:rPr>
        <w:t xml:space="preserve"> </w:t>
      </w:r>
      <w:r w:rsidRPr="00815417">
        <w:rPr>
          <w:b/>
          <w:color w:val="000000"/>
          <w:sz w:val="24"/>
          <w:szCs w:val="24"/>
        </w:rPr>
        <w:t>Lei de Responsabilidade Fiscal</w:t>
      </w:r>
      <w:r w:rsidRPr="00A22C54">
        <w:rPr>
          <w:color w:val="000000"/>
          <w:sz w:val="24"/>
          <w:szCs w:val="24"/>
        </w:rPr>
        <w:t>. Estabelece normas de finanças públicas voltadas para a responsabilidade na gestão fiscal e dá outras providências. Disponível em: &lt;http://www.planalto.gov.br/ccivil_03/leis/lcp/lcp101.htm&gt;. Acesso em: 17 fev. 2018.</w:t>
      </w:r>
    </w:p>
    <w:p w:rsidR="00C668C4" w:rsidRPr="00A22C54" w:rsidRDefault="00C668C4" w:rsidP="00D456A3">
      <w:pPr>
        <w:contextualSpacing/>
        <w:rPr>
          <w:color w:val="000000"/>
          <w:sz w:val="24"/>
          <w:szCs w:val="24"/>
        </w:rPr>
      </w:pPr>
    </w:p>
    <w:p w:rsidR="00C668C4" w:rsidRPr="00A22C54" w:rsidRDefault="00C668C4" w:rsidP="00D456A3">
      <w:pPr>
        <w:contextualSpacing/>
        <w:rPr>
          <w:color w:val="000000"/>
          <w:sz w:val="24"/>
          <w:szCs w:val="24"/>
        </w:rPr>
      </w:pPr>
      <w:r w:rsidRPr="00A22C54">
        <w:rPr>
          <w:color w:val="000000"/>
          <w:sz w:val="24"/>
          <w:szCs w:val="24"/>
        </w:rPr>
        <w:t xml:space="preserve">BRASIL. </w:t>
      </w:r>
      <w:r w:rsidRPr="00A22C54">
        <w:rPr>
          <w:b/>
          <w:color w:val="000000"/>
          <w:sz w:val="24"/>
          <w:szCs w:val="24"/>
        </w:rPr>
        <w:t xml:space="preserve">Lei Complementar n.o 82, de 27 de março de 1995. </w:t>
      </w:r>
      <w:r w:rsidRPr="00A22C54">
        <w:rPr>
          <w:color w:val="000000"/>
          <w:sz w:val="24"/>
          <w:szCs w:val="24"/>
        </w:rPr>
        <w:t>Disciplina os limites das despesas com o funcionalismo público, na forma do art. 169 da Constituição Federal. Disponível em: &lt;http://www.planalto.gov.br/ccivil_03/leis/lcp/Lcp82.htm&gt;. Acesso em: 17 fev. 2018.</w:t>
      </w:r>
    </w:p>
    <w:p w:rsidR="00C668C4" w:rsidRPr="00A22C54" w:rsidRDefault="00C668C4" w:rsidP="00D456A3">
      <w:pPr>
        <w:contextualSpacing/>
        <w:rPr>
          <w:color w:val="000000"/>
          <w:sz w:val="24"/>
          <w:szCs w:val="24"/>
        </w:rPr>
      </w:pPr>
    </w:p>
    <w:p w:rsidR="00C668C4" w:rsidRPr="00A22C54" w:rsidRDefault="00C668C4" w:rsidP="00D456A3">
      <w:pPr>
        <w:contextualSpacing/>
        <w:rPr>
          <w:color w:val="000000"/>
          <w:sz w:val="24"/>
          <w:szCs w:val="24"/>
        </w:rPr>
      </w:pPr>
      <w:r w:rsidRPr="00A22C54">
        <w:rPr>
          <w:color w:val="000000"/>
          <w:sz w:val="24"/>
          <w:szCs w:val="24"/>
        </w:rPr>
        <w:t xml:space="preserve">BRASIL. </w:t>
      </w:r>
      <w:r w:rsidRPr="00A22C54">
        <w:rPr>
          <w:b/>
          <w:color w:val="000000"/>
          <w:sz w:val="24"/>
          <w:szCs w:val="24"/>
        </w:rPr>
        <w:t>Lei Complementar nº 96, de 31 de maio de 1999</w:t>
      </w:r>
      <w:r w:rsidRPr="00A22C54">
        <w:rPr>
          <w:color w:val="000000"/>
          <w:sz w:val="24"/>
          <w:szCs w:val="24"/>
        </w:rPr>
        <w:t>. Disciplina os limites das despesas com pessoal, na forma do art. 169 da Constituição. Disponível em: &lt;http://www.planalto.gov.br/ccivil_03/leis/lcp/Lcp96.htm&gt;. Acesso em: 17 fev. 2018.</w:t>
      </w:r>
    </w:p>
    <w:p w:rsidR="00C668C4" w:rsidRPr="00A22C54" w:rsidRDefault="00C668C4" w:rsidP="00D456A3">
      <w:pPr>
        <w:contextualSpacing/>
        <w:rPr>
          <w:color w:val="000000"/>
          <w:sz w:val="24"/>
          <w:szCs w:val="24"/>
        </w:rPr>
      </w:pPr>
    </w:p>
    <w:p w:rsidR="00C668C4" w:rsidRPr="00A22C54" w:rsidRDefault="00C668C4" w:rsidP="00D456A3">
      <w:pPr>
        <w:pBdr>
          <w:top w:val="nil"/>
          <w:left w:val="nil"/>
          <w:bottom w:val="nil"/>
          <w:right w:val="nil"/>
          <w:between w:val="nil"/>
        </w:pBdr>
        <w:contextualSpacing/>
        <w:rPr>
          <w:color w:val="000000"/>
          <w:sz w:val="24"/>
          <w:szCs w:val="24"/>
        </w:rPr>
      </w:pPr>
      <w:r w:rsidRPr="00A22C54">
        <w:rPr>
          <w:sz w:val="24"/>
          <w:szCs w:val="24"/>
        </w:rPr>
        <w:t xml:space="preserve">BRASIL. Ministério da Fazenda. </w:t>
      </w:r>
      <w:r w:rsidRPr="00A22C54">
        <w:rPr>
          <w:b/>
          <w:sz w:val="24"/>
          <w:szCs w:val="24"/>
        </w:rPr>
        <w:t>Manual de demonstrativos fiscais</w:t>
      </w:r>
      <w:r w:rsidRPr="00A22C54">
        <w:rPr>
          <w:sz w:val="24"/>
          <w:szCs w:val="24"/>
        </w:rPr>
        <w:t>: aplicado à União e aos Estados, Distrito Federal e Municípios. 8. ed. Brasília: Secretaria do Tesouro Nacional, Subsecretaria de Contabilidade Pública, Coordenação-Geral de Normas de Contabilidade Aplicadas à Federação, 2017</w:t>
      </w:r>
      <w:r w:rsidR="0078209A">
        <w:rPr>
          <w:sz w:val="24"/>
          <w:szCs w:val="24"/>
        </w:rPr>
        <w:t>a</w:t>
      </w:r>
      <w:r w:rsidRPr="00A22C54">
        <w:rPr>
          <w:sz w:val="24"/>
          <w:szCs w:val="24"/>
        </w:rPr>
        <w:t xml:space="preserve">. </w:t>
      </w:r>
      <w:r w:rsidRPr="00A22C54">
        <w:rPr>
          <w:color w:val="000000"/>
          <w:sz w:val="24"/>
          <w:szCs w:val="24"/>
        </w:rPr>
        <w:t>Disponível em: &lt;https://www.tesouro.fazenda.gov.br/-/mdf&gt;. Acesso em: 03 mar. 2018.</w:t>
      </w:r>
    </w:p>
    <w:p w:rsidR="00C668C4" w:rsidRPr="00A22C54" w:rsidRDefault="00C668C4" w:rsidP="00D456A3">
      <w:pPr>
        <w:pBdr>
          <w:top w:val="nil"/>
          <w:left w:val="nil"/>
          <w:bottom w:val="nil"/>
          <w:right w:val="nil"/>
          <w:between w:val="nil"/>
        </w:pBdr>
        <w:contextualSpacing/>
        <w:rPr>
          <w:color w:val="000000"/>
          <w:sz w:val="24"/>
          <w:szCs w:val="24"/>
        </w:rPr>
      </w:pPr>
    </w:p>
    <w:p w:rsidR="00C668C4" w:rsidRPr="00A22C54" w:rsidRDefault="00C668C4" w:rsidP="00D456A3">
      <w:pPr>
        <w:pBdr>
          <w:top w:val="nil"/>
          <w:left w:val="nil"/>
          <w:bottom w:val="nil"/>
          <w:right w:val="nil"/>
          <w:between w:val="nil"/>
        </w:pBdr>
        <w:contextualSpacing/>
        <w:rPr>
          <w:color w:val="000000"/>
          <w:sz w:val="24"/>
          <w:szCs w:val="24"/>
        </w:rPr>
      </w:pPr>
      <w:r w:rsidRPr="00A22C54">
        <w:rPr>
          <w:color w:val="000000"/>
          <w:sz w:val="24"/>
          <w:szCs w:val="24"/>
        </w:rPr>
        <w:t xml:space="preserve">BRASIL. Ministério do Planejamento, Orçamento e Gestão (MPOG). </w:t>
      </w:r>
      <w:r w:rsidRPr="00A22C54">
        <w:rPr>
          <w:b/>
          <w:color w:val="000000"/>
          <w:sz w:val="24"/>
          <w:szCs w:val="24"/>
        </w:rPr>
        <w:t>Portaria Interministerial STN/SOF nº 163, de 4 de maio de 2001</w:t>
      </w:r>
      <w:r w:rsidRPr="00A22C54">
        <w:rPr>
          <w:color w:val="000000"/>
          <w:sz w:val="24"/>
          <w:szCs w:val="24"/>
        </w:rPr>
        <w:t>. Disponível em: &lt;http://www.planejamento.gov.br/assuntos/orcamento-1/legislacao/legislacao/portaria-interm-163_2001_atualizada_2015_04jul2016_ultima-alteracao-2016-2.docx/view&gt;. Acesso em: 24 fev. 2018.</w:t>
      </w:r>
    </w:p>
    <w:p w:rsidR="00C668C4" w:rsidRPr="00A22C54" w:rsidRDefault="00C668C4" w:rsidP="00D456A3">
      <w:pPr>
        <w:pBdr>
          <w:top w:val="nil"/>
          <w:left w:val="nil"/>
          <w:bottom w:val="nil"/>
          <w:right w:val="nil"/>
          <w:between w:val="nil"/>
        </w:pBdr>
        <w:contextualSpacing/>
        <w:rPr>
          <w:color w:val="000000"/>
          <w:sz w:val="24"/>
          <w:szCs w:val="24"/>
        </w:rPr>
      </w:pPr>
    </w:p>
    <w:p w:rsidR="00C668C4" w:rsidRPr="00A22C54" w:rsidRDefault="00C668C4" w:rsidP="00D456A3">
      <w:pPr>
        <w:pBdr>
          <w:top w:val="nil"/>
          <w:left w:val="nil"/>
          <w:bottom w:val="nil"/>
          <w:right w:val="nil"/>
          <w:between w:val="nil"/>
        </w:pBdr>
        <w:contextualSpacing/>
        <w:rPr>
          <w:color w:val="000000"/>
          <w:sz w:val="24"/>
          <w:szCs w:val="24"/>
        </w:rPr>
      </w:pPr>
      <w:r w:rsidRPr="00A22C54">
        <w:rPr>
          <w:color w:val="000000"/>
          <w:sz w:val="24"/>
          <w:szCs w:val="24"/>
        </w:rPr>
        <w:t xml:space="preserve">BRASIL. Ministério do Planejamento, Orçamento e Gestão (MPOG). </w:t>
      </w:r>
      <w:r w:rsidRPr="00A22C54">
        <w:rPr>
          <w:b/>
          <w:color w:val="000000"/>
          <w:sz w:val="24"/>
          <w:szCs w:val="24"/>
        </w:rPr>
        <w:t>Portaria Conjunta SOF/STN nº 2/201</w:t>
      </w:r>
      <w:r w:rsidR="001F2459">
        <w:rPr>
          <w:b/>
          <w:color w:val="000000"/>
          <w:sz w:val="24"/>
          <w:szCs w:val="24"/>
        </w:rPr>
        <w:t>6</w:t>
      </w:r>
      <w:r w:rsidRPr="00A22C54">
        <w:rPr>
          <w:b/>
          <w:color w:val="000000"/>
          <w:sz w:val="24"/>
          <w:szCs w:val="24"/>
        </w:rPr>
        <w:t>.</w:t>
      </w:r>
      <w:r w:rsidRPr="00A22C54">
        <w:rPr>
          <w:color w:val="000000"/>
          <w:sz w:val="24"/>
          <w:szCs w:val="24"/>
        </w:rPr>
        <w:t xml:space="preserve"> Aprova a Parte I – Procedimentos Contábeis Orçamentários</w:t>
      </w:r>
      <w:r w:rsidR="001F2459">
        <w:rPr>
          <w:color w:val="000000"/>
          <w:sz w:val="24"/>
          <w:szCs w:val="24"/>
        </w:rPr>
        <w:t xml:space="preserve">. In: </w:t>
      </w:r>
      <w:r w:rsidRPr="00A22C54">
        <w:rPr>
          <w:color w:val="000000"/>
          <w:sz w:val="24"/>
          <w:szCs w:val="24"/>
        </w:rPr>
        <w:t xml:space="preserve">Manual de </w:t>
      </w:r>
      <w:r w:rsidR="001F2459">
        <w:rPr>
          <w:color w:val="000000"/>
          <w:sz w:val="24"/>
          <w:szCs w:val="24"/>
        </w:rPr>
        <w:t>c</w:t>
      </w:r>
      <w:r w:rsidRPr="00A22C54">
        <w:rPr>
          <w:color w:val="000000"/>
          <w:sz w:val="24"/>
          <w:szCs w:val="24"/>
        </w:rPr>
        <w:t>ontabilidade</w:t>
      </w:r>
      <w:r w:rsidR="001F2459">
        <w:rPr>
          <w:color w:val="000000"/>
          <w:sz w:val="24"/>
          <w:szCs w:val="24"/>
        </w:rPr>
        <w:t>:</w:t>
      </w:r>
      <w:r w:rsidRPr="00A22C54">
        <w:rPr>
          <w:color w:val="000000"/>
          <w:sz w:val="24"/>
          <w:szCs w:val="24"/>
        </w:rPr>
        <w:t xml:space="preserve"> </w:t>
      </w:r>
      <w:r w:rsidR="001F2459">
        <w:rPr>
          <w:color w:val="000000"/>
          <w:sz w:val="24"/>
          <w:szCs w:val="24"/>
        </w:rPr>
        <w:t>a</w:t>
      </w:r>
      <w:r w:rsidRPr="00A22C54">
        <w:rPr>
          <w:color w:val="000000"/>
          <w:sz w:val="24"/>
          <w:szCs w:val="24"/>
        </w:rPr>
        <w:t xml:space="preserve">plicada ao </w:t>
      </w:r>
      <w:r w:rsidR="001F2459">
        <w:rPr>
          <w:color w:val="000000"/>
          <w:sz w:val="24"/>
          <w:szCs w:val="24"/>
        </w:rPr>
        <w:t>s</w:t>
      </w:r>
      <w:r w:rsidRPr="00A22C54">
        <w:rPr>
          <w:color w:val="000000"/>
          <w:sz w:val="24"/>
          <w:szCs w:val="24"/>
        </w:rPr>
        <w:t xml:space="preserve">etor </w:t>
      </w:r>
      <w:r w:rsidR="001F2459">
        <w:rPr>
          <w:color w:val="000000"/>
          <w:sz w:val="24"/>
          <w:szCs w:val="24"/>
        </w:rPr>
        <w:t>p</w:t>
      </w:r>
      <w:r w:rsidRPr="00A22C54">
        <w:rPr>
          <w:color w:val="000000"/>
          <w:sz w:val="24"/>
          <w:szCs w:val="24"/>
        </w:rPr>
        <w:t>úblico (MCASP)</w:t>
      </w:r>
      <w:r w:rsidR="001F2459">
        <w:rPr>
          <w:color w:val="000000"/>
          <w:sz w:val="24"/>
          <w:szCs w:val="24"/>
        </w:rPr>
        <w:t>: exercício 2017</w:t>
      </w:r>
      <w:r w:rsidR="0078209A">
        <w:rPr>
          <w:color w:val="000000"/>
          <w:sz w:val="24"/>
          <w:szCs w:val="24"/>
        </w:rPr>
        <w:t>b</w:t>
      </w:r>
      <w:r w:rsidR="001F2459">
        <w:rPr>
          <w:color w:val="000000"/>
          <w:sz w:val="24"/>
          <w:szCs w:val="24"/>
        </w:rPr>
        <w:t>. 7. ed. Brasília: Ministério da Fazenda, 2017.</w:t>
      </w:r>
      <w:r w:rsidRPr="00A22C54">
        <w:rPr>
          <w:color w:val="000000"/>
          <w:sz w:val="24"/>
          <w:szCs w:val="24"/>
        </w:rPr>
        <w:t xml:space="preserve"> Disponível em: &lt;https://www.tesouro.fazenda.gov.br/documents/10180/563508/MCASP+7%C2%AA%20edi%C3%A7%C3%A3o+Vers%C3%A3o+Republica%C3%A7%C3%A3o+2017+06+02.pdf/3f79f96f-113e-40cf-bbf3-541b033b92f6 &gt;. Acesso em: 19 fev. 2018.</w:t>
      </w:r>
    </w:p>
    <w:p w:rsidR="00C668C4" w:rsidRPr="00A22C54" w:rsidRDefault="00C668C4" w:rsidP="00D456A3">
      <w:pPr>
        <w:pBdr>
          <w:top w:val="nil"/>
          <w:left w:val="nil"/>
          <w:bottom w:val="nil"/>
          <w:right w:val="nil"/>
          <w:between w:val="nil"/>
        </w:pBdr>
        <w:contextualSpacing/>
        <w:rPr>
          <w:color w:val="000000"/>
          <w:sz w:val="24"/>
          <w:szCs w:val="24"/>
        </w:rPr>
      </w:pPr>
    </w:p>
    <w:p w:rsidR="00C668C4" w:rsidRPr="00A22C54" w:rsidRDefault="00C668C4" w:rsidP="00D456A3">
      <w:pPr>
        <w:pBdr>
          <w:top w:val="nil"/>
          <w:left w:val="nil"/>
          <w:bottom w:val="nil"/>
          <w:right w:val="nil"/>
          <w:between w:val="nil"/>
        </w:pBdr>
        <w:contextualSpacing/>
        <w:rPr>
          <w:color w:val="000000"/>
          <w:sz w:val="24"/>
          <w:szCs w:val="24"/>
        </w:rPr>
      </w:pPr>
      <w:r w:rsidRPr="00A22C54">
        <w:rPr>
          <w:color w:val="000000"/>
          <w:sz w:val="24"/>
          <w:szCs w:val="24"/>
        </w:rPr>
        <w:t xml:space="preserve">CAMPAGNONI, Mariana; PLATT NETO, Orion Augusto. A observância dos limites para Despesas com Pessoal entre Poderes e órgãos da União no período de 2000 a 2013. In: </w:t>
      </w:r>
      <w:r w:rsidRPr="00A22C54">
        <w:rPr>
          <w:color w:val="000000"/>
          <w:sz w:val="24"/>
          <w:szCs w:val="24"/>
        </w:rPr>
        <w:lastRenderedPageBreak/>
        <w:t xml:space="preserve">CONGRESSO UFSC DE CONTROLADORIA E FINANÇAS, 5. 2014. Florianópolis. </w:t>
      </w:r>
      <w:r w:rsidRPr="00A22C54">
        <w:rPr>
          <w:b/>
          <w:color w:val="000000"/>
          <w:sz w:val="24"/>
          <w:szCs w:val="24"/>
        </w:rPr>
        <w:t>Anais...</w:t>
      </w:r>
      <w:r w:rsidRPr="00A22C54">
        <w:rPr>
          <w:color w:val="000000"/>
          <w:sz w:val="24"/>
          <w:szCs w:val="24"/>
        </w:rPr>
        <w:t xml:space="preserve"> Florianópolis, 2014.</w:t>
      </w:r>
    </w:p>
    <w:p w:rsidR="00C668C4" w:rsidRPr="00A22C54" w:rsidRDefault="00C668C4" w:rsidP="00D456A3">
      <w:pPr>
        <w:pBdr>
          <w:top w:val="nil"/>
          <w:left w:val="nil"/>
          <w:bottom w:val="nil"/>
          <w:right w:val="nil"/>
          <w:between w:val="nil"/>
        </w:pBdr>
        <w:contextualSpacing/>
        <w:rPr>
          <w:color w:val="000000"/>
          <w:sz w:val="24"/>
          <w:szCs w:val="24"/>
        </w:rPr>
      </w:pPr>
    </w:p>
    <w:p w:rsidR="00C668C4" w:rsidRPr="00A22C54" w:rsidRDefault="00C668C4" w:rsidP="00D456A3">
      <w:pPr>
        <w:pBdr>
          <w:top w:val="nil"/>
          <w:left w:val="nil"/>
          <w:bottom w:val="nil"/>
          <w:right w:val="nil"/>
          <w:between w:val="nil"/>
        </w:pBdr>
        <w:contextualSpacing/>
        <w:rPr>
          <w:color w:val="000000"/>
          <w:sz w:val="24"/>
          <w:szCs w:val="24"/>
        </w:rPr>
      </w:pPr>
      <w:r w:rsidRPr="00A22C54">
        <w:rPr>
          <w:color w:val="000000"/>
          <w:sz w:val="24"/>
          <w:szCs w:val="24"/>
        </w:rPr>
        <w:t xml:space="preserve">CESCONETTO, Tiago da Costa; FEY, Vladimir Arthur. Controle de gastos com pessoal ante os limites estabelecidos pela lei de responsabilidade fiscal: uma análise do município de Florianópolis/SC. In: ENCONTRO CATARINENSE DE ESTUDANTES DE CIENCIAS CONTÁBEIS, 14., 2017. Florianópolis. </w:t>
      </w:r>
      <w:r w:rsidRPr="00A22C54">
        <w:rPr>
          <w:b/>
          <w:color w:val="000000"/>
          <w:sz w:val="24"/>
          <w:szCs w:val="24"/>
        </w:rPr>
        <w:t>Anais...</w:t>
      </w:r>
      <w:r w:rsidRPr="00A22C54">
        <w:rPr>
          <w:color w:val="000000"/>
          <w:sz w:val="24"/>
          <w:szCs w:val="24"/>
        </w:rPr>
        <w:t xml:space="preserve"> Florianópolis, 2017. </w:t>
      </w:r>
    </w:p>
    <w:p w:rsidR="00C668C4" w:rsidRPr="00A22C54" w:rsidRDefault="00C668C4" w:rsidP="00D456A3">
      <w:pPr>
        <w:pBdr>
          <w:top w:val="nil"/>
          <w:left w:val="nil"/>
          <w:bottom w:val="nil"/>
          <w:right w:val="nil"/>
          <w:between w:val="nil"/>
        </w:pBdr>
        <w:contextualSpacing/>
        <w:rPr>
          <w:color w:val="000000"/>
          <w:sz w:val="24"/>
          <w:szCs w:val="24"/>
        </w:rPr>
      </w:pPr>
    </w:p>
    <w:p w:rsidR="00C668C4" w:rsidRPr="00A22C54" w:rsidRDefault="00C668C4" w:rsidP="00D456A3">
      <w:pPr>
        <w:pBdr>
          <w:top w:val="nil"/>
          <w:left w:val="nil"/>
          <w:bottom w:val="nil"/>
          <w:right w:val="nil"/>
          <w:between w:val="nil"/>
        </w:pBdr>
        <w:contextualSpacing/>
        <w:rPr>
          <w:color w:val="000000"/>
          <w:sz w:val="24"/>
          <w:szCs w:val="24"/>
        </w:rPr>
      </w:pPr>
      <w:r w:rsidRPr="00A22C54">
        <w:rPr>
          <w:color w:val="000000"/>
          <w:sz w:val="24"/>
          <w:szCs w:val="24"/>
        </w:rPr>
        <w:t xml:space="preserve">CLEMENTE, Ademir; DIAS, Hélio de Lara. Capital humano no setor público: análise dos municípios paulistas do Vale do Ribeira. </w:t>
      </w:r>
      <w:r w:rsidRPr="00A22C54">
        <w:rPr>
          <w:b/>
          <w:color w:val="000000"/>
          <w:sz w:val="24"/>
          <w:szCs w:val="24"/>
        </w:rPr>
        <w:t>Revista Universo Contábil</w:t>
      </w:r>
      <w:r w:rsidRPr="00A22C54">
        <w:rPr>
          <w:color w:val="000000"/>
          <w:sz w:val="24"/>
          <w:szCs w:val="24"/>
        </w:rPr>
        <w:t>, v. 9, n. 2, 2013.</w:t>
      </w:r>
    </w:p>
    <w:p w:rsidR="00C668C4" w:rsidRPr="00A22C54" w:rsidRDefault="00C668C4" w:rsidP="00D456A3">
      <w:pPr>
        <w:pBdr>
          <w:top w:val="nil"/>
          <w:left w:val="nil"/>
          <w:bottom w:val="nil"/>
          <w:right w:val="nil"/>
          <w:between w:val="nil"/>
        </w:pBdr>
        <w:contextualSpacing/>
        <w:rPr>
          <w:color w:val="000000"/>
          <w:sz w:val="24"/>
          <w:szCs w:val="24"/>
        </w:rPr>
      </w:pPr>
    </w:p>
    <w:p w:rsidR="00C668C4" w:rsidRPr="00A22C54" w:rsidRDefault="00C668C4" w:rsidP="00D456A3">
      <w:pPr>
        <w:pBdr>
          <w:top w:val="nil"/>
          <w:left w:val="nil"/>
          <w:bottom w:val="nil"/>
          <w:right w:val="nil"/>
          <w:between w:val="nil"/>
        </w:pBdr>
        <w:contextualSpacing/>
        <w:rPr>
          <w:color w:val="000000"/>
          <w:sz w:val="24"/>
          <w:szCs w:val="24"/>
        </w:rPr>
      </w:pPr>
      <w:r w:rsidRPr="00A22C54">
        <w:rPr>
          <w:color w:val="000000"/>
          <w:sz w:val="24"/>
          <w:szCs w:val="24"/>
        </w:rPr>
        <w:t xml:space="preserve">GIL, A. C. </w:t>
      </w:r>
      <w:r w:rsidRPr="00A22C54">
        <w:rPr>
          <w:b/>
          <w:color w:val="000000"/>
          <w:sz w:val="24"/>
          <w:szCs w:val="24"/>
        </w:rPr>
        <w:t>Como elaborar projetos de pesquisa</w:t>
      </w:r>
      <w:r w:rsidRPr="00A22C54">
        <w:rPr>
          <w:color w:val="000000"/>
          <w:sz w:val="24"/>
          <w:szCs w:val="24"/>
        </w:rPr>
        <w:t>. 5. ed. São Paulo: Atlas, 2010.</w:t>
      </w:r>
    </w:p>
    <w:p w:rsidR="00C668C4" w:rsidRPr="00A22C54" w:rsidRDefault="00C668C4" w:rsidP="00D456A3">
      <w:pPr>
        <w:pBdr>
          <w:top w:val="nil"/>
          <w:left w:val="nil"/>
          <w:bottom w:val="nil"/>
          <w:right w:val="nil"/>
          <w:between w:val="nil"/>
        </w:pBdr>
        <w:contextualSpacing/>
        <w:rPr>
          <w:color w:val="000000"/>
          <w:sz w:val="24"/>
          <w:szCs w:val="24"/>
        </w:rPr>
      </w:pPr>
    </w:p>
    <w:p w:rsidR="00C668C4" w:rsidRPr="00A22C54" w:rsidRDefault="00C668C4" w:rsidP="00D456A3">
      <w:pPr>
        <w:pBdr>
          <w:top w:val="nil"/>
          <w:left w:val="nil"/>
          <w:bottom w:val="nil"/>
          <w:right w:val="nil"/>
          <w:between w:val="nil"/>
        </w:pBdr>
        <w:contextualSpacing/>
        <w:rPr>
          <w:sz w:val="24"/>
          <w:szCs w:val="24"/>
        </w:rPr>
      </w:pPr>
      <w:r w:rsidRPr="00A22C54">
        <w:rPr>
          <w:sz w:val="24"/>
          <w:szCs w:val="24"/>
        </w:rPr>
        <w:t xml:space="preserve">INSTITUTO BRASILEIRO DE GEOGRAFIA E ESTATÍSTICA (IBGE). </w:t>
      </w:r>
      <w:r w:rsidRPr="00A22C54">
        <w:rPr>
          <w:b/>
          <w:sz w:val="24"/>
          <w:szCs w:val="24"/>
        </w:rPr>
        <w:t>Produto interno bruto dos municípios</w:t>
      </w:r>
      <w:r w:rsidRPr="00A22C54">
        <w:rPr>
          <w:sz w:val="24"/>
          <w:szCs w:val="24"/>
        </w:rPr>
        <w:t>: 2010-2015. Rio de Janeiro: IBGE, 2017 Disponível em: &lt;https://www.ibge.gov.br/estatisticas-novoportal/economicas/contas-nacionais/9088-produto-interno-bruto-dos-municipios.html?=&amp;t=resultados&gt;. Acesso em: 03 fev. 2018.</w:t>
      </w:r>
    </w:p>
    <w:p w:rsidR="00C668C4" w:rsidRPr="00A22C54" w:rsidRDefault="00C668C4" w:rsidP="00D456A3">
      <w:pPr>
        <w:pBdr>
          <w:top w:val="nil"/>
          <w:left w:val="nil"/>
          <w:bottom w:val="nil"/>
          <w:right w:val="nil"/>
          <w:between w:val="nil"/>
        </w:pBdr>
        <w:contextualSpacing/>
        <w:rPr>
          <w:sz w:val="24"/>
          <w:szCs w:val="24"/>
        </w:rPr>
      </w:pPr>
    </w:p>
    <w:p w:rsidR="00C668C4" w:rsidRPr="00A22C54" w:rsidRDefault="00151B99" w:rsidP="00D456A3">
      <w:pPr>
        <w:pBdr>
          <w:top w:val="nil"/>
          <w:left w:val="nil"/>
          <w:bottom w:val="nil"/>
          <w:right w:val="nil"/>
          <w:between w:val="nil"/>
        </w:pBdr>
        <w:contextualSpacing/>
        <w:rPr>
          <w:color w:val="222222"/>
          <w:sz w:val="24"/>
          <w:szCs w:val="24"/>
          <w:highlight w:val="white"/>
        </w:rPr>
      </w:pPr>
      <w:r>
        <w:rPr>
          <w:color w:val="222222"/>
          <w:sz w:val="24"/>
          <w:szCs w:val="24"/>
          <w:highlight w:val="white"/>
        </w:rPr>
        <w:t xml:space="preserve">MACHADO </w:t>
      </w:r>
      <w:r w:rsidR="00C668C4" w:rsidRPr="00A22C54">
        <w:rPr>
          <w:color w:val="222222"/>
          <w:sz w:val="24"/>
          <w:szCs w:val="24"/>
          <w:highlight w:val="white"/>
        </w:rPr>
        <w:t xml:space="preserve">JÚNIOR, José Teixeira; REIS, Heraldo da Costa. </w:t>
      </w:r>
      <w:r w:rsidR="00C668C4" w:rsidRPr="00A22C54">
        <w:rPr>
          <w:b/>
          <w:color w:val="222222"/>
          <w:sz w:val="24"/>
          <w:szCs w:val="24"/>
          <w:highlight w:val="white"/>
        </w:rPr>
        <w:t>A Lei 4.320 comentada</w:t>
      </w:r>
      <w:r w:rsidR="00C668C4" w:rsidRPr="00A22C54">
        <w:rPr>
          <w:color w:val="222222"/>
          <w:sz w:val="24"/>
          <w:szCs w:val="24"/>
          <w:highlight w:val="white"/>
        </w:rPr>
        <w:t>. Rio de Janeiro: Ibam, 2002.</w:t>
      </w:r>
    </w:p>
    <w:p w:rsidR="00C668C4" w:rsidRPr="00A22C54" w:rsidRDefault="00C668C4" w:rsidP="00D456A3">
      <w:pPr>
        <w:pBdr>
          <w:top w:val="nil"/>
          <w:left w:val="nil"/>
          <w:bottom w:val="nil"/>
          <w:right w:val="nil"/>
          <w:between w:val="nil"/>
        </w:pBdr>
        <w:contextualSpacing/>
        <w:rPr>
          <w:color w:val="222222"/>
          <w:sz w:val="24"/>
          <w:szCs w:val="24"/>
          <w:highlight w:val="white"/>
        </w:rPr>
      </w:pPr>
    </w:p>
    <w:p w:rsidR="00C668C4" w:rsidRPr="00A22C54" w:rsidRDefault="00C668C4" w:rsidP="00D456A3">
      <w:pPr>
        <w:pBdr>
          <w:top w:val="nil"/>
          <w:left w:val="nil"/>
          <w:bottom w:val="nil"/>
          <w:right w:val="nil"/>
          <w:between w:val="nil"/>
        </w:pBdr>
        <w:contextualSpacing/>
        <w:rPr>
          <w:color w:val="000000"/>
          <w:sz w:val="24"/>
          <w:szCs w:val="24"/>
        </w:rPr>
      </w:pPr>
      <w:r w:rsidRPr="00A22C54">
        <w:rPr>
          <w:color w:val="000000"/>
          <w:sz w:val="24"/>
          <w:szCs w:val="24"/>
        </w:rPr>
        <w:t xml:space="preserve">KOHAMA, Heilio. </w:t>
      </w:r>
      <w:r w:rsidRPr="00A22C54">
        <w:rPr>
          <w:b/>
          <w:color w:val="000000"/>
          <w:sz w:val="24"/>
          <w:szCs w:val="24"/>
        </w:rPr>
        <w:t>Contabilidade pública</w:t>
      </w:r>
      <w:r w:rsidRPr="00A22C54">
        <w:rPr>
          <w:color w:val="000000"/>
          <w:sz w:val="24"/>
          <w:szCs w:val="24"/>
        </w:rPr>
        <w:t>: teoria e prática. 11. ed. São Paulo: Atlas, 2010.</w:t>
      </w:r>
    </w:p>
    <w:p w:rsidR="00C668C4" w:rsidRPr="00A22C54" w:rsidRDefault="00C668C4" w:rsidP="00D456A3">
      <w:pPr>
        <w:pBdr>
          <w:top w:val="nil"/>
          <w:left w:val="nil"/>
          <w:bottom w:val="nil"/>
          <w:right w:val="nil"/>
          <w:between w:val="nil"/>
        </w:pBdr>
        <w:contextualSpacing/>
        <w:rPr>
          <w:color w:val="000000"/>
          <w:sz w:val="24"/>
          <w:szCs w:val="24"/>
        </w:rPr>
      </w:pPr>
    </w:p>
    <w:p w:rsidR="00C668C4" w:rsidRPr="00A22C54" w:rsidRDefault="00C668C4" w:rsidP="00D456A3">
      <w:pPr>
        <w:pBdr>
          <w:top w:val="nil"/>
          <w:left w:val="nil"/>
          <w:bottom w:val="nil"/>
          <w:right w:val="nil"/>
          <w:between w:val="nil"/>
        </w:pBdr>
        <w:contextualSpacing/>
        <w:rPr>
          <w:color w:val="000000"/>
          <w:sz w:val="24"/>
          <w:szCs w:val="24"/>
        </w:rPr>
      </w:pPr>
      <w:r w:rsidRPr="00A22C54">
        <w:rPr>
          <w:color w:val="000000"/>
          <w:sz w:val="24"/>
          <w:szCs w:val="24"/>
        </w:rPr>
        <w:t xml:space="preserve">PIRES, Adrielle Lúcia; PLATT NETO, Orion Augusto. </w:t>
      </w:r>
      <w:r w:rsidRPr="00A22C54">
        <w:rPr>
          <w:b/>
          <w:color w:val="000000"/>
          <w:sz w:val="24"/>
          <w:szCs w:val="24"/>
        </w:rPr>
        <w:t>Observância dos limites para a despesa com pessoal do Estado de Mato Grosso do Sul entre os Anos de 2000 a 2014</w:t>
      </w:r>
      <w:r w:rsidRPr="00A22C54">
        <w:rPr>
          <w:color w:val="000000"/>
          <w:sz w:val="24"/>
          <w:szCs w:val="24"/>
        </w:rPr>
        <w:t>. 2016. 16 f. Monografia (Graduação em Ciências Contábeis)-Universidade Federal de Santa Catarina, 2016.</w:t>
      </w:r>
    </w:p>
    <w:p w:rsidR="00C668C4" w:rsidRPr="00A22C54" w:rsidRDefault="00C668C4" w:rsidP="00D456A3">
      <w:pPr>
        <w:pBdr>
          <w:top w:val="nil"/>
          <w:left w:val="nil"/>
          <w:bottom w:val="nil"/>
          <w:right w:val="nil"/>
          <w:between w:val="nil"/>
        </w:pBdr>
        <w:contextualSpacing/>
        <w:rPr>
          <w:color w:val="000000"/>
          <w:sz w:val="24"/>
          <w:szCs w:val="24"/>
        </w:rPr>
      </w:pPr>
    </w:p>
    <w:p w:rsidR="00C668C4" w:rsidRPr="00A22C54" w:rsidRDefault="00C668C4" w:rsidP="00D456A3">
      <w:pPr>
        <w:pBdr>
          <w:top w:val="nil"/>
          <w:left w:val="nil"/>
          <w:bottom w:val="nil"/>
          <w:right w:val="nil"/>
          <w:between w:val="nil"/>
        </w:pBdr>
        <w:contextualSpacing/>
        <w:rPr>
          <w:color w:val="000000"/>
          <w:sz w:val="24"/>
          <w:szCs w:val="24"/>
        </w:rPr>
      </w:pPr>
      <w:r w:rsidRPr="00A22C54">
        <w:rPr>
          <w:color w:val="000000"/>
          <w:sz w:val="24"/>
          <w:szCs w:val="24"/>
        </w:rPr>
        <w:t xml:space="preserve">RAUPP, F. M.; BEUREN, I. M. Metodologia da pesquisa aplicável às ciências sociais. In: BEUREN, I. M. (Org.). </w:t>
      </w:r>
      <w:r w:rsidRPr="00A22C54">
        <w:rPr>
          <w:b/>
          <w:color w:val="000000"/>
          <w:sz w:val="24"/>
          <w:szCs w:val="24"/>
        </w:rPr>
        <w:t>Como elaborar trabalhos monográficos em contabilidade</w:t>
      </w:r>
      <w:r w:rsidRPr="00A22C54">
        <w:rPr>
          <w:color w:val="000000"/>
          <w:sz w:val="24"/>
          <w:szCs w:val="24"/>
        </w:rPr>
        <w:t>: teoria e prática. São Paulo: Atlas, 2012.</w:t>
      </w:r>
    </w:p>
    <w:p w:rsidR="00C668C4" w:rsidRPr="00A22C54" w:rsidRDefault="00C668C4" w:rsidP="00D456A3">
      <w:pPr>
        <w:pBdr>
          <w:top w:val="nil"/>
          <w:left w:val="nil"/>
          <w:bottom w:val="nil"/>
          <w:right w:val="nil"/>
          <w:between w:val="nil"/>
        </w:pBdr>
        <w:contextualSpacing/>
        <w:rPr>
          <w:color w:val="000000"/>
          <w:sz w:val="24"/>
          <w:szCs w:val="24"/>
        </w:rPr>
      </w:pPr>
    </w:p>
    <w:p w:rsidR="00C668C4" w:rsidRPr="00A22C54" w:rsidRDefault="00C668C4" w:rsidP="00D456A3">
      <w:pPr>
        <w:pBdr>
          <w:top w:val="nil"/>
          <w:left w:val="nil"/>
          <w:bottom w:val="nil"/>
          <w:right w:val="nil"/>
          <w:between w:val="nil"/>
        </w:pBdr>
        <w:contextualSpacing/>
        <w:rPr>
          <w:color w:val="000000"/>
          <w:sz w:val="24"/>
          <w:szCs w:val="24"/>
        </w:rPr>
      </w:pPr>
      <w:r w:rsidRPr="00A22C54">
        <w:rPr>
          <w:color w:val="000000"/>
          <w:sz w:val="24"/>
          <w:szCs w:val="24"/>
        </w:rPr>
        <w:t xml:space="preserve">SANTOS, Thamiris Raposo Silva Litran dos; SELL, Isair. A despesa pública com pessoal e os limites da lei de responsabilidade fiscal: uma pesquisa documental dos municípios de Florianópolis, Palhoça e São José. </w:t>
      </w:r>
      <w:r w:rsidRPr="00A22C54">
        <w:rPr>
          <w:b/>
          <w:color w:val="000000"/>
          <w:sz w:val="24"/>
          <w:szCs w:val="24"/>
        </w:rPr>
        <w:t>Revista EDUICEP</w:t>
      </w:r>
      <w:r w:rsidRPr="00A22C54">
        <w:rPr>
          <w:color w:val="000000"/>
          <w:sz w:val="24"/>
          <w:szCs w:val="24"/>
        </w:rPr>
        <w:t>, v. 1, n. 1, 2016.</w:t>
      </w:r>
    </w:p>
    <w:p w:rsidR="00C668C4" w:rsidRPr="00A22C54" w:rsidRDefault="00C668C4" w:rsidP="00D456A3">
      <w:pPr>
        <w:pBdr>
          <w:top w:val="nil"/>
          <w:left w:val="nil"/>
          <w:bottom w:val="nil"/>
          <w:right w:val="nil"/>
          <w:between w:val="nil"/>
        </w:pBdr>
        <w:contextualSpacing/>
        <w:rPr>
          <w:color w:val="000000"/>
          <w:sz w:val="24"/>
          <w:szCs w:val="24"/>
        </w:rPr>
      </w:pPr>
    </w:p>
    <w:p w:rsidR="00C668C4" w:rsidRPr="00A22C54" w:rsidRDefault="00C668C4" w:rsidP="00D456A3">
      <w:pPr>
        <w:pBdr>
          <w:top w:val="nil"/>
          <w:left w:val="nil"/>
          <w:bottom w:val="nil"/>
          <w:right w:val="nil"/>
          <w:between w:val="nil"/>
        </w:pBdr>
        <w:contextualSpacing/>
        <w:rPr>
          <w:color w:val="000000"/>
          <w:sz w:val="24"/>
          <w:szCs w:val="24"/>
        </w:rPr>
      </w:pPr>
      <w:r w:rsidRPr="00A22C54">
        <w:rPr>
          <w:color w:val="000000"/>
          <w:sz w:val="24"/>
          <w:szCs w:val="24"/>
        </w:rPr>
        <w:t xml:space="preserve">SOUZA, Paula de; PLATT NETO, Orion Augusto. A composição e a evolução das despesas com pessoal no Estado de Santa Catarina de 2000 a 2011. </w:t>
      </w:r>
      <w:r w:rsidRPr="00A22C54">
        <w:rPr>
          <w:b/>
          <w:color w:val="000000"/>
          <w:sz w:val="24"/>
          <w:szCs w:val="24"/>
        </w:rPr>
        <w:t>Revista Catarinense da Ciência Contábil</w:t>
      </w:r>
      <w:r w:rsidRPr="00A22C54">
        <w:rPr>
          <w:color w:val="000000"/>
          <w:sz w:val="24"/>
          <w:szCs w:val="24"/>
        </w:rPr>
        <w:t>, v. 11, n. 33, 2012.</w:t>
      </w:r>
    </w:p>
    <w:sectPr w:rsidR="00C668C4" w:rsidRPr="00A22C54" w:rsidSect="005B4708">
      <w:headerReference w:type="default" r:id="rId12"/>
      <w:footerReference w:type="default" r:id="rId13"/>
      <w:type w:val="continuous"/>
      <w:pgSz w:w="11900" w:h="16840"/>
      <w:pgMar w:top="1701" w:right="1134" w:bottom="1134" w:left="1701" w:header="142"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C0C" w:rsidRDefault="00C77C0C" w:rsidP="008A5824">
      <w:r>
        <w:separator/>
      </w:r>
    </w:p>
  </w:endnote>
  <w:endnote w:type="continuationSeparator" w:id="0">
    <w:p w:rsidR="00C77C0C" w:rsidRDefault="00C77C0C"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21343767"/>
      <w:docPartObj>
        <w:docPartGallery w:val="Page Numbers (Bottom of Page)"/>
        <w:docPartUnique/>
      </w:docPartObj>
    </w:sdtPr>
    <w:sdtEndPr/>
    <w:sdtContent>
      <w:p w:rsidR="00284238" w:rsidRPr="00C04F45" w:rsidRDefault="00284238" w:rsidP="00F60369">
        <w:pPr>
          <w:pStyle w:val="Rodap"/>
          <w:jc w:val="center"/>
          <w:rPr>
            <w:rFonts w:ascii="Times New Roman" w:hAnsi="Times New Roman" w:cs="Times New Roman"/>
          </w:rPr>
        </w:pPr>
        <w:r>
          <w:rPr>
            <w:noProof/>
            <w:lang w:eastAsia="pt-BR"/>
          </w:rPr>
          <w:drawing>
            <wp:inline distT="0" distB="0" distL="0" distR="0">
              <wp:extent cx="3898900" cy="972820"/>
              <wp:effectExtent l="19050" t="0" r="6350" b="0"/>
              <wp:docPr id="4"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srcRect/>
                      <a:stretch>
                        <a:fillRect/>
                      </a:stretch>
                    </pic:blipFill>
                    <pic:spPr bwMode="auto">
                      <a:xfrm>
                        <a:off x="0" y="0"/>
                        <a:ext cx="3898900" cy="972820"/>
                      </a:xfrm>
                      <a:prstGeom prst="rect">
                        <a:avLst/>
                      </a:prstGeom>
                      <a:noFill/>
                      <a:ln w="9525">
                        <a:noFill/>
                        <a:miter lim="800000"/>
                        <a:headEnd/>
                        <a:tailEnd/>
                      </a:ln>
                    </pic:spPr>
                  </pic:pic>
                </a:graphicData>
              </a:graphic>
            </wp:inline>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1846F5">
          <w:rPr>
            <w:rFonts w:ascii="Times New Roman" w:hAnsi="Times New Roman" w:cs="Times New Roman"/>
            <w:noProof/>
          </w:rPr>
          <w:t>1</w:t>
        </w:r>
        <w:r w:rsidRPr="00C04F45">
          <w:rPr>
            <w:rFonts w:ascii="Times New Roman" w:hAnsi="Times New Roman" w:cs="Times New Roman"/>
          </w:rPr>
          <w:fldChar w:fldCharType="end"/>
        </w:r>
      </w:p>
    </w:sdtContent>
  </w:sdt>
  <w:p w:rsidR="00284238" w:rsidRPr="00C04F45" w:rsidRDefault="00284238" w:rsidP="005B4708">
    <w:pPr>
      <w:pStyle w:val="Rodap"/>
      <w:widowControl w:val="0"/>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C0C" w:rsidRDefault="00C77C0C" w:rsidP="008A5824">
      <w:r>
        <w:separator/>
      </w:r>
    </w:p>
  </w:footnote>
  <w:footnote w:type="continuationSeparator" w:id="0">
    <w:p w:rsidR="00C77C0C" w:rsidRDefault="00C77C0C"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238" w:rsidRPr="00E361F4" w:rsidRDefault="00284238" w:rsidP="00F60369">
    <w:pPr>
      <w:pStyle w:val="Cabealho"/>
      <w:jc w:val="center"/>
    </w:pPr>
    <w:r w:rsidRPr="005B4708">
      <w:rPr>
        <w:noProof/>
        <w:lang w:eastAsia="pt-BR"/>
      </w:rPr>
      <w:drawing>
        <wp:inline distT="0" distB="0" distL="0" distR="0">
          <wp:extent cx="4381500" cy="1111250"/>
          <wp:effectExtent l="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20996" t="14440" r="21957" b="50926"/>
                  <a:stretch>
                    <a:fillRect/>
                  </a:stretch>
                </pic:blipFill>
                <pic:spPr bwMode="auto">
                  <a:xfrm>
                    <a:off x="0" y="0"/>
                    <a:ext cx="4381957" cy="1111366"/>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86B9A"/>
    <w:multiLevelType w:val="hybridMultilevel"/>
    <w:tmpl w:val="6512E9B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39048D0"/>
    <w:multiLevelType w:val="multilevel"/>
    <w:tmpl w:val="1F80BE74"/>
    <w:lvl w:ilvl="0">
      <w:start w:val="2"/>
      <w:numFmt w:val="decimal"/>
      <w:lvlText w:val="%1."/>
      <w:lvlJc w:val="left"/>
      <w:pPr>
        <w:ind w:left="390" w:hanging="39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5CF7970"/>
    <w:multiLevelType w:val="multilevel"/>
    <w:tmpl w:val="2FF050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CD76BA"/>
    <w:multiLevelType w:val="multilevel"/>
    <w:tmpl w:val="716A7B6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D4225D"/>
    <w:multiLevelType w:val="hybridMultilevel"/>
    <w:tmpl w:val="E30E3CF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 w15:restartNumberingAfterBreak="0">
    <w:nsid w:val="1A457358"/>
    <w:multiLevelType w:val="multilevel"/>
    <w:tmpl w:val="A91ABF0C"/>
    <w:lvl w:ilvl="0">
      <w:start w:val="1"/>
      <w:numFmt w:val="decimal"/>
      <w:lvlText w:val="%1"/>
      <w:lvlJc w:val="left"/>
      <w:pPr>
        <w:ind w:left="360" w:hanging="360"/>
      </w:pPr>
      <w:rPr>
        <w:color w:val="000000"/>
      </w:rPr>
    </w:lvl>
    <w:lvl w:ilvl="1">
      <w:start w:val="1"/>
      <w:numFmt w:val="decimal"/>
      <w:lvlText w:val="%1.%2"/>
      <w:lvlJc w:val="left"/>
      <w:pPr>
        <w:ind w:left="1080" w:hanging="360"/>
      </w:pPr>
    </w:lvl>
    <w:lvl w:ilvl="2">
      <w:start w:val="1"/>
      <w:numFmt w:val="decimal"/>
      <w:lvlText w:val="%1.%2.%3"/>
      <w:lvlJc w:val="left"/>
      <w:pPr>
        <w:ind w:left="1800" w:hanging="360"/>
      </w:pPr>
    </w:lvl>
    <w:lvl w:ilvl="3">
      <w:start w:val="1"/>
      <w:numFmt w:val="decimal"/>
      <w:lvlText w:val="%1.%2.%3.%4"/>
      <w:lvlJc w:val="left"/>
      <w:pPr>
        <w:ind w:left="2880" w:hanging="720"/>
      </w:pPr>
    </w:lvl>
    <w:lvl w:ilvl="4">
      <w:start w:val="1"/>
      <w:numFmt w:val="decimal"/>
      <w:lvlText w:val="%1.%2.%3.%4.%5"/>
      <w:lvlJc w:val="left"/>
      <w:pPr>
        <w:ind w:left="3600" w:hanging="720"/>
      </w:pPr>
    </w:lvl>
    <w:lvl w:ilvl="5">
      <w:start w:val="1"/>
      <w:numFmt w:val="decimal"/>
      <w:lvlText w:val="%1.%2.%3.%4.%5.%6"/>
      <w:lvlJc w:val="left"/>
      <w:pPr>
        <w:ind w:left="4680" w:hanging="1080"/>
      </w:pPr>
    </w:lvl>
    <w:lvl w:ilvl="6">
      <w:start w:val="1"/>
      <w:numFmt w:val="decimal"/>
      <w:lvlText w:val="%1.%2.%3.%4.%5.%6.%7"/>
      <w:lvlJc w:val="left"/>
      <w:pPr>
        <w:ind w:left="5400" w:hanging="1080"/>
      </w:pPr>
    </w:lvl>
    <w:lvl w:ilvl="7">
      <w:start w:val="1"/>
      <w:numFmt w:val="decimal"/>
      <w:lvlText w:val="%1.%2.%3.%4.%5.%6.%7.%8"/>
      <w:lvlJc w:val="left"/>
      <w:pPr>
        <w:ind w:left="6120" w:hanging="1080"/>
      </w:pPr>
    </w:lvl>
    <w:lvl w:ilvl="8">
      <w:start w:val="1"/>
      <w:numFmt w:val="decimal"/>
      <w:lvlText w:val="%1.%2.%3.%4.%5.%6.%7.%8.%9"/>
      <w:lvlJc w:val="left"/>
      <w:pPr>
        <w:ind w:left="7200" w:hanging="1440"/>
      </w:pPr>
    </w:lvl>
  </w:abstractNum>
  <w:abstractNum w:abstractNumId="6" w15:restartNumberingAfterBreak="0">
    <w:nsid w:val="1B316A01"/>
    <w:multiLevelType w:val="hybridMultilevel"/>
    <w:tmpl w:val="CEF29B8C"/>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7"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FF5101"/>
    <w:multiLevelType w:val="multilevel"/>
    <w:tmpl w:val="123A866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7C30FD"/>
    <w:multiLevelType w:val="multilevel"/>
    <w:tmpl w:val="D06EAAF0"/>
    <w:lvl w:ilvl="0">
      <w:start w:val="1"/>
      <w:numFmt w:val="decimal"/>
      <w:lvlText w:val="%1."/>
      <w:lvlJc w:val="left"/>
      <w:pPr>
        <w:ind w:left="360" w:hanging="360"/>
      </w:pPr>
      <w:rPr>
        <w:rFonts w:hint="default"/>
      </w:rPr>
    </w:lvl>
    <w:lvl w:ilvl="1">
      <w:start w:val="1"/>
      <w:numFmt w:val="none"/>
      <w:lvlText w:val="2.2"/>
      <w:lvlJc w:val="left"/>
      <w:pPr>
        <w:ind w:left="792" w:hanging="432"/>
      </w:pPr>
      <w:rPr>
        <w:rFonts w:hint="default"/>
      </w:rPr>
    </w:lvl>
    <w:lvl w:ilvl="2">
      <w:start w:val="1"/>
      <w:numFmt w:val="none"/>
      <w:lvlText w:val="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8BC7128"/>
    <w:multiLevelType w:val="multilevel"/>
    <w:tmpl w:val="6F92A8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DE326D7"/>
    <w:multiLevelType w:val="multilevel"/>
    <w:tmpl w:val="91560064"/>
    <w:lvl w:ilvl="0">
      <w:start w:val="4"/>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300C73C6"/>
    <w:multiLevelType w:val="multilevel"/>
    <w:tmpl w:val="6F92A8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7D787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AC7988"/>
    <w:multiLevelType w:val="multilevel"/>
    <w:tmpl w:val="752226A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9FF1B09"/>
    <w:multiLevelType w:val="multilevel"/>
    <w:tmpl w:val="ABB839F6"/>
    <w:lvl w:ilvl="0">
      <w:start w:val="4"/>
      <w:numFmt w:val="decimal"/>
      <w:lvlText w:val="%1."/>
      <w:lvlJc w:val="left"/>
      <w:pPr>
        <w:ind w:left="390" w:hanging="39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3F611D2E"/>
    <w:multiLevelType w:val="hybridMultilevel"/>
    <w:tmpl w:val="5B6248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1150AFC"/>
    <w:multiLevelType w:val="hybridMultilevel"/>
    <w:tmpl w:val="4BB275A2"/>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9" w15:restartNumberingAfterBreak="0">
    <w:nsid w:val="44A70DFA"/>
    <w:multiLevelType w:val="multilevel"/>
    <w:tmpl w:val="873436F4"/>
    <w:lvl w:ilvl="0">
      <w:start w:val="4"/>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2F42CA2"/>
    <w:multiLevelType w:val="multilevel"/>
    <w:tmpl w:val="6F92A8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8A27480"/>
    <w:multiLevelType w:val="hybridMultilevel"/>
    <w:tmpl w:val="3F0C36F6"/>
    <w:lvl w:ilvl="0" w:tplc="885C9F32">
      <w:start w:val="1"/>
      <w:numFmt w:val="decimal"/>
      <w:lvlText w:val="%1."/>
      <w:lvlJc w:val="left"/>
      <w:pPr>
        <w:ind w:left="1429"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9E90824"/>
    <w:multiLevelType w:val="multilevel"/>
    <w:tmpl w:val="AEB8378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4A7A34"/>
    <w:multiLevelType w:val="hybridMultilevel"/>
    <w:tmpl w:val="663A4F8E"/>
    <w:lvl w:ilvl="0" w:tplc="885C9F32">
      <w:start w:val="1"/>
      <w:numFmt w:val="decimal"/>
      <w:lvlText w:val="%1."/>
      <w:lvlJc w:val="left"/>
      <w:pPr>
        <w:ind w:left="1429" w:hanging="360"/>
      </w:pPr>
      <w:rPr>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5" w15:restartNumberingAfterBreak="0">
    <w:nsid w:val="637D7F68"/>
    <w:multiLevelType w:val="multilevel"/>
    <w:tmpl w:val="873436F4"/>
    <w:lvl w:ilvl="0">
      <w:start w:val="4"/>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68D0AD6"/>
    <w:multiLevelType w:val="multilevel"/>
    <w:tmpl w:val="D09A373A"/>
    <w:lvl w:ilvl="0">
      <w:start w:val="3"/>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6A7E38A8"/>
    <w:multiLevelType w:val="hybridMultilevel"/>
    <w:tmpl w:val="7F24EB1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8" w15:restartNumberingAfterBreak="0">
    <w:nsid w:val="6A9D6678"/>
    <w:multiLevelType w:val="hybridMultilevel"/>
    <w:tmpl w:val="C2A6CF2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9" w15:restartNumberingAfterBreak="0">
    <w:nsid w:val="6CCE6A99"/>
    <w:multiLevelType w:val="multilevel"/>
    <w:tmpl w:val="F0DE246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DB62023"/>
    <w:multiLevelType w:val="multilevel"/>
    <w:tmpl w:val="23248B20"/>
    <w:lvl w:ilvl="0">
      <w:start w:val="3"/>
      <w:numFmt w:val="decimal"/>
      <w:lvlText w:val="%1."/>
      <w:lvlJc w:val="left"/>
      <w:pPr>
        <w:ind w:left="390" w:hanging="39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6E964623"/>
    <w:multiLevelType w:val="multilevel"/>
    <w:tmpl w:val="C5FC015C"/>
    <w:lvl w:ilvl="0">
      <w:start w:val="1"/>
      <w:numFmt w:val="decimal"/>
      <w:lvlText w:val="%1."/>
      <w:lvlJc w:val="left"/>
      <w:pPr>
        <w:ind w:left="360" w:hanging="360"/>
      </w:pPr>
      <w:rPr>
        <w:color w:val="000000"/>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D26FCF"/>
    <w:multiLevelType w:val="hybridMultilevel"/>
    <w:tmpl w:val="59A2049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4" w15:restartNumberingAfterBreak="0">
    <w:nsid w:val="7AFF553F"/>
    <w:multiLevelType w:val="multilevel"/>
    <w:tmpl w:val="E7040C0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23"/>
  </w:num>
  <w:num w:numId="3">
    <w:abstractNumId w:val="32"/>
  </w:num>
  <w:num w:numId="4">
    <w:abstractNumId w:val="7"/>
  </w:num>
  <w:num w:numId="5">
    <w:abstractNumId w:val="31"/>
  </w:num>
  <w:num w:numId="6">
    <w:abstractNumId w:val="5"/>
  </w:num>
  <w:num w:numId="7">
    <w:abstractNumId w:val="24"/>
  </w:num>
  <w:num w:numId="8">
    <w:abstractNumId w:val="33"/>
  </w:num>
  <w:num w:numId="9">
    <w:abstractNumId w:val="21"/>
  </w:num>
  <w:num w:numId="10">
    <w:abstractNumId w:val="34"/>
  </w:num>
  <w:num w:numId="11">
    <w:abstractNumId w:val="15"/>
  </w:num>
  <w:num w:numId="12">
    <w:abstractNumId w:val="4"/>
  </w:num>
  <w:num w:numId="13">
    <w:abstractNumId w:val="6"/>
  </w:num>
  <w:num w:numId="14">
    <w:abstractNumId w:val="9"/>
  </w:num>
  <w:num w:numId="15">
    <w:abstractNumId w:val="28"/>
  </w:num>
  <w:num w:numId="16">
    <w:abstractNumId w:val="22"/>
  </w:num>
  <w:num w:numId="17">
    <w:abstractNumId w:val="18"/>
  </w:num>
  <w:num w:numId="18">
    <w:abstractNumId w:val="29"/>
  </w:num>
  <w:num w:numId="19">
    <w:abstractNumId w:val="25"/>
  </w:num>
  <w:num w:numId="20">
    <w:abstractNumId w:val="19"/>
  </w:num>
  <w:num w:numId="21">
    <w:abstractNumId w:val="0"/>
  </w:num>
  <w:num w:numId="22">
    <w:abstractNumId w:val="30"/>
  </w:num>
  <w:num w:numId="23">
    <w:abstractNumId w:val="16"/>
  </w:num>
  <w:num w:numId="24">
    <w:abstractNumId w:val="2"/>
  </w:num>
  <w:num w:numId="25">
    <w:abstractNumId w:val="1"/>
  </w:num>
  <w:num w:numId="26">
    <w:abstractNumId w:val="26"/>
  </w:num>
  <w:num w:numId="27">
    <w:abstractNumId w:val="27"/>
  </w:num>
  <w:num w:numId="28">
    <w:abstractNumId w:val="8"/>
  </w:num>
  <w:num w:numId="29">
    <w:abstractNumId w:val="13"/>
  </w:num>
  <w:num w:numId="30">
    <w:abstractNumId w:val="10"/>
  </w:num>
  <w:num w:numId="31">
    <w:abstractNumId w:val="14"/>
  </w:num>
  <w:num w:numId="32">
    <w:abstractNumId w:val="20"/>
  </w:num>
  <w:num w:numId="33">
    <w:abstractNumId w:val="3"/>
  </w:num>
  <w:num w:numId="34">
    <w:abstractNumId w:val="17"/>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24"/>
    <w:rsid w:val="00016019"/>
    <w:rsid w:val="0002476C"/>
    <w:rsid w:val="00026562"/>
    <w:rsid w:val="00067126"/>
    <w:rsid w:val="00096809"/>
    <w:rsid w:val="00100C0B"/>
    <w:rsid w:val="00111C37"/>
    <w:rsid w:val="0011592D"/>
    <w:rsid w:val="00151B99"/>
    <w:rsid w:val="001551B8"/>
    <w:rsid w:val="0016220D"/>
    <w:rsid w:val="001846F5"/>
    <w:rsid w:val="00194BA9"/>
    <w:rsid w:val="001A4423"/>
    <w:rsid w:val="001C328B"/>
    <w:rsid w:val="001E0EB4"/>
    <w:rsid w:val="001E4635"/>
    <w:rsid w:val="001F2459"/>
    <w:rsid w:val="001F6A6D"/>
    <w:rsid w:val="0022089D"/>
    <w:rsid w:val="00284238"/>
    <w:rsid w:val="002B0015"/>
    <w:rsid w:val="002B2B78"/>
    <w:rsid w:val="0036377D"/>
    <w:rsid w:val="0038579D"/>
    <w:rsid w:val="004020EB"/>
    <w:rsid w:val="004328FA"/>
    <w:rsid w:val="0047042F"/>
    <w:rsid w:val="00473887"/>
    <w:rsid w:val="00491708"/>
    <w:rsid w:val="005307C6"/>
    <w:rsid w:val="00543873"/>
    <w:rsid w:val="00582630"/>
    <w:rsid w:val="00586833"/>
    <w:rsid w:val="00594BE8"/>
    <w:rsid w:val="005B4708"/>
    <w:rsid w:val="005E73E2"/>
    <w:rsid w:val="005F08CE"/>
    <w:rsid w:val="00602E2A"/>
    <w:rsid w:val="006064A3"/>
    <w:rsid w:val="00631DCF"/>
    <w:rsid w:val="00651BE8"/>
    <w:rsid w:val="00686527"/>
    <w:rsid w:val="006B30D7"/>
    <w:rsid w:val="006D0E1E"/>
    <w:rsid w:val="006F664D"/>
    <w:rsid w:val="0072186F"/>
    <w:rsid w:val="0072578D"/>
    <w:rsid w:val="0075762A"/>
    <w:rsid w:val="0078209A"/>
    <w:rsid w:val="007834A6"/>
    <w:rsid w:val="007F0D68"/>
    <w:rsid w:val="007F1934"/>
    <w:rsid w:val="0081386B"/>
    <w:rsid w:val="00815417"/>
    <w:rsid w:val="00860B20"/>
    <w:rsid w:val="008A5824"/>
    <w:rsid w:val="008D4F05"/>
    <w:rsid w:val="009833D5"/>
    <w:rsid w:val="00A22C54"/>
    <w:rsid w:val="00A86ECF"/>
    <w:rsid w:val="00AC49B4"/>
    <w:rsid w:val="00AD1C04"/>
    <w:rsid w:val="00B32719"/>
    <w:rsid w:val="00B41CAF"/>
    <w:rsid w:val="00B472C4"/>
    <w:rsid w:val="00B874FC"/>
    <w:rsid w:val="00BD0F13"/>
    <w:rsid w:val="00C04F45"/>
    <w:rsid w:val="00C1772C"/>
    <w:rsid w:val="00C25EBD"/>
    <w:rsid w:val="00C30374"/>
    <w:rsid w:val="00C668C4"/>
    <w:rsid w:val="00C77C0C"/>
    <w:rsid w:val="00CA2367"/>
    <w:rsid w:val="00CA25AA"/>
    <w:rsid w:val="00CD16AD"/>
    <w:rsid w:val="00CE5296"/>
    <w:rsid w:val="00CF645C"/>
    <w:rsid w:val="00D456A3"/>
    <w:rsid w:val="00D77C43"/>
    <w:rsid w:val="00D91EAD"/>
    <w:rsid w:val="00DF60BC"/>
    <w:rsid w:val="00E074D5"/>
    <w:rsid w:val="00E361F4"/>
    <w:rsid w:val="00E6136F"/>
    <w:rsid w:val="00E956FE"/>
    <w:rsid w:val="00E95AEF"/>
    <w:rsid w:val="00EB2EBD"/>
    <w:rsid w:val="00ED0893"/>
    <w:rsid w:val="00ED7A83"/>
    <w:rsid w:val="00F30185"/>
    <w:rsid w:val="00F366D2"/>
    <w:rsid w:val="00F60369"/>
    <w:rsid w:val="00FA7C0B"/>
    <w:rsid w:val="00FE1CF2"/>
    <w:rsid w:val="00FE5D5F"/>
    <w:rsid w:val="00FF07B7"/>
    <w:rsid w:val="00FF6B8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2813EB42-9C1D-47EE-91B6-30D55730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next w:val="Normal"/>
    <w:link w:val="Ttulo1Char"/>
    <w:rsid w:val="00F366D2"/>
    <w:pPr>
      <w:keepNext/>
      <w:suppressAutoHyphens w:val="0"/>
      <w:jc w:val="center"/>
      <w:outlineLvl w:val="0"/>
    </w:pPr>
    <w:rPr>
      <w:rFonts w:ascii="Tahoma" w:eastAsia="Tahoma" w:hAnsi="Tahoma" w:cs="Tahoma"/>
      <w:b/>
    </w:rPr>
  </w:style>
  <w:style w:type="paragraph" w:styleId="Ttulo2">
    <w:name w:val="heading 2"/>
    <w:basedOn w:val="Normal"/>
    <w:next w:val="Normal"/>
    <w:link w:val="Ttulo2Char"/>
    <w:rsid w:val="00F366D2"/>
    <w:pPr>
      <w:keepNext/>
      <w:suppressAutoHyphens w:val="0"/>
      <w:jc w:val="center"/>
      <w:outlineLvl w:val="1"/>
    </w:pPr>
    <w:rPr>
      <w:b/>
      <w:sz w:val="16"/>
      <w:szCs w:val="16"/>
    </w:rPr>
  </w:style>
  <w:style w:type="paragraph" w:styleId="Ttulo3">
    <w:name w:val="heading 3"/>
    <w:basedOn w:val="Normal"/>
    <w:next w:val="Normal"/>
    <w:link w:val="Ttulo3Char"/>
    <w:rsid w:val="00F366D2"/>
    <w:pPr>
      <w:keepNext/>
      <w:suppressAutoHyphens w:val="0"/>
      <w:jc w:val="center"/>
      <w:outlineLvl w:val="2"/>
    </w:pPr>
    <w:rPr>
      <w:b/>
      <w:sz w:val="14"/>
      <w:szCs w:val="14"/>
    </w:rPr>
  </w:style>
  <w:style w:type="paragraph" w:styleId="Ttulo4">
    <w:name w:val="heading 4"/>
    <w:basedOn w:val="Normal"/>
    <w:next w:val="Normal"/>
    <w:link w:val="Ttulo4Char"/>
    <w:rsid w:val="00F366D2"/>
    <w:pPr>
      <w:keepNext/>
      <w:keepLines/>
      <w:suppressAutoHyphens w:val="0"/>
      <w:spacing w:before="240" w:after="40"/>
      <w:outlineLvl w:val="3"/>
    </w:pPr>
    <w:rPr>
      <w:b/>
      <w:sz w:val="24"/>
      <w:szCs w:val="24"/>
    </w:rPr>
  </w:style>
  <w:style w:type="paragraph" w:styleId="Ttulo5">
    <w:name w:val="heading 5"/>
    <w:basedOn w:val="Normal"/>
    <w:next w:val="Normal"/>
    <w:link w:val="Ttulo5Char"/>
    <w:rsid w:val="00F366D2"/>
    <w:pPr>
      <w:keepNext/>
      <w:keepLines/>
      <w:suppressAutoHyphens w:val="0"/>
      <w:spacing w:before="220" w:after="40"/>
      <w:outlineLvl w:val="4"/>
    </w:pPr>
    <w:rPr>
      <w:b/>
      <w:sz w:val="22"/>
      <w:szCs w:val="22"/>
    </w:rPr>
  </w:style>
  <w:style w:type="paragraph" w:styleId="Ttulo6">
    <w:name w:val="heading 6"/>
    <w:basedOn w:val="Normal"/>
    <w:next w:val="Normal"/>
    <w:link w:val="Ttulo6Char"/>
    <w:rsid w:val="00F366D2"/>
    <w:pPr>
      <w:keepNext/>
      <w:keepLines/>
      <w:suppressAutoHyphens w:val="0"/>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customStyle="1" w:styleId="Ttulo1Char">
    <w:name w:val="Título 1 Char"/>
    <w:basedOn w:val="Fontepargpadro"/>
    <w:link w:val="Ttulo1"/>
    <w:rsid w:val="00F366D2"/>
    <w:rPr>
      <w:rFonts w:ascii="Tahoma" w:eastAsia="Tahoma" w:hAnsi="Tahoma" w:cs="Tahoma"/>
      <w:b/>
      <w:sz w:val="20"/>
      <w:szCs w:val="20"/>
      <w:lang w:eastAsia="pt-BR"/>
    </w:rPr>
  </w:style>
  <w:style w:type="character" w:customStyle="1" w:styleId="Ttulo2Char">
    <w:name w:val="Título 2 Char"/>
    <w:basedOn w:val="Fontepargpadro"/>
    <w:link w:val="Ttulo2"/>
    <w:rsid w:val="00F366D2"/>
    <w:rPr>
      <w:rFonts w:ascii="Times New Roman" w:eastAsia="Times New Roman" w:hAnsi="Times New Roman" w:cs="Times New Roman"/>
      <w:b/>
      <w:sz w:val="16"/>
      <w:szCs w:val="16"/>
      <w:lang w:eastAsia="pt-BR"/>
    </w:rPr>
  </w:style>
  <w:style w:type="character" w:customStyle="1" w:styleId="Ttulo3Char">
    <w:name w:val="Título 3 Char"/>
    <w:basedOn w:val="Fontepargpadro"/>
    <w:link w:val="Ttulo3"/>
    <w:rsid w:val="00F366D2"/>
    <w:rPr>
      <w:rFonts w:ascii="Times New Roman" w:eastAsia="Times New Roman" w:hAnsi="Times New Roman" w:cs="Times New Roman"/>
      <w:b/>
      <w:sz w:val="14"/>
      <w:szCs w:val="14"/>
      <w:lang w:eastAsia="pt-BR"/>
    </w:rPr>
  </w:style>
  <w:style w:type="character" w:customStyle="1" w:styleId="Ttulo4Char">
    <w:name w:val="Título 4 Char"/>
    <w:basedOn w:val="Fontepargpadro"/>
    <w:link w:val="Ttulo4"/>
    <w:rsid w:val="00F366D2"/>
    <w:rPr>
      <w:rFonts w:ascii="Times New Roman" w:eastAsia="Times New Roman" w:hAnsi="Times New Roman" w:cs="Times New Roman"/>
      <w:b/>
      <w:lang w:eastAsia="pt-BR"/>
    </w:rPr>
  </w:style>
  <w:style w:type="character" w:customStyle="1" w:styleId="Ttulo5Char">
    <w:name w:val="Título 5 Char"/>
    <w:basedOn w:val="Fontepargpadro"/>
    <w:link w:val="Ttulo5"/>
    <w:rsid w:val="00F366D2"/>
    <w:rPr>
      <w:rFonts w:ascii="Times New Roman" w:eastAsia="Times New Roman" w:hAnsi="Times New Roman" w:cs="Times New Roman"/>
      <w:b/>
      <w:sz w:val="22"/>
      <w:szCs w:val="22"/>
      <w:lang w:eastAsia="pt-BR"/>
    </w:rPr>
  </w:style>
  <w:style w:type="character" w:customStyle="1" w:styleId="Ttulo6Char">
    <w:name w:val="Título 6 Char"/>
    <w:basedOn w:val="Fontepargpadro"/>
    <w:link w:val="Ttulo6"/>
    <w:rsid w:val="00F366D2"/>
    <w:rPr>
      <w:rFonts w:ascii="Times New Roman" w:eastAsia="Times New Roman" w:hAnsi="Times New Roman" w:cs="Times New Roman"/>
      <w:b/>
      <w:sz w:val="20"/>
      <w:szCs w:val="20"/>
      <w:lang w:eastAsia="pt-BR"/>
    </w:rPr>
  </w:style>
  <w:style w:type="table" w:customStyle="1" w:styleId="TableNormal">
    <w:name w:val="Table Normal"/>
    <w:rsid w:val="00F366D2"/>
    <w:rPr>
      <w:rFonts w:ascii="Times New Roman" w:eastAsia="Times New Roman" w:hAnsi="Times New Roman" w:cs="Times New Roman"/>
      <w:lang w:eastAsia="pt-BR"/>
    </w:rPr>
    <w:tblPr>
      <w:tblCellMar>
        <w:top w:w="0" w:type="dxa"/>
        <w:left w:w="0" w:type="dxa"/>
        <w:bottom w:w="0" w:type="dxa"/>
        <w:right w:w="0" w:type="dxa"/>
      </w:tblCellMar>
    </w:tblPr>
  </w:style>
  <w:style w:type="paragraph" w:styleId="Ttulo">
    <w:name w:val="Title"/>
    <w:basedOn w:val="Normal"/>
    <w:next w:val="Normal"/>
    <w:link w:val="TtuloChar"/>
    <w:rsid w:val="00F366D2"/>
    <w:pPr>
      <w:suppressAutoHyphens w:val="0"/>
      <w:jc w:val="center"/>
    </w:pPr>
    <w:rPr>
      <w:rFonts w:ascii="Tahoma" w:eastAsia="Tahoma" w:hAnsi="Tahoma" w:cs="Tahoma"/>
      <w:b/>
      <w:sz w:val="17"/>
      <w:szCs w:val="17"/>
    </w:rPr>
  </w:style>
  <w:style w:type="character" w:customStyle="1" w:styleId="TtuloChar">
    <w:name w:val="Título Char"/>
    <w:basedOn w:val="Fontepargpadro"/>
    <w:link w:val="Ttulo"/>
    <w:rsid w:val="00F366D2"/>
    <w:rPr>
      <w:rFonts w:ascii="Tahoma" w:eastAsia="Tahoma" w:hAnsi="Tahoma" w:cs="Tahoma"/>
      <w:b/>
      <w:sz w:val="17"/>
      <w:szCs w:val="17"/>
      <w:lang w:eastAsia="pt-BR"/>
    </w:rPr>
  </w:style>
  <w:style w:type="paragraph" w:styleId="Subttulo">
    <w:name w:val="Subtitle"/>
    <w:basedOn w:val="Normal"/>
    <w:next w:val="Normal"/>
    <w:link w:val="SubttuloChar"/>
    <w:rsid w:val="00F366D2"/>
    <w:pPr>
      <w:keepNext/>
      <w:keepLines/>
      <w:suppressAutoHyphens w:val="0"/>
      <w:spacing w:before="360" w:after="80"/>
    </w:pPr>
    <w:rPr>
      <w:rFonts w:ascii="Georgia" w:eastAsia="Georgia" w:hAnsi="Georgia" w:cs="Georgia"/>
      <w:i/>
      <w:color w:val="666666"/>
      <w:sz w:val="48"/>
      <w:szCs w:val="48"/>
    </w:rPr>
  </w:style>
  <w:style w:type="character" w:customStyle="1" w:styleId="SubttuloChar">
    <w:name w:val="Subtítulo Char"/>
    <w:basedOn w:val="Fontepargpadro"/>
    <w:link w:val="Subttulo"/>
    <w:rsid w:val="00F366D2"/>
    <w:rPr>
      <w:rFonts w:ascii="Georgia" w:eastAsia="Georgia" w:hAnsi="Georgia" w:cs="Georgia"/>
      <w:i/>
      <w:color w:val="666666"/>
      <w:sz w:val="48"/>
      <w:szCs w:val="48"/>
      <w:lang w:eastAsia="pt-BR"/>
    </w:rPr>
  </w:style>
  <w:style w:type="character" w:styleId="Refdecomentrio">
    <w:name w:val="annotation reference"/>
    <w:basedOn w:val="Fontepargpadro"/>
    <w:uiPriority w:val="99"/>
    <w:semiHidden/>
    <w:unhideWhenUsed/>
    <w:rsid w:val="00F366D2"/>
    <w:rPr>
      <w:sz w:val="16"/>
      <w:szCs w:val="16"/>
    </w:rPr>
  </w:style>
  <w:style w:type="paragraph" w:styleId="Textodecomentrio">
    <w:name w:val="annotation text"/>
    <w:basedOn w:val="Normal"/>
    <w:link w:val="TextodecomentrioChar"/>
    <w:uiPriority w:val="99"/>
    <w:semiHidden/>
    <w:unhideWhenUsed/>
    <w:rsid w:val="00F366D2"/>
    <w:pPr>
      <w:suppressAutoHyphens w:val="0"/>
    </w:pPr>
  </w:style>
  <w:style w:type="character" w:customStyle="1" w:styleId="TextodecomentrioChar">
    <w:name w:val="Texto de comentário Char"/>
    <w:basedOn w:val="Fontepargpadro"/>
    <w:link w:val="Textodecomentrio"/>
    <w:uiPriority w:val="99"/>
    <w:semiHidden/>
    <w:rsid w:val="00F366D2"/>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F366D2"/>
    <w:rPr>
      <w:b/>
      <w:bCs/>
    </w:rPr>
  </w:style>
  <w:style w:type="character" w:customStyle="1" w:styleId="AssuntodocomentrioChar">
    <w:name w:val="Assunto do comentário Char"/>
    <w:basedOn w:val="TextodecomentrioChar"/>
    <w:link w:val="Assuntodocomentrio"/>
    <w:uiPriority w:val="99"/>
    <w:semiHidden/>
    <w:rsid w:val="00F366D2"/>
    <w:rPr>
      <w:rFonts w:ascii="Times New Roman" w:eastAsia="Times New Roman" w:hAnsi="Times New Roman" w:cs="Times New Roman"/>
      <w:b/>
      <w:bCs/>
      <w:sz w:val="20"/>
      <w:szCs w:val="20"/>
      <w:lang w:eastAsia="pt-BR"/>
    </w:rPr>
  </w:style>
  <w:style w:type="table" w:customStyle="1" w:styleId="TabeladeGradeClara1">
    <w:name w:val="Tabela de Grade Clara1"/>
    <w:basedOn w:val="Tabelanormal"/>
    <w:uiPriority w:val="40"/>
    <w:rsid w:val="00F366D2"/>
    <w:rPr>
      <w:rFonts w:ascii="Times New Roman" w:eastAsia="Times New Roman" w:hAnsi="Times New Roman" w:cs="Times New Roman"/>
      <w:lang w:eastAsia="pt-B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 w:id="2030718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jls1328e\Documents\planilha%20comjunta%20dos%20rgf.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ls1328e\Documents\planilha%20comjunta%20dos%20rgf.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ls1328e\Documents\planilha%20comjunta%20dos%20rg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679649239247673"/>
          <c:y val="6.545307238524449E-2"/>
          <c:w val="0.5711485202280796"/>
          <c:h val="0.81856681098142459"/>
        </c:manualLayout>
      </c:layout>
      <c:barChart>
        <c:barDir val="col"/>
        <c:grouping val="clustered"/>
        <c:varyColors val="0"/>
        <c:ser>
          <c:idx val="0"/>
          <c:order val="0"/>
          <c:tx>
            <c:strRef>
              <c:f>Plan1!$A$2</c:f>
              <c:strCache>
                <c:ptCount val="1"/>
                <c:pt idx="0">
                  <c:v>Paraná</c:v>
                </c:pt>
              </c:strCache>
            </c:strRef>
          </c:tx>
          <c:spPr>
            <a:pattFill prst="dkDnDiag">
              <a:fgClr>
                <a:schemeClr val="tx1"/>
              </a:fgClr>
              <a:bgClr>
                <a:schemeClr val="bg1"/>
              </a:bgClr>
            </a:pattFill>
            <a:ln>
              <a:solidFill>
                <a:schemeClr val="tx1"/>
              </a:solidFill>
            </a:ln>
          </c:spPr>
          <c:invertIfNegative val="0"/>
          <c:cat>
            <c:numRef>
              <c:f>Plan1!$E$2:$K$2</c:f>
              <c:numCache>
                <c:formatCode>General</c:formatCode>
                <c:ptCount val="7"/>
                <c:pt idx="0">
                  <c:v>2010</c:v>
                </c:pt>
                <c:pt idx="1">
                  <c:v>2011</c:v>
                </c:pt>
                <c:pt idx="2">
                  <c:v>2012</c:v>
                </c:pt>
                <c:pt idx="3">
                  <c:v>2013</c:v>
                </c:pt>
                <c:pt idx="4">
                  <c:v>2014</c:v>
                </c:pt>
                <c:pt idx="5">
                  <c:v>2015</c:v>
                </c:pt>
                <c:pt idx="6">
                  <c:v>2016</c:v>
                </c:pt>
              </c:numCache>
            </c:numRef>
          </c:cat>
          <c:val>
            <c:numRef>
              <c:f>Plan1!$E$3:$K$3</c:f>
              <c:numCache>
                <c:formatCode>#,##0</c:formatCode>
                <c:ptCount val="7"/>
                <c:pt idx="0">
                  <c:v>18967281.688999999</c:v>
                </c:pt>
                <c:pt idx="1">
                  <c:v>19710629.991659977</c:v>
                </c:pt>
                <c:pt idx="2">
                  <c:v>21849072.56442</c:v>
                </c:pt>
                <c:pt idx="3">
                  <c:v>25397665.59245</c:v>
                </c:pt>
                <c:pt idx="4">
                  <c:v>28336698.864229999</c:v>
                </c:pt>
                <c:pt idx="5">
                  <c:v>31876371.51227</c:v>
                </c:pt>
                <c:pt idx="6">
                  <c:v>34135477.82198</c:v>
                </c:pt>
              </c:numCache>
            </c:numRef>
          </c:val>
          <c:extLst xmlns:c16r2="http://schemas.microsoft.com/office/drawing/2015/06/chart">
            <c:ext xmlns:c16="http://schemas.microsoft.com/office/drawing/2014/chart" uri="{C3380CC4-5D6E-409C-BE32-E72D297353CC}">
              <c16:uniqueId val="{00000000-AC6C-407A-BF4D-E4305418E4C8}"/>
            </c:ext>
          </c:extLst>
        </c:ser>
        <c:ser>
          <c:idx val="1"/>
          <c:order val="1"/>
          <c:tx>
            <c:strRef>
              <c:f>Plan1!$A$14</c:f>
              <c:strCache>
                <c:ptCount val="1"/>
                <c:pt idx="0">
                  <c:v>Rio Grande do Sul</c:v>
                </c:pt>
              </c:strCache>
            </c:strRef>
          </c:tx>
          <c:spPr>
            <a:pattFill prst="pct75">
              <a:fgClr>
                <a:schemeClr val="tx1"/>
              </a:fgClr>
              <a:bgClr>
                <a:schemeClr val="bg1"/>
              </a:bgClr>
            </a:pattFill>
            <a:ln>
              <a:solidFill>
                <a:schemeClr val="tx1"/>
              </a:solidFill>
            </a:ln>
          </c:spPr>
          <c:invertIfNegative val="0"/>
          <c:cat>
            <c:numRef>
              <c:f>Plan1!$E$2:$K$2</c:f>
              <c:numCache>
                <c:formatCode>General</c:formatCode>
                <c:ptCount val="7"/>
                <c:pt idx="0">
                  <c:v>2010</c:v>
                </c:pt>
                <c:pt idx="1">
                  <c:v>2011</c:v>
                </c:pt>
                <c:pt idx="2">
                  <c:v>2012</c:v>
                </c:pt>
                <c:pt idx="3">
                  <c:v>2013</c:v>
                </c:pt>
                <c:pt idx="4">
                  <c:v>2014</c:v>
                </c:pt>
                <c:pt idx="5">
                  <c:v>2015</c:v>
                </c:pt>
                <c:pt idx="6">
                  <c:v>2016</c:v>
                </c:pt>
              </c:numCache>
            </c:numRef>
          </c:cat>
          <c:val>
            <c:numRef>
              <c:f>Plan1!$E$15:$K$15</c:f>
              <c:numCache>
                <c:formatCode>#,##0</c:formatCode>
                <c:ptCount val="7"/>
                <c:pt idx="0">
                  <c:v>20297846.621209998</c:v>
                </c:pt>
                <c:pt idx="1">
                  <c:v>21927904.938779999</c:v>
                </c:pt>
                <c:pt idx="2">
                  <c:v>23710653.600520059</c:v>
                </c:pt>
                <c:pt idx="3">
                  <c:v>26387876.167319998</c:v>
                </c:pt>
                <c:pt idx="4">
                  <c:v>28633465.815749999</c:v>
                </c:pt>
                <c:pt idx="5">
                  <c:v>30139172.170570001</c:v>
                </c:pt>
                <c:pt idx="6">
                  <c:v>34654897.410299994</c:v>
                </c:pt>
              </c:numCache>
            </c:numRef>
          </c:val>
          <c:extLst xmlns:c16r2="http://schemas.microsoft.com/office/drawing/2015/06/chart">
            <c:ext xmlns:c16="http://schemas.microsoft.com/office/drawing/2014/chart" uri="{C3380CC4-5D6E-409C-BE32-E72D297353CC}">
              <c16:uniqueId val="{00000001-AC6C-407A-BF4D-E4305418E4C8}"/>
            </c:ext>
          </c:extLst>
        </c:ser>
        <c:ser>
          <c:idx val="2"/>
          <c:order val="2"/>
          <c:tx>
            <c:strRef>
              <c:f>Plan1!$A$26</c:f>
              <c:strCache>
                <c:ptCount val="1"/>
                <c:pt idx="0">
                  <c:v>Santa Catarina</c:v>
                </c:pt>
              </c:strCache>
            </c:strRef>
          </c:tx>
          <c:spPr>
            <a:pattFill prst="horzBrick">
              <a:fgClr>
                <a:schemeClr val="tx1"/>
              </a:fgClr>
              <a:bgClr>
                <a:schemeClr val="bg1"/>
              </a:bgClr>
            </a:pattFill>
            <a:ln>
              <a:solidFill>
                <a:schemeClr val="tx1"/>
              </a:solidFill>
            </a:ln>
          </c:spPr>
          <c:invertIfNegative val="0"/>
          <c:cat>
            <c:numRef>
              <c:f>Plan1!$E$2:$K$2</c:f>
              <c:numCache>
                <c:formatCode>General</c:formatCode>
                <c:ptCount val="7"/>
                <c:pt idx="0">
                  <c:v>2010</c:v>
                </c:pt>
                <c:pt idx="1">
                  <c:v>2011</c:v>
                </c:pt>
                <c:pt idx="2">
                  <c:v>2012</c:v>
                </c:pt>
                <c:pt idx="3">
                  <c:v>2013</c:v>
                </c:pt>
                <c:pt idx="4">
                  <c:v>2014</c:v>
                </c:pt>
                <c:pt idx="5">
                  <c:v>2015</c:v>
                </c:pt>
                <c:pt idx="6">
                  <c:v>2016</c:v>
                </c:pt>
              </c:numCache>
            </c:numRef>
          </c:cat>
          <c:val>
            <c:numRef>
              <c:f>Plan1!$E$27:$K$27</c:f>
              <c:numCache>
                <c:formatCode>#,##0</c:formatCode>
                <c:ptCount val="7"/>
                <c:pt idx="0">
                  <c:v>11857683.741629981</c:v>
                </c:pt>
                <c:pt idx="1">
                  <c:v>13791475.371469999</c:v>
                </c:pt>
                <c:pt idx="2">
                  <c:v>14535174.07192</c:v>
                </c:pt>
                <c:pt idx="3">
                  <c:v>15892968.191509983</c:v>
                </c:pt>
                <c:pt idx="4">
                  <c:v>17835511.027090002</c:v>
                </c:pt>
                <c:pt idx="5">
                  <c:v>19409870.961229976</c:v>
                </c:pt>
                <c:pt idx="6">
                  <c:v>20488858.892360009</c:v>
                </c:pt>
              </c:numCache>
            </c:numRef>
          </c:val>
          <c:extLst xmlns:c16r2="http://schemas.microsoft.com/office/drawing/2015/06/chart">
            <c:ext xmlns:c16="http://schemas.microsoft.com/office/drawing/2014/chart" uri="{C3380CC4-5D6E-409C-BE32-E72D297353CC}">
              <c16:uniqueId val="{00000002-AC6C-407A-BF4D-E4305418E4C8}"/>
            </c:ext>
          </c:extLst>
        </c:ser>
        <c:dLbls>
          <c:showLegendKey val="0"/>
          <c:showVal val="0"/>
          <c:showCatName val="0"/>
          <c:showSerName val="0"/>
          <c:showPercent val="0"/>
          <c:showBubbleSize val="0"/>
        </c:dLbls>
        <c:gapWidth val="150"/>
        <c:axId val="258306448"/>
        <c:axId val="258307232"/>
      </c:barChart>
      <c:catAx>
        <c:axId val="258306448"/>
        <c:scaling>
          <c:orientation val="minMax"/>
        </c:scaling>
        <c:delete val="0"/>
        <c:axPos val="b"/>
        <c:numFmt formatCode="General" sourceLinked="1"/>
        <c:majorTickMark val="out"/>
        <c:minorTickMark val="none"/>
        <c:tickLblPos val="nextTo"/>
        <c:crossAx val="258307232"/>
        <c:crosses val="autoZero"/>
        <c:auto val="1"/>
        <c:lblAlgn val="ctr"/>
        <c:lblOffset val="100"/>
        <c:noMultiLvlLbl val="0"/>
      </c:catAx>
      <c:valAx>
        <c:axId val="258307232"/>
        <c:scaling>
          <c:orientation val="minMax"/>
        </c:scaling>
        <c:delete val="0"/>
        <c:axPos val="l"/>
        <c:majorGridlines/>
        <c:numFmt formatCode="#,##0" sourceLinked="1"/>
        <c:majorTickMark val="out"/>
        <c:minorTickMark val="none"/>
        <c:tickLblPos val="nextTo"/>
        <c:crossAx val="258306448"/>
        <c:crosses val="autoZero"/>
        <c:crossBetween val="between"/>
        <c:majorUnit val="2500000"/>
      </c:valAx>
    </c:plotArea>
    <c:legend>
      <c:legendPos val="r"/>
      <c:layout>
        <c:manualLayout>
          <c:xMode val="edge"/>
          <c:yMode val="edge"/>
          <c:x val="0.76402241881285027"/>
          <c:y val="0.22056802601167391"/>
          <c:w val="0.23597758118714968"/>
          <c:h val="0.57876444548909001"/>
        </c:manualLayout>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533552055993001"/>
          <c:y val="6.6511187567829685E-2"/>
          <c:w val="0.6049157917760275"/>
          <c:h val="0.81750879380546637"/>
        </c:manualLayout>
      </c:layout>
      <c:barChart>
        <c:barDir val="col"/>
        <c:grouping val="clustered"/>
        <c:varyColors val="0"/>
        <c:ser>
          <c:idx val="0"/>
          <c:order val="0"/>
          <c:tx>
            <c:strRef>
              <c:f>Plan1!$A$2</c:f>
              <c:strCache>
                <c:ptCount val="1"/>
                <c:pt idx="0">
                  <c:v>Paraná</c:v>
                </c:pt>
              </c:strCache>
            </c:strRef>
          </c:tx>
          <c:spPr>
            <a:pattFill prst="dkDnDiag">
              <a:fgClr>
                <a:schemeClr val="tx1"/>
              </a:fgClr>
              <a:bgClr>
                <a:schemeClr val="bg1"/>
              </a:bgClr>
            </a:pattFill>
            <a:ln>
              <a:solidFill>
                <a:schemeClr val="tx1"/>
              </a:solidFill>
            </a:ln>
          </c:spPr>
          <c:invertIfNegative val="0"/>
          <c:cat>
            <c:numRef>
              <c:f>Plan1!$E$26:$K$26</c:f>
              <c:numCache>
                <c:formatCode>General</c:formatCode>
                <c:ptCount val="7"/>
                <c:pt idx="0">
                  <c:v>2010</c:v>
                </c:pt>
                <c:pt idx="1">
                  <c:v>2011</c:v>
                </c:pt>
                <c:pt idx="2">
                  <c:v>2012</c:v>
                </c:pt>
                <c:pt idx="3">
                  <c:v>2013</c:v>
                </c:pt>
                <c:pt idx="4">
                  <c:v>2014</c:v>
                </c:pt>
                <c:pt idx="5">
                  <c:v>2015</c:v>
                </c:pt>
                <c:pt idx="6">
                  <c:v>2016</c:v>
                </c:pt>
              </c:numCache>
            </c:numRef>
          </c:cat>
          <c:val>
            <c:numRef>
              <c:f>Plan1!$E$4:$K$4</c:f>
              <c:numCache>
                <c:formatCode>#,##0</c:formatCode>
                <c:ptCount val="7"/>
                <c:pt idx="0">
                  <c:v>201059.41800000001</c:v>
                </c:pt>
                <c:pt idx="1">
                  <c:v>209513.02299999999</c:v>
                </c:pt>
                <c:pt idx="2">
                  <c:v>266492.82643000002</c:v>
                </c:pt>
                <c:pt idx="3">
                  <c:v>280686.38694</c:v>
                </c:pt>
                <c:pt idx="4">
                  <c:v>283725.86328000022</c:v>
                </c:pt>
                <c:pt idx="5">
                  <c:v>286409.55527999997</c:v>
                </c:pt>
                <c:pt idx="6">
                  <c:v>309069.69398000021</c:v>
                </c:pt>
              </c:numCache>
            </c:numRef>
          </c:val>
          <c:extLst xmlns:c16r2="http://schemas.microsoft.com/office/drawing/2015/06/chart">
            <c:ext xmlns:c16="http://schemas.microsoft.com/office/drawing/2014/chart" uri="{C3380CC4-5D6E-409C-BE32-E72D297353CC}">
              <c16:uniqueId val="{00000000-B961-4C60-AA06-C4B029959031}"/>
            </c:ext>
          </c:extLst>
        </c:ser>
        <c:ser>
          <c:idx val="1"/>
          <c:order val="1"/>
          <c:tx>
            <c:strRef>
              <c:f>Plan1!$A$14</c:f>
              <c:strCache>
                <c:ptCount val="1"/>
                <c:pt idx="0">
                  <c:v>Rio Grande do Sul</c:v>
                </c:pt>
              </c:strCache>
            </c:strRef>
          </c:tx>
          <c:spPr>
            <a:pattFill prst="pct75">
              <a:fgClr>
                <a:schemeClr val="tx1"/>
              </a:fgClr>
              <a:bgClr>
                <a:schemeClr val="bg1"/>
              </a:bgClr>
            </a:pattFill>
            <a:ln>
              <a:solidFill>
                <a:schemeClr val="tx1"/>
              </a:solidFill>
            </a:ln>
          </c:spPr>
          <c:invertIfNegative val="0"/>
          <c:cat>
            <c:numRef>
              <c:f>Plan1!$E$26:$K$26</c:f>
              <c:numCache>
                <c:formatCode>General</c:formatCode>
                <c:ptCount val="7"/>
                <c:pt idx="0">
                  <c:v>2010</c:v>
                </c:pt>
                <c:pt idx="1">
                  <c:v>2011</c:v>
                </c:pt>
                <c:pt idx="2">
                  <c:v>2012</c:v>
                </c:pt>
                <c:pt idx="3">
                  <c:v>2013</c:v>
                </c:pt>
                <c:pt idx="4">
                  <c:v>2014</c:v>
                </c:pt>
                <c:pt idx="5">
                  <c:v>2015</c:v>
                </c:pt>
                <c:pt idx="6">
                  <c:v>2016</c:v>
                </c:pt>
              </c:numCache>
            </c:numRef>
          </c:cat>
          <c:val>
            <c:numRef>
              <c:f>Plan1!$E$16:$K$16</c:f>
              <c:numCache>
                <c:formatCode>#,##0</c:formatCode>
                <c:ptCount val="7"/>
                <c:pt idx="0">
                  <c:v>233048.97035000011</c:v>
                </c:pt>
                <c:pt idx="1">
                  <c:v>245701.12736000001</c:v>
                </c:pt>
                <c:pt idx="2">
                  <c:v>273680.97256999998</c:v>
                </c:pt>
                <c:pt idx="3">
                  <c:v>283615.64421999996</c:v>
                </c:pt>
                <c:pt idx="4">
                  <c:v>306281.25983</c:v>
                </c:pt>
                <c:pt idx="5">
                  <c:v>335195.58332000021</c:v>
                </c:pt>
                <c:pt idx="6">
                  <c:v>353911.78281</c:v>
                </c:pt>
              </c:numCache>
            </c:numRef>
          </c:val>
          <c:extLst xmlns:c16r2="http://schemas.microsoft.com/office/drawing/2015/06/chart">
            <c:ext xmlns:c16="http://schemas.microsoft.com/office/drawing/2014/chart" uri="{C3380CC4-5D6E-409C-BE32-E72D297353CC}">
              <c16:uniqueId val="{00000001-B961-4C60-AA06-C4B029959031}"/>
            </c:ext>
          </c:extLst>
        </c:ser>
        <c:ser>
          <c:idx val="2"/>
          <c:order val="2"/>
          <c:tx>
            <c:strRef>
              <c:f>Plan1!$A$26</c:f>
              <c:strCache>
                <c:ptCount val="1"/>
                <c:pt idx="0">
                  <c:v>Santa Catarina</c:v>
                </c:pt>
              </c:strCache>
            </c:strRef>
          </c:tx>
          <c:spPr>
            <a:pattFill prst="horzBrick">
              <a:fgClr>
                <a:schemeClr val="tx1"/>
              </a:fgClr>
              <a:bgClr>
                <a:schemeClr val="bg1"/>
              </a:bgClr>
            </a:pattFill>
            <a:ln>
              <a:solidFill>
                <a:schemeClr val="tx1"/>
              </a:solidFill>
            </a:ln>
          </c:spPr>
          <c:invertIfNegative val="0"/>
          <c:cat>
            <c:numRef>
              <c:f>Plan1!$E$26:$K$26</c:f>
              <c:numCache>
                <c:formatCode>General</c:formatCode>
                <c:ptCount val="7"/>
                <c:pt idx="0">
                  <c:v>2010</c:v>
                </c:pt>
                <c:pt idx="1">
                  <c:v>2011</c:v>
                </c:pt>
                <c:pt idx="2">
                  <c:v>2012</c:v>
                </c:pt>
                <c:pt idx="3">
                  <c:v>2013</c:v>
                </c:pt>
                <c:pt idx="4">
                  <c:v>2014</c:v>
                </c:pt>
                <c:pt idx="5">
                  <c:v>2015</c:v>
                </c:pt>
                <c:pt idx="6">
                  <c:v>2016</c:v>
                </c:pt>
              </c:numCache>
            </c:numRef>
          </c:cat>
          <c:val>
            <c:numRef>
              <c:f>Plan1!$E$28:$K$28</c:f>
              <c:numCache>
                <c:formatCode>#,##0</c:formatCode>
                <c:ptCount val="7"/>
                <c:pt idx="0">
                  <c:v>228978.72199000002</c:v>
                </c:pt>
                <c:pt idx="1">
                  <c:v>260858.84805999999</c:v>
                </c:pt>
                <c:pt idx="2">
                  <c:v>285108.74569999997</c:v>
                </c:pt>
                <c:pt idx="3">
                  <c:v>310903.80458000122</c:v>
                </c:pt>
                <c:pt idx="4">
                  <c:v>342824.88051000022</c:v>
                </c:pt>
                <c:pt idx="5">
                  <c:v>379490.99646000098</c:v>
                </c:pt>
                <c:pt idx="6">
                  <c:v>396338.04442000005</c:v>
                </c:pt>
              </c:numCache>
            </c:numRef>
          </c:val>
          <c:extLst xmlns:c16r2="http://schemas.microsoft.com/office/drawing/2015/06/chart">
            <c:ext xmlns:c16="http://schemas.microsoft.com/office/drawing/2014/chart" uri="{C3380CC4-5D6E-409C-BE32-E72D297353CC}">
              <c16:uniqueId val="{00000002-B961-4C60-AA06-C4B029959031}"/>
            </c:ext>
          </c:extLst>
        </c:ser>
        <c:dLbls>
          <c:showLegendKey val="0"/>
          <c:showVal val="0"/>
          <c:showCatName val="0"/>
          <c:showSerName val="0"/>
          <c:showPercent val="0"/>
          <c:showBubbleSize val="0"/>
        </c:dLbls>
        <c:gapWidth val="150"/>
        <c:axId val="258306840"/>
        <c:axId val="258305664"/>
      </c:barChart>
      <c:catAx>
        <c:axId val="258306840"/>
        <c:scaling>
          <c:orientation val="minMax"/>
        </c:scaling>
        <c:delete val="0"/>
        <c:axPos val="b"/>
        <c:numFmt formatCode="General" sourceLinked="1"/>
        <c:majorTickMark val="out"/>
        <c:minorTickMark val="none"/>
        <c:tickLblPos val="nextTo"/>
        <c:crossAx val="258305664"/>
        <c:crosses val="autoZero"/>
        <c:auto val="1"/>
        <c:lblAlgn val="ctr"/>
        <c:lblOffset val="100"/>
        <c:noMultiLvlLbl val="0"/>
      </c:catAx>
      <c:valAx>
        <c:axId val="258305664"/>
        <c:scaling>
          <c:orientation val="minMax"/>
        </c:scaling>
        <c:delete val="0"/>
        <c:axPos val="l"/>
        <c:majorGridlines/>
        <c:numFmt formatCode="#,##0" sourceLinked="1"/>
        <c:majorTickMark val="out"/>
        <c:minorTickMark val="none"/>
        <c:tickLblPos val="nextTo"/>
        <c:crossAx val="258306840"/>
        <c:crosses val="autoZero"/>
        <c:crossBetween val="between"/>
        <c:majorUnit val="25000"/>
      </c:valAx>
      <c:spPr>
        <a:ln>
          <a:noFill/>
        </a:ln>
      </c:spPr>
    </c:plotArea>
    <c:legend>
      <c:legendPos val="r"/>
      <c:layout>
        <c:manualLayout>
          <c:xMode val="edge"/>
          <c:yMode val="edge"/>
          <c:x val="0.74302909011374141"/>
          <c:y val="0.39394185697462564"/>
          <c:w val="0.23447158496150652"/>
          <c:h val="0.22603634316393045"/>
        </c:manualLayout>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533552055993001"/>
          <c:y val="5.9051885376498019E-2"/>
          <c:w val="0.60769356955381004"/>
          <c:h val="0.84299443507978633"/>
        </c:manualLayout>
      </c:layout>
      <c:barChart>
        <c:barDir val="col"/>
        <c:grouping val="clustered"/>
        <c:varyColors val="0"/>
        <c:ser>
          <c:idx val="0"/>
          <c:order val="0"/>
          <c:tx>
            <c:strRef>
              <c:f>Plan1!$A$2</c:f>
              <c:strCache>
                <c:ptCount val="1"/>
                <c:pt idx="0">
                  <c:v>Paraná</c:v>
                </c:pt>
              </c:strCache>
            </c:strRef>
          </c:tx>
          <c:spPr>
            <a:pattFill prst="dkDnDiag">
              <a:fgClr>
                <a:schemeClr val="tx1"/>
              </a:fgClr>
              <a:bgClr>
                <a:schemeClr val="bg1"/>
              </a:bgClr>
            </a:pattFill>
            <a:ln>
              <a:solidFill>
                <a:schemeClr val="tx1"/>
              </a:solidFill>
            </a:ln>
          </c:spPr>
          <c:invertIfNegative val="0"/>
          <c:cat>
            <c:numRef>
              <c:f>Plan1!$E$14:$K$14</c:f>
              <c:numCache>
                <c:formatCode>General</c:formatCode>
                <c:ptCount val="7"/>
                <c:pt idx="0">
                  <c:v>2010</c:v>
                </c:pt>
                <c:pt idx="1">
                  <c:v>2011</c:v>
                </c:pt>
                <c:pt idx="2">
                  <c:v>2012</c:v>
                </c:pt>
                <c:pt idx="3">
                  <c:v>2013</c:v>
                </c:pt>
                <c:pt idx="4">
                  <c:v>2014</c:v>
                </c:pt>
                <c:pt idx="5">
                  <c:v>2015</c:v>
                </c:pt>
                <c:pt idx="6">
                  <c:v>2016</c:v>
                </c:pt>
              </c:numCache>
            </c:numRef>
          </c:cat>
          <c:val>
            <c:numRef>
              <c:f>Plan1!$E$9:$K$9</c:f>
              <c:numCache>
                <c:formatCode>#,##0</c:formatCode>
                <c:ptCount val="7"/>
                <c:pt idx="0">
                  <c:v>148741.03542</c:v>
                </c:pt>
                <c:pt idx="1">
                  <c:v>178019.42047999968</c:v>
                </c:pt>
                <c:pt idx="2">
                  <c:v>189915.22090000001</c:v>
                </c:pt>
                <c:pt idx="3">
                  <c:v>207923.81482</c:v>
                </c:pt>
                <c:pt idx="4">
                  <c:v>227092.45492999998</c:v>
                </c:pt>
                <c:pt idx="5">
                  <c:v>226536.84873</c:v>
                </c:pt>
                <c:pt idx="6">
                  <c:v>283136.29269000021</c:v>
                </c:pt>
              </c:numCache>
            </c:numRef>
          </c:val>
          <c:extLst xmlns:c16r2="http://schemas.microsoft.com/office/drawing/2015/06/chart">
            <c:ext xmlns:c16="http://schemas.microsoft.com/office/drawing/2014/chart" uri="{C3380CC4-5D6E-409C-BE32-E72D297353CC}">
              <c16:uniqueId val="{00000000-B73D-4901-842D-106ACBFAC40A}"/>
            </c:ext>
          </c:extLst>
        </c:ser>
        <c:ser>
          <c:idx val="1"/>
          <c:order val="1"/>
          <c:tx>
            <c:strRef>
              <c:f>Plan1!$A$14</c:f>
              <c:strCache>
                <c:ptCount val="1"/>
                <c:pt idx="0">
                  <c:v>Rio Grande do Sul</c:v>
                </c:pt>
              </c:strCache>
            </c:strRef>
          </c:tx>
          <c:spPr>
            <a:pattFill prst="pct75">
              <a:fgClr>
                <a:schemeClr val="tx1"/>
              </a:fgClr>
              <a:bgClr>
                <a:schemeClr val="bg1"/>
              </a:bgClr>
            </a:pattFill>
            <a:ln>
              <a:solidFill>
                <a:schemeClr val="tx1"/>
              </a:solidFill>
            </a:ln>
          </c:spPr>
          <c:invertIfNegative val="0"/>
          <c:cat>
            <c:numRef>
              <c:f>Plan1!$E$14:$K$14</c:f>
              <c:numCache>
                <c:formatCode>General</c:formatCode>
                <c:ptCount val="7"/>
                <c:pt idx="0">
                  <c:v>2010</c:v>
                </c:pt>
                <c:pt idx="1">
                  <c:v>2011</c:v>
                </c:pt>
                <c:pt idx="2">
                  <c:v>2012</c:v>
                </c:pt>
                <c:pt idx="3">
                  <c:v>2013</c:v>
                </c:pt>
                <c:pt idx="4">
                  <c:v>2014</c:v>
                </c:pt>
                <c:pt idx="5">
                  <c:v>2015</c:v>
                </c:pt>
                <c:pt idx="6">
                  <c:v>2016</c:v>
                </c:pt>
              </c:numCache>
            </c:numRef>
          </c:cat>
          <c:val>
            <c:numRef>
              <c:f>Plan1!$E$21:$K$21</c:f>
              <c:numCache>
                <c:formatCode>#,##0</c:formatCode>
                <c:ptCount val="7"/>
                <c:pt idx="0">
                  <c:v>161585.42898999999</c:v>
                </c:pt>
                <c:pt idx="1">
                  <c:v>181253.4126200001</c:v>
                </c:pt>
                <c:pt idx="2">
                  <c:v>220999.41621</c:v>
                </c:pt>
                <c:pt idx="3">
                  <c:v>234398.53816999999</c:v>
                </c:pt>
                <c:pt idx="4">
                  <c:v>253918.51933000001</c:v>
                </c:pt>
                <c:pt idx="5">
                  <c:v>286954.56467000028</c:v>
                </c:pt>
                <c:pt idx="6">
                  <c:v>303120.51257000002</c:v>
                </c:pt>
              </c:numCache>
            </c:numRef>
          </c:val>
          <c:extLst xmlns:c16r2="http://schemas.microsoft.com/office/drawing/2015/06/chart">
            <c:ext xmlns:c16="http://schemas.microsoft.com/office/drawing/2014/chart" uri="{C3380CC4-5D6E-409C-BE32-E72D297353CC}">
              <c16:uniqueId val="{00000001-B73D-4901-842D-106ACBFAC40A}"/>
            </c:ext>
          </c:extLst>
        </c:ser>
        <c:ser>
          <c:idx val="2"/>
          <c:order val="2"/>
          <c:tx>
            <c:strRef>
              <c:f>Plan1!$A$26</c:f>
              <c:strCache>
                <c:ptCount val="1"/>
                <c:pt idx="0">
                  <c:v>Santa Catarina</c:v>
                </c:pt>
              </c:strCache>
            </c:strRef>
          </c:tx>
          <c:spPr>
            <a:pattFill prst="horzBrick">
              <a:fgClr>
                <a:schemeClr val="tx1"/>
              </a:fgClr>
              <a:bgClr>
                <a:schemeClr val="bg1"/>
              </a:bgClr>
            </a:pattFill>
            <a:ln>
              <a:solidFill>
                <a:schemeClr val="tx1"/>
              </a:solidFill>
            </a:ln>
          </c:spPr>
          <c:invertIfNegative val="0"/>
          <c:cat>
            <c:numRef>
              <c:f>Plan1!$E$14:$K$14</c:f>
              <c:numCache>
                <c:formatCode>General</c:formatCode>
                <c:ptCount val="7"/>
                <c:pt idx="0">
                  <c:v>2010</c:v>
                </c:pt>
                <c:pt idx="1">
                  <c:v>2011</c:v>
                </c:pt>
                <c:pt idx="2">
                  <c:v>2012</c:v>
                </c:pt>
                <c:pt idx="3">
                  <c:v>2013</c:v>
                </c:pt>
                <c:pt idx="4">
                  <c:v>2014</c:v>
                </c:pt>
                <c:pt idx="5">
                  <c:v>2015</c:v>
                </c:pt>
                <c:pt idx="6">
                  <c:v>2016</c:v>
                </c:pt>
              </c:numCache>
            </c:numRef>
          </c:cat>
          <c:val>
            <c:numRef>
              <c:f>Plan1!$E$33:$K$33</c:f>
              <c:numCache>
                <c:formatCode>#,##0</c:formatCode>
                <c:ptCount val="7"/>
                <c:pt idx="0">
                  <c:v>87852.238369999992</c:v>
                </c:pt>
                <c:pt idx="1">
                  <c:v>100744.83532000033</c:v>
                </c:pt>
                <c:pt idx="2">
                  <c:v>109917.93726000001</c:v>
                </c:pt>
                <c:pt idx="3">
                  <c:v>118635.14159999999</c:v>
                </c:pt>
                <c:pt idx="4">
                  <c:v>139554.63990000001</c:v>
                </c:pt>
                <c:pt idx="5">
                  <c:v>155332.84510000001</c:v>
                </c:pt>
                <c:pt idx="6">
                  <c:v>170398.98046999914</c:v>
                </c:pt>
              </c:numCache>
            </c:numRef>
          </c:val>
          <c:extLst xmlns:c16r2="http://schemas.microsoft.com/office/drawing/2015/06/chart">
            <c:ext xmlns:c16="http://schemas.microsoft.com/office/drawing/2014/chart" uri="{C3380CC4-5D6E-409C-BE32-E72D297353CC}">
              <c16:uniqueId val="{00000002-B73D-4901-842D-106ACBFAC40A}"/>
            </c:ext>
          </c:extLst>
        </c:ser>
        <c:dLbls>
          <c:showLegendKey val="0"/>
          <c:showVal val="0"/>
          <c:showCatName val="0"/>
          <c:showSerName val="0"/>
          <c:showPercent val="0"/>
          <c:showBubbleSize val="0"/>
        </c:dLbls>
        <c:gapWidth val="150"/>
        <c:axId val="325172776"/>
        <c:axId val="325171992"/>
      </c:barChart>
      <c:catAx>
        <c:axId val="325172776"/>
        <c:scaling>
          <c:orientation val="minMax"/>
        </c:scaling>
        <c:delete val="0"/>
        <c:axPos val="b"/>
        <c:numFmt formatCode="General" sourceLinked="1"/>
        <c:majorTickMark val="out"/>
        <c:minorTickMark val="none"/>
        <c:tickLblPos val="nextTo"/>
        <c:crossAx val="325171992"/>
        <c:crosses val="autoZero"/>
        <c:auto val="1"/>
        <c:lblAlgn val="ctr"/>
        <c:lblOffset val="100"/>
        <c:noMultiLvlLbl val="0"/>
      </c:catAx>
      <c:valAx>
        <c:axId val="325171992"/>
        <c:scaling>
          <c:orientation val="minMax"/>
        </c:scaling>
        <c:delete val="0"/>
        <c:axPos val="l"/>
        <c:majorGridlines/>
        <c:numFmt formatCode="#,##0" sourceLinked="1"/>
        <c:majorTickMark val="out"/>
        <c:minorTickMark val="none"/>
        <c:tickLblPos val="nextTo"/>
        <c:crossAx val="325172776"/>
        <c:crosses val="autoZero"/>
        <c:crossBetween val="between"/>
        <c:majorUnit val="25000"/>
      </c:valAx>
    </c:plotArea>
    <c:legend>
      <c:legendPos val="r"/>
      <c:layout>
        <c:manualLayout>
          <c:xMode val="edge"/>
          <c:yMode val="edge"/>
          <c:x val="0.74302909011374119"/>
          <c:y val="0.39394185697462553"/>
          <c:w val="0.23493314319961991"/>
          <c:h val="0.22603634316393043"/>
        </c:manualLayou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77EC95-45C1-4FDA-ADF1-60722AF03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7367</Words>
  <Characters>39784</Characters>
  <Application>Microsoft Office Word</Application>
  <DocSecurity>0</DocSecurity>
  <Lines>331</Lines>
  <Paragraphs>94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47057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2018-06-25T20:03:00Z</dcterms:created>
  <dcterms:modified xsi:type="dcterms:W3CDTF">2018-06-25T20:03:00Z</dcterms:modified>
</cp:coreProperties>
</file>