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9E" w:rsidRDefault="001F229E" w:rsidP="00577A44">
      <w:pPr>
        <w:rPr>
          <w:b/>
          <w:sz w:val="32"/>
          <w:szCs w:val="32"/>
        </w:rPr>
      </w:pPr>
    </w:p>
    <w:p w:rsidR="001F229E" w:rsidRDefault="008C12BA" w:rsidP="00B86F25">
      <w:pPr>
        <w:jc w:val="center"/>
        <w:rPr>
          <w:b/>
          <w:sz w:val="32"/>
          <w:szCs w:val="32"/>
        </w:rPr>
      </w:pPr>
      <w:r w:rsidRPr="008840A5">
        <w:rPr>
          <w:b/>
          <w:sz w:val="32"/>
          <w:szCs w:val="32"/>
        </w:rPr>
        <w:t xml:space="preserve">EVIDENCIAÇÃO DA CARGA TRIBUTÁRIA NA </w:t>
      </w:r>
    </w:p>
    <w:p w:rsidR="00B86F25" w:rsidRPr="008840A5" w:rsidRDefault="008C12BA" w:rsidP="00B86F25">
      <w:pPr>
        <w:jc w:val="center"/>
        <w:rPr>
          <w:b/>
          <w:sz w:val="32"/>
          <w:szCs w:val="32"/>
        </w:rPr>
      </w:pPr>
      <w:r w:rsidRPr="008840A5">
        <w:rPr>
          <w:b/>
          <w:sz w:val="32"/>
          <w:szCs w:val="32"/>
        </w:rPr>
        <w:t>DEMONSTRAÇÃO DO VALOR ADICIONADO (DVA) EM COMPANHIAS DO SETOR ELÉTRICO</w:t>
      </w:r>
    </w:p>
    <w:p w:rsidR="00E70B6F" w:rsidRPr="008840A5" w:rsidRDefault="00E70B6F" w:rsidP="008840A5">
      <w:pPr>
        <w:jc w:val="center"/>
        <w:rPr>
          <w:b/>
          <w:sz w:val="32"/>
          <w:szCs w:val="32"/>
        </w:rPr>
      </w:pPr>
    </w:p>
    <w:p w:rsidR="00E70B6F" w:rsidRDefault="00252010" w:rsidP="008840A5">
      <w:pPr>
        <w:jc w:val="center"/>
        <w:rPr>
          <w:b/>
        </w:rPr>
      </w:pPr>
      <w:r w:rsidRPr="008840A5">
        <w:rPr>
          <w:b/>
        </w:rPr>
        <w:t>Pedro Manna</w:t>
      </w:r>
    </w:p>
    <w:p w:rsidR="008840A5" w:rsidRDefault="008840A5" w:rsidP="008840A5">
      <w:pPr>
        <w:jc w:val="center"/>
      </w:pPr>
      <w:r>
        <w:t>Universidade Federal de Santa Catarina (UFSC)</w:t>
      </w:r>
    </w:p>
    <w:p w:rsidR="008840A5" w:rsidRPr="008840A5" w:rsidRDefault="008840A5" w:rsidP="008840A5">
      <w:pPr>
        <w:jc w:val="center"/>
        <w:rPr>
          <w:sz w:val="22"/>
          <w:szCs w:val="22"/>
        </w:rPr>
      </w:pPr>
      <w:r w:rsidRPr="008840A5">
        <w:rPr>
          <w:sz w:val="22"/>
          <w:szCs w:val="22"/>
        </w:rPr>
        <w:t>pedromanna1996@gmail.com</w:t>
      </w:r>
    </w:p>
    <w:p w:rsidR="008840A5" w:rsidRPr="008840A5" w:rsidRDefault="008840A5" w:rsidP="008840A5">
      <w:pPr>
        <w:jc w:val="center"/>
      </w:pPr>
    </w:p>
    <w:p w:rsidR="00E70B6F" w:rsidRDefault="00252010" w:rsidP="008840A5">
      <w:pPr>
        <w:jc w:val="center"/>
        <w:rPr>
          <w:b/>
        </w:rPr>
      </w:pPr>
      <w:r w:rsidRPr="008840A5">
        <w:rPr>
          <w:b/>
        </w:rPr>
        <w:t>Sergio Murilo Petri</w:t>
      </w:r>
    </w:p>
    <w:p w:rsidR="008840A5" w:rsidRDefault="008840A5" w:rsidP="008840A5">
      <w:pPr>
        <w:jc w:val="center"/>
      </w:pPr>
      <w:r>
        <w:t>Universidade Federal de Santa Catarina (UFSC)</w:t>
      </w:r>
    </w:p>
    <w:p w:rsidR="00E70B6F" w:rsidRPr="005D258D" w:rsidRDefault="008840A5" w:rsidP="005D258D">
      <w:pPr>
        <w:jc w:val="center"/>
        <w:rPr>
          <w:sz w:val="22"/>
          <w:szCs w:val="22"/>
        </w:rPr>
      </w:pPr>
      <w:r w:rsidRPr="008840A5">
        <w:rPr>
          <w:sz w:val="22"/>
          <w:szCs w:val="22"/>
        </w:rPr>
        <w:t>smpetri@gmail.com</w:t>
      </w:r>
    </w:p>
    <w:p w:rsidR="00E70B6F" w:rsidRDefault="00E70B6F" w:rsidP="00B86F25">
      <w:pPr>
        <w:jc w:val="center"/>
      </w:pPr>
    </w:p>
    <w:p w:rsidR="00E70B6F" w:rsidRDefault="00E70B6F" w:rsidP="00E70B6F">
      <w:pPr>
        <w:jc w:val="both"/>
        <w:rPr>
          <w:b/>
        </w:rPr>
      </w:pPr>
      <w:r w:rsidRPr="008840A5">
        <w:rPr>
          <w:b/>
        </w:rPr>
        <w:t>RESUMO:</w:t>
      </w:r>
    </w:p>
    <w:p w:rsidR="008C12BA" w:rsidRPr="006D2077" w:rsidRDefault="006D2077" w:rsidP="00E70B6F">
      <w:pPr>
        <w:jc w:val="both"/>
      </w:pPr>
      <w:r>
        <w:t>O tema tributos, muito se é discutido na atualidade, com relação a forma que isso acaba impedindo com que as empresas consigam crescer e se desenvolver, isso não é diferente no setor elétrico</w:t>
      </w:r>
      <w:r w:rsidR="002372BD">
        <w:t>, se tratando de um setor que oferece um serviço de necessidade básica para humanidade</w:t>
      </w:r>
      <w:r>
        <w:t xml:space="preserve">. </w:t>
      </w:r>
      <w:r w:rsidR="00BF7E49">
        <w:t>O objetivo do presente artigo é esclarecer se há diferenciação entre a carga tributária paga pelas empresas do setor elétrico de distribuição e as empresas de geração/transmissão. Foi utilizado o método de pesquisa de levantamento, sendo uma pesquisa descritiva, qualitativa e exploratória. Sendo assim os principais resultados analisados foram as tabelas confeccionadas</w:t>
      </w:r>
      <w:r w:rsidR="00F6386E">
        <w:t xml:space="preserve"> e as comparações </w:t>
      </w:r>
      <w:r w:rsidR="00BF7E49">
        <w:t>entre as empre</w:t>
      </w:r>
      <w:r w:rsidR="00F6386E">
        <w:t>sas do mesmo segmento e entre</w:t>
      </w:r>
      <w:r w:rsidR="00BF7E49">
        <w:t xml:space="preserve"> empresas de segmentos diferentes, afim de traçar uma comparação entre elas.</w:t>
      </w:r>
      <w:r w:rsidR="00206246">
        <w:t xml:space="preserve"> A principal conclusão retirada do artigo em questão, é a existência de uma diferença entre o quanto empresas de distribuição destinam ao governo e quanto as empresas de geração/transmissão, mostrando que o segmento de distribuição aloca muito mais recurso para o pagamento de Impostos, Taxas e Contribuições, que o segmento de geração/transmissão. Outra indagação abordada no trabalho seria questão de que forma eventos fora das companhias afetam suas cargas tributárias, onde nos anos de 2015, 2016 e 2017 apresentam um aumento com relação aos outros anos estudados.</w:t>
      </w:r>
    </w:p>
    <w:p w:rsidR="00E70B6F" w:rsidRDefault="00E70B6F" w:rsidP="00E70B6F">
      <w:pPr>
        <w:jc w:val="both"/>
      </w:pPr>
    </w:p>
    <w:p w:rsidR="00252010" w:rsidRDefault="00E70B6F" w:rsidP="00E70B6F">
      <w:pPr>
        <w:jc w:val="both"/>
      </w:pPr>
      <w:r w:rsidRPr="008840A5">
        <w:rPr>
          <w:b/>
        </w:rPr>
        <w:t>Palavras-chaves:</w:t>
      </w:r>
      <w:r w:rsidR="00252010">
        <w:t xml:space="preserve"> Demonstração do valor adicionado (DVA), tributos, setor elétrico.</w:t>
      </w:r>
    </w:p>
    <w:p w:rsidR="00E70B6F" w:rsidRDefault="00E70B6F" w:rsidP="00E70B6F">
      <w:pPr>
        <w:jc w:val="both"/>
      </w:pPr>
    </w:p>
    <w:p w:rsidR="00577A44" w:rsidRPr="00742DFE" w:rsidRDefault="008840A5" w:rsidP="00E70B6F">
      <w:pPr>
        <w:jc w:val="both"/>
        <w:rPr>
          <w:b/>
        </w:rPr>
      </w:pPr>
      <w:r w:rsidRPr="008840A5">
        <w:rPr>
          <w:b/>
        </w:rPr>
        <w:t>Área temática: Contabilidade tributaria</w:t>
      </w:r>
    </w:p>
    <w:p w:rsidR="00577A44" w:rsidRDefault="00577A44" w:rsidP="00E70B6F">
      <w:pPr>
        <w:jc w:val="both"/>
      </w:pPr>
    </w:p>
    <w:p w:rsidR="00C82114" w:rsidRPr="006F71B3" w:rsidRDefault="008C12BA" w:rsidP="00E70B6F">
      <w:pPr>
        <w:jc w:val="both"/>
        <w:rPr>
          <w:b/>
        </w:rPr>
      </w:pPr>
      <w:r w:rsidRPr="006F71B3">
        <w:rPr>
          <w:b/>
        </w:rPr>
        <w:t>1 INTRODUÇÃO</w:t>
      </w:r>
    </w:p>
    <w:p w:rsidR="001B1B59" w:rsidRDefault="001B1B59" w:rsidP="00E70B6F">
      <w:pPr>
        <w:jc w:val="both"/>
      </w:pPr>
    </w:p>
    <w:p w:rsidR="00B95378" w:rsidRDefault="008A0004" w:rsidP="003F7056">
      <w:pPr>
        <w:ind w:firstLine="709"/>
        <w:jc w:val="both"/>
      </w:pPr>
      <w:r>
        <w:t>A energ</w:t>
      </w:r>
      <w:r w:rsidR="00986767">
        <w:t>ia elétrica cada vez mais torna-</w:t>
      </w:r>
      <w:r>
        <w:t xml:space="preserve">se fundamental para sobrevivência da sociedade moderna, e indispensável para o desenvolvimento </w:t>
      </w:r>
      <w:r w:rsidR="00E741D9">
        <w:t xml:space="preserve">econômico e social </w:t>
      </w:r>
      <w:r>
        <w:t xml:space="preserve">das </w:t>
      </w:r>
      <w:r>
        <w:lastRenderedPageBreak/>
        <w:t xml:space="preserve">nações, no nosso pais a maior parte da produção de energia elétrica vem de fontes hídricas e termoelétricas (ANEEL). </w:t>
      </w:r>
    </w:p>
    <w:p w:rsidR="008A0004" w:rsidRDefault="00B95378" w:rsidP="003F7056">
      <w:pPr>
        <w:ind w:firstLine="709"/>
        <w:jc w:val="both"/>
      </w:pPr>
      <w:r>
        <w:t>Hoje nesse setor encontramos três tipos de atividade fim para as empresas de energia elétrica, podendo ser: geração</w:t>
      </w:r>
      <w:r w:rsidR="00E741D9">
        <w:t>, transmissão</w:t>
      </w:r>
      <w:r>
        <w:t xml:space="preserve"> ou distribuição </w:t>
      </w:r>
      <w:proofErr w:type="spellStart"/>
      <w:r w:rsidR="00E741D9">
        <w:t>alem</w:t>
      </w:r>
      <w:proofErr w:type="spellEnd"/>
      <w:r w:rsidR="00E741D9">
        <w:t xml:space="preserve"> das companhias de holding desse seguimento.</w:t>
      </w:r>
    </w:p>
    <w:p w:rsidR="008A0004" w:rsidRDefault="008A0004" w:rsidP="003F7056">
      <w:pPr>
        <w:ind w:firstLine="709"/>
        <w:jc w:val="both"/>
      </w:pPr>
      <w:r>
        <w:t xml:space="preserve">Atualmente a agencia nacional de energia elétrica (ANEEL) regula o setor, sua função principal é proporcionar um ambiente favorável para o mercado de </w:t>
      </w:r>
      <w:r w:rsidR="001B1B59">
        <w:t>geração, transmissão</w:t>
      </w:r>
      <w:r>
        <w:t xml:space="preserve"> e distribuição de energia </w:t>
      </w:r>
      <w:r w:rsidR="001B1B59">
        <w:t>elétrica.</w:t>
      </w:r>
    </w:p>
    <w:p w:rsidR="00AB490B" w:rsidRDefault="00AB490B" w:rsidP="00AB490B">
      <w:pPr>
        <w:ind w:firstLine="709"/>
        <w:jc w:val="both"/>
      </w:pPr>
      <w:r>
        <w:t>Cabe a ANEEL</w:t>
      </w:r>
      <w:r w:rsidR="008C12BA">
        <w:t xml:space="preserve"> (</w:t>
      </w:r>
      <w:r w:rsidR="00CC4C02" w:rsidRPr="00CC4C02">
        <w:t>2018</w:t>
      </w:r>
      <w:r w:rsidR="008C12BA">
        <w:t>)</w:t>
      </w:r>
      <w:r>
        <w:t xml:space="preserve"> e Ministério de minas e energia:</w:t>
      </w:r>
    </w:p>
    <w:p w:rsidR="003F7056" w:rsidRPr="00651312" w:rsidRDefault="00AB490B" w:rsidP="00172879">
      <w:pPr>
        <w:ind w:left="2268"/>
        <w:jc w:val="both"/>
        <w:rPr>
          <w:sz w:val="20"/>
          <w:szCs w:val="20"/>
        </w:rPr>
      </w:pPr>
      <w:r>
        <w:rPr>
          <w:sz w:val="20"/>
          <w:szCs w:val="20"/>
        </w:rPr>
        <w:t>C</w:t>
      </w:r>
      <w:r w:rsidR="00651312" w:rsidRPr="00651312">
        <w:rPr>
          <w:sz w:val="20"/>
          <w:szCs w:val="20"/>
        </w:rPr>
        <w:t>onceder o direito de exploração dos serviços de geração, transmissão, distribuição e comercialização de energia elétrica. Além disso, a ANEEL também define as tarifas de energia, de acordo com o que está estabelecido em lei e nos contratos de concessão assinados com as empresas.</w:t>
      </w:r>
      <w:r w:rsidR="00651312">
        <w:rPr>
          <w:sz w:val="20"/>
          <w:szCs w:val="20"/>
        </w:rPr>
        <w:t xml:space="preserve"> (ANEEL)</w:t>
      </w:r>
    </w:p>
    <w:p w:rsidR="008A0004" w:rsidRDefault="00125800" w:rsidP="003F7056">
      <w:pPr>
        <w:ind w:firstLine="709"/>
        <w:jc w:val="both"/>
      </w:pPr>
      <w:r>
        <w:t>Atualmente um ponto de discussão é sobre as tarifas de energia elétrica, o que</w:t>
      </w:r>
      <w:r w:rsidR="00304652">
        <w:t xml:space="preserve"> afeta diretamente essa cobrança tarifaria</w:t>
      </w:r>
      <w:r>
        <w:t xml:space="preserve"> são principalmente os efeitos da natureza já que dependemos diretamente das fontes hidrelétricas e consequentemente da chuva, no entanto algo que atinge de forma catastrófica as tarifas de EE é a enorme carga </w:t>
      </w:r>
      <w:proofErr w:type="spellStart"/>
      <w:r>
        <w:t>tributaria</w:t>
      </w:r>
      <w:proofErr w:type="spellEnd"/>
      <w:r>
        <w:t xml:space="preserve"> nacional, cerca de metade da tarifa para o consumidor final é composta por tributos (ANEEL</w:t>
      </w:r>
      <w:r w:rsidR="008C12BA">
        <w:t>,</w:t>
      </w:r>
      <w:r w:rsidR="00CC4C02">
        <w:rPr>
          <w:color w:val="FF0000"/>
        </w:rPr>
        <w:t xml:space="preserve"> </w:t>
      </w:r>
      <w:r w:rsidR="00CC4C02">
        <w:t>2018</w:t>
      </w:r>
      <w:r>
        <w:t>)</w:t>
      </w:r>
    </w:p>
    <w:p w:rsidR="00B95378" w:rsidRDefault="00C82114" w:rsidP="003F7056">
      <w:pPr>
        <w:ind w:firstLine="709"/>
        <w:jc w:val="both"/>
      </w:pPr>
      <w:r>
        <w:t xml:space="preserve">Um dos grandes problemas do Brasil </w:t>
      </w:r>
      <w:r w:rsidR="00E13260">
        <w:t xml:space="preserve">atualmente </w:t>
      </w:r>
      <w:proofErr w:type="spellStart"/>
      <w:r w:rsidR="00125800">
        <w:t>éessa</w:t>
      </w:r>
      <w:proofErr w:type="spellEnd"/>
      <w:r>
        <w:t xml:space="preserve"> enorme carga </w:t>
      </w:r>
      <w:r w:rsidR="007F5C6B">
        <w:t>tributária</w:t>
      </w:r>
      <w:r>
        <w:t xml:space="preserve"> que afeta não somente as grandes empresas mais também toda a população, isso não é diferente no setor elétrico</w:t>
      </w:r>
      <w:r w:rsidR="006F4804">
        <w:t xml:space="preserve">, </w:t>
      </w:r>
      <w:r>
        <w:t xml:space="preserve">os encargos </w:t>
      </w:r>
      <w:r w:rsidR="00B95378">
        <w:t xml:space="preserve">desse setor </w:t>
      </w:r>
      <w:r w:rsidR="007F5C6B">
        <w:t>como por exemplo</w:t>
      </w:r>
      <w:r w:rsidR="00125800">
        <w:t>,</w:t>
      </w:r>
      <w:r w:rsidR="007F5C6B">
        <w:t xml:space="preserve"> o ESS</w:t>
      </w:r>
      <w:r w:rsidR="00304652">
        <w:t>,</w:t>
      </w:r>
      <w:r w:rsidR="007F5C6B">
        <w:t xml:space="preserve"> – encarg</w:t>
      </w:r>
      <w:r w:rsidR="00304652">
        <w:t>os de serviço de sistema – ONS,</w:t>
      </w:r>
      <w:r w:rsidR="007F5C6B">
        <w:t xml:space="preserve"> - contribuição ao operador nacional do sistema elétrico </w:t>
      </w:r>
      <w:r w:rsidR="00304652">
        <w:t>– ou o CFURH – contribuição financeira pela utilização de recursos hídricos</w:t>
      </w:r>
      <w:r w:rsidR="00A92E6B">
        <w:t xml:space="preserve">, </w:t>
      </w:r>
      <w:r w:rsidR="00A56D6E">
        <w:t>afetam diretam</w:t>
      </w:r>
      <w:r w:rsidR="006F4804">
        <w:t>ente o andamento das companhias (DIAS, 2016).</w:t>
      </w:r>
    </w:p>
    <w:p w:rsidR="00A56D6E" w:rsidRDefault="00B95378" w:rsidP="003F7056">
      <w:pPr>
        <w:ind w:firstLine="709"/>
        <w:jc w:val="both"/>
      </w:pPr>
      <w:r>
        <w:t xml:space="preserve"> As</w:t>
      </w:r>
      <w:r w:rsidR="00A56D6E">
        <w:t xml:space="preserve"> obrigações </w:t>
      </w:r>
      <w:r>
        <w:t xml:space="preserve">com empregados, agentes financeiros, acionistas e o governo </w:t>
      </w:r>
      <w:r w:rsidR="00A56D6E">
        <w:t>estão evidenciadas na demonstração do valor adicionados das organizações, demonstração</w:t>
      </w:r>
      <w:r>
        <w:t xml:space="preserve"> essa</w:t>
      </w:r>
      <w:r w:rsidR="00A56D6E">
        <w:t xml:space="preserve"> obrigatória para todas as companhias do setor com capital aberto (MCSE, 2015)</w:t>
      </w:r>
      <w:r w:rsidR="00E741D9">
        <w:t>,</w:t>
      </w:r>
      <w:r w:rsidR="00E13260">
        <w:t xml:space="preserve"> que deve</w:t>
      </w:r>
      <w:r w:rsidR="00304652">
        <w:t>m</w:t>
      </w:r>
      <w:r w:rsidR="00E13260">
        <w:t xml:space="preserve"> s</w:t>
      </w:r>
      <w:r w:rsidR="00412CB6">
        <w:t xml:space="preserve">er </w:t>
      </w:r>
      <w:proofErr w:type="spellStart"/>
      <w:r w:rsidR="00412CB6">
        <w:t>elaborada</w:t>
      </w:r>
      <w:r w:rsidR="00304652">
        <w:t>s</w:t>
      </w:r>
      <w:r>
        <w:t>e</w:t>
      </w:r>
      <w:proofErr w:type="spellEnd"/>
      <w:r>
        <w:t xml:space="preserve"> </w:t>
      </w:r>
      <w:proofErr w:type="spellStart"/>
      <w:r>
        <w:t>auditada</w:t>
      </w:r>
      <w:r w:rsidR="00304652">
        <w:t>s</w:t>
      </w:r>
      <w:r w:rsidR="00412CB6">
        <w:t>conforme</w:t>
      </w:r>
      <w:proofErr w:type="spellEnd"/>
      <w:r w:rsidR="00412CB6">
        <w:t xml:space="preserve"> resolução </w:t>
      </w:r>
      <w:r w:rsidR="00E13260">
        <w:t>do CPC 09,</w:t>
      </w:r>
      <w:r w:rsidR="00A56D6E">
        <w:t xml:space="preserve"> além das t</w:t>
      </w:r>
      <w:r>
        <w:t>axas relacionadas com a co</w:t>
      </w:r>
      <w:r w:rsidR="00AB490B">
        <w:t>n</w:t>
      </w:r>
      <w:r>
        <w:t>cessão</w:t>
      </w:r>
      <w:r w:rsidR="00A56D6E">
        <w:t xml:space="preserve">, os juros sobre capital próprio </w:t>
      </w:r>
      <w:r w:rsidR="004B2EA7">
        <w:t>e di</w:t>
      </w:r>
      <w:r w:rsidR="006C52A9">
        <w:t>videndos, segundo</w:t>
      </w:r>
      <w:r w:rsidR="004B2EA7">
        <w:t xml:space="preserve"> consta em </w:t>
      </w:r>
      <w:proofErr w:type="spellStart"/>
      <w:r w:rsidR="004B2EA7">
        <w:t>S</w:t>
      </w:r>
      <w:r w:rsidR="00376696">
        <w:t>a</w:t>
      </w:r>
      <w:r w:rsidR="004B2EA7">
        <w:t>chsida</w:t>
      </w:r>
      <w:proofErr w:type="spellEnd"/>
      <w:r w:rsidR="004B2EA7">
        <w:t xml:space="preserve"> (2012, p.02) “ os impostos são de extrema importância para o estado pois tem papel rele</w:t>
      </w:r>
      <w:r>
        <w:t>vante para a sociedade moderna”, o que justificaria essa enorme tributação</w:t>
      </w:r>
      <w:r w:rsidR="00986767">
        <w:t>”</w:t>
      </w:r>
      <w:r>
        <w:t>.</w:t>
      </w:r>
    </w:p>
    <w:p w:rsidR="001F229E" w:rsidRDefault="001F229E" w:rsidP="003F7056">
      <w:pPr>
        <w:ind w:firstLine="709"/>
        <w:jc w:val="both"/>
      </w:pPr>
    </w:p>
    <w:p w:rsidR="003F7056" w:rsidRPr="00CC4C02" w:rsidRDefault="003F7056" w:rsidP="00CC4C02">
      <w:pPr>
        <w:ind w:firstLine="709"/>
        <w:jc w:val="both"/>
        <w:rPr>
          <w:color w:val="FF0000"/>
        </w:rPr>
      </w:pPr>
      <w:r>
        <w:t xml:space="preserve">Conforme a problematização destacada, a questão que rege esse artigo é: </w:t>
      </w:r>
      <w:r w:rsidR="005556DA">
        <w:rPr>
          <w:b/>
        </w:rPr>
        <w:t>Existe diferença na destinação do valor adicionado – Impostos, Taxas e Contribuições - entre as empresas do setor elétrico do segmento de distribuição e geração/transmissão?</w:t>
      </w:r>
      <w:r w:rsidR="00672A47" w:rsidRPr="008D1CC6">
        <w:t xml:space="preserve"> </w:t>
      </w:r>
      <w:r w:rsidR="00986767" w:rsidRPr="008D1CC6">
        <w:t xml:space="preserve">A pesquisa </w:t>
      </w:r>
      <w:r w:rsidR="000460B9" w:rsidRPr="008D1CC6">
        <w:t>t</w:t>
      </w:r>
      <w:r w:rsidR="00672A47" w:rsidRPr="008D1CC6">
        <w:t>em</w:t>
      </w:r>
      <w:r w:rsidRPr="008D1CC6">
        <w:t xml:space="preserve"> como objetivo geral</w:t>
      </w:r>
      <w:r w:rsidR="00CC4C02">
        <w:rPr>
          <w:color w:val="FF0000"/>
        </w:rPr>
        <w:t xml:space="preserve"> </w:t>
      </w:r>
      <w:r w:rsidR="00CC4C02" w:rsidRPr="00CC4C02">
        <w:t>efetuar um levantamento com base na demonstração do valor adicionado afim de identificar de que forma a carga tributária afeta as companhias do setor elétrico, tanto no seguimento de distribuição quanto no de geração/transmissão</w:t>
      </w:r>
      <w:r w:rsidR="00672A47" w:rsidRPr="008D1CC6">
        <w:t xml:space="preserve">. Ainda, como objetivos específicos: a) analisar a base de dados gerada através de pesquisa; b) traçar uma análise geral dos resultados obtidos. </w:t>
      </w:r>
    </w:p>
    <w:p w:rsidR="001868F4" w:rsidRDefault="00A56D6E" w:rsidP="001868F4">
      <w:pPr>
        <w:ind w:firstLine="709"/>
        <w:jc w:val="both"/>
      </w:pPr>
      <w:r w:rsidRPr="008D1CC6">
        <w:t>O presente artigo</w:t>
      </w:r>
      <w:r w:rsidR="0011233F" w:rsidRPr="008D1CC6">
        <w:t xml:space="preserve"> tem </w:t>
      </w:r>
      <w:r w:rsidR="0011233F" w:rsidRPr="00CC4C02">
        <w:t xml:space="preserve">como </w:t>
      </w:r>
      <w:r w:rsidR="008C12BA" w:rsidRPr="00CC4C02">
        <w:t xml:space="preserve">objetivos </w:t>
      </w:r>
      <w:r w:rsidR="00CC4C02" w:rsidRPr="00CC4C02">
        <w:t>específicos</w:t>
      </w:r>
      <w:r w:rsidR="0011233F" w:rsidRPr="00CC4C02">
        <w:t xml:space="preserve"> </w:t>
      </w:r>
      <w:r w:rsidR="008C12BA" w:rsidRPr="00CC4C02">
        <w:t>(i) levantar as informações</w:t>
      </w:r>
      <w:r w:rsidR="0011233F" w:rsidRPr="00CC4C02">
        <w:t xml:space="preserve"> as</w:t>
      </w:r>
      <w:r w:rsidR="0011233F" w:rsidRPr="008D1CC6">
        <w:t xml:space="preserve"> demon</w:t>
      </w:r>
      <w:r w:rsidR="00DA4D04">
        <w:t xml:space="preserve">strações do valor adicionado de 4 </w:t>
      </w:r>
      <w:r w:rsidR="0011233F" w:rsidRPr="008D1CC6">
        <w:t xml:space="preserve"> companhia</w:t>
      </w:r>
      <w:r w:rsidR="00C82114" w:rsidRPr="008D1CC6">
        <w:t>s</w:t>
      </w:r>
      <w:r w:rsidR="0011233F" w:rsidRPr="008D1CC6">
        <w:t xml:space="preserve"> do setor elétrico no intervalo de </w:t>
      </w:r>
      <w:r w:rsidR="0011233F" w:rsidRPr="008D1CC6">
        <w:lastRenderedPageBreak/>
        <w:t xml:space="preserve">tempo de 2007 até 2017, </w:t>
      </w:r>
      <w:r w:rsidR="00C82114" w:rsidRPr="008D1CC6">
        <w:t>investigando o campo “distribuição do valor adicionado”</w:t>
      </w:r>
      <w:r w:rsidR="00E741D9" w:rsidRPr="008D1CC6">
        <w:t xml:space="preserve"> – riquezas geradas pelas companhias - </w:t>
      </w:r>
      <w:r w:rsidR="000460B9" w:rsidRPr="008D1CC6">
        <w:t>e sua subconta – Remuneração do governo (Impostos, taxas e contribuições)</w:t>
      </w:r>
      <w:r w:rsidR="00C82114" w:rsidRPr="008D1CC6">
        <w:t xml:space="preserve">, afim de </w:t>
      </w:r>
      <w:r w:rsidR="008C12BA">
        <w:t>(</w:t>
      </w:r>
      <w:proofErr w:type="spellStart"/>
      <w:r w:rsidR="008C12BA">
        <w:t>ii</w:t>
      </w:r>
      <w:proofErr w:type="spellEnd"/>
      <w:r w:rsidR="008C12BA">
        <w:t xml:space="preserve">) </w:t>
      </w:r>
      <w:r w:rsidR="00C82114" w:rsidRPr="008D1CC6">
        <w:t>identificar de que forma está sendo destinado</w:t>
      </w:r>
      <w:r w:rsidR="00144ECD" w:rsidRPr="008D1CC6">
        <w:t xml:space="preserve"> os valores para esse agente</w:t>
      </w:r>
      <w:r w:rsidR="00E13260" w:rsidRPr="008D1CC6">
        <w:t>, por meio de uma pesquisa descritiva</w:t>
      </w:r>
      <w:r w:rsidR="00B95378" w:rsidRPr="008D1CC6">
        <w:t xml:space="preserve"> na base de dados</w:t>
      </w:r>
      <w:r w:rsidR="00DA4D04">
        <w:t xml:space="preserve"> da BM&amp;FBOVESPA</w:t>
      </w:r>
      <w:r w:rsidR="00B95378" w:rsidRPr="008D1CC6">
        <w:t>, com o objetivo de identificar a existência de uma variação desses valores com relação a atividade fim da companhia.</w:t>
      </w:r>
    </w:p>
    <w:p w:rsidR="001868F4" w:rsidRDefault="001868F4" w:rsidP="001868F4">
      <w:pPr>
        <w:ind w:firstLine="709"/>
        <w:jc w:val="both"/>
        <w:rPr>
          <w:color w:val="FF0000"/>
        </w:rPr>
      </w:pPr>
      <w:r>
        <w:t>Justifica-se a pesquisa com base no tema atual que é a carga tributária no Brasil, e com isso mostrar o quanto está sendo afetada as companhias do setor elétrico brasileiro</w:t>
      </w:r>
      <w:r w:rsidR="00CC4C02">
        <w:t xml:space="preserve"> como na pesquisa de </w:t>
      </w:r>
      <w:proofErr w:type="spellStart"/>
      <w:r w:rsidR="00CC4C02" w:rsidRPr="00CC4C02">
        <w:t>Morch</w:t>
      </w:r>
      <w:proofErr w:type="spellEnd"/>
      <w:r w:rsidR="00CC4C02" w:rsidRPr="00CC4C02">
        <w:t xml:space="preserve"> (2008)</w:t>
      </w:r>
      <w:r>
        <w:t>, evidenciando o quanto os tributos podem ou não prejudicar uma empresa</w:t>
      </w:r>
      <w:r w:rsidR="00FE2EA7">
        <w:t xml:space="preserve"> como fica explicitado no trabalho de </w:t>
      </w:r>
      <w:proofErr w:type="spellStart"/>
      <w:r w:rsidR="00FE2EA7" w:rsidRPr="00FE2EA7">
        <w:t>Krounbauer</w:t>
      </w:r>
      <w:proofErr w:type="spellEnd"/>
      <w:r w:rsidR="00FE2EA7" w:rsidRPr="00FE2EA7">
        <w:t xml:space="preserve"> (2009)</w:t>
      </w:r>
      <w:r>
        <w:t>, tanto do seguimento de geração quanto de distribuição de insumo de energia elétrica</w:t>
      </w:r>
    </w:p>
    <w:p w:rsidR="008C12BA" w:rsidRDefault="008C12BA" w:rsidP="001D2667">
      <w:pPr>
        <w:ind w:firstLine="709"/>
        <w:jc w:val="both"/>
      </w:pPr>
      <w:r w:rsidRPr="00F26934">
        <w:t xml:space="preserve">Com o objetivo de organizar o trabalho e assim ter um melhor entendimento do estudo, esta </w:t>
      </w:r>
      <w:r w:rsidR="00FE2EA7" w:rsidRPr="00F26934">
        <w:t xml:space="preserve">pesquisa será distribuída em cinco seções. Na primeira seção </w:t>
      </w:r>
      <w:r w:rsidR="00F26934" w:rsidRPr="00F26934">
        <w:t>introdução. Na segunda seção temos referencial teórico</w:t>
      </w:r>
      <w:r w:rsidRPr="00F26934">
        <w:t>. A terceira seção</w:t>
      </w:r>
      <w:r w:rsidR="00F26934" w:rsidRPr="00F26934">
        <w:t xml:space="preserve"> com a metodologia de pesquisa</w:t>
      </w:r>
      <w:r w:rsidRPr="00F26934">
        <w:t>.</w:t>
      </w:r>
      <w:r w:rsidR="00F26934" w:rsidRPr="00F26934">
        <w:t xml:space="preserve"> Na quarta seção observamos a apresentação e discussão dos resultados. E finalmente a quinta</w:t>
      </w:r>
      <w:r w:rsidRPr="00F26934">
        <w:t xml:space="preserve"> seção</w:t>
      </w:r>
      <w:r w:rsidR="00F26934" w:rsidRPr="00F26934">
        <w:t xml:space="preserve"> as conclusões e as recomendações</w:t>
      </w:r>
      <w:r w:rsidRPr="00F26934">
        <w:t>.</w:t>
      </w:r>
    </w:p>
    <w:p w:rsidR="00E70B6F" w:rsidRDefault="00E70B6F" w:rsidP="00E70B6F">
      <w:pPr>
        <w:jc w:val="both"/>
      </w:pPr>
    </w:p>
    <w:p w:rsidR="00E70B6F" w:rsidRDefault="008C12BA" w:rsidP="00E70B6F">
      <w:pPr>
        <w:jc w:val="both"/>
        <w:rPr>
          <w:b/>
        </w:rPr>
      </w:pPr>
      <w:r w:rsidRPr="006F71B3">
        <w:rPr>
          <w:b/>
        </w:rPr>
        <w:t>2 REFERENCIAL TEÓRICO</w:t>
      </w:r>
    </w:p>
    <w:p w:rsidR="00497C73" w:rsidRPr="006F71B3" w:rsidRDefault="00497C73" w:rsidP="00E70B6F">
      <w:pPr>
        <w:jc w:val="both"/>
        <w:rPr>
          <w:b/>
        </w:rPr>
      </w:pPr>
    </w:p>
    <w:p w:rsidR="00497C73" w:rsidRDefault="006F71B3" w:rsidP="006F71B3">
      <w:pPr>
        <w:ind w:firstLine="709"/>
        <w:jc w:val="both"/>
      </w:pPr>
      <w:r>
        <w:t>Neste inciso será abordado os principais tópicos relacionados ao presente artigo para assim poder abordar de forma claro e concisa, exponde os seguintes temas: Demonstração do valor adicionado,</w:t>
      </w:r>
      <w:r w:rsidR="00125402">
        <w:t xml:space="preserve"> setor elétrico brasileiro e a carga tributária do setor.</w:t>
      </w:r>
    </w:p>
    <w:p w:rsidR="00DA4D04" w:rsidRDefault="00DA4D04" w:rsidP="006F71B3">
      <w:pPr>
        <w:ind w:firstLine="709"/>
        <w:jc w:val="both"/>
      </w:pPr>
    </w:p>
    <w:p w:rsidR="006F71B3" w:rsidRDefault="008C12BA" w:rsidP="00E70B6F">
      <w:pPr>
        <w:jc w:val="both"/>
      </w:pPr>
      <w:r>
        <w:t xml:space="preserve">2.1 DEMONSTRAÇÃO DO VALOR ADICIONADO  </w:t>
      </w:r>
    </w:p>
    <w:p w:rsidR="00497C73" w:rsidRDefault="00497C73" w:rsidP="00E70B6F">
      <w:pPr>
        <w:jc w:val="both"/>
      </w:pPr>
    </w:p>
    <w:p w:rsidR="006F71B3" w:rsidRDefault="006F71B3" w:rsidP="001D2667">
      <w:pPr>
        <w:ind w:firstLine="709"/>
        <w:jc w:val="both"/>
      </w:pPr>
      <w:r>
        <w:t xml:space="preserve"> Como </w:t>
      </w:r>
      <w:r w:rsidRPr="004B68C5">
        <w:t xml:space="preserve">destaca </w:t>
      </w:r>
      <w:proofErr w:type="spellStart"/>
      <w:r w:rsidR="008C12BA" w:rsidRPr="004B68C5">
        <w:t>Ricarte</w:t>
      </w:r>
      <w:proofErr w:type="spellEnd"/>
      <w:r w:rsidR="008C12BA" w:rsidRPr="004B68C5">
        <w:t xml:space="preserve"> </w:t>
      </w:r>
      <w:r w:rsidRPr="004B68C5">
        <w:t>(2005</w:t>
      </w:r>
      <w:r w:rsidR="008C12BA" w:rsidRPr="004B68C5">
        <w:t xml:space="preserve">, p. </w:t>
      </w:r>
      <w:r w:rsidR="004B68C5" w:rsidRPr="004B68C5">
        <w:t>55</w:t>
      </w:r>
      <w:r>
        <w:t>), em seu artigo para Revista Catarinense de Ciências Contábeis:</w:t>
      </w:r>
    </w:p>
    <w:p w:rsidR="006F71B3" w:rsidRPr="006F71B3" w:rsidRDefault="006F71B3" w:rsidP="001D2667">
      <w:pPr>
        <w:ind w:left="2832"/>
        <w:jc w:val="both"/>
        <w:rPr>
          <w:sz w:val="20"/>
          <w:szCs w:val="20"/>
        </w:rPr>
      </w:pPr>
      <w:r w:rsidRPr="006F71B3">
        <w:rPr>
          <w:sz w:val="20"/>
          <w:szCs w:val="20"/>
        </w:rPr>
        <w:t>A DVA surge como um complemento do Balanço Social e deixa transparecer em linguagem simples, quanto a empresa gerou de riqueza para sociedade, qual a participação do governo, quanto foi a remuneração do trabalho e quanto receberam os terceiros financiadores do capital de giro da empresa.</w:t>
      </w:r>
    </w:p>
    <w:p w:rsidR="006F71B3" w:rsidRDefault="009859AD" w:rsidP="009859AD">
      <w:pPr>
        <w:ind w:firstLine="709"/>
        <w:jc w:val="both"/>
      </w:pPr>
      <w:r>
        <w:t>Segundo Marion</w:t>
      </w:r>
      <w:r w:rsidR="00BB7DFF">
        <w:t xml:space="preserve"> (2009</w:t>
      </w:r>
      <w:r>
        <w:t>, p. 486) a demonstração do valor adicionado tem como principal função evidenciar para quem a empresa está destinando suas riquezas obtidas, já Cunha, Ribeiro e Santos (2003), salienta que a DVA é um dos componentes criados pela contabilidade de maior utilidade para medir e demonstrar a capacidade de geração de riqueza e a sua distribuição.</w:t>
      </w:r>
    </w:p>
    <w:p w:rsidR="006F71B3" w:rsidRDefault="006F71B3" w:rsidP="001D2667">
      <w:pPr>
        <w:ind w:firstLine="709"/>
        <w:jc w:val="both"/>
      </w:pPr>
      <w:r>
        <w:t>Santos e Lustosa (1998, p. 4) analisam como sendo:</w:t>
      </w:r>
    </w:p>
    <w:p w:rsidR="006F71B3" w:rsidRPr="001D2667" w:rsidRDefault="006F71B3" w:rsidP="001D2667">
      <w:pPr>
        <w:ind w:left="2124"/>
        <w:jc w:val="both"/>
        <w:rPr>
          <w:rFonts w:cs="Arial"/>
          <w:color w:val="000000"/>
          <w:sz w:val="20"/>
          <w:szCs w:val="20"/>
          <w:shd w:val="clear" w:color="auto" w:fill="FFFFFF"/>
        </w:rPr>
      </w:pPr>
      <w:r w:rsidRPr="006F71B3">
        <w:rPr>
          <w:rFonts w:cs="Arial"/>
          <w:color w:val="000000"/>
          <w:sz w:val="20"/>
          <w:szCs w:val="20"/>
          <w:shd w:val="clear" w:color="auto" w:fill="FFFFFF"/>
        </w:rPr>
        <w:t>A distribuição do valor adicionado equivale ao conceito macroeconômico de Renda Nacional. A transformação de recursos intermediários em produtos e serviços finais só é possível pelo emprego dos fatores de produção (trabalho, capital, governo, empresa). Em termos gerais, a remuneração destes fatores (salário, juro, aluguel, imposto e lucro) pelas empresas constitui a renda em poder da sociedade, que retorna às empresas tanto na aquisição de seus produtos e serviços como sob a forma de novos financiamentos, reiniciando o ciclo econômico.</w:t>
      </w:r>
    </w:p>
    <w:p w:rsidR="006F71B3" w:rsidRDefault="006F71B3" w:rsidP="009859AD">
      <w:pPr>
        <w:ind w:firstLine="709"/>
        <w:jc w:val="both"/>
      </w:pPr>
      <w:r w:rsidRPr="006F71B3">
        <w:lastRenderedPageBreak/>
        <w:t xml:space="preserve">CUNHA, Jacqueline </w:t>
      </w:r>
      <w:proofErr w:type="spellStart"/>
      <w:r w:rsidRPr="006F71B3">
        <w:t>Veneroso</w:t>
      </w:r>
      <w:proofErr w:type="spellEnd"/>
      <w:r w:rsidRPr="006F71B3">
        <w:t xml:space="preserve"> Alves da</w:t>
      </w:r>
      <w:r>
        <w:t xml:space="preserve"> (2005), enfatiza que a DVA conceitualmente e peça fundamental para a formulação do balaço social, o que, no entanto, ocorre e uma dissociação dessa demonstração com relação as outras.</w:t>
      </w:r>
    </w:p>
    <w:p w:rsidR="00497C73" w:rsidRDefault="00497C73" w:rsidP="009859AD">
      <w:pPr>
        <w:ind w:firstLine="709"/>
        <w:jc w:val="both"/>
      </w:pPr>
    </w:p>
    <w:p w:rsidR="00497C73" w:rsidRDefault="008C12BA" w:rsidP="00497C73">
      <w:pPr>
        <w:jc w:val="both"/>
      </w:pPr>
      <w:r>
        <w:t>2.2 CARGA TRIBUTARIA</w:t>
      </w:r>
    </w:p>
    <w:p w:rsidR="00144ECD" w:rsidRDefault="00144ECD" w:rsidP="00497C73">
      <w:pPr>
        <w:jc w:val="both"/>
      </w:pPr>
    </w:p>
    <w:p w:rsidR="00144ECD" w:rsidRDefault="00144ECD" w:rsidP="00144ECD">
      <w:pPr>
        <w:ind w:firstLine="709"/>
        <w:jc w:val="both"/>
      </w:pPr>
      <w:r>
        <w:t>De acordo com Marion (2009, p. 516), no setor industrial brasileiro o item com maior relevância da demonstração do valor adicionado é o seguimento remuneração do governo (Tributos).</w:t>
      </w:r>
    </w:p>
    <w:p w:rsidR="00C66616" w:rsidRDefault="00AF2FAA" w:rsidP="001D2667">
      <w:pPr>
        <w:ind w:firstLine="709"/>
        <w:jc w:val="both"/>
      </w:pPr>
      <w:r>
        <w:t>Como aponta Diego Moreira, sócio-diretor executivo da UHY Moreira-Auditores (Exame, 2016):</w:t>
      </w:r>
    </w:p>
    <w:p w:rsidR="00C66616" w:rsidRPr="001D2667" w:rsidRDefault="00C66616" w:rsidP="001D2667">
      <w:pPr>
        <w:ind w:left="2124"/>
        <w:jc w:val="both"/>
        <w:rPr>
          <w:sz w:val="20"/>
          <w:szCs w:val="20"/>
        </w:rPr>
      </w:pPr>
      <w:r w:rsidRPr="00C66616">
        <w:rPr>
          <w:sz w:val="20"/>
          <w:szCs w:val="20"/>
        </w:rPr>
        <w:t>Os impostos corporativos já são uma carga significativa para as companhias e é muito maior no Brasil do que em alguns mercados emergentes. As altas taxas impedem as empresas instaladas aqui de competir em igualdade de condições, o que acaba inibindo o crescimento da economia brasileira. A redução de impostos corporativos poderia ajudar o país a criar uma vantagem econômica e fomentar o crescimento por meio da liberação de mais capital para incentivar os investimentos corporativos e atrair empresas estrangeiras</w:t>
      </w:r>
    </w:p>
    <w:p w:rsidR="00C66616" w:rsidRDefault="00C66616" w:rsidP="00C66616">
      <w:pPr>
        <w:ind w:firstLine="709"/>
        <w:jc w:val="both"/>
      </w:pPr>
      <w:r>
        <w:t>As companhias brasileiras pagam mais impostos do que qualquer outro pais do grupo político de cooperação BRICS, e tem um percentual acima de media para o Grupo das 7 maiores nações do mundo, (Exame, 2016).</w:t>
      </w:r>
    </w:p>
    <w:p w:rsidR="00171F47" w:rsidRDefault="00171F47" w:rsidP="00C66616">
      <w:pPr>
        <w:ind w:firstLine="709"/>
        <w:jc w:val="both"/>
      </w:pPr>
      <w:r>
        <w:t>O que não ocorre de forma diferente no setor elétrico, comparativamente ou setor bancário a tributação media mais que dobro para este seguimento</w:t>
      </w:r>
      <w:r w:rsidR="003E359C">
        <w:t xml:space="preserve"> industrial e de energia</w:t>
      </w:r>
      <w:r>
        <w:t>, (Exame, 2014)</w:t>
      </w:r>
      <w:r w:rsidR="003E359C">
        <w:t xml:space="preserve">, segundo estudo de CASTRO, Nivaldo J. de; e BRANDÃO, Roberto (2010); existem evidencias concretas de que a essa carga demasiadamente elevada, prejudicando o desenvolvimento do setor, </w:t>
      </w:r>
      <w:r w:rsidR="0048725B">
        <w:t>ocasionando uma alta no preso deste insumo básico para as famílias e de extrema importância para a indústria.</w:t>
      </w:r>
    </w:p>
    <w:p w:rsidR="00171F47" w:rsidRDefault="003E359C" w:rsidP="00C66616">
      <w:pPr>
        <w:ind w:firstLine="709"/>
        <w:jc w:val="both"/>
      </w:pPr>
      <w:r>
        <w:t>Ao todo o seguimento</w:t>
      </w:r>
      <w:r w:rsidR="00C66616">
        <w:t xml:space="preserve"> elétrico paga mais de vinte tributos diferentes, divididos em encargos setoriais, tributos federais, estaduais e municipais, </w:t>
      </w:r>
      <w:r w:rsidR="00171F47">
        <w:t xml:space="preserve">totalizando em 2008 um percentual de 45,08 em 2008, segundo estudo da </w:t>
      </w:r>
      <w:proofErr w:type="spellStart"/>
      <w:r w:rsidR="00171F47">
        <w:t>PriceWaterHouseCoopers</w:t>
      </w:r>
      <w:proofErr w:type="spellEnd"/>
      <w:r w:rsidR="00171F47">
        <w:t xml:space="preserve"> em um estudo feito no ano de 2010.</w:t>
      </w:r>
    </w:p>
    <w:p w:rsidR="002C57E5" w:rsidRDefault="008C12BA" w:rsidP="001D2667">
      <w:pPr>
        <w:ind w:firstLine="709"/>
        <w:jc w:val="both"/>
      </w:pPr>
      <w:r>
        <w:t>Como relatam CASTRO</w:t>
      </w:r>
      <w:r w:rsidR="002C57E5">
        <w:t>; BRANDÃO, Roberto (2010</w:t>
      </w:r>
      <w:r>
        <w:t xml:space="preserve">, p </w:t>
      </w:r>
      <w:r w:rsidR="004B68C5">
        <w:t>01</w:t>
      </w:r>
      <w:r w:rsidR="002C57E5">
        <w:t>):</w:t>
      </w:r>
    </w:p>
    <w:p w:rsidR="00A21153" w:rsidRPr="002C57E5" w:rsidRDefault="002C57E5" w:rsidP="001D2667">
      <w:pPr>
        <w:ind w:left="2124"/>
        <w:jc w:val="both"/>
        <w:rPr>
          <w:sz w:val="20"/>
          <w:szCs w:val="20"/>
        </w:rPr>
      </w:pPr>
      <w:r w:rsidRPr="002C57E5">
        <w:rPr>
          <w:sz w:val="20"/>
          <w:szCs w:val="20"/>
        </w:rPr>
        <w:t xml:space="preserve">Sobre o Setor Elétrico incidem impostos e encargos. Há os impostos de âmbito federal, que são aplicados em níveis semelhantes aos de outros setores e há também o ICMS que tem cunho estadual, com alíquotas que variam de estado para estado. De uma forma geral as alíquotas de ICMS são elevadas, principalmente devido à facilidade de arrecadação: trata-se de um setor altamente regulado, com poucas oportunidades de evasão fiscal. Os estados se aproveitam deste fato para arrecadar mais com pouco esforço. </w:t>
      </w:r>
    </w:p>
    <w:p w:rsidR="00C66616" w:rsidRDefault="0059036D" w:rsidP="00C66616">
      <w:pPr>
        <w:ind w:firstLine="709"/>
        <w:jc w:val="both"/>
      </w:pPr>
      <w:r>
        <w:t xml:space="preserve">A organização para cooperação e desenvolvimento econômico (OCDE), evidencia de forma geral que a carga </w:t>
      </w:r>
      <w:r w:rsidR="00D96AF8">
        <w:t>tributária</w:t>
      </w:r>
      <w:r>
        <w:t xml:space="preserve"> brasileira em 1980 era de 24,4% para em 2014 ultrapassar os 30%, sendo um dos maiores saltos entre os 34 países da organização (Jornal NH, 2016)</w:t>
      </w:r>
    </w:p>
    <w:p w:rsidR="007009D9" w:rsidRDefault="007009D9" w:rsidP="001D2667">
      <w:pPr>
        <w:ind w:firstLine="709"/>
        <w:jc w:val="both"/>
      </w:pPr>
      <w:r>
        <w:t>Segundo Carvalho (2012</w:t>
      </w:r>
      <w:r w:rsidR="008C12BA">
        <w:t>, p</w:t>
      </w:r>
      <w:r w:rsidR="00FD2B10">
        <w:t>.</w:t>
      </w:r>
      <w:r w:rsidR="008C12BA">
        <w:t xml:space="preserve"> </w:t>
      </w:r>
      <w:r w:rsidR="00FD2B10">
        <w:t>02</w:t>
      </w:r>
      <w:r>
        <w:t>);</w:t>
      </w:r>
    </w:p>
    <w:p w:rsidR="007009D9" w:rsidRDefault="007009D9" w:rsidP="001D2667">
      <w:pPr>
        <w:ind w:left="2124"/>
        <w:jc w:val="both"/>
        <w:rPr>
          <w:rFonts w:ascii="Times New Roman" w:hAnsi="Times New Roman"/>
          <w:sz w:val="22"/>
          <w:szCs w:val="22"/>
        </w:rPr>
      </w:pPr>
      <w:r w:rsidRPr="007009D9">
        <w:rPr>
          <w:rFonts w:ascii="Times New Roman" w:hAnsi="Times New Roman"/>
          <w:sz w:val="22"/>
          <w:szCs w:val="22"/>
        </w:rPr>
        <w:lastRenderedPageBreak/>
        <w:t>O tributo tem como fundamento precípuo manter a condição econômica do país e tem por finalidade atender às necessidades públicas e coletivas da população.</w:t>
      </w:r>
    </w:p>
    <w:p w:rsidR="001D2667" w:rsidRPr="007009D9" w:rsidRDefault="001D2667" w:rsidP="001D2667">
      <w:pPr>
        <w:ind w:left="2124"/>
        <w:jc w:val="both"/>
        <w:rPr>
          <w:rFonts w:ascii="Times New Roman" w:hAnsi="Times New Roman"/>
          <w:sz w:val="22"/>
          <w:szCs w:val="22"/>
        </w:rPr>
      </w:pPr>
    </w:p>
    <w:p w:rsidR="000460B9" w:rsidRDefault="008C12BA" w:rsidP="00497C73">
      <w:pPr>
        <w:jc w:val="both"/>
      </w:pPr>
      <w:r>
        <w:t xml:space="preserve">2.3 SETOR ELÉTRICO </w:t>
      </w:r>
    </w:p>
    <w:p w:rsidR="00960064" w:rsidRDefault="00960064" w:rsidP="00497C73">
      <w:pPr>
        <w:jc w:val="both"/>
      </w:pPr>
    </w:p>
    <w:p w:rsidR="00C16E87" w:rsidRDefault="00644D52" w:rsidP="001D2667">
      <w:pPr>
        <w:ind w:firstLine="709"/>
        <w:jc w:val="both"/>
      </w:pPr>
      <w:r>
        <w:t xml:space="preserve">Para MARTINS, </w:t>
      </w:r>
      <w:proofErr w:type="spellStart"/>
      <w:r>
        <w:t>Dimitri</w:t>
      </w:r>
      <w:proofErr w:type="spellEnd"/>
      <w:r>
        <w:t xml:space="preserve"> Melo </w:t>
      </w:r>
      <w:proofErr w:type="spellStart"/>
      <w:r>
        <w:t>Rodirgues</w:t>
      </w:r>
      <w:proofErr w:type="spellEnd"/>
      <w:r>
        <w:t xml:space="preserve"> (2008, p.13):</w:t>
      </w:r>
    </w:p>
    <w:p w:rsidR="00497C73" w:rsidRPr="001D2667" w:rsidRDefault="00644D52" w:rsidP="001D2667">
      <w:pPr>
        <w:ind w:left="2124" w:firstLine="709"/>
        <w:jc w:val="both"/>
        <w:rPr>
          <w:sz w:val="20"/>
          <w:szCs w:val="20"/>
        </w:rPr>
      </w:pPr>
      <w:r w:rsidRPr="00C16E87">
        <w:rPr>
          <w:sz w:val="20"/>
          <w:szCs w:val="20"/>
        </w:rPr>
        <w:t xml:space="preserve">O sistema elétrico brasileiro é </w:t>
      </w:r>
      <w:r w:rsidR="00C16E87" w:rsidRPr="00C16E87">
        <w:rPr>
          <w:sz w:val="20"/>
          <w:szCs w:val="20"/>
        </w:rPr>
        <w:t>constituído</w:t>
      </w:r>
      <w:r w:rsidRPr="00C16E87">
        <w:rPr>
          <w:sz w:val="20"/>
          <w:szCs w:val="20"/>
        </w:rPr>
        <w:t xml:space="preserve"> pelo Sistema Interligado Nacional (SIN), que </w:t>
      </w:r>
      <w:r w:rsidR="00C16E87" w:rsidRPr="00C16E87">
        <w:rPr>
          <w:sz w:val="20"/>
          <w:szCs w:val="20"/>
        </w:rPr>
        <w:t>detém</w:t>
      </w:r>
      <w:r w:rsidRPr="00C16E87">
        <w:rPr>
          <w:sz w:val="20"/>
          <w:szCs w:val="20"/>
        </w:rPr>
        <w:t xml:space="preserve"> cerca de 96,6% da capacidade total de produção de energia elétrica do pais, e por sistemas independentes, localizados principalmente na região </w:t>
      </w:r>
      <w:r w:rsidR="00C16E87" w:rsidRPr="00C16E87">
        <w:rPr>
          <w:sz w:val="20"/>
          <w:szCs w:val="20"/>
        </w:rPr>
        <w:t>Amazônica</w:t>
      </w:r>
      <w:r w:rsidRPr="00C16E87">
        <w:rPr>
          <w:sz w:val="20"/>
          <w:szCs w:val="20"/>
        </w:rPr>
        <w:t xml:space="preserve">, que atende </w:t>
      </w:r>
      <w:r w:rsidR="00C16E87" w:rsidRPr="00C16E87">
        <w:rPr>
          <w:sz w:val="20"/>
          <w:szCs w:val="20"/>
        </w:rPr>
        <w:t>à</w:t>
      </w:r>
      <w:r w:rsidRPr="00C16E87">
        <w:rPr>
          <w:sz w:val="20"/>
          <w:szCs w:val="20"/>
        </w:rPr>
        <w:t xml:space="preserve"> demanda residual. O SIN, por sua vez, é um sistema </w:t>
      </w:r>
      <w:r w:rsidR="00C16E87" w:rsidRPr="00C16E87">
        <w:rPr>
          <w:sz w:val="20"/>
          <w:szCs w:val="20"/>
        </w:rPr>
        <w:t>hidrotérmico</w:t>
      </w:r>
      <w:r w:rsidRPr="00C16E87">
        <w:rPr>
          <w:sz w:val="20"/>
          <w:szCs w:val="20"/>
        </w:rPr>
        <w:t xml:space="preserve"> de grande porte, com 85.950 MW </w:t>
      </w:r>
      <w:r w:rsidR="00C16E87" w:rsidRPr="00C16E87">
        <w:rPr>
          <w:sz w:val="20"/>
          <w:szCs w:val="20"/>
        </w:rPr>
        <w:t>de potencial</w:t>
      </w:r>
      <w:r w:rsidRPr="00C16E87">
        <w:rPr>
          <w:sz w:val="20"/>
          <w:szCs w:val="20"/>
        </w:rPr>
        <w:t xml:space="preserve"> instalado que conta com 26 </w:t>
      </w:r>
      <w:r w:rsidR="00C16E87" w:rsidRPr="00C16E87">
        <w:rPr>
          <w:sz w:val="20"/>
          <w:szCs w:val="20"/>
        </w:rPr>
        <w:t>agentes</w:t>
      </w:r>
      <w:r w:rsidRPr="00C16E87">
        <w:rPr>
          <w:sz w:val="20"/>
          <w:szCs w:val="20"/>
        </w:rPr>
        <w:t xml:space="preserve"> geradores cadastrados, cada qual operando múltiplas instalações hidrelétricas e termelétricas. Ademais, o SIN e um sistema predominantemente hidrelétrico, sendo mais de 79% de sua capacidade total de oferta é </w:t>
      </w:r>
      <w:r w:rsidR="00C16E87" w:rsidRPr="00C16E87">
        <w:rPr>
          <w:sz w:val="20"/>
          <w:szCs w:val="20"/>
        </w:rPr>
        <w:t>advinda</w:t>
      </w:r>
      <w:r w:rsidRPr="00C16E87">
        <w:rPr>
          <w:sz w:val="20"/>
          <w:szCs w:val="20"/>
        </w:rPr>
        <w:t xml:space="preserve"> de geração hidrelétrica.</w:t>
      </w:r>
    </w:p>
    <w:p w:rsidR="00671C72" w:rsidRDefault="00671C72" w:rsidP="001D2667">
      <w:pPr>
        <w:ind w:firstLine="709"/>
        <w:jc w:val="both"/>
      </w:pPr>
      <w:r>
        <w:t>De acordo com a Associação brasileira de distribuição de energia elétrica (</w:t>
      </w:r>
      <w:r w:rsidRPr="0014217F">
        <w:t>ABRADEE</w:t>
      </w:r>
      <w:r w:rsidR="008C12BA" w:rsidRPr="0014217F">
        <w:t xml:space="preserve">, </w:t>
      </w:r>
      <w:r w:rsidR="0014217F" w:rsidRPr="0014217F">
        <w:t>2018, p. 02</w:t>
      </w:r>
      <w:r w:rsidRPr="0014217F">
        <w:t>):</w:t>
      </w:r>
      <w:r>
        <w:t xml:space="preserve"> </w:t>
      </w:r>
    </w:p>
    <w:p w:rsidR="00671C72" w:rsidRDefault="00671C72" w:rsidP="001D2667">
      <w:pPr>
        <w:ind w:left="2124"/>
        <w:jc w:val="both"/>
        <w:rPr>
          <w:sz w:val="20"/>
          <w:szCs w:val="20"/>
        </w:rPr>
      </w:pPr>
      <w:r w:rsidRPr="00671C72">
        <w:rPr>
          <w:sz w:val="20"/>
          <w:szCs w:val="20"/>
        </w:rPr>
        <w:t>O termo indústria geralmente designa o conjunto de atividades que visam à manipulação de matérias-primas para a produção de bens de consumo. No caso da indústria de eletricidade, o bem produzido é a energia elétrica, um produto impalpável utilizado de forma indireta, seja para produzir luz, movimento, calor ou qualquer outra transformação energética.</w:t>
      </w:r>
    </w:p>
    <w:p w:rsidR="00671C72" w:rsidRDefault="00671C72" w:rsidP="005C78F2">
      <w:pPr>
        <w:ind w:firstLine="709"/>
        <w:jc w:val="both"/>
      </w:pPr>
      <w:r w:rsidRPr="00671C72">
        <w:t>A indústria do setor elétrico pode ser dividida em agen</w:t>
      </w:r>
      <w:r>
        <w:t>tes independestes que ou produzem, ou transportam, ou comercializam energia elétrica. (ABRADEE</w:t>
      </w:r>
      <w:r w:rsidR="008C12BA">
        <w:t xml:space="preserve">, </w:t>
      </w:r>
      <w:r w:rsidR="0014217F">
        <w:t>2018</w:t>
      </w:r>
      <w:r>
        <w:t>)</w:t>
      </w:r>
    </w:p>
    <w:p w:rsidR="00960064" w:rsidRDefault="00960064" w:rsidP="001D2667">
      <w:pPr>
        <w:ind w:firstLine="709"/>
        <w:jc w:val="both"/>
      </w:pPr>
      <w:r>
        <w:t>Para ABRADEE (2018), o segmento de transmissão e distribuição:</w:t>
      </w:r>
    </w:p>
    <w:p w:rsidR="00A31507" w:rsidRPr="00960064" w:rsidRDefault="00960064" w:rsidP="001D2667">
      <w:pPr>
        <w:ind w:left="2124" w:firstLine="709"/>
        <w:jc w:val="both"/>
        <w:rPr>
          <w:sz w:val="20"/>
          <w:szCs w:val="20"/>
        </w:rPr>
      </w:pPr>
      <w:r w:rsidRPr="00960064">
        <w:rPr>
          <w:sz w:val="20"/>
          <w:szCs w:val="20"/>
        </w:rPr>
        <w:t>Transmissão é aquele que se encarrega de transportar grandes quantidades de energia provenientes das usinas geradoras e distribuição, por sua vez, é aquele que recebe grande quantidade de energia do sistema de transmissão e a distribui de forma pulverizada para consumidores médios e pequenos.</w:t>
      </w:r>
    </w:p>
    <w:p w:rsidR="00162385" w:rsidRDefault="00960064" w:rsidP="001D2667">
      <w:pPr>
        <w:ind w:firstLine="709"/>
        <w:jc w:val="both"/>
      </w:pPr>
      <w:r>
        <w:t>Já o segmento de geração, é aquele responsável por introduzir energia elétrica para os segmentos de transmissão, para assim poder atender os consumidores finais. (ABRADEE, 2018).</w:t>
      </w:r>
    </w:p>
    <w:p w:rsidR="00162385" w:rsidRDefault="00162385" w:rsidP="00162385">
      <w:pPr>
        <w:jc w:val="both"/>
      </w:pPr>
    </w:p>
    <w:p w:rsidR="00162385" w:rsidRDefault="008C12BA" w:rsidP="00162385">
      <w:pPr>
        <w:jc w:val="both"/>
      </w:pPr>
      <w:r>
        <w:t>2.4 PESQUISAS SIMILARES</w:t>
      </w:r>
    </w:p>
    <w:p w:rsidR="00D96AF8" w:rsidRDefault="00D96AF8" w:rsidP="00D96AF8">
      <w:pPr>
        <w:ind w:firstLine="709"/>
        <w:jc w:val="both"/>
      </w:pPr>
    </w:p>
    <w:p w:rsidR="00D96AF8" w:rsidRDefault="00D96AF8" w:rsidP="00D96AF8">
      <w:pPr>
        <w:ind w:firstLine="709"/>
        <w:jc w:val="both"/>
      </w:pPr>
      <w:r>
        <w:t>Com base nas pesquisas com maior importância sobre o assunto, correlatos com o presente artigo, algumas mostrando a evidenciação do valor adicionado em anos relatados, podendo concluir a respeito da enorme carga tributária paga pelo setor e como isso a afeta, positiva ou negativamente.</w:t>
      </w:r>
    </w:p>
    <w:p w:rsidR="00D96AF8" w:rsidRDefault="00D96AF8" w:rsidP="00D96AF8">
      <w:pPr>
        <w:ind w:firstLine="709"/>
        <w:jc w:val="both"/>
      </w:pPr>
      <w:r>
        <w:t xml:space="preserve">Na sequência estão relacionados os trabalhos com maior semelhança com o presente artigo, </w:t>
      </w:r>
      <w:r w:rsidR="00A47D7F">
        <w:t>com o tema evidenciação do valor adicionado na DVA.</w:t>
      </w:r>
    </w:p>
    <w:p w:rsidR="00EE1571" w:rsidRDefault="00EE1571" w:rsidP="00AC53D7">
      <w:pPr>
        <w:jc w:val="both"/>
      </w:pPr>
    </w:p>
    <w:p w:rsidR="00083846" w:rsidRDefault="00083846" w:rsidP="00AC53D7">
      <w:pPr>
        <w:jc w:val="both"/>
      </w:pPr>
    </w:p>
    <w:p w:rsidR="00083846" w:rsidRDefault="00083846" w:rsidP="00AC53D7">
      <w:pPr>
        <w:jc w:val="both"/>
      </w:pPr>
    </w:p>
    <w:p w:rsidR="00083846" w:rsidRDefault="00083846" w:rsidP="00AC53D7">
      <w:pPr>
        <w:jc w:val="both"/>
      </w:pPr>
    </w:p>
    <w:p w:rsidR="00083846" w:rsidRDefault="00083846" w:rsidP="00AC53D7">
      <w:pPr>
        <w:jc w:val="both"/>
      </w:pPr>
    </w:p>
    <w:p w:rsidR="00D96AF8" w:rsidRDefault="00D96AF8" w:rsidP="00D96AF8">
      <w:pPr>
        <w:ind w:firstLine="709"/>
        <w:jc w:val="both"/>
      </w:pPr>
    </w:p>
    <w:p w:rsidR="00D96AF8" w:rsidRPr="00D96AF8" w:rsidRDefault="00D96AF8" w:rsidP="00D96AF8">
      <w:pPr>
        <w:spacing w:after="160" w:line="259" w:lineRule="auto"/>
        <w:jc w:val="center"/>
        <w:rPr>
          <w:rFonts w:ascii="Calibri" w:eastAsia="Calibri" w:hAnsi="Calibri"/>
          <w:snapToGrid/>
          <w:sz w:val="22"/>
          <w:szCs w:val="22"/>
          <w:lang w:eastAsia="en-US"/>
        </w:rPr>
      </w:pPr>
      <w:r>
        <w:rPr>
          <w:rFonts w:ascii="Times New Roman" w:eastAsia="Calibri" w:hAnsi="Times New Roman"/>
          <w:snapToGrid/>
          <w:sz w:val="20"/>
          <w:szCs w:val="20"/>
          <w:lang w:eastAsia="en-US"/>
        </w:rPr>
        <w:t>Quadro 1</w:t>
      </w:r>
      <w:r w:rsidRPr="00D96AF8">
        <w:rPr>
          <w:rFonts w:ascii="Times New Roman" w:eastAsia="Calibri" w:hAnsi="Times New Roman"/>
          <w:snapToGrid/>
          <w:sz w:val="20"/>
          <w:szCs w:val="20"/>
          <w:lang w:eastAsia="en-US"/>
        </w:rPr>
        <w:t xml:space="preserve"> – Pesquisas Similares ou Correlatadas</w:t>
      </w:r>
    </w:p>
    <w:tbl>
      <w:tblPr>
        <w:tblW w:w="9153" w:type="dxa"/>
        <w:tblCellMar>
          <w:left w:w="6" w:type="dxa"/>
          <w:right w:w="6" w:type="dxa"/>
        </w:tblCellMar>
        <w:tblLook w:val="04A0" w:firstRow="1" w:lastRow="0" w:firstColumn="1" w:lastColumn="0" w:noHBand="0" w:noVBand="1"/>
      </w:tblPr>
      <w:tblGrid>
        <w:gridCol w:w="1280"/>
        <w:gridCol w:w="2340"/>
        <w:gridCol w:w="3113"/>
        <w:gridCol w:w="2420"/>
      </w:tblGrid>
      <w:tr w:rsidR="00D96AF8" w:rsidRPr="005C78F2" w:rsidTr="008C12BA">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6AF8" w:rsidRPr="005C78F2" w:rsidRDefault="00D96AF8" w:rsidP="008C12BA">
            <w:pPr>
              <w:jc w:val="center"/>
              <w:rPr>
                <w:rFonts w:cs="Arial"/>
                <w:b/>
                <w:snapToGrid/>
                <w:color w:val="000000"/>
                <w:sz w:val="20"/>
                <w:szCs w:val="22"/>
              </w:rPr>
            </w:pPr>
            <w:r w:rsidRPr="005C78F2">
              <w:rPr>
                <w:rFonts w:cs="Arial"/>
                <w:b/>
                <w:snapToGrid/>
                <w:color w:val="000000"/>
                <w:sz w:val="20"/>
                <w:szCs w:val="22"/>
              </w:rPr>
              <w:t>Autoria</w:t>
            </w:r>
            <w:r w:rsidR="008C12BA" w:rsidRPr="005C78F2">
              <w:rPr>
                <w:rFonts w:cs="Arial"/>
                <w:b/>
                <w:snapToGrid/>
                <w:color w:val="000000"/>
                <w:sz w:val="20"/>
                <w:szCs w:val="22"/>
              </w:rPr>
              <w:t xml:space="preserve"> (ano)</w:t>
            </w:r>
          </w:p>
        </w:tc>
        <w:tc>
          <w:tcPr>
            <w:tcW w:w="2340" w:type="dxa"/>
            <w:tcBorders>
              <w:top w:val="single" w:sz="4" w:space="0" w:color="auto"/>
              <w:left w:val="nil"/>
              <w:bottom w:val="single" w:sz="4" w:space="0" w:color="auto"/>
              <w:right w:val="single" w:sz="4" w:space="0" w:color="auto"/>
            </w:tcBorders>
            <w:shd w:val="clear" w:color="auto" w:fill="auto"/>
            <w:vAlign w:val="bottom"/>
            <w:hideMark/>
          </w:tcPr>
          <w:p w:rsidR="00D96AF8" w:rsidRPr="005C78F2" w:rsidRDefault="00D96AF8" w:rsidP="008C12BA">
            <w:pPr>
              <w:jc w:val="center"/>
              <w:rPr>
                <w:rFonts w:cs="Arial"/>
                <w:b/>
                <w:snapToGrid/>
                <w:color w:val="000000"/>
                <w:sz w:val="20"/>
                <w:szCs w:val="22"/>
              </w:rPr>
            </w:pPr>
            <w:r w:rsidRPr="005C78F2">
              <w:rPr>
                <w:rFonts w:cs="Arial"/>
                <w:b/>
                <w:snapToGrid/>
                <w:color w:val="000000"/>
                <w:sz w:val="20"/>
                <w:szCs w:val="22"/>
              </w:rPr>
              <w:t>Objetivos</w:t>
            </w:r>
          </w:p>
        </w:tc>
        <w:tc>
          <w:tcPr>
            <w:tcW w:w="3113" w:type="dxa"/>
            <w:tcBorders>
              <w:top w:val="single" w:sz="4" w:space="0" w:color="auto"/>
              <w:left w:val="nil"/>
              <w:bottom w:val="single" w:sz="4" w:space="0" w:color="auto"/>
              <w:right w:val="single" w:sz="4" w:space="0" w:color="auto"/>
            </w:tcBorders>
            <w:shd w:val="clear" w:color="auto" w:fill="auto"/>
            <w:noWrap/>
            <w:vAlign w:val="bottom"/>
            <w:hideMark/>
          </w:tcPr>
          <w:p w:rsidR="00D96AF8" w:rsidRPr="005C78F2" w:rsidRDefault="00D96AF8" w:rsidP="008C12BA">
            <w:pPr>
              <w:jc w:val="center"/>
              <w:rPr>
                <w:rFonts w:cs="Arial"/>
                <w:b/>
                <w:snapToGrid/>
                <w:color w:val="000000"/>
                <w:sz w:val="20"/>
                <w:szCs w:val="22"/>
              </w:rPr>
            </w:pPr>
            <w:r w:rsidRPr="005C78F2">
              <w:rPr>
                <w:rFonts w:cs="Arial"/>
                <w:b/>
                <w:snapToGrid/>
                <w:color w:val="000000"/>
                <w:sz w:val="20"/>
                <w:szCs w:val="22"/>
              </w:rPr>
              <w:t>Resultado</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D96AF8" w:rsidRPr="005C78F2" w:rsidRDefault="00D96AF8" w:rsidP="008C12BA">
            <w:pPr>
              <w:jc w:val="center"/>
              <w:rPr>
                <w:rFonts w:cs="Arial"/>
                <w:b/>
                <w:snapToGrid/>
                <w:color w:val="000000"/>
                <w:sz w:val="20"/>
                <w:szCs w:val="22"/>
              </w:rPr>
            </w:pPr>
            <w:r w:rsidRPr="005C78F2">
              <w:rPr>
                <w:rFonts w:cs="Arial"/>
                <w:b/>
                <w:snapToGrid/>
                <w:color w:val="000000"/>
                <w:sz w:val="20"/>
                <w:szCs w:val="22"/>
              </w:rPr>
              <w:t>Mecanismo de pesquisa</w:t>
            </w:r>
          </w:p>
        </w:tc>
      </w:tr>
      <w:tr w:rsidR="00D96AF8" w:rsidRPr="005C78F2" w:rsidTr="008C12BA">
        <w:trPr>
          <w:trHeight w:val="1417"/>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proofErr w:type="spellStart"/>
            <w:r w:rsidRPr="005C78F2">
              <w:rPr>
                <w:rFonts w:cs="Arial"/>
                <w:snapToGrid/>
                <w:color w:val="000000"/>
                <w:sz w:val="20"/>
                <w:szCs w:val="22"/>
              </w:rPr>
              <w:t>Morch</w:t>
            </w:r>
            <w:proofErr w:type="spellEnd"/>
            <w:r w:rsidRPr="005C78F2">
              <w:rPr>
                <w:rFonts w:cs="Arial"/>
                <w:snapToGrid/>
                <w:color w:val="000000"/>
                <w:sz w:val="20"/>
                <w:szCs w:val="22"/>
              </w:rPr>
              <w:t xml:space="preserve"> (2008)</w:t>
            </w:r>
          </w:p>
        </w:tc>
        <w:tc>
          <w:tcPr>
            <w:tcW w:w="234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Busca descrever e analisar a distribuição de riqueza, evidenciada pela DVA</w:t>
            </w:r>
          </w:p>
        </w:tc>
        <w:tc>
          <w:tcPr>
            <w:tcW w:w="3113"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Os resultados da pesquisa mostraram que em 2007 os tributos, paras as empresas distribuidoras, representaram 68% da riqueza gerada enquanto que para as empresas geradoras e/ou transmissoras essa participação cai para 28%</w:t>
            </w:r>
          </w:p>
        </w:tc>
        <w:tc>
          <w:tcPr>
            <w:tcW w:w="242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 xml:space="preserve">Trata-se de um estudo </w:t>
            </w:r>
            <w:proofErr w:type="spellStart"/>
            <w:r w:rsidRPr="005C78F2">
              <w:rPr>
                <w:rFonts w:cs="Arial"/>
                <w:i/>
                <w:iCs/>
                <w:snapToGrid/>
                <w:color w:val="000000"/>
                <w:sz w:val="20"/>
                <w:szCs w:val="22"/>
              </w:rPr>
              <w:t>ex</w:t>
            </w:r>
            <w:proofErr w:type="spellEnd"/>
            <w:r w:rsidRPr="005C78F2">
              <w:rPr>
                <w:rFonts w:cs="Arial"/>
                <w:i/>
                <w:iCs/>
                <w:snapToGrid/>
                <w:color w:val="000000"/>
                <w:sz w:val="20"/>
                <w:szCs w:val="22"/>
              </w:rPr>
              <w:t xml:space="preserve"> post facto, </w:t>
            </w:r>
            <w:r w:rsidRPr="005C78F2">
              <w:rPr>
                <w:rFonts w:cs="Arial"/>
                <w:snapToGrid/>
                <w:color w:val="000000"/>
                <w:sz w:val="20"/>
                <w:szCs w:val="22"/>
              </w:rPr>
              <w:t xml:space="preserve">e a análise dos dados é realizada com técnicas de estatística descritiva e não paramétrica </w:t>
            </w:r>
          </w:p>
        </w:tc>
      </w:tr>
      <w:tr w:rsidR="00D96AF8" w:rsidRPr="005C78F2" w:rsidTr="008C12BA">
        <w:trPr>
          <w:trHeight w:val="951"/>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Miranda (2002)</w:t>
            </w:r>
          </w:p>
        </w:tc>
        <w:tc>
          <w:tcPr>
            <w:tcW w:w="234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O objetivo deste trabalho é investigar como o setor elétrico evidenciando a Demonstração do valor adicionado.</w:t>
            </w:r>
          </w:p>
        </w:tc>
        <w:tc>
          <w:tcPr>
            <w:tcW w:w="3113"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Conclui-se que apesar das inconsistências, pode-se realizar uma análise financeira setorial em termos de geração e distribuição de riqueza utilizando apenas as demonstrações do valor adicionado.</w:t>
            </w:r>
          </w:p>
        </w:tc>
        <w:tc>
          <w:tcPr>
            <w:tcW w:w="242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 xml:space="preserve">Foi efetuada um estudo empírico, baseado na análise da Demonstração do valor adicionado das 70 empresas que compõe o setor elétrico brasileiro. </w:t>
            </w:r>
          </w:p>
        </w:tc>
      </w:tr>
      <w:tr w:rsidR="00D96AF8" w:rsidRPr="005C78F2" w:rsidTr="008C12BA">
        <w:trPr>
          <w:trHeight w:val="425"/>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proofErr w:type="spellStart"/>
            <w:r w:rsidRPr="005C78F2">
              <w:rPr>
                <w:rFonts w:cs="Arial"/>
                <w:snapToGrid/>
                <w:color w:val="000000"/>
                <w:sz w:val="20"/>
                <w:szCs w:val="22"/>
              </w:rPr>
              <w:t>Krounbauer</w:t>
            </w:r>
            <w:proofErr w:type="spellEnd"/>
            <w:r w:rsidRPr="005C78F2">
              <w:rPr>
                <w:rFonts w:cs="Arial"/>
                <w:snapToGrid/>
                <w:color w:val="000000"/>
                <w:sz w:val="20"/>
                <w:szCs w:val="22"/>
              </w:rPr>
              <w:t xml:space="preserve"> (2009)</w:t>
            </w:r>
          </w:p>
        </w:tc>
        <w:tc>
          <w:tcPr>
            <w:tcW w:w="234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O objetivo deste artigo é analisar a carga tributária evidenciada por empresas brasileiras do setor de energia elétrica no ano de 2006.</w:t>
            </w:r>
          </w:p>
        </w:tc>
        <w:tc>
          <w:tcPr>
            <w:tcW w:w="3113"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As informações tributárias são pouco evidenciadas, sem divulgação aberta ou separada dos tributos; a carga tributária é identificada com maior frequência na demonstração de resultado e as companhias não apresentam um mesmo padrão de divulgação.</w:t>
            </w:r>
          </w:p>
        </w:tc>
        <w:tc>
          <w:tcPr>
            <w:tcW w:w="242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 xml:space="preserve"> Pesquisa documental, com abordagem qualitativa e quantitativa.</w:t>
            </w:r>
          </w:p>
        </w:tc>
      </w:tr>
      <w:tr w:rsidR="00D96AF8" w:rsidRPr="005C78F2" w:rsidTr="008C12BA">
        <w:trPr>
          <w:trHeight w:val="1467"/>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Carvalho (2012)</w:t>
            </w:r>
          </w:p>
        </w:tc>
        <w:tc>
          <w:tcPr>
            <w:tcW w:w="234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O presente estudo tem como foco central a premissa de arrecadação dos tributos, o objetivo</w:t>
            </w:r>
            <w:r w:rsidRPr="005C78F2">
              <w:rPr>
                <w:rFonts w:cs="Arial"/>
                <w:snapToGrid/>
                <w:color w:val="000000"/>
                <w:sz w:val="20"/>
                <w:szCs w:val="22"/>
              </w:rPr>
              <w:br/>
              <w:t>ora proposto é apresentar um comparativo sobre a carga tributária em relação ao crescimento do</w:t>
            </w:r>
            <w:r w:rsidRPr="005C78F2">
              <w:rPr>
                <w:rFonts w:cs="Arial"/>
                <w:snapToGrid/>
                <w:color w:val="000000"/>
                <w:sz w:val="20"/>
                <w:szCs w:val="22"/>
              </w:rPr>
              <w:br/>
              <w:t>PIB.</w:t>
            </w:r>
          </w:p>
        </w:tc>
        <w:tc>
          <w:tcPr>
            <w:tcW w:w="3113"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Portanto, questiona-se quais seriam as outras alternativas para melhorar o</w:t>
            </w:r>
            <w:r w:rsidRPr="005C78F2">
              <w:rPr>
                <w:rFonts w:cs="Arial"/>
                <w:snapToGrid/>
                <w:color w:val="000000"/>
                <w:sz w:val="20"/>
                <w:szCs w:val="22"/>
              </w:rPr>
              <w:br/>
              <w:t>equilíbrio fiscal a não ser um programa sério, capaz de estimular ao longo de alguns anos um</w:t>
            </w:r>
            <w:r w:rsidRPr="005C78F2">
              <w:rPr>
                <w:rFonts w:cs="Arial"/>
                <w:snapToGrid/>
                <w:color w:val="000000"/>
                <w:sz w:val="20"/>
                <w:szCs w:val="22"/>
              </w:rPr>
              <w:br/>
              <w:t>aumento de produtividade do setor público</w:t>
            </w:r>
          </w:p>
        </w:tc>
        <w:tc>
          <w:tcPr>
            <w:tcW w:w="242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Este estudo fez-se uso da</w:t>
            </w:r>
            <w:r w:rsidRPr="005C78F2">
              <w:rPr>
                <w:rFonts w:cs="Arial"/>
                <w:snapToGrid/>
                <w:color w:val="000000"/>
                <w:sz w:val="20"/>
                <w:szCs w:val="22"/>
              </w:rPr>
              <w:br/>
              <w:t>pesquisa bibliográfica acerca da Constituição Federal de 1988, Código Tributário Nacional, Lei</w:t>
            </w:r>
            <w:r w:rsidRPr="005C78F2">
              <w:rPr>
                <w:rFonts w:cs="Arial"/>
                <w:snapToGrid/>
                <w:color w:val="000000"/>
                <w:sz w:val="20"/>
                <w:szCs w:val="22"/>
              </w:rPr>
              <w:br/>
              <w:t>5.172, 25/10/66, literatura especializada e internet, para analisar os fundamentos teóricos sobre o</w:t>
            </w:r>
            <w:r w:rsidRPr="005C78F2">
              <w:rPr>
                <w:rFonts w:cs="Arial"/>
                <w:snapToGrid/>
                <w:color w:val="000000"/>
                <w:sz w:val="20"/>
                <w:szCs w:val="22"/>
              </w:rPr>
              <w:br/>
              <w:t>tema proposto.</w:t>
            </w:r>
          </w:p>
        </w:tc>
      </w:tr>
      <w:tr w:rsidR="00D96AF8" w:rsidRPr="005C78F2" w:rsidTr="008C12BA">
        <w:trPr>
          <w:trHeight w:val="152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Ribeiro (2004)</w:t>
            </w:r>
          </w:p>
        </w:tc>
        <w:tc>
          <w:tcPr>
            <w:tcW w:w="234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O objetivo deste estudo é apresentar a forma como essas</w:t>
            </w:r>
            <w:r w:rsidRPr="005C78F2">
              <w:rPr>
                <w:rFonts w:cs="Arial"/>
                <w:snapToGrid/>
                <w:color w:val="000000"/>
                <w:sz w:val="20"/>
                <w:szCs w:val="22"/>
              </w:rPr>
              <w:br/>
              <w:t>empresas estão se financiando e como a riqueza que elas produzem tem sido</w:t>
            </w:r>
            <w:r w:rsidRPr="005C78F2">
              <w:rPr>
                <w:rFonts w:cs="Arial"/>
                <w:snapToGrid/>
                <w:color w:val="000000"/>
                <w:sz w:val="20"/>
                <w:szCs w:val="22"/>
              </w:rPr>
              <w:br/>
              <w:t>distribuída a dois de seus agentes: financiadores internos e externos.</w:t>
            </w:r>
          </w:p>
        </w:tc>
        <w:tc>
          <w:tcPr>
            <w:tcW w:w="3113"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r w:rsidRPr="005C78F2">
              <w:rPr>
                <w:rFonts w:cs="Arial"/>
                <w:snapToGrid/>
                <w:color w:val="000000"/>
                <w:sz w:val="20"/>
                <w:szCs w:val="22"/>
              </w:rPr>
              <w:t>A</w:t>
            </w:r>
            <w:r w:rsidRPr="005C78F2">
              <w:rPr>
                <w:rFonts w:cs="Arial"/>
                <w:snapToGrid/>
                <w:color w:val="000000"/>
                <w:sz w:val="20"/>
                <w:szCs w:val="22"/>
              </w:rPr>
              <w:br/>
              <w:t>pesquisa demonstrou ainda que, nos últimos três exercícios, a riqueza criada pelas</w:t>
            </w:r>
            <w:r w:rsidRPr="005C78F2">
              <w:rPr>
                <w:rFonts w:cs="Arial"/>
                <w:snapToGrid/>
                <w:color w:val="000000"/>
                <w:sz w:val="20"/>
                <w:szCs w:val="22"/>
              </w:rPr>
              <w:br/>
              <w:t>empresas distribuidoras de energia elétrica foi crescente, embora o volume de ativos</w:t>
            </w:r>
            <w:r w:rsidRPr="005C78F2">
              <w:rPr>
                <w:rFonts w:cs="Arial"/>
                <w:snapToGrid/>
                <w:color w:val="000000"/>
                <w:sz w:val="20"/>
                <w:szCs w:val="22"/>
              </w:rPr>
              <w:br/>
              <w:t>necessários para sua geração tenha apresentado significativas reduções.</w:t>
            </w:r>
          </w:p>
        </w:tc>
        <w:tc>
          <w:tcPr>
            <w:tcW w:w="2420" w:type="dxa"/>
            <w:tcBorders>
              <w:top w:val="nil"/>
              <w:left w:val="nil"/>
              <w:bottom w:val="single" w:sz="4" w:space="0" w:color="auto"/>
              <w:right w:val="single" w:sz="4" w:space="0" w:color="auto"/>
            </w:tcBorders>
            <w:shd w:val="clear" w:color="auto" w:fill="auto"/>
            <w:vAlign w:val="center"/>
            <w:hideMark/>
          </w:tcPr>
          <w:p w:rsidR="00D96AF8" w:rsidRPr="005C78F2" w:rsidRDefault="00D96AF8" w:rsidP="00D96AF8">
            <w:pPr>
              <w:jc w:val="center"/>
              <w:rPr>
                <w:rFonts w:cs="Arial"/>
                <w:snapToGrid/>
                <w:color w:val="000000"/>
                <w:sz w:val="20"/>
                <w:szCs w:val="22"/>
              </w:rPr>
            </w:pPr>
            <w:proofErr w:type="spellStart"/>
            <w:r w:rsidRPr="005C78F2">
              <w:rPr>
                <w:rFonts w:cs="Arial"/>
                <w:i/>
                <w:iCs/>
                <w:snapToGrid/>
                <w:color w:val="000000"/>
                <w:sz w:val="20"/>
                <w:szCs w:val="22"/>
              </w:rPr>
              <w:t>Empríco</w:t>
            </w:r>
            <w:proofErr w:type="spellEnd"/>
            <w:r w:rsidRPr="005C78F2">
              <w:rPr>
                <w:rFonts w:cs="Arial"/>
                <w:i/>
                <w:iCs/>
                <w:snapToGrid/>
                <w:color w:val="000000"/>
                <w:sz w:val="20"/>
                <w:szCs w:val="22"/>
              </w:rPr>
              <w:t>-analítico</w:t>
            </w:r>
            <w:r w:rsidRPr="005C78F2">
              <w:rPr>
                <w:rFonts w:cs="Arial"/>
                <w:snapToGrid/>
                <w:color w:val="000000"/>
                <w:sz w:val="20"/>
                <w:szCs w:val="22"/>
              </w:rPr>
              <w:t xml:space="preserve"> e </w:t>
            </w:r>
            <w:proofErr w:type="spellStart"/>
            <w:r w:rsidRPr="005C78F2">
              <w:rPr>
                <w:rFonts w:cs="Arial"/>
                <w:i/>
                <w:iCs/>
                <w:snapToGrid/>
                <w:color w:val="000000"/>
                <w:sz w:val="20"/>
                <w:szCs w:val="22"/>
              </w:rPr>
              <w:t>ex-post</w:t>
            </w:r>
            <w:proofErr w:type="spellEnd"/>
            <w:r w:rsidRPr="005C78F2">
              <w:rPr>
                <w:rFonts w:cs="Arial"/>
                <w:i/>
                <w:iCs/>
                <w:snapToGrid/>
                <w:color w:val="000000"/>
                <w:sz w:val="20"/>
                <w:szCs w:val="22"/>
              </w:rPr>
              <w:t xml:space="preserve"> facto</w:t>
            </w:r>
            <w:r w:rsidRPr="005C78F2">
              <w:rPr>
                <w:rFonts w:cs="Arial"/>
                <w:snapToGrid/>
                <w:color w:val="000000"/>
                <w:sz w:val="20"/>
                <w:szCs w:val="22"/>
              </w:rPr>
              <w:t>.</w:t>
            </w:r>
          </w:p>
        </w:tc>
      </w:tr>
    </w:tbl>
    <w:p w:rsidR="003A39A7" w:rsidRPr="005C78F2" w:rsidRDefault="00AC53D7" w:rsidP="003A39A7">
      <w:pPr>
        <w:jc w:val="center"/>
        <w:rPr>
          <w:rFonts w:cs="Arial"/>
          <w:lang w:val="pt-PT"/>
        </w:rPr>
      </w:pPr>
      <w:r>
        <w:rPr>
          <w:rFonts w:cs="Arial"/>
          <w:color w:val="000000"/>
          <w:sz w:val="20"/>
          <w:szCs w:val="20"/>
          <w:lang w:val="pt-PT"/>
        </w:rPr>
        <w:t xml:space="preserve">                                                                                                            </w:t>
      </w:r>
      <w:r w:rsidR="003A39A7" w:rsidRPr="005C78F2">
        <w:rPr>
          <w:rFonts w:cs="Arial"/>
          <w:color w:val="000000"/>
          <w:sz w:val="20"/>
          <w:szCs w:val="20"/>
          <w:lang w:val="pt-PT"/>
        </w:rPr>
        <w:t>Fonte: Dados de pesquisa 2018.</w:t>
      </w:r>
    </w:p>
    <w:p w:rsidR="00162385" w:rsidRDefault="00162385" w:rsidP="00162385">
      <w:pPr>
        <w:jc w:val="both"/>
      </w:pPr>
    </w:p>
    <w:p w:rsidR="00A47D7F" w:rsidRDefault="00A47D7F" w:rsidP="00A47D7F">
      <w:pPr>
        <w:ind w:firstLine="709"/>
        <w:jc w:val="both"/>
      </w:pPr>
      <w:r>
        <w:lastRenderedPageBreak/>
        <w:t xml:space="preserve">Com base no artigo de </w:t>
      </w:r>
      <w:proofErr w:type="spellStart"/>
      <w:r>
        <w:t>Morch</w:t>
      </w:r>
      <w:proofErr w:type="spellEnd"/>
      <w:r>
        <w:t xml:space="preserve"> (2008), fica evidente os efeitos da tributação e de outros quesitos na demonstração do valor adicionado, em contra partida a pesquisa feita por Miranda (2002), na qual está sendo exposto a forma com que as empresas do setor elétrico evidência a Demonstração do Valor Adicionado, desta forma o que está diferenciando a proposta do presente artigo é que as intenções são mostra a diferençam da carga tributária nos dois segmentos do setor, analisando se de alguma forma eventos ocorridos nesse período afetam de alguma forma, sendo assim os artigos anteriores apenas utilizados como base para fundamentação.</w:t>
      </w:r>
    </w:p>
    <w:p w:rsidR="00671C72" w:rsidRPr="00671C72" w:rsidRDefault="00671C72" w:rsidP="00671C72">
      <w:pPr>
        <w:jc w:val="both"/>
        <w:rPr>
          <w:sz w:val="20"/>
          <w:szCs w:val="20"/>
        </w:rPr>
      </w:pPr>
    </w:p>
    <w:p w:rsidR="00E70B6F" w:rsidRPr="008C12BA" w:rsidRDefault="008C12BA" w:rsidP="00E70B6F">
      <w:pPr>
        <w:jc w:val="both"/>
        <w:rPr>
          <w:b/>
        </w:rPr>
      </w:pPr>
      <w:r w:rsidRPr="008C12BA">
        <w:rPr>
          <w:b/>
        </w:rPr>
        <w:t>3 METODOLOGIA</w:t>
      </w:r>
    </w:p>
    <w:p w:rsidR="003804B9" w:rsidRDefault="009C024A" w:rsidP="009C024A">
      <w:pPr>
        <w:ind w:firstLine="709"/>
        <w:jc w:val="both"/>
      </w:pPr>
      <w:r>
        <w:t>Neste seguimento da pesquisa abordaremos os métodos que serão utilizados no decorrer da p</w:t>
      </w:r>
      <w:r w:rsidR="000B4B41">
        <w:t>esquisa, e também os procedimentos técnicos para formação da base de dados, com o objetivo de responder o problema levantado por esse artigo.</w:t>
      </w:r>
    </w:p>
    <w:p w:rsidR="000B4B41" w:rsidRDefault="000B4B41" w:rsidP="009C024A">
      <w:pPr>
        <w:ind w:firstLine="709"/>
        <w:jc w:val="both"/>
      </w:pPr>
    </w:p>
    <w:p w:rsidR="002A4848" w:rsidRDefault="002A4848" w:rsidP="002A4848">
      <w:pPr>
        <w:jc w:val="both"/>
      </w:pPr>
      <w:r>
        <w:t xml:space="preserve">3.1 ENQUADRAMNETO DA PESQUISA </w:t>
      </w:r>
    </w:p>
    <w:p w:rsidR="001D2667" w:rsidRDefault="001D2667" w:rsidP="002A4848">
      <w:pPr>
        <w:jc w:val="both"/>
      </w:pPr>
    </w:p>
    <w:p w:rsidR="008D1CC6" w:rsidRDefault="002A4848" w:rsidP="001D2667">
      <w:pPr>
        <w:ind w:firstLine="709"/>
        <w:jc w:val="both"/>
      </w:pPr>
      <w:r>
        <w:t xml:space="preserve">O presente artigo é uma pesquisa descritiva e qualitativa na área de Ciências Contábeis, e tem como objetivo principal a descrição dos atributos de uma determinada população, para assim poder estabelecer relação entre as variáveis, (GIL, 2002, p.42). Definida como uma pesquisa exploratória, </w:t>
      </w:r>
      <w:r w:rsidR="008D1CC6">
        <w:t xml:space="preserve">para MALHOTRA (2001) tem como objetivo principal possibilitar uma melhor </w:t>
      </w:r>
      <w:r w:rsidR="00257774">
        <w:t>compreensão</w:t>
      </w:r>
      <w:r w:rsidR="008D1CC6">
        <w:t xml:space="preserve"> do problema enfrentado pelo pesquisado</w:t>
      </w:r>
      <w:r w:rsidR="00257774">
        <w:t>r</w:t>
      </w:r>
      <w:r w:rsidR="008D1CC6">
        <w:t>, para VIEIRA, Valter Afonso (2017):</w:t>
      </w:r>
    </w:p>
    <w:p w:rsidR="002A4848" w:rsidRDefault="008D1CC6" w:rsidP="008D1CC6">
      <w:pPr>
        <w:ind w:left="2124" w:firstLine="709"/>
        <w:jc w:val="both"/>
        <w:rPr>
          <w:sz w:val="20"/>
          <w:szCs w:val="20"/>
        </w:rPr>
      </w:pPr>
      <w:r w:rsidRPr="008D1CC6">
        <w:rPr>
          <w:sz w:val="20"/>
          <w:szCs w:val="20"/>
        </w:rPr>
        <w:t>A pesquisa exploratória visa a proporcionar ao pesquisador uma maior familiaridade com o problema em estudo. Este esforço tem como meta tornar um problema complexo mais explícito ou mesmo construir hipóteses mais adequadas</w:t>
      </w:r>
    </w:p>
    <w:p w:rsidR="00257774" w:rsidRPr="008D1CC6" w:rsidRDefault="00257774" w:rsidP="00257774">
      <w:pPr>
        <w:jc w:val="both"/>
        <w:rPr>
          <w:sz w:val="20"/>
          <w:szCs w:val="20"/>
        </w:rPr>
      </w:pPr>
    </w:p>
    <w:p w:rsidR="00E70B6F" w:rsidRDefault="00257774" w:rsidP="00E70B6F">
      <w:pPr>
        <w:jc w:val="both"/>
      </w:pPr>
      <w:r>
        <w:t>3.2 INSTRUMENTOS UTILIZADOS</w:t>
      </w:r>
    </w:p>
    <w:p w:rsidR="00257774" w:rsidRDefault="00257774" w:rsidP="00C722A3">
      <w:pPr>
        <w:jc w:val="both"/>
        <w:rPr>
          <w:color w:val="FF0000"/>
          <w:highlight w:val="yellow"/>
        </w:rPr>
      </w:pPr>
    </w:p>
    <w:p w:rsidR="00297FE0" w:rsidRDefault="003A764B" w:rsidP="00A31507">
      <w:pPr>
        <w:jc w:val="both"/>
      </w:pPr>
      <w:r>
        <w:t xml:space="preserve">3.2.1 Levantamento </w:t>
      </w:r>
    </w:p>
    <w:p w:rsidR="003A764B" w:rsidRDefault="003A764B" w:rsidP="003A764B">
      <w:pPr>
        <w:ind w:firstLine="709"/>
        <w:jc w:val="both"/>
      </w:pPr>
      <w:r>
        <w:t xml:space="preserve">O artigo se </w:t>
      </w:r>
      <w:r w:rsidR="001C60DF">
        <w:t>baseia</w:t>
      </w:r>
      <w:r>
        <w:t xml:space="preserve"> em uma pesquisa documental, a qual é um entre as pesquisas de levantamento apontadas por </w:t>
      </w:r>
      <w:proofErr w:type="spellStart"/>
      <w:r>
        <w:t>Lakatos</w:t>
      </w:r>
      <w:proofErr w:type="spellEnd"/>
      <w:r>
        <w:t xml:space="preserve"> e Marconi (2010). Podendo ser efetuada quando não se tem o material propriamente dito, baseando-se em fontes primarias.</w:t>
      </w:r>
    </w:p>
    <w:p w:rsidR="00A31507" w:rsidRDefault="00A31507" w:rsidP="001D2667">
      <w:pPr>
        <w:ind w:firstLine="709"/>
        <w:jc w:val="both"/>
      </w:pPr>
      <w:r>
        <w:t>Do ponto de vista de Gil (2007, p.51):</w:t>
      </w:r>
    </w:p>
    <w:p w:rsidR="00332D17" w:rsidRDefault="00A31507" w:rsidP="001D2667">
      <w:pPr>
        <w:ind w:left="2124" w:firstLine="709"/>
        <w:jc w:val="both"/>
        <w:rPr>
          <w:sz w:val="20"/>
          <w:szCs w:val="20"/>
        </w:rPr>
      </w:pPr>
      <w:r w:rsidRPr="00A31507">
        <w:rPr>
          <w:sz w:val="20"/>
          <w:szCs w:val="20"/>
        </w:rPr>
        <w:t>Pesquisa Descritiva: visa descrever as características de determinada população ou fenômeno ou o estabelecimento de relações entre variáveis. Envolve o uso de técnicas padronizadas de coleta de dados: questionário e observação sistemática. Assume, em geral, a forma de Levantamento.</w:t>
      </w:r>
    </w:p>
    <w:p w:rsidR="00742DFE" w:rsidRDefault="00742DFE" w:rsidP="00AC53D7">
      <w:pPr>
        <w:jc w:val="both"/>
        <w:rPr>
          <w:sz w:val="20"/>
          <w:szCs w:val="20"/>
        </w:rPr>
      </w:pPr>
    </w:p>
    <w:p w:rsidR="001D2667" w:rsidRPr="001D2667" w:rsidRDefault="001D2667" w:rsidP="001D2667">
      <w:pPr>
        <w:ind w:left="2124" w:firstLine="709"/>
        <w:jc w:val="both"/>
        <w:rPr>
          <w:sz w:val="20"/>
          <w:szCs w:val="20"/>
        </w:rPr>
      </w:pPr>
    </w:p>
    <w:p w:rsidR="00C722A3" w:rsidRDefault="00C722A3" w:rsidP="00C722A3">
      <w:pPr>
        <w:jc w:val="both"/>
      </w:pPr>
      <w:r>
        <w:t>3.</w:t>
      </w:r>
      <w:r w:rsidR="00332D17">
        <w:t>3</w:t>
      </w:r>
      <w:r w:rsidR="001C60DF">
        <w:t xml:space="preserve"> </w:t>
      </w:r>
      <w:r w:rsidR="00332D17">
        <w:t>PROCEDIMENTOS METODOLÓGICOS</w:t>
      </w:r>
    </w:p>
    <w:p w:rsidR="00742DFE" w:rsidRDefault="00742DFE" w:rsidP="00C722A3">
      <w:pPr>
        <w:jc w:val="both"/>
      </w:pPr>
    </w:p>
    <w:p w:rsidR="00C722A3" w:rsidRDefault="00C722A3" w:rsidP="00C722A3">
      <w:pPr>
        <w:ind w:firstLine="709"/>
        <w:jc w:val="both"/>
      </w:pPr>
      <w:r>
        <w:t>Inicialmente foi elaborado a amostra de pesquisa, que foi baseada nas empresas do setor elétrico listadas na BM&amp;F</w:t>
      </w:r>
      <w:r w:rsidR="003948A8">
        <w:t>BOVESPA. E</w:t>
      </w:r>
      <w:r>
        <w:t xml:space="preserve">ste setor foi escolhido por se tratar de um produto indispensável </w:t>
      </w:r>
      <w:r w:rsidR="002C370C">
        <w:t>para a humanidade</w:t>
      </w:r>
      <w:r>
        <w:t xml:space="preserve"> </w:t>
      </w:r>
      <w:proofErr w:type="spellStart"/>
      <w:proofErr w:type="gramStart"/>
      <w:r>
        <w:t>e</w:t>
      </w:r>
      <w:r w:rsidR="002C370C">
        <w:t>,além</w:t>
      </w:r>
      <w:proofErr w:type="spellEnd"/>
      <w:proofErr w:type="gramEnd"/>
      <w:r w:rsidR="002C370C">
        <w:t xml:space="preserve"> disto, </w:t>
      </w:r>
      <w:r w:rsidR="003948A8">
        <w:t xml:space="preserve">pesquisar a respeito deste </w:t>
      </w:r>
      <w:proofErr w:type="spellStart"/>
      <w:r w:rsidR="003948A8">
        <w:t>seguimentoe</w:t>
      </w:r>
      <w:proofErr w:type="spellEnd"/>
      <w:r w:rsidR="003948A8">
        <w:t xml:space="preserve"> poder mostrar o quanto da carga tributária o afeta é de suma importância.</w:t>
      </w:r>
    </w:p>
    <w:p w:rsidR="003948A8" w:rsidRDefault="003948A8" w:rsidP="00C722A3">
      <w:pPr>
        <w:ind w:firstLine="709"/>
        <w:jc w:val="both"/>
      </w:pPr>
      <w:r>
        <w:lastRenderedPageBreak/>
        <w:t xml:space="preserve">A amostra é constituída </w:t>
      </w:r>
      <w:r w:rsidR="002C370C">
        <w:t>por dois segmentos do setor:</w:t>
      </w:r>
      <w:r w:rsidR="00DA4D04">
        <w:t xml:space="preserve"> empresa</w:t>
      </w:r>
      <w:r>
        <w:t xml:space="preserve"> de energia elétrica </w:t>
      </w:r>
      <w:r w:rsidR="002C370C">
        <w:t>de geração/</w:t>
      </w:r>
      <w:r w:rsidR="00DA4D04">
        <w:t>transmissão e empresa</w:t>
      </w:r>
      <w:r w:rsidR="00AA732A">
        <w:t xml:space="preserve"> </w:t>
      </w:r>
      <w:r w:rsidR="00DA4D04">
        <w:t>de energia elétrica responsável</w:t>
      </w:r>
      <w:r w:rsidR="003A764B">
        <w:t xml:space="preserve"> </w:t>
      </w:r>
      <w:r w:rsidR="002C370C">
        <w:t xml:space="preserve">pela distribuição; </w:t>
      </w:r>
      <w:r>
        <w:t xml:space="preserve">foram excluídas </w:t>
      </w:r>
      <w:r w:rsidR="002C370C">
        <w:t>as empresas que se enquadra</w:t>
      </w:r>
      <w:r>
        <w:t xml:space="preserve">m como </w:t>
      </w:r>
      <w:r w:rsidRPr="002C370C">
        <w:rPr>
          <w:i/>
        </w:rPr>
        <w:t>holding</w:t>
      </w:r>
      <w:r w:rsidR="002C370C">
        <w:t xml:space="preserve"> ou cujo </w:t>
      </w:r>
      <w:r>
        <w:t xml:space="preserve">atividade fim não se enquadre especificamente </w:t>
      </w:r>
      <w:r w:rsidR="002C370C">
        <w:t>como geração/</w:t>
      </w:r>
      <w:r>
        <w:t>transmissão ou distribuição.</w:t>
      </w:r>
    </w:p>
    <w:p w:rsidR="00B17F29" w:rsidRDefault="003948A8" w:rsidP="00DF3A9B">
      <w:pPr>
        <w:ind w:firstLine="709"/>
        <w:jc w:val="both"/>
      </w:pPr>
      <w:r>
        <w:t xml:space="preserve">A base de dados utilizada foi </w:t>
      </w:r>
      <w:r w:rsidR="002C370C">
        <w:t xml:space="preserve">o </w:t>
      </w:r>
      <w:r w:rsidR="00DA4D04">
        <w:t>site da BM&amp;FBOVESPA</w:t>
      </w:r>
      <w:r w:rsidR="002C370C">
        <w:t xml:space="preserve">, em que foram extraídos da demonstração do valor adicionado a conta, destinação para o governo (impostos), no período de dez anos (2007 </w:t>
      </w:r>
      <w:r w:rsidR="00FA342F">
        <w:t>a</w:t>
      </w:r>
      <w:r w:rsidR="002C370C">
        <w:t xml:space="preserve"> 2017), das</w:t>
      </w:r>
      <w:r w:rsidR="00DA4D04">
        <w:t xml:space="preserve"> 4</w:t>
      </w:r>
      <w:r w:rsidR="002C370C">
        <w:t xml:space="preserve"> empresas que neste período publicaram a respectiva demonstração.</w:t>
      </w:r>
      <w:r w:rsidR="00AA732A">
        <w:t xml:space="preserve"> Conforme tabela a seguir:</w:t>
      </w:r>
    </w:p>
    <w:p w:rsidR="00AA732A" w:rsidRPr="00B17F29" w:rsidRDefault="00AA732A" w:rsidP="00F6386E">
      <w:pPr>
        <w:pStyle w:val="NormalWeb"/>
        <w:jc w:val="center"/>
        <w:rPr>
          <w:color w:val="000000"/>
          <w:sz w:val="20"/>
          <w:szCs w:val="20"/>
        </w:rPr>
      </w:pPr>
      <w:r>
        <w:rPr>
          <w:color w:val="000000"/>
          <w:sz w:val="20"/>
          <w:szCs w:val="20"/>
        </w:rPr>
        <w:t>Tabela 1 – Tabela dos valores extraídos da DVA</w:t>
      </w:r>
    </w:p>
    <w:p w:rsidR="00AA732A" w:rsidRDefault="00642C79" w:rsidP="00F6386E">
      <w:pPr>
        <w:ind w:firstLine="709"/>
      </w:pPr>
      <w:r w:rsidRPr="00F10D4C">
        <w:rPr>
          <w:noProof/>
          <w:snapToGrid/>
        </w:rPr>
        <w:drawing>
          <wp:inline distT="0" distB="0" distL="0" distR="0">
            <wp:extent cx="4581525" cy="3257550"/>
            <wp:effectExtent l="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3257550"/>
                    </a:xfrm>
                    <a:prstGeom prst="rect">
                      <a:avLst/>
                    </a:prstGeom>
                    <a:noFill/>
                    <a:ln>
                      <a:noFill/>
                    </a:ln>
                  </pic:spPr>
                </pic:pic>
              </a:graphicData>
            </a:graphic>
          </wp:inline>
        </w:drawing>
      </w:r>
    </w:p>
    <w:p w:rsidR="00AA732A" w:rsidRPr="00AA732A" w:rsidRDefault="00AA732A" w:rsidP="00DF3A9B">
      <w:pPr>
        <w:ind w:firstLine="709"/>
        <w:jc w:val="both"/>
        <w:rPr>
          <w:rFonts w:ascii="Times New Roman" w:hAnsi="Times New Roman"/>
          <w:color w:val="000000"/>
          <w:sz w:val="20"/>
          <w:szCs w:val="20"/>
        </w:rPr>
      </w:pPr>
      <w:r>
        <w:rPr>
          <w:rFonts w:ascii="Times New Roman" w:hAnsi="Times New Roman"/>
          <w:color w:val="000000"/>
          <w:sz w:val="20"/>
          <w:szCs w:val="20"/>
        </w:rPr>
        <w:t xml:space="preserve">                                                                                                   Fonte: Elaborado pelo autor.</w:t>
      </w:r>
    </w:p>
    <w:p w:rsidR="00DA4D04" w:rsidRDefault="00DA4D04" w:rsidP="00C722A3">
      <w:pPr>
        <w:ind w:firstLine="709"/>
        <w:jc w:val="both"/>
      </w:pPr>
      <w:r>
        <w:t>Foram selecionadas as duas empresas com atividade fim distribuição, com base no patrimônio líquido, neste caso as duas empresas com o maior PL, o mesmo foi feito para as duas empresas no seguimento de geração/transmissão.</w:t>
      </w:r>
    </w:p>
    <w:p w:rsidR="00AA732A" w:rsidRDefault="00AA732A" w:rsidP="00C722A3">
      <w:pPr>
        <w:ind w:firstLine="709"/>
        <w:jc w:val="both"/>
      </w:pPr>
      <w:r>
        <w:t xml:space="preserve">Um segundo processo de coleta de dados foi efetuado afim de coletar </w:t>
      </w:r>
      <w:r w:rsidR="003A39A7">
        <w:t>informações</w:t>
      </w:r>
      <w:r>
        <w:t xml:space="preserve"> a respeito da receita liquida de cada companhia, a qual foi extraída do sistema de base de dados </w:t>
      </w:r>
      <w:proofErr w:type="spellStart"/>
      <w:r>
        <w:t>Economatica</w:t>
      </w:r>
      <w:proofErr w:type="spellEnd"/>
      <w:r>
        <w:t xml:space="preserve">, para finalidade de </w:t>
      </w:r>
      <w:r w:rsidR="00AD77E6">
        <w:t>ca</w:t>
      </w:r>
      <w:r w:rsidR="003A39A7">
        <w:t>l</w:t>
      </w:r>
      <w:r w:rsidR="00AD77E6">
        <w:t>c</w:t>
      </w:r>
      <w:r w:rsidR="003A39A7">
        <w:t>ul</w:t>
      </w:r>
      <w:r w:rsidR="00AD77E6">
        <w:t>ar o tributo efetivo, no qual da</w:t>
      </w:r>
      <w:r w:rsidR="003A39A7">
        <w:t xml:space="preserve"> pela divisão do valor dos Tributos, taxas e contribuições pelo valor da receita liquida.</w:t>
      </w:r>
    </w:p>
    <w:p w:rsidR="00257774" w:rsidRDefault="002C370C" w:rsidP="00B17F29">
      <w:pPr>
        <w:ind w:firstLine="709"/>
        <w:jc w:val="both"/>
      </w:pPr>
      <w:r>
        <w:t>Finalmente analisando os dados coletados, comparando as empresas dos dois seguimentos (geração/transmissão e distribuição)</w:t>
      </w:r>
      <w:r w:rsidR="00FA342F">
        <w:t xml:space="preserve">, constatando assim se há </w:t>
      </w:r>
      <w:r w:rsidR="00DA4D04">
        <w:t>alguma</w:t>
      </w:r>
      <w:r w:rsidR="00FA342F">
        <w:t xml:space="preserve"> diferença entre os seguimentos, e se de alguma forma eventos ocorridos nesse período afetam a arrecadação governamental.</w:t>
      </w:r>
    </w:p>
    <w:p w:rsidR="00671C3B" w:rsidRPr="00620121" w:rsidRDefault="001C60DF" w:rsidP="001C60DF">
      <w:pPr>
        <w:pStyle w:val="Ttulo1"/>
        <w:numPr>
          <w:ilvl w:val="0"/>
          <w:numId w:val="0"/>
        </w:numPr>
      </w:pPr>
      <w:bookmarkStart w:id="0" w:name="_Toc306217206"/>
      <w:bookmarkStart w:id="1" w:name="_Toc417668859"/>
      <w:r>
        <w:lastRenderedPageBreak/>
        <w:t xml:space="preserve">4 </w:t>
      </w:r>
      <w:r w:rsidR="00671C3B" w:rsidRPr="00620121">
        <w:t>APRESENTAÇÃO E DISCUSSÃO DOS RESULTADOS</w:t>
      </w:r>
      <w:bookmarkEnd w:id="0"/>
      <w:bookmarkEnd w:id="1"/>
    </w:p>
    <w:p w:rsidR="00671C3B" w:rsidRPr="000862C0" w:rsidRDefault="00AD77E6" w:rsidP="00671C3B">
      <w:pPr>
        <w:ind w:firstLine="851"/>
        <w:jc w:val="both"/>
        <w:rPr>
          <w:rFonts w:cs="Arial"/>
          <w:bCs/>
        </w:rPr>
      </w:pPr>
      <w:bookmarkStart w:id="2" w:name="_Toc324594103"/>
      <w:r>
        <w:rPr>
          <w:rFonts w:cs="Arial"/>
          <w:bCs/>
        </w:rPr>
        <w:t xml:space="preserve">A presente secção tem como intuito expor os dados coletados e analisar de forma clara </w:t>
      </w:r>
      <w:r w:rsidR="001C60DF">
        <w:rPr>
          <w:rFonts w:cs="Arial"/>
          <w:bCs/>
        </w:rPr>
        <w:t>para compreensão adequada da pesquisa</w:t>
      </w:r>
      <w:bookmarkEnd w:id="2"/>
      <w:r w:rsidR="001C60DF">
        <w:rPr>
          <w:rFonts w:cs="Arial"/>
          <w:bCs/>
        </w:rPr>
        <w:t xml:space="preserve">, com intuito de alcançar os objetivos propostos e poder responder ao problema em questão. Por meio de tabelas busca-se apresentar quais as taxas de impostos efetivos e os valores para a conta Impostos, Taxas e Contribuições, afim de traçar um perfil de cada companhia para assim poder efetuar a comparação entra elas. </w:t>
      </w:r>
    </w:p>
    <w:p w:rsidR="00671C3B" w:rsidRDefault="00671C3B" w:rsidP="00DE2E84">
      <w:pPr>
        <w:pStyle w:val="Ttulo2"/>
        <w:numPr>
          <w:ilvl w:val="1"/>
          <w:numId w:val="2"/>
        </w:numPr>
      </w:pPr>
      <w:bookmarkStart w:id="3" w:name="_Toc417668860"/>
      <w:r>
        <w:t>APRESENTAÇÃO DOS DADOS</w:t>
      </w:r>
      <w:bookmarkEnd w:id="3"/>
    </w:p>
    <w:p w:rsidR="00AC53D7" w:rsidRPr="00AC53D7" w:rsidRDefault="001C60DF" w:rsidP="00DF3A9B">
      <w:pPr>
        <w:ind w:firstLine="709"/>
        <w:jc w:val="both"/>
        <w:rPr>
          <w:lang w:eastAsia="en-US"/>
        </w:rPr>
      </w:pPr>
      <w:r>
        <w:rPr>
          <w:lang w:eastAsia="en-US"/>
        </w:rPr>
        <w:t>As empresas foram inicialmente analisadas pelo valor do seu patrimônio líquido para assim classifica-las e analisá-las, posteriormente foram confeccionadas tabelas para ilustrar e melhor visualizar o desenvolvimento da carga tributária paga pelas companhias.</w:t>
      </w:r>
      <w:r w:rsidR="005C26A8">
        <w:rPr>
          <w:lang w:eastAsia="en-US"/>
        </w:rPr>
        <w:t xml:space="preserve"> Inicialmente iremos explorar cada entidade individualmente para ao final</w:t>
      </w:r>
      <w:r w:rsidR="00172879">
        <w:rPr>
          <w:lang w:eastAsia="en-US"/>
        </w:rPr>
        <w:t xml:space="preserve"> efetuar comparações entre elas</w:t>
      </w:r>
      <w:r w:rsidR="00AC53D7">
        <w:rPr>
          <w:lang w:eastAsia="en-US"/>
        </w:rPr>
        <w:t>.</w:t>
      </w:r>
    </w:p>
    <w:p w:rsidR="00742DFE" w:rsidRDefault="005C26A8" w:rsidP="00DF3A9B">
      <w:pPr>
        <w:ind w:firstLine="709"/>
        <w:jc w:val="center"/>
        <w:rPr>
          <w:color w:val="000000"/>
          <w:sz w:val="20"/>
          <w:szCs w:val="20"/>
        </w:rPr>
      </w:pPr>
      <w:r>
        <w:rPr>
          <w:color w:val="000000"/>
          <w:sz w:val="20"/>
          <w:szCs w:val="20"/>
        </w:rPr>
        <w:t>Tabela 2 – Tabela dos valores extraídos da DVA</w:t>
      </w:r>
    </w:p>
    <w:tbl>
      <w:tblPr>
        <w:tblW w:w="6601" w:type="dxa"/>
        <w:jc w:val="center"/>
        <w:tblCellMar>
          <w:left w:w="70" w:type="dxa"/>
          <w:right w:w="70" w:type="dxa"/>
        </w:tblCellMar>
        <w:tblLook w:val="04A0" w:firstRow="1" w:lastRow="0" w:firstColumn="1" w:lastColumn="0" w:noHBand="0" w:noVBand="1"/>
      </w:tblPr>
      <w:tblGrid>
        <w:gridCol w:w="630"/>
        <w:gridCol w:w="1679"/>
        <w:gridCol w:w="2131"/>
        <w:gridCol w:w="2211"/>
      </w:tblGrid>
      <w:tr w:rsidR="00172879" w:rsidRPr="005C78F2" w:rsidTr="00742DFE">
        <w:trPr>
          <w:trHeight w:val="20"/>
          <w:jc w:val="center"/>
        </w:trPr>
        <w:tc>
          <w:tcPr>
            <w:tcW w:w="6601" w:type="dxa"/>
            <w:gridSpan w:val="4"/>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172879" w:rsidRPr="005C78F2" w:rsidRDefault="00172879" w:rsidP="00172879">
            <w:pPr>
              <w:jc w:val="center"/>
              <w:rPr>
                <w:rFonts w:cs="Arial"/>
                <w:b/>
                <w:bCs/>
                <w:snapToGrid/>
                <w:color w:val="000000"/>
                <w:sz w:val="20"/>
                <w:szCs w:val="20"/>
              </w:rPr>
            </w:pPr>
            <w:r w:rsidRPr="005C78F2">
              <w:rPr>
                <w:rFonts w:cs="Arial"/>
                <w:b/>
                <w:bCs/>
                <w:snapToGrid/>
                <w:color w:val="000000"/>
                <w:sz w:val="20"/>
                <w:szCs w:val="20"/>
              </w:rPr>
              <w:t xml:space="preserve">Empresa de Distribuição - (Reais Mil) </w:t>
            </w:r>
          </w:p>
        </w:tc>
      </w:tr>
      <w:tr w:rsidR="00172879" w:rsidRPr="005C78F2" w:rsidTr="00742DFE">
        <w:trPr>
          <w:trHeight w:val="20"/>
          <w:jc w:val="center"/>
        </w:trPr>
        <w:tc>
          <w:tcPr>
            <w:tcW w:w="580" w:type="dxa"/>
            <w:vMerge w:val="restart"/>
            <w:tcBorders>
              <w:top w:val="nil"/>
              <w:left w:val="single" w:sz="4" w:space="0" w:color="auto"/>
              <w:bottom w:val="single" w:sz="4" w:space="0" w:color="auto"/>
              <w:right w:val="single" w:sz="4" w:space="0" w:color="auto"/>
            </w:tcBorders>
            <w:shd w:val="clear" w:color="000000" w:fill="ACB9CA"/>
            <w:noWrap/>
            <w:vAlign w:val="center"/>
            <w:hideMark/>
          </w:tcPr>
          <w:p w:rsidR="00172879" w:rsidRPr="005C78F2" w:rsidRDefault="00172879" w:rsidP="00172879">
            <w:pPr>
              <w:jc w:val="center"/>
              <w:rPr>
                <w:rFonts w:cs="Arial"/>
                <w:b/>
                <w:bCs/>
                <w:snapToGrid/>
                <w:color w:val="000000"/>
                <w:sz w:val="20"/>
                <w:szCs w:val="20"/>
              </w:rPr>
            </w:pPr>
            <w:r w:rsidRPr="005C78F2">
              <w:rPr>
                <w:rFonts w:cs="Arial"/>
                <w:b/>
                <w:bCs/>
                <w:snapToGrid/>
                <w:color w:val="000000"/>
                <w:sz w:val="20"/>
                <w:szCs w:val="20"/>
              </w:rPr>
              <w:t>Ano</w:t>
            </w:r>
          </w:p>
        </w:tc>
        <w:tc>
          <w:tcPr>
            <w:tcW w:w="6021" w:type="dxa"/>
            <w:gridSpan w:val="3"/>
            <w:tcBorders>
              <w:top w:val="single" w:sz="4" w:space="0" w:color="auto"/>
              <w:left w:val="nil"/>
              <w:bottom w:val="single" w:sz="4" w:space="0" w:color="auto"/>
              <w:right w:val="single" w:sz="4" w:space="0" w:color="auto"/>
            </w:tcBorders>
            <w:shd w:val="clear" w:color="000000" w:fill="ACB9CA"/>
            <w:noWrap/>
            <w:vAlign w:val="center"/>
            <w:hideMark/>
          </w:tcPr>
          <w:p w:rsidR="00172879" w:rsidRPr="005C78F2" w:rsidRDefault="00172879" w:rsidP="00172879">
            <w:pPr>
              <w:jc w:val="center"/>
              <w:rPr>
                <w:rFonts w:cs="Arial"/>
                <w:snapToGrid/>
                <w:color w:val="000000"/>
                <w:sz w:val="20"/>
                <w:szCs w:val="20"/>
              </w:rPr>
            </w:pPr>
            <w:r w:rsidRPr="005C78F2">
              <w:rPr>
                <w:rFonts w:cs="Arial"/>
                <w:snapToGrid/>
                <w:color w:val="000000"/>
                <w:sz w:val="20"/>
                <w:szCs w:val="20"/>
              </w:rPr>
              <w:t xml:space="preserve">Empresa Alfa - </w:t>
            </w:r>
            <w:r w:rsidRPr="005C78F2">
              <w:rPr>
                <w:rFonts w:cs="Arial"/>
                <w:b/>
                <w:bCs/>
                <w:snapToGrid/>
                <w:color w:val="000000"/>
                <w:sz w:val="20"/>
                <w:szCs w:val="20"/>
              </w:rPr>
              <w:t>α</w:t>
            </w:r>
          </w:p>
        </w:tc>
      </w:tr>
      <w:tr w:rsidR="00172879" w:rsidRPr="005C78F2" w:rsidTr="00742DFE">
        <w:trPr>
          <w:trHeight w:val="20"/>
          <w:jc w:val="center"/>
        </w:trPr>
        <w:tc>
          <w:tcPr>
            <w:tcW w:w="580" w:type="dxa"/>
            <w:vMerge/>
            <w:tcBorders>
              <w:top w:val="nil"/>
              <w:left w:val="single" w:sz="4" w:space="0" w:color="auto"/>
              <w:bottom w:val="single" w:sz="4" w:space="0" w:color="auto"/>
              <w:right w:val="single" w:sz="4" w:space="0" w:color="auto"/>
            </w:tcBorders>
            <w:vAlign w:val="center"/>
            <w:hideMark/>
          </w:tcPr>
          <w:p w:rsidR="00172879" w:rsidRPr="005C78F2" w:rsidRDefault="00172879" w:rsidP="00172879">
            <w:pPr>
              <w:rPr>
                <w:rFonts w:cs="Arial"/>
                <w:b/>
                <w:bCs/>
                <w:snapToGrid/>
                <w:color w:val="000000"/>
                <w:sz w:val="20"/>
                <w:szCs w:val="20"/>
              </w:rPr>
            </w:pPr>
          </w:p>
        </w:tc>
        <w:tc>
          <w:tcPr>
            <w:tcW w:w="6021" w:type="dxa"/>
            <w:gridSpan w:val="3"/>
            <w:tcBorders>
              <w:top w:val="single" w:sz="4" w:space="0" w:color="auto"/>
              <w:left w:val="nil"/>
              <w:bottom w:val="single" w:sz="4" w:space="0" w:color="auto"/>
              <w:right w:val="single" w:sz="4" w:space="0" w:color="auto"/>
            </w:tcBorders>
            <w:shd w:val="clear" w:color="000000" w:fill="ACB9CA"/>
            <w:vAlign w:val="center"/>
            <w:hideMark/>
          </w:tcPr>
          <w:p w:rsidR="00172879" w:rsidRPr="005C78F2" w:rsidRDefault="00172879" w:rsidP="00172879">
            <w:pPr>
              <w:jc w:val="center"/>
              <w:rPr>
                <w:rFonts w:cs="Arial"/>
                <w:snapToGrid/>
                <w:color w:val="000000"/>
                <w:sz w:val="20"/>
                <w:szCs w:val="20"/>
              </w:rPr>
            </w:pPr>
            <w:r w:rsidRPr="005C78F2">
              <w:rPr>
                <w:rFonts w:cs="Arial"/>
                <w:snapToGrid/>
                <w:color w:val="000000"/>
                <w:sz w:val="20"/>
                <w:szCs w:val="20"/>
              </w:rPr>
              <w:t>Distribuição do Valor Adicionado</w:t>
            </w:r>
          </w:p>
        </w:tc>
      </w:tr>
      <w:tr w:rsidR="00172879" w:rsidRPr="005C78F2" w:rsidTr="00742DFE">
        <w:trPr>
          <w:trHeight w:val="20"/>
          <w:jc w:val="center"/>
        </w:trPr>
        <w:tc>
          <w:tcPr>
            <w:tcW w:w="580" w:type="dxa"/>
            <w:vMerge/>
            <w:tcBorders>
              <w:top w:val="nil"/>
              <w:left w:val="single" w:sz="4" w:space="0" w:color="auto"/>
              <w:bottom w:val="single" w:sz="4" w:space="0" w:color="auto"/>
              <w:right w:val="single" w:sz="4" w:space="0" w:color="auto"/>
            </w:tcBorders>
            <w:vAlign w:val="center"/>
            <w:hideMark/>
          </w:tcPr>
          <w:p w:rsidR="00172879" w:rsidRPr="005C78F2" w:rsidRDefault="00172879" w:rsidP="00172879">
            <w:pPr>
              <w:rPr>
                <w:rFonts w:cs="Arial"/>
                <w:b/>
                <w:bCs/>
                <w:snapToGrid/>
                <w:color w:val="000000"/>
                <w:sz w:val="20"/>
                <w:szCs w:val="20"/>
              </w:rPr>
            </w:pPr>
          </w:p>
        </w:tc>
        <w:tc>
          <w:tcPr>
            <w:tcW w:w="1679" w:type="dxa"/>
            <w:tcBorders>
              <w:top w:val="nil"/>
              <w:left w:val="nil"/>
              <w:bottom w:val="single" w:sz="4" w:space="0" w:color="auto"/>
              <w:right w:val="single" w:sz="4" w:space="0" w:color="auto"/>
            </w:tcBorders>
            <w:shd w:val="clear" w:color="000000" w:fill="ACB9CA"/>
            <w:vAlign w:val="center"/>
            <w:hideMark/>
          </w:tcPr>
          <w:p w:rsidR="00172879" w:rsidRPr="005C78F2" w:rsidRDefault="00172879" w:rsidP="00172879">
            <w:pPr>
              <w:jc w:val="center"/>
              <w:rPr>
                <w:rFonts w:cs="Arial"/>
                <w:snapToGrid/>
                <w:color w:val="000000"/>
                <w:sz w:val="20"/>
                <w:szCs w:val="20"/>
              </w:rPr>
            </w:pPr>
            <w:r w:rsidRPr="005C78F2">
              <w:rPr>
                <w:rFonts w:cs="Arial"/>
                <w:snapToGrid/>
                <w:color w:val="000000"/>
                <w:sz w:val="20"/>
                <w:szCs w:val="20"/>
              </w:rPr>
              <w:t>Receita liquida</w:t>
            </w:r>
          </w:p>
        </w:tc>
        <w:tc>
          <w:tcPr>
            <w:tcW w:w="2131" w:type="dxa"/>
            <w:tcBorders>
              <w:top w:val="nil"/>
              <w:left w:val="nil"/>
              <w:bottom w:val="single" w:sz="4" w:space="0" w:color="auto"/>
              <w:right w:val="single" w:sz="4" w:space="0" w:color="auto"/>
            </w:tcBorders>
            <w:shd w:val="clear" w:color="000000" w:fill="ACB9CA"/>
            <w:vAlign w:val="center"/>
            <w:hideMark/>
          </w:tcPr>
          <w:p w:rsidR="00172879" w:rsidRPr="005C78F2" w:rsidRDefault="00172879" w:rsidP="00172879">
            <w:pPr>
              <w:jc w:val="center"/>
              <w:rPr>
                <w:rFonts w:cs="Arial"/>
                <w:snapToGrid/>
                <w:color w:val="000000"/>
                <w:sz w:val="20"/>
                <w:szCs w:val="20"/>
              </w:rPr>
            </w:pPr>
            <w:r w:rsidRPr="005C78F2">
              <w:rPr>
                <w:rFonts w:cs="Arial"/>
                <w:snapToGrid/>
                <w:color w:val="000000"/>
                <w:sz w:val="20"/>
                <w:szCs w:val="20"/>
              </w:rPr>
              <w:t>Impostas, Taxas e Contribuições</w:t>
            </w:r>
          </w:p>
        </w:tc>
        <w:tc>
          <w:tcPr>
            <w:tcW w:w="2211" w:type="dxa"/>
            <w:tcBorders>
              <w:top w:val="nil"/>
              <w:left w:val="nil"/>
              <w:bottom w:val="single" w:sz="4" w:space="0" w:color="auto"/>
              <w:right w:val="single" w:sz="4" w:space="0" w:color="auto"/>
            </w:tcBorders>
            <w:shd w:val="clear" w:color="000000" w:fill="ACB9CA"/>
            <w:vAlign w:val="center"/>
            <w:hideMark/>
          </w:tcPr>
          <w:p w:rsidR="00172879" w:rsidRPr="005C78F2" w:rsidRDefault="00172879" w:rsidP="00172879">
            <w:pPr>
              <w:jc w:val="center"/>
              <w:rPr>
                <w:rFonts w:cs="Arial"/>
                <w:snapToGrid/>
                <w:color w:val="000000"/>
                <w:sz w:val="22"/>
                <w:szCs w:val="22"/>
              </w:rPr>
            </w:pPr>
            <w:r w:rsidRPr="005C78F2">
              <w:rPr>
                <w:rFonts w:cs="Arial"/>
                <w:snapToGrid/>
                <w:color w:val="000000"/>
                <w:sz w:val="22"/>
                <w:szCs w:val="22"/>
              </w:rPr>
              <w:t>Tributo efetivo - Impostos, Taxas e Contrições / Receita Liquida</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2007</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2.898.234</w:t>
            </w:r>
          </w:p>
        </w:tc>
        <w:tc>
          <w:tcPr>
            <w:tcW w:w="213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1.889.291</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0,652</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2008</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3.115.104</w:t>
            </w:r>
          </w:p>
        </w:tc>
        <w:tc>
          <w:tcPr>
            <w:tcW w:w="213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1.715.864</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0,551</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2009</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3.350.764</w:t>
            </w:r>
          </w:p>
        </w:tc>
        <w:tc>
          <w:tcPr>
            <w:tcW w:w="213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1.792.467</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0,535</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2010</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4.394.324</w:t>
            </w:r>
          </w:p>
        </w:tc>
        <w:tc>
          <w:tcPr>
            <w:tcW w:w="213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2.045.470</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0,465</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2011</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4.967.359</w:t>
            </w:r>
          </w:p>
        </w:tc>
        <w:tc>
          <w:tcPr>
            <w:tcW w:w="213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2.023.059</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0,407</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2012</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5.813.614</w:t>
            </w:r>
          </w:p>
        </w:tc>
        <w:tc>
          <w:tcPr>
            <w:tcW w:w="2131"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2.121.163</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0,365</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2013</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4.984.637</w:t>
            </w:r>
          </w:p>
        </w:tc>
        <w:tc>
          <w:tcPr>
            <w:tcW w:w="2131"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1.664.410</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0,334</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2014</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5.616.904</w:t>
            </w:r>
          </w:p>
        </w:tc>
        <w:tc>
          <w:tcPr>
            <w:tcW w:w="2131"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1.825.192</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0,325</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2015</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6.718.078</w:t>
            </w:r>
          </w:p>
        </w:tc>
        <w:tc>
          <w:tcPr>
            <w:tcW w:w="213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3.069.174</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0,457</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2016</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7.067.284</w:t>
            </w:r>
          </w:p>
        </w:tc>
        <w:tc>
          <w:tcPr>
            <w:tcW w:w="213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3.103.059</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0,439</w:t>
            </w:r>
          </w:p>
        </w:tc>
      </w:tr>
      <w:tr w:rsidR="00172879" w:rsidRPr="005C78F2" w:rsidTr="00742DFE">
        <w:trPr>
          <w:trHeight w:val="420"/>
          <w:jc w:val="center"/>
        </w:trPr>
        <w:tc>
          <w:tcPr>
            <w:tcW w:w="580" w:type="dxa"/>
            <w:tcBorders>
              <w:top w:val="nil"/>
              <w:left w:val="single" w:sz="4" w:space="0" w:color="auto"/>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2017</w:t>
            </w:r>
          </w:p>
        </w:tc>
        <w:tc>
          <w:tcPr>
            <w:tcW w:w="1679" w:type="dxa"/>
            <w:tcBorders>
              <w:top w:val="nil"/>
              <w:left w:val="nil"/>
              <w:bottom w:val="single" w:sz="4" w:space="0" w:color="auto"/>
              <w:right w:val="single" w:sz="4" w:space="0" w:color="auto"/>
            </w:tcBorders>
            <w:shd w:val="clear" w:color="auto" w:fill="auto"/>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8.138.430</w:t>
            </w:r>
          </w:p>
        </w:tc>
        <w:tc>
          <w:tcPr>
            <w:tcW w:w="213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3.282.295</w:t>
            </w:r>
          </w:p>
        </w:tc>
        <w:tc>
          <w:tcPr>
            <w:tcW w:w="2211" w:type="dxa"/>
            <w:tcBorders>
              <w:top w:val="nil"/>
              <w:left w:val="nil"/>
              <w:bottom w:val="single" w:sz="4" w:space="0" w:color="auto"/>
              <w:right w:val="single" w:sz="4" w:space="0" w:color="auto"/>
            </w:tcBorders>
            <w:shd w:val="clear" w:color="auto" w:fill="auto"/>
            <w:noWrap/>
            <w:hideMark/>
          </w:tcPr>
          <w:p w:rsidR="00172879" w:rsidRPr="005C78F2" w:rsidRDefault="00172879" w:rsidP="00B17F29">
            <w:pPr>
              <w:jc w:val="right"/>
              <w:rPr>
                <w:rFonts w:cs="Arial"/>
                <w:snapToGrid/>
                <w:color w:val="000000"/>
                <w:sz w:val="22"/>
                <w:szCs w:val="22"/>
              </w:rPr>
            </w:pPr>
            <w:r w:rsidRPr="005C78F2">
              <w:rPr>
                <w:rFonts w:cs="Arial"/>
                <w:snapToGrid/>
                <w:color w:val="000000"/>
                <w:sz w:val="22"/>
                <w:szCs w:val="22"/>
              </w:rPr>
              <w:t>0,403</w:t>
            </w:r>
          </w:p>
        </w:tc>
      </w:tr>
    </w:tbl>
    <w:p w:rsidR="005C26A8" w:rsidRPr="00742DFE" w:rsidRDefault="00E4050B" w:rsidP="00E4050B">
      <w:pPr>
        <w:jc w:val="both"/>
        <w:rPr>
          <w:rFonts w:ascii="Times New Roman" w:hAnsi="Times New Roman"/>
          <w:color w:val="000000"/>
          <w:sz w:val="20"/>
          <w:szCs w:val="20"/>
        </w:rPr>
      </w:pPr>
      <w:r w:rsidRPr="00742DFE">
        <w:rPr>
          <w:rFonts w:ascii="Times New Roman" w:hAnsi="Times New Roman"/>
          <w:lang w:eastAsia="en-US"/>
        </w:rPr>
        <w:t xml:space="preserve">                                                                             </w:t>
      </w:r>
      <w:r w:rsidR="005C78F2">
        <w:rPr>
          <w:rFonts w:ascii="Times New Roman" w:hAnsi="Times New Roman"/>
          <w:lang w:eastAsia="en-US"/>
        </w:rPr>
        <w:t xml:space="preserve">                 </w:t>
      </w:r>
      <w:r w:rsidRPr="00742DFE">
        <w:rPr>
          <w:rFonts w:ascii="Times New Roman" w:hAnsi="Times New Roman"/>
          <w:lang w:eastAsia="en-US"/>
        </w:rPr>
        <w:t xml:space="preserve"> </w:t>
      </w:r>
      <w:r w:rsidR="005C26A8" w:rsidRPr="00742DFE">
        <w:rPr>
          <w:rFonts w:ascii="Times New Roman" w:hAnsi="Times New Roman"/>
          <w:color w:val="000000"/>
          <w:sz w:val="20"/>
          <w:szCs w:val="20"/>
        </w:rPr>
        <w:t xml:space="preserve"> Fonte: Elaborado pelo autor.</w:t>
      </w:r>
    </w:p>
    <w:p w:rsidR="005C26A8" w:rsidRPr="00742DFE" w:rsidRDefault="005C26A8" w:rsidP="005C26A8">
      <w:pPr>
        <w:ind w:firstLine="709"/>
        <w:jc w:val="both"/>
        <w:rPr>
          <w:rFonts w:ascii="Times New Roman" w:hAnsi="Times New Roman"/>
          <w:color w:val="000000"/>
          <w:sz w:val="20"/>
          <w:szCs w:val="20"/>
        </w:rPr>
      </w:pPr>
    </w:p>
    <w:p w:rsidR="00E4050B" w:rsidRDefault="005C26A8" w:rsidP="00DF3A9B">
      <w:pPr>
        <w:ind w:firstLine="709"/>
        <w:jc w:val="both"/>
        <w:rPr>
          <w:lang w:eastAsia="en-US"/>
        </w:rPr>
      </w:pPr>
      <w:r>
        <w:rPr>
          <w:lang w:eastAsia="en-US"/>
        </w:rPr>
        <w:lastRenderedPageBreak/>
        <w:t xml:space="preserve">Como pode ser visualizado na tabela 2, temos uma companhia de energia elétrica do segmento de distribuição, analisando os valores da coluna Impostos Taxas e Contribuições, pode se notar que no decorrer dos dez anos analisados pela pesquisa o valor pago pela instituição Alfa aumentou na casa de </w:t>
      </w:r>
      <w:r w:rsidR="00BA47AA">
        <w:rPr>
          <w:lang w:eastAsia="en-US"/>
        </w:rPr>
        <w:t>73,73</w:t>
      </w:r>
      <w:r w:rsidR="008856BC">
        <w:rPr>
          <w:lang w:eastAsia="en-US"/>
        </w:rPr>
        <w:t xml:space="preserve">% em comparação com o ano de 2007 a 2017, outro ponto observado é a coluna do tributo efetivo no qual nota-se uma variação </w:t>
      </w:r>
      <w:r w:rsidR="00630B93">
        <w:rPr>
          <w:lang w:eastAsia="en-US"/>
        </w:rPr>
        <w:t>média</w:t>
      </w:r>
      <w:r w:rsidR="008856BC">
        <w:rPr>
          <w:lang w:eastAsia="en-US"/>
        </w:rPr>
        <w:t xml:space="preserve"> </w:t>
      </w:r>
      <w:r w:rsidR="00630B93">
        <w:rPr>
          <w:lang w:eastAsia="en-US"/>
        </w:rPr>
        <w:t xml:space="preserve">baixa entre os anos, outro ponto a ser evidenciado são os valores dos anos de 2015, 2016 e 2017 que correspondem aos maiores valores recolhidos pelo governo nesta empresa. </w:t>
      </w:r>
      <w:r w:rsidR="008856BC">
        <w:rPr>
          <w:lang w:eastAsia="en-US"/>
        </w:rPr>
        <w:t xml:space="preserve"> </w:t>
      </w:r>
      <w:r>
        <w:rPr>
          <w:lang w:eastAsia="en-US"/>
        </w:rPr>
        <w:t xml:space="preserve">  </w:t>
      </w:r>
    </w:p>
    <w:p w:rsidR="00BA47AA" w:rsidRPr="00E4050B" w:rsidRDefault="00BA47AA" w:rsidP="00E4050B">
      <w:pPr>
        <w:jc w:val="center"/>
        <w:rPr>
          <w:color w:val="000000"/>
          <w:sz w:val="20"/>
          <w:szCs w:val="20"/>
        </w:rPr>
      </w:pPr>
      <w:r>
        <w:rPr>
          <w:color w:val="000000"/>
          <w:sz w:val="20"/>
          <w:szCs w:val="20"/>
        </w:rPr>
        <w:t>Tabela 3 – Tabela dos valores extraídos da DVA</w:t>
      </w:r>
    </w:p>
    <w:tbl>
      <w:tblPr>
        <w:tblW w:w="6601" w:type="dxa"/>
        <w:jc w:val="center"/>
        <w:tblCellMar>
          <w:left w:w="70" w:type="dxa"/>
          <w:right w:w="70" w:type="dxa"/>
        </w:tblCellMar>
        <w:tblLook w:val="04A0" w:firstRow="1" w:lastRow="0" w:firstColumn="1" w:lastColumn="0" w:noHBand="0" w:noVBand="1"/>
      </w:tblPr>
      <w:tblGrid>
        <w:gridCol w:w="630"/>
        <w:gridCol w:w="1603"/>
        <w:gridCol w:w="2225"/>
        <w:gridCol w:w="2233"/>
      </w:tblGrid>
      <w:tr w:rsidR="00E4050B" w:rsidRPr="00742DFE" w:rsidTr="00577A44">
        <w:trPr>
          <w:trHeight w:val="20"/>
          <w:jc w:val="center"/>
        </w:trPr>
        <w:tc>
          <w:tcPr>
            <w:tcW w:w="6601" w:type="dxa"/>
            <w:gridSpan w:val="4"/>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E4050B" w:rsidRPr="005C78F2" w:rsidRDefault="00E4050B" w:rsidP="00B17F29">
            <w:pPr>
              <w:jc w:val="center"/>
              <w:rPr>
                <w:rFonts w:cs="Arial"/>
                <w:b/>
                <w:bCs/>
                <w:snapToGrid/>
                <w:color w:val="000000"/>
                <w:sz w:val="20"/>
                <w:szCs w:val="20"/>
              </w:rPr>
            </w:pPr>
            <w:r w:rsidRPr="005C78F2">
              <w:rPr>
                <w:rFonts w:cs="Arial"/>
                <w:b/>
                <w:bCs/>
                <w:snapToGrid/>
                <w:color w:val="000000"/>
                <w:sz w:val="20"/>
                <w:szCs w:val="20"/>
              </w:rPr>
              <w:t>Empresa de Distribuição - (Reais Mil)</w:t>
            </w:r>
          </w:p>
        </w:tc>
      </w:tr>
      <w:tr w:rsidR="00E4050B" w:rsidRPr="00742DFE" w:rsidTr="00577A44">
        <w:trPr>
          <w:trHeight w:val="20"/>
          <w:jc w:val="center"/>
        </w:trPr>
        <w:tc>
          <w:tcPr>
            <w:tcW w:w="540" w:type="dxa"/>
            <w:vMerge w:val="restart"/>
            <w:tcBorders>
              <w:top w:val="nil"/>
              <w:left w:val="single" w:sz="4" w:space="0" w:color="auto"/>
              <w:bottom w:val="single" w:sz="4" w:space="0" w:color="auto"/>
              <w:right w:val="single" w:sz="4" w:space="0" w:color="auto"/>
            </w:tcBorders>
            <w:shd w:val="clear" w:color="000000" w:fill="ACB9CA"/>
            <w:noWrap/>
            <w:vAlign w:val="center"/>
            <w:hideMark/>
          </w:tcPr>
          <w:p w:rsidR="00E4050B" w:rsidRPr="005C78F2" w:rsidRDefault="00E4050B" w:rsidP="00E4050B">
            <w:pPr>
              <w:jc w:val="center"/>
              <w:rPr>
                <w:rFonts w:cs="Arial"/>
                <w:b/>
                <w:bCs/>
                <w:snapToGrid/>
                <w:color w:val="000000"/>
                <w:sz w:val="20"/>
                <w:szCs w:val="20"/>
              </w:rPr>
            </w:pPr>
            <w:r w:rsidRPr="005C78F2">
              <w:rPr>
                <w:rFonts w:cs="Arial"/>
                <w:b/>
                <w:bCs/>
                <w:snapToGrid/>
                <w:color w:val="000000"/>
                <w:sz w:val="20"/>
                <w:szCs w:val="20"/>
              </w:rPr>
              <w:t>Ano</w:t>
            </w:r>
          </w:p>
        </w:tc>
        <w:tc>
          <w:tcPr>
            <w:tcW w:w="6061" w:type="dxa"/>
            <w:gridSpan w:val="3"/>
            <w:tcBorders>
              <w:top w:val="single" w:sz="4" w:space="0" w:color="auto"/>
              <w:left w:val="nil"/>
              <w:bottom w:val="single" w:sz="4" w:space="0" w:color="auto"/>
              <w:right w:val="single" w:sz="4" w:space="0" w:color="auto"/>
            </w:tcBorders>
            <w:shd w:val="clear" w:color="000000" w:fill="ACB9CA"/>
            <w:noWrap/>
            <w:vAlign w:val="center"/>
            <w:hideMark/>
          </w:tcPr>
          <w:p w:rsidR="00E4050B" w:rsidRPr="005C78F2" w:rsidRDefault="00E4050B" w:rsidP="00B17F29">
            <w:pPr>
              <w:jc w:val="center"/>
              <w:rPr>
                <w:rFonts w:cs="Arial"/>
                <w:snapToGrid/>
                <w:color w:val="000000"/>
                <w:sz w:val="20"/>
                <w:szCs w:val="20"/>
              </w:rPr>
            </w:pPr>
            <w:r w:rsidRPr="005C78F2">
              <w:rPr>
                <w:rFonts w:cs="Arial"/>
                <w:snapToGrid/>
                <w:color w:val="000000"/>
                <w:sz w:val="20"/>
                <w:szCs w:val="20"/>
              </w:rPr>
              <w:t>Empresa Beta - β</w:t>
            </w:r>
          </w:p>
        </w:tc>
      </w:tr>
      <w:tr w:rsidR="00E4050B" w:rsidRPr="00742DFE" w:rsidTr="00577A44">
        <w:trPr>
          <w:trHeight w:val="20"/>
          <w:jc w:val="center"/>
        </w:trPr>
        <w:tc>
          <w:tcPr>
            <w:tcW w:w="540" w:type="dxa"/>
            <w:vMerge/>
            <w:tcBorders>
              <w:top w:val="nil"/>
              <w:left w:val="single" w:sz="4" w:space="0" w:color="auto"/>
              <w:bottom w:val="single" w:sz="4" w:space="0" w:color="auto"/>
              <w:right w:val="single" w:sz="4" w:space="0" w:color="auto"/>
            </w:tcBorders>
            <w:vAlign w:val="center"/>
            <w:hideMark/>
          </w:tcPr>
          <w:p w:rsidR="00E4050B" w:rsidRPr="005C78F2" w:rsidRDefault="00E4050B" w:rsidP="00E4050B">
            <w:pPr>
              <w:rPr>
                <w:rFonts w:cs="Arial"/>
                <w:b/>
                <w:bCs/>
                <w:snapToGrid/>
                <w:color w:val="000000"/>
                <w:sz w:val="20"/>
                <w:szCs w:val="20"/>
              </w:rPr>
            </w:pPr>
          </w:p>
        </w:tc>
        <w:tc>
          <w:tcPr>
            <w:tcW w:w="6061" w:type="dxa"/>
            <w:gridSpan w:val="3"/>
            <w:tcBorders>
              <w:top w:val="single" w:sz="4" w:space="0" w:color="auto"/>
              <w:left w:val="nil"/>
              <w:bottom w:val="single" w:sz="4" w:space="0" w:color="auto"/>
              <w:right w:val="single" w:sz="4" w:space="0" w:color="auto"/>
            </w:tcBorders>
            <w:shd w:val="clear" w:color="000000" w:fill="ACB9CA"/>
            <w:vAlign w:val="center"/>
            <w:hideMark/>
          </w:tcPr>
          <w:p w:rsidR="00E4050B" w:rsidRPr="005C78F2" w:rsidRDefault="00E4050B" w:rsidP="00B17F29">
            <w:pPr>
              <w:jc w:val="center"/>
              <w:rPr>
                <w:rFonts w:cs="Arial"/>
                <w:snapToGrid/>
                <w:color w:val="000000"/>
                <w:sz w:val="20"/>
                <w:szCs w:val="20"/>
              </w:rPr>
            </w:pPr>
            <w:r w:rsidRPr="005C78F2">
              <w:rPr>
                <w:rFonts w:cs="Arial"/>
                <w:snapToGrid/>
                <w:color w:val="000000"/>
                <w:sz w:val="20"/>
                <w:szCs w:val="20"/>
              </w:rPr>
              <w:t>Distribuição do Valor Adicionado</w:t>
            </w:r>
          </w:p>
        </w:tc>
      </w:tr>
      <w:tr w:rsidR="00E4050B" w:rsidRPr="00742DFE" w:rsidTr="00577A44">
        <w:trPr>
          <w:trHeight w:val="20"/>
          <w:jc w:val="center"/>
        </w:trPr>
        <w:tc>
          <w:tcPr>
            <w:tcW w:w="540" w:type="dxa"/>
            <w:vMerge/>
            <w:tcBorders>
              <w:top w:val="nil"/>
              <w:left w:val="single" w:sz="4" w:space="0" w:color="auto"/>
              <w:bottom w:val="single" w:sz="4" w:space="0" w:color="auto"/>
              <w:right w:val="single" w:sz="4" w:space="0" w:color="auto"/>
            </w:tcBorders>
            <w:vAlign w:val="center"/>
            <w:hideMark/>
          </w:tcPr>
          <w:p w:rsidR="00E4050B" w:rsidRPr="005C78F2" w:rsidRDefault="00E4050B" w:rsidP="00E4050B">
            <w:pPr>
              <w:rPr>
                <w:rFonts w:cs="Arial"/>
                <w:b/>
                <w:bCs/>
                <w:snapToGrid/>
                <w:color w:val="000000"/>
                <w:sz w:val="20"/>
                <w:szCs w:val="20"/>
              </w:rPr>
            </w:pPr>
          </w:p>
        </w:tc>
        <w:tc>
          <w:tcPr>
            <w:tcW w:w="1603" w:type="dxa"/>
            <w:tcBorders>
              <w:top w:val="nil"/>
              <w:left w:val="nil"/>
              <w:bottom w:val="single" w:sz="4" w:space="0" w:color="auto"/>
              <w:right w:val="single" w:sz="4" w:space="0" w:color="auto"/>
            </w:tcBorders>
            <w:shd w:val="clear" w:color="000000" w:fill="ACB9CA"/>
            <w:vAlign w:val="center"/>
            <w:hideMark/>
          </w:tcPr>
          <w:p w:rsidR="00E4050B" w:rsidRPr="005C78F2" w:rsidRDefault="00E4050B" w:rsidP="00B17F29">
            <w:pPr>
              <w:jc w:val="center"/>
              <w:rPr>
                <w:rFonts w:cs="Arial"/>
                <w:snapToGrid/>
                <w:color w:val="000000"/>
                <w:sz w:val="20"/>
                <w:szCs w:val="20"/>
              </w:rPr>
            </w:pPr>
            <w:r w:rsidRPr="005C78F2">
              <w:rPr>
                <w:rFonts w:cs="Arial"/>
                <w:snapToGrid/>
                <w:color w:val="000000"/>
                <w:sz w:val="20"/>
                <w:szCs w:val="20"/>
              </w:rPr>
              <w:t>Receita liquida</w:t>
            </w:r>
          </w:p>
        </w:tc>
        <w:tc>
          <w:tcPr>
            <w:tcW w:w="2225" w:type="dxa"/>
            <w:tcBorders>
              <w:top w:val="nil"/>
              <w:left w:val="nil"/>
              <w:bottom w:val="single" w:sz="4" w:space="0" w:color="auto"/>
              <w:right w:val="single" w:sz="4" w:space="0" w:color="auto"/>
            </w:tcBorders>
            <w:shd w:val="clear" w:color="000000" w:fill="ACB9CA"/>
            <w:vAlign w:val="center"/>
            <w:hideMark/>
          </w:tcPr>
          <w:p w:rsidR="00E4050B" w:rsidRPr="005C78F2" w:rsidRDefault="00E4050B" w:rsidP="00B17F29">
            <w:pPr>
              <w:jc w:val="center"/>
              <w:rPr>
                <w:rFonts w:cs="Arial"/>
                <w:snapToGrid/>
                <w:color w:val="000000"/>
                <w:sz w:val="20"/>
                <w:szCs w:val="20"/>
              </w:rPr>
            </w:pPr>
            <w:r w:rsidRPr="005C78F2">
              <w:rPr>
                <w:rFonts w:cs="Arial"/>
                <w:snapToGrid/>
                <w:color w:val="000000"/>
                <w:sz w:val="20"/>
                <w:szCs w:val="20"/>
              </w:rPr>
              <w:t>Impostas, Taxas e Contribuições</w:t>
            </w:r>
          </w:p>
        </w:tc>
        <w:tc>
          <w:tcPr>
            <w:tcW w:w="2233" w:type="dxa"/>
            <w:tcBorders>
              <w:top w:val="nil"/>
              <w:left w:val="nil"/>
              <w:bottom w:val="single" w:sz="4" w:space="0" w:color="auto"/>
              <w:right w:val="single" w:sz="4" w:space="0" w:color="auto"/>
            </w:tcBorders>
            <w:shd w:val="clear" w:color="000000" w:fill="ACB9CA"/>
            <w:vAlign w:val="center"/>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Tributo efetivo - Impostos, Taxas e Contrições / Receita Liquida</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2007</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5.976.411</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1.690.920</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0,283</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2008</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6.146.654</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1.605.120</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0,261</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2009</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6.384.667</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7.298.371</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1,143</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2010</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6.927.122</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7.073.605</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1,021</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2011</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8.510.128</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8.396.455</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0,987</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2012</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9.503.793</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6.920.479</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0,728</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2013</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9.205.932</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5.605.824</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0,609</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2014</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11.241.118</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6.634.426</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0,590</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2015</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12.386.671</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11.640.835</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0,940</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2016</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10.596.503</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9.813.465</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0,926</w:t>
            </w:r>
          </w:p>
        </w:tc>
      </w:tr>
      <w:tr w:rsidR="00E4050B" w:rsidRPr="00742DFE" w:rsidTr="00B17F29">
        <w:trPr>
          <w:trHeight w:val="420"/>
          <w:jc w:val="center"/>
        </w:trPr>
        <w:tc>
          <w:tcPr>
            <w:tcW w:w="540" w:type="dxa"/>
            <w:tcBorders>
              <w:top w:val="nil"/>
              <w:left w:val="single" w:sz="4" w:space="0" w:color="auto"/>
              <w:bottom w:val="single" w:sz="4" w:space="0" w:color="auto"/>
              <w:right w:val="single" w:sz="4" w:space="0" w:color="auto"/>
            </w:tcBorders>
            <w:shd w:val="clear" w:color="auto" w:fill="auto"/>
            <w:noWrap/>
            <w:hideMark/>
          </w:tcPr>
          <w:p w:rsidR="00E4050B" w:rsidRPr="005C78F2" w:rsidRDefault="00E4050B" w:rsidP="00B17F29">
            <w:pPr>
              <w:jc w:val="center"/>
              <w:rPr>
                <w:rFonts w:cs="Arial"/>
                <w:snapToGrid/>
                <w:color w:val="000000"/>
                <w:sz w:val="22"/>
                <w:szCs w:val="22"/>
              </w:rPr>
            </w:pPr>
            <w:r w:rsidRPr="005C78F2">
              <w:rPr>
                <w:rFonts w:cs="Arial"/>
                <w:snapToGrid/>
                <w:color w:val="000000"/>
                <w:sz w:val="22"/>
                <w:szCs w:val="22"/>
              </w:rPr>
              <w:t>2017</w:t>
            </w:r>
          </w:p>
        </w:tc>
        <w:tc>
          <w:tcPr>
            <w:tcW w:w="1603" w:type="dxa"/>
            <w:tcBorders>
              <w:top w:val="nil"/>
              <w:left w:val="nil"/>
              <w:bottom w:val="single" w:sz="4" w:space="0" w:color="auto"/>
              <w:right w:val="single" w:sz="4" w:space="0" w:color="auto"/>
            </w:tcBorders>
            <w:shd w:val="clear" w:color="auto" w:fill="auto"/>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12.312.331</w:t>
            </w:r>
          </w:p>
        </w:tc>
        <w:tc>
          <w:tcPr>
            <w:tcW w:w="2225"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10.800.655</w:t>
            </w:r>
          </w:p>
        </w:tc>
        <w:tc>
          <w:tcPr>
            <w:tcW w:w="2233" w:type="dxa"/>
            <w:tcBorders>
              <w:top w:val="nil"/>
              <w:left w:val="nil"/>
              <w:bottom w:val="single" w:sz="4" w:space="0" w:color="auto"/>
              <w:right w:val="single" w:sz="4" w:space="0" w:color="auto"/>
            </w:tcBorders>
            <w:shd w:val="clear" w:color="auto" w:fill="auto"/>
            <w:noWrap/>
            <w:hideMark/>
          </w:tcPr>
          <w:p w:rsidR="00E4050B" w:rsidRPr="005C78F2" w:rsidRDefault="00E4050B" w:rsidP="00B17F29">
            <w:pPr>
              <w:jc w:val="right"/>
              <w:rPr>
                <w:rFonts w:cs="Arial"/>
                <w:snapToGrid/>
                <w:color w:val="000000"/>
                <w:sz w:val="22"/>
                <w:szCs w:val="22"/>
              </w:rPr>
            </w:pPr>
            <w:r w:rsidRPr="005C78F2">
              <w:rPr>
                <w:rFonts w:cs="Arial"/>
                <w:snapToGrid/>
                <w:color w:val="000000"/>
                <w:sz w:val="22"/>
                <w:szCs w:val="22"/>
              </w:rPr>
              <w:t>0,877</w:t>
            </w:r>
          </w:p>
        </w:tc>
      </w:tr>
    </w:tbl>
    <w:p w:rsidR="00BA47AA" w:rsidRPr="00DF3A9B" w:rsidRDefault="00E4050B" w:rsidP="00DF3A9B">
      <w:pPr>
        <w:jc w:val="both"/>
        <w:rPr>
          <w:rFonts w:cs="Arial"/>
          <w:color w:val="000000"/>
          <w:sz w:val="20"/>
          <w:szCs w:val="20"/>
        </w:rPr>
      </w:pPr>
      <w:r w:rsidRPr="005C78F2">
        <w:rPr>
          <w:rFonts w:cs="Arial"/>
          <w:lang w:eastAsia="en-US"/>
        </w:rPr>
        <w:t xml:space="preserve">                                                                             </w:t>
      </w:r>
      <w:r w:rsidR="00BA47AA" w:rsidRPr="005C78F2">
        <w:rPr>
          <w:rFonts w:cs="Arial"/>
          <w:color w:val="000000"/>
          <w:sz w:val="20"/>
          <w:szCs w:val="20"/>
        </w:rPr>
        <w:t xml:space="preserve">   Fonte: Elaborado pelo autor.</w:t>
      </w:r>
    </w:p>
    <w:p w:rsidR="00BA47AA" w:rsidRDefault="00BA47AA" w:rsidP="00AC53D7">
      <w:pPr>
        <w:ind w:firstLine="709"/>
        <w:jc w:val="both"/>
        <w:rPr>
          <w:lang w:eastAsia="en-US"/>
        </w:rPr>
      </w:pPr>
      <w:r>
        <w:rPr>
          <w:lang w:eastAsia="en-US"/>
        </w:rPr>
        <w:t xml:space="preserve">As mesmas análises feitas para companhia Alfa na tabela 2 foram feitas para companhia Beta na tabela 3, a variação do valor pago em Impostos, Taxas e Contribuições é de 538,74%, os valores dos anos de 2015, 2016 e 2017 são os maiores valores arrecadados pelo governo nesta empresa, já a variação do tributo efetivo pode-se notar uma variação maior entre os anos principalmente nos anos iniciais comparativamente com os anos finais. </w:t>
      </w:r>
    </w:p>
    <w:p w:rsidR="00AC53D7" w:rsidRDefault="00BA47AA" w:rsidP="00DF3A9B">
      <w:pPr>
        <w:ind w:firstLine="709"/>
        <w:jc w:val="both"/>
        <w:rPr>
          <w:lang w:eastAsia="en-US"/>
        </w:rPr>
      </w:pPr>
      <w:r>
        <w:rPr>
          <w:lang w:eastAsia="en-US"/>
        </w:rPr>
        <w:t xml:space="preserve">Comparando as Empresas Alfa e Beta que são do mesmo seguimento no setor de energia elétrica, distribuição, </w:t>
      </w:r>
      <w:r w:rsidR="00D87A93">
        <w:rPr>
          <w:lang w:eastAsia="en-US"/>
        </w:rPr>
        <w:t xml:space="preserve">podemos notar que a empresa Alfa distribui do seu valor adicionado, impostos, taxas e contribuições, no período de dez anos 208,95% a menos que a companhia Beta, isso pode ser explicado pelo fato das duas companhias estarem </w:t>
      </w:r>
      <w:r w:rsidR="00D87A93">
        <w:rPr>
          <w:lang w:eastAsia="en-US"/>
        </w:rPr>
        <w:lastRenderedPageBreak/>
        <w:t>em estados diferentes no Brasil, sendo assim a empresa Alfa pode se utilizar de benefícios fiscais que a empresa Beta não usufrui.</w:t>
      </w:r>
      <w:r w:rsidR="00396352">
        <w:rPr>
          <w:lang w:eastAsia="en-US"/>
        </w:rPr>
        <w:t xml:space="preserve"> Outro aspecto de comparação entre as duas, ambas apresentam os maiores valores de contribuição nos anos de 2015, 2016 e 2017, o que pode ser explicado pelo fato de que neste período o pais passou por várias crises políticas, uma delas foi o impeachment presidencial, outro fator que pode ter afetado as contribuições é a questão dos níveis dos reservatórios das usinas hidrelétricas, e a implementação das bandeiras tarifarias para o consumidor final.</w:t>
      </w:r>
    </w:p>
    <w:p w:rsidR="00396352" w:rsidRPr="005C78F2" w:rsidRDefault="00BF6AF7" w:rsidP="00E4050B">
      <w:pPr>
        <w:jc w:val="center"/>
        <w:rPr>
          <w:rFonts w:cs="Arial"/>
          <w:color w:val="000000"/>
          <w:sz w:val="20"/>
          <w:szCs w:val="20"/>
        </w:rPr>
      </w:pPr>
      <w:r w:rsidRPr="005C78F2">
        <w:rPr>
          <w:rFonts w:cs="Arial"/>
          <w:color w:val="000000"/>
          <w:sz w:val="20"/>
          <w:szCs w:val="20"/>
        </w:rPr>
        <w:t>Tabela 4</w:t>
      </w:r>
      <w:r w:rsidR="00396352" w:rsidRPr="005C78F2">
        <w:rPr>
          <w:rFonts w:cs="Arial"/>
          <w:color w:val="000000"/>
          <w:sz w:val="20"/>
          <w:szCs w:val="20"/>
        </w:rPr>
        <w:t xml:space="preserve"> – Tabela dos valores extraídos da DVA</w:t>
      </w:r>
    </w:p>
    <w:tbl>
      <w:tblPr>
        <w:tblW w:w="6600" w:type="dxa"/>
        <w:jc w:val="center"/>
        <w:tblCellMar>
          <w:left w:w="70" w:type="dxa"/>
          <w:right w:w="70" w:type="dxa"/>
        </w:tblCellMar>
        <w:tblLook w:val="04A0" w:firstRow="1" w:lastRow="0" w:firstColumn="1" w:lastColumn="0" w:noHBand="0" w:noVBand="1"/>
      </w:tblPr>
      <w:tblGrid>
        <w:gridCol w:w="630"/>
        <w:gridCol w:w="1676"/>
        <w:gridCol w:w="1905"/>
        <w:gridCol w:w="2431"/>
      </w:tblGrid>
      <w:tr w:rsidR="00E4050B" w:rsidRPr="005C78F2" w:rsidTr="00577A44">
        <w:trPr>
          <w:trHeight w:val="20"/>
          <w:jc w:val="center"/>
        </w:trPr>
        <w:tc>
          <w:tcPr>
            <w:tcW w:w="6600" w:type="dxa"/>
            <w:gridSpan w:val="4"/>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E4050B" w:rsidRPr="005C78F2" w:rsidRDefault="00E4050B" w:rsidP="00E4050B">
            <w:pPr>
              <w:jc w:val="center"/>
              <w:rPr>
                <w:rFonts w:cs="Arial"/>
                <w:b/>
                <w:bCs/>
                <w:snapToGrid/>
                <w:color w:val="000000"/>
                <w:sz w:val="20"/>
                <w:szCs w:val="20"/>
              </w:rPr>
            </w:pPr>
            <w:r w:rsidRPr="005C78F2">
              <w:rPr>
                <w:rFonts w:cs="Arial"/>
                <w:b/>
                <w:bCs/>
                <w:snapToGrid/>
                <w:color w:val="000000"/>
                <w:sz w:val="20"/>
                <w:szCs w:val="20"/>
              </w:rPr>
              <w:t>Empresa de Geração e Transmissão - (Reais Mil)</w:t>
            </w:r>
          </w:p>
        </w:tc>
      </w:tr>
      <w:tr w:rsidR="00E4050B" w:rsidRPr="005C78F2" w:rsidTr="00577A44">
        <w:trPr>
          <w:trHeight w:val="20"/>
          <w:jc w:val="center"/>
        </w:trPr>
        <w:tc>
          <w:tcPr>
            <w:tcW w:w="588" w:type="dxa"/>
            <w:vMerge w:val="restart"/>
            <w:tcBorders>
              <w:top w:val="nil"/>
              <w:left w:val="single" w:sz="4" w:space="0" w:color="auto"/>
              <w:bottom w:val="single" w:sz="4" w:space="0" w:color="auto"/>
              <w:right w:val="single" w:sz="4" w:space="0" w:color="auto"/>
            </w:tcBorders>
            <w:shd w:val="clear" w:color="000000" w:fill="ACB9CA"/>
            <w:noWrap/>
            <w:vAlign w:val="center"/>
            <w:hideMark/>
          </w:tcPr>
          <w:p w:rsidR="00E4050B" w:rsidRPr="005C78F2" w:rsidRDefault="00E4050B" w:rsidP="00E4050B">
            <w:pPr>
              <w:jc w:val="center"/>
              <w:rPr>
                <w:rFonts w:cs="Arial"/>
                <w:b/>
                <w:bCs/>
                <w:snapToGrid/>
                <w:color w:val="000000"/>
                <w:sz w:val="20"/>
                <w:szCs w:val="20"/>
              </w:rPr>
            </w:pPr>
            <w:r w:rsidRPr="005C78F2">
              <w:rPr>
                <w:rFonts w:cs="Arial"/>
                <w:b/>
                <w:bCs/>
                <w:snapToGrid/>
                <w:color w:val="000000"/>
                <w:sz w:val="20"/>
                <w:szCs w:val="20"/>
              </w:rPr>
              <w:t>Ano</w:t>
            </w:r>
          </w:p>
        </w:tc>
        <w:tc>
          <w:tcPr>
            <w:tcW w:w="6012" w:type="dxa"/>
            <w:gridSpan w:val="3"/>
            <w:tcBorders>
              <w:top w:val="single" w:sz="4" w:space="0" w:color="auto"/>
              <w:left w:val="nil"/>
              <w:bottom w:val="single" w:sz="4" w:space="0" w:color="auto"/>
              <w:right w:val="single" w:sz="4" w:space="0" w:color="auto"/>
            </w:tcBorders>
            <w:shd w:val="clear" w:color="000000" w:fill="ACB9CA"/>
            <w:noWrap/>
            <w:vAlign w:val="center"/>
            <w:hideMark/>
          </w:tcPr>
          <w:p w:rsidR="00E4050B" w:rsidRPr="005C78F2" w:rsidRDefault="00E4050B" w:rsidP="00E4050B">
            <w:pPr>
              <w:jc w:val="center"/>
              <w:rPr>
                <w:rFonts w:cs="Arial"/>
                <w:snapToGrid/>
                <w:color w:val="000000"/>
                <w:sz w:val="20"/>
                <w:szCs w:val="20"/>
              </w:rPr>
            </w:pPr>
            <w:r w:rsidRPr="005C78F2">
              <w:rPr>
                <w:rFonts w:cs="Arial"/>
                <w:snapToGrid/>
                <w:color w:val="000000"/>
                <w:sz w:val="20"/>
                <w:szCs w:val="20"/>
              </w:rPr>
              <w:t>Empresa Gama - γ</w:t>
            </w:r>
          </w:p>
        </w:tc>
      </w:tr>
      <w:tr w:rsidR="00E4050B" w:rsidRPr="005C78F2" w:rsidTr="00577A44">
        <w:trPr>
          <w:trHeight w:val="20"/>
          <w:jc w:val="center"/>
        </w:trPr>
        <w:tc>
          <w:tcPr>
            <w:tcW w:w="588" w:type="dxa"/>
            <w:vMerge/>
            <w:tcBorders>
              <w:top w:val="nil"/>
              <w:left w:val="single" w:sz="4" w:space="0" w:color="auto"/>
              <w:bottom w:val="single" w:sz="4" w:space="0" w:color="auto"/>
              <w:right w:val="single" w:sz="4" w:space="0" w:color="auto"/>
            </w:tcBorders>
            <w:vAlign w:val="center"/>
            <w:hideMark/>
          </w:tcPr>
          <w:p w:rsidR="00E4050B" w:rsidRPr="005C78F2" w:rsidRDefault="00E4050B" w:rsidP="00E4050B">
            <w:pPr>
              <w:rPr>
                <w:rFonts w:cs="Arial"/>
                <w:b/>
                <w:bCs/>
                <w:snapToGrid/>
                <w:color w:val="000000"/>
                <w:sz w:val="20"/>
                <w:szCs w:val="20"/>
              </w:rPr>
            </w:pPr>
          </w:p>
        </w:tc>
        <w:tc>
          <w:tcPr>
            <w:tcW w:w="6012" w:type="dxa"/>
            <w:gridSpan w:val="3"/>
            <w:tcBorders>
              <w:top w:val="single" w:sz="4" w:space="0" w:color="auto"/>
              <w:left w:val="nil"/>
              <w:bottom w:val="single" w:sz="4" w:space="0" w:color="auto"/>
              <w:right w:val="single" w:sz="4" w:space="0" w:color="auto"/>
            </w:tcBorders>
            <w:shd w:val="clear" w:color="000000" w:fill="ACB9CA"/>
            <w:vAlign w:val="center"/>
            <w:hideMark/>
          </w:tcPr>
          <w:p w:rsidR="00E4050B" w:rsidRPr="005C78F2" w:rsidRDefault="00E4050B" w:rsidP="00E4050B">
            <w:pPr>
              <w:jc w:val="center"/>
              <w:rPr>
                <w:rFonts w:cs="Arial"/>
                <w:snapToGrid/>
                <w:color w:val="000000"/>
                <w:sz w:val="20"/>
                <w:szCs w:val="20"/>
              </w:rPr>
            </w:pPr>
            <w:r w:rsidRPr="005C78F2">
              <w:rPr>
                <w:rFonts w:cs="Arial"/>
                <w:snapToGrid/>
                <w:color w:val="000000"/>
                <w:sz w:val="20"/>
                <w:szCs w:val="20"/>
              </w:rPr>
              <w:t>Distribuição do Valor Adicionado</w:t>
            </w:r>
          </w:p>
        </w:tc>
      </w:tr>
      <w:tr w:rsidR="00E4050B" w:rsidRPr="005C78F2" w:rsidTr="00577A44">
        <w:trPr>
          <w:trHeight w:val="20"/>
          <w:jc w:val="center"/>
        </w:trPr>
        <w:tc>
          <w:tcPr>
            <w:tcW w:w="588" w:type="dxa"/>
            <w:vMerge/>
            <w:tcBorders>
              <w:top w:val="nil"/>
              <w:left w:val="single" w:sz="4" w:space="0" w:color="auto"/>
              <w:bottom w:val="single" w:sz="4" w:space="0" w:color="auto"/>
              <w:right w:val="single" w:sz="4" w:space="0" w:color="auto"/>
            </w:tcBorders>
            <w:vAlign w:val="center"/>
            <w:hideMark/>
          </w:tcPr>
          <w:p w:rsidR="00E4050B" w:rsidRPr="005C78F2" w:rsidRDefault="00E4050B" w:rsidP="00E4050B">
            <w:pPr>
              <w:rPr>
                <w:rFonts w:cs="Arial"/>
                <w:b/>
                <w:bCs/>
                <w:snapToGrid/>
                <w:color w:val="000000"/>
                <w:sz w:val="20"/>
                <w:szCs w:val="20"/>
              </w:rPr>
            </w:pPr>
          </w:p>
        </w:tc>
        <w:tc>
          <w:tcPr>
            <w:tcW w:w="1676" w:type="dxa"/>
            <w:tcBorders>
              <w:top w:val="nil"/>
              <w:left w:val="nil"/>
              <w:bottom w:val="single" w:sz="4" w:space="0" w:color="auto"/>
              <w:right w:val="single" w:sz="4" w:space="0" w:color="auto"/>
            </w:tcBorders>
            <w:shd w:val="clear" w:color="000000" w:fill="ACB9CA"/>
            <w:vAlign w:val="center"/>
            <w:hideMark/>
          </w:tcPr>
          <w:p w:rsidR="00E4050B" w:rsidRPr="005C78F2" w:rsidRDefault="00E4050B" w:rsidP="00E4050B">
            <w:pPr>
              <w:jc w:val="center"/>
              <w:rPr>
                <w:rFonts w:cs="Arial"/>
                <w:snapToGrid/>
                <w:color w:val="000000"/>
                <w:sz w:val="20"/>
                <w:szCs w:val="20"/>
              </w:rPr>
            </w:pPr>
            <w:r w:rsidRPr="005C78F2">
              <w:rPr>
                <w:rFonts w:cs="Arial"/>
                <w:snapToGrid/>
                <w:color w:val="000000"/>
                <w:sz w:val="20"/>
                <w:szCs w:val="20"/>
              </w:rPr>
              <w:t>Receita liquida</w:t>
            </w:r>
          </w:p>
        </w:tc>
        <w:tc>
          <w:tcPr>
            <w:tcW w:w="1905" w:type="dxa"/>
            <w:tcBorders>
              <w:top w:val="nil"/>
              <w:left w:val="nil"/>
              <w:bottom w:val="single" w:sz="4" w:space="0" w:color="auto"/>
              <w:right w:val="single" w:sz="4" w:space="0" w:color="auto"/>
            </w:tcBorders>
            <w:shd w:val="clear" w:color="000000" w:fill="ACB9CA"/>
            <w:vAlign w:val="center"/>
            <w:hideMark/>
          </w:tcPr>
          <w:p w:rsidR="00E4050B" w:rsidRPr="005C78F2" w:rsidRDefault="00E4050B" w:rsidP="00E4050B">
            <w:pPr>
              <w:jc w:val="center"/>
              <w:rPr>
                <w:rFonts w:cs="Arial"/>
                <w:snapToGrid/>
                <w:color w:val="000000"/>
                <w:sz w:val="20"/>
                <w:szCs w:val="20"/>
              </w:rPr>
            </w:pPr>
            <w:r w:rsidRPr="005C78F2">
              <w:rPr>
                <w:rFonts w:cs="Arial"/>
                <w:snapToGrid/>
                <w:color w:val="000000"/>
                <w:sz w:val="20"/>
                <w:szCs w:val="20"/>
              </w:rPr>
              <w:t>Impostas, Taxas e Contribuições</w:t>
            </w:r>
          </w:p>
        </w:tc>
        <w:tc>
          <w:tcPr>
            <w:tcW w:w="2431" w:type="dxa"/>
            <w:tcBorders>
              <w:top w:val="nil"/>
              <w:left w:val="nil"/>
              <w:bottom w:val="single" w:sz="4" w:space="0" w:color="auto"/>
              <w:right w:val="single" w:sz="4" w:space="0" w:color="auto"/>
            </w:tcBorders>
            <w:shd w:val="clear" w:color="000000" w:fill="ACB9CA"/>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Tributo efetivo - Impostos, Taxas e Contri</w:t>
            </w:r>
            <w:r w:rsidR="00917858" w:rsidRPr="005C78F2">
              <w:rPr>
                <w:rFonts w:cs="Arial"/>
                <w:snapToGrid/>
                <w:color w:val="000000"/>
                <w:sz w:val="22"/>
                <w:szCs w:val="22"/>
              </w:rPr>
              <w:t>bui</w:t>
            </w:r>
            <w:r w:rsidRPr="005C78F2">
              <w:rPr>
                <w:rFonts w:cs="Arial"/>
                <w:snapToGrid/>
                <w:color w:val="000000"/>
                <w:sz w:val="22"/>
                <w:szCs w:val="22"/>
              </w:rPr>
              <w:t>ções / Receita Liquida</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2007</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1.315.414</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558.769</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0,425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2008</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1.564.068</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545.740</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0,349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2009</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1.656.478</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636.489</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0,384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2010</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2.256.286</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583.241</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0,258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2011</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2.900.805</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734.388</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0,253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2012</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2.818.988</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687.342</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0,244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2013</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981.168</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22.624</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0,023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2014</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1.102.788</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274.918</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0,249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2015</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1.287.130</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312.523</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0,243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2016</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7.789.240</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3.389.752</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0,435 </w:t>
            </w:r>
          </w:p>
        </w:tc>
      </w:tr>
      <w:tr w:rsidR="00E4050B" w:rsidRPr="005C78F2" w:rsidTr="00E4050B">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2017</w:t>
            </w:r>
          </w:p>
        </w:tc>
        <w:tc>
          <w:tcPr>
            <w:tcW w:w="1676"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2.701.193</w:t>
            </w:r>
          </w:p>
        </w:tc>
        <w:tc>
          <w:tcPr>
            <w:tcW w:w="1905"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1.021.566</w:t>
            </w:r>
          </w:p>
        </w:tc>
        <w:tc>
          <w:tcPr>
            <w:tcW w:w="2431" w:type="dxa"/>
            <w:tcBorders>
              <w:top w:val="nil"/>
              <w:left w:val="nil"/>
              <w:bottom w:val="single" w:sz="4" w:space="0" w:color="auto"/>
              <w:right w:val="single" w:sz="4" w:space="0" w:color="auto"/>
            </w:tcBorders>
            <w:shd w:val="clear" w:color="auto" w:fill="auto"/>
            <w:noWrap/>
            <w:vAlign w:val="bottom"/>
            <w:hideMark/>
          </w:tcPr>
          <w:p w:rsidR="00E4050B" w:rsidRPr="005C78F2" w:rsidRDefault="00E4050B" w:rsidP="00E4050B">
            <w:pPr>
              <w:jc w:val="right"/>
              <w:rPr>
                <w:rFonts w:cs="Arial"/>
                <w:snapToGrid/>
                <w:color w:val="000000"/>
                <w:sz w:val="22"/>
                <w:szCs w:val="22"/>
              </w:rPr>
            </w:pPr>
            <w:r w:rsidRPr="005C78F2">
              <w:rPr>
                <w:rFonts w:cs="Arial"/>
                <w:snapToGrid/>
                <w:color w:val="000000"/>
                <w:sz w:val="22"/>
                <w:szCs w:val="22"/>
              </w:rPr>
              <w:t xml:space="preserve">                             0,378 </w:t>
            </w:r>
          </w:p>
        </w:tc>
      </w:tr>
    </w:tbl>
    <w:p w:rsidR="00BF6AF7" w:rsidRPr="005C78F2" w:rsidRDefault="00E4050B" w:rsidP="00E4050B">
      <w:pPr>
        <w:rPr>
          <w:rFonts w:cs="Arial"/>
          <w:color w:val="000000"/>
          <w:sz w:val="20"/>
          <w:szCs w:val="20"/>
        </w:rPr>
      </w:pPr>
      <w:r w:rsidRPr="005C78F2">
        <w:rPr>
          <w:rFonts w:cs="Arial"/>
          <w:lang w:eastAsia="en-US"/>
        </w:rPr>
        <w:t xml:space="preserve">                                                                                </w:t>
      </w:r>
      <w:r w:rsidR="00396352" w:rsidRPr="005C78F2">
        <w:rPr>
          <w:rFonts w:cs="Arial"/>
          <w:color w:val="000000"/>
          <w:sz w:val="20"/>
          <w:szCs w:val="20"/>
        </w:rPr>
        <w:t xml:space="preserve">  Fonte: Elaborado pelo autor.</w:t>
      </w:r>
    </w:p>
    <w:p w:rsidR="00E4050B" w:rsidRDefault="00E4050B" w:rsidP="00E4050B">
      <w:pPr>
        <w:rPr>
          <w:rFonts w:ascii="Times New Roman" w:hAnsi="Times New Roman"/>
          <w:color w:val="000000"/>
          <w:sz w:val="20"/>
          <w:szCs w:val="20"/>
        </w:rPr>
      </w:pPr>
    </w:p>
    <w:p w:rsidR="00037BC1" w:rsidRDefault="00BF6AF7" w:rsidP="00AC53D7">
      <w:pPr>
        <w:ind w:firstLine="709"/>
        <w:jc w:val="both"/>
        <w:rPr>
          <w:lang w:eastAsia="en-US"/>
        </w:rPr>
      </w:pPr>
      <w:r>
        <w:rPr>
          <w:lang w:eastAsia="en-US"/>
        </w:rPr>
        <w:t>A empresa apresentada na tabela 4</w:t>
      </w:r>
      <w:r w:rsidR="00000090">
        <w:rPr>
          <w:lang w:eastAsia="en-US"/>
        </w:rPr>
        <w:t>, Gama,</w:t>
      </w:r>
      <w:r>
        <w:rPr>
          <w:lang w:eastAsia="en-US"/>
        </w:rPr>
        <w:t xml:space="preserve"> está inserida no segmento de transmissão e geração do setor elétrico. O primeiro ponto a ser observado é a coluno de Impostos, Taxas e Contribuições, na qual a companhia apresenta valores bem variados, o crescimento da contribuição para o governo está no patamar de 82,82%, no período de 2016 e 2017 apresenta os maiores valores de impostos. No período em questão a companhia apresenta grande variação na coluna Tributos efetivos</w:t>
      </w:r>
      <w:r w:rsidR="00000090">
        <w:rPr>
          <w:lang w:eastAsia="en-US"/>
        </w:rPr>
        <w:t>, o que exemplificaria a grande variação nos Impostos, Taxas e Contribuições.</w:t>
      </w:r>
    </w:p>
    <w:p w:rsidR="00E4050B" w:rsidRDefault="00E4050B" w:rsidP="005C78F2">
      <w:pPr>
        <w:rPr>
          <w:lang w:eastAsia="en-US"/>
        </w:rPr>
      </w:pPr>
    </w:p>
    <w:p w:rsidR="00EE1571" w:rsidRDefault="00EE1571" w:rsidP="005C78F2">
      <w:pPr>
        <w:rPr>
          <w:lang w:eastAsia="en-US"/>
        </w:rPr>
      </w:pPr>
    </w:p>
    <w:p w:rsidR="00EE1571" w:rsidRDefault="00EE1571" w:rsidP="005C78F2">
      <w:pPr>
        <w:rPr>
          <w:lang w:eastAsia="en-US"/>
        </w:rPr>
      </w:pPr>
    </w:p>
    <w:p w:rsidR="00EE1571" w:rsidRDefault="00EE1571" w:rsidP="005C78F2">
      <w:pPr>
        <w:rPr>
          <w:lang w:eastAsia="en-US"/>
        </w:rPr>
      </w:pPr>
    </w:p>
    <w:p w:rsidR="00EE1571" w:rsidRPr="00E4050B" w:rsidRDefault="00EE1571" w:rsidP="005C78F2">
      <w:pPr>
        <w:rPr>
          <w:lang w:eastAsia="en-US"/>
        </w:rPr>
      </w:pPr>
    </w:p>
    <w:p w:rsidR="00000090" w:rsidRPr="005C78F2" w:rsidRDefault="00000090" w:rsidP="00E4050B">
      <w:pPr>
        <w:ind w:firstLine="709"/>
        <w:jc w:val="center"/>
        <w:rPr>
          <w:rFonts w:cs="Arial"/>
          <w:color w:val="000000"/>
          <w:sz w:val="20"/>
          <w:szCs w:val="20"/>
        </w:rPr>
      </w:pPr>
      <w:r w:rsidRPr="005C78F2">
        <w:rPr>
          <w:rFonts w:cs="Arial"/>
          <w:color w:val="000000"/>
          <w:sz w:val="20"/>
          <w:szCs w:val="20"/>
        </w:rPr>
        <w:t>Tabela 5 – Tabela dos valores extraídos da DVA</w:t>
      </w:r>
    </w:p>
    <w:tbl>
      <w:tblPr>
        <w:tblW w:w="6600" w:type="dxa"/>
        <w:jc w:val="center"/>
        <w:tblCellMar>
          <w:left w:w="70" w:type="dxa"/>
          <w:right w:w="70" w:type="dxa"/>
        </w:tblCellMar>
        <w:tblLook w:val="04A0" w:firstRow="1" w:lastRow="0" w:firstColumn="1" w:lastColumn="0" w:noHBand="0" w:noVBand="1"/>
      </w:tblPr>
      <w:tblGrid>
        <w:gridCol w:w="630"/>
        <w:gridCol w:w="1676"/>
        <w:gridCol w:w="1905"/>
        <w:gridCol w:w="2431"/>
      </w:tblGrid>
      <w:tr w:rsidR="00E4050B" w:rsidRPr="005C78F2" w:rsidTr="00577A44">
        <w:trPr>
          <w:trHeight w:val="20"/>
          <w:jc w:val="center"/>
        </w:trPr>
        <w:tc>
          <w:tcPr>
            <w:tcW w:w="6600" w:type="dxa"/>
            <w:gridSpan w:val="4"/>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E4050B" w:rsidRPr="005C78F2" w:rsidRDefault="00E4050B" w:rsidP="00E4050B">
            <w:pPr>
              <w:jc w:val="center"/>
              <w:rPr>
                <w:rFonts w:cs="Arial"/>
                <w:b/>
                <w:bCs/>
                <w:snapToGrid/>
                <w:color w:val="000000"/>
                <w:sz w:val="20"/>
                <w:szCs w:val="20"/>
              </w:rPr>
            </w:pPr>
            <w:r w:rsidRPr="005C78F2">
              <w:rPr>
                <w:rFonts w:cs="Arial"/>
                <w:b/>
                <w:bCs/>
                <w:snapToGrid/>
                <w:color w:val="000000"/>
                <w:sz w:val="20"/>
                <w:szCs w:val="20"/>
              </w:rPr>
              <w:t>Empresa de Geração e Transmissão - (Reais Mil)</w:t>
            </w:r>
          </w:p>
        </w:tc>
      </w:tr>
      <w:tr w:rsidR="00E4050B" w:rsidRPr="005C78F2" w:rsidTr="00577A44">
        <w:trPr>
          <w:trHeight w:val="20"/>
          <w:jc w:val="center"/>
        </w:trPr>
        <w:tc>
          <w:tcPr>
            <w:tcW w:w="588" w:type="dxa"/>
            <w:vMerge w:val="restart"/>
            <w:tcBorders>
              <w:top w:val="nil"/>
              <w:left w:val="single" w:sz="4" w:space="0" w:color="auto"/>
              <w:bottom w:val="single" w:sz="4" w:space="0" w:color="auto"/>
              <w:right w:val="single" w:sz="4" w:space="0" w:color="auto"/>
            </w:tcBorders>
            <w:shd w:val="clear" w:color="000000" w:fill="ACB9CA"/>
            <w:noWrap/>
            <w:vAlign w:val="center"/>
            <w:hideMark/>
          </w:tcPr>
          <w:p w:rsidR="00E4050B" w:rsidRPr="005C78F2" w:rsidRDefault="00E4050B" w:rsidP="00E4050B">
            <w:pPr>
              <w:jc w:val="center"/>
              <w:rPr>
                <w:rFonts w:cs="Arial"/>
                <w:b/>
                <w:bCs/>
                <w:snapToGrid/>
                <w:color w:val="000000"/>
                <w:sz w:val="20"/>
                <w:szCs w:val="20"/>
              </w:rPr>
            </w:pPr>
            <w:r w:rsidRPr="005C78F2">
              <w:rPr>
                <w:rFonts w:cs="Arial"/>
                <w:b/>
                <w:bCs/>
                <w:snapToGrid/>
                <w:color w:val="000000"/>
                <w:sz w:val="20"/>
                <w:szCs w:val="20"/>
              </w:rPr>
              <w:t>Ano</w:t>
            </w:r>
          </w:p>
        </w:tc>
        <w:tc>
          <w:tcPr>
            <w:tcW w:w="6012" w:type="dxa"/>
            <w:gridSpan w:val="3"/>
            <w:tcBorders>
              <w:top w:val="single" w:sz="4" w:space="0" w:color="auto"/>
              <w:left w:val="nil"/>
              <w:bottom w:val="single" w:sz="4" w:space="0" w:color="auto"/>
              <w:right w:val="single" w:sz="4" w:space="0" w:color="auto"/>
            </w:tcBorders>
            <w:shd w:val="clear" w:color="000000" w:fill="ACB9CA"/>
            <w:noWrap/>
            <w:vAlign w:val="center"/>
            <w:hideMark/>
          </w:tcPr>
          <w:p w:rsidR="00E4050B" w:rsidRPr="005C78F2" w:rsidRDefault="00E4050B" w:rsidP="00E4050B">
            <w:pPr>
              <w:jc w:val="center"/>
              <w:rPr>
                <w:rFonts w:cs="Arial"/>
                <w:snapToGrid/>
                <w:color w:val="000000"/>
                <w:sz w:val="20"/>
                <w:szCs w:val="20"/>
              </w:rPr>
            </w:pPr>
            <w:r w:rsidRPr="005C78F2">
              <w:rPr>
                <w:rFonts w:cs="Arial"/>
                <w:snapToGrid/>
                <w:color w:val="000000"/>
                <w:sz w:val="20"/>
                <w:szCs w:val="20"/>
              </w:rPr>
              <w:t>Empresa Delta - δ</w:t>
            </w:r>
          </w:p>
        </w:tc>
      </w:tr>
      <w:tr w:rsidR="00E4050B" w:rsidRPr="005C78F2" w:rsidTr="00577A44">
        <w:trPr>
          <w:trHeight w:val="20"/>
          <w:jc w:val="center"/>
        </w:trPr>
        <w:tc>
          <w:tcPr>
            <w:tcW w:w="588" w:type="dxa"/>
            <w:vMerge/>
            <w:tcBorders>
              <w:top w:val="nil"/>
              <w:left w:val="single" w:sz="4" w:space="0" w:color="auto"/>
              <w:bottom w:val="single" w:sz="4" w:space="0" w:color="auto"/>
              <w:right w:val="single" w:sz="4" w:space="0" w:color="auto"/>
            </w:tcBorders>
            <w:vAlign w:val="center"/>
            <w:hideMark/>
          </w:tcPr>
          <w:p w:rsidR="00E4050B" w:rsidRPr="005C78F2" w:rsidRDefault="00E4050B" w:rsidP="00E4050B">
            <w:pPr>
              <w:rPr>
                <w:rFonts w:cs="Arial"/>
                <w:b/>
                <w:bCs/>
                <w:snapToGrid/>
                <w:color w:val="000000"/>
                <w:sz w:val="20"/>
                <w:szCs w:val="20"/>
              </w:rPr>
            </w:pPr>
          </w:p>
        </w:tc>
        <w:tc>
          <w:tcPr>
            <w:tcW w:w="6012" w:type="dxa"/>
            <w:gridSpan w:val="3"/>
            <w:tcBorders>
              <w:top w:val="single" w:sz="4" w:space="0" w:color="auto"/>
              <w:left w:val="nil"/>
              <w:bottom w:val="single" w:sz="4" w:space="0" w:color="auto"/>
              <w:right w:val="single" w:sz="4" w:space="0" w:color="auto"/>
            </w:tcBorders>
            <w:shd w:val="clear" w:color="000000" w:fill="ACB9CA"/>
            <w:vAlign w:val="center"/>
            <w:hideMark/>
          </w:tcPr>
          <w:p w:rsidR="00E4050B" w:rsidRPr="005C78F2" w:rsidRDefault="00E4050B" w:rsidP="00E4050B">
            <w:pPr>
              <w:jc w:val="center"/>
              <w:rPr>
                <w:rFonts w:cs="Arial"/>
                <w:snapToGrid/>
                <w:color w:val="000000"/>
                <w:sz w:val="20"/>
                <w:szCs w:val="20"/>
              </w:rPr>
            </w:pPr>
            <w:r w:rsidRPr="005C78F2">
              <w:rPr>
                <w:rFonts w:cs="Arial"/>
                <w:snapToGrid/>
                <w:color w:val="000000"/>
                <w:sz w:val="20"/>
                <w:szCs w:val="20"/>
              </w:rPr>
              <w:t>Distribuição do Valor Adicionado</w:t>
            </w:r>
          </w:p>
        </w:tc>
      </w:tr>
      <w:tr w:rsidR="00E4050B" w:rsidRPr="005C78F2" w:rsidTr="00577A44">
        <w:trPr>
          <w:trHeight w:val="20"/>
          <w:jc w:val="center"/>
        </w:trPr>
        <w:tc>
          <w:tcPr>
            <w:tcW w:w="588" w:type="dxa"/>
            <w:vMerge/>
            <w:tcBorders>
              <w:top w:val="nil"/>
              <w:left w:val="single" w:sz="4" w:space="0" w:color="auto"/>
              <w:bottom w:val="single" w:sz="4" w:space="0" w:color="auto"/>
              <w:right w:val="single" w:sz="4" w:space="0" w:color="auto"/>
            </w:tcBorders>
            <w:vAlign w:val="center"/>
            <w:hideMark/>
          </w:tcPr>
          <w:p w:rsidR="00E4050B" w:rsidRPr="005C78F2" w:rsidRDefault="00E4050B" w:rsidP="00E4050B">
            <w:pPr>
              <w:rPr>
                <w:rFonts w:cs="Arial"/>
                <w:b/>
                <w:bCs/>
                <w:snapToGrid/>
                <w:color w:val="000000"/>
                <w:sz w:val="20"/>
                <w:szCs w:val="20"/>
              </w:rPr>
            </w:pPr>
          </w:p>
        </w:tc>
        <w:tc>
          <w:tcPr>
            <w:tcW w:w="1676" w:type="dxa"/>
            <w:tcBorders>
              <w:top w:val="nil"/>
              <w:left w:val="nil"/>
              <w:bottom w:val="single" w:sz="4" w:space="0" w:color="auto"/>
              <w:right w:val="single" w:sz="4" w:space="0" w:color="auto"/>
            </w:tcBorders>
            <w:shd w:val="clear" w:color="000000" w:fill="ACB9CA"/>
            <w:vAlign w:val="center"/>
            <w:hideMark/>
          </w:tcPr>
          <w:p w:rsidR="00E4050B" w:rsidRPr="005C78F2" w:rsidRDefault="00E4050B" w:rsidP="00E4050B">
            <w:pPr>
              <w:jc w:val="center"/>
              <w:rPr>
                <w:rFonts w:cs="Arial"/>
                <w:snapToGrid/>
                <w:color w:val="000000"/>
                <w:sz w:val="20"/>
                <w:szCs w:val="20"/>
              </w:rPr>
            </w:pPr>
            <w:r w:rsidRPr="005C78F2">
              <w:rPr>
                <w:rFonts w:cs="Arial"/>
                <w:snapToGrid/>
                <w:color w:val="000000"/>
                <w:sz w:val="20"/>
                <w:szCs w:val="20"/>
              </w:rPr>
              <w:t>Receita liquida</w:t>
            </w:r>
          </w:p>
        </w:tc>
        <w:tc>
          <w:tcPr>
            <w:tcW w:w="1905" w:type="dxa"/>
            <w:tcBorders>
              <w:top w:val="nil"/>
              <w:left w:val="nil"/>
              <w:bottom w:val="single" w:sz="4" w:space="0" w:color="auto"/>
              <w:right w:val="single" w:sz="4" w:space="0" w:color="auto"/>
            </w:tcBorders>
            <w:shd w:val="clear" w:color="000000" w:fill="ACB9CA"/>
            <w:vAlign w:val="center"/>
            <w:hideMark/>
          </w:tcPr>
          <w:p w:rsidR="00E4050B" w:rsidRPr="005C78F2" w:rsidRDefault="00E4050B" w:rsidP="00E4050B">
            <w:pPr>
              <w:jc w:val="center"/>
              <w:rPr>
                <w:rFonts w:cs="Arial"/>
                <w:snapToGrid/>
                <w:color w:val="000000"/>
                <w:sz w:val="20"/>
                <w:szCs w:val="20"/>
              </w:rPr>
            </w:pPr>
            <w:r w:rsidRPr="005C78F2">
              <w:rPr>
                <w:rFonts w:cs="Arial"/>
                <w:snapToGrid/>
                <w:color w:val="000000"/>
                <w:sz w:val="20"/>
                <w:szCs w:val="20"/>
              </w:rPr>
              <w:t>Impostas, Taxas e Contribuições</w:t>
            </w:r>
          </w:p>
        </w:tc>
        <w:tc>
          <w:tcPr>
            <w:tcW w:w="2431" w:type="dxa"/>
            <w:tcBorders>
              <w:top w:val="nil"/>
              <w:left w:val="nil"/>
              <w:bottom w:val="single" w:sz="4" w:space="0" w:color="auto"/>
              <w:right w:val="single" w:sz="4" w:space="0" w:color="auto"/>
            </w:tcBorders>
            <w:shd w:val="clear" w:color="000000" w:fill="ACB9CA"/>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Tributo efetivo - Impostos, Taxas e Contribuições / Receita Liquida</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2007</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3.043.427</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597.423</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0,196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2008</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3.441.044</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732.308</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0,213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2009</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3.496.677</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844.942</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0,242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2010</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4.100.381</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1.014.964</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0,248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2011</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4.326.951</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1.108.217</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0,256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2012</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4.912.499</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1.176.593</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0,240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2013</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5.568.658</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1.201.888</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0,216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2014</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6.472.496</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1.238.425</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0,191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2015</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6.512.037</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1.263.529</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0,194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2016</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6.442.371</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1.229.882</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0,191 </w:t>
            </w:r>
          </w:p>
        </w:tc>
      </w:tr>
      <w:tr w:rsidR="00E4050B" w:rsidRPr="005C78F2" w:rsidTr="005E03B3">
        <w:trPr>
          <w:trHeight w:val="4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4050B" w:rsidRPr="005C78F2" w:rsidRDefault="00E4050B" w:rsidP="00E4050B">
            <w:pPr>
              <w:jc w:val="center"/>
              <w:rPr>
                <w:rFonts w:cs="Arial"/>
                <w:snapToGrid/>
                <w:color w:val="000000"/>
                <w:sz w:val="22"/>
                <w:szCs w:val="22"/>
              </w:rPr>
            </w:pPr>
            <w:r w:rsidRPr="005C78F2">
              <w:rPr>
                <w:rFonts w:cs="Arial"/>
                <w:snapToGrid/>
                <w:color w:val="000000"/>
                <w:sz w:val="22"/>
                <w:szCs w:val="22"/>
              </w:rPr>
              <w:t>2017</w:t>
            </w:r>
          </w:p>
        </w:tc>
        <w:tc>
          <w:tcPr>
            <w:tcW w:w="1676"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7.009.957</w:t>
            </w:r>
          </w:p>
        </w:tc>
        <w:tc>
          <w:tcPr>
            <w:tcW w:w="1905"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1.367.888</w:t>
            </w:r>
          </w:p>
        </w:tc>
        <w:tc>
          <w:tcPr>
            <w:tcW w:w="2431" w:type="dxa"/>
            <w:tcBorders>
              <w:top w:val="nil"/>
              <w:left w:val="nil"/>
              <w:bottom w:val="single" w:sz="4" w:space="0" w:color="auto"/>
              <w:right w:val="single" w:sz="4" w:space="0" w:color="auto"/>
            </w:tcBorders>
            <w:shd w:val="clear" w:color="auto" w:fill="auto"/>
            <w:noWrap/>
            <w:vAlign w:val="center"/>
            <w:hideMark/>
          </w:tcPr>
          <w:p w:rsidR="00E4050B" w:rsidRPr="005C78F2" w:rsidRDefault="00E4050B" w:rsidP="005E03B3">
            <w:pPr>
              <w:jc w:val="right"/>
              <w:rPr>
                <w:rFonts w:cs="Arial"/>
                <w:snapToGrid/>
                <w:color w:val="000000"/>
                <w:sz w:val="22"/>
                <w:szCs w:val="22"/>
              </w:rPr>
            </w:pPr>
            <w:r w:rsidRPr="005C78F2">
              <w:rPr>
                <w:rFonts w:cs="Arial"/>
                <w:snapToGrid/>
                <w:color w:val="000000"/>
                <w:sz w:val="22"/>
                <w:szCs w:val="22"/>
              </w:rPr>
              <w:t xml:space="preserve">                             0,195 </w:t>
            </w:r>
          </w:p>
        </w:tc>
      </w:tr>
    </w:tbl>
    <w:p w:rsidR="00000090" w:rsidRDefault="00E4050B" w:rsidP="00E4050B">
      <w:pPr>
        <w:rPr>
          <w:rFonts w:ascii="Times New Roman" w:hAnsi="Times New Roman"/>
          <w:color w:val="000000"/>
          <w:sz w:val="20"/>
          <w:szCs w:val="20"/>
        </w:rPr>
      </w:pPr>
      <w:r w:rsidRPr="005C78F2">
        <w:rPr>
          <w:rFonts w:cs="Arial"/>
          <w:lang w:eastAsia="en-US"/>
        </w:rPr>
        <w:t xml:space="preserve">                                                                             </w:t>
      </w:r>
      <w:r w:rsidR="00000090" w:rsidRPr="005C78F2">
        <w:rPr>
          <w:rFonts w:cs="Arial"/>
          <w:color w:val="000000"/>
          <w:sz w:val="20"/>
          <w:szCs w:val="20"/>
        </w:rPr>
        <w:t xml:space="preserve">   Fonte: Elaborado pelo autor</w:t>
      </w:r>
      <w:r w:rsidR="00000090">
        <w:rPr>
          <w:rFonts w:ascii="Times New Roman" w:hAnsi="Times New Roman"/>
          <w:color w:val="000000"/>
          <w:sz w:val="20"/>
          <w:szCs w:val="20"/>
        </w:rPr>
        <w:t>.</w:t>
      </w:r>
    </w:p>
    <w:p w:rsidR="00000090" w:rsidRDefault="00000090" w:rsidP="00AC53D7">
      <w:pPr>
        <w:ind w:firstLine="709"/>
        <w:jc w:val="both"/>
        <w:rPr>
          <w:rFonts w:ascii="Times New Roman" w:hAnsi="Times New Roman"/>
          <w:color w:val="000000"/>
          <w:sz w:val="20"/>
          <w:szCs w:val="20"/>
        </w:rPr>
      </w:pPr>
    </w:p>
    <w:p w:rsidR="003D30E2" w:rsidRDefault="00000090" w:rsidP="00AC53D7">
      <w:pPr>
        <w:ind w:firstLine="709"/>
        <w:jc w:val="both"/>
        <w:rPr>
          <w:lang w:eastAsia="en-US"/>
        </w:rPr>
      </w:pPr>
      <w:r>
        <w:rPr>
          <w:lang w:eastAsia="en-US"/>
        </w:rPr>
        <w:t xml:space="preserve">A companhia ilustrada na Tabela 5, Delta, também está enquadrada no seguimento de geração e transmissão do setor elétrico, a empresa Delta apresenta uma variação na coluna Impostos, Taxas e Contribuições de </w:t>
      </w:r>
      <w:r w:rsidR="003D30E2">
        <w:rPr>
          <w:lang w:eastAsia="en-US"/>
        </w:rPr>
        <w:t>128,96% no período de 2007 a 2017, no entanto o crescimento nos valores das contribuições para o governo oscilam de forma constante, apresentando assim na coluna Tributo Efetivo pouca variação, diferentemente de sua semelhante a companhia delta não apresenta nenhum valor de contribuição que se destaque dos demais.</w:t>
      </w:r>
    </w:p>
    <w:p w:rsidR="00000090" w:rsidRDefault="003D30E2" w:rsidP="00AC53D7">
      <w:pPr>
        <w:ind w:firstLine="709"/>
        <w:jc w:val="both"/>
        <w:rPr>
          <w:lang w:eastAsia="en-US"/>
        </w:rPr>
      </w:pPr>
      <w:r>
        <w:rPr>
          <w:lang w:eastAsia="en-US"/>
        </w:rPr>
        <w:lastRenderedPageBreak/>
        <w:t xml:space="preserve">Comparando as duas empresas do mesmo seguimento de transmissão e geração, podemos observar uma diferença grande entra elas, a companhia Gama tem valores de destinação de impostos, Taxas e Contribuições 34,32% menores de a empresa Delta, no entanto a empresa Delta se mantem destinando valores constantes diferentemente da companhia Gama que tem valores bem distintos entres os anos analisados, isto pode ser explicado novamente pela fato de que por estarem situadas em estados diferentes do pais a carga </w:t>
      </w:r>
      <w:r w:rsidR="00E43AF6">
        <w:rPr>
          <w:lang w:eastAsia="en-US"/>
        </w:rPr>
        <w:t>tributária</w:t>
      </w:r>
      <w:r>
        <w:rPr>
          <w:lang w:eastAsia="en-US"/>
        </w:rPr>
        <w:t xml:space="preserve"> e os benefícios fiscais alteram a </w:t>
      </w:r>
      <w:r w:rsidR="00E43AF6">
        <w:rPr>
          <w:lang w:eastAsia="en-US"/>
        </w:rPr>
        <w:t>arrecadação fiscal, outro fator que afeta tanto as empresas de distribuição quanto as de geração/transmissão são os efeitos de operações políticas, como por exemplo escândalos políticos, e a própria crise política no pais, o que estaria afetando, sendo retirando os benefícios ou simplesmente não os criando, afetando assim a arrecadação tributarias do setor.</w:t>
      </w:r>
    </w:p>
    <w:p w:rsidR="006573A4" w:rsidRDefault="006573A4" w:rsidP="00C261F3">
      <w:pPr>
        <w:ind w:firstLine="709"/>
        <w:jc w:val="both"/>
        <w:rPr>
          <w:lang w:eastAsia="en-US"/>
        </w:rPr>
      </w:pPr>
      <w:r>
        <w:rPr>
          <w:lang w:eastAsia="en-US"/>
        </w:rPr>
        <w:t xml:space="preserve">Outra comparação que pode ser feita é entre os dois segmentos, distribuição e geração/transmissão, algo que chama muita atenção é que se for efetuada as somas de todas as contribuições das empresas de distribuição selecionadas na pesquisa, teremos uma diferença de 388,34% da soma das contribuições das empresas de geração/transmissão, isso pode ser explicado, pela alta carga tributária que </w:t>
      </w:r>
      <w:r w:rsidR="00B252C8">
        <w:rPr>
          <w:lang w:eastAsia="en-US"/>
        </w:rPr>
        <w:t>as empresas de distribuição têm</w:t>
      </w:r>
      <w:r>
        <w:rPr>
          <w:lang w:eastAsia="en-US"/>
        </w:rPr>
        <w:t xml:space="preserve"> em comparação com as empresas de geração/transmissão.</w:t>
      </w:r>
    </w:p>
    <w:p w:rsidR="00DF3A9B" w:rsidRDefault="006573A4" w:rsidP="00083846">
      <w:pPr>
        <w:ind w:firstLine="709"/>
        <w:jc w:val="both"/>
        <w:rPr>
          <w:lang w:eastAsia="en-US"/>
        </w:rPr>
      </w:pPr>
      <w:r>
        <w:rPr>
          <w:lang w:eastAsia="en-US"/>
        </w:rPr>
        <w:t xml:space="preserve">Outro item que chama a atenção seria com relação a taxa de tributação efetiva, na qual </w:t>
      </w:r>
      <w:r w:rsidR="00B252C8">
        <w:rPr>
          <w:lang w:eastAsia="en-US"/>
        </w:rPr>
        <w:t>as empresas de distribuição possuem</w:t>
      </w:r>
      <w:r>
        <w:rPr>
          <w:lang w:eastAsia="en-US"/>
        </w:rPr>
        <w:t xml:space="preserve"> </w:t>
      </w:r>
      <w:r w:rsidR="00B252C8">
        <w:rPr>
          <w:lang w:eastAsia="en-US"/>
        </w:rPr>
        <w:t>índice relativamente maior que as de geração/transmissão, passando muitas vezes dos 60%, o que quer dizer que certa que sessenta por cento da receita liquida está sendo utilizada para pagamento de Impostos, Taxas e contribuição; já nas empresas de geração/transmissão esse percentual muitas das vezes não ultrapassa a casa dos 40%, sendo assim apenas quarenta por cento dos seus ganhos estão sendo utilizados para pagamento de tributos.</w:t>
      </w:r>
      <w:r w:rsidR="00643A2D">
        <w:rPr>
          <w:lang w:eastAsia="en-US"/>
        </w:rPr>
        <w:t xml:space="preserve"> Como pode ser ilustrado no gráfico a seguir:</w:t>
      </w: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083846" w:rsidRDefault="00083846" w:rsidP="00083846">
      <w:pPr>
        <w:ind w:firstLine="709"/>
        <w:jc w:val="both"/>
        <w:rPr>
          <w:lang w:eastAsia="en-US"/>
        </w:rPr>
      </w:pPr>
    </w:p>
    <w:p w:rsidR="00742DFE" w:rsidRDefault="00B252C8" w:rsidP="00DF3A9B">
      <w:pPr>
        <w:jc w:val="center"/>
        <w:rPr>
          <w:sz w:val="20"/>
          <w:szCs w:val="20"/>
          <w:lang w:eastAsia="en-US"/>
        </w:rPr>
      </w:pPr>
      <w:r w:rsidRPr="00B252C8">
        <w:rPr>
          <w:sz w:val="20"/>
          <w:szCs w:val="20"/>
          <w:lang w:eastAsia="en-US"/>
        </w:rPr>
        <w:t>Gráfico 1 – Comparação empresas Distribuição e Geração/</w:t>
      </w:r>
      <w:r>
        <w:rPr>
          <w:sz w:val="20"/>
          <w:szCs w:val="20"/>
          <w:lang w:eastAsia="en-US"/>
        </w:rPr>
        <w:t>Transmissão</w:t>
      </w:r>
    </w:p>
    <w:p w:rsidR="00D50B76" w:rsidRPr="00B252C8" w:rsidRDefault="00D50B76" w:rsidP="005C78F2">
      <w:pPr>
        <w:jc w:val="center"/>
        <w:rPr>
          <w:sz w:val="20"/>
          <w:szCs w:val="20"/>
          <w:lang w:eastAsia="en-US"/>
        </w:rPr>
      </w:pPr>
    </w:p>
    <w:p w:rsidR="00B252C8" w:rsidRDefault="00642C79" w:rsidP="00917858">
      <w:pPr>
        <w:ind w:firstLine="709"/>
        <w:jc w:val="center"/>
        <w:rPr>
          <w:lang w:eastAsia="en-US"/>
        </w:rPr>
      </w:pPr>
      <w:r w:rsidRPr="00F10D4C">
        <w:rPr>
          <w:noProof/>
          <w:snapToGrid/>
        </w:rPr>
        <w:drawing>
          <wp:inline distT="0" distB="0" distL="0" distR="0">
            <wp:extent cx="4686300" cy="3028950"/>
            <wp:effectExtent l="0" t="0" r="0" b="0"/>
            <wp:docPr id="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028950"/>
                    </a:xfrm>
                    <a:prstGeom prst="rect">
                      <a:avLst/>
                    </a:prstGeom>
                    <a:noFill/>
                    <a:ln>
                      <a:noFill/>
                    </a:ln>
                  </pic:spPr>
                </pic:pic>
              </a:graphicData>
            </a:graphic>
          </wp:inline>
        </w:drawing>
      </w:r>
    </w:p>
    <w:p w:rsidR="00643A2D" w:rsidRPr="00643A2D" w:rsidRDefault="00643A2D" w:rsidP="00643A2D">
      <w:pPr>
        <w:ind w:firstLine="709"/>
        <w:rPr>
          <w:rFonts w:ascii="Times New Roman" w:hAnsi="Times New Roman"/>
          <w:color w:val="000000"/>
          <w:sz w:val="20"/>
          <w:szCs w:val="20"/>
        </w:rPr>
      </w:pPr>
      <w:r>
        <w:rPr>
          <w:rFonts w:ascii="Times New Roman" w:hAnsi="Times New Roman"/>
          <w:color w:val="000000"/>
          <w:sz w:val="20"/>
          <w:szCs w:val="20"/>
        </w:rPr>
        <w:t xml:space="preserve">                                                                                                   </w:t>
      </w:r>
      <w:r w:rsidR="00742DFE">
        <w:rPr>
          <w:rFonts w:ascii="Times New Roman" w:hAnsi="Times New Roman"/>
          <w:color w:val="000000"/>
          <w:sz w:val="20"/>
          <w:szCs w:val="20"/>
        </w:rPr>
        <w:t xml:space="preserve">    </w:t>
      </w:r>
      <w:r>
        <w:rPr>
          <w:rFonts w:ascii="Times New Roman" w:hAnsi="Times New Roman"/>
          <w:color w:val="000000"/>
          <w:sz w:val="20"/>
          <w:szCs w:val="20"/>
        </w:rPr>
        <w:t xml:space="preserve">  Fonte: Elaborado pelo autor.</w:t>
      </w:r>
    </w:p>
    <w:p w:rsidR="00671C3B" w:rsidRDefault="00671C3B" w:rsidP="00DE2E84">
      <w:pPr>
        <w:pStyle w:val="Ttulo2"/>
        <w:numPr>
          <w:ilvl w:val="1"/>
          <w:numId w:val="2"/>
        </w:numPr>
      </w:pPr>
      <w:bookmarkStart w:id="4" w:name="_Toc417668861"/>
      <w:r>
        <w:t>ANÁLISES DOS RESUTLADOS</w:t>
      </w:r>
      <w:bookmarkEnd w:id="4"/>
    </w:p>
    <w:p w:rsidR="008828E1" w:rsidRDefault="00910B0E" w:rsidP="00AC53D7">
      <w:pPr>
        <w:ind w:firstLine="709"/>
        <w:jc w:val="both"/>
        <w:rPr>
          <w:lang w:eastAsia="en-US"/>
        </w:rPr>
      </w:pPr>
      <w:r>
        <w:rPr>
          <w:lang w:eastAsia="en-US"/>
        </w:rPr>
        <w:t>Inicialmente foi elaborada as tabelas para assim melhor visualização dos resultados, muito foi analisado até chegar a uma conclusão que respondesse todas os questionamentos do p</w:t>
      </w:r>
      <w:r w:rsidR="00C261F3">
        <w:rPr>
          <w:lang w:eastAsia="en-US"/>
        </w:rPr>
        <w:t>resente artigo</w:t>
      </w:r>
      <w:r>
        <w:rPr>
          <w:lang w:eastAsia="en-US"/>
        </w:rPr>
        <w:t xml:space="preserve">, primeiramente após </w:t>
      </w:r>
      <w:r w:rsidR="000B73CD">
        <w:rPr>
          <w:lang w:eastAsia="en-US"/>
        </w:rPr>
        <w:t>análise</w:t>
      </w:r>
      <w:r w:rsidR="00C261F3">
        <w:rPr>
          <w:lang w:eastAsia="en-US"/>
        </w:rPr>
        <w:t xml:space="preserve"> dos </w:t>
      </w:r>
      <w:r>
        <w:rPr>
          <w:lang w:eastAsia="en-US"/>
        </w:rPr>
        <w:t xml:space="preserve">dados pode-se se chegar à conclusão que o a parcela do valor adicionado referente ao governo toma das companhias de energia elétrica um grande percentual, nota-se que </w:t>
      </w:r>
      <w:r w:rsidR="000B73CD">
        <w:rPr>
          <w:lang w:eastAsia="en-US"/>
        </w:rPr>
        <w:t>semelhante aos</w:t>
      </w:r>
      <w:r>
        <w:rPr>
          <w:lang w:eastAsia="en-US"/>
        </w:rPr>
        <w:t xml:space="preserve"> resultados</w:t>
      </w:r>
      <w:r w:rsidR="000B73CD">
        <w:rPr>
          <w:lang w:eastAsia="en-US"/>
        </w:rPr>
        <w:t xml:space="preserve"> expostos no trabalho</w:t>
      </w:r>
      <w:r>
        <w:rPr>
          <w:lang w:eastAsia="en-US"/>
        </w:rPr>
        <w:t xml:space="preserve"> do autor </w:t>
      </w:r>
      <w:proofErr w:type="spellStart"/>
      <w:r w:rsidRPr="00910B0E">
        <w:rPr>
          <w:lang w:eastAsia="en-US"/>
        </w:rPr>
        <w:t>Morch</w:t>
      </w:r>
      <w:proofErr w:type="spellEnd"/>
      <w:r w:rsidRPr="00910B0E">
        <w:rPr>
          <w:lang w:eastAsia="en-US"/>
        </w:rPr>
        <w:t xml:space="preserve"> (2008)</w:t>
      </w:r>
      <w:r>
        <w:rPr>
          <w:lang w:eastAsia="en-US"/>
        </w:rPr>
        <w:t>, as empresas que se enquadram no seguimento de distribuição destinam um percentual muito maior do que as empresas de geração/transmiss</w:t>
      </w:r>
      <w:r w:rsidR="00C261F3">
        <w:rPr>
          <w:lang w:eastAsia="en-US"/>
        </w:rPr>
        <w:t>ão, exemplificado na</w:t>
      </w:r>
      <w:r>
        <w:rPr>
          <w:lang w:eastAsia="en-US"/>
        </w:rPr>
        <w:t>s tabelas acima.</w:t>
      </w:r>
    </w:p>
    <w:p w:rsidR="00910B0E" w:rsidRDefault="00910B0E" w:rsidP="00AC53D7">
      <w:pPr>
        <w:ind w:firstLine="709"/>
        <w:jc w:val="both"/>
        <w:rPr>
          <w:lang w:eastAsia="en-US"/>
        </w:rPr>
      </w:pPr>
      <w:r>
        <w:rPr>
          <w:lang w:eastAsia="en-US"/>
        </w:rPr>
        <w:t xml:space="preserve">O </w:t>
      </w:r>
      <w:r w:rsidR="00C261F3">
        <w:rPr>
          <w:lang w:eastAsia="en-US"/>
        </w:rPr>
        <w:t>presente estudo pode avançar</w:t>
      </w:r>
      <w:r>
        <w:rPr>
          <w:lang w:eastAsia="en-US"/>
        </w:rPr>
        <w:t xml:space="preserve"> na análise das demonstrações do valor adicionado em comparação com os trabalhos anteriores, pois diferentemente deles foi efetuado um levantamento de </w:t>
      </w:r>
      <w:r w:rsidR="00C261F3">
        <w:rPr>
          <w:lang w:eastAsia="en-US"/>
        </w:rPr>
        <w:t>um período</w:t>
      </w:r>
      <w:r>
        <w:rPr>
          <w:lang w:eastAsia="en-US"/>
        </w:rPr>
        <w:t xml:space="preserve"> de tempo relativamente maior, assim tendo a possibilidade de expr</w:t>
      </w:r>
      <w:r w:rsidR="00C261F3">
        <w:rPr>
          <w:lang w:eastAsia="en-US"/>
        </w:rPr>
        <w:t>imir a realidade de forma mais clara e concisa</w:t>
      </w:r>
      <w:r w:rsidR="000B73CD">
        <w:rPr>
          <w:lang w:eastAsia="en-US"/>
        </w:rPr>
        <w:t>.</w:t>
      </w:r>
    </w:p>
    <w:p w:rsidR="00C261F3" w:rsidRPr="008828E1" w:rsidRDefault="000B73CD" w:rsidP="00AC53D7">
      <w:pPr>
        <w:ind w:firstLine="709"/>
        <w:jc w:val="both"/>
        <w:rPr>
          <w:lang w:eastAsia="en-US"/>
        </w:rPr>
      </w:pPr>
      <w:r>
        <w:rPr>
          <w:lang w:eastAsia="en-US"/>
        </w:rPr>
        <w:t>Pode-se notar que o período de tempo selecionado, diferentemente do artigo utilizado como base para essa pesquisa, que algumas das companhias apresentaram resultados diferentes entre si, sendo que algumas delas tiveram oscilações baixas com relação ao passar dos anos, no entanto três entre as quatro empresas analisadas apresentaram grande aumento na destinação do valor adicionado para o agente do governo nos anos de 2015, 2016 e 2017.</w:t>
      </w:r>
    </w:p>
    <w:p w:rsidR="00671C3B" w:rsidRDefault="00671C3B" w:rsidP="00DE2E84">
      <w:pPr>
        <w:pStyle w:val="Ttulo1"/>
        <w:numPr>
          <w:ilvl w:val="0"/>
          <w:numId w:val="2"/>
        </w:numPr>
        <w:ind w:left="0" w:firstLine="0"/>
      </w:pPr>
      <w:bookmarkStart w:id="5" w:name="_Toc306217215"/>
      <w:bookmarkStart w:id="6" w:name="_Toc417668862"/>
      <w:r w:rsidRPr="00620121">
        <w:lastRenderedPageBreak/>
        <w:t>CONCLUSÕES E RECOMENDAÇÕE</w:t>
      </w:r>
      <w:bookmarkEnd w:id="5"/>
      <w:bookmarkEnd w:id="6"/>
    </w:p>
    <w:p w:rsidR="00C948A6" w:rsidRDefault="00C948A6" w:rsidP="00AC53D7">
      <w:pPr>
        <w:ind w:firstLine="709"/>
        <w:jc w:val="both"/>
      </w:pPr>
      <w:r>
        <w:t>Nesta capitulo iremos apresentar as conclusões referentes ao problema de pesquisa, de que forma foram atendidos os requisitos do objetivo geral e as recomendações para futuros artigos e pesquisas na área</w:t>
      </w:r>
      <w:r w:rsidR="00E049FC">
        <w:t>.</w:t>
      </w:r>
    </w:p>
    <w:p w:rsidR="00E049FC" w:rsidRDefault="00E049FC" w:rsidP="00AC53D7">
      <w:pPr>
        <w:ind w:firstLine="709"/>
        <w:jc w:val="both"/>
      </w:pPr>
      <w:r>
        <w:t>Foi possível o identificado atrás do levantamento das demonstrações do valor adicionado, que existe uma diferença entre a carga tributária das empresas de distribuição e as empresas de geração/transmissão do setor elétrico conforme exposto nas tabelas 2, 3, 4 e 5.</w:t>
      </w:r>
    </w:p>
    <w:p w:rsidR="00E049FC" w:rsidRDefault="00E049FC" w:rsidP="00AC53D7">
      <w:pPr>
        <w:ind w:firstLine="709"/>
        <w:jc w:val="both"/>
      </w:pPr>
      <w:r>
        <w:t>Pode se chegar à conclusão que eventos que não estão sobre o controle das companhias podem sim afetar o quanto está sendo cobrado de tributo, com relação aos anos de 2015, 2016 e 2017 de todas as empresas, onde fica claro que o aumento é perceptível nos anos de crise no pais demostrado nas tabelas 2, 3, 4 e 5, ou até mesmo justificando-se por efeitos climáticos, os quais afetam o setor elétrico brasileiro de incisivamente.</w:t>
      </w:r>
    </w:p>
    <w:p w:rsidR="00E049FC" w:rsidRDefault="00E049FC" w:rsidP="00AC53D7">
      <w:pPr>
        <w:ind w:firstLine="709"/>
        <w:jc w:val="both"/>
      </w:pPr>
      <w:r>
        <w:t xml:space="preserve">A grande dificuldade na elaboração do presente artigo foi a questão da confecção da base de dados, </w:t>
      </w:r>
      <w:r w:rsidR="005556DA">
        <w:t>a qual foi feita manualmente sem auxílio de sistemas de bases de dados.</w:t>
      </w:r>
    </w:p>
    <w:p w:rsidR="006D2077" w:rsidRDefault="005556DA" w:rsidP="00AC53D7">
      <w:pPr>
        <w:ind w:firstLine="709"/>
        <w:jc w:val="both"/>
      </w:pPr>
      <w:r>
        <w:t xml:space="preserve">Os resultados desta pesquisa mostram que quanto maior for a base de dados </w:t>
      </w:r>
      <w:r w:rsidR="006D2077">
        <w:t>es</w:t>
      </w:r>
      <w:r>
        <w:t xml:space="preserve">colhida mais próximo da realidade do setor elétrico </w:t>
      </w:r>
      <w:r w:rsidR="006D2077">
        <w:t>estarão</w:t>
      </w:r>
      <w:r>
        <w:t xml:space="preserve"> os resultados, sendo assim como sugestão para trabalhos futuros seriam, analisar uma maior quantidade de empresas</w:t>
      </w:r>
      <w:r w:rsidR="006D2077">
        <w:t xml:space="preserve"> e de anos</w:t>
      </w:r>
      <w:r>
        <w:t xml:space="preserve">, </w:t>
      </w:r>
      <w:r w:rsidR="006D2077">
        <w:t>e fazer um levantamento a fundo com relação aos benefícios ficais dados pelos estados e de que forma isso afeta o setor como um todo.</w:t>
      </w:r>
    </w:p>
    <w:p w:rsidR="00577A44" w:rsidRDefault="00577A44" w:rsidP="00577A44"/>
    <w:p w:rsidR="008870FF" w:rsidRPr="005C78F2" w:rsidRDefault="006D2077" w:rsidP="008870FF">
      <w:pPr>
        <w:jc w:val="center"/>
        <w:rPr>
          <w:rFonts w:cs="Arial"/>
          <w:b/>
          <w:sz w:val="20"/>
          <w:szCs w:val="20"/>
        </w:rPr>
      </w:pPr>
      <w:r w:rsidRPr="005C78F2">
        <w:rPr>
          <w:rFonts w:cs="Arial"/>
          <w:b/>
          <w:sz w:val="20"/>
          <w:szCs w:val="20"/>
        </w:rPr>
        <w:t>REFERÊNCIAS</w:t>
      </w:r>
    </w:p>
    <w:p w:rsidR="006D2077" w:rsidRPr="005C78F2" w:rsidRDefault="006D2077" w:rsidP="006D2077">
      <w:pPr>
        <w:jc w:val="both"/>
        <w:rPr>
          <w:rFonts w:cs="Arial"/>
          <w:b/>
          <w:sz w:val="20"/>
          <w:szCs w:val="20"/>
        </w:rPr>
      </w:pPr>
    </w:p>
    <w:p w:rsidR="00376696" w:rsidRPr="005C78F2" w:rsidRDefault="006D2077" w:rsidP="00AC53D7">
      <w:pPr>
        <w:widowControl w:val="0"/>
        <w:suppressLineNumbers/>
        <w:suppressAutoHyphens/>
        <w:jc w:val="both"/>
        <w:rPr>
          <w:rFonts w:cs="Arial"/>
          <w:snapToGrid/>
          <w:sz w:val="20"/>
          <w:szCs w:val="20"/>
        </w:rPr>
      </w:pPr>
      <w:r w:rsidRPr="005C78F2">
        <w:rPr>
          <w:rFonts w:cs="Arial"/>
          <w:snapToGrid/>
          <w:sz w:val="20"/>
          <w:szCs w:val="20"/>
        </w:rPr>
        <w:t xml:space="preserve">LAKATOS, Eva Maria; MARCONI, Marina de Andrade. </w:t>
      </w:r>
      <w:r w:rsidRPr="005C78F2">
        <w:rPr>
          <w:rFonts w:cs="Arial"/>
          <w:b/>
          <w:snapToGrid/>
          <w:sz w:val="20"/>
          <w:szCs w:val="20"/>
        </w:rPr>
        <w:t>Fundamentos de metodologia científica.</w:t>
      </w:r>
      <w:r w:rsidRPr="005C78F2">
        <w:rPr>
          <w:rFonts w:cs="Arial"/>
          <w:snapToGrid/>
          <w:sz w:val="20"/>
          <w:szCs w:val="20"/>
        </w:rPr>
        <w:t xml:space="preserve"> 7. </w:t>
      </w:r>
    </w:p>
    <w:p w:rsidR="006D2077" w:rsidRPr="005C78F2" w:rsidRDefault="006D2077" w:rsidP="00AC53D7">
      <w:pPr>
        <w:widowControl w:val="0"/>
        <w:suppressLineNumbers/>
        <w:suppressAutoHyphens/>
        <w:jc w:val="both"/>
        <w:rPr>
          <w:rFonts w:cs="Arial"/>
          <w:snapToGrid/>
          <w:sz w:val="20"/>
          <w:szCs w:val="20"/>
        </w:rPr>
      </w:pPr>
      <w:r w:rsidRPr="005C78F2">
        <w:rPr>
          <w:rFonts w:cs="Arial"/>
          <w:snapToGrid/>
          <w:sz w:val="20"/>
          <w:szCs w:val="20"/>
        </w:rPr>
        <w:t>ed. São Paulo: Atlas, 2010.</w:t>
      </w:r>
    </w:p>
    <w:p w:rsidR="007E4909" w:rsidRPr="005C78F2" w:rsidRDefault="007E4909" w:rsidP="00AC53D7">
      <w:pPr>
        <w:widowControl w:val="0"/>
        <w:suppressLineNumbers/>
        <w:suppressAutoHyphens/>
        <w:jc w:val="both"/>
        <w:rPr>
          <w:rFonts w:cs="Arial"/>
          <w:snapToGrid/>
          <w:sz w:val="20"/>
          <w:szCs w:val="20"/>
        </w:rPr>
      </w:pPr>
    </w:p>
    <w:p w:rsidR="00BB7DFF" w:rsidRPr="005C78F2" w:rsidRDefault="00BB7DFF" w:rsidP="00AC53D7">
      <w:pPr>
        <w:widowControl w:val="0"/>
        <w:suppressLineNumbers/>
        <w:suppressAutoHyphens/>
        <w:jc w:val="both"/>
        <w:rPr>
          <w:rFonts w:cs="Arial"/>
          <w:color w:val="222222"/>
          <w:sz w:val="20"/>
          <w:szCs w:val="20"/>
          <w:shd w:val="clear" w:color="auto" w:fill="FFFFFF"/>
        </w:rPr>
      </w:pPr>
      <w:r w:rsidRPr="005C78F2">
        <w:rPr>
          <w:rFonts w:cs="Arial"/>
          <w:color w:val="222222"/>
          <w:sz w:val="20"/>
          <w:szCs w:val="20"/>
          <w:shd w:val="clear" w:color="auto" w:fill="FFFFFF"/>
        </w:rPr>
        <w:t>MARION, José Carlos. </w:t>
      </w:r>
      <w:r w:rsidRPr="005C78F2">
        <w:rPr>
          <w:rStyle w:val="Forte"/>
          <w:rFonts w:cs="Arial"/>
          <w:color w:val="222222"/>
          <w:sz w:val="20"/>
          <w:szCs w:val="20"/>
          <w:shd w:val="clear" w:color="auto" w:fill="FFFFFF"/>
        </w:rPr>
        <w:t>Contabilidade Empresarial. </w:t>
      </w:r>
      <w:r w:rsidRPr="005C78F2">
        <w:rPr>
          <w:rFonts w:cs="Arial"/>
          <w:color w:val="222222"/>
          <w:sz w:val="20"/>
          <w:szCs w:val="20"/>
          <w:shd w:val="clear" w:color="auto" w:fill="FFFFFF"/>
        </w:rPr>
        <w:t>15. ed. São Paulo: Atlas, 2009.</w:t>
      </w:r>
    </w:p>
    <w:p w:rsidR="00376696" w:rsidRPr="005C78F2" w:rsidRDefault="00376696" w:rsidP="00AC53D7">
      <w:pPr>
        <w:widowControl w:val="0"/>
        <w:suppressLineNumbers/>
        <w:suppressAutoHyphens/>
        <w:jc w:val="both"/>
        <w:rPr>
          <w:rFonts w:cs="Arial"/>
          <w:color w:val="222222"/>
          <w:sz w:val="20"/>
          <w:szCs w:val="20"/>
          <w:shd w:val="clear" w:color="auto" w:fill="FFFFFF"/>
        </w:rPr>
      </w:pPr>
    </w:p>
    <w:p w:rsidR="00376696" w:rsidRPr="005C78F2" w:rsidRDefault="00376696" w:rsidP="00AC53D7">
      <w:pPr>
        <w:widowControl w:val="0"/>
        <w:suppressLineNumbers/>
        <w:suppressAutoHyphens/>
        <w:jc w:val="both"/>
        <w:rPr>
          <w:rFonts w:cs="Arial"/>
          <w:color w:val="222222"/>
          <w:sz w:val="20"/>
          <w:szCs w:val="20"/>
          <w:shd w:val="clear" w:color="auto" w:fill="FFFFFF"/>
        </w:rPr>
      </w:pPr>
      <w:r w:rsidRPr="005C78F2">
        <w:rPr>
          <w:rStyle w:val="Forte"/>
          <w:rFonts w:cs="Arial"/>
          <w:sz w:val="20"/>
          <w:szCs w:val="20"/>
          <w:shd w:val="clear" w:color="auto" w:fill="FFFFFF"/>
        </w:rPr>
        <w:t> </w:t>
      </w:r>
      <w:r w:rsidRPr="005C78F2">
        <w:rPr>
          <w:rFonts w:cs="Arial"/>
          <w:color w:val="222222"/>
          <w:sz w:val="20"/>
          <w:szCs w:val="20"/>
          <w:shd w:val="clear" w:color="auto" w:fill="FFFFFF"/>
        </w:rPr>
        <w:t>SACHSIDA, Adolfo. </w:t>
      </w:r>
      <w:r w:rsidRPr="005C78F2">
        <w:rPr>
          <w:rStyle w:val="Forte"/>
          <w:rFonts w:cs="Arial"/>
          <w:color w:val="222222"/>
          <w:sz w:val="20"/>
          <w:szCs w:val="20"/>
          <w:shd w:val="clear" w:color="auto" w:fill="FFFFFF"/>
        </w:rPr>
        <w:t>ADOLFO SACHSIDA - OPINIÕES UM BLOG DEDICADO À LIBERDADE. </w:t>
      </w:r>
      <w:r w:rsidRPr="005C78F2">
        <w:rPr>
          <w:rFonts w:cs="Arial"/>
          <w:color w:val="222222"/>
          <w:sz w:val="20"/>
          <w:szCs w:val="20"/>
          <w:shd w:val="clear" w:color="auto" w:fill="FFFFFF"/>
        </w:rPr>
        <w:t>2002. Disponível em: &lt;http://bdadolfo.blogspot.com/&gt;. Acesso em: 28 jun. 2018</w:t>
      </w:r>
    </w:p>
    <w:p w:rsidR="00BB7DFF" w:rsidRPr="005C78F2" w:rsidRDefault="00BB7DFF" w:rsidP="00AC53D7">
      <w:pPr>
        <w:widowControl w:val="0"/>
        <w:suppressLineNumbers/>
        <w:suppressAutoHyphens/>
        <w:jc w:val="both"/>
        <w:rPr>
          <w:rFonts w:cs="Arial"/>
          <w:snapToGrid/>
          <w:sz w:val="20"/>
          <w:szCs w:val="20"/>
        </w:rPr>
      </w:pPr>
    </w:p>
    <w:p w:rsidR="007E4909" w:rsidRPr="005C78F2" w:rsidRDefault="002D7D6C" w:rsidP="00AC53D7">
      <w:pPr>
        <w:widowControl w:val="0"/>
        <w:suppressLineNumbers/>
        <w:suppressAutoHyphens/>
        <w:jc w:val="both"/>
        <w:rPr>
          <w:rFonts w:cs="Arial"/>
          <w:snapToGrid/>
          <w:sz w:val="20"/>
          <w:szCs w:val="20"/>
        </w:rPr>
      </w:pPr>
      <w:r w:rsidRPr="005C78F2">
        <w:rPr>
          <w:rFonts w:cs="Arial"/>
          <w:color w:val="222222"/>
          <w:sz w:val="20"/>
          <w:szCs w:val="20"/>
          <w:shd w:val="clear" w:color="auto" w:fill="FFFFFF"/>
        </w:rPr>
        <w:t>ABRADEE. </w:t>
      </w:r>
      <w:r w:rsidRPr="005C78F2">
        <w:rPr>
          <w:rStyle w:val="Forte"/>
          <w:rFonts w:cs="Arial"/>
          <w:color w:val="222222"/>
          <w:sz w:val="20"/>
          <w:szCs w:val="20"/>
          <w:shd w:val="clear" w:color="auto" w:fill="FFFFFF"/>
        </w:rPr>
        <w:t>Visão Geral do Setor. </w:t>
      </w:r>
      <w:r w:rsidRPr="005C78F2">
        <w:rPr>
          <w:rFonts w:cs="Arial"/>
          <w:color w:val="222222"/>
          <w:sz w:val="20"/>
          <w:szCs w:val="20"/>
          <w:shd w:val="clear" w:color="auto" w:fill="FFFFFF"/>
        </w:rPr>
        <w:t>2018. Disponível em: &lt;http://www.abradee.com.br/setor-eletrico/visao-geral-do-setor&gt;. Acesso em: 02 jul. 2018.</w:t>
      </w:r>
    </w:p>
    <w:p w:rsidR="008870FF" w:rsidRPr="005C78F2" w:rsidRDefault="008870FF" w:rsidP="00AC53D7">
      <w:pPr>
        <w:widowControl w:val="0"/>
        <w:suppressLineNumbers/>
        <w:suppressAutoHyphens/>
        <w:jc w:val="both"/>
        <w:rPr>
          <w:rFonts w:cs="Arial"/>
          <w:snapToGrid/>
          <w:sz w:val="20"/>
          <w:szCs w:val="20"/>
        </w:rPr>
      </w:pPr>
    </w:p>
    <w:p w:rsidR="008870FF" w:rsidRPr="005C78F2" w:rsidRDefault="008870FF" w:rsidP="00AC53D7">
      <w:pPr>
        <w:widowControl w:val="0"/>
        <w:suppressLineNumbers/>
        <w:suppressAutoHyphens/>
        <w:jc w:val="both"/>
        <w:rPr>
          <w:rFonts w:cs="Arial"/>
          <w:snapToGrid/>
          <w:sz w:val="20"/>
          <w:szCs w:val="20"/>
        </w:rPr>
      </w:pPr>
      <w:r w:rsidRPr="005C78F2">
        <w:rPr>
          <w:rFonts w:cs="Arial"/>
          <w:b/>
          <w:bCs/>
          <w:snapToGrid/>
          <w:sz w:val="20"/>
          <w:szCs w:val="20"/>
        </w:rPr>
        <w:t>ELEVADA CARGA TRIBUTÁRIA PARA EMPRESAS BLOQUEIA CRESCIMENTO DA ECONOMIA BRASILEIRA. </w:t>
      </w:r>
      <w:r w:rsidRPr="005C78F2">
        <w:rPr>
          <w:rFonts w:cs="Arial"/>
          <w:snapToGrid/>
          <w:sz w:val="20"/>
          <w:szCs w:val="20"/>
        </w:rPr>
        <w:t>São Paulo: Exame, 02 jun. 2016. Disponível em: &lt;https://exame.abril.com.br/negocios/dino/elevada-carga-tributaria-para-empresas-bloqueia-crescimento-da-economia-brasileira-dino89096487131/&gt;. Acesso em: 10 jul. 2018.</w:t>
      </w:r>
    </w:p>
    <w:p w:rsidR="000C5148" w:rsidRPr="005C78F2" w:rsidRDefault="000C5148" w:rsidP="00AC53D7">
      <w:pPr>
        <w:widowControl w:val="0"/>
        <w:suppressLineNumbers/>
        <w:suppressAutoHyphens/>
        <w:jc w:val="both"/>
        <w:rPr>
          <w:rFonts w:cs="Arial"/>
          <w:snapToGrid/>
          <w:sz w:val="20"/>
          <w:szCs w:val="20"/>
        </w:rPr>
      </w:pPr>
    </w:p>
    <w:p w:rsidR="000C5148" w:rsidRPr="005C78F2" w:rsidRDefault="000C5148" w:rsidP="00AC53D7">
      <w:pPr>
        <w:widowControl w:val="0"/>
        <w:suppressLineNumbers/>
        <w:suppressAutoHyphens/>
        <w:jc w:val="both"/>
        <w:rPr>
          <w:rFonts w:cs="Arial"/>
          <w:color w:val="222222"/>
          <w:sz w:val="20"/>
          <w:szCs w:val="20"/>
          <w:shd w:val="clear" w:color="auto" w:fill="FFFFFF"/>
        </w:rPr>
      </w:pPr>
      <w:r w:rsidRPr="005C78F2">
        <w:rPr>
          <w:rFonts w:cs="Arial"/>
          <w:color w:val="222222"/>
          <w:sz w:val="20"/>
          <w:szCs w:val="20"/>
          <w:shd w:val="clear" w:color="auto" w:fill="FFFFFF"/>
        </w:rPr>
        <w:t>RIBEIRO, Maísa de Souza. A Remuneração dos Capitais Utilizados para Financiamento dos Ativos de Empresas Distribuidoras de Energia Elétrica Medida por Meio da DVA. </w:t>
      </w:r>
      <w:proofErr w:type="spellStart"/>
      <w:r w:rsidRPr="005C78F2">
        <w:rPr>
          <w:rStyle w:val="Forte"/>
          <w:rFonts w:cs="Arial"/>
          <w:color w:val="222222"/>
          <w:sz w:val="20"/>
          <w:szCs w:val="20"/>
          <w:shd w:val="clear" w:color="auto" w:fill="FFFFFF"/>
        </w:rPr>
        <w:t>Brazilian</w:t>
      </w:r>
      <w:proofErr w:type="spellEnd"/>
      <w:r w:rsidRPr="005C78F2">
        <w:rPr>
          <w:rStyle w:val="Forte"/>
          <w:rFonts w:cs="Arial"/>
          <w:color w:val="222222"/>
          <w:sz w:val="20"/>
          <w:szCs w:val="20"/>
          <w:shd w:val="clear" w:color="auto" w:fill="FFFFFF"/>
        </w:rPr>
        <w:t xml:space="preserve"> Business </w:t>
      </w:r>
      <w:proofErr w:type="spellStart"/>
      <w:r w:rsidRPr="005C78F2">
        <w:rPr>
          <w:rStyle w:val="Forte"/>
          <w:rFonts w:cs="Arial"/>
          <w:color w:val="222222"/>
          <w:sz w:val="20"/>
          <w:szCs w:val="20"/>
          <w:shd w:val="clear" w:color="auto" w:fill="FFFFFF"/>
        </w:rPr>
        <w:t>Review</w:t>
      </w:r>
      <w:proofErr w:type="spellEnd"/>
      <w:r w:rsidRPr="005C78F2">
        <w:rPr>
          <w:rFonts w:cs="Arial"/>
          <w:color w:val="222222"/>
          <w:sz w:val="20"/>
          <w:szCs w:val="20"/>
          <w:shd w:val="clear" w:color="auto" w:fill="FFFFFF"/>
        </w:rPr>
        <w:t>, São Paulo, v. 1, n. 1, p.17-30, jun. 2004.</w:t>
      </w:r>
    </w:p>
    <w:p w:rsidR="0055377B" w:rsidRPr="005C78F2" w:rsidRDefault="0055377B" w:rsidP="00AC53D7">
      <w:pPr>
        <w:widowControl w:val="0"/>
        <w:suppressLineNumbers/>
        <w:suppressAutoHyphens/>
        <w:jc w:val="both"/>
        <w:rPr>
          <w:rFonts w:cs="Arial"/>
          <w:color w:val="222222"/>
          <w:sz w:val="20"/>
          <w:szCs w:val="20"/>
          <w:shd w:val="clear" w:color="auto" w:fill="FFFFFF"/>
        </w:rPr>
      </w:pPr>
    </w:p>
    <w:p w:rsidR="0055377B" w:rsidRPr="005C78F2" w:rsidRDefault="0055377B" w:rsidP="00AC53D7">
      <w:pPr>
        <w:widowControl w:val="0"/>
        <w:suppressLineNumbers/>
        <w:suppressAutoHyphens/>
        <w:jc w:val="both"/>
        <w:rPr>
          <w:rFonts w:cs="Arial"/>
          <w:snapToGrid/>
          <w:sz w:val="20"/>
          <w:szCs w:val="20"/>
        </w:rPr>
      </w:pPr>
      <w:r w:rsidRPr="005C78F2">
        <w:rPr>
          <w:rFonts w:cs="Arial"/>
          <w:color w:val="000000"/>
          <w:sz w:val="20"/>
          <w:szCs w:val="20"/>
        </w:rPr>
        <w:t xml:space="preserve">CUNHA, Jacqueline </w:t>
      </w:r>
      <w:proofErr w:type="spellStart"/>
      <w:r w:rsidRPr="005C78F2">
        <w:rPr>
          <w:rFonts w:cs="Arial"/>
          <w:color w:val="000000"/>
          <w:sz w:val="20"/>
          <w:szCs w:val="20"/>
        </w:rPr>
        <w:t>Veneroso</w:t>
      </w:r>
      <w:proofErr w:type="spellEnd"/>
      <w:r w:rsidRPr="005C78F2">
        <w:rPr>
          <w:rFonts w:cs="Arial"/>
          <w:color w:val="000000"/>
          <w:sz w:val="20"/>
          <w:szCs w:val="20"/>
        </w:rPr>
        <w:t xml:space="preserve"> Alves da; RIBEIRO, </w:t>
      </w:r>
      <w:proofErr w:type="spellStart"/>
      <w:r w:rsidRPr="005C78F2">
        <w:rPr>
          <w:rFonts w:cs="Arial"/>
          <w:color w:val="000000"/>
          <w:sz w:val="20"/>
          <w:szCs w:val="20"/>
        </w:rPr>
        <w:t>Maisa</w:t>
      </w:r>
      <w:proofErr w:type="spellEnd"/>
      <w:r w:rsidRPr="005C78F2">
        <w:rPr>
          <w:rFonts w:cs="Arial"/>
          <w:color w:val="000000"/>
          <w:sz w:val="20"/>
          <w:szCs w:val="20"/>
        </w:rPr>
        <w:t xml:space="preserve"> de Souza; SANTOS, Ariovaldo dos. A </w:t>
      </w:r>
      <w:r w:rsidRPr="005C78F2">
        <w:rPr>
          <w:rFonts w:cs="Arial"/>
          <w:color w:val="000000"/>
          <w:sz w:val="20"/>
          <w:szCs w:val="20"/>
        </w:rPr>
        <w:lastRenderedPageBreak/>
        <w:t>demonstração do valor adicionado como instrumento de mensuração da distribuição da riqueza.</w:t>
      </w:r>
      <w:r w:rsidRPr="005C78F2">
        <w:rPr>
          <w:rFonts w:cs="Arial"/>
          <w:b/>
          <w:bCs/>
          <w:color w:val="000000"/>
          <w:sz w:val="20"/>
          <w:szCs w:val="20"/>
        </w:rPr>
        <w:t xml:space="preserve"> Rev. contab. </w:t>
      </w:r>
      <w:proofErr w:type="spellStart"/>
      <w:proofErr w:type="gramStart"/>
      <w:r w:rsidRPr="005C78F2">
        <w:rPr>
          <w:rFonts w:cs="Arial"/>
          <w:b/>
          <w:bCs/>
          <w:color w:val="000000"/>
          <w:sz w:val="20"/>
          <w:szCs w:val="20"/>
        </w:rPr>
        <w:t>finanç</w:t>
      </w:r>
      <w:proofErr w:type="spellEnd"/>
      <w:r w:rsidRPr="005C78F2">
        <w:rPr>
          <w:rFonts w:cs="Arial"/>
          <w:b/>
          <w:bCs/>
          <w:color w:val="000000"/>
          <w:sz w:val="20"/>
          <w:szCs w:val="20"/>
        </w:rPr>
        <w:t>.</w:t>
      </w:r>
      <w:r w:rsidRPr="005C78F2">
        <w:rPr>
          <w:rFonts w:cs="Arial"/>
          <w:color w:val="000000"/>
          <w:sz w:val="20"/>
          <w:szCs w:val="20"/>
        </w:rPr>
        <w:t>,</w:t>
      </w:r>
      <w:proofErr w:type="gramEnd"/>
      <w:r w:rsidRPr="005C78F2">
        <w:rPr>
          <w:rFonts w:cs="Arial"/>
          <w:color w:val="000000"/>
          <w:sz w:val="20"/>
          <w:szCs w:val="20"/>
        </w:rPr>
        <w:t xml:space="preserve">  São Paulo ,  v. 16, n. 37, p. 7-23,  abr.  2005 .   Disponível em &lt;http://www.scielo.br/scielo.php?script=sci_arttext&amp;pid=S1519-70772005000100001&amp;lng=pt&amp;nrm=iso&gt;. </w:t>
      </w:r>
      <w:proofErr w:type="gramStart"/>
      <w:r w:rsidRPr="005C78F2">
        <w:rPr>
          <w:rFonts w:cs="Arial"/>
          <w:color w:val="000000"/>
          <w:sz w:val="20"/>
          <w:szCs w:val="20"/>
        </w:rPr>
        <w:t>acessos</w:t>
      </w:r>
      <w:proofErr w:type="gramEnd"/>
      <w:r w:rsidRPr="005C78F2">
        <w:rPr>
          <w:rFonts w:cs="Arial"/>
          <w:color w:val="000000"/>
          <w:sz w:val="20"/>
          <w:szCs w:val="20"/>
        </w:rPr>
        <w:t xml:space="preserve"> em  29  jul.  2018.  http://dx.doi.org/10.1590/S1519-70772005000100001</w:t>
      </w:r>
    </w:p>
    <w:p w:rsidR="008870FF" w:rsidRPr="005C78F2" w:rsidRDefault="008870FF" w:rsidP="00AC53D7">
      <w:pPr>
        <w:widowControl w:val="0"/>
        <w:suppressLineNumbers/>
        <w:suppressAutoHyphens/>
        <w:jc w:val="both"/>
        <w:rPr>
          <w:rFonts w:cs="Arial"/>
          <w:snapToGrid/>
          <w:sz w:val="20"/>
          <w:szCs w:val="20"/>
        </w:rPr>
      </w:pPr>
    </w:p>
    <w:p w:rsidR="00917DA7" w:rsidRPr="005C78F2" w:rsidRDefault="008870FF" w:rsidP="00AC53D7">
      <w:pPr>
        <w:widowControl w:val="0"/>
        <w:suppressLineNumbers/>
        <w:suppressAutoHyphens/>
        <w:jc w:val="both"/>
        <w:rPr>
          <w:rFonts w:cs="Arial"/>
          <w:snapToGrid/>
          <w:sz w:val="20"/>
          <w:szCs w:val="20"/>
        </w:rPr>
      </w:pPr>
      <w:r w:rsidRPr="005C78F2">
        <w:rPr>
          <w:rFonts w:cs="Arial"/>
          <w:snapToGrid/>
          <w:sz w:val="20"/>
          <w:szCs w:val="20"/>
        </w:rPr>
        <w:t>MORCH, Rafael Borges et al. A DEMONSTRAÇÃO DO VALOR ADICIONADO COMO INSTRUMENTO DE ANÁLISE DO IMPACTO TRIBUTÁRIO PARA AS EMPRESAS DO SETOR ELÉTRICO. </w:t>
      </w:r>
      <w:r w:rsidRPr="005C78F2">
        <w:rPr>
          <w:rFonts w:cs="Arial"/>
          <w:b/>
          <w:bCs/>
          <w:snapToGrid/>
          <w:sz w:val="20"/>
          <w:szCs w:val="20"/>
        </w:rPr>
        <w:t>Revista de Informação Contábil</w:t>
      </w:r>
      <w:r w:rsidRPr="005C78F2">
        <w:rPr>
          <w:rFonts w:cs="Arial"/>
          <w:snapToGrid/>
          <w:sz w:val="20"/>
          <w:szCs w:val="20"/>
        </w:rPr>
        <w:t>, Pernambuco, v. 11, n. 4, p.1-15, dez. 2007. Disponível em: &lt;https://periodicos.ufpe.br/revistas/ricontabeis/article/view/7831&gt;. Acesso em: 27 jun. 2018.</w:t>
      </w:r>
    </w:p>
    <w:p w:rsidR="001F229E" w:rsidRPr="005C78F2" w:rsidRDefault="001F229E" w:rsidP="00AC53D7">
      <w:pPr>
        <w:widowControl w:val="0"/>
        <w:suppressLineNumbers/>
        <w:suppressAutoHyphens/>
        <w:jc w:val="both"/>
        <w:rPr>
          <w:rFonts w:cs="Arial"/>
          <w:snapToGrid/>
          <w:sz w:val="20"/>
          <w:szCs w:val="20"/>
        </w:rPr>
      </w:pPr>
    </w:p>
    <w:p w:rsidR="00917DA7" w:rsidRPr="005C78F2" w:rsidRDefault="00917DA7" w:rsidP="00AC53D7">
      <w:pPr>
        <w:widowControl w:val="0"/>
        <w:suppressLineNumbers/>
        <w:suppressAutoHyphens/>
        <w:jc w:val="both"/>
        <w:rPr>
          <w:rFonts w:cs="Arial"/>
          <w:snapToGrid/>
          <w:sz w:val="20"/>
          <w:szCs w:val="20"/>
        </w:rPr>
      </w:pPr>
      <w:r w:rsidRPr="005C78F2">
        <w:rPr>
          <w:rFonts w:cs="Arial"/>
          <w:color w:val="222222"/>
          <w:sz w:val="20"/>
          <w:szCs w:val="20"/>
          <w:shd w:val="clear" w:color="auto" w:fill="FFFFFF"/>
        </w:rPr>
        <w:t xml:space="preserve">MARTINS, </w:t>
      </w:r>
      <w:proofErr w:type="spellStart"/>
      <w:r w:rsidRPr="005C78F2">
        <w:rPr>
          <w:rFonts w:cs="Arial"/>
          <w:color w:val="222222"/>
          <w:sz w:val="20"/>
          <w:szCs w:val="20"/>
          <w:shd w:val="clear" w:color="auto" w:fill="FFFFFF"/>
        </w:rPr>
        <w:t>Dimitri</w:t>
      </w:r>
      <w:proofErr w:type="spellEnd"/>
      <w:r w:rsidRPr="005C78F2">
        <w:rPr>
          <w:rFonts w:cs="Arial"/>
          <w:color w:val="222222"/>
          <w:sz w:val="20"/>
          <w:szCs w:val="20"/>
          <w:shd w:val="clear" w:color="auto" w:fill="FFFFFF"/>
        </w:rPr>
        <w:t xml:space="preserve"> Melo Rodrigues. </w:t>
      </w:r>
      <w:r w:rsidRPr="005C78F2">
        <w:rPr>
          <w:rStyle w:val="Forte"/>
          <w:rFonts w:cs="Arial"/>
          <w:color w:val="222222"/>
          <w:sz w:val="20"/>
          <w:szCs w:val="20"/>
          <w:shd w:val="clear" w:color="auto" w:fill="FFFFFF"/>
        </w:rPr>
        <w:t>SETOR ELÉTRICO BRASILEIRO: ANÁLISE DO INVESTIMENTO DE CAPITAL EM USINAS TERMELÉTRICAS. </w:t>
      </w:r>
      <w:r w:rsidRPr="005C78F2">
        <w:rPr>
          <w:rFonts w:cs="Arial"/>
          <w:color w:val="222222"/>
          <w:sz w:val="20"/>
          <w:szCs w:val="20"/>
          <w:shd w:val="clear" w:color="auto" w:fill="FFFFFF"/>
        </w:rPr>
        <w:t xml:space="preserve">2008. 9 v. Tese (Doutorado) - Curso de Economia, Departamento de Economia, </w:t>
      </w:r>
      <w:proofErr w:type="spellStart"/>
      <w:r w:rsidRPr="005C78F2">
        <w:rPr>
          <w:rFonts w:cs="Arial"/>
          <w:color w:val="222222"/>
          <w:sz w:val="20"/>
          <w:szCs w:val="20"/>
          <w:shd w:val="clear" w:color="auto" w:fill="FFFFFF"/>
        </w:rPr>
        <w:t>PontifÍcia</w:t>
      </w:r>
      <w:proofErr w:type="spellEnd"/>
      <w:r w:rsidRPr="005C78F2">
        <w:rPr>
          <w:rFonts w:cs="Arial"/>
          <w:color w:val="222222"/>
          <w:sz w:val="20"/>
          <w:szCs w:val="20"/>
          <w:shd w:val="clear" w:color="auto" w:fill="FFFFFF"/>
        </w:rPr>
        <w:t xml:space="preserve"> Universidade </w:t>
      </w:r>
      <w:proofErr w:type="spellStart"/>
      <w:r w:rsidRPr="005C78F2">
        <w:rPr>
          <w:rFonts w:cs="Arial"/>
          <w:color w:val="222222"/>
          <w:sz w:val="20"/>
          <w:szCs w:val="20"/>
          <w:shd w:val="clear" w:color="auto" w:fill="FFFFFF"/>
        </w:rPr>
        <w:t>CatÓlica</w:t>
      </w:r>
      <w:proofErr w:type="spellEnd"/>
      <w:r w:rsidRPr="005C78F2">
        <w:rPr>
          <w:rFonts w:cs="Arial"/>
          <w:color w:val="222222"/>
          <w:sz w:val="20"/>
          <w:szCs w:val="20"/>
          <w:shd w:val="clear" w:color="auto" w:fill="FFFFFF"/>
        </w:rPr>
        <w:t xml:space="preserve"> do Rio de Janeiro - </w:t>
      </w:r>
      <w:proofErr w:type="spellStart"/>
      <w:r w:rsidRPr="005C78F2">
        <w:rPr>
          <w:rFonts w:cs="Arial"/>
          <w:color w:val="222222"/>
          <w:sz w:val="20"/>
          <w:szCs w:val="20"/>
          <w:shd w:val="clear" w:color="auto" w:fill="FFFFFF"/>
        </w:rPr>
        <w:t>Puc</w:t>
      </w:r>
      <w:proofErr w:type="spellEnd"/>
      <w:r w:rsidRPr="005C78F2">
        <w:rPr>
          <w:rFonts w:cs="Arial"/>
          <w:color w:val="222222"/>
          <w:sz w:val="20"/>
          <w:szCs w:val="20"/>
          <w:shd w:val="clear" w:color="auto" w:fill="FFFFFF"/>
        </w:rPr>
        <w:t>-rio, Rio de Janeiro, 2008. Disponível em: &lt;https://doi.org/10.17771/PUCRio.acad.12130&gt;. Acesso em: 20 jul. 2018.</w:t>
      </w:r>
    </w:p>
    <w:p w:rsidR="008870FF" w:rsidRPr="005C78F2" w:rsidRDefault="008870FF" w:rsidP="00AC53D7">
      <w:pPr>
        <w:widowControl w:val="0"/>
        <w:suppressLineNumbers/>
        <w:suppressAutoHyphens/>
        <w:jc w:val="both"/>
        <w:rPr>
          <w:rFonts w:cs="Arial"/>
          <w:snapToGrid/>
          <w:sz w:val="20"/>
          <w:szCs w:val="20"/>
        </w:rPr>
      </w:pPr>
    </w:p>
    <w:p w:rsidR="008870FF" w:rsidRPr="005C78F2" w:rsidRDefault="008870FF" w:rsidP="00AC53D7">
      <w:pPr>
        <w:widowControl w:val="0"/>
        <w:suppressLineNumbers/>
        <w:suppressAutoHyphens/>
        <w:jc w:val="both"/>
        <w:rPr>
          <w:rFonts w:cs="Arial"/>
          <w:snapToGrid/>
          <w:sz w:val="20"/>
          <w:szCs w:val="20"/>
        </w:rPr>
      </w:pPr>
      <w:r w:rsidRPr="005C78F2">
        <w:rPr>
          <w:rStyle w:val="Forte"/>
          <w:rFonts w:cs="Arial"/>
          <w:sz w:val="20"/>
          <w:szCs w:val="20"/>
          <w:shd w:val="clear" w:color="auto" w:fill="FFFFFF"/>
        </w:rPr>
        <w:t> </w:t>
      </w:r>
      <w:r w:rsidRPr="005C78F2">
        <w:rPr>
          <w:rFonts w:cs="Arial"/>
          <w:color w:val="222222"/>
          <w:sz w:val="20"/>
          <w:szCs w:val="20"/>
          <w:shd w:val="clear" w:color="auto" w:fill="FFFFFF"/>
        </w:rPr>
        <w:t xml:space="preserve">RICARTE, </w:t>
      </w:r>
      <w:proofErr w:type="spellStart"/>
      <w:r w:rsidRPr="005C78F2">
        <w:rPr>
          <w:rFonts w:cs="Arial"/>
          <w:color w:val="222222"/>
          <w:sz w:val="20"/>
          <w:szCs w:val="20"/>
          <w:shd w:val="clear" w:color="auto" w:fill="FFFFFF"/>
        </w:rPr>
        <w:t>Jádson</w:t>
      </w:r>
      <w:proofErr w:type="spellEnd"/>
      <w:r w:rsidRPr="005C78F2">
        <w:rPr>
          <w:rFonts w:cs="Arial"/>
          <w:color w:val="222222"/>
          <w:sz w:val="20"/>
          <w:szCs w:val="20"/>
          <w:shd w:val="clear" w:color="auto" w:fill="FFFFFF"/>
        </w:rPr>
        <w:t xml:space="preserve"> Gonçalves. Demonstração do valor adicionado. </w:t>
      </w:r>
      <w:r w:rsidRPr="005C78F2">
        <w:rPr>
          <w:rStyle w:val="Forte"/>
          <w:rFonts w:cs="Arial"/>
          <w:color w:val="222222"/>
          <w:sz w:val="20"/>
          <w:szCs w:val="20"/>
          <w:shd w:val="clear" w:color="auto" w:fill="FFFFFF"/>
        </w:rPr>
        <w:t>Revista Catarinense da Ciência Contábil</w:t>
      </w:r>
      <w:r w:rsidRPr="005C78F2">
        <w:rPr>
          <w:rFonts w:cs="Arial"/>
          <w:color w:val="222222"/>
          <w:sz w:val="20"/>
          <w:szCs w:val="20"/>
          <w:shd w:val="clear" w:color="auto" w:fill="FFFFFF"/>
        </w:rPr>
        <w:t>, Florianópolis, v. 17, n. 50, p.49-69, jan. 2018. Disponível em: &lt;http://revista.crcsc.org.br/index.php/CRCSC/article/view/1137/1066&gt;. Acesso em: 10 jul. 2018.</w:t>
      </w:r>
    </w:p>
    <w:p w:rsidR="006D2077" w:rsidRPr="005C78F2" w:rsidRDefault="006D2077" w:rsidP="00AC53D7">
      <w:pPr>
        <w:jc w:val="both"/>
        <w:rPr>
          <w:rFonts w:cs="Arial"/>
          <w:sz w:val="20"/>
          <w:szCs w:val="20"/>
        </w:rPr>
      </w:pPr>
    </w:p>
    <w:p w:rsidR="006D2077" w:rsidRPr="005C78F2" w:rsidRDefault="006D2077" w:rsidP="00AC53D7">
      <w:pPr>
        <w:pStyle w:val="Referencias"/>
        <w:rPr>
          <w:rFonts w:ascii="Arial" w:hAnsi="Arial" w:cs="Arial"/>
          <w:sz w:val="20"/>
          <w:szCs w:val="20"/>
        </w:rPr>
      </w:pPr>
      <w:r w:rsidRPr="005C78F2">
        <w:rPr>
          <w:rFonts w:ascii="Arial" w:hAnsi="Arial" w:cs="Arial"/>
          <w:sz w:val="20"/>
          <w:szCs w:val="20"/>
        </w:rPr>
        <w:t xml:space="preserve">GIL, Antônio Carlos. </w:t>
      </w:r>
      <w:r w:rsidRPr="005C78F2">
        <w:rPr>
          <w:rFonts w:ascii="Arial" w:hAnsi="Arial" w:cs="Arial"/>
          <w:b/>
          <w:bCs/>
          <w:sz w:val="20"/>
          <w:szCs w:val="20"/>
        </w:rPr>
        <w:t xml:space="preserve">Como elaborar projetos de pesquisa. </w:t>
      </w:r>
      <w:r w:rsidRPr="005C78F2">
        <w:rPr>
          <w:rFonts w:ascii="Arial" w:hAnsi="Arial" w:cs="Arial"/>
          <w:sz w:val="20"/>
          <w:szCs w:val="20"/>
        </w:rPr>
        <w:t>4. ed. São Paulo: Atlas, 2007.</w:t>
      </w:r>
    </w:p>
    <w:p w:rsidR="006D2077" w:rsidRPr="005C78F2" w:rsidRDefault="006D2077" w:rsidP="00AC53D7">
      <w:pPr>
        <w:pStyle w:val="Referencias"/>
        <w:rPr>
          <w:rFonts w:ascii="Arial" w:hAnsi="Arial" w:cs="Arial"/>
          <w:sz w:val="20"/>
          <w:szCs w:val="20"/>
        </w:rPr>
      </w:pPr>
      <w:r w:rsidRPr="005C78F2">
        <w:rPr>
          <w:rFonts w:ascii="Arial" w:hAnsi="Arial" w:cs="Arial"/>
          <w:sz w:val="20"/>
          <w:szCs w:val="20"/>
        </w:rPr>
        <w:t xml:space="preserve">SILVA, Edna Lúcia da. MENEZES, </w:t>
      </w:r>
      <w:proofErr w:type="spellStart"/>
      <w:r w:rsidRPr="005C78F2">
        <w:rPr>
          <w:rFonts w:ascii="Arial" w:hAnsi="Arial" w:cs="Arial"/>
          <w:sz w:val="20"/>
          <w:szCs w:val="20"/>
        </w:rPr>
        <w:t>Estera</w:t>
      </w:r>
      <w:proofErr w:type="spellEnd"/>
      <w:r w:rsidRPr="005C78F2">
        <w:rPr>
          <w:rFonts w:ascii="Arial" w:hAnsi="Arial" w:cs="Arial"/>
          <w:sz w:val="20"/>
          <w:szCs w:val="20"/>
        </w:rPr>
        <w:t xml:space="preserve"> </w:t>
      </w:r>
      <w:proofErr w:type="spellStart"/>
      <w:r w:rsidRPr="005C78F2">
        <w:rPr>
          <w:rFonts w:ascii="Arial" w:hAnsi="Arial" w:cs="Arial"/>
          <w:sz w:val="20"/>
          <w:szCs w:val="20"/>
        </w:rPr>
        <w:t>Muskat</w:t>
      </w:r>
      <w:proofErr w:type="spellEnd"/>
      <w:r w:rsidRPr="005C78F2">
        <w:rPr>
          <w:rFonts w:ascii="Arial" w:hAnsi="Arial" w:cs="Arial"/>
          <w:sz w:val="20"/>
          <w:szCs w:val="20"/>
        </w:rPr>
        <w:t xml:space="preserve">. </w:t>
      </w:r>
      <w:r w:rsidRPr="005C78F2">
        <w:rPr>
          <w:rFonts w:ascii="Arial" w:hAnsi="Arial" w:cs="Arial"/>
          <w:b/>
          <w:sz w:val="20"/>
          <w:szCs w:val="20"/>
        </w:rPr>
        <w:t xml:space="preserve">Metodologia da pesquisa e elaboração de dissertação UFSC. </w:t>
      </w:r>
      <w:r w:rsidRPr="005C78F2">
        <w:rPr>
          <w:rFonts w:ascii="Arial" w:hAnsi="Arial" w:cs="Arial"/>
          <w:sz w:val="20"/>
          <w:szCs w:val="20"/>
        </w:rPr>
        <w:t>Santa Catarina, 3 Edição, 2001.</w:t>
      </w:r>
    </w:p>
    <w:p w:rsidR="004E6435" w:rsidRPr="005C78F2" w:rsidRDefault="004E6435" w:rsidP="00AC53D7">
      <w:pPr>
        <w:pStyle w:val="Referencias"/>
        <w:rPr>
          <w:rFonts w:ascii="Arial" w:hAnsi="Arial" w:cs="Arial"/>
          <w:sz w:val="20"/>
          <w:szCs w:val="20"/>
        </w:rPr>
      </w:pPr>
      <w:r w:rsidRPr="005C78F2">
        <w:rPr>
          <w:rFonts w:ascii="Arial" w:hAnsi="Arial" w:cs="Arial"/>
          <w:color w:val="222222"/>
          <w:sz w:val="20"/>
          <w:szCs w:val="20"/>
          <w:shd w:val="clear" w:color="auto" w:fill="FFFFFF"/>
        </w:rPr>
        <w:t>DIAS, Ricardo. </w:t>
      </w:r>
      <w:r w:rsidRPr="005C78F2">
        <w:rPr>
          <w:rStyle w:val="Forte"/>
          <w:rFonts w:ascii="Arial" w:hAnsi="Arial" w:cs="Arial"/>
          <w:color w:val="222222"/>
          <w:sz w:val="20"/>
          <w:szCs w:val="20"/>
          <w:shd w:val="clear" w:color="auto" w:fill="FFFFFF"/>
        </w:rPr>
        <w:t>A Carga tributária sobre energia. </w:t>
      </w:r>
      <w:r w:rsidRPr="005C78F2">
        <w:rPr>
          <w:rFonts w:ascii="Arial" w:hAnsi="Arial" w:cs="Arial"/>
          <w:color w:val="222222"/>
          <w:sz w:val="20"/>
          <w:szCs w:val="20"/>
          <w:shd w:val="clear" w:color="auto" w:fill="FFFFFF"/>
        </w:rPr>
        <w:t>2016. Disponível em: &lt;https://www.cubienergia.com/a-carga-tributaria-sobre-energia/&gt;. Acesso em: 28 jun. 2018.</w:t>
      </w:r>
    </w:p>
    <w:p w:rsidR="004E6435" w:rsidRPr="005C78F2" w:rsidRDefault="00414223" w:rsidP="00AC53D7">
      <w:pPr>
        <w:pStyle w:val="Referencias"/>
        <w:rPr>
          <w:rFonts w:ascii="Arial" w:hAnsi="Arial" w:cs="Arial"/>
          <w:sz w:val="20"/>
          <w:szCs w:val="20"/>
        </w:rPr>
      </w:pPr>
      <w:r w:rsidRPr="005C78F2">
        <w:rPr>
          <w:rFonts w:ascii="Arial" w:hAnsi="Arial" w:cs="Arial"/>
          <w:sz w:val="20"/>
          <w:szCs w:val="20"/>
        </w:rPr>
        <w:t>RIBEIRO, M. S.; SANTOS, A. D. A remuneração dos capitais utilizados para financiamento dos ativos de empresas distribuidoras de energia elétrica medida por meio da DVA. </w:t>
      </w:r>
      <w:proofErr w:type="spellStart"/>
      <w:r w:rsidRPr="005C78F2">
        <w:rPr>
          <w:rFonts w:ascii="Arial" w:hAnsi="Arial" w:cs="Arial"/>
          <w:b/>
          <w:bCs/>
          <w:sz w:val="20"/>
          <w:szCs w:val="20"/>
        </w:rPr>
        <w:t>Brazilian</w:t>
      </w:r>
      <w:proofErr w:type="spellEnd"/>
      <w:r w:rsidRPr="005C78F2">
        <w:rPr>
          <w:rFonts w:ascii="Arial" w:hAnsi="Arial" w:cs="Arial"/>
          <w:b/>
          <w:bCs/>
          <w:sz w:val="20"/>
          <w:szCs w:val="20"/>
        </w:rPr>
        <w:t xml:space="preserve"> Business </w:t>
      </w:r>
      <w:proofErr w:type="spellStart"/>
      <w:r w:rsidRPr="005C78F2">
        <w:rPr>
          <w:rFonts w:ascii="Arial" w:hAnsi="Arial" w:cs="Arial"/>
          <w:b/>
          <w:bCs/>
          <w:sz w:val="20"/>
          <w:szCs w:val="20"/>
        </w:rPr>
        <w:t>Review</w:t>
      </w:r>
      <w:proofErr w:type="spellEnd"/>
      <w:r w:rsidRPr="005C78F2">
        <w:rPr>
          <w:rFonts w:ascii="Arial" w:hAnsi="Arial" w:cs="Arial"/>
          <w:sz w:val="20"/>
          <w:szCs w:val="20"/>
        </w:rPr>
        <w:t>, v. 1, n. 1, p. 17-30, 2004.</w:t>
      </w:r>
    </w:p>
    <w:p w:rsidR="008870FF" w:rsidRPr="005C78F2" w:rsidRDefault="00124BE5" w:rsidP="006D2077">
      <w:pPr>
        <w:pStyle w:val="Referencias"/>
        <w:rPr>
          <w:rFonts w:ascii="Arial" w:hAnsi="Arial" w:cs="Arial"/>
          <w:sz w:val="20"/>
          <w:szCs w:val="20"/>
        </w:rPr>
      </w:pPr>
      <w:r w:rsidRPr="005C78F2">
        <w:rPr>
          <w:rFonts w:ascii="Arial" w:hAnsi="Arial" w:cs="Arial"/>
          <w:color w:val="222222"/>
          <w:sz w:val="20"/>
          <w:szCs w:val="20"/>
          <w:shd w:val="clear" w:color="auto" w:fill="FFFFFF"/>
        </w:rPr>
        <w:t xml:space="preserve">KRONBAUER, Clovis </w:t>
      </w:r>
      <w:proofErr w:type="spellStart"/>
      <w:r w:rsidRPr="005C78F2">
        <w:rPr>
          <w:rFonts w:ascii="Arial" w:hAnsi="Arial" w:cs="Arial"/>
          <w:color w:val="222222"/>
          <w:sz w:val="20"/>
          <w:szCs w:val="20"/>
          <w:shd w:val="clear" w:color="auto" w:fill="FFFFFF"/>
        </w:rPr>
        <w:t>Antonio</w:t>
      </w:r>
      <w:proofErr w:type="spellEnd"/>
      <w:r w:rsidRPr="005C78F2">
        <w:rPr>
          <w:rFonts w:ascii="Arial" w:hAnsi="Arial" w:cs="Arial"/>
          <w:color w:val="222222"/>
          <w:sz w:val="20"/>
          <w:szCs w:val="20"/>
          <w:shd w:val="clear" w:color="auto" w:fill="FFFFFF"/>
        </w:rPr>
        <w:t xml:space="preserve">; SOUZA, Marcos </w:t>
      </w:r>
      <w:proofErr w:type="spellStart"/>
      <w:r w:rsidRPr="005C78F2">
        <w:rPr>
          <w:rFonts w:ascii="Arial" w:hAnsi="Arial" w:cs="Arial"/>
          <w:color w:val="222222"/>
          <w:sz w:val="20"/>
          <w:szCs w:val="20"/>
          <w:shd w:val="clear" w:color="auto" w:fill="FFFFFF"/>
        </w:rPr>
        <w:t>Antonio</w:t>
      </w:r>
      <w:proofErr w:type="spellEnd"/>
      <w:r w:rsidRPr="005C78F2">
        <w:rPr>
          <w:rFonts w:ascii="Arial" w:hAnsi="Arial" w:cs="Arial"/>
          <w:color w:val="222222"/>
          <w:sz w:val="20"/>
          <w:szCs w:val="20"/>
          <w:shd w:val="clear" w:color="auto" w:fill="FFFFFF"/>
        </w:rPr>
        <w:t>. EVIDENCIAÇÃO E ANÁLISE DE CARGA TRIBUTÁRIA: UM ESTUDO EM EMPRESAS BRASILEIRAS DO SETOR DE ENERGIA ELÉTRICA. </w:t>
      </w:r>
      <w:r w:rsidRPr="005C78F2">
        <w:rPr>
          <w:rStyle w:val="Forte"/>
          <w:rFonts w:ascii="Arial" w:hAnsi="Arial" w:cs="Arial"/>
          <w:color w:val="222222"/>
          <w:sz w:val="20"/>
          <w:szCs w:val="20"/>
          <w:shd w:val="clear" w:color="auto" w:fill="FFFFFF"/>
        </w:rPr>
        <w:t xml:space="preserve">Revistas Científicas de América Latina y El Caribe, </w:t>
      </w:r>
      <w:proofErr w:type="spellStart"/>
      <w:r w:rsidRPr="005C78F2">
        <w:rPr>
          <w:rStyle w:val="Forte"/>
          <w:rFonts w:ascii="Arial" w:hAnsi="Arial" w:cs="Arial"/>
          <w:color w:val="222222"/>
          <w:sz w:val="20"/>
          <w:szCs w:val="20"/>
          <w:shd w:val="clear" w:color="auto" w:fill="FFFFFF"/>
        </w:rPr>
        <w:t>España</w:t>
      </w:r>
      <w:proofErr w:type="spellEnd"/>
      <w:r w:rsidRPr="005C78F2">
        <w:rPr>
          <w:rStyle w:val="Forte"/>
          <w:rFonts w:ascii="Arial" w:hAnsi="Arial" w:cs="Arial"/>
          <w:color w:val="222222"/>
          <w:sz w:val="20"/>
          <w:szCs w:val="20"/>
          <w:shd w:val="clear" w:color="auto" w:fill="FFFFFF"/>
        </w:rPr>
        <w:t xml:space="preserve"> y Portugal</w:t>
      </w:r>
      <w:r w:rsidRPr="005C78F2">
        <w:rPr>
          <w:rFonts w:ascii="Arial" w:hAnsi="Arial" w:cs="Arial"/>
          <w:color w:val="222222"/>
          <w:sz w:val="20"/>
          <w:szCs w:val="20"/>
          <w:shd w:val="clear" w:color="auto" w:fill="FFFFFF"/>
        </w:rPr>
        <w:t>, Portugal, v. 7, n. 3, p.1-23, mar. 2009. Disponível em: &lt;http://www.redalyc.org/html/2352/235216394001/&gt;. Acesso em: 29 jun. 2018.</w:t>
      </w:r>
    </w:p>
    <w:p w:rsidR="004E6435" w:rsidRPr="005C78F2" w:rsidRDefault="00414223" w:rsidP="006D2077">
      <w:pPr>
        <w:pStyle w:val="Referencias"/>
        <w:rPr>
          <w:rFonts w:ascii="Arial" w:hAnsi="Arial" w:cs="Arial"/>
          <w:sz w:val="20"/>
          <w:szCs w:val="20"/>
        </w:rPr>
      </w:pPr>
      <w:r w:rsidRPr="005C78F2">
        <w:rPr>
          <w:rFonts w:ascii="Arial" w:hAnsi="Arial" w:cs="Arial"/>
          <w:color w:val="222222"/>
          <w:sz w:val="20"/>
          <w:szCs w:val="20"/>
          <w:shd w:val="clear" w:color="auto" w:fill="FFFFFF"/>
        </w:rPr>
        <w:t>MIRANDA, Luiz Carlos. Análise financeira da Demonstração do Valor Adicionado (DVA) das empresas do setor elétrico brasileiro. </w:t>
      </w:r>
      <w:r w:rsidRPr="005C78F2">
        <w:rPr>
          <w:rStyle w:val="Forte"/>
          <w:rFonts w:ascii="Arial" w:hAnsi="Arial" w:cs="Arial"/>
          <w:color w:val="222222"/>
          <w:sz w:val="20"/>
          <w:szCs w:val="20"/>
          <w:shd w:val="clear" w:color="auto" w:fill="FFFFFF"/>
        </w:rPr>
        <w:t>Contabilidade Vista &amp; Revista</w:t>
      </w:r>
      <w:r w:rsidRPr="005C78F2">
        <w:rPr>
          <w:rFonts w:ascii="Arial" w:hAnsi="Arial" w:cs="Arial"/>
          <w:color w:val="222222"/>
          <w:sz w:val="20"/>
          <w:szCs w:val="20"/>
          <w:shd w:val="clear" w:color="auto" w:fill="FFFFFF"/>
        </w:rPr>
        <w:t>, Minas Gerais, v. 13, n. 3, p.71-92, dez. 2002. Disponível em: &lt;http://www.redalyc.org/pdf/1970/197018318006.pdf&gt;. Acesso em: 28 jun. 2018.</w:t>
      </w:r>
    </w:p>
    <w:p w:rsidR="004E6435" w:rsidRPr="005C78F2" w:rsidRDefault="004E6435" w:rsidP="006D2077">
      <w:pPr>
        <w:pStyle w:val="Referencias"/>
        <w:rPr>
          <w:rFonts w:ascii="Arial" w:hAnsi="Arial" w:cs="Arial"/>
          <w:color w:val="222222"/>
          <w:sz w:val="20"/>
          <w:szCs w:val="20"/>
          <w:shd w:val="clear" w:color="auto" w:fill="FFFFFF"/>
        </w:rPr>
      </w:pPr>
      <w:r w:rsidRPr="005C78F2">
        <w:rPr>
          <w:rFonts w:ascii="Arial" w:hAnsi="Arial" w:cs="Arial"/>
          <w:color w:val="222222"/>
          <w:sz w:val="20"/>
          <w:szCs w:val="20"/>
          <w:shd w:val="clear" w:color="auto" w:fill="FFFFFF"/>
        </w:rPr>
        <w:t>BRASIL. ANEEL. (Ed.). </w:t>
      </w:r>
      <w:r w:rsidRPr="005C78F2">
        <w:rPr>
          <w:rStyle w:val="Forte"/>
          <w:rFonts w:ascii="Arial" w:hAnsi="Arial" w:cs="Arial"/>
          <w:color w:val="222222"/>
          <w:sz w:val="20"/>
          <w:szCs w:val="20"/>
          <w:shd w:val="clear" w:color="auto" w:fill="FFFFFF"/>
        </w:rPr>
        <w:t>Saiba mais sobre o setor elétrico brasileiro. </w:t>
      </w:r>
      <w:r w:rsidRPr="005C78F2">
        <w:rPr>
          <w:rFonts w:ascii="Arial" w:hAnsi="Arial" w:cs="Arial"/>
          <w:color w:val="222222"/>
          <w:sz w:val="20"/>
          <w:szCs w:val="20"/>
          <w:shd w:val="clear" w:color="auto" w:fill="FFFFFF"/>
        </w:rPr>
        <w:t>2018. Disponível em: &lt;http://www.aneel.gov.br/home?p_p_id=101&amp;p_p_lifecycle=0&amp;p_p_state=maximized&amp;p_p_mode=view&amp;_101_struts_action=%2Fasset_publisher%2Fview_content&amp;_101_returnToFullPageURL=%2F&amp;_101_assetEntryId=14476909&amp;_101_type=content&amp;_101_groupId=654800&amp;_101_urlTitle=faq&amp;inheritRedirect=true&gt;. Acesso em: 26 jun. 2018.</w:t>
      </w:r>
    </w:p>
    <w:p w:rsidR="004E6435" w:rsidRPr="005C78F2" w:rsidRDefault="004E6435" w:rsidP="006D2077">
      <w:pPr>
        <w:pStyle w:val="Referencias"/>
        <w:rPr>
          <w:rFonts w:ascii="Arial" w:hAnsi="Arial" w:cs="Arial"/>
          <w:color w:val="222222"/>
          <w:sz w:val="20"/>
          <w:szCs w:val="20"/>
          <w:shd w:val="clear" w:color="auto" w:fill="FFFFFF"/>
        </w:rPr>
      </w:pPr>
      <w:r w:rsidRPr="005C78F2">
        <w:rPr>
          <w:rStyle w:val="Forte"/>
          <w:rFonts w:ascii="Arial" w:hAnsi="Arial" w:cs="Arial"/>
          <w:sz w:val="20"/>
          <w:szCs w:val="20"/>
          <w:shd w:val="clear" w:color="auto" w:fill="FFFFFF"/>
        </w:rPr>
        <w:t> </w:t>
      </w:r>
      <w:r w:rsidRPr="005C78F2">
        <w:rPr>
          <w:rFonts w:ascii="Arial" w:hAnsi="Arial" w:cs="Arial"/>
          <w:color w:val="222222"/>
          <w:sz w:val="20"/>
          <w:szCs w:val="20"/>
          <w:shd w:val="clear" w:color="auto" w:fill="FFFFFF"/>
        </w:rPr>
        <w:t xml:space="preserve">CARVALHO, Ronaldo Adriano de; QUINTAIROS, Paulo César Ribeiro; KAMIMURA, </w:t>
      </w:r>
      <w:proofErr w:type="spellStart"/>
      <w:r w:rsidRPr="005C78F2">
        <w:rPr>
          <w:rFonts w:ascii="Arial" w:hAnsi="Arial" w:cs="Arial"/>
          <w:color w:val="222222"/>
          <w:sz w:val="20"/>
          <w:szCs w:val="20"/>
          <w:shd w:val="clear" w:color="auto" w:fill="FFFFFF"/>
        </w:rPr>
        <w:t>Quesia</w:t>
      </w:r>
      <w:proofErr w:type="spellEnd"/>
      <w:r w:rsidRPr="005C78F2">
        <w:rPr>
          <w:rFonts w:ascii="Arial" w:hAnsi="Arial" w:cs="Arial"/>
          <w:color w:val="222222"/>
          <w:sz w:val="20"/>
          <w:szCs w:val="20"/>
          <w:shd w:val="clear" w:color="auto" w:fill="FFFFFF"/>
        </w:rPr>
        <w:t xml:space="preserve"> Postigo. </w:t>
      </w:r>
      <w:r w:rsidRPr="005C78F2">
        <w:rPr>
          <w:rFonts w:ascii="Arial" w:hAnsi="Arial" w:cs="Arial"/>
          <w:b/>
          <w:color w:val="222222"/>
          <w:sz w:val="20"/>
          <w:szCs w:val="20"/>
          <w:shd w:val="clear" w:color="auto" w:fill="FFFFFF"/>
        </w:rPr>
        <w:t>O REFLEXO DA CARGA TRIBUTÁRIA PARA O DESENVOLVIMENTO DO PAÍS</w:t>
      </w:r>
      <w:r w:rsidRPr="005C78F2">
        <w:rPr>
          <w:rFonts w:ascii="Arial" w:hAnsi="Arial" w:cs="Arial"/>
          <w:color w:val="222222"/>
          <w:sz w:val="20"/>
          <w:szCs w:val="20"/>
          <w:shd w:val="clear" w:color="auto" w:fill="FFFFFF"/>
        </w:rPr>
        <w:t xml:space="preserve">. In: THE 4TH INTERNATIONAL CONGRESS ON UNIVERSITY-INDUSTRY COOPERATION, </w:t>
      </w:r>
      <w:proofErr w:type="gramStart"/>
      <w:r w:rsidRPr="005C78F2">
        <w:rPr>
          <w:rFonts w:ascii="Arial" w:hAnsi="Arial" w:cs="Arial"/>
          <w:color w:val="222222"/>
          <w:sz w:val="20"/>
          <w:szCs w:val="20"/>
          <w:shd w:val="clear" w:color="auto" w:fill="FFFFFF"/>
        </w:rPr>
        <w:t>4.,</w:t>
      </w:r>
      <w:proofErr w:type="gramEnd"/>
      <w:r w:rsidRPr="005C78F2">
        <w:rPr>
          <w:rFonts w:ascii="Arial" w:hAnsi="Arial" w:cs="Arial"/>
          <w:color w:val="222222"/>
          <w:sz w:val="20"/>
          <w:szCs w:val="20"/>
          <w:shd w:val="clear" w:color="auto" w:fill="FFFFFF"/>
        </w:rPr>
        <w:t xml:space="preserve"> 212, </w:t>
      </w:r>
      <w:proofErr w:type="spellStart"/>
      <w:r w:rsidRPr="005C78F2">
        <w:rPr>
          <w:rFonts w:ascii="Arial" w:hAnsi="Arial" w:cs="Arial"/>
          <w:color w:val="222222"/>
          <w:sz w:val="20"/>
          <w:szCs w:val="20"/>
          <w:shd w:val="clear" w:color="auto" w:fill="FFFFFF"/>
        </w:rPr>
        <w:t>Taubate</w:t>
      </w:r>
      <w:proofErr w:type="spellEnd"/>
      <w:r w:rsidRPr="005C78F2">
        <w:rPr>
          <w:rFonts w:ascii="Arial" w:hAnsi="Arial" w:cs="Arial"/>
          <w:b/>
          <w:color w:val="222222"/>
          <w:sz w:val="20"/>
          <w:szCs w:val="20"/>
          <w:shd w:val="clear" w:color="auto" w:fill="FFFFFF"/>
        </w:rPr>
        <w:t>. </w:t>
      </w:r>
      <w:r w:rsidRPr="005C78F2">
        <w:rPr>
          <w:rStyle w:val="Forte"/>
          <w:rFonts w:ascii="Arial" w:hAnsi="Arial" w:cs="Arial"/>
          <w:b w:val="0"/>
          <w:color w:val="222222"/>
          <w:sz w:val="20"/>
          <w:szCs w:val="20"/>
          <w:shd w:val="clear" w:color="auto" w:fill="FFFFFF"/>
        </w:rPr>
        <w:t xml:space="preserve">H </w:t>
      </w:r>
      <w:proofErr w:type="spellStart"/>
      <w:r w:rsidRPr="005C78F2">
        <w:rPr>
          <w:rStyle w:val="Forte"/>
          <w:rFonts w:ascii="Arial" w:hAnsi="Arial" w:cs="Arial"/>
          <w:b w:val="0"/>
          <w:color w:val="222222"/>
          <w:sz w:val="20"/>
          <w:szCs w:val="20"/>
          <w:shd w:val="clear" w:color="auto" w:fill="FFFFFF"/>
        </w:rPr>
        <w:t>International</w:t>
      </w:r>
      <w:proofErr w:type="spellEnd"/>
      <w:r w:rsidRPr="005C78F2">
        <w:rPr>
          <w:rStyle w:val="Forte"/>
          <w:rFonts w:ascii="Arial" w:hAnsi="Arial" w:cs="Arial"/>
          <w:b w:val="0"/>
          <w:color w:val="222222"/>
          <w:sz w:val="20"/>
          <w:szCs w:val="20"/>
          <w:shd w:val="clear" w:color="auto" w:fill="FFFFFF"/>
        </w:rPr>
        <w:t xml:space="preserve"> </w:t>
      </w:r>
      <w:proofErr w:type="spellStart"/>
      <w:r w:rsidRPr="005C78F2">
        <w:rPr>
          <w:rStyle w:val="Forte"/>
          <w:rFonts w:ascii="Arial" w:hAnsi="Arial" w:cs="Arial"/>
          <w:b w:val="0"/>
          <w:color w:val="222222"/>
          <w:sz w:val="20"/>
          <w:szCs w:val="20"/>
          <w:shd w:val="clear" w:color="auto" w:fill="FFFFFF"/>
        </w:rPr>
        <w:t>Congress</w:t>
      </w:r>
      <w:proofErr w:type="spellEnd"/>
      <w:r w:rsidRPr="005C78F2">
        <w:rPr>
          <w:rStyle w:val="Forte"/>
          <w:rFonts w:ascii="Arial" w:hAnsi="Arial" w:cs="Arial"/>
          <w:b w:val="0"/>
          <w:color w:val="222222"/>
          <w:sz w:val="20"/>
          <w:szCs w:val="20"/>
          <w:shd w:val="clear" w:color="auto" w:fill="FFFFFF"/>
        </w:rPr>
        <w:t xml:space="preserve"> </w:t>
      </w:r>
      <w:proofErr w:type="spellStart"/>
      <w:r w:rsidRPr="005C78F2">
        <w:rPr>
          <w:rStyle w:val="Forte"/>
          <w:rFonts w:ascii="Arial" w:hAnsi="Arial" w:cs="Arial"/>
          <w:b w:val="0"/>
          <w:color w:val="222222"/>
          <w:sz w:val="20"/>
          <w:szCs w:val="20"/>
          <w:shd w:val="clear" w:color="auto" w:fill="FFFFFF"/>
        </w:rPr>
        <w:t>on</w:t>
      </w:r>
      <w:proofErr w:type="spellEnd"/>
      <w:r w:rsidRPr="005C78F2">
        <w:rPr>
          <w:rStyle w:val="Forte"/>
          <w:rFonts w:ascii="Arial" w:hAnsi="Arial" w:cs="Arial"/>
          <w:b w:val="0"/>
          <w:color w:val="222222"/>
          <w:sz w:val="20"/>
          <w:szCs w:val="20"/>
          <w:shd w:val="clear" w:color="auto" w:fill="FFFFFF"/>
        </w:rPr>
        <w:t xml:space="preserve"> </w:t>
      </w:r>
      <w:proofErr w:type="spellStart"/>
      <w:r w:rsidRPr="005C78F2">
        <w:rPr>
          <w:rStyle w:val="Forte"/>
          <w:rFonts w:ascii="Arial" w:hAnsi="Arial" w:cs="Arial"/>
          <w:b w:val="0"/>
          <w:color w:val="222222"/>
          <w:sz w:val="20"/>
          <w:szCs w:val="20"/>
          <w:shd w:val="clear" w:color="auto" w:fill="FFFFFF"/>
        </w:rPr>
        <w:t>University-Industry</w:t>
      </w:r>
      <w:proofErr w:type="spellEnd"/>
      <w:r w:rsidRPr="005C78F2">
        <w:rPr>
          <w:rStyle w:val="Forte"/>
          <w:rFonts w:ascii="Arial" w:hAnsi="Arial" w:cs="Arial"/>
          <w:b w:val="0"/>
          <w:color w:val="222222"/>
          <w:sz w:val="20"/>
          <w:szCs w:val="20"/>
          <w:shd w:val="clear" w:color="auto" w:fill="FFFFFF"/>
        </w:rPr>
        <w:t xml:space="preserve"> </w:t>
      </w:r>
      <w:proofErr w:type="spellStart"/>
      <w:r w:rsidRPr="005C78F2">
        <w:rPr>
          <w:rStyle w:val="Forte"/>
          <w:rFonts w:ascii="Arial" w:hAnsi="Arial" w:cs="Arial"/>
          <w:b w:val="0"/>
          <w:color w:val="222222"/>
          <w:sz w:val="20"/>
          <w:szCs w:val="20"/>
          <w:shd w:val="clear" w:color="auto" w:fill="FFFFFF"/>
        </w:rPr>
        <w:t>Cooperation</w:t>
      </w:r>
      <w:proofErr w:type="spellEnd"/>
      <w:r w:rsidRPr="005C78F2">
        <w:rPr>
          <w:rStyle w:val="Forte"/>
          <w:rFonts w:ascii="Arial" w:hAnsi="Arial" w:cs="Arial"/>
          <w:b w:val="0"/>
          <w:color w:val="222222"/>
          <w:sz w:val="20"/>
          <w:szCs w:val="20"/>
          <w:shd w:val="clear" w:color="auto" w:fill="FFFFFF"/>
        </w:rPr>
        <w:t>. </w:t>
      </w:r>
      <w:r w:rsidRPr="005C78F2">
        <w:rPr>
          <w:rFonts w:ascii="Arial" w:hAnsi="Arial" w:cs="Arial"/>
          <w:color w:val="222222"/>
          <w:sz w:val="20"/>
          <w:szCs w:val="20"/>
          <w:shd w:val="clear" w:color="auto" w:fill="FFFFFF"/>
        </w:rPr>
        <w:t xml:space="preserve">São Paulo: H </w:t>
      </w:r>
      <w:proofErr w:type="spellStart"/>
      <w:r w:rsidRPr="005C78F2">
        <w:rPr>
          <w:rFonts w:ascii="Arial" w:hAnsi="Arial" w:cs="Arial"/>
          <w:color w:val="222222"/>
          <w:sz w:val="20"/>
          <w:szCs w:val="20"/>
          <w:shd w:val="clear" w:color="auto" w:fill="FFFFFF"/>
        </w:rPr>
        <w:t>International</w:t>
      </w:r>
      <w:proofErr w:type="spellEnd"/>
      <w:r w:rsidRPr="005C78F2">
        <w:rPr>
          <w:rFonts w:ascii="Arial" w:hAnsi="Arial" w:cs="Arial"/>
          <w:color w:val="222222"/>
          <w:sz w:val="20"/>
          <w:szCs w:val="20"/>
          <w:shd w:val="clear" w:color="auto" w:fill="FFFFFF"/>
        </w:rPr>
        <w:t xml:space="preserve"> </w:t>
      </w:r>
      <w:proofErr w:type="spellStart"/>
      <w:r w:rsidRPr="005C78F2">
        <w:rPr>
          <w:rFonts w:ascii="Arial" w:hAnsi="Arial" w:cs="Arial"/>
          <w:color w:val="222222"/>
          <w:sz w:val="20"/>
          <w:szCs w:val="20"/>
          <w:shd w:val="clear" w:color="auto" w:fill="FFFFFF"/>
        </w:rPr>
        <w:t>Congress</w:t>
      </w:r>
      <w:proofErr w:type="spellEnd"/>
      <w:r w:rsidRPr="005C78F2">
        <w:rPr>
          <w:rFonts w:ascii="Arial" w:hAnsi="Arial" w:cs="Arial"/>
          <w:color w:val="222222"/>
          <w:sz w:val="20"/>
          <w:szCs w:val="20"/>
          <w:shd w:val="clear" w:color="auto" w:fill="FFFFFF"/>
        </w:rPr>
        <w:t xml:space="preserve"> </w:t>
      </w:r>
      <w:proofErr w:type="spellStart"/>
      <w:r w:rsidRPr="005C78F2">
        <w:rPr>
          <w:rFonts w:ascii="Arial" w:hAnsi="Arial" w:cs="Arial"/>
          <w:color w:val="222222"/>
          <w:sz w:val="20"/>
          <w:szCs w:val="20"/>
          <w:shd w:val="clear" w:color="auto" w:fill="FFFFFF"/>
        </w:rPr>
        <w:t>On</w:t>
      </w:r>
      <w:proofErr w:type="spellEnd"/>
      <w:r w:rsidRPr="005C78F2">
        <w:rPr>
          <w:rFonts w:ascii="Arial" w:hAnsi="Arial" w:cs="Arial"/>
          <w:color w:val="222222"/>
          <w:sz w:val="20"/>
          <w:szCs w:val="20"/>
          <w:shd w:val="clear" w:color="auto" w:fill="FFFFFF"/>
        </w:rPr>
        <w:t xml:space="preserve"> </w:t>
      </w:r>
      <w:proofErr w:type="spellStart"/>
      <w:r w:rsidRPr="005C78F2">
        <w:rPr>
          <w:rFonts w:ascii="Arial" w:hAnsi="Arial" w:cs="Arial"/>
          <w:color w:val="222222"/>
          <w:sz w:val="20"/>
          <w:szCs w:val="20"/>
          <w:shd w:val="clear" w:color="auto" w:fill="FFFFFF"/>
        </w:rPr>
        <w:t>University-industry</w:t>
      </w:r>
      <w:proofErr w:type="spellEnd"/>
      <w:r w:rsidRPr="005C78F2">
        <w:rPr>
          <w:rFonts w:ascii="Arial" w:hAnsi="Arial" w:cs="Arial"/>
          <w:color w:val="222222"/>
          <w:sz w:val="20"/>
          <w:szCs w:val="20"/>
          <w:shd w:val="clear" w:color="auto" w:fill="FFFFFF"/>
        </w:rPr>
        <w:t xml:space="preserve"> </w:t>
      </w:r>
      <w:proofErr w:type="spellStart"/>
      <w:r w:rsidRPr="005C78F2">
        <w:rPr>
          <w:rFonts w:ascii="Arial" w:hAnsi="Arial" w:cs="Arial"/>
          <w:color w:val="222222"/>
          <w:sz w:val="20"/>
          <w:szCs w:val="20"/>
          <w:shd w:val="clear" w:color="auto" w:fill="FFFFFF"/>
        </w:rPr>
        <w:t>Cooperation</w:t>
      </w:r>
      <w:proofErr w:type="spellEnd"/>
      <w:r w:rsidRPr="005C78F2">
        <w:rPr>
          <w:rFonts w:ascii="Arial" w:hAnsi="Arial" w:cs="Arial"/>
          <w:color w:val="222222"/>
          <w:sz w:val="20"/>
          <w:szCs w:val="20"/>
          <w:shd w:val="clear" w:color="auto" w:fill="FFFFFF"/>
        </w:rPr>
        <w:t>, 2012. v. 1, p. 1 - 11. Disponível em: &lt;http://www.unitau.br/unindu/artigos/pdf484.pdf&gt;. Acesso em: 26 jun. 201</w:t>
      </w:r>
      <w:r w:rsidR="00B17F29" w:rsidRPr="005C78F2">
        <w:rPr>
          <w:rFonts w:ascii="Arial" w:hAnsi="Arial" w:cs="Arial"/>
          <w:color w:val="222222"/>
          <w:sz w:val="20"/>
          <w:szCs w:val="20"/>
          <w:shd w:val="clear" w:color="auto" w:fill="FFFFFF"/>
        </w:rPr>
        <w:t>8</w:t>
      </w:r>
    </w:p>
    <w:p w:rsidR="00A31507" w:rsidRDefault="00A31507" w:rsidP="001F229E">
      <w:bookmarkStart w:id="7" w:name="_GoBack"/>
      <w:bookmarkEnd w:id="7"/>
    </w:p>
    <w:sectPr w:rsidR="00A31507" w:rsidSect="00DF3A9B">
      <w:headerReference w:type="default" r:id="rId10"/>
      <w:footerReference w:type="default" r:id="rId11"/>
      <w:pgSz w:w="12240" w:h="15840"/>
      <w:pgMar w:top="1701" w:right="1134" w:bottom="1701" w:left="1701" w:header="142"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2AD" w:rsidRDefault="002A62AD">
      <w:r>
        <w:separator/>
      </w:r>
    </w:p>
  </w:endnote>
  <w:endnote w:type="continuationSeparator" w:id="0">
    <w:p w:rsidR="002A62AD" w:rsidRDefault="002A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3D7" w:rsidRDefault="00642C79" w:rsidP="00AC53D7">
    <w:pPr>
      <w:pStyle w:val="Rodap"/>
      <w:jc w:val="center"/>
    </w:pPr>
    <w:r w:rsidRPr="00F10D4C">
      <w:rPr>
        <w:noProof/>
        <w:snapToGrid/>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r w:rsidR="00AC53D7">
      <w:fldChar w:fldCharType="begin"/>
    </w:r>
    <w:r w:rsidR="00AC53D7">
      <w:instrText>PAGE   \* MERGEFORMAT</w:instrText>
    </w:r>
    <w:r w:rsidR="00AC53D7">
      <w:fldChar w:fldCharType="separate"/>
    </w:r>
    <w:r w:rsidR="00083846">
      <w:rPr>
        <w:noProof/>
      </w:rPr>
      <w:t>15</w:t>
    </w:r>
    <w:r w:rsidR="00AC53D7">
      <w:fldChar w:fldCharType="end"/>
    </w:r>
  </w:p>
  <w:p w:rsidR="001F229E" w:rsidRDefault="001F229E" w:rsidP="001F229E">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2AD" w:rsidRDefault="002A62AD">
      <w:r>
        <w:separator/>
      </w:r>
    </w:p>
  </w:footnote>
  <w:footnote w:type="continuationSeparator" w:id="0">
    <w:p w:rsidR="002A62AD" w:rsidRDefault="002A6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DA7" w:rsidRDefault="00642C79" w:rsidP="001F229E">
    <w:pPr>
      <w:pStyle w:val="Cabealho"/>
      <w:jc w:val="center"/>
    </w:pPr>
    <w:r w:rsidRPr="00F41D9F">
      <w:rPr>
        <w:noProof/>
      </w:rPr>
      <w:drawing>
        <wp:inline distT="0" distB="0" distL="0" distR="0">
          <wp:extent cx="5067300" cy="1181100"/>
          <wp:effectExtent l="0" t="0" r="0" b="0"/>
          <wp:docPr id="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
                    <a:extLst>
                      <a:ext uri="{28A0092B-C50C-407E-A947-70E740481C1C}">
                        <a14:useLocalDpi xmlns:a14="http://schemas.microsoft.com/office/drawing/2010/main" val="0"/>
                      </a:ext>
                    </a:extLst>
                  </a:blip>
                  <a:srcRect l="20996" t="14439" r="21957" b="50926"/>
                  <a:stretch>
                    <a:fillRect/>
                  </a:stretch>
                </pic:blipFill>
                <pic:spPr bwMode="auto">
                  <a:xfrm>
                    <a:off x="0" y="0"/>
                    <a:ext cx="5067300" cy="11811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126A5"/>
    <w:multiLevelType w:val="multilevel"/>
    <w:tmpl w:val="10447FB4"/>
    <w:lvl w:ilvl="0">
      <w:start w:val="1"/>
      <w:numFmt w:val="decimal"/>
      <w:pStyle w:val="Ttulo1"/>
      <w:lvlText w:val="%1"/>
      <w:lvlJc w:val="left"/>
      <w:pPr>
        <w:ind w:left="432" w:hanging="432"/>
      </w:pPr>
      <w:rPr>
        <w:lang w:val="pt-BR"/>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C05707"/>
    <w:multiLevelType w:val="multilevel"/>
    <w:tmpl w:val="CB203E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E5"/>
    <w:rsid w:val="00000090"/>
    <w:rsid w:val="00020884"/>
    <w:rsid w:val="00037BC1"/>
    <w:rsid w:val="000460B9"/>
    <w:rsid w:val="00054F19"/>
    <w:rsid w:val="00073263"/>
    <w:rsid w:val="00083846"/>
    <w:rsid w:val="00092D4A"/>
    <w:rsid w:val="000A53CF"/>
    <w:rsid w:val="000B4B41"/>
    <w:rsid w:val="000B73CD"/>
    <w:rsid w:val="000C5148"/>
    <w:rsid w:val="000D5511"/>
    <w:rsid w:val="000F192A"/>
    <w:rsid w:val="00105BFC"/>
    <w:rsid w:val="0011233F"/>
    <w:rsid w:val="00124BE5"/>
    <w:rsid w:val="00125402"/>
    <w:rsid w:val="00125800"/>
    <w:rsid w:val="0014217F"/>
    <w:rsid w:val="00144ECD"/>
    <w:rsid w:val="00162385"/>
    <w:rsid w:val="00171F47"/>
    <w:rsid w:val="00172879"/>
    <w:rsid w:val="001868F4"/>
    <w:rsid w:val="001B1B59"/>
    <w:rsid w:val="001C60DF"/>
    <w:rsid w:val="001D2667"/>
    <w:rsid w:val="001D6C78"/>
    <w:rsid w:val="001D75D8"/>
    <w:rsid w:val="001F229E"/>
    <w:rsid w:val="00206246"/>
    <w:rsid w:val="00233D4D"/>
    <w:rsid w:val="002372BD"/>
    <w:rsid w:val="00252010"/>
    <w:rsid w:val="00255752"/>
    <w:rsid w:val="00256D3A"/>
    <w:rsid w:val="00257251"/>
    <w:rsid w:val="00257774"/>
    <w:rsid w:val="00297FE0"/>
    <w:rsid w:val="002A4848"/>
    <w:rsid w:val="002A62AD"/>
    <w:rsid w:val="002C370C"/>
    <w:rsid w:val="002C57E5"/>
    <w:rsid w:val="002D7D6C"/>
    <w:rsid w:val="00304652"/>
    <w:rsid w:val="003069E4"/>
    <w:rsid w:val="00332D17"/>
    <w:rsid w:val="003571AC"/>
    <w:rsid w:val="00357FC0"/>
    <w:rsid w:val="00376696"/>
    <w:rsid w:val="003804B9"/>
    <w:rsid w:val="003948A8"/>
    <w:rsid w:val="00396352"/>
    <w:rsid w:val="003A39A7"/>
    <w:rsid w:val="003A764B"/>
    <w:rsid w:val="003C0C5A"/>
    <w:rsid w:val="003D30E2"/>
    <w:rsid w:val="003D3353"/>
    <w:rsid w:val="003E359C"/>
    <w:rsid w:val="003E4F8B"/>
    <w:rsid w:val="003F7056"/>
    <w:rsid w:val="00402365"/>
    <w:rsid w:val="00412CB6"/>
    <w:rsid w:val="00414223"/>
    <w:rsid w:val="00425D2A"/>
    <w:rsid w:val="004607BA"/>
    <w:rsid w:val="00477382"/>
    <w:rsid w:val="0048725B"/>
    <w:rsid w:val="00497C73"/>
    <w:rsid w:val="004B2EA7"/>
    <w:rsid w:val="004B4D36"/>
    <w:rsid w:val="004B68C5"/>
    <w:rsid w:val="004E1C5D"/>
    <w:rsid w:val="004E3D97"/>
    <w:rsid w:val="004E6435"/>
    <w:rsid w:val="004F3F55"/>
    <w:rsid w:val="0052534A"/>
    <w:rsid w:val="00527909"/>
    <w:rsid w:val="0055377B"/>
    <w:rsid w:val="005556DA"/>
    <w:rsid w:val="00577A44"/>
    <w:rsid w:val="0059036D"/>
    <w:rsid w:val="00594A68"/>
    <w:rsid w:val="005B2CF8"/>
    <w:rsid w:val="005B69EB"/>
    <w:rsid w:val="005C26A8"/>
    <w:rsid w:val="005C78F2"/>
    <w:rsid w:val="005D258D"/>
    <w:rsid w:val="005E03B3"/>
    <w:rsid w:val="005E14D6"/>
    <w:rsid w:val="005E528F"/>
    <w:rsid w:val="005E5856"/>
    <w:rsid w:val="005F64F3"/>
    <w:rsid w:val="005F68E2"/>
    <w:rsid w:val="006252C6"/>
    <w:rsid w:val="00630B93"/>
    <w:rsid w:val="0064089F"/>
    <w:rsid w:val="00642C79"/>
    <w:rsid w:val="00643A2D"/>
    <w:rsid w:val="00644D52"/>
    <w:rsid w:val="00651312"/>
    <w:rsid w:val="006573A4"/>
    <w:rsid w:val="00663C6A"/>
    <w:rsid w:val="00671C3B"/>
    <w:rsid w:val="00671C72"/>
    <w:rsid w:val="00672A47"/>
    <w:rsid w:val="006850F1"/>
    <w:rsid w:val="006B7D66"/>
    <w:rsid w:val="006C07F7"/>
    <w:rsid w:val="006C52A9"/>
    <w:rsid w:val="006D2077"/>
    <w:rsid w:val="006F4804"/>
    <w:rsid w:val="006F71B3"/>
    <w:rsid w:val="007009D9"/>
    <w:rsid w:val="00742DFE"/>
    <w:rsid w:val="007778CE"/>
    <w:rsid w:val="007E4909"/>
    <w:rsid w:val="007F5C6B"/>
    <w:rsid w:val="008525D0"/>
    <w:rsid w:val="008613D3"/>
    <w:rsid w:val="00876A85"/>
    <w:rsid w:val="008828E1"/>
    <w:rsid w:val="008840A5"/>
    <w:rsid w:val="008856BC"/>
    <w:rsid w:val="008870FF"/>
    <w:rsid w:val="008A0004"/>
    <w:rsid w:val="008C12BA"/>
    <w:rsid w:val="008C2F13"/>
    <w:rsid w:val="008D1CC6"/>
    <w:rsid w:val="00910B0E"/>
    <w:rsid w:val="00911B49"/>
    <w:rsid w:val="00917858"/>
    <w:rsid w:val="00917DA7"/>
    <w:rsid w:val="009212DC"/>
    <w:rsid w:val="00925F7D"/>
    <w:rsid w:val="00960064"/>
    <w:rsid w:val="009859AD"/>
    <w:rsid w:val="00986767"/>
    <w:rsid w:val="009B7FC5"/>
    <w:rsid w:val="009C024A"/>
    <w:rsid w:val="009D3622"/>
    <w:rsid w:val="009D4AA8"/>
    <w:rsid w:val="009E539F"/>
    <w:rsid w:val="009F1BEF"/>
    <w:rsid w:val="00A06B6C"/>
    <w:rsid w:val="00A21153"/>
    <w:rsid w:val="00A26273"/>
    <w:rsid w:val="00A31507"/>
    <w:rsid w:val="00A4073F"/>
    <w:rsid w:val="00A43718"/>
    <w:rsid w:val="00A47D7F"/>
    <w:rsid w:val="00A56D6E"/>
    <w:rsid w:val="00A92E6B"/>
    <w:rsid w:val="00A96D1D"/>
    <w:rsid w:val="00AA732A"/>
    <w:rsid w:val="00AB1FF9"/>
    <w:rsid w:val="00AB490B"/>
    <w:rsid w:val="00AC53D7"/>
    <w:rsid w:val="00AD77E6"/>
    <w:rsid w:val="00AF2FAA"/>
    <w:rsid w:val="00B17F29"/>
    <w:rsid w:val="00B252C8"/>
    <w:rsid w:val="00B86F25"/>
    <w:rsid w:val="00B95378"/>
    <w:rsid w:val="00BA0F17"/>
    <w:rsid w:val="00BA47AA"/>
    <w:rsid w:val="00BB7DFF"/>
    <w:rsid w:val="00BD5980"/>
    <w:rsid w:val="00BF2802"/>
    <w:rsid w:val="00BF6AF7"/>
    <w:rsid w:val="00BF7E49"/>
    <w:rsid w:val="00C16E87"/>
    <w:rsid w:val="00C22240"/>
    <w:rsid w:val="00C261F3"/>
    <w:rsid w:val="00C66616"/>
    <w:rsid w:val="00C722A3"/>
    <w:rsid w:val="00C82114"/>
    <w:rsid w:val="00C948A6"/>
    <w:rsid w:val="00CC4C02"/>
    <w:rsid w:val="00CE34EF"/>
    <w:rsid w:val="00CF6B8F"/>
    <w:rsid w:val="00D0560C"/>
    <w:rsid w:val="00D073C0"/>
    <w:rsid w:val="00D11029"/>
    <w:rsid w:val="00D123E0"/>
    <w:rsid w:val="00D50B76"/>
    <w:rsid w:val="00D87A93"/>
    <w:rsid w:val="00D96AF8"/>
    <w:rsid w:val="00DA1DAA"/>
    <w:rsid w:val="00DA4D04"/>
    <w:rsid w:val="00DD112B"/>
    <w:rsid w:val="00DD79CF"/>
    <w:rsid w:val="00DE2E84"/>
    <w:rsid w:val="00DF3A9B"/>
    <w:rsid w:val="00E049FC"/>
    <w:rsid w:val="00E071AA"/>
    <w:rsid w:val="00E13260"/>
    <w:rsid w:val="00E2380D"/>
    <w:rsid w:val="00E27C4C"/>
    <w:rsid w:val="00E4050B"/>
    <w:rsid w:val="00E43AF6"/>
    <w:rsid w:val="00E70B6F"/>
    <w:rsid w:val="00E741D9"/>
    <w:rsid w:val="00E758DE"/>
    <w:rsid w:val="00E90850"/>
    <w:rsid w:val="00E94407"/>
    <w:rsid w:val="00EE1571"/>
    <w:rsid w:val="00EF06E5"/>
    <w:rsid w:val="00EF1F7F"/>
    <w:rsid w:val="00F027E5"/>
    <w:rsid w:val="00F027EE"/>
    <w:rsid w:val="00F10D4C"/>
    <w:rsid w:val="00F26934"/>
    <w:rsid w:val="00F474E5"/>
    <w:rsid w:val="00F6386E"/>
    <w:rsid w:val="00F82687"/>
    <w:rsid w:val="00FA342F"/>
    <w:rsid w:val="00FA6C81"/>
    <w:rsid w:val="00FA6F89"/>
    <w:rsid w:val="00FC4E60"/>
    <w:rsid w:val="00FD1292"/>
    <w:rsid w:val="00FD2B10"/>
    <w:rsid w:val="00FD5A34"/>
    <w:rsid w:val="00FE2EA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012086B-FC12-4551-906C-91E909AC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12B"/>
    <w:rPr>
      <w:rFonts w:ascii="Arial" w:hAnsi="Arial"/>
      <w:snapToGrid w:val="0"/>
      <w:sz w:val="24"/>
      <w:szCs w:val="24"/>
    </w:rPr>
  </w:style>
  <w:style w:type="paragraph" w:styleId="Ttulo1">
    <w:name w:val="heading 1"/>
    <w:basedOn w:val="Normal"/>
    <w:next w:val="Normal"/>
    <w:link w:val="Ttulo1Char"/>
    <w:uiPriority w:val="9"/>
    <w:qFormat/>
    <w:rsid w:val="00671C3B"/>
    <w:pPr>
      <w:keepNext/>
      <w:keepLines/>
      <w:numPr>
        <w:numId w:val="1"/>
      </w:numPr>
      <w:tabs>
        <w:tab w:val="left" w:pos="227"/>
      </w:tabs>
      <w:spacing w:before="240" w:after="240"/>
      <w:ind w:left="0" w:firstLine="0"/>
      <w:outlineLvl w:val="0"/>
    </w:pPr>
    <w:rPr>
      <w:b/>
      <w:bCs/>
      <w:caps/>
      <w:snapToGrid/>
      <w:szCs w:val="28"/>
    </w:rPr>
  </w:style>
  <w:style w:type="paragraph" w:styleId="Ttulo2">
    <w:name w:val="heading 2"/>
    <w:basedOn w:val="Normal"/>
    <w:next w:val="Normal"/>
    <w:link w:val="Ttulo2Char"/>
    <w:uiPriority w:val="9"/>
    <w:unhideWhenUsed/>
    <w:qFormat/>
    <w:rsid w:val="00671C3B"/>
    <w:pPr>
      <w:keepNext/>
      <w:numPr>
        <w:ilvl w:val="1"/>
        <w:numId w:val="1"/>
      </w:numPr>
      <w:tabs>
        <w:tab w:val="left" w:pos="454"/>
      </w:tabs>
      <w:spacing w:before="240" w:after="240"/>
      <w:outlineLvl w:val="1"/>
    </w:pPr>
    <w:rPr>
      <w:bCs/>
      <w:iCs/>
      <w:caps/>
      <w:snapToGrid/>
      <w:szCs w:val="28"/>
      <w:lang w:eastAsia="en-US"/>
    </w:rPr>
  </w:style>
  <w:style w:type="paragraph" w:styleId="Ttulo3">
    <w:name w:val="heading 3"/>
    <w:basedOn w:val="Normal"/>
    <w:next w:val="Normal"/>
    <w:link w:val="Ttulo3Char"/>
    <w:uiPriority w:val="9"/>
    <w:unhideWhenUsed/>
    <w:qFormat/>
    <w:rsid w:val="00671C3B"/>
    <w:pPr>
      <w:keepNext/>
      <w:numPr>
        <w:ilvl w:val="2"/>
        <w:numId w:val="1"/>
      </w:numPr>
      <w:spacing w:before="240" w:after="240"/>
      <w:ind w:left="0" w:firstLine="0"/>
      <w:outlineLvl w:val="2"/>
    </w:pPr>
    <w:rPr>
      <w:b/>
      <w:bCs/>
      <w:snapToGrid/>
      <w:szCs w:val="26"/>
      <w:lang w:eastAsia="en-US"/>
    </w:rPr>
  </w:style>
  <w:style w:type="paragraph" w:styleId="Ttulo4">
    <w:name w:val="heading 4"/>
    <w:basedOn w:val="Normal"/>
    <w:next w:val="Normal"/>
    <w:link w:val="Ttulo4Char"/>
    <w:uiPriority w:val="9"/>
    <w:semiHidden/>
    <w:unhideWhenUsed/>
    <w:qFormat/>
    <w:rsid w:val="00671C3B"/>
    <w:pPr>
      <w:keepNext/>
      <w:numPr>
        <w:ilvl w:val="3"/>
        <w:numId w:val="1"/>
      </w:numPr>
      <w:spacing w:before="240" w:after="60" w:line="360" w:lineRule="auto"/>
      <w:outlineLvl w:val="3"/>
    </w:pPr>
    <w:rPr>
      <w:rFonts w:ascii="Calibri" w:hAnsi="Calibri"/>
      <w:b/>
      <w:bCs/>
      <w:snapToGrid/>
      <w:sz w:val="28"/>
      <w:szCs w:val="28"/>
      <w:lang w:eastAsia="en-US"/>
    </w:rPr>
  </w:style>
  <w:style w:type="paragraph" w:styleId="Ttulo5">
    <w:name w:val="heading 5"/>
    <w:basedOn w:val="Normal"/>
    <w:next w:val="Normal"/>
    <w:link w:val="Ttulo5Char"/>
    <w:uiPriority w:val="9"/>
    <w:semiHidden/>
    <w:unhideWhenUsed/>
    <w:qFormat/>
    <w:rsid w:val="00671C3B"/>
    <w:pPr>
      <w:numPr>
        <w:ilvl w:val="4"/>
        <w:numId w:val="1"/>
      </w:numPr>
      <w:spacing w:before="240" w:after="60" w:line="360" w:lineRule="auto"/>
      <w:outlineLvl w:val="4"/>
    </w:pPr>
    <w:rPr>
      <w:rFonts w:ascii="Calibri" w:hAnsi="Calibri"/>
      <w:b/>
      <w:bCs/>
      <w:i/>
      <w:iCs/>
      <w:snapToGrid/>
      <w:sz w:val="26"/>
      <w:szCs w:val="26"/>
      <w:lang w:eastAsia="en-US"/>
    </w:rPr>
  </w:style>
  <w:style w:type="paragraph" w:styleId="Ttulo6">
    <w:name w:val="heading 6"/>
    <w:basedOn w:val="Normal"/>
    <w:next w:val="Normal"/>
    <w:link w:val="Ttulo6Char"/>
    <w:uiPriority w:val="9"/>
    <w:semiHidden/>
    <w:unhideWhenUsed/>
    <w:qFormat/>
    <w:rsid w:val="00671C3B"/>
    <w:pPr>
      <w:numPr>
        <w:ilvl w:val="5"/>
        <w:numId w:val="1"/>
      </w:numPr>
      <w:spacing w:before="240" w:after="60" w:line="360" w:lineRule="auto"/>
      <w:outlineLvl w:val="5"/>
    </w:pPr>
    <w:rPr>
      <w:rFonts w:ascii="Calibri" w:hAnsi="Calibri"/>
      <w:b/>
      <w:bCs/>
      <w:snapToGrid/>
      <w:sz w:val="22"/>
      <w:szCs w:val="22"/>
      <w:lang w:eastAsia="en-US"/>
    </w:rPr>
  </w:style>
  <w:style w:type="paragraph" w:styleId="Ttulo7">
    <w:name w:val="heading 7"/>
    <w:basedOn w:val="Normal"/>
    <w:next w:val="Normal"/>
    <w:link w:val="Ttulo7Char"/>
    <w:uiPriority w:val="9"/>
    <w:semiHidden/>
    <w:unhideWhenUsed/>
    <w:qFormat/>
    <w:rsid w:val="00671C3B"/>
    <w:pPr>
      <w:numPr>
        <w:ilvl w:val="6"/>
        <w:numId w:val="1"/>
      </w:numPr>
      <w:spacing w:before="240" w:after="60" w:line="360" w:lineRule="auto"/>
      <w:outlineLvl w:val="6"/>
    </w:pPr>
    <w:rPr>
      <w:rFonts w:ascii="Calibri" w:hAnsi="Calibri"/>
      <w:snapToGrid/>
      <w:lang w:eastAsia="en-US"/>
    </w:rPr>
  </w:style>
  <w:style w:type="paragraph" w:styleId="Ttulo8">
    <w:name w:val="heading 8"/>
    <w:basedOn w:val="Normal"/>
    <w:next w:val="Normal"/>
    <w:link w:val="Ttulo8Char"/>
    <w:uiPriority w:val="9"/>
    <w:semiHidden/>
    <w:unhideWhenUsed/>
    <w:qFormat/>
    <w:rsid w:val="00671C3B"/>
    <w:pPr>
      <w:numPr>
        <w:ilvl w:val="7"/>
        <w:numId w:val="1"/>
      </w:numPr>
      <w:spacing w:before="240" w:after="60" w:line="360" w:lineRule="auto"/>
      <w:outlineLvl w:val="7"/>
    </w:pPr>
    <w:rPr>
      <w:rFonts w:ascii="Calibri" w:hAnsi="Calibri"/>
      <w:i/>
      <w:iCs/>
      <w:snapToGrid/>
      <w:lang w:eastAsia="en-US"/>
    </w:rPr>
  </w:style>
  <w:style w:type="paragraph" w:styleId="Ttulo9">
    <w:name w:val="heading 9"/>
    <w:basedOn w:val="Normal"/>
    <w:next w:val="Normal"/>
    <w:link w:val="Ttulo9Char"/>
    <w:uiPriority w:val="9"/>
    <w:semiHidden/>
    <w:unhideWhenUsed/>
    <w:qFormat/>
    <w:rsid w:val="00671C3B"/>
    <w:pPr>
      <w:numPr>
        <w:ilvl w:val="8"/>
        <w:numId w:val="1"/>
      </w:numPr>
      <w:spacing w:before="240" w:after="60" w:line="360" w:lineRule="auto"/>
      <w:outlineLvl w:val="8"/>
    </w:pPr>
    <w:rPr>
      <w:rFonts w:ascii="Cambria" w:hAnsi="Cambria"/>
      <w:snapToGrid/>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D6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8840A5"/>
    <w:rPr>
      <w:color w:val="0000FF"/>
      <w:u w:val="single"/>
    </w:rPr>
  </w:style>
  <w:style w:type="paragraph" w:styleId="SemEspaamento">
    <w:name w:val="No Spacing"/>
    <w:uiPriority w:val="1"/>
    <w:qFormat/>
    <w:rsid w:val="008C12BA"/>
    <w:rPr>
      <w:rFonts w:eastAsia="Calibri"/>
      <w:sz w:val="24"/>
      <w:szCs w:val="24"/>
      <w:lang w:eastAsia="en-US"/>
    </w:rPr>
  </w:style>
  <w:style w:type="paragraph" w:customStyle="1" w:styleId="CitaoLonga">
    <w:name w:val="Citação Longa"/>
    <w:basedOn w:val="NormalWeb"/>
    <w:qFormat/>
    <w:rsid w:val="008C12BA"/>
    <w:pPr>
      <w:spacing w:after="120"/>
      <w:ind w:left="2268"/>
      <w:jc w:val="both"/>
    </w:pPr>
    <w:rPr>
      <w:rFonts w:ascii="Arial" w:hAnsi="Arial" w:cs="Arial"/>
      <w:snapToGrid/>
      <w:sz w:val="20"/>
      <w:shd w:val="clear" w:color="auto" w:fill="FFFFFF"/>
    </w:rPr>
  </w:style>
  <w:style w:type="paragraph" w:styleId="NormalWeb">
    <w:name w:val="Normal (Web)"/>
    <w:basedOn w:val="Normal"/>
    <w:uiPriority w:val="99"/>
    <w:unhideWhenUsed/>
    <w:rsid w:val="008C12BA"/>
    <w:rPr>
      <w:rFonts w:ascii="Times New Roman" w:hAnsi="Times New Roman"/>
    </w:rPr>
  </w:style>
  <w:style w:type="character" w:customStyle="1" w:styleId="Ttulo1Char">
    <w:name w:val="Título 1 Char"/>
    <w:link w:val="Ttulo1"/>
    <w:uiPriority w:val="9"/>
    <w:rsid w:val="00671C3B"/>
    <w:rPr>
      <w:rFonts w:ascii="Arial" w:hAnsi="Arial"/>
      <w:b/>
      <w:bCs/>
      <w:caps/>
      <w:sz w:val="24"/>
      <w:szCs w:val="28"/>
    </w:rPr>
  </w:style>
  <w:style w:type="character" w:customStyle="1" w:styleId="Ttulo2Char">
    <w:name w:val="Título 2 Char"/>
    <w:link w:val="Ttulo2"/>
    <w:uiPriority w:val="9"/>
    <w:rsid w:val="00671C3B"/>
    <w:rPr>
      <w:rFonts w:ascii="Arial" w:hAnsi="Arial"/>
      <w:bCs/>
      <w:iCs/>
      <w:caps/>
      <w:sz w:val="24"/>
      <w:szCs w:val="28"/>
      <w:lang w:eastAsia="en-US"/>
    </w:rPr>
  </w:style>
  <w:style w:type="character" w:customStyle="1" w:styleId="Ttulo3Char">
    <w:name w:val="Título 3 Char"/>
    <w:link w:val="Ttulo3"/>
    <w:uiPriority w:val="9"/>
    <w:rsid w:val="00671C3B"/>
    <w:rPr>
      <w:rFonts w:ascii="Arial" w:hAnsi="Arial"/>
      <w:b/>
      <w:bCs/>
      <w:sz w:val="24"/>
      <w:szCs w:val="26"/>
      <w:lang w:eastAsia="en-US"/>
    </w:rPr>
  </w:style>
  <w:style w:type="character" w:customStyle="1" w:styleId="Ttulo4Char">
    <w:name w:val="Título 4 Char"/>
    <w:link w:val="Ttulo4"/>
    <w:uiPriority w:val="9"/>
    <w:semiHidden/>
    <w:rsid w:val="00671C3B"/>
    <w:rPr>
      <w:rFonts w:ascii="Calibri" w:hAnsi="Calibri"/>
      <w:b/>
      <w:bCs/>
      <w:sz w:val="28"/>
      <w:szCs w:val="28"/>
      <w:lang w:eastAsia="en-US"/>
    </w:rPr>
  </w:style>
  <w:style w:type="character" w:customStyle="1" w:styleId="Ttulo5Char">
    <w:name w:val="Título 5 Char"/>
    <w:link w:val="Ttulo5"/>
    <w:uiPriority w:val="9"/>
    <w:semiHidden/>
    <w:rsid w:val="00671C3B"/>
    <w:rPr>
      <w:rFonts w:ascii="Calibri" w:hAnsi="Calibri"/>
      <w:b/>
      <w:bCs/>
      <w:i/>
      <w:iCs/>
      <w:sz w:val="26"/>
      <w:szCs w:val="26"/>
      <w:lang w:eastAsia="en-US"/>
    </w:rPr>
  </w:style>
  <w:style w:type="character" w:customStyle="1" w:styleId="Ttulo6Char">
    <w:name w:val="Título 6 Char"/>
    <w:link w:val="Ttulo6"/>
    <w:uiPriority w:val="9"/>
    <w:semiHidden/>
    <w:rsid w:val="00671C3B"/>
    <w:rPr>
      <w:rFonts w:ascii="Calibri" w:hAnsi="Calibri"/>
      <w:b/>
      <w:bCs/>
      <w:sz w:val="22"/>
      <w:szCs w:val="22"/>
      <w:lang w:eastAsia="en-US"/>
    </w:rPr>
  </w:style>
  <w:style w:type="character" w:customStyle="1" w:styleId="Ttulo7Char">
    <w:name w:val="Título 7 Char"/>
    <w:link w:val="Ttulo7"/>
    <w:uiPriority w:val="9"/>
    <w:semiHidden/>
    <w:rsid w:val="00671C3B"/>
    <w:rPr>
      <w:rFonts w:ascii="Calibri" w:hAnsi="Calibri"/>
      <w:sz w:val="24"/>
      <w:szCs w:val="24"/>
      <w:lang w:eastAsia="en-US"/>
    </w:rPr>
  </w:style>
  <w:style w:type="character" w:customStyle="1" w:styleId="Ttulo8Char">
    <w:name w:val="Título 8 Char"/>
    <w:link w:val="Ttulo8"/>
    <w:uiPriority w:val="9"/>
    <w:semiHidden/>
    <w:rsid w:val="00671C3B"/>
    <w:rPr>
      <w:rFonts w:ascii="Calibri" w:hAnsi="Calibri"/>
      <w:i/>
      <w:iCs/>
      <w:sz w:val="24"/>
      <w:szCs w:val="24"/>
      <w:lang w:eastAsia="en-US"/>
    </w:rPr>
  </w:style>
  <w:style w:type="character" w:customStyle="1" w:styleId="Ttulo9Char">
    <w:name w:val="Título 9 Char"/>
    <w:link w:val="Ttulo9"/>
    <w:uiPriority w:val="9"/>
    <w:semiHidden/>
    <w:rsid w:val="00671C3B"/>
    <w:rPr>
      <w:rFonts w:ascii="Cambria" w:hAnsi="Cambria"/>
      <w:sz w:val="22"/>
      <w:szCs w:val="22"/>
      <w:lang w:eastAsia="en-US"/>
    </w:rPr>
  </w:style>
  <w:style w:type="paragraph" w:styleId="Cabealho">
    <w:name w:val="header"/>
    <w:basedOn w:val="Normal"/>
    <w:link w:val="CabealhoChar"/>
    <w:uiPriority w:val="99"/>
    <w:unhideWhenUsed/>
    <w:rsid w:val="00671C3B"/>
    <w:pPr>
      <w:tabs>
        <w:tab w:val="center" w:pos="4252"/>
        <w:tab w:val="right" w:pos="8504"/>
      </w:tabs>
    </w:pPr>
    <w:rPr>
      <w:rFonts w:ascii="Times New Roman" w:eastAsia="Calibri" w:hAnsi="Times New Roman"/>
      <w:snapToGrid/>
    </w:rPr>
  </w:style>
  <w:style w:type="character" w:customStyle="1" w:styleId="CabealhoChar">
    <w:name w:val="Cabeçalho Char"/>
    <w:link w:val="Cabealho"/>
    <w:uiPriority w:val="99"/>
    <w:rsid w:val="00671C3B"/>
    <w:rPr>
      <w:rFonts w:eastAsia="Calibri"/>
      <w:sz w:val="24"/>
      <w:szCs w:val="24"/>
    </w:rPr>
  </w:style>
  <w:style w:type="paragraph" w:styleId="Ttulo">
    <w:name w:val="Title"/>
    <w:basedOn w:val="Normal"/>
    <w:next w:val="Normal"/>
    <w:link w:val="TtuloChar"/>
    <w:uiPriority w:val="10"/>
    <w:qFormat/>
    <w:rsid w:val="00671C3B"/>
    <w:pPr>
      <w:spacing w:after="800"/>
      <w:jc w:val="center"/>
      <w:outlineLvl w:val="0"/>
    </w:pPr>
    <w:rPr>
      <w:b/>
      <w:bCs/>
      <w:caps/>
      <w:snapToGrid/>
      <w:kern w:val="28"/>
      <w:szCs w:val="32"/>
      <w:lang w:eastAsia="en-US"/>
    </w:rPr>
  </w:style>
  <w:style w:type="character" w:customStyle="1" w:styleId="TtuloChar">
    <w:name w:val="Título Char"/>
    <w:link w:val="Ttulo"/>
    <w:uiPriority w:val="10"/>
    <w:rsid w:val="00671C3B"/>
    <w:rPr>
      <w:rFonts w:ascii="Arial" w:hAnsi="Arial"/>
      <w:b/>
      <w:bCs/>
      <w:caps/>
      <w:kern w:val="28"/>
      <w:sz w:val="24"/>
      <w:szCs w:val="32"/>
      <w:lang w:eastAsia="en-US"/>
    </w:rPr>
  </w:style>
  <w:style w:type="paragraph" w:customStyle="1" w:styleId="Referencias">
    <w:name w:val="Referencias"/>
    <w:basedOn w:val="SemEspaamento"/>
    <w:qFormat/>
    <w:rsid w:val="00A31507"/>
    <w:pPr>
      <w:spacing w:after="120"/>
      <w:jc w:val="both"/>
    </w:pPr>
    <w:rPr>
      <w:rFonts w:eastAsia="Times New Roman"/>
      <w:sz w:val="22"/>
      <w:szCs w:val="22"/>
      <w:lang w:eastAsia="pt-BR"/>
    </w:rPr>
  </w:style>
  <w:style w:type="paragraph" w:styleId="Rodap">
    <w:name w:val="footer"/>
    <w:basedOn w:val="Normal"/>
    <w:link w:val="RodapChar"/>
    <w:uiPriority w:val="99"/>
    <w:unhideWhenUsed/>
    <w:rsid w:val="00396352"/>
    <w:pPr>
      <w:tabs>
        <w:tab w:val="center" w:pos="4252"/>
        <w:tab w:val="right" w:pos="8504"/>
      </w:tabs>
    </w:pPr>
  </w:style>
  <w:style w:type="character" w:customStyle="1" w:styleId="RodapChar">
    <w:name w:val="Rodapé Char"/>
    <w:link w:val="Rodap"/>
    <w:uiPriority w:val="99"/>
    <w:rsid w:val="00396352"/>
    <w:rPr>
      <w:rFonts w:ascii="Arial" w:hAnsi="Arial"/>
      <w:snapToGrid w:val="0"/>
      <w:sz w:val="24"/>
      <w:szCs w:val="24"/>
    </w:rPr>
  </w:style>
  <w:style w:type="character" w:styleId="Forte">
    <w:name w:val="Strong"/>
    <w:uiPriority w:val="22"/>
    <w:qFormat/>
    <w:rsid w:val="004E6435"/>
    <w:rPr>
      <w:b/>
      <w:bCs/>
    </w:rPr>
  </w:style>
  <w:style w:type="character" w:styleId="Nmerodepgina">
    <w:name w:val="page number"/>
    <w:basedOn w:val="Fontepargpadro"/>
    <w:uiPriority w:val="99"/>
    <w:unhideWhenUsed/>
    <w:rsid w:val="00742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7798">
      <w:bodyDiv w:val="1"/>
      <w:marLeft w:val="0"/>
      <w:marRight w:val="0"/>
      <w:marTop w:val="0"/>
      <w:marBottom w:val="0"/>
      <w:divBdr>
        <w:top w:val="none" w:sz="0" w:space="0" w:color="auto"/>
        <w:left w:val="none" w:sz="0" w:space="0" w:color="auto"/>
        <w:bottom w:val="none" w:sz="0" w:space="0" w:color="auto"/>
        <w:right w:val="none" w:sz="0" w:space="0" w:color="auto"/>
      </w:divBdr>
    </w:div>
    <w:div w:id="233321436">
      <w:bodyDiv w:val="1"/>
      <w:marLeft w:val="0"/>
      <w:marRight w:val="0"/>
      <w:marTop w:val="0"/>
      <w:marBottom w:val="0"/>
      <w:divBdr>
        <w:top w:val="none" w:sz="0" w:space="0" w:color="auto"/>
        <w:left w:val="none" w:sz="0" w:space="0" w:color="auto"/>
        <w:bottom w:val="none" w:sz="0" w:space="0" w:color="auto"/>
        <w:right w:val="none" w:sz="0" w:space="0" w:color="auto"/>
      </w:divBdr>
    </w:div>
    <w:div w:id="290330684">
      <w:bodyDiv w:val="1"/>
      <w:marLeft w:val="0"/>
      <w:marRight w:val="0"/>
      <w:marTop w:val="0"/>
      <w:marBottom w:val="0"/>
      <w:divBdr>
        <w:top w:val="none" w:sz="0" w:space="0" w:color="auto"/>
        <w:left w:val="none" w:sz="0" w:space="0" w:color="auto"/>
        <w:bottom w:val="none" w:sz="0" w:space="0" w:color="auto"/>
        <w:right w:val="none" w:sz="0" w:space="0" w:color="auto"/>
      </w:divBdr>
      <w:divsChild>
        <w:div w:id="209000363">
          <w:marLeft w:val="0"/>
          <w:marRight w:val="0"/>
          <w:marTop w:val="0"/>
          <w:marBottom w:val="0"/>
          <w:divBdr>
            <w:top w:val="none" w:sz="0" w:space="0" w:color="auto"/>
            <w:left w:val="none" w:sz="0" w:space="0" w:color="auto"/>
            <w:bottom w:val="none" w:sz="0" w:space="0" w:color="auto"/>
            <w:right w:val="none" w:sz="0" w:space="0" w:color="auto"/>
          </w:divBdr>
          <w:divsChild>
            <w:div w:id="987199730">
              <w:marLeft w:val="0"/>
              <w:marRight w:val="0"/>
              <w:marTop w:val="0"/>
              <w:marBottom w:val="0"/>
              <w:divBdr>
                <w:top w:val="none" w:sz="0" w:space="0" w:color="auto"/>
                <w:left w:val="none" w:sz="0" w:space="0" w:color="auto"/>
                <w:bottom w:val="none" w:sz="0" w:space="0" w:color="auto"/>
                <w:right w:val="none" w:sz="0" w:space="0" w:color="auto"/>
              </w:divBdr>
            </w:div>
          </w:divsChild>
        </w:div>
        <w:div w:id="361248236">
          <w:marLeft w:val="0"/>
          <w:marRight w:val="0"/>
          <w:marTop w:val="0"/>
          <w:marBottom w:val="0"/>
          <w:divBdr>
            <w:top w:val="none" w:sz="0" w:space="0" w:color="auto"/>
            <w:left w:val="none" w:sz="0" w:space="0" w:color="auto"/>
            <w:bottom w:val="none" w:sz="0" w:space="0" w:color="auto"/>
            <w:right w:val="none" w:sz="0" w:space="0" w:color="auto"/>
          </w:divBdr>
          <w:divsChild>
            <w:div w:id="66000681">
              <w:marLeft w:val="0"/>
              <w:marRight w:val="0"/>
              <w:marTop w:val="0"/>
              <w:marBottom w:val="0"/>
              <w:divBdr>
                <w:top w:val="none" w:sz="0" w:space="0" w:color="auto"/>
                <w:left w:val="none" w:sz="0" w:space="0" w:color="auto"/>
                <w:bottom w:val="none" w:sz="0" w:space="0" w:color="auto"/>
                <w:right w:val="none" w:sz="0" w:space="0" w:color="auto"/>
              </w:divBdr>
              <w:divsChild>
                <w:div w:id="1197232450">
                  <w:marLeft w:val="0"/>
                  <w:marRight w:val="0"/>
                  <w:marTop w:val="0"/>
                  <w:marBottom w:val="0"/>
                  <w:divBdr>
                    <w:top w:val="none" w:sz="0" w:space="0" w:color="auto"/>
                    <w:left w:val="none" w:sz="0" w:space="0" w:color="auto"/>
                    <w:bottom w:val="none" w:sz="0" w:space="0" w:color="auto"/>
                    <w:right w:val="none" w:sz="0" w:space="0" w:color="auto"/>
                  </w:divBdr>
                  <w:divsChild>
                    <w:div w:id="120613173">
                      <w:marLeft w:val="0"/>
                      <w:marRight w:val="0"/>
                      <w:marTop w:val="0"/>
                      <w:marBottom w:val="0"/>
                      <w:divBdr>
                        <w:top w:val="none" w:sz="0" w:space="0" w:color="auto"/>
                        <w:left w:val="none" w:sz="0" w:space="0" w:color="auto"/>
                        <w:bottom w:val="none" w:sz="0" w:space="0" w:color="auto"/>
                        <w:right w:val="none" w:sz="0" w:space="0" w:color="auto"/>
                      </w:divBdr>
                      <w:divsChild>
                        <w:div w:id="1092162605">
                          <w:marLeft w:val="0"/>
                          <w:marRight w:val="0"/>
                          <w:marTop w:val="0"/>
                          <w:marBottom w:val="0"/>
                          <w:divBdr>
                            <w:top w:val="none" w:sz="0" w:space="0" w:color="auto"/>
                            <w:left w:val="none" w:sz="0" w:space="0" w:color="auto"/>
                            <w:bottom w:val="none" w:sz="0" w:space="0" w:color="auto"/>
                            <w:right w:val="none" w:sz="0" w:space="0" w:color="auto"/>
                          </w:divBdr>
                          <w:divsChild>
                            <w:div w:id="158885390">
                              <w:marLeft w:val="0"/>
                              <w:marRight w:val="0"/>
                              <w:marTop w:val="0"/>
                              <w:marBottom w:val="0"/>
                              <w:divBdr>
                                <w:top w:val="none" w:sz="0" w:space="0" w:color="auto"/>
                                <w:left w:val="none" w:sz="0" w:space="0" w:color="auto"/>
                                <w:bottom w:val="none" w:sz="0" w:space="0" w:color="auto"/>
                                <w:right w:val="none" w:sz="0" w:space="0" w:color="auto"/>
                              </w:divBdr>
                              <w:divsChild>
                                <w:div w:id="991518944">
                                  <w:marLeft w:val="0"/>
                                  <w:marRight w:val="0"/>
                                  <w:marTop w:val="0"/>
                                  <w:marBottom w:val="0"/>
                                  <w:divBdr>
                                    <w:top w:val="none" w:sz="0" w:space="0" w:color="auto"/>
                                    <w:left w:val="none" w:sz="0" w:space="0" w:color="auto"/>
                                    <w:bottom w:val="none" w:sz="0" w:space="0" w:color="auto"/>
                                    <w:right w:val="none" w:sz="0" w:space="0" w:color="auto"/>
                                  </w:divBdr>
                                  <w:divsChild>
                                    <w:div w:id="20294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482055">
          <w:marLeft w:val="0"/>
          <w:marRight w:val="0"/>
          <w:marTop w:val="0"/>
          <w:marBottom w:val="0"/>
          <w:divBdr>
            <w:top w:val="none" w:sz="0" w:space="0" w:color="auto"/>
            <w:left w:val="none" w:sz="0" w:space="0" w:color="auto"/>
            <w:bottom w:val="none" w:sz="0" w:space="0" w:color="auto"/>
            <w:right w:val="none" w:sz="0" w:space="0" w:color="auto"/>
          </w:divBdr>
          <w:divsChild>
            <w:div w:id="75905523">
              <w:marLeft w:val="0"/>
              <w:marRight w:val="0"/>
              <w:marTop w:val="0"/>
              <w:marBottom w:val="0"/>
              <w:divBdr>
                <w:top w:val="none" w:sz="0" w:space="0" w:color="auto"/>
                <w:left w:val="none" w:sz="0" w:space="0" w:color="auto"/>
                <w:bottom w:val="none" w:sz="0" w:space="0" w:color="auto"/>
                <w:right w:val="none" w:sz="0" w:space="0" w:color="auto"/>
              </w:divBdr>
            </w:div>
          </w:divsChild>
        </w:div>
        <w:div w:id="1401052517">
          <w:marLeft w:val="0"/>
          <w:marRight w:val="0"/>
          <w:marTop w:val="0"/>
          <w:marBottom w:val="0"/>
          <w:divBdr>
            <w:top w:val="none" w:sz="0" w:space="0" w:color="auto"/>
            <w:left w:val="none" w:sz="0" w:space="0" w:color="auto"/>
            <w:bottom w:val="none" w:sz="0" w:space="0" w:color="auto"/>
            <w:right w:val="none" w:sz="0" w:space="0" w:color="auto"/>
          </w:divBdr>
          <w:divsChild>
            <w:div w:id="1003632619">
              <w:marLeft w:val="0"/>
              <w:marRight w:val="0"/>
              <w:marTop w:val="0"/>
              <w:marBottom w:val="0"/>
              <w:divBdr>
                <w:top w:val="none" w:sz="0" w:space="0" w:color="auto"/>
                <w:left w:val="none" w:sz="0" w:space="0" w:color="auto"/>
                <w:bottom w:val="none" w:sz="0" w:space="0" w:color="auto"/>
                <w:right w:val="none" w:sz="0" w:space="0" w:color="auto"/>
              </w:divBdr>
              <w:divsChild>
                <w:div w:id="1274289429">
                  <w:marLeft w:val="0"/>
                  <w:marRight w:val="0"/>
                  <w:marTop w:val="0"/>
                  <w:marBottom w:val="0"/>
                  <w:divBdr>
                    <w:top w:val="none" w:sz="0" w:space="0" w:color="auto"/>
                    <w:left w:val="none" w:sz="0" w:space="0" w:color="auto"/>
                    <w:bottom w:val="none" w:sz="0" w:space="0" w:color="auto"/>
                    <w:right w:val="none" w:sz="0" w:space="0" w:color="auto"/>
                  </w:divBdr>
                  <w:divsChild>
                    <w:div w:id="411124275">
                      <w:marLeft w:val="0"/>
                      <w:marRight w:val="0"/>
                      <w:marTop w:val="0"/>
                      <w:marBottom w:val="0"/>
                      <w:divBdr>
                        <w:top w:val="none" w:sz="0" w:space="0" w:color="auto"/>
                        <w:left w:val="none" w:sz="0" w:space="0" w:color="auto"/>
                        <w:bottom w:val="none" w:sz="0" w:space="0" w:color="auto"/>
                        <w:right w:val="none" w:sz="0" w:space="0" w:color="auto"/>
                      </w:divBdr>
                      <w:divsChild>
                        <w:div w:id="10189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64143">
          <w:marLeft w:val="0"/>
          <w:marRight w:val="0"/>
          <w:marTop w:val="0"/>
          <w:marBottom w:val="0"/>
          <w:divBdr>
            <w:top w:val="none" w:sz="0" w:space="0" w:color="auto"/>
            <w:left w:val="none" w:sz="0" w:space="0" w:color="auto"/>
            <w:bottom w:val="none" w:sz="0" w:space="0" w:color="auto"/>
            <w:right w:val="none" w:sz="0" w:space="0" w:color="auto"/>
          </w:divBdr>
          <w:divsChild>
            <w:div w:id="803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9138">
      <w:bodyDiv w:val="1"/>
      <w:marLeft w:val="0"/>
      <w:marRight w:val="0"/>
      <w:marTop w:val="0"/>
      <w:marBottom w:val="0"/>
      <w:divBdr>
        <w:top w:val="none" w:sz="0" w:space="0" w:color="auto"/>
        <w:left w:val="none" w:sz="0" w:space="0" w:color="auto"/>
        <w:bottom w:val="none" w:sz="0" w:space="0" w:color="auto"/>
        <w:right w:val="none" w:sz="0" w:space="0" w:color="auto"/>
      </w:divBdr>
    </w:div>
    <w:div w:id="518008593">
      <w:bodyDiv w:val="1"/>
      <w:marLeft w:val="0"/>
      <w:marRight w:val="0"/>
      <w:marTop w:val="0"/>
      <w:marBottom w:val="0"/>
      <w:divBdr>
        <w:top w:val="none" w:sz="0" w:space="0" w:color="auto"/>
        <w:left w:val="none" w:sz="0" w:space="0" w:color="auto"/>
        <w:bottom w:val="none" w:sz="0" w:space="0" w:color="auto"/>
        <w:right w:val="none" w:sz="0" w:space="0" w:color="auto"/>
      </w:divBdr>
    </w:div>
    <w:div w:id="764376552">
      <w:bodyDiv w:val="1"/>
      <w:marLeft w:val="0"/>
      <w:marRight w:val="0"/>
      <w:marTop w:val="0"/>
      <w:marBottom w:val="0"/>
      <w:divBdr>
        <w:top w:val="none" w:sz="0" w:space="0" w:color="auto"/>
        <w:left w:val="none" w:sz="0" w:space="0" w:color="auto"/>
        <w:bottom w:val="none" w:sz="0" w:space="0" w:color="auto"/>
        <w:right w:val="none" w:sz="0" w:space="0" w:color="auto"/>
      </w:divBdr>
    </w:div>
    <w:div w:id="1144808325">
      <w:bodyDiv w:val="1"/>
      <w:marLeft w:val="0"/>
      <w:marRight w:val="0"/>
      <w:marTop w:val="0"/>
      <w:marBottom w:val="0"/>
      <w:divBdr>
        <w:top w:val="none" w:sz="0" w:space="0" w:color="auto"/>
        <w:left w:val="none" w:sz="0" w:space="0" w:color="auto"/>
        <w:bottom w:val="none" w:sz="0" w:space="0" w:color="auto"/>
        <w:right w:val="none" w:sz="0" w:space="0" w:color="auto"/>
      </w:divBdr>
    </w:div>
    <w:div w:id="1178036058">
      <w:bodyDiv w:val="1"/>
      <w:marLeft w:val="0"/>
      <w:marRight w:val="0"/>
      <w:marTop w:val="0"/>
      <w:marBottom w:val="0"/>
      <w:divBdr>
        <w:top w:val="none" w:sz="0" w:space="0" w:color="auto"/>
        <w:left w:val="none" w:sz="0" w:space="0" w:color="auto"/>
        <w:bottom w:val="none" w:sz="0" w:space="0" w:color="auto"/>
        <w:right w:val="none" w:sz="0" w:space="0" w:color="auto"/>
      </w:divBdr>
    </w:div>
    <w:div w:id="1466393410">
      <w:bodyDiv w:val="1"/>
      <w:marLeft w:val="0"/>
      <w:marRight w:val="0"/>
      <w:marTop w:val="0"/>
      <w:marBottom w:val="0"/>
      <w:divBdr>
        <w:top w:val="none" w:sz="0" w:space="0" w:color="auto"/>
        <w:left w:val="none" w:sz="0" w:space="0" w:color="auto"/>
        <w:bottom w:val="none" w:sz="0" w:space="0" w:color="auto"/>
        <w:right w:val="none" w:sz="0" w:space="0" w:color="auto"/>
      </w:divBdr>
    </w:div>
    <w:div w:id="1813475000">
      <w:bodyDiv w:val="1"/>
      <w:marLeft w:val="0"/>
      <w:marRight w:val="0"/>
      <w:marTop w:val="0"/>
      <w:marBottom w:val="0"/>
      <w:divBdr>
        <w:top w:val="none" w:sz="0" w:space="0" w:color="auto"/>
        <w:left w:val="none" w:sz="0" w:space="0" w:color="auto"/>
        <w:bottom w:val="none" w:sz="0" w:space="0" w:color="auto"/>
        <w:right w:val="none" w:sz="0" w:space="0" w:color="auto"/>
      </w:divBdr>
    </w:div>
    <w:div w:id="2081439648">
      <w:bodyDiv w:val="1"/>
      <w:marLeft w:val="0"/>
      <w:marRight w:val="0"/>
      <w:marTop w:val="0"/>
      <w:marBottom w:val="0"/>
      <w:divBdr>
        <w:top w:val="none" w:sz="0" w:space="0" w:color="auto"/>
        <w:left w:val="none" w:sz="0" w:space="0" w:color="auto"/>
        <w:bottom w:val="none" w:sz="0" w:space="0" w:color="auto"/>
        <w:right w:val="none" w:sz="0" w:space="0" w:color="auto"/>
      </w:divBdr>
    </w:div>
    <w:div w:id="2086612403">
      <w:bodyDiv w:val="1"/>
      <w:marLeft w:val="0"/>
      <w:marRight w:val="0"/>
      <w:marTop w:val="0"/>
      <w:marBottom w:val="0"/>
      <w:divBdr>
        <w:top w:val="none" w:sz="0" w:space="0" w:color="auto"/>
        <w:left w:val="none" w:sz="0" w:space="0" w:color="auto"/>
        <w:bottom w:val="none" w:sz="0" w:space="0" w:color="auto"/>
        <w:right w:val="none" w:sz="0" w:space="0" w:color="auto"/>
      </w:divBdr>
    </w:div>
    <w:div w:id="21156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E59ED-BC7F-4CD4-A447-61CA9004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5857</Words>
  <Characters>31630</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dc:creator>
  <cp:keywords/>
  <dc:description/>
  <cp:lastModifiedBy>pedro manna</cp:lastModifiedBy>
  <cp:revision>3</cp:revision>
  <cp:lastPrinted>2009-08-01T21:15:00Z</cp:lastPrinted>
  <dcterms:created xsi:type="dcterms:W3CDTF">2018-07-30T01:06:00Z</dcterms:created>
  <dcterms:modified xsi:type="dcterms:W3CDTF">2018-07-30T01:15:00Z</dcterms:modified>
</cp:coreProperties>
</file>