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theme/themeOverride2.xml" ContentType="application/vnd.openxmlformats-officedocument.themeOverride+xml"/>
  <Override PartName="/word/theme/themeOverride3.xml" ContentType="application/vnd.openxmlformats-officedocument.themeOverride+xml"/>
  <Override PartName="/word/diagrams/colors1.xml" ContentType="application/vnd.openxmlformats-officedocument.drawingml.diagramColors+xml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8AF" w:rsidRDefault="006118AF" w:rsidP="006118AF">
      <w:pPr>
        <w:jc w:val="center"/>
        <w:rPr>
          <w:rFonts w:cs="Times New Roman"/>
          <w:b/>
          <w:szCs w:val="24"/>
        </w:rPr>
      </w:pPr>
    </w:p>
    <w:p w:rsidR="00FC0994" w:rsidRPr="00804CC5" w:rsidRDefault="00FC0994" w:rsidP="00FC0994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Simples Nacional 2018: um</w:t>
      </w:r>
      <w:r w:rsidRPr="00804CC5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estudo</w:t>
      </w:r>
      <w:r w:rsidRPr="00804CC5">
        <w:rPr>
          <w:rFonts w:cs="Times New Roman"/>
          <w:b/>
          <w:szCs w:val="24"/>
        </w:rPr>
        <w:t xml:space="preserve"> C</w:t>
      </w:r>
      <w:r>
        <w:rPr>
          <w:rFonts w:cs="Times New Roman"/>
          <w:b/>
          <w:szCs w:val="24"/>
        </w:rPr>
        <w:t>omparativo sobre a (Des</w:t>
      </w:r>
      <w:r w:rsidRPr="00804CC5">
        <w:rPr>
          <w:rFonts w:cs="Times New Roman"/>
          <w:b/>
          <w:szCs w:val="24"/>
        </w:rPr>
        <w:t>) O</w:t>
      </w:r>
      <w:r>
        <w:rPr>
          <w:rFonts w:cs="Times New Roman"/>
          <w:b/>
          <w:szCs w:val="24"/>
        </w:rPr>
        <w:t xml:space="preserve">neração de </w:t>
      </w:r>
      <w:r w:rsidRPr="00804CC5">
        <w:rPr>
          <w:rFonts w:cs="Times New Roman"/>
          <w:b/>
          <w:szCs w:val="24"/>
        </w:rPr>
        <w:t>T</w:t>
      </w:r>
      <w:r>
        <w:rPr>
          <w:rFonts w:cs="Times New Roman"/>
          <w:b/>
          <w:szCs w:val="24"/>
        </w:rPr>
        <w:t>rês</w:t>
      </w:r>
      <w:r w:rsidRPr="00804CC5">
        <w:rPr>
          <w:rFonts w:cs="Times New Roman"/>
          <w:b/>
          <w:szCs w:val="24"/>
        </w:rPr>
        <w:t xml:space="preserve"> C</w:t>
      </w:r>
      <w:r>
        <w:rPr>
          <w:rFonts w:cs="Times New Roman"/>
          <w:b/>
          <w:szCs w:val="24"/>
        </w:rPr>
        <w:t>ompanhias</w:t>
      </w:r>
      <w:r w:rsidRPr="00804CC5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do</w:t>
      </w:r>
      <w:r w:rsidRPr="00804CC5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setor de Comércio do Sul do Brasil.</w:t>
      </w:r>
    </w:p>
    <w:p w:rsidR="00D755AA" w:rsidRPr="00E01905" w:rsidRDefault="00D755AA" w:rsidP="00D755AA">
      <w:pPr>
        <w:jc w:val="center"/>
        <w:rPr>
          <w:rFonts w:cs="Times New Roman"/>
          <w:b/>
          <w:szCs w:val="24"/>
        </w:rPr>
      </w:pPr>
    </w:p>
    <w:p w:rsidR="007F0326" w:rsidRPr="00E01905" w:rsidRDefault="007F0326" w:rsidP="007362AA">
      <w:pPr>
        <w:spacing w:after="0"/>
        <w:ind w:firstLine="567"/>
        <w:jc w:val="right"/>
        <w:rPr>
          <w:rFonts w:cs="Times New Roman"/>
          <w:b/>
          <w:szCs w:val="24"/>
        </w:rPr>
      </w:pPr>
      <w:r w:rsidRPr="00E01905">
        <w:rPr>
          <w:rFonts w:cs="Times New Roman"/>
          <w:b/>
          <w:szCs w:val="24"/>
        </w:rPr>
        <w:t>Victoria Prado</w:t>
      </w:r>
    </w:p>
    <w:p w:rsidR="007F0326" w:rsidRPr="00E01905" w:rsidRDefault="007F0326" w:rsidP="007362AA">
      <w:pPr>
        <w:spacing w:after="0"/>
        <w:ind w:firstLine="567"/>
        <w:jc w:val="right"/>
        <w:rPr>
          <w:rFonts w:cs="Times New Roman"/>
          <w:szCs w:val="24"/>
        </w:rPr>
      </w:pPr>
      <w:r w:rsidRPr="00E01905">
        <w:rPr>
          <w:rFonts w:cs="Times New Roman"/>
          <w:szCs w:val="24"/>
        </w:rPr>
        <w:t>Universidade Federal de Santa Catarina (UFSC)</w:t>
      </w:r>
    </w:p>
    <w:p w:rsidR="007F0326" w:rsidRPr="00E01905" w:rsidRDefault="007F0326" w:rsidP="007362AA">
      <w:pPr>
        <w:spacing w:after="0"/>
        <w:ind w:firstLine="567"/>
        <w:jc w:val="right"/>
        <w:rPr>
          <w:rFonts w:cs="Times New Roman"/>
          <w:i/>
          <w:szCs w:val="24"/>
        </w:rPr>
      </w:pPr>
      <w:r w:rsidRPr="00E01905">
        <w:rPr>
          <w:rFonts w:cs="Times New Roman"/>
          <w:i/>
          <w:szCs w:val="24"/>
        </w:rPr>
        <w:t>victoriaprado16@gmail.com</w:t>
      </w:r>
    </w:p>
    <w:p w:rsidR="007F0326" w:rsidRPr="00E01905" w:rsidRDefault="007F0326" w:rsidP="007362AA">
      <w:pPr>
        <w:spacing w:after="0"/>
        <w:ind w:firstLine="567"/>
        <w:jc w:val="right"/>
        <w:rPr>
          <w:rFonts w:cs="Times New Roman"/>
          <w:szCs w:val="24"/>
        </w:rPr>
      </w:pPr>
    </w:p>
    <w:p w:rsidR="00A04CD4" w:rsidRPr="00E01905" w:rsidRDefault="007F0326" w:rsidP="007362AA">
      <w:pPr>
        <w:spacing w:after="0"/>
        <w:ind w:firstLine="567"/>
        <w:jc w:val="right"/>
        <w:rPr>
          <w:rFonts w:cs="Times New Roman"/>
          <w:b/>
          <w:szCs w:val="24"/>
        </w:rPr>
      </w:pPr>
      <w:r w:rsidRPr="00E01905">
        <w:rPr>
          <w:rFonts w:cs="Times New Roman"/>
          <w:b/>
          <w:szCs w:val="24"/>
        </w:rPr>
        <w:t>Sergio Murilo Petri</w:t>
      </w:r>
    </w:p>
    <w:p w:rsidR="007F0326" w:rsidRPr="00E01905" w:rsidRDefault="007F0326" w:rsidP="007362AA">
      <w:pPr>
        <w:spacing w:after="0"/>
        <w:ind w:firstLine="567"/>
        <w:jc w:val="right"/>
        <w:rPr>
          <w:rFonts w:cs="Times New Roman"/>
          <w:szCs w:val="24"/>
        </w:rPr>
      </w:pPr>
      <w:r w:rsidRPr="00E01905">
        <w:rPr>
          <w:rFonts w:cs="Times New Roman"/>
          <w:szCs w:val="24"/>
        </w:rPr>
        <w:t>Universidade Federal de Santa Catarina (UFSC)</w:t>
      </w:r>
    </w:p>
    <w:p w:rsidR="007F0326" w:rsidRPr="00E01905" w:rsidRDefault="007F0326" w:rsidP="007362AA">
      <w:pPr>
        <w:spacing w:after="0"/>
        <w:ind w:firstLine="567"/>
        <w:jc w:val="right"/>
        <w:rPr>
          <w:rFonts w:cs="Times New Roman"/>
          <w:i/>
          <w:szCs w:val="24"/>
        </w:rPr>
      </w:pPr>
      <w:r w:rsidRPr="00E01905">
        <w:rPr>
          <w:rFonts w:cs="Times New Roman"/>
          <w:i/>
          <w:szCs w:val="24"/>
        </w:rPr>
        <w:t>smpetri@gmail.com</w:t>
      </w:r>
    </w:p>
    <w:p w:rsidR="005A0A06" w:rsidRPr="00E01905" w:rsidRDefault="005A0A06" w:rsidP="00D755AA">
      <w:pPr>
        <w:spacing w:after="0"/>
        <w:ind w:firstLine="567"/>
        <w:jc w:val="center"/>
        <w:rPr>
          <w:rFonts w:cs="Times New Roman"/>
          <w:szCs w:val="24"/>
        </w:rPr>
      </w:pPr>
    </w:p>
    <w:p w:rsidR="00E05898" w:rsidRPr="00AE72D8" w:rsidRDefault="00E05898" w:rsidP="005A0A06">
      <w:pPr>
        <w:ind w:firstLine="0"/>
        <w:rPr>
          <w:rFonts w:cs="Times New Roman"/>
          <w:szCs w:val="24"/>
        </w:rPr>
      </w:pPr>
      <w:r w:rsidRPr="00AE72D8">
        <w:rPr>
          <w:rFonts w:cs="Times New Roman"/>
          <w:b/>
          <w:szCs w:val="24"/>
        </w:rPr>
        <w:t>Resumo</w:t>
      </w:r>
    </w:p>
    <w:p w:rsidR="00D755AA" w:rsidRDefault="003003A5" w:rsidP="005A0A06">
      <w:pPr>
        <w:ind w:firstLine="0"/>
      </w:pPr>
      <w:r>
        <w:t>Conforme o c</w:t>
      </w:r>
      <w:r w:rsidR="00965BC6">
        <w:t>rescimento e atuação ativa das micro</w:t>
      </w:r>
      <w:r w:rsidR="00704024">
        <w:t>empresas</w:t>
      </w:r>
      <w:r w:rsidR="00965BC6">
        <w:t xml:space="preserve"> e </w:t>
      </w:r>
      <w:r w:rsidR="007F5EB6">
        <w:t xml:space="preserve">empresas de pequeno </w:t>
      </w:r>
      <w:r w:rsidR="00704024">
        <w:t>porte</w:t>
      </w:r>
      <w:r w:rsidR="00965BC6">
        <w:t xml:space="preserve"> no âmbito nacional</w:t>
      </w:r>
      <w:r w:rsidR="00704024">
        <w:t xml:space="preserve">, é fundamental </w:t>
      </w:r>
      <w:r w:rsidR="00965BC6">
        <w:t xml:space="preserve">a criação de incentivos em relação à tributação de tais organizações. </w:t>
      </w:r>
      <w:r w:rsidR="0088599C">
        <w:t xml:space="preserve">Nesse cenário, o Simples Nacional instituído no Brasil desde 2006, atua como um regime </w:t>
      </w:r>
      <w:r w:rsidR="0088599C" w:rsidRPr="00C86849">
        <w:t>simplificado de tributação</w:t>
      </w:r>
      <w:r w:rsidR="00A17298">
        <w:t>. Porém com a vigência em 2018</w:t>
      </w:r>
      <w:r w:rsidR="0088599C">
        <w:t xml:space="preserve"> da nova Lei Complementar n° 15</w:t>
      </w:r>
      <w:r w:rsidR="00A17298">
        <w:t xml:space="preserve">5/2016, que alterou a Lei Complementar n° 123/2006, modificou os limites do faturamento acumulado e o cálculo do imposto a pagar. </w:t>
      </w:r>
      <w:r w:rsidR="00697246">
        <w:t>Por isso se faz necessário</w:t>
      </w:r>
      <w:r w:rsidR="00F24D27">
        <w:t xml:space="preserve"> que as empresas optantes do regime simplificado tenham conhecimento sobre essas alterações na lei, </w:t>
      </w:r>
      <w:r w:rsidR="00724F02">
        <w:t xml:space="preserve">e se as mudanças são realmente vantajosas. O artigo tem como objetivo </w:t>
      </w:r>
      <w:r w:rsidR="004A6C8C">
        <w:t>contribuir com mais conteúdo sobre a mudança do Simples Nacional, com enf</w:t>
      </w:r>
      <w:r w:rsidR="000B47C4">
        <w:t xml:space="preserve">oque nas duas formas de apurar </w:t>
      </w:r>
      <w:r w:rsidR="004A6C8C">
        <w:t>os valores a pagar</w:t>
      </w:r>
      <w:r w:rsidR="008C5CEC">
        <w:t xml:space="preserve">, e se a nova Lei Complementar n° 155/2016 se manifesta como benéfica para três empresas </w:t>
      </w:r>
      <w:r w:rsidR="00131D0F">
        <w:t xml:space="preserve">de portes distintos </w:t>
      </w:r>
      <w:r w:rsidR="008C5CEC">
        <w:t>do setor de comércio do sul do Brasil</w:t>
      </w:r>
      <w:r w:rsidR="008479E4">
        <w:t>, entre o período de 2016 a 2018</w:t>
      </w:r>
      <w:r w:rsidR="008C5CEC">
        <w:t xml:space="preserve">. </w:t>
      </w:r>
      <w:r w:rsidR="000A36BC">
        <w:t xml:space="preserve">A metodologia foi elaborada com base </w:t>
      </w:r>
      <w:r w:rsidR="009A563D">
        <w:t xml:space="preserve">na legislação acerca </w:t>
      </w:r>
      <w:r w:rsidR="006517B9">
        <w:t xml:space="preserve">do tema e </w:t>
      </w:r>
      <w:r w:rsidR="005A0A06">
        <w:t>levantamen</w:t>
      </w:r>
      <w:r w:rsidR="006517B9">
        <w:t>to de dados</w:t>
      </w:r>
      <w:r w:rsidR="005A0A06">
        <w:t xml:space="preserve"> </w:t>
      </w:r>
      <w:r w:rsidR="000A36BC">
        <w:t xml:space="preserve">de informações </w:t>
      </w:r>
      <w:r w:rsidR="008479E4">
        <w:t>fornec</w:t>
      </w:r>
      <w:r w:rsidR="006517B9">
        <w:t xml:space="preserve">idas pelas empresas. Ao fim do estudo comparativo, conclui-se que a Lei Complementar n° 155/2016 </w:t>
      </w:r>
      <w:r w:rsidR="00131D0F">
        <w:t>se atribui como vantajosa</w:t>
      </w:r>
      <w:r w:rsidR="001B5C07">
        <w:t xml:space="preserve"> para as empresas d</w:t>
      </w:r>
      <w:r w:rsidR="00905CC6">
        <w:t xml:space="preserve">e médio e grande porte, e em nada </w:t>
      </w:r>
      <w:r w:rsidR="008F2876">
        <w:t>influencia</w:t>
      </w:r>
      <w:r w:rsidR="001B5C07">
        <w:t xml:space="preserve"> a empresa de baixo faturamento.</w:t>
      </w:r>
      <w:r w:rsidR="00131D0F">
        <w:t xml:space="preserve"> </w:t>
      </w:r>
    </w:p>
    <w:p w:rsidR="005A0A06" w:rsidRPr="005A0A06" w:rsidRDefault="005A0A06" w:rsidP="005A0A06"/>
    <w:p w:rsidR="00D755AA" w:rsidRDefault="00E05898" w:rsidP="005A0A06">
      <w:pPr>
        <w:ind w:firstLine="0"/>
        <w:rPr>
          <w:rFonts w:cs="Times New Roman"/>
          <w:sz w:val="26"/>
          <w:szCs w:val="26"/>
        </w:rPr>
      </w:pPr>
      <w:r w:rsidRPr="00E05898">
        <w:rPr>
          <w:rFonts w:cs="Times New Roman"/>
          <w:b/>
          <w:sz w:val="26"/>
          <w:szCs w:val="26"/>
        </w:rPr>
        <w:t>Palavras-chave:</w:t>
      </w:r>
      <w:r w:rsidR="005A0A06">
        <w:rPr>
          <w:rFonts w:cs="Times New Roman"/>
          <w:b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Simples </w:t>
      </w:r>
      <w:r w:rsidRPr="00FC0994">
        <w:rPr>
          <w:rFonts w:cs="Times New Roman"/>
          <w:sz w:val="26"/>
          <w:szCs w:val="26"/>
        </w:rPr>
        <w:t>Nacional</w:t>
      </w:r>
      <w:r w:rsidR="00E7696F" w:rsidRPr="00FC0994">
        <w:rPr>
          <w:rFonts w:cs="Times New Roman"/>
          <w:sz w:val="26"/>
          <w:szCs w:val="26"/>
        </w:rPr>
        <w:t>;</w:t>
      </w:r>
      <w:r w:rsidR="00CB0DDB" w:rsidRPr="00FC0994">
        <w:rPr>
          <w:rFonts w:cs="Times New Roman"/>
          <w:sz w:val="26"/>
          <w:szCs w:val="26"/>
        </w:rPr>
        <w:t xml:space="preserve"> Contabilidade</w:t>
      </w:r>
      <w:r w:rsidR="00D96994" w:rsidRPr="00FC0994">
        <w:rPr>
          <w:rFonts w:cs="Times New Roman"/>
          <w:sz w:val="26"/>
          <w:szCs w:val="26"/>
        </w:rPr>
        <w:t xml:space="preserve"> Tributária</w:t>
      </w:r>
      <w:r w:rsidR="00E7696F" w:rsidRPr="00FC0994">
        <w:rPr>
          <w:rFonts w:cs="Times New Roman"/>
          <w:sz w:val="26"/>
          <w:szCs w:val="26"/>
        </w:rPr>
        <w:t>;</w:t>
      </w:r>
      <w:r w:rsidR="007F5EB6" w:rsidRPr="00FC0994">
        <w:rPr>
          <w:rFonts w:cs="Times New Roman"/>
          <w:sz w:val="26"/>
          <w:szCs w:val="26"/>
        </w:rPr>
        <w:t xml:space="preserve"> Oneração Tributária</w:t>
      </w:r>
      <w:r>
        <w:rPr>
          <w:rFonts w:cs="Times New Roman"/>
          <w:sz w:val="26"/>
          <w:szCs w:val="26"/>
        </w:rPr>
        <w:t>.</w:t>
      </w:r>
    </w:p>
    <w:p w:rsidR="005A0A06" w:rsidRPr="00E05898" w:rsidRDefault="005A0A06" w:rsidP="005A0A06">
      <w:pPr>
        <w:rPr>
          <w:rFonts w:cs="Times New Roman"/>
          <w:sz w:val="26"/>
          <w:szCs w:val="26"/>
        </w:rPr>
      </w:pPr>
    </w:p>
    <w:p w:rsidR="007F0326" w:rsidRDefault="00E05898" w:rsidP="00234473">
      <w:pPr>
        <w:pStyle w:val="Ttulo1"/>
        <w:numPr>
          <w:ilvl w:val="0"/>
          <w:numId w:val="0"/>
        </w:numPr>
        <w:ind w:left="431" w:hanging="431"/>
        <w:jc w:val="left"/>
        <w:rPr>
          <w:sz w:val="26"/>
          <w:szCs w:val="26"/>
        </w:rPr>
      </w:pPr>
      <w:r w:rsidRPr="00FC0994">
        <w:rPr>
          <w:sz w:val="26"/>
          <w:szCs w:val="26"/>
        </w:rPr>
        <w:t>Área temática: Contabilidade Tributária.</w:t>
      </w:r>
    </w:p>
    <w:p w:rsidR="00D755AA" w:rsidRDefault="00D755AA" w:rsidP="00D755AA"/>
    <w:p w:rsidR="00F05D71" w:rsidRDefault="00F05D71" w:rsidP="00D755AA"/>
    <w:p w:rsidR="00F05D71" w:rsidRDefault="00F05D71" w:rsidP="00D755AA"/>
    <w:p w:rsidR="00F05D71" w:rsidRDefault="00F05D71" w:rsidP="00D755AA"/>
    <w:p w:rsidR="00F05D71" w:rsidRDefault="00F05D71" w:rsidP="00D755AA"/>
    <w:p w:rsidR="00F05D71" w:rsidRDefault="00F05D71" w:rsidP="00D755AA"/>
    <w:p w:rsidR="00F05D71" w:rsidRDefault="00F05D71" w:rsidP="00D755AA"/>
    <w:p w:rsidR="0049619D" w:rsidRDefault="0049619D" w:rsidP="00D755AA"/>
    <w:p w:rsidR="00F05D71" w:rsidRPr="00D755AA" w:rsidRDefault="00F05D71" w:rsidP="00D755AA"/>
    <w:p w:rsidR="00D755AA" w:rsidRPr="001A6E82" w:rsidRDefault="00E05898" w:rsidP="001A6E82">
      <w:pPr>
        <w:pStyle w:val="Ttulo1"/>
        <w:rPr>
          <w:sz w:val="26"/>
          <w:szCs w:val="26"/>
        </w:rPr>
      </w:pPr>
      <w:r w:rsidRPr="00BB0322">
        <w:rPr>
          <w:sz w:val="26"/>
          <w:szCs w:val="26"/>
        </w:rPr>
        <w:t>INTRODUÇÃO</w:t>
      </w:r>
    </w:p>
    <w:p w:rsidR="00797B46" w:rsidRDefault="00061BAA" w:rsidP="001A6E82">
      <w:r>
        <w:t xml:space="preserve">A atuação das micro </w:t>
      </w:r>
      <w:r w:rsidR="00555092">
        <w:t xml:space="preserve">e pequenas empresas </w:t>
      </w:r>
      <w:r>
        <w:t xml:space="preserve">vêm </w:t>
      </w:r>
      <w:r w:rsidR="003D1EF0">
        <w:t xml:space="preserve">crescendo e </w:t>
      </w:r>
      <w:r>
        <w:t>representando uma fatia sig</w:t>
      </w:r>
      <w:r w:rsidR="009A0040">
        <w:t>nificativa</w:t>
      </w:r>
      <w:r w:rsidR="00555092">
        <w:t xml:space="preserve"> no mercado brasileiro</w:t>
      </w:r>
      <w:r>
        <w:t xml:space="preserve">. </w:t>
      </w:r>
      <w:r w:rsidR="00914A40">
        <w:t>Essas companhias têm conquistado</w:t>
      </w:r>
      <w:r w:rsidR="00737E7D">
        <w:t xml:space="preserve"> ao longo do tempo cada vez mais visibilidade,</w:t>
      </w:r>
      <w:r>
        <w:t xml:space="preserve"> e apontando</w:t>
      </w:r>
      <w:r w:rsidR="00737E7D">
        <w:t xml:space="preserve"> percen</w:t>
      </w:r>
      <w:r w:rsidR="00632B52">
        <w:t>tuais de crescimento para o Brasil</w:t>
      </w:r>
      <w:r w:rsidR="00737E7D">
        <w:t xml:space="preserve"> no decorrer dos últimos anos. </w:t>
      </w:r>
      <w:r w:rsidR="00EF4352">
        <w:t xml:space="preserve">Em 10 anos </w:t>
      </w:r>
      <w:r w:rsidR="009A0040">
        <w:t>o rendimento gerado por elas quadruplicou</w:t>
      </w:r>
      <w:r w:rsidR="00EF4352">
        <w:t>,</w:t>
      </w:r>
      <w:r w:rsidR="00737E7D" w:rsidRPr="00737E7D">
        <w:t xml:space="preserve"> de R$ 144 bilhões em 2001 </w:t>
      </w:r>
      <w:r w:rsidR="00EF4352">
        <w:t xml:space="preserve">subiu </w:t>
      </w:r>
      <w:r w:rsidR="00737E7D" w:rsidRPr="00737E7D">
        <w:t>para R$ 599 bilhões em 2011</w:t>
      </w:r>
      <w:r w:rsidR="00EF4352">
        <w:t xml:space="preserve"> (SEBRAE, 2014). Em vis</w:t>
      </w:r>
      <w:r w:rsidR="00797B46">
        <w:t xml:space="preserve">ta disso, é evidente a necessidade de serem instituídos auxílios capazes de contribuir </w:t>
      </w:r>
      <w:r w:rsidR="003B47A6">
        <w:t>para o fortalecimento</w:t>
      </w:r>
      <w:r w:rsidR="00797B46">
        <w:t xml:space="preserve"> dessas empresas, responsávei</w:t>
      </w:r>
      <w:r w:rsidR="009A0040">
        <w:t>s por parte da</w:t>
      </w:r>
      <w:r w:rsidR="003B47A6">
        <w:t xml:space="preserve"> evolução da economia</w:t>
      </w:r>
      <w:r w:rsidR="00632B52">
        <w:t xml:space="preserve"> no país</w:t>
      </w:r>
      <w:r w:rsidR="00797B46">
        <w:t xml:space="preserve">. </w:t>
      </w:r>
    </w:p>
    <w:p w:rsidR="00A04CD4" w:rsidRDefault="00797B46" w:rsidP="00EC0B6A">
      <w:r>
        <w:t xml:space="preserve">Neste sentido, </w:t>
      </w:r>
      <w:r w:rsidR="004E44BF">
        <w:t xml:space="preserve">visando à </w:t>
      </w:r>
      <w:r w:rsidR="00061BAA">
        <w:t xml:space="preserve">preocupação dessas empresas com a </w:t>
      </w:r>
      <w:r w:rsidR="004E44BF">
        <w:t>alta carga de tributação existente e a imprescindibilidade de incentivo para iniciativas de pequeno porte</w:t>
      </w:r>
      <w:r w:rsidR="004E44BF" w:rsidRPr="00B657E2">
        <w:t xml:space="preserve">, </w:t>
      </w:r>
      <w:r w:rsidR="00E07C50" w:rsidRPr="00B657E2">
        <w:t>BARRETO</w:t>
      </w:r>
      <w:r w:rsidR="006975A4" w:rsidRPr="00B657E2">
        <w:t xml:space="preserve"> </w:t>
      </w:r>
      <w:r w:rsidR="00B657E2" w:rsidRPr="00B657E2">
        <w:t>(</w:t>
      </w:r>
      <w:r w:rsidR="00507A55" w:rsidRPr="00B657E2">
        <w:t>2014)</w:t>
      </w:r>
      <w:r w:rsidR="00507A55">
        <w:t xml:space="preserve"> aponta que a melhora no desempenho se dá pelo ambiente econômico favorável criado</w:t>
      </w:r>
      <w:r w:rsidR="00BE02EC">
        <w:t>. E</w:t>
      </w:r>
      <w:r w:rsidR="00507A55">
        <w:t>specialmente após a implementaç</w:t>
      </w:r>
      <w:r w:rsidR="002566D1">
        <w:t xml:space="preserve">ão do </w:t>
      </w:r>
      <w:r w:rsidR="00BE02EC">
        <w:t>S</w:t>
      </w:r>
      <w:r w:rsidR="00507A55">
        <w:t>imples</w:t>
      </w:r>
      <w:r w:rsidR="002566D1">
        <w:t xml:space="preserve"> Nacional</w:t>
      </w:r>
      <w:r w:rsidR="00507A55">
        <w:t xml:space="preserve">, com a redução dos impostos e unificação dos oito tributos </w:t>
      </w:r>
      <w:r w:rsidR="00BE02EC">
        <w:t>e contribuição</w:t>
      </w:r>
      <w:r w:rsidR="005D11FF">
        <w:t xml:space="preserve">: </w:t>
      </w:r>
      <w:r w:rsidR="00BE02EC">
        <w:t>PIS, COFINS, CS</w:t>
      </w:r>
      <w:r w:rsidR="005D11FF">
        <w:t>LL, IRPJ, IPI, ICMS, ISS e INSS (SEBRAE, 2017)</w:t>
      </w:r>
      <w:r w:rsidR="00BE02EC">
        <w:t>.</w:t>
      </w:r>
    </w:p>
    <w:p w:rsidR="00BE02EC" w:rsidRDefault="00BE02EC" w:rsidP="00EC0B6A">
      <w:r>
        <w:t>Em conformidade com a Lei</w:t>
      </w:r>
      <w:r w:rsidR="00174939">
        <w:t xml:space="preserve"> Complementar n° 123, de </w:t>
      </w:r>
      <w:r>
        <w:t>2006</w:t>
      </w:r>
      <w:r w:rsidR="00B35761">
        <w:t>, incluindo alterações</w:t>
      </w:r>
      <w:r w:rsidR="0098643F">
        <w:t xml:space="preserve"> da</w:t>
      </w:r>
      <w:r w:rsidR="00B35761">
        <w:t>s</w:t>
      </w:r>
      <w:r w:rsidR="0098643F">
        <w:t xml:space="preserve"> Lei</w:t>
      </w:r>
      <w:r w:rsidR="00B35761">
        <w:t>s</w:t>
      </w:r>
      <w:r w:rsidR="0098643F">
        <w:t xml:space="preserve"> Complementar</w:t>
      </w:r>
      <w:r w:rsidR="00B35761">
        <w:t>es</w:t>
      </w:r>
      <w:r w:rsidR="0098643F">
        <w:t xml:space="preserve"> n° </w:t>
      </w:r>
      <w:r w:rsidR="00B35761">
        <w:t xml:space="preserve">127, de 2007, n° 128, de 2008, n° 139, de 2011 e n° 147, de </w:t>
      </w:r>
      <w:r w:rsidR="0098643F">
        <w:t>2014</w:t>
      </w:r>
      <w:r w:rsidR="00174939">
        <w:t>, até o final do an</w:t>
      </w:r>
      <w:r w:rsidR="00A855C8">
        <w:t>o de 2017 a forma de tributação</w:t>
      </w:r>
      <w:r w:rsidR="004A7419">
        <w:t xml:space="preserve"> </w:t>
      </w:r>
      <w:r w:rsidR="00174939">
        <w:t xml:space="preserve">era segmentada em seis tabelas (anexos), sendo essas divididas em vinte faixas de acordo com seus faturamentos. </w:t>
      </w:r>
      <w:r w:rsidR="00B35761">
        <w:t xml:space="preserve">Desse modo, </w:t>
      </w:r>
      <w:r w:rsidR="00C1529B">
        <w:t>as tributações para as atividades de comércio eram</w:t>
      </w:r>
      <w:r w:rsidR="00B35761">
        <w:t xml:space="preserve"> pelo anexo I, as ati</w:t>
      </w:r>
      <w:r w:rsidR="00A855C8">
        <w:t>vidades industriais eram por meio</w:t>
      </w:r>
      <w:r w:rsidR="00B35761">
        <w:t xml:space="preserve"> do anexo II e os serviços tributados entre os anexos III ao VI. </w:t>
      </w:r>
    </w:p>
    <w:p w:rsidR="003B47A6" w:rsidRDefault="003B47A6" w:rsidP="00EC0B6A">
      <w:r>
        <w:t>Com a alteração da</w:t>
      </w:r>
      <w:r w:rsidR="00DD20AA">
        <w:t xml:space="preserve"> Lei Complementar n° 123, de 2006 pela Lei Complemen</w:t>
      </w:r>
      <w:r w:rsidR="00685AFC">
        <w:t>tar n° 155, de 2016, foram realizadas</w:t>
      </w:r>
      <w:r w:rsidR="00DD20AA">
        <w:t xml:space="preserve"> mudanças nos cálculos de apuração dos impostos devidos pelas empresas optantes do Simples Nacional. A modificação alterou também </w:t>
      </w:r>
      <w:r w:rsidR="006766B9">
        <w:t xml:space="preserve">para fins de enquadramento no sistema, </w:t>
      </w:r>
      <w:r w:rsidR="00DD20AA">
        <w:t xml:space="preserve">o limite máximo </w:t>
      </w:r>
      <w:r w:rsidR="006766B9">
        <w:t>permitido de faturamento anual, ou proporcional</w:t>
      </w:r>
      <w:r w:rsidR="004A7419">
        <w:t xml:space="preserve"> </w:t>
      </w:r>
      <w:r w:rsidR="006766B9">
        <w:t xml:space="preserve">ao número de meses de exercício da atividade fim da empresa. </w:t>
      </w:r>
      <w:r w:rsidR="009D7462">
        <w:t>Portanto, desde 1º de janeiro</w:t>
      </w:r>
      <w:r w:rsidR="004A7419">
        <w:t xml:space="preserve"> </w:t>
      </w:r>
      <w:r w:rsidR="009D7462">
        <w:t xml:space="preserve">de 2018, entrou em vigor a utilização de cinco anexos ao invés </w:t>
      </w:r>
      <w:r w:rsidR="00511E4B">
        <w:t>de seis. S</w:t>
      </w:r>
      <w:r w:rsidR="009D7462">
        <w:t>endo dividido</w:t>
      </w:r>
      <w:r w:rsidR="00511E4B">
        <w:t xml:space="preserve">s em seis faixas de faturamento, com enquadramento determinado a partir do cálculo de uma alíquota efetiva. </w:t>
      </w:r>
    </w:p>
    <w:p w:rsidR="00B35761" w:rsidRPr="00E7696F" w:rsidRDefault="00932B1A" w:rsidP="00EC0B6A">
      <w:r>
        <w:t xml:space="preserve">À frente do conteúdo apresentado e das mudanças exibidas acima, no âmbito da tributação das empresas optantes do Simples Nacional, </w:t>
      </w:r>
      <w:r w:rsidR="0079551A">
        <w:t xml:space="preserve">surge à seguinte questão de pesquisa: </w:t>
      </w:r>
      <w:r w:rsidR="0079551A" w:rsidRPr="00FC0994">
        <w:t xml:space="preserve">As alterações do Simples Nacional vigoradas em 2018, sob a ótica de três companhias do setor </w:t>
      </w:r>
      <w:r w:rsidR="00A855C8" w:rsidRPr="00FC0994">
        <w:t>do comércio</w:t>
      </w:r>
      <w:r w:rsidR="00AC7CC3" w:rsidRPr="00FC0994">
        <w:t>, tê</w:t>
      </w:r>
      <w:r w:rsidR="0076600E" w:rsidRPr="00FC0994">
        <w:t xml:space="preserve">m impactos </w:t>
      </w:r>
      <w:r w:rsidR="00AC7CC3" w:rsidRPr="00FC0994">
        <w:t xml:space="preserve">vantajosos ou </w:t>
      </w:r>
      <w:r w:rsidR="0076600E" w:rsidRPr="00FC0994">
        <w:t xml:space="preserve">onerosos </w:t>
      </w:r>
      <w:r w:rsidR="00AC7CC3" w:rsidRPr="00FC0994">
        <w:t>em relação à antiga forma de tributação</w:t>
      </w:r>
      <w:r w:rsidR="005251CC" w:rsidRPr="00FC0994">
        <w:t xml:space="preserve"> do sistema</w:t>
      </w:r>
      <w:r w:rsidR="00AC7CC3" w:rsidRPr="00FC0994">
        <w:t>?</w:t>
      </w:r>
      <w:r w:rsidR="00AC7CC3" w:rsidRPr="00E7696F">
        <w:t xml:space="preserve">  </w:t>
      </w:r>
    </w:p>
    <w:p w:rsidR="001D1118" w:rsidRDefault="006B4325" w:rsidP="00EC0B6A">
      <w:r>
        <w:t>A partir da definição do</w:t>
      </w:r>
      <w:r w:rsidR="00C1529B">
        <w:t xml:space="preserve"> Simp</w:t>
      </w:r>
      <w:r>
        <w:t xml:space="preserve">les Nacional como </w:t>
      </w:r>
      <w:r w:rsidR="00C1529B">
        <w:t xml:space="preserve">estímulo </w:t>
      </w:r>
      <w:r>
        <w:t>e facilitador do empreendedorismo no país, o presente artigo</w:t>
      </w:r>
      <w:r w:rsidR="00C73959">
        <w:t xml:space="preserve"> possui o objetivo de comparar</w:t>
      </w:r>
      <w:r>
        <w:t xml:space="preserve"> as diferenças de apuração </w:t>
      </w:r>
      <w:r w:rsidR="00D8713C">
        <w:t xml:space="preserve">entre a anterior Lei Complementar n° 123/2006 e a nova Lei Complementar n° 155/2016, </w:t>
      </w:r>
      <w:r>
        <w:t>com base na</w:t>
      </w:r>
      <w:r w:rsidR="008C5CEC">
        <w:t>s</w:t>
      </w:r>
      <w:r>
        <w:t xml:space="preserve"> receita</w:t>
      </w:r>
      <w:r w:rsidR="008C5CEC">
        <w:t>s</w:t>
      </w:r>
      <w:r>
        <w:t xml:space="preserve"> bruta</w:t>
      </w:r>
      <w:r w:rsidR="008C5CEC">
        <w:t>s distintas entre si (baixa, mediana e alta)</w:t>
      </w:r>
      <w:r>
        <w:t xml:space="preserve"> de tr</w:t>
      </w:r>
      <w:r w:rsidR="00D8713C">
        <w:t xml:space="preserve">ês empresas do setor </w:t>
      </w:r>
      <w:r w:rsidR="00DD1CC0">
        <w:t xml:space="preserve">de </w:t>
      </w:r>
      <w:r w:rsidR="00146545">
        <w:t>comércio</w:t>
      </w:r>
      <w:r w:rsidR="00D8713C">
        <w:t xml:space="preserve"> </w:t>
      </w:r>
      <w:r w:rsidR="00671663" w:rsidRPr="000A1DE9">
        <w:t>no ano de 201</w:t>
      </w:r>
      <w:r w:rsidR="003D6D88" w:rsidRPr="000A1DE9">
        <w:t>6</w:t>
      </w:r>
      <w:r w:rsidR="00671663" w:rsidRPr="000A1DE9">
        <w:t xml:space="preserve"> a 201</w:t>
      </w:r>
      <w:r w:rsidR="00562786" w:rsidRPr="000A1DE9">
        <w:t>8</w:t>
      </w:r>
      <w:r w:rsidR="00A855C8">
        <w:t>. E se</w:t>
      </w:r>
      <w:r w:rsidR="00D8713C">
        <w:t xml:space="preserve"> </w:t>
      </w:r>
      <w:r w:rsidR="00B82D8A">
        <w:t xml:space="preserve">estas diferenças </w:t>
      </w:r>
      <w:r w:rsidR="00D8713C">
        <w:t>representa</w:t>
      </w:r>
      <w:r w:rsidR="00B82D8A">
        <w:t>m</w:t>
      </w:r>
      <w:r w:rsidR="00D8713C">
        <w:t xml:space="preserve"> vantagem ou desvantagem para as companhias. </w:t>
      </w:r>
    </w:p>
    <w:p w:rsidR="007561A8" w:rsidRDefault="00D8713C" w:rsidP="003F3299">
      <w:r>
        <w:t xml:space="preserve">Justifica-se esta pesquisa pela contribuição de conteúdo sobre a alteração </w:t>
      </w:r>
      <w:r w:rsidR="00F97751">
        <w:t>do Simples Naciona</w:t>
      </w:r>
      <w:r w:rsidR="001A3AB9">
        <w:t>l vigorada em 2018. E</w:t>
      </w:r>
      <w:r w:rsidR="004A7419">
        <w:t xml:space="preserve"> </w:t>
      </w:r>
      <w:r w:rsidR="00D5290A">
        <w:t>demonstrar</w:t>
      </w:r>
      <w:r w:rsidR="004A7419">
        <w:t xml:space="preserve"> </w:t>
      </w:r>
      <w:r w:rsidR="001A3AB9">
        <w:t xml:space="preserve">de forma clara e objetiva, </w:t>
      </w:r>
      <w:r w:rsidR="00F97751">
        <w:t>como é calculada a tributação após a nova legislação</w:t>
      </w:r>
      <w:r w:rsidR="001A3AB9">
        <w:t xml:space="preserve">, proporcionando o </w:t>
      </w:r>
      <w:r w:rsidR="00D5290A">
        <w:t>melhor</w:t>
      </w:r>
      <w:r w:rsidR="001A3AB9">
        <w:t xml:space="preserve"> entendimento dos usuários. </w:t>
      </w:r>
      <w:r w:rsidR="00034200">
        <w:t>Justifica-se</w:t>
      </w:r>
      <w:r w:rsidR="001A3AB9">
        <w:t xml:space="preserve"> também </w:t>
      </w:r>
      <w:r w:rsidR="00632B52">
        <w:t>pelo</w:t>
      </w:r>
      <w:r w:rsidR="001A3AB9">
        <w:t xml:space="preserve"> confron</w:t>
      </w:r>
      <w:r w:rsidR="00D5290A">
        <w:t>to entre a antiga e a nova Lei Complementar</w:t>
      </w:r>
      <w:r w:rsidR="001A3AB9">
        <w:t xml:space="preserve">, assim </w:t>
      </w:r>
      <w:r w:rsidR="001A3AB9">
        <w:lastRenderedPageBreak/>
        <w:t>evidenciando</w:t>
      </w:r>
      <w:r w:rsidR="00210ACD">
        <w:t xml:space="preserve"> se é benéfico</w:t>
      </w:r>
      <w:r w:rsidR="001A3AB9">
        <w:t xml:space="preserve"> ou não</w:t>
      </w:r>
      <w:r w:rsidR="004A7419">
        <w:t xml:space="preserve"> </w:t>
      </w:r>
      <w:r w:rsidR="00A46408">
        <w:t xml:space="preserve">para empresas de comércio do mercado nacional, </w:t>
      </w:r>
      <w:r w:rsidR="001A3AB9">
        <w:t>optar</w:t>
      </w:r>
      <w:r w:rsidR="00A46408">
        <w:t>em</w:t>
      </w:r>
      <w:r w:rsidR="00210ACD">
        <w:t xml:space="preserve"> pelo sistema</w:t>
      </w:r>
      <w:r w:rsidR="00863BCA">
        <w:t xml:space="preserve">, já que o setor </w:t>
      </w:r>
      <w:r w:rsidR="00A46408">
        <w:t xml:space="preserve">comercial </w:t>
      </w:r>
      <w:r w:rsidR="00863BCA">
        <w:t xml:space="preserve">é </w:t>
      </w:r>
      <w:r w:rsidR="00A46408">
        <w:t>um dos responsáveis</w:t>
      </w:r>
      <w:r w:rsidR="00863BCA">
        <w:t xml:space="preserve"> por </w:t>
      </w:r>
      <w:r w:rsidR="00A46408">
        <w:t>geração de capital</w:t>
      </w:r>
      <w:r w:rsidR="00210ACD">
        <w:t>.</w:t>
      </w:r>
    </w:p>
    <w:p w:rsidR="007561A8" w:rsidRPr="00BB0322" w:rsidRDefault="007561A8" w:rsidP="003F3299">
      <w:pPr>
        <w:rPr>
          <w:sz w:val="26"/>
          <w:szCs w:val="26"/>
        </w:rPr>
      </w:pPr>
    </w:p>
    <w:p w:rsidR="003F3299" w:rsidRPr="00CD6D28" w:rsidRDefault="007561A8" w:rsidP="00CD6D28">
      <w:pPr>
        <w:pStyle w:val="Ttulo1"/>
        <w:spacing w:before="0" w:after="0"/>
        <w:ind w:left="432" w:hanging="432"/>
        <w:rPr>
          <w:szCs w:val="24"/>
        </w:rPr>
      </w:pPr>
      <w:r w:rsidRPr="000D1656">
        <w:rPr>
          <w:szCs w:val="24"/>
        </w:rPr>
        <w:t>METODOLOGIA DA PESQUISA</w:t>
      </w:r>
    </w:p>
    <w:p w:rsidR="00960B10" w:rsidRDefault="00960B10" w:rsidP="003F3299">
      <w:r>
        <w:t>E</w:t>
      </w:r>
      <w:r w:rsidR="000D1656" w:rsidRPr="000D1656">
        <w:t>sta seção</w:t>
      </w:r>
      <w:r w:rsidR="00F65BBA">
        <w:t xml:space="preserve"> visa</w:t>
      </w:r>
      <w:r w:rsidR="008B0B55">
        <w:t xml:space="preserve"> abordar</w:t>
      </w:r>
      <w:r w:rsidR="004A7419">
        <w:t xml:space="preserve"> </w:t>
      </w:r>
      <w:r w:rsidR="008B0B55" w:rsidRPr="008B0B55">
        <w:t>os procedimentos metodológicos</w:t>
      </w:r>
      <w:r w:rsidR="008B0B55">
        <w:t xml:space="preserve"> utilizados</w:t>
      </w:r>
      <w:r w:rsidR="000D1656" w:rsidRPr="000D1656">
        <w:t xml:space="preserve"> ao longo</w:t>
      </w:r>
      <w:r w:rsidR="008B0B55">
        <w:t xml:space="preserve"> da pesquisa</w:t>
      </w:r>
      <w:r w:rsidR="000D1656" w:rsidRPr="000D1656">
        <w:t xml:space="preserve">, assim como o procedimento técnico </w:t>
      </w:r>
      <w:r w:rsidR="008B0B55">
        <w:t xml:space="preserve">de coleta e análise </w:t>
      </w:r>
      <w:r w:rsidR="008B0B55" w:rsidRPr="008B0B55">
        <w:t>dos dados</w:t>
      </w:r>
      <w:r w:rsidR="004A7419">
        <w:t xml:space="preserve"> </w:t>
      </w:r>
      <w:r w:rsidR="008B0B55" w:rsidRPr="000D1656">
        <w:t>para as</w:t>
      </w:r>
      <w:r w:rsidR="008B0B55">
        <w:t xml:space="preserve"> simulações presentes no artigo</w:t>
      </w:r>
      <w:r>
        <w:t>, no intuito de alcançar o objetivo proposto</w:t>
      </w:r>
      <w:r w:rsidR="008B0B55" w:rsidRPr="008B0B55">
        <w:t>.</w:t>
      </w:r>
    </w:p>
    <w:p w:rsidR="003F3299" w:rsidRPr="000D1656" w:rsidRDefault="003F3299" w:rsidP="003F3299"/>
    <w:p w:rsidR="003F3299" w:rsidRPr="00CD6D28" w:rsidRDefault="000D1656" w:rsidP="00CD6D28">
      <w:pPr>
        <w:pStyle w:val="Ttulo2"/>
        <w:rPr>
          <w:szCs w:val="24"/>
        </w:rPr>
      </w:pPr>
      <w:bookmarkStart w:id="0" w:name="_Toc417668847"/>
      <w:r w:rsidRPr="0043631D">
        <w:rPr>
          <w:szCs w:val="24"/>
        </w:rPr>
        <w:t>Enquadramento da pesquisa</w:t>
      </w:r>
      <w:bookmarkEnd w:id="0"/>
    </w:p>
    <w:p w:rsidR="00A35A88" w:rsidRPr="00D73EEB" w:rsidRDefault="00500F69" w:rsidP="003F3299">
      <w:pPr>
        <w:rPr>
          <w:rFonts w:cs="Times New Roman"/>
          <w:szCs w:val="24"/>
        </w:rPr>
      </w:pPr>
      <w:r w:rsidRPr="00D73EEB">
        <w:rPr>
          <w:rFonts w:cs="Times New Roman"/>
          <w:szCs w:val="24"/>
        </w:rPr>
        <w:t>Na elaboração do presente artigo foi e</w:t>
      </w:r>
      <w:r w:rsidR="000D566F" w:rsidRPr="00D73EEB">
        <w:rPr>
          <w:rFonts w:cs="Times New Roman"/>
          <w:szCs w:val="24"/>
        </w:rPr>
        <w:t xml:space="preserve">fetuado um estudo comparativo de natureza </w:t>
      </w:r>
      <w:r w:rsidR="00601F21" w:rsidRPr="00D73EEB">
        <w:rPr>
          <w:rFonts w:cs="Times New Roman"/>
          <w:szCs w:val="24"/>
        </w:rPr>
        <w:t>exploratória</w:t>
      </w:r>
      <w:r w:rsidR="000D566F" w:rsidRPr="00D73EEB">
        <w:rPr>
          <w:rFonts w:cs="Times New Roman"/>
          <w:szCs w:val="24"/>
        </w:rPr>
        <w:t xml:space="preserve"> entre três empresas do setor de comércio</w:t>
      </w:r>
      <w:r w:rsidR="00601F21" w:rsidRPr="00D73EEB">
        <w:rPr>
          <w:rFonts w:cs="Times New Roman"/>
          <w:szCs w:val="24"/>
        </w:rPr>
        <w:t>, com o objetivo de se aproximar ao máximo da realidade pesquisada</w:t>
      </w:r>
      <w:r w:rsidR="00A35A88" w:rsidRPr="00D73EEB">
        <w:rPr>
          <w:rFonts w:cs="Times New Roman"/>
          <w:szCs w:val="24"/>
        </w:rPr>
        <w:t>. P</w:t>
      </w:r>
      <w:r w:rsidR="000D566F" w:rsidRPr="00D73EEB">
        <w:rPr>
          <w:rFonts w:cs="Times New Roman"/>
          <w:szCs w:val="24"/>
        </w:rPr>
        <w:t xml:space="preserve">ara Motta (2015, p. 98), </w:t>
      </w:r>
      <w:r w:rsidR="00146545" w:rsidRPr="00D73EEB">
        <w:rPr>
          <w:rFonts w:cs="Times New Roman"/>
          <w:szCs w:val="24"/>
        </w:rPr>
        <w:t>“a pesquisa exploratória visa obter maior familiaridade com o</w:t>
      </w:r>
      <w:r w:rsidR="004A7419" w:rsidRPr="00D73EEB">
        <w:rPr>
          <w:rFonts w:cs="Times New Roman"/>
          <w:szCs w:val="24"/>
        </w:rPr>
        <w:t xml:space="preserve"> </w:t>
      </w:r>
      <w:r w:rsidR="00146545" w:rsidRPr="00D73EEB">
        <w:rPr>
          <w:rFonts w:cs="Times New Roman"/>
          <w:szCs w:val="24"/>
        </w:rPr>
        <w:t>tema da pesquisa, buscando subsídios para a formulação mais precisa dos problemas e hipóteses”.</w:t>
      </w:r>
    </w:p>
    <w:p w:rsidR="00500F69" w:rsidRPr="00D73EEB" w:rsidRDefault="00A35A88" w:rsidP="00FD2E88">
      <w:pPr>
        <w:rPr>
          <w:rFonts w:cs="Times New Roman"/>
          <w:szCs w:val="24"/>
        </w:rPr>
      </w:pPr>
      <w:r w:rsidRPr="00D73EEB">
        <w:rPr>
          <w:rFonts w:cs="Times New Roman"/>
          <w:szCs w:val="24"/>
        </w:rPr>
        <w:t xml:space="preserve">Utilizou-se também </w:t>
      </w:r>
      <w:r w:rsidR="009E68A9" w:rsidRPr="00D73EEB">
        <w:rPr>
          <w:rFonts w:cs="Times New Roman"/>
          <w:szCs w:val="24"/>
        </w:rPr>
        <w:t>evidenciação de natureza descritiva com abordagem de pesquisa quantitativa</w:t>
      </w:r>
      <w:r w:rsidR="0070226F" w:rsidRPr="00D73EEB">
        <w:rPr>
          <w:rFonts w:cs="Times New Roman"/>
          <w:szCs w:val="24"/>
        </w:rPr>
        <w:t xml:space="preserve">, visto que há identificação e comparação dos dados coletados. </w:t>
      </w:r>
      <w:r w:rsidR="00AD06CA" w:rsidRPr="00D73EEB">
        <w:rPr>
          <w:rFonts w:cs="Times New Roman"/>
          <w:szCs w:val="24"/>
        </w:rPr>
        <w:t>Na concepção de Beuren</w:t>
      </w:r>
      <w:r w:rsidR="00FD53E1" w:rsidRPr="00D73EEB">
        <w:rPr>
          <w:rFonts w:cs="Times New Roman"/>
          <w:szCs w:val="24"/>
        </w:rPr>
        <w:t xml:space="preserve"> </w:t>
      </w:r>
      <w:r w:rsidR="00AD06CA" w:rsidRPr="00D73EEB">
        <w:rPr>
          <w:rFonts w:cs="Times New Roman"/>
          <w:szCs w:val="24"/>
        </w:rPr>
        <w:t>(2003, p.81)</w:t>
      </w:r>
      <w:r w:rsidR="00EE345B" w:rsidRPr="00D73EEB">
        <w:rPr>
          <w:rFonts w:cs="Times New Roman"/>
          <w:szCs w:val="24"/>
        </w:rPr>
        <w:t>, “a</w:t>
      </w:r>
      <w:r w:rsidR="00AD06CA" w:rsidRPr="00D73EEB">
        <w:rPr>
          <w:rFonts w:cs="Times New Roman"/>
          <w:szCs w:val="24"/>
        </w:rPr>
        <w:t xml:space="preserve"> pesquisa descritiva configura-se como um estudo intermediário entre a pesquisa exploratória e a explicativa, ou seja, não é tão preliminar como a primeira, nem tão aprofundada como a </w:t>
      </w:r>
      <w:r w:rsidR="00146545" w:rsidRPr="00D73EEB">
        <w:rPr>
          <w:rFonts w:cs="Times New Roman"/>
          <w:szCs w:val="24"/>
        </w:rPr>
        <w:t>segunda</w:t>
      </w:r>
      <w:r w:rsidR="00BA38F7" w:rsidRPr="00D73EEB">
        <w:rPr>
          <w:rFonts w:cs="Times New Roman"/>
          <w:szCs w:val="24"/>
        </w:rPr>
        <w:t>”</w:t>
      </w:r>
      <w:r w:rsidR="00146545" w:rsidRPr="00D73EEB">
        <w:rPr>
          <w:rFonts w:cs="Times New Roman"/>
          <w:szCs w:val="24"/>
        </w:rPr>
        <w:t>.</w:t>
      </w:r>
    </w:p>
    <w:p w:rsidR="009B39C0" w:rsidRDefault="00FD2E88" w:rsidP="00FD2E8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EE345B" w:rsidRPr="00D73EEB">
        <w:rPr>
          <w:rFonts w:cs="Times New Roman"/>
          <w:szCs w:val="24"/>
        </w:rPr>
        <w:t>Esta pesquisa nos permitirá verificar</w:t>
      </w:r>
      <w:r w:rsidR="009E68A9" w:rsidRPr="00D73EEB">
        <w:rPr>
          <w:rFonts w:cs="Times New Roman"/>
          <w:szCs w:val="24"/>
        </w:rPr>
        <w:t xml:space="preserve"> qual</w:t>
      </w:r>
      <w:r w:rsidR="000D1656" w:rsidRPr="00D73EEB">
        <w:rPr>
          <w:rFonts w:cs="Times New Roman"/>
          <w:szCs w:val="24"/>
        </w:rPr>
        <w:t xml:space="preserve"> legislaç</w:t>
      </w:r>
      <w:r w:rsidR="009E68A9" w:rsidRPr="00D73EEB">
        <w:rPr>
          <w:rFonts w:cs="Times New Roman"/>
          <w:szCs w:val="24"/>
        </w:rPr>
        <w:t>ão do Simples Nacional será mais favorável sob a ótica de</w:t>
      </w:r>
      <w:r w:rsidR="004A7419" w:rsidRPr="00D73EEB">
        <w:rPr>
          <w:rFonts w:cs="Times New Roman"/>
          <w:szCs w:val="24"/>
        </w:rPr>
        <w:t xml:space="preserve"> </w:t>
      </w:r>
      <w:r w:rsidR="000D1656" w:rsidRPr="00D73EEB">
        <w:rPr>
          <w:rFonts w:cs="Times New Roman"/>
          <w:szCs w:val="24"/>
        </w:rPr>
        <w:t>três empresas</w:t>
      </w:r>
      <w:r w:rsidR="004A7419" w:rsidRPr="00D73EEB">
        <w:rPr>
          <w:rFonts w:cs="Times New Roman"/>
          <w:szCs w:val="24"/>
        </w:rPr>
        <w:t xml:space="preserve"> </w:t>
      </w:r>
      <w:r w:rsidR="000D1656" w:rsidRPr="00D73EEB">
        <w:rPr>
          <w:rFonts w:cs="Times New Roman"/>
          <w:szCs w:val="24"/>
        </w:rPr>
        <w:t xml:space="preserve">do ramo </w:t>
      </w:r>
      <w:r w:rsidR="00DD1CC0" w:rsidRPr="00D73EEB">
        <w:rPr>
          <w:rFonts w:cs="Times New Roman"/>
          <w:szCs w:val="24"/>
        </w:rPr>
        <w:t xml:space="preserve">de </w:t>
      </w:r>
      <w:r w:rsidR="00146545" w:rsidRPr="00D73EEB">
        <w:rPr>
          <w:rFonts w:cs="Times New Roman"/>
          <w:szCs w:val="24"/>
        </w:rPr>
        <w:t>comércio</w:t>
      </w:r>
      <w:r w:rsidR="000D1656" w:rsidRPr="00D73EEB">
        <w:rPr>
          <w:rFonts w:cs="Times New Roman"/>
          <w:szCs w:val="24"/>
        </w:rPr>
        <w:t>,</w:t>
      </w:r>
      <w:r w:rsidR="004A7419" w:rsidRPr="00D73EEB">
        <w:rPr>
          <w:rFonts w:cs="Times New Roman"/>
          <w:szCs w:val="24"/>
        </w:rPr>
        <w:t xml:space="preserve"> </w:t>
      </w:r>
      <w:r w:rsidR="000D1656" w:rsidRPr="00D73EEB">
        <w:rPr>
          <w:rFonts w:cs="Times New Roman"/>
          <w:szCs w:val="24"/>
        </w:rPr>
        <w:t xml:space="preserve">a antiga Lei Complementar </w:t>
      </w:r>
      <w:r w:rsidR="00C017D2" w:rsidRPr="00D73EEB">
        <w:rPr>
          <w:rFonts w:cs="Times New Roman"/>
          <w:szCs w:val="24"/>
        </w:rPr>
        <w:t>n° 123/2006 ou a nova</w:t>
      </w:r>
      <w:r w:rsidR="000D1656" w:rsidRPr="00D73EEB">
        <w:rPr>
          <w:rFonts w:cs="Times New Roman"/>
          <w:szCs w:val="24"/>
        </w:rPr>
        <w:t xml:space="preserve"> Lei Complementar </w:t>
      </w:r>
      <w:r w:rsidR="00C017D2" w:rsidRPr="00D73EEB">
        <w:rPr>
          <w:rFonts w:cs="Times New Roman"/>
          <w:szCs w:val="24"/>
        </w:rPr>
        <w:t xml:space="preserve">n° </w:t>
      </w:r>
      <w:r w:rsidR="000D1656" w:rsidRPr="00D73EEB">
        <w:rPr>
          <w:rFonts w:cs="Times New Roman"/>
          <w:szCs w:val="24"/>
        </w:rPr>
        <w:t xml:space="preserve">155/2016, </w:t>
      </w:r>
      <w:r w:rsidR="003817F3" w:rsidRPr="00D73EEB">
        <w:rPr>
          <w:rFonts w:cs="Times New Roman"/>
          <w:szCs w:val="24"/>
        </w:rPr>
        <w:t>que diz respeito</w:t>
      </w:r>
      <w:r w:rsidR="004A7419" w:rsidRPr="00D73EEB">
        <w:rPr>
          <w:rFonts w:cs="Times New Roman"/>
          <w:szCs w:val="24"/>
        </w:rPr>
        <w:t xml:space="preserve"> </w:t>
      </w:r>
      <w:r w:rsidR="003817F3" w:rsidRPr="00D73EEB">
        <w:rPr>
          <w:rFonts w:cs="Times New Roman"/>
          <w:szCs w:val="24"/>
        </w:rPr>
        <w:t>à</w:t>
      </w:r>
      <w:r w:rsidR="000D1656" w:rsidRPr="00D73EEB">
        <w:rPr>
          <w:rFonts w:cs="Times New Roman"/>
          <w:szCs w:val="24"/>
        </w:rPr>
        <w:t xml:space="preserve"> apuração dos tributos</w:t>
      </w:r>
      <w:r w:rsidR="004A7419" w:rsidRPr="00D73EEB">
        <w:rPr>
          <w:rFonts w:cs="Times New Roman"/>
          <w:szCs w:val="24"/>
        </w:rPr>
        <w:t xml:space="preserve"> </w:t>
      </w:r>
      <w:r w:rsidR="003817F3" w:rsidRPr="00D73EEB">
        <w:rPr>
          <w:rFonts w:cs="Times New Roman"/>
          <w:szCs w:val="24"/>
        </w:rPr>
        <w:t>devidos</w:t>
      </w:r>
      <w:r w:rsidR="000D1656" w:rsidRPr="00D73EEB">
        <w:rPr>
          <w:rFonts w:cs="Times New Roman"/>
          <w:szCs w:val="24"/>
        </w:rPr>
        <w:t xml:space="preserve">. </w:t>
      </w:r>
      <w:r w:rsidR="003817F3" w:rsidRPr="00D73EEB">
        <w:rPr>
          <w:rFonts w:cs="Times New Roman"/>
          <w:szCs w:val="24"/>
        </w:rPr>
        <w:t xml:space="preserve">Consequentemente, </w:t>
      </w:r>
      <w:r w:rsidR="000D1656" w:rsidRPr="00D73EEB">
        <w:rPr>
          <w:rFonts w:cs="Times New Roman"/>
          <w:szCs w:val="24"/>
        </w:rPr>
        <w:t xml:space="preserve">o </w:t>
      </w:r>
      <w:r w:rsidR="003817F3" w:rsidRPr="00D73EEB">
        <w:rPr>
          <w:rFonts w:cs="Times New Roman"/>
          <w:szCs w:val="24"/>
        </w:rPr>
        <w:t xml:space="preserve">artigo utiliza-se de </w:t>
      </w:r>
      <w:r w:rsidR="000D1656" w:rsidRPr="00D73EEB">
        <w:rPr>
          <w:rFonts w:cs="Times New Roman"/>
          <w:szCs w:val="24"/>
        </w:rPr>
        <w:t>estudo c</w:t>
      </w:r>
      <w:r w:rsidR="003817F3" w:rsidRPr="00D73EEB">
        <w:rPr>
          <w:rFonts w:cs="Times New Roman"/>
          <w:szCs w:val="24"/>
        </w:rPr>
        <w:t xml:space="preserve">omparativo, de caráter quantitativo, desenvolvido por meio de pesquisa descritiva. </w:t>
      </w:r>
    </w:p>
    <w:p w:rsidR="003F3299" w:rsidRPr="00D73EEB" w:rsidRDefault="003F3299" w:rsidP="003F3299">
      <w:pPr>
        <w:rPr>
          <w:rFonts w:cs="Times New Roman"/>
          <w:szCs w:val="24"/>
        </w:rPr>
      </w:pPr>
    </w:p>
    <w:p w:rsidR="003F3299" w:rsidRPr="00CD6D28" w:rsidRDefault="000D1656" w:rsidP="00CD6D28">
      <w:pPr>
        <w:pStyle w:val="Ttulo2"/>
        <w:ind w:left="0" w:firstLine="0"/>
        <w:rPr>
          <w:szCs w:val="24"/>
        </w:rPr>
      </w:pPr>
      <w:bookmarkStart w:id="1" w:name="_Toc417668848"/>
      <w:r w:rsidRPr="00D73EEB">
        <w:rPr>
          <w:szCs w:val="24"/>
        </w:rPr>
        <w:t>Instrumentos Utilizados</w:t>
      </w:r>
      <w:bookmarkEnd w:id="1"/>
    </w:p>
    <w:p w:rsidR="00F436F7" w:rsidRPr="00D73EEB" w:rsidRDefault="00F436F7" w:rsidP="003F3299">
      <w:pPr>
        <w:rPr>
          <w:rFonts w:cs="Times New Roman"/>
          <w:szCs w:val="24"/>
        </w:rPr>
      </w:pPr>
      <w:r w:rsidRPr="00D73EEB">
        <w:rPr>
          <w:rFonts w:cs="Times New Roman"/>
          <w:szCs w:val="24"/>
        </w:rPr>
        <w:t xml:space="preserve">Para a elaboração deste artigo foi efetuada uma pesquisa bibliográfica sobre as legislações do Simples Nacional, com foco principal na Lei Complementar n° 123/2006 e na Lei Complementar n° 155/2016. </w:t>
      </w:r>
      <w:r w:rsidR="00F55CED" w:rsidRPr="00D73EEB">
        <w:rPr>
          <w:rFonts w:cs="Times New Roman"/>
          <w:szCs w:val="24"/>
        </w:rPr>
        <w:t>Gil (2009) considera</w:t>
      </w:r>
      <w:r w:rsidR="000568CF" w:rsidRPr="00D73EEB">
        <w:rPr>
          <w:rFonts w:cs="Times New Roman"/>
          <w:szCs w:val="24"/>
        </w:rPr>
        <w:t xml:space="preserve"> que a pesquisa bibliográfica é desenvolvida por meio de materiais já fabricados, como livros e artigos científicos. E permite ao investigador do conteúdo, a cobertura de uma série de fenômenos mais abrangente do que aquela que poderia ser pesquisada diretamente. </w:t>
      </w:r>
    </w:p>
    <w:p w:rsidR="00F436F7" w:rsidRDefault="00F436F7" w:rsidP="00EC0B6A">
      <w:pPr>
        <w:rPr>
          <w:rFonts w:cs="Times New Roman"/>
          <w:szCs w:val="24"/>
        </w:rPr>
      </w:pPr>
      <w:r w:rsidRPr="00D73EEB">
        <w:rPr>
          <w:rFonts w:cs="Times New Roman"/>
          <w:szCs w:val="24"/>
        </w:rPr>
        <w:t>A</w:t>
      </w:r>
      <w:r w:rsidR="00A32C3A">
        <w:rPr>
          <w:rFonts w:cs="Times New Roman"/>
          <w:szCs w:val="24"/>
        </w:rPr>
        <w:t xml:space="preserve"> coleta de dados foi realizada através dos faturamentos mensal, e o acumulado nos 12 meses anteriores, de cada uma das três empresas selecionadas</w:t>
      </w:r>
      <w:r w:rsidR="008C56F8" w:rsidRPr="00D73EEB">
        <w:rPr>
          <w:rFonts w:cs="Times New Roman"/>
          <w:szCs w:val="24"/>
        </w:rPr>
        <w:t>.</w:t>
      </w:r>
      <w:r w:rsidR="00A32C3A">
        <w:rPr>
          <w:rFonts w:cs="Times New Roman"/>
          <w:szCs w:val="24"/>
        </w:rPr>
        <w:t xml:space="preserve"> </w:t>
      </w:r>
      <w:r w:rsidR="008C56F8" w:rsidRPr="00D73EEB">
        <w:rPr>
          <w:rFonts w:cs="Times New Roman"/>
          <w:szCs w:val="24"/>
        </w:rPr>
        <w:t xml:space="preserve">Desta forma, a análise foi feita entre </w:t>
      </w:r>
      <w:r w:rsidR="000A43A6" w:rsidRPr="00D73EEB">
        <w:rPr>
          <w:rFonts w:cs="Times New Roman"/>
          <w:szCs w:val="24"/>
        </w:rPr>
        <w:t xml:space="preserve">o período </w:t>
      </w:r>
      <w:r w:rsidR="003D6D88" w:rsidRPr="00D73EEB">
        <w:rPr>
          <w:rFonts w:cs="Times New Roman"/>
          <w:szCs w:val="24"/>
        </w:rPr>
        <w:t>de 1º de janeiro de 2016</w:t>
      </w:r>
      <w:r w:rsidR="00F90A87" w:rsidRPr="00D73EEB">
        <w:rPr>
          <w:rFonts w:cs="Times New Roman"/>
          <w:szCs w:val="24"/>
        </w:rPr>
        <w:t xml:space="preserve"> a </w:t>
      </w:r>
      <w:r w:rsidR="00562786" w:rsidRPr="00D73EEB">
        <w:rPr>
          <w:rFonts w:cs="Times New Roman"/>
          <w:szCs w:val="24"/>
        </w:rPr>
        <w:t>31</w:t>
      </w:r>
      <w:r w:rsidR="00F90A87" w:rsidRPr="00D73EEB">
        <w:rPr>
          <w:rFonts w:cs="Times New Roman"/>
          <w:szCs w:val="24"/>
        </w:rPr>
        <w:t xml:space="preserve"> de </w:t>
      </w:r>
      <w:r w:rsidR="00562786" w:rsidRPr="00D73EEB">
        <w:rPr>
          <w:rFonts w:cs="Times New Roman"/>
          <w:szCs w:val="24"/>
        </w:rPr>
        <w:t>abril de 2018</w:t>
      </w:r>
      <w:r w:rsidR="000A43A6" w:rsidRPr="00D73EEB">
        <w:rPr>
          <w:rFonts w:cs="Times New Roman"/>
          <w:szCs w:val="24"/>
        </w:rPr>
        <w:t>, com o intuito de apurar e</w:t>
      </w:r>
      <w:r w:rsidR="00EB0EF7">
        <w:rPr>
          <w:rFonts w:cs="Times New Roman"/>
          <w:szCs w:val="24"/>
        </w:rPr>
        <w:t xml:space="preserve"> posteriormente</w:t>
      </w:r>
      <w:r w:rsidR="004A7419" w:rsidRPr="00D73EEB">
        <w:rPr>
          <w:rFonts w:cs="Times New Roman"/>
          <w:szCs w:val="24"/>
        </w:rPr>
        <w:t xml:space="preserve"> </w:t>
      </w:r>
      <w:r w:rsidR="000A43A6" w:rsidRPr="00D73EEB">
        <w:rPr>
          <w:rFonts w:cs="Times New Roman"/>
          <w:szCs w:val="24"/>
        </w:rPr>
        <w:t>comparar os valores dos tribu</w:t>
      </w:r>
      <w:r w:rsidR="00E34D48">
        <w:rPr>
          <w:rFonts w:cs="Times New Roman"/>
          <w:szCs w:val="24"/>
        </w:rPr>
        <w:t>tos devidos</w:t>
      </w:r>
      <w:r w:rsidR="000A43A6" w:rsidRPr="00D73EEB">
        <w:rPr>
          <w:rFonts w:cs="Times New Roman"/>
          <w:szCs w:val="24"/>
        </w:rPr>
        <w:t>. Os anos foram</w:t>
      </w:r>
      <w:r w:rsidR="004A7419" w:rsidRPr="00D73EEB">
        <w:rPr>
          <w:rFonts w:cs="Times New Roman"/>
          <w:szCs w:val="24"/>
        </w:rPr>
        <w:t xml:space="preserve"> </w:t>
      </w:r>
      <w:r w:rsidR="000A43A6" w:rsidRPr="00D73EEB">
        <w:rPr>
          <w:rFonts w:cs="Times New Roman"/>
          <w:szCs w:val="24"/>
        </w:rPr>
        <w:t>selecionados pela necessidade de dados recentes, para que as análises sejam retratadas o</w:t>
      </w:r>
      <w:r w:rsidR="004A7419" w:rsidRPr="00D73EEB">
        <w:rPr>
          <w:rFonts w:cs="Times New Roman"/>
          <w:szCs w:val="24"/>
        </w:rPr>
        <w:t xml:space="preserve"> </w:t>
      </w:r>
      <w:r w:rsidR="000A43A6" w:rsidRPr="00D73EEB">
        <w:rPr>
          <w:rFonts w:cs="Times New Roman"/>
          <w:szCs w:val="24"/>
        </w:rPr>
        <w:t>mais próximo possível da realidade das empresas.</w:t>
      </w:r>
    </w:p>
    <w:p w:rsidR="003F3299" w:rsidRPr="00D73EEB" w:rsidRDefault="003F3299" w:rsidP="00EC0B6A">
      <w:pPr>
        <w:rPr>
          <w:rFonts w:cs="Times New Roman"/>
          <w:szCs w:val="24"/>
        </w:rPr>
      </w:pPr>
    </w:p>
    <w:p w:rsidR="003F3299" w:rsidRPr="00CD6D28" w:rsidRDefault="000D1656" w:rsidP="00CD6D28">
      <w:pPr>
        <w:pStyle w:val="Ttulo2"/>
        <w:rPr>
          <w:szCs w:val="24"/>
        </w:rPr>
      </w:pPr>
      <w:bookmarkStart w:id="2" w:name="_Toc417668849"/>
      <w:r w:rsidRPr="00D73EEB">
        <w:rPr>
          <w:szCs w:val="24"/>
        </w:rPr>
        <w:t>Procedimentos Metodológicos</w:t>
      </w:r>
      <w:bookmarkEnd w:id="2"/>
    </w:p>
    <w:p w:rsidR="00C32D86" w:rsidRDefault="00127DC8" w:rsidP="00EC0B6A">
      <w:pPr>
        <w:rPr>
          <w:rFonts w:asciiTheme="minorHAnsi" w:hAnsiTheme="minorHAnsi"/>
          <w:sz w:val="22"/>
        </w:rPr>
      </w:pPr>
      <w:r w:rsidRPr="00D73EEB">
        <w:rPr>
          <w:rFonts w:cs="Times New Roman"/>
          <w:szCs w:val="24"/>
        </w:rPr>
        <w:t>Para a realização da pesquisa</w:t>
      </w:r>
      <w:r w:rsidR="004214CA" w:rsidRPr="00D73EEB">
        <w:rPr>
          <w:rFonts w:cs="Times New Roman"/>
          <w:szCs w:val="24"/>
        </w:rPr>
        <w:t>,</w:t>
      </w:r>
      <w:r w:rsidRPr="00D73EEB">
        <w:rPr>
          <w:rFonts w:cs="Times New Roman"/>
          <w:szCs w:val="24"/>
        </w:rPr>
        <w:t xml:space="preserve"> inicialmente foram feitos</w:t>
      </w:r>
      <w:r w:rsidR="00C32D86" w:rsidRPr="00D73EEB">
        <w:rPr>
          <w:rFonts w:cs="Times New Roman"/>
          <w:szCs w:val="24"/>
        </w:rPr>
        <w:t xml:space="preserve"> os levantamentos da coleta de </w:t>
      </w:r>
      <w:r w:rsidRPr="00D73EEB">
        <w:rPr>
          <w:rFonts w:cs="Times New Roman"/>
          <w:szCs w:val="24"/>
        </w:rPr>
        <w:t>dados</w:t>
      </w:r>
      <w:r w:rsidR="00025D86" w:rsidRPr="00D73EEB">
        <w:rPr>
          <w:rFonts w:cs="Times New Roman"/>
          <w:szCs w:val="24"/>
        </w:rPr>
        <w:t xml:space="preserve"> </w:t>
      </w:r>
      <w:r w:rsidR="00F55CED" w:rsidRPr="00D73EEB">
        <w:rPr>
          <w:rFonts w:cs="Times New Roman"/>
          <w:szCs w:val="24"/>
        </w:rPr>
        <w:t>das empresas participantes</w:t>
      </w:r>
      <w:r w:rsidR="00654CC1" w:rsidRPr="00D73EEB">
        <w:rPr>
          <w:rFonts w:cs="Times New Roman"/>
          <w:szCs w:val="24"/>
        </w:rPr>
        <w:t>, conforme T</w:t>
      </w:r>
      <w:r w:rsidR="00A32C3A">
        <w:rPr>
          <w:rFonts w:cs="Times New Roman"/>
          <w:szCs w:val="24"/>
        </w:rPr>
        <w:t>abela 1</w:t>
      </w:r>
      <w:r w:rsidR="004214CA" w:rsidRPr="00D73EEB">
        <w:rPr>
          <w:rFonts w:cs="Times New Roman"/>
          <w:szCs w:val="24"/>
        </w:rPr>
        <w:t>.</w:t>
      </w:r>
      <w:r w:rsidR="00FD53E1" w:rsidRPr="00D73EEB">
        <w:rPr>
          <w:rFonts w:cs="Times New Roman"/>
          <w:szCs w:val="24"/>
        </w:rPr>
        <w:t xml:space="preserve"> </w:t>
      </w:r>
      <w:r w:rsidR="004214CA" w:rsidRPr="00D73EEB">
        <w:rPr>
          <w:rFonts w:cs="Times New Roman"/>
          <w:szCs w:val="24"/>
        </w:rPr>
        <w:t xml:space="preserve">Onde foi </w:t>
      </w:r>
      <w:r w:rsidR="00FD53E1" w:rsidRPr="00D73EEB">
        <w:rPr>
          <w:rFonts w:cs="Times New Roman"/>
          <w:szCs w:val="24"/>
        </w:rPr>
        <w:t>consentida</w:t>
      </w:r>
      <w:r w:rsidR="004214CA" w:rsidRPr="00D73EEB">
        <w:rPr>
          <w:rFonts w:cs="Times New Roman"/>
          <w:szCs w:val="24"/>
        </w:rPr>
        <w:t xml:space="preserve"> entre os supe</w:t>
      </w:r>
      <w:r w:rsidR="00277258" w:rsidRPr="00D73EEB">
        <w:rPr>
          <w:rFonts w:cs="Times New Roman"/>
          <w:szCs w:val="24"/>
        </w:rPr>
        <w:t>riores das três</w:t>
      </w:r>
      <w:r w:rsidR="00132840" w:rsidRPr="00D73EEB">
        <w:rPr>
          <w:rFonts w:cs="Times New Roman"/>
          <w:szCs w:val="24"/>
        </w:rPr>
        <w:t xml:space="preserve"> empresas</w:t>
      </w:r>
      <w:r w:rsidR="00277258" w:rsidRPr="00D73EEB">
        <w:rPr>
          <w:rFonts w:cs="Times New Roman"/>
          <w:szCs w:val="24"/>
        </w:rPr>
        <w:t xml:space="preserve"> analisadas</w:t>
      </w:r>
      <w:r w:rsidR="004214CA" w:rsidRPr="00D73EEB">
        <w:rPr>
          <w:rFonts w:cs="Times New Roman"/>
          <w:szCs w:val="24"/>
        </w:rPr>
        <w:t xml:space="preserve">, a permissão da autora fazer </w:t>
      </w:r>
      <w:r w:rsidR="00F66C0D" w:rsidRPr="00D73EEB">
        <w:rPr>
          <w:rFonts w:cs="Times New Roman"/>
          <w:szCs w:val="24"/>
        </w:rPr>
        <w:t>o uso das informações fornecida</w:t>
      </w:r>
      <w:r w:rsidR="004214CA" w:rsidRPr="00D73EEB">
        <w:rPr>
          <w:rFonts w:cs="Times New Roman"/>
          <w:szCs w:val="24"/>
        </w:rPr>
        <w:t>s.</w:t>
      </w:r>
      <w:r w:rsidR="00132840" w:rsidRPr="00D73EEB">
        <w:rPr>
          <w:rFonts w:cs="Times New Roman"/>
          <w:szCs w:val="24"/>
        </w:rPr>
        <w:t xml:space="preserve"> </w:t>
      </w:r>
      <w:r w:rsidR="00132840" w:rsidRPr="00D73EEB">
        <w:rPr>
          <w:rFonts w:cs="Times New Roman"/>
          <w:szCs w:val="24"/>
        </w:rPr>
        <w:lastRenderedPageBreak/>
        <w:t xml:space="preserve">Contudo, </w:t>
      </w:r>
      <w:r w:rsidR="00FE6A68" w:rsidRPr="00D73EEB">
        <w:rPr>
          <w:rFonts w:cs="Times New Roman"/>
          <w:szCs w:val="24"/>
        </w:rPr>
        <w:t>para fins sigilosos, será omitido o nome das empresas.</w:t>
      </w:r>
      <w:r w:rsidR="00277258" w:rsidRPr="00D73EEB">
        <w:rPr>
          <w:rFonts w:cs="Times New Roman"/>
          <w:szCs w:val="24"/>
        </w:rPr>
        <w:t xml:space="preserve"> Posteriormente foram apurados os valores do Simples Nacional de acordo com a Lei Complementar nº 123/2006 e da Lei Complementar nº 155/2016.</w:t>
      </w:r>
      <w:r w:rsidR="00277258" w:rsidRPr="00EC0B6A">
        <w:rPr>
          <w:rFonts w:asciiTheme="minorHAnsi" w:hAnsiTheme="minorHAnsi"/>
          <w:sz w:val="22"/>
        </w:rPr>
        <w:t xml:space="preserve"> </w:t>
      </w:r>
    </w:p>
    <w:p w:rsidR="003F3299" w:rsidRPr="00EC0B6A" w:rsidRDefault="005C44BB" w:rsidP="00BC2926">
      <w:pPr>
        <w:ind w:firstLine="0"/>
        <w:jc w:val="center"/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 w:val="20"/>
          <w:szCs w:val="20"/>
          <w:lang w:eastAsia="pt-BR"/>
        </w:rPr>
        <w:t xml:space="preserve">Tabela 1. </w:t>
      </w:r>
      <w:r w:rsidR="00BC2926" w:rsidRPr="00875899">
        <w:rPr>
          <w:rFonts w:eastAsia="Times New Roman" w:cs="Times New Roman"/>
          <w:color w:val="000000"/>
          <w:sz w:val="20"/>
          <w:szCs w:val="20"/>
          <w:lang w:eastAsia="pt-BR"/>
        </w:rPr>
        <w:t>Coleta de dados das empresas para cálculo do imposto devido (Em R$)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708"/>
        <w:gridCol w:w="1253"/>
        <w:gridCol w:w="1563"/>
        <w:gridCol w:w="1253"/>
        <w:gridCol w:w="1563"/>
        <w:gridCol w:w="1253"/>
        <w:gridCol w:w="1563"/>
      </w:tblGrid>
      <w:tr w:rsidR="00875899" w:rsidRPr="00875899" w:rsidTr="00875899">
        <w:trPr>
          <w:trHeight w:val="2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DF2E2"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F2E2"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Alfa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DF2E2"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Beta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DF2E2"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Gama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E2"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Faturamento mensal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E2"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Faturamento acumulado - últimos 12 meses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F2E2"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Faturamento mensal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DF2E2"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Faturamento acumulado - últimos 12 meses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F2E2"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Faturamento mensal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DF2E2"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Faturamento acumulado - últimos 12 meses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jan/16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808,50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11.806,50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29.673,12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337.245,30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fev/16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1.058,50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11.545,00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28.344,24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337.644,00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mar/16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1.050,00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11.738,50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28.525,25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340.823,57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abr/16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952,00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11.859,50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29.824,94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342.327,07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mai/16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1.052,50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11.850,00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29.223,15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343.676,35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jun/16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1.146,00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11.759,50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33.167,65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349.894,33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jul/16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1.042,50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11.983,00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37.029,33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358.063,83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ago/16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1.188,50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12.196,50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36.103,52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366.577,35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set/16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1.140,50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12.348,50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9.936,54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119.238,48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26.870,95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371.003,84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out/16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1.204,00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12.657,50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15.966,72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155.419,56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33.309,30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377.490,77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nov/16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1.188,00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12.905,50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31.349,57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229.011,32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37.333,30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388.555,14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dez/16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1.413,00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13.152,50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15.134,87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217.163,10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72.423,09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409.251,95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jan/17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1.271,00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13.244,00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5.393,70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186.675,36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37.482,52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421.827,84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fev/17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1.128,50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13.706,50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10.058,69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175.680,18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46.042,75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429.637,24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mar/17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1.461,50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13.776,50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6.328,88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161.432,52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48.687,94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447.335,75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abr/17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1.086,50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14.188,00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6.309,86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150.718,25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42.146,82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467.498,44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mai/17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1.396,00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14.322,50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13.267,01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151.661,12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44.344,26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479.820,32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jun/17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1.325,50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14.666,00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1.872,42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138.741,91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45.573,10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494.941,43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jul/17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1.506,00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14.845,50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2.808,63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129.192,97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51.641,98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507.346,88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ago/17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1.590,00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15.309,00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4.212,95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122.639,84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44.624,36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521.959,53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set/17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1.076,50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15.710,50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20.910,48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143.550,32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37.583,46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530.480,37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out/17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1.327,00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15.837,50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19.729,47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153.343,25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46.057,95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541.192,88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nov/17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1.454,50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15.960,50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25.850,04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163.226,57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48.303,66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553.941,53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dez/17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1.739,00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16.227,00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69.154,70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201.031,70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76.745,87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564.911,89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jan/18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1.542,35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16.553,00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16.525,50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202.422,33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48.550,15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569.234,67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fev/18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1.313,50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16.824,35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23.269,35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220.297,98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42.917,36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580.302,30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mar/18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1.508,50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17.009,35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31.425,30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241.664,59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53.061,40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577.176,91</w:t>
            </w:r>
          </w:p>
        </w:tc>
      </w:tr>
      <w:tr w:rsidR="00875899" w:rsidRPr="00875899" w:rsidTr="0087589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abr/18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1.346,00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17.056,35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29.116,29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264.452,00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46.164,40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5899" w:rsidRPr="00875899" w:rsidRDefault="00875899" w:rsidP="0087589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75899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581.550,37</w:t>
            </w:r>
          </w:p>
        </w:tc>
      </w:tr>
    </w:tbl>
    <w:p w:rsidR="005729EA" w:rsidRPr="003F3299" w:rsidRDefault="006D2295" w:rsidP="00D73EEB">
      <w:pPr>
        <w:rPr>
          <w:szCs w:val="24"/>
        </w:rPr>
      </w:pPr>
      <w:r w:rsidRPr="003F3299">
        <w:rPr>
          <w:rFonts w:cs="Times New Roman"/>
          <w:szCs w:val="24"/>
        </w:rPr>
        <w:t xml:space="preserve">E por fim, foi </w:t>
      </w:r>
      <w:r w:rsidR="00C92E6C">
        <w:rPr>
          <w:rFonts w:cs="Times New Roman"/>
          <w:szCs w:val="24"/>
        </w:rPr>
        <w:t>efetuada uma comparação</w:t>
      </w:r>
      <w:r w:rsidR="00A82875" w:rsidRPr="003F3299">
        <w:rPr>
          <w:rFonts w:cs="Times New Roman"/>
          <w:szCs w:val="24"/>
        </w:rPr>
        <w:t xml:space="preserve"> entre as duas apurações dos resultados e</w:t>
      </w:r>
      <w:r w:rsidRPr="003F3299">
        <w:rPr>
          <w:rFonts w:cs="Times New Roman"/>
          <w:szCs w:val="24"/>
        </w:rPr>
        <w:t xml:space="preserve">ncontrados, com o intuito de identificar </w:t>
      </w:r>
      <w:r w:rsidR="00D065E0" w:rsidRPr="003F3299">
        <w:rPr>
          <w:rFonts w:cs="Times New Roman"/>
          <w:szCs w:val="24"/>
        </w:rPr>
        <w:t xml:space="preserve">qual </w:t>
      </w:r>
      <w:r w:rsidR="00A82875" w:rsidRPr="003F3299">
        <w:rPr>
          <w:rFonts w:cs="Times New Roman"/>
          <w:szCs w:val="24"/>
        </w:rPr>
        <w:t>o método men</w:t>
      </w:r>
      <w:r w:rsidR="00132840" w:rsidRPr="003F3299">
        <w:rPr>
          <w:rFonts w:cs="Times New Roman"/>
          <w:szCs w:val="24"/>
        </w:rPr>
        <w:t>os oneroso do Simples Nacional</w:t>
      </w:r>
      <w:r w:rsidR="00A82875" w:rsidRPr="003F3299">
        <w:rPr>
          <w:rFonts w:cs="Times New Roman"/>
          <w:szCs w:val="24"/>
        </w:rPr>
        <w:t>.</w:t>
      </w:r>
      <w:r w:rsidR="007561A8" w:rsidRPr="003F3299">
        <w:rPr>
          <w:szCs w:val="24"/>
        </w:rPr>
        <w:tab/>
      </w:r>
    </w:p>
    <w:p w:rsidR="00D73EEB" w:rsidRPr="003F3299" w:rsidRDefault="00D73EEB" w:rsidP="00D73EEB">
      <w:pPr>
        <w:rPr>
          <w:szCs w:val="24"/>
        </w:rPr>
      </w:pPr>
    </w:p>
    <w:p w:rsidR="00D73EEB" w:rsidRPr="00CD6D28" w:rsidRDefault="007561A8" w:rsidP="00CD6D28">
      <w:pPr>
        <w:pStyle w:val="Ttulo1"/>
        <w:spacing w:before="0" w:after="0"/>
        <w:ind w:left="432" w:hanging="432"/>
        <w:rPr>
          <w:szCs w:val="24"/>
        </w:rPr>
      </w:pPr>
      <w:r w:rsidRPr="003F3299">
        <w:rPr>
          <w:szCs w:val="24"/>
        </w:rPr>
        <w:t>REFERENCIAL TEÓRICO</w:t>
      </w:r>
    </w:p>
    <w:p w:rsidR="00EB6C84" w:rsidRPr="003F3299" w:rsidRDefault="00EB6C84" w:rsidP="00D73EEB">
      <w:pPr>
        <w:rPr>
          <w:rFonts w:cs="Times New Roman"/>
          <w:szCs w:val="24"/>
        </w:rPr>
      </w:pPr>
      <w:r w:rsidRPr="003F3299">
        <w:rPr>
          <w:rFonts w:cs="Times New Roman"/>
          <w:szCs w:val="24"/>
        </w:rPr>
        <w:t>Neste capítulo será abordado</w:t>
      </w:r>
      <w:r w:rsidR="00D96994" w:rsidRPr="003F3299">
        <w:rPr>
          <w:rFonts w:cs="Times New Roman"/>
          <w:szCs w:val="24"/>
        </w:rPr>
        <w:t xml:space="preserve"> o referencial</w:t>
      </w:r>
      <w:r w:rsidRPr="003F3299">
        <w:rPr>
          <w:rFonts w:cs="Times New Roman"/>
          <w:szCs w:val="24"/>
        </w:rPr>
        <w:t xml:space="preserve"> teórico do estudo, </w:t>
      </w:r>
      <w:r w:rsidR="00D96994" w:rsidRPr="003F3299">
        <w:rPr>
          <w:rFonts w:cs="Times New Roman"/>
          <w:szCs w:val="24"/>
        </w:rPr>
        <w:t xml:space="preserve">para melhor compreensão da pesquisa, </w:t>
      </w:r>
      <w:r w:rsidRPr="003F3299">
        <w:rPr>
          <w:rFonts w:cs="Times New Roman"/>
          <w:szCs w:val="24"/>
        </w:rPr>
        <w:t xml:space="preserve">com conceitos sobre os seguintes temas: </w:t>
      </w:r>
      <w:r w:rsidR="00D96994" w:rsidRPr="003F3299">
        <w:rPr>
          <w:rFonts w:cs="Times New Roman"/>
          <w:szCs w:val="24"/>
        </w:rPr>
        <w:t>Contabilidade</w:t>
      </w:r>
      <w:r w:rsidRPr="003F3299">
        <w:rPr>
          <w:rFonts w:cs="Times New Roman"/>
          <w:szCs w:val="24"/>
        </w:rPr>
        <w:t xml:space="preserve"> tributária; </w:t>
      </w:r>
      <w:r w:rsidR="00FD5CFB" w:rsidRPr="003F3299">
        <w:rPr>
          <w:rFonts w:cs="Times New Roman"/>
          <w:szCs w:val="24"/>
        </w:rPr>
        <w:t>Planejam</w:t>
      </w:r>
      <w:r w:rsidR="00587C9A" w:rsidRPr="003F3299">
        <w:rPr>
          <w:rFonts w:cs="Times New Roman"/>
          <w:szCs w:val="24"/>
        </w:rPr>
        <w:t>ento tributário</w:t>
      </w:r>
      <w:r w:rsidR="00146545" w:rsidRPr="003F3299">
        <w:rPr>
          <w:rFonts w:cs="Times New Roman"/>
          <w:szCs w:val="24"/>
        </w:rPr>
        <w:t>;</w:t>
      </w:r>
      <w:r w:rsidR="00587C9A" w:rsidRPr="003F3299">
        <w:rPr>
          <w:rFonts w:cs="Times New Roman"/>
          <w:szCs w:val="24"/>
        </w:rPr>
        <w:t xml:space="preserve"> Simples nacional; Novo</w:t>
      </w:r>
      <w:r w:rsidR="00146545" w:rsidRPr="003F3299">
        <w:rPr>
          <w:rFonts w:cs="Times New Roman"/>
          <w:szCs w:val="24"/>
        </w:rPr>
        <w:t xml:space="preserve"> Simples Nacional</w:t>
      </w:r>
      <w:r w:rsidR="00441EB9">
        <w:rPr>
          <w:rFonts w:cs="Times New Roman"/>
          <w:szCs w:val="24"/>
        </w:rPr>
        <w:t xml:space="preserve"> </w:t>
      </w:r>
      <w:r w:rsidR="00146545" w:rsidRPr="003F3299">
        <w:rPr>
          <w:rFonts w:cs="Times New Roman"/>
          <w:szCs w:val="24"/>
        </w:rPr>
        <w:t xml:space="preserve">2018 </w:t>
      </w:r>
      <w:r w:rsidR="00D96994" w:rsidRPr="003F3299">
        <w:rPr>
          <w:rFonts w:cs="Times New Roman"/>
          <w:szCs w:val="24"/>
        </w:rPr>
        <w:t>e estudos anteriores</w:t>
      </w:r>
      <w:r w:rsidR="00FC0469" w:rsidRPr="003F3299">
        <w:rPr>
          <w:rFonts w:cs="Times New Roman"/>
          <w:szCs w:val="24"/>
        </w:rPr>
        <w:t>.</w:t>
      </w:r>
    </w:p>
    <w:p w:rsidR="00D73EEB" w:rsidRDefault="00D73EEB" w:rsidP="00D73EEB">
      <w:pPr>
        <w:rPr>
          <w:rFonts w:cs="Times New Roman"/>
          <w:szCs w:val="24"/>
        </w:rPr>
      </w:pPr>
    </w:p>
    <w:p w:rsidR="00D73EEB" w:rsidRPr="00CD6D28" w:rsidRDefault="00FC6220" w:rsidP="00CD6D28">
      <w:pPr>
        <w:pStyle w:val="Ttulo2"/>
        <w:ind w:left="0" w:firstLine="0"/>
        <w:rPr>
          <w:szCs w:val="24"/>
        </w:rPr>
      </w:pPr>
      <w:r w:rsidRPr="003F0207">
        <w:rPr>
          <w:szCs w:val="24"/>
        </w:rPr>
        <w:t>CONTABILIDADE TRIBUTÁRIA</w:t>
      </w:r>
    </w:p>
    <w:p w:rsidR="00F74391" w:rsidRPr="00FF35E2" w:rsidRDefault="00295EB2" w:rsidP="00D73EEB">
      <w:r w:rsidRPr="00FF35E2">
        <w:t>Segundo</w:t>
      </w:r>
      <w:r w:rsidR="00FD5CFB" w:rsidRPr="00FF35E2">
        <w:t xml:space="preserve"> Oliveira et al. (2009), a contabilidade </w:t>
      </w:r>
      <w:r w:rsidRPr="00FF35E2">
        <w:t xml:space="preserve">tem diversas áreas, sendo uma delas a contabilidade </w:t>
      </w:r>
      <w:r w:rsidR="00FD5CFB" w:rsidRPr="00FF35E2">
        <w:t>tributária</w:t>
      </w:r>
      <w:r w:rsidRPr="00FF35E2">
        <w:t xml:space="preserve">. Esta por sua vez é relacionada com </w:t>
      </w:r>
      <w:r w:rsidR="00F74391" w:rsidRPr="00FF35E2">
        <w:t xml:space="preserve">os tributos incidentes sobre as atividades das empresas, e a efetiva aplicação da legislação vigente e suas obrigações </w:t>
      </w:r>
      <w:r w:rsidR="00F74391" w:rsidRPr="00FF35E2">
        <w:lastRenderedPageBreak/>
        <w:t>tributárias. E através do gerenciamento dos tributos, possibilita que a empresa esteja sempre de acordo com as normas exigidas pelo fisco.</w:t>
      </w:r>
    </w:p>
    <w:p w:rsidR="00EE5C2A" w:rsidRPr="008C7D01" w:rsidRDefault="00A04D92" w:rsidP="00C522F3">
      <w:r w:rsidRPr="00963988">
        <w:t xml:space="preserve">De acordo </w:t>
      </w:r>
      <w:r w:rsidR="00FF35E2" w:rsidRPr="00963988">
        <w:t>com Fabretti (2005, p.29) “é ramo da contabilidade que tem por objetivo aplicar na prática conceitos, princípios e normas básicas da contabilidade e da legislação tributária, de forma simultânea e adequada</w:t>
      </w:r>
      <w:r w:rsidR="00FF35E2" w:rsidRPr="00B26790">
        <w:t xml:space="preserve">”. </w:t>
      </w:r>
      <w:r w:rsidR="005729EA" w:rsidRPr="006962DA">
        <w:t>Fabretti (2006, p. 29)</w:t>
      </w:r>
      <w:r w:rsidR="00EE5C2A" w:rsidRPr="008C7D01">
        <w:rPr>
          <w:szCs w:val="24"/>
        </w:rPr>
        <w:t xml:space="preserve"> ainda define que</w:t>
      </w:r>
      <w:r w:rsidR="008C7D01" w:rsidRPr="008C7D01">
        <w:rPr>
          <w:szCs w:val="24"/>
        </w:rPr>
        <w:t xml:space="preserve"> “c</w:t>
      </w:r>
      <w:r w:rsidR="00EE5C2A" w:rsidRPr="008C7D01">
        <w:rPr>
          <w:rFonts w:cs="Times New Roman"/>
          <w:szCs w:val="24"/>
        </w:rPr>
        <w:t>omo ramo da contabilidade, deve demonstrar a situação do patrimônio e o resultado do exercício, de forma clara e precisa, rigorosamente de acordo com conceitos, princípios e normas básicas de contabilidade. O resultado apurado dever ser economicament</w:t>
      </w:r>
      <w:r w:rsidR="005729EA" w:rsidRPr="008C7D01">
        <w:rPr>
          <w:rFonts w:cs="Times New Roman"/>
          <w:szCs w:val="24"/>
        </w:rPr>
        <w:t>e certo</w:t>
      </w:r>
      <w:r w:rsidR="008C7D01" w:rsidRPr="008C7D01">
        <w:rPr>
          <w:rFonts w:cs="Times New Roman"/>
          <w:szCs w:val="24"/>
        </w:rPr>
        <w:t>”</w:t>
      </w:r>
      <w:r w:rsidR="00EE5C2A" w:rsidRPr="008C7D01">
        <w:rPr>
          <w:rFonts w:cs="Times New Roman"/>
          <w:szCs w:val="24"/>
        </w:rPr>
        <w:t>.</w:t>
      </w:r>
    </w:p>
    <w:p w:rsidR="00FC0469" w:rsidRDefault="00EE5C2A" w:rsidP="00D73EEB">
      <w:pPr>
        <w:rPr>
          <w:rFonts w:cs="Times New Roman"/>
          <w:szCs w:val="24"/>
        </w:rPr>
      </w:pPr>
      <w:r w:rsidRPr="00963988">
        <w:rPr>
          <w:rFonts w:cs="Times New Roman"/>
          <w:szCs w:val="24"/>
        </w:rPr>
        <w:t xml:space="preserve">Deste modo, para que </w:t>
      </w:r>
      <w:r w:rsidR="00BA38F7" w:rsidRPr="00963988">
        <w:rPr>
          <w:rFonts w:cs="Times New Roman"/>
          <w:szCs w:val="24"/>
        </w:rPr>
        <w:t>sejam</w:t>
      </w:r>
      <w:r w:rsidRPr="00963988">
        <w:rPr>
          <w:rFonts w:cs="Times New Roman"/>
          <w:szCs w:val="24"/>
        </w:rPr>
        <w:t xml:space="preserve"> gerados relatórios com autenticidade nas apurações do resultado do exercício social, é necessário realizar uma pesquisa prévia, antes de </w:t>
      </w:r>
      <w:r w:rsidR="00BA38F7" w:rsidRPr="00963988">
        <w:rPr>
          <w:rFonts w:cs="Times New Roman"/>
          <w:szCs w:val="24"/>
        </w:rPr>
        <w:t>pôr</w:t>
      </w:r>
      <w:r w:rsidRPr="00963988">
        <w:rPr>
          <w:rFonts w:cs="Times New Roman"/>
          <w:szCs w:val="24"/>
        </w:rPr>
        <w:t xml:space="preserve"> em prática o planejamento tributário</w:t>
      </w:r>
      <w:r w:rsidR="008C6C5E">
        <w:rPr>
          <w:rFonts w:cs="Times New Roman"/>
          <w:szCs w:val="24"/>
        </w:rPr>
        <w:t>.</w:t>
      </w:r>
    </w:p>
    <w:p w:rsidR="00D73EEB" w:rsidRDefault="00D73EEB" w:rsidP="00D73EEB">
      <w:pPr>
        <w:rPr>
          <w:rFonts w:cs="Times New Roman"/>
          <w:szCs w:val="24"/>
        </w:rPr>
      </w:pPr>
    </w:p>
    <w:p w:rsidR="00D73EEB" w:rsidRPr="00CD6D28" w:rsidRDefault="008C6C5E" w:rsidP="00CD6D28">
      <w:pPr>
        <w:pStyle w:val="Ttulo2"/>
        <w:ind w:left="0" w:firstLine="0"/>
        <w:rPr>
          <w:szCs w:val="24"/>
        </w:rPr>
      </w:pPr>
      <w:r w:rsidRPr="003F0207">
        <w:rPr>
          <w:szCs w:val="24"/>
        </w:rPr>
        <w:t>Planejamento TRIBUTÁRIo</w:t>
      </w:r>
    </w:p>
    <w:p w:rsidR="006975A4" w:rsidRDefault="0038274E" w:rsidP="00620452">
      <w:r>
        <w:t>É</w:t>
      </w:r>
      <w:r w:rsidRPr="004616DD">
        <w:t xml:space="preserve"> uma realidade para o país, a atuação mais ativa das micro e pequenas empresas, gerando assim um ambiente cada vez mais compet</w:t>
      </w:r>
      <w:r w:rsidR="001F71DC">
        <w:t>itivo entre elas. Surgindo</w:t>
      </w:r>
      <w:r w:rsidRPr="004616DD">
        <w:t>,</w:t>
      </w:r>
      <w:r w:rsidR="001F71DC">
        <w:t xml:space="preserve"> por sua vez,</w:t>
      </w:r>
      <w:r w:rsidRPr="004616DD">
        <w:t xml:space="preserve"> a necessidade de redução nos</w:t>
      </w:r>
      <w:r w:rsidR="00A4575A" w:rsidRPr="004616DD">
        <w:t xml:space="preserve"> custos. Dentre essas reduções, há a tentativa de diminuir os custos </w:t>
      </w:r>
      <w:r w:rsidR="00340A75" w:rsidRPr="004616DD">
        <w:t>tributários</w:t>
      </w:r>
      <w:r w:rsidR="00A4575A" w:rsidRPr="004616DD">
        <w:t xml:space="preserve">. </w:t>
      </w:r>
      <w:r w:rsidR="006975A4" w:rsidRPr="004616DD">
        <w:t xml:space="preserve">Segundo </w:t>
      </w:r>
      <w:r w:rsidR="001F71DC">
        <w:t>dados do Instituto Brasileiro de Planejamento e Tributação - IBPT</w:t>
      </w:r>
      <w:r w:rsidR="006C05DF" w:rsidRPr="001F3726">
        <w:t xml:space="preserve"> </w:t>
      </w:r>
      <w:r w:rsidR="001F71DC">
        <w:t>(</w:t>
      </w:r>
      <w:r w:rsidR="006975A4" w:rsidRPr="001F3726">
        <w:t>2018)</w:t>
      </w:r>
      <w:r w:rsidR="004A7419">
        <w:t xml:space="preserve"> </w:t>
      </w:r>
      <w:r w:rsidR="00C576A3" w:rsidRPr="004616DD">
        <w:t>o</w:t>
      </w:r>
      <w:r w:rsidR="00D01766" w:rsidRPr="004616DD">
        <w:t xml:space="preserve">s brasileiros trabalham em média, pouco mais de cinco meses no ano </w:t>
      </w:r>
      <w:r w:rsidR="00C576A3" w:rsidRPr="004616DD">
        <w:t>apenas para pagar tributos. E até junho de 2018, s</w:t>
      </w:r>
      <w:r w:rsidR="006975A4" w:rsidRPr="004616DD">
        <w:t>omente em impostos</w:t>
      </w:r>
      <w:r w:rsidR="00D01766" w:rsidRPr="004616DD">
        <w:t xml:space="preserve"> já foram arrecadados mais de </w:t>
      </w:r>
      <w:r w:rsidR="006975A4" w:rsidRPr="004616DD">
        <w:t>R$ 879 bilhões</w:t>
      </w:r>
      <w:r w:rsidR="00D01766" w:rsidRPr="004616DD">
        <w:t xml:space="preserve">. </w:t>
      </w:r>
      <w:r w:rsidR="001F71DC">
        <w:t>Além disso, Nakagawa (</w:t>
      </w:r>
      <w:r w:rsidR="002F35BB" w:rsidRPr="004616DD">
        <w:t xml:space="preserve">2016, p. 1) </w:t>
      </w:r>
      <w:r w:rsidR="00010DC4">
        <w:t>adverte que “o</w:t>
      </w:r>
      <w:r w:rsidR="002F35BB" w:rsidRPr="004616DD">
        <w:t xml:space="preserve"> Brasil é o país com a maior carga tributária em toda América Latina e Caribe. Estudo da Organização para a Cooperação e Desenvolvimento Econômico (OCDE) revela que brasileiros pagam </w:t>
      </w:r>
      <w:r w:rsidR="00B77D24" w:rsidRPr="004616DD">
        <w:t xml:space="preserve">o equivalente a 33,4% </w:t>
      </w:r>
      <w:r w:rsidR="002F35BB" w:rsidRPr="004616DD">
        <w:t xml:space="preserve">da economia </w:t>
      </w:r>
      <w:r w:rsidR="00B77D24" w:rsidRPr="004616DD">
        <w:t xml:space="preserve">total </w:t>
      </w:r>
      <w:r w:rsidR="002F35BB" w:rsidRPr="004616DD">
        <w:t>em taxas e impostos”.</w:t>
      </w:r>
    </w:p>
    <w:p w:rsidR="00B77D24" w:rsidRPr="004616DD" w:rsidRDefault="00340A75" w:rsidP="00EC0B6A">
      <w:pPr>
        <w:rPr>
          <w:rFonts w:cs="Times New Roman"/>
          <w:szCs w:val="24"/>
        </w:rPr>
      </w:pPr>
      <w:r w:rsidRPr="004616DD">
        <w:rPr>
          <w:rFonts w:cs="Times New Roman"/>
          <w:szCs w:val="24"/>
        </w:rPr>
        <w:t xml:space="preserve"> A alta tributação influencia </w:t>
      </w:r>
      <w:r w:rsidR="006C05DF" w:rsidRPr="004616DD">
        <w:rPr>
          <w:rFonts w:cs="Times New Roman"/>
          <w:szCs w:val="24"/>
        </w:rPr>
        <w:t xml:space="preserve">diretamente </w:t>
      </w:r>
      <w:r w:rsidRPr="004616DD">
        <w:rPr>
          <w:rFonts w:cs="Times New Roman"/>
          <w:szCs w:val="24"/>
        </w:rPr>
        <w:t>no crescimento das organizações</w:t>
      </w:r>
      <w:r w:rsidR="006C05DF" w:rsidRPr="004616DD">
        <w:rPr>
          <w:rFonts w:cs="Times New Roman"/>
          <w:szCs w:val="24"/>
        </w:rPr>
        <w:t xml:space="preserve">, sendo um desafio para as empresas de se manterem no mercado competitivo, e de apresentarem diferenciadas de seus concorrentes. Sendo assim, se faz necessário um bom planejamento </w:t>
      </w:r>
      <w:r w:rsidR="00C4797E" w:rsidRPr="004616DD">
        <w:rPr>
          <w:rFonts w:cs="Times New Roman"/>
          <w:szCs w:val="24"/>
        </w:rPr>
        <w:t xml:space="preserve">tributário para a </w:t>
      </w:r>
      <w:r w:rsidR="00496126" w:rsidRPr="004616DD">
        <w:rPr>
          <w:rFonts w:cs="Times New Roman"/>
          <w:szCs w:val="24"/>
        </w:rPr>
        <w:t xml:space="preserve">redução do ônus </w:t>
      </w:r>
      <w:r w:rsidR="006F0E22" w:rsidRPr="004616DD">
        <w:rPr>
          <w:rFonts w:cs="Times New Roman"/>
          <w:szCs w:val="24"/>
        </w:rPr>
        <w:t xml:space="preserve">tributário </w:t>
      </w:r>
      <w:r w:rsidR="00496126" w:rsidRPr="004616DD">
        <w:rPr>
          <w:rFonts w:cs="Times New Roman"/>
          <w:szCs w:val="24"/>
        </w:rPr>
        <w:t>para a empresa.</w:t>
      </w:r>
      <w:r w:rsidR="008D43DD">
        <w:rPr>
          <w:rFonts w:cs="Times New Roman"/>
          <w:szCs w:val="24"/>
        </w:rPr>
        <w:t xml:space="preserve"> Zanluca</w:t>
      </w:r>
      <w:r w:rsidR="00043260" w:rsidRPr="004616DD">
        <w:rPr>
          <w:rFonts w:cs="Times New Roman"/>
          <w:szCs w:val="24"/>
        </w:rPr>
        <w:t xml:space="preserve"> </w:t>
      </w:r>
      <w:r w:rsidR="008D43DD">
        <w:rPr>
          <w:rFonts w:cs="Times New Roman"/>
          <w:szCs w:val="24"/>
        </w:rPr>
        <w:t>(</w:t>
      </w:r>
      <w:r w:rsidR="00043260" w:rsidRPr="004616DD">
        <w:rPr>
          <w:rFonts w:cs="Times New Roman"/>
          <w:szCs w:val="24"/>
        </w:rPr>
        <w:t>2017) define</w:t>
      </w:r>
      <w:r w:rsidR="008D43DD">
        <w:rPr>
          <w:rFonts w:cs="Times New Roman"/>
          <w:szCs w:val="24"/>
        </w:rPr>
        <w:t xml:space="preserve"> que o planejamento tributário diminui o montante de tributos a ser pago, por meio da união de um</w:t>
      </w:r>
      <w:r w:rsidR="00043260" w:rsidRPr="004616DD">
        <w:rPr>
          <w:rFonts w:cs="Times New Roman"/>
          <w:szCs w:val="24"/>
        </w:rPr>
        <w:t xml:space="preserve"> conjunto de sistemas legais. </w:t>
      </w:r>
      <w:r w:rsidR="008610D6" w:rsidRPr="004616DD">
        <w:rPr>
          <w:rFonts w:cs="Times New Roman"/>
          <w:szCs w:val="24"/>
        </w:rPr>
        <w:t>E de acordo com Chieregato (2006, p. 39) “o planejamento tributário é o estudo das alternativas lícitas de formalização jurídica de determinada operação, antes da ocorrência do fato gerador, para que o contribuinte possa optar pela que apresente menor ônus tributário”.</w:t>
      </w:r>
    </w:p>
    <w:p w:rsidR="008610D6" w:rsidRDefault="001B14C7" w:rsidP="00D73EEB">
      <w:pPr>
        <w:rPr>
          <w:rFonts w:cs="Times New Roman"/>
          <w:szCs w:val="24"/>
        </w:rPr>
      </w:pPr>
      <w:r>
        <w:rPr>
          <w:rFonts w:cs="Times New Roman"/>
          <w:szCs w:val="24"/>
        </w:rPr>
        <w:t>Dessa maneira</w:t>
      </w:r>
      <w:r w:rsidR="008610D6" w:rsidRPr="004616DD">
        <w:rPr>
          <w:rFonts w:cs="Times New Roman"/>
          <w:szCs w:val="24"/>
        </w:rPr>
        <w:t xml:space="preserve">, </w:t>
      </w:r>
      <w:r w:rsidR="006F0E22" w:rsidRPr="004616DD">
        <w:rPr>
          <w:rFonts w:cs="Times New Roman"/>
          <w:szCs w:val="24"/>
        </w:rPr>
        <w:t>é imprescindível a realização de um</w:t>
      </w:r>
      <w:r w:rsidR="0032022C" w:rsidRPr="004616DD">
        <w:rPr>
          <w:rFonts w:cs="Times New Roman"/>
          <w:szCs w:val="24"/>
        </w:rPr>
        <w:t xml:space="preserve"> planejamento</w:t>
      </w:r>
      <w:r w:rsidR="00D2073F" w:rsidRPr="004616DD">
        <w:rPr>
          <w:rFonts w:cs="Times New Roman"/>
          <w:szCs w:val="24"/>
        </w:rPr>
        <w:t xml:space="preserve"> p</w:t>
      </w:r>
      <w:r w:rsidR="00C4797E" w:rsidRPr="004616DD">
        <w:rPr>
          <w:rFonts w:cs="Times New Roman"/>
          <w:szCs w:val="24"/>
        </w:rPr>
        <w:t>a</w:t>
      </w:r>
      <w:r w:rsidR="00D2073F" w:rsidRPr="004616DD">
        <w:rPr>
          <w:rFonts w:cs="Times New Roman"/>
          <w:szCs w:val="24"/>
        </w:rPr>
        <w:t>ra</w:t>
      </w:r>
      <w:r w:rsidR="00C4797E" w:rsidRPr="004616DD">
        <w:rPr>
          <w:rFonts w:cs="Times New Roman"/>
          <w:szCs w:val="24"/>
        </w:rPr>
        <w:t xml:space="preserve"> adoção do re</w:t>
      </w:r>
      <w:r w:rsidR="006F0E22" w:rsidRPr="004616DD">
        <w:rPr>
          <w:rFonts w:cs="Times New Roman"/>
          <w:szCs w:val="24"/>
        </w:rPr>
        <w:t xml:space="preserve">gime tributário mais adequado. </w:t>
      </w:r>
      <w:r w:rsidR="00EC4DD1">
        <w:rPr>
          <w:rFonts w:cs="Times New Roman"/>
          <w:szCs w:val="24"/>
        </w:rPr>
        <w:t xml:space="preserve">Segundo Souza (2016) </w:t>
      </w:r>
      <w:r w:rsidR="00324D99">
        <w:rPr>
          <w:rFonts w:cs="Times New Roman"/>
          <w:szCs w:val="24"/>
        </w:rPr>
        <w:t xml:space="preserve">os regimes diferenciam e melhor assemelham a quantia total de tributos, devida aos Estados. </w:t>
      </w:r>
      <w:r w:rsidR="00506F72">
        <w:rPr>
          <w:rFonts w:cs="Times New Roman"/>
          <w:szCs w:val="24"/>
        </w:rPr>
        <w:t xml:space="preserve">No Brasil </w:t>
      </w:r>
      <w:r w:rsidR="008C0D10">
        <w:rPr>
          <w:rFonts w:cs="Times New Roman"/>
          <w:szCs w:val="24"/>
        </w:rPr>
        <w:t>encontram-se</w:t>
      </w:r>
      <w:r>
        <w:rPr>
          <w:rFonts w:cs="Times New Roman"/>
          <w:szCs w:val="24"/>
        </w:rPr>
        <w:t xml:space="preserve"> em atuação quatro regimes:</w:t>
      </w:r>
      <w:r w:rsidR="00D2073F" w:rsidRPr="004616DD">
        <w:rPr>
          <w:rFonts w:cs="Times New Roman"/>
          <w:szCs w:val="24"/>
        </w:rPr>
        <w:t xml:space="preserve"> Lucro Presumido, </w:t>
      </w:r>
      <w:r w:rsidR="00B1086E" w:rsidRPr="004616DD">
        <w:rPr>
          <w:rFonts w:cs="Times New Roman"/>
          <w:szCs w:val="24"/>
        </w:rPr>
        <w:t>Lucro Real</w:t>
      </w:r>
      <w:r>
        <w:rPr>
          <w:rFonts w:cs="Times New Roman"/>
          <w:szCs w:val="24"/>
        </w:rPr>
        <w:t>, Lucro Arbitrado</w:t>
      </w:r>
      <w:r w:rsidR="00B1086E" w:rsidRPr="004616DD">
        <w:rPr>
          <w:rFonts w:cs="Times New Roman"/>
          <w:szCs w:val="24"/>
        </w:rPr>
        <w:t xml:space="preserve"> e o Simples Nacional. Como a finalidade da pesquisa tem enfoque o Simples Nacional, nos próximos tópicos </w:t>
      </w:r>
      <w:r w:rsidR="0085736A" w:rsidRPr="004616DD">
        <w:rPr>
          <w:rFonts w:cs="Times New Roman"/>
          <w:szCs w:val="24"/>
        </w:rPr>
        <w:t>será abordado</w:t>
      </w:r>
      <w:r w:rsidR="004A7419">
        <w:rPr>
          <w:rFonts w:cs="Times New Roman"/>
          <w:szCs w:val="24"/>
        </w:rPr>
        <w:t xml:space="preserve"> </w:t>
      </w:r>
      <w:r w:rsidR="0085736A" w:rsidRPr="004616DD">
        <w:rPr>
          <w:rFonts w:cs="Times New Roman"/>
          <w:szCs w:val="24"/>
        </w:rPr>
        <w:t>o embasamento legal, conceitos e mudanças</w:t>
      </w:r>
      <w:r w:rsidR="00DE74F9">
        <w:rPr>
          <w:rFonts w:cs="Times New Roman"/>
          <w:szCs w:val="24"/>
        </w:rPr>
        <w:t xml:space="preserve"> deste regime específico</w:t>
      </w:r>
      <w:r w:rsidR="0085736A" w:rsidRPr="004616DD">
        <w:rPr>
          <w:rFonts w:cs="Times New Roman"/>
          <w:szCs w:val="24"/>
        </w:rPr>
        <w:t>.</w:t>
      </w:r>
    </w:p>
    <w:p w:rsidR="00D73EEB" w:rsidRDefault="00D73EEB" w:rsidP="00D73EEB"/>
    <w:p w:rsidR="00D73EEB" w:rsidRPr="00CD6D28" w:rsidRDefault="001806DD" w:rsidP="00CD6D28">
      <w:pPr>
        <w:pStyle w:val="Ttulo2"/>
        <w:ind w:left="0" w:firstLine="0"/>
        <w:rPr>
          <w:szCs w:val="24"/>
        </w:rPr>
      </w:pPr>
      <w:r w:rsidRPr="003F0207">
        <w:rPr>
          <w:szCs w:val="24"/>
        </w:rPr>
        <w:t>SIMPLES NACIONAL</w:t>
      </w:r>
    </w:p>
    <w:p w:rsidR="001806DD" w:rsidRDefault="009F7818" w:rsidP="00E87778">
      <w:r>
        <w:t xml:space="preserve">De acordo com </w:t>
      </w:r>
      <w:r w:rsidR="00C36867" w:rsidRPr="00C36867">
        <w:t>Ma</w:t>
      </w:r>
      <w:r>
        <w:t>rion e Iudícibus (2010, p. 343</w:t>
      </w:r>
      <w:r w:rsidR="00EC4DD1">
        <w:t>)</w:t>
      </w:r>
      <w:r w:rsidR="00EC4DD1" w:rsidRPr="00C36867">
        <w:t xml:space="preserve"> “</w:t>
      </w:r>
      <w:r w:rsidR="00C36867" w:rsidRPr="00C36867">
        <w:t>a sistêmica brasileira é um tanto quanto complicada e carrega no</w:t>
      </w:r>
      <w:r w:rsidR="004A7419">
        <w:t xml:space="preserve"> </w:t>
      </w:r>
      <w:r w:rsidR="00C36867" w:rsidRPr="00C36867">
        <w:t>seu bojo uma parafernália de alíquotas, e, o que é mais trágico, uma gama de obrigações acessórias</w:t>
      </w:r>
      <w:r w:rsidR="004A7419">
        <w:t xml:space="preserve"> </w:t>
      </w:r>
      <w:r w:rsidR="00C36867" w:rsidRPr="00C36867">
        <w:t>que deixa os processos complicados e caros”.</w:t>
      </w:r>
      <w:r>
        <w:t xml:space="preserve"> Devido a isso, nota-se a </w:t>
      </w:r>
      <w:r w:rsidR="0052532F">
        <w:t>importância</w:t>
      </w:r>
      <w:r>
        <w:t xml:space="preserve"> de um regime tributário capaz de unificar a cobrança dos </w:t>
      </w:r>
      <w:r>
        <w:lastRenderedPageBreak/>
        <w:t>diversos tributos</w:t>
      </w:r>
      <w:r w:rsidR="0052532F">
        <w:t xml:space="preserve"> existentes</w:t>
      </w:r>
      <w:r>
        <w:t>. Nesse sentido, houve a implementação do Simples Nacional no intuito de facilitar a tributação d</w:t>
      </w:r>
      <w:r w:rsidR="0052532F">
        <w:t>ess</w:t>
      </w:r>
      <w:r>
        <w:t>as micro e pequenas empresas</w:t>
      </w:r>
      <w:r w:rsidR="00920513">
        <w:t xml:space="preserve"> por meio da Lei Complementar n° 123/2006</w:t>
      </w:r>
      <w:r w:rsidR="0052532F">
        <w:t xml:space="preserve">. </w:t>
      </w:r>
    </w:p>
    <w:p w:rsidR="00E87778" w:rsidRPr="00AC214E" w:rsidRDefault="00E87778" w:rsidP="00E87778"/>
    <w:p w:rsidR="00E87778" w:rsidRPr="00CD6D28" w:rsidRDefault="0052532F" w:rsidP="00CD6D28">
      <w:pPr>
        <w:pStyle w:val="Ttulo3"/>
        <w:rPr>
          <w:u w:val="none"/>
        </w:rPr>
      </w:pPr>
      <w:r w:rsidRPr="00F97F9D">
        <w:rPr>
          <w:u w:val="none"/>
        </w:rPr>
        <w:t>Lei Complementar Nº 123/2006</w:t>
      </w:r>
    </w:p>
    <w:p w:rsidR="006B2CA2" w:rsidRDefault="0052532F" w:rsidP="00620452">
      <w:r>
        <w:t>O Simples Nacional de acordo com a Lei Complementar n° 123, de 14 de dezembro de 2006</w:t>
      </w:r>
      <w:r w:rsidR="00D65FA2">
        <w:t xml:space="preserve">, </w:t>
      </w:r>
      <w:r w:rsidR="00D65FA2" w:rsidRPr="00D65FA2">
        <w:t>alterada pelas Leis Complementares nº 127, de 14 de agosto de 2007 e nº 128, de 19 de dezembro de 2.008, nº 139, 10 de novembro de 2011 e resolução 94 de 29.11.2011. E Lei Complementar n° 147 de 2014.</w:t>
      </w:r>
      <w:r w:rsidR="00EC4DD1">
        <w:t xml:space="preserve"> </w:t>
      </w:r>
      <w:r w:rsidR="00D6758A" w:rsidRPr="008173EA">
        <w:t>Abrange todos os entes federados: União, Estados, Distrito Federal e Municípios. Sua administração é atravé</w:t>
      </w:r>
      <w:r w:rsidR="004C19D5">
        <w:t xml:space="preserve">s de um Comitê Gestor </w:t>
      </w:r>
      <w:r w:rsidR="00C528CC">
        <w:t>formada</w:t>
      </w:r>
      <w:r w:rsidR="004C19D5">
        <w:t xml:space="preserve"> por</w:t>
      </w:r>
      <w:r w:rsidR="00D6758A" w:rsidRPr="008173EA">
        <w:t xml:space="preserve"> oito integrantes: Quatro membros da Receita Federal do Brasil, dois participantes dos Estados e do Distrito Federal e dois dos Municípios. </w:t>
      </w:r>
      <w:r w:rsidR="00D6758A" w:rsidRPr="00D65FA2">
        <w:t xml:space="preserve">É um regime tributário de cobrança, </w:t>
      </w:r>
      <w:r w:rsidR="008173EA">
        <w:t>arrec</w:t>
      </w:r>
      <w:r w:rsidR="008173EA" w:rsidRPr="00D65FA2">
        <w:t>a</w:t>
      </w:r>
      <w:r w:rsidR="008173EA">
        <w:t>da</w:t>
      </w:r>
      <w:r w:rsidR="008173EA" w:rsidRPr="00D65FA2">
        <w:t>ção</w:t>
      </w:r>
      <w:r w:rsidR="00D6758A" w:rsidRPr="00D65FA2">
        <w:t xml:space="preserve"> e </w:t>
      </w:r>
      <w:r w:rsidR="00902426">
        <w:t>fiscalização, e c</w:t>
      </w:r>
      <w:r w:rsidR="008E0C94">
        <w:t>onforme Souza (2016)</w:t>
      </w:r>
      <w:r w:rsidR="00744697">
        <w:t xml:space="preserve"> atua</w:t>
      </w:r>
      <w:r w:rsidR="008173EA">
        <w:t xml:space="preserve"> como facilitador</w:t>
      </w:r>
      <w:r w:rsidR="006B2CA2">
        <w:t>,</w:t>
      </w:r>
      <w:r w:rsidR="008173EA">
        <w:t xml:space="preserve"> sendo simplificado e benéfico para </w:t>
      </w:r>
      <w:r w:rsidR="00D65FA2">
        <w:t>as Microempresas e E</w:t>
      </w:r>
      <w:r w:rsidR="00D65FA2" w:rsidRPr="00D65FA2">
        <w:t xml:space="preserve">mpresas </w:t>
      </w:r>
      <w:r w:rsidR="00D65FA2">
        <w:t>de Pequeno Porte</w:t>
      </w:r>
      <w:r w:rsidR="008173EA">
        <w:t>.</w:t>
      </w:r>
    </w:p>
    <w:p w:rsidR="007E6C03" w:rsidRDefault="008173EA" w:rsidP="00EC0B6A">
      <w:r>
        <w:t>As optantes devem</w:t>
      </w:r>
      <w:r w:rsidR="004A7419">
        <w:t xml:space="preserve"> </w:t>
      </w:r>
      <w:r>
        <w:t>atender</w:t>
      </w:r>
      <w:r w:rsidR="00D65FA2" w:rsidRPr="00D65FA2">
        <w:t xml:space="preserve"> aos requisitos: </w:t>
      </w:r>
    </w:p>
    <w:p w:rsidR="00CA683A" w:rsidRPr="007E6C03" w:rsidRDefault="00B10FE7" w:rsidP="007E6C03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7E6C03">
        <w:rPr>
          <w:rFonts w:eastAsia="Times New Roman" w:cs="Times New Roman"/>
          <w:color w:val="000000"/>
          <w:sz w:val="20"/>
          <w:szCs w:val="24"/>
          <w:lang w:eastAsia="pt-BR"/>
        </w:rPr>
        <w:t>Art. 3º, p</w:t>
      </w:r>
      <w:r w:rsidR="00CA683A" w:rsidRPr="007E6C03">
        <w:rPr>
          <w:rFonts w:eastAsia="Times New Roman" w:cs="Times New Roman"/>
          <w:color w:val="000000"/>
          <w:sz w:val="20"/>
          <w:szCs w:val="24"/>
          <w:lang w:eastAsia="pt-BR"/>
        </w:rPr>
        <w:t>ara os efeitos desta Lei Complementar</w:t>
      </w:r>
      <w:r w:rsidR="00CA52BF" w:rsidRPr="007E6C03">
        <w:rPr>
          <w:rFonts w:eastAsia="Times New Roman" w:cs="Times New Roman"/>
          <w:color w:val="000000"/>
          <w:sz w:val="20"/>
          <w:szCs w:val="24"/>
          <w:lang w:eastAsia="pt-BR"/>
        </w:rPr>
        <w:t xml:space="preserve"> consideram-se</w:t>
      </w:r>
      <w:r w:rsidR="00CA683A" w:rsidRPr="007E6C03">
        <w:rPr>
          <w:rFonts w:eastAsia="Times New Roman" w:cs="Times New Roman"/>
          <w:color w:val="000000"/>
          <w:sz w:val="20"/>
          <w:szCs w:val="24"/>
          <w:lang w:eastAsia="pt-BR"/>
        </w:rPr>
        <w:t xml:space="preserve"> microempresas ou empresas de pequeno porte a sociedade empresária, a sociedade simples, a empresa individual de responsabilidade limitada e o empresário a que se refere o </w:t>
      </w:r>
      <w:hyperlink r:id="rId8" w:anchor="art966" w:history="1">
        <w:r w:rsidRPr="007E6C03">
          <w:rPr>
            <w:rFonts w:eastAsia="Times New Roman" w:cs="Times New Roman"/>
            <w:color w:val="000000"/>
            <w:sz w:val="20"/>
            <w:szCs w:val="24"/>
            <w:lang w:eastAsia="pt-BR"/>
          </w:rPr>
          <w:t>A</w:t>
        </w:r>
        <w:r w:rsidR="00CA683A" w:rsidRPr="007E6C03">
          <w:rPr>
            <w:rFonts w:eastAsia="Times New Roman" w:cs="Times New Roman"/>
            <w:color w:val="000000"/>
            <w:sz w:val="20"/>
            <w:szCs w:val="24"/>
            <w:lang w:eastAsia="pt-BR"/>
          </w:rPr>
          <w:t>rt. 966 da Lei no 10.406, de 10 de janeiro de 2002 (Código Civil)</w:t>
        </w:r>
      </w:hyperlink>
      <w:r w:rsidR="00CA683A" w:rsidRPr="007E6C03">
        <w:rPr>
          <w:rFonts w:eastAsia="Times New Roman" w:cs="Times New Roman"/>
          <w:color w:val="000000"/>
          <w:sz w:val="20"/>
          <w:szCs w:val="24"/>
          <w:lang w:eastAsia="pt-BR"/>
        </w:rPr>
        <w:t>, devidamente registrados no Registro de Empresas Mercantis ou no Registro Civil de Pessoas Jurídicas, conforme o caso, desde que:</w:t>
      </w:r>
    </w:p>
    <w:p w:rsidR="00CA683A" w:rsidRPr="00CA683A" w:rsidRDefault="00CA683A" w:rsidP="00CA683A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CA683A">
        <w:rPr>
          <w:rFonts w:eastAsia="Times New Roman" w:cs="Times New Roman"/>
          <w:color w:val="000000"/>
          <w:sz w:val="20"/>
          <w:szCs w:val="24"/>
          <w:lang w:eastAsia="pt-BR"/>
        </w:rPr>
        <w:t>I - no caso da microempresa aufira, em cada ano-calendário, receita bruta igual ou inferior a R$ 360.000,00 (trezentos e sessenta mil reais);</w:t>
      </w:r>
    </w:p>
    <w:p w:rsidR="00CA683A" w:rsidRPr="00CA683A" w:rsidRDefault="00CA683A" w:rsidP="00CA683A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CA683A">
        <w:rPr>
          <w:rFonts w:eastAsia="Times New Roman" w:cs="Times New Roman"/>
          <w:color w:val="000000"/>
          <w:sz w:val="20"/>
          <w:szCs w:val="24"/>
          <w:lang w:eastAsia="pt-BR"/>
        </w:rPr>
        <w:t xml:space="preserve">II - no caso da empresa de pequeno porte aufira, em cada ano-calendário, receita bruta superior a R$ 360.000,00 (trezentos e sessenta mil reais) e igual ou inferior a R$ 3.600.000,00 (três milhões e seiscentos mil reais). </w:t>
      </w:r>
    </w:p>
    <w:p w:rsidR="00CA683A" w:rsidRPr="00CA683A" w:rsidRDefault="00CA683A" w:rsidP="00CA683A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CA683A">
        <w:rPr>
          <w:rFonts w:eastAsia="Times New Roman" w:cs="Times New Roman"/>
          <w:color w:val="000000"/>
          <w:sz w:val="20"/>
          <w:szCs w:val="24"/>
          <w:lang w:eastAsia="pt-BR"/>
        </w:rPr>
        <w:t xml:space="preserve">§ 1º Considera-se receita bruta, para fins do disposto no caput deste artigo, o produto da venda de bens e serviços nas operações de conta própria, o preço dos serviços prestados e o resultado nas operações em conta alheia, não incluídas as vendas canceladas e os descontos incondicionais concedidos. </w:t>
      </w:r>
    </w:p>
    <w:p w:rsidR="00CA683A" w:rsidRPr="00CA683A" w:rsidRDefault="00CA683A" w:rsidP="00CA683A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CA683A">
        <w:rPr>
          <w:rFonts w:eastAsia="Times New Roman" w:cs="Times New Roman"/>
          <w:color w:val="000000"/>
          <w:sz w:val="20"/>
          <w:szCs w:val="24"/>
          <w:lang w:eastAsia="pt-BR"/>
        </w:rPr>
        <w:t xml:space="preserve">§ 2º No caso de início de atividade no próprio ano-calendário, o limite a que se refere o caput deste artigo será proporcional ao número de meses em que a microempresa ou a empresa de pequeno porte houver exercido atividade, inclusive as frações de meses. </w:t>
      </w:r>
    </w:p>
    <w:p w:rsidR="00CA683A" w:rsidRPr="00CA683A" w:rsidRDefault="00CA683A" w:rsidP="00CA683A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CA683A">
        <w:rPr>
          <w:rFonts w:eastAsia="Times New Roman" w:cs="Times New Roman"/>
          <w:color w:val="000000"/>
          <w:sz w:val="20"/>
          <w:szCs w:val="24"/>
          <w:lang w:eastAsia="pt-BR"/>
        </w:rPr>
        <w:t xml:space="preserve">§ 3º O enquadramento do empresário ou da sociedade simples ou empresária como microempresa ou empresa de pequeno porte bem como o seu desenquadramento não implicarão alteração, denúncia ou qualquer restrição em relação a contratos por elas anteriormente firmados. </w:t>
      </w:r>
    </w:p>
    <w:p w:rsidR="00D65FA2" w:rsidRPr="00D65FA2" w:rsidRDefault="00D65FA2" w:rsidP="00EC0B6A"/>
    <w:p w:rsidR="0052532F" w:rsidRDefault="00695F33" w:rsidP="00EC0B6A">
      <w:r w:rsidRPr="00FC0994">
        <w:t>Ainda c</w:t>
      </w:r>
      <w:r w:rsidR="00360227" w:rsidRPr="00FC0994">
        <w:t>onforme</w:t>
      </w:r>
      <w:r w:rsidR="00360227">
        <w:t xml:space="preserve"> Lei Complementar 123/2006, as condições de impedimento para participação do Simples Nacional, são referente</w:t>
      </w:r>
      <w:r w:rsidR="00034200">
        <w:t>s</w:t>
      </w:r>
      <w:r w:rsidR="00360227">
        <w:t xml:space="preserve"> à atividade desenvolvida e a sua faixa de faturamento bruto. Ainda conforme </w:t>
      </w:r>
      <w:r w:rsidR="00360227" w:rsidRPr="00360227">
        <w:t>Santos e Barros (2009, p. 41),</w:t>
      </w:r>
      <w:r w:rsidR="00034200">
        <w:t xml:space="preserve"> é proibida</w:t>
      </w:r>
      <w:r w:rsidR="00360227">
        <w:t xml:space="preserve"> de opt</w:t>
      </w:r>
      <w:r w:rsidR="00D37D00">
        <w:t>ar pelo regime</w:t>
      </w:r>
      <w:r w:rsidR="00034200">
        <w:t xml:space="preserve"> simplificado, a pessoa jurídica: </w:t>
      </w:r>
    </w:p>
    <w:p w:rsidR="00034200" w:rsidRPr="00034200" w:rsidRDefault="00034200" w:rsidP="00034200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034200">
        <w:rPr>
          <w:rFonts w:eastAsia="Times New Roman" w:cs="Times New Roman"/>
          <w:color w:val="000000"/>
          <w:sz w:val="20"/>
          <w:szCs w:val="24"/>
          <w:lang w:eastAsia="pt-BR"/>
        </w:rPr>
        <w:t xml:space="preserve">I - de cujo capital participe outra pessoa jurídica; </w:t>
      </w:r>
    </w:p>
    <w:p w:rsidR="00034200" w:rsidRPr="00034200" w:rsidRDefault="00034200" w:rsidP="00034200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034200">
        <w:rPr>
          <w:rFonts w:eastAsia="Times New Roman" w:cs="Times New Roman"/>
          <w:color w:val="000000"/>
          <w:sz w:val="20"/>
          <w:szCs w:val="24"/>
          <w:lang w:eastAsia="pt-BR"/>
        </w:rPr>
        <w:t xml:space="preserve">II - que seja filial, sucursal, agência ou representação, no País, de pessoa jurídica com sede no exterior; </w:t>
      </w:r>
    </w:p>
    <w:p w:rsidR="00034200" w:rsidRPr="00034200" w:rsidRDefault="00034200" w:rsidP="00034200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034200">
        <w:rPr>
          <w:rFonts w:eastAsia="Times New Roman" w:cs="Times New Roman"/>
          <w:color w:val="000000"/>
          <w:sz w:val="20"/>
          <w:szCs w:val="24"/>
          <w:lang w:eastAsia="pt-BR"/>
        </w:rPr>
        <w:t xml:space="preserve">III - de cujo capital participe pessoa física que seja inscrita como empresário ou seja sócio de outra empresa que receba tratamento jurídico </w:t>
      </w:r>
      <w:r w:rsidRPr="00034200">
        <w:rPr>
          <w:rFonts w:eastAsia="Times New Roman" w:cs="Times New Roman"/>
          <w:color w:val="000000"/>
          <w:sz w:val="20"/>
          <w:szCs w:val="24"/>
          <w:lang w:eastAsia="pt-BR"/>
        </w:rPr>
        <w:lastRenderedPageBreak/>
        <w:t xml:space="preserve">diferenciado nos termos desta Lei Complementar (SIMPLES), desde que a receita bruta global ultrapasse o limite permitido na lei; </w:t>
      </w:r>
    </w:p>
    <w:p w:rsidR="00034200" w:rsidRPr="00034200" w:rsidRDefault="00034200" w:rsidP="00034200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034200">
        <w:rPr>
          <w:rFonts w:eastAsia="Times New Roman" w:cs="Times New Roman"/>
          <w:color w:val="000000"/>
          <w:sz w:val="20"/>
          <w:szCs w:val="24"/>
          <w:lang w:eastAsia="pt-BR"/>
        </w:rPr>
        <w:t xml:space="preserve">IV - cujo titular ou sócio participe com mais de 10% (dez por cento) do capital de outra empresa não beneficiada por esta Lei Complementar (Lucro Presumido ou Lucro Real), desde que a receita bruta global ultrapasse o limite permitido na lei; </w:t>
      </w:r>
    </w:p>
    <w:p w:rsidR="00034200" w:rsidRPr="00034200" w:rsidRDefault="00034200" w:rsidP="00034200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034200">
        <w:rPr>
          <w:rFonts w:eastAsia="Times New Roman" w:cs="Times New Roman"/>
          <w:color w:val="000000"/>
          <w:sz w:val="20"/>
          <w:szCs w:val="24"/>
          <w:lang w:eastAsia="pt-BR"/>
        </w:rPr>
        <w:t>V - cujo sócio ou titular seja administrador ou equiparado de outra pessoa jurídica com fins lucrativos, desde que a receita bruta global ultrapasse o limite permitido na lei;</w:t>
      </w:r>
    </w:p>
    <w:p w:rsidR="00034200" w:rsidRPr="00034200" w:rsidRDefault="00034200" w:rsidP="00034200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034200">
        <w:rPr>
          <w:rFonts w:eastAsia="Times New Roman" w:cs="Times New Roman"/>
          <w:color w:val="000000"/>
          <w:sz w:val="20"/>
          <w:szCs w:val="24"/>
          <w:lang w:eastAsia="pt-BR"/>
        </w:rPr>
        <w:t xml:space="preserve">VI - constituída sob a forma de cooperativas, salvo as de consumo; </w:t>
      </w:r>
    </w:p>
    <w:p w:rsidR="00034200" w:rsidRPr="0052532F" w:rsidRDefault="00034200" w:rsidP="00034200">
      <w:pPr>
        <w:spacing w:before="60" w:after="60"/>
        <w:ind w:left="2268"/>
        <w:rPr>
          <w:rFonts w:cs="Times New Roman"/>
          <w:szCs w:val="24"/>
        </w:rPr>
      </w:pPr>
      <w:r w:rsidRPr="00034200">
        <w:rPr>
          <w:rFonts w:eastAsia="Times New Roman" w:cs="Times New Roman"/>
          <w:color w:val="000000"/>
          <w:sz w:val="20"/>
          <w:szCs w:val="24"/>
          <w:lang w:eastAsia="pt-BR"/>
        </w:rPr>
        <w:t>VII - que participe do capital de outra pessoa jurídica;</w:t>
      </w:r>
    </w:p>
    <w:p w:rsidR="000E7AC8" w:rsidRPr="000E7AC8" w:rsidRDefault="000E7AC8" w:rsidP="000E7AC8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0E7AC8">
        <w:rPr>
          <w:rFonts w:eastAsia="Times New Roman" w:cs="Times New Roman"/>
          <w:color w:val="000000"/>
          <w:sz w:val="20"/>
          <w:szCs w:val="24"/>
          <w:lang w:eastAsia="pt-BR"/>
        </w:rPr>
        <w:t xml:space="preserve">VIII - que exerça atividade de banco comercial, de investimentos e desenvolvimento, de caixa econômica, de sociedade de crédito, financiamento e investimento ou de crédito imobiliário, de corretora ou distribuidora de títulos, valores mobiliários e câmbio, de empresa de arrendamento mercantil, de seguros privados e de capitalização ou de previdência complementar; </w:t>
      </w:r>
    </w:p>
    <w:p w:rsidR="000E7AC8" w:rsidRPr="000E7AC8" w:rsidRDefault="000E7AC8" w:rsidP="000E7AC8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0E7AC8">
        <w:rPr>
          <w:rFonts w:eastAsia="Times New Roman" w:cs="Times New Roman"/>
          <w:color w:val="000000"/>
          <w:sz w:val="20"/>
          <w:szCs w:val="24"/>
          <w:lang w:eastAsia="pt-BR"/>
        </w:rPr>
        <w:t xml:space="preserve">IX - resultante ou remanescente de cisão ou qualquer outra forma de desmembramento de pessoa jurídica que tenha ocorrido em um dos 5 (cinco) anos-calendários anteriores; </w:t>
      </w:r>
    </w:p>
    <w:p w:rsidR="000E7AC8" w:rsidRPr="000E7AC8" w:rsidRDefault="000E7AC8" w:rsidP="000E7AC8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0E7AC8">
        <w:rPr>
          <w:rFonts w:eastAsia="Times New Roman" w:cs="Times New Roman"/>
          <w:color w:val="000000"/>
          <w:sz w:val="20"/>
          <w:szCs w:val="24"/>
          <w:lang w:eastAsia="pt-BR"/>
        </w:rPr>
        <w:t xml:space="preserve">X - constituída sob a forma de sociedade por ações. </w:t>
      </w:r>
    </w:p>
    <w:p w:rsidR="00CE00B2" w:rsidRDefault="000E7AC8" w:rsidP="00E87778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  <w:r w:rsidRPr="000E7AC8">
        <w:rPr>
          <w:rFonts w:eastAsia="Times New Roman" w:cs="Times New Roman"/>
          <w:color w:val="000000"/>
          <w:sz w:val="20"/>
          <w:szCs w:val="24"/>
          <w:lang w:eastAsia="pt-BR"/>
        </w:rPr>
        <w:t>XI – Cujos titulares ou sócios guardem, cumulativamente, com o contratante do serviço, relação de pessoalidade, subordinação e habitualidade.</w:t>
      </w:r>
    </w:p>
    <w:p w:rsidR="00E87778" w:rsidRPr="00E87778" w:rsidRDefault="00E87778" w:rsidP="00E87778">
      <w:pPr>
        <w:spacing w:before="60" w:after="60"/>
        <w:ind w:left="2268"/>
        <w:rPr>
          <w:rFonts w:eastAsia="Times New Roman" w:cs="Times New Roman"/>
          <w:color w:val="000000"/>
          <w:sz w:val="20"/>
          <w:szCs w:val="24"/>
          <w:lang w:eastAsia="pt-BR"/>
        </w:rPr>
      </w:pPr>
    </w:p>
    <w:p w:rsidR="00F97F9D" w:rsidRDefault="00934A8C" w:rsidP="00620452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-775335</wp:posOffset>
            </wp:positionH>
            <wp:positionV relativeFrom="margin">
              <wp:posOffset>5266055</wp:posOffset>
            </wp:positionV>
            <wp:extent cx="7077075" cy="2200275"/>
            <wp:effectExtent l="0" t="0" r="0" b="0"/>
            <wp:wrapSquare wrapText="bothSides"/>
            <wp:docPr id="57" name="Organograma 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CE00B2">
        <w:t xml:space="preserve">De acordo com a antiga Lei Complementar 123/2006, o Simples Nacional era dividido em seis anexos: Anexo I destinado para as atividades de comércio; Anexo II, atividades industriais; e os Anexos III, IV, V e VI para as prestadoras de serviços. Cada um dos anexos, divididos em vinte faixas de tributação, onde os optantes se encaixam de acordo com </w:t>
      </w:r>
      <w:r w:rsidR="00883BB7">
        <w:t>seu faturamento bruto acumulado nos últimos doze meses ao per</w:t>
      </w:r>
      <w:r w:rsidR="006076A1">
        <w:t>íodo de apuração. E para fins de melhor compreensão, elaboramos um esquema de</w:t>
      </w:r>
      <w:r w:rsidR="00883BB7">
        <w:t xml:space="preserve"> cálculo do Simples Nacional a pagar </w:t>
      </w:r>
      <w:r w:rsidR="00023231">
        <w:t>em conformidade com</w:t>
      </w:r>
      <w:r w:rsidR="00883BB7">
        <w:t xml:space="preserve"> a </w:t>
      </w:r>
      <w:r w:rsidR="00883BB7" w:rsidRPr="00FC0994">
        <w:t>L</w:t>
      </w:r>
      <w:r w:rsidR="00142C4C" w:rsidRPr="00FC0994">
        <w:t>.</w:t>
      </w:r>
      <w:r w:rsidR="00883BB7" w:rsidRPr="00FC0994">
        <w:t>C</w:t>
      </w:r>
      <w:r w:rsidR="00142C4C" w:rsidRPr="00FC0994">
        <w:t>.</w:t>
      </w:r>
      <w:r w:rsidR="00883BB7" w:rsidRPr="00FC0994">
        <w:t xml:space="preserve"> 123/2006</w:t>
      </w:r>
      <w:r w:rsidR="001F75FF">
        <w:t>, conforme figura 1 a seguir</w:t>
      </w:r>
      <w:r w:rsidR="00883BB7">
        <w:t xml:space="preserve">: </w:t>
      </w:r>
    </w:p>
    <w:p w:rsidR="00F97F9D" w:rsidRPr="00B16A72" w:rsidRDefault="004D5287" w:rsidP="00B16A72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="007F4ADB">
        <w:rPr>
          <w:sz w:val="20"/>
          <w:szCs w:val="20"/>
        </w:rPr>
        <w:t xml:space="preserve"> 1. </w:t>
      </w:r>
      <w:r w:rsidR="00690EA3">
        <w:rPr>
          <w:sz w:val="20"/>
          <w:szCs w:val="20"/>
        </w:rPr>
        <w:t>Esquema do c</w:t>
      </w:r>
      <w:r w:rsidR="003069DA" w:rsidRPr="003069DA">
        <w:rPr>
          <w:sz w:val="20"/>
          <w:szCs w:val="20"/>
        </w:rPr>
        <w:t xml:space="preserve">álculo do </w:t>
      </w:r>
      <w:r w:rsidR="0049619D">
        <w:rPr>
          <w:sz w:val="20"/>
          <w:szCs w:val="20"/>
        </w:rPr>
        <w:t xml:space="preserve">antigo </w:t>
      </w:r>
      <w:r w:rsidR="003069DA" w:rsidRPr="003069DA">
        <w:rPr>
          <w:sz w:val="20"/>
          <w:szCs w:val="20"/>
        </w:rPr>
        <w:t>Simples Nacional a pagar</w:t>
      </w:r>
    </w:p>
    <w:p w:rsidR="00B879A1" w:rsidRDefault="004D5287" w:rsidP="00620452">
      <w:pPr>
        <w:rPr>
          <w:rFonts w:eastAsia="Times New Roman"/>
          <w:color w:val="000000"/>
          <w:lang w:eastAsia="pt-BR"/>
        </w:rPr>
      </w:pPr>
      <w:r>
        <w:rPr>
          <w:rFonts w:eastAsia="Times New Roman"/>
          <w:color w:val="000000"/>
          <w:lang w:eastAsia="pt-BR"/>
        </w:rPr>
        <w:t>As empresas optantes pelo</w:t>
      </w:r>
      <w:r w:rsidR="00B879A1">
        <w:rPr>
          <w:rFonts w:eastAsia="Times New Roman"/>
          <w:color w:val="000000"/>
          <w:lang w:eastAsia="pt-BR"/>
        </w:rPr>
        <w:t xml:space="preserve"> regime simplificado são cobradas por meio de uma guia única do documento de arrecadação do Simples Nacional – DAS, </w:t>
      </w:r>
      <w:r w:rsidR="00F638D5">
        <w:rPr>
          <w:rFonts w:eastAsia="Times New Roman"/>
          <w:color w:val="000000"/>
          <w:lang w:eastAsia="pt-BR"/>
        </w:rPr>
        <w:t xml:space="preserve">devendo ser paga até dia 20 de cada mês. Na guia devida os contribuintes recolhem os tributos de IRPJ; CSLL; PIS; COFINS; IPI; ICMS; ISS e Previdência Social, inerentes a cada anexo, que posteriormente serão partilhadas entre as esferas governamentais.  </w:t>
      </w:r>
    </w:p>
    <w:p w:rsidR="00CD6D28" w:rsidRPr="00B879A1" w:rsidRDefault="00CD6D28" w:rsidP="00EC0B6A">
      <w:pPr>
        <w:rPr>
          <w:rFonts w:eastAsia="Times New Roman"/>
          <w:color w:val="000000"/>
          <w:lang w:eastAsia="pt-BR"/>
        </w:rPr>
      </w:pPr>
    </w:p>
    <w:p w:rsidR="00F97F9D" w:rsidRPr="00CD6D28" w:rsidRDefault="003C53C2" w:rsidP="00CD6D28">
      <w:pPr>
        <w:pStyle w:val="Ttulo3"/>
        <w:spacing w:line="360" w:lineRule="auto"/>
        <w:rPr>
          <w:u w:val="none"/>
        </w:rPr>
      </w:pPr>
      <w:r w:rsidRPr="00F97F9D">
        <w:rPr>
          <w:u w:val="none"/>
        </w:rPr>
        <w:t>Lei Complementar Nº 155/2016</w:t>
      </w:r>
    </w:p>
    <w:p w:rsidR="0052532F" w:rsidRDefault="003B7E49" w:rsidP="00620452">
      <w:pPr>
        <w:rPr>
          <w:lang w:eastAsia="pt-BR"/>
        </w:rPr>
      </w:pPr>
      <w:r w:rsidRPr="00DF14E7">
        <w:rPr>
          <w:lang w:eastAsia="pt-BR"/>
        </w:rPr>
        <w:t>A nova Lei Complementar n° 155 de 2016, publicada no Diário Oficial da União em 28 de setembro de 2016, altera alguns conceitos e limites da Lei Complementar n° 123/2006. O novo Simples Nacional tem como finalidade reestruturar e facilitar o processo de apuração</w:t>
      </w:r>
      <w:r w:rsidR="002D72FC" w:rsidRPr="00DF14E7">
        <w:rPr>
          <w:lang w:eastAsia="pt-BR"/>
        </w:rPr>
        <w:t xml:space="preserve"> dos impostos devidos pelos contribuintes. </w:t>
      </w:r>
    </w:p>
    <w:p w:rsidR="00B07619" w:rsidRDefault="00B07619" w:rsidP="00EC0B6A">
      <w:pPr>
        <w:rPr>
          <w:lang w:eastAsia="pt-BR"/>
        </w:rPr>
      </w:pPr>
      <w:r>
        <w:rPr>
          <w:lang w:eastAsia="pt-BR"/>
        </w:rPr>
        <w:t>A partir de janeiro do ano calendário de 2018, fica vigente o novo limite d</w:t>
      </w:r>
      <w:r w:rsidR="00D87BB4">
        <w:rPr>
          <w:lang w:eastAsia="pt-BR"/>
        </w:rPr>
        <w:t xml:space="preserve">a receita bruta anual permitida de até </w:t>
      </w:r>
      <w:r w:rsidR="00D87BB4" w:rsidRPr="00D87BB4">
        <w:rPr>
          <w:lang w:eastAsia="pt-BR"/>
        </w:rPr>
        <w:t>R$ 4.800.000,00 (quatro milhões e oitocentos mil reais) pa</w:t>
      </w:r>
      <w:r w:rsidR="00D87BB4">
        <w:rPr>
          <w:lang w:eastAsia="pt-BR"/>
        </w:rPr>
        <w:t xml:space="preserve">ra as Microempresas e Empresas de Pequeno Porte. Neste cenário, de acordo com o </w:t>
      </w:r>
      <w:r w:rsidR="00D87BB4" w:rsidRPr="00914239">
        <w:rPr>
          <w:lang w:eastAsia="pt-BR"/>
        </w:rPr>
        <w:t>art. 3º, I, da</w:t>
      </w:r>
      <w:r w:rsidR="00D87BB4">
        <w:rPr>
          <w:lang w:eastAsia="pt-BR"/>
        </w:rPr>
        <w:t xml:space="preserve"> Lei Complementar n° 155/2016, </w:t>
      </w:r>
      <w:r w:rsidR="00914239">
        <w:rPr>
          <w:lang w:eastAsia="pt-BR"/>
        </w:rPr>
        <w:t xml:space="preserve">as empresas optantes do regime que no decorrer do ano calendário de 2017, obterem um total de receita bruta anual entre </w:t>
      </w:r>
      <w:r w:rsidR="00914239" w:rsidRPr="00914239">
        <w:rPr>
          <w:lang w:eastAsia="pt-BR"/>
        </w:rPr>
        <w:t>R$ 3.600.000,01 (três milhões, seiscentos mil reais e um centavo) e R$ 4.800.000,00 (quatro milhões e oitocentos mil reais),</w:t>
      </w:r>
      <w:r w:rsidR="00E51FEA">
        <w:rPr>
          <w:lang w:eastAsia="pt-BR"/>
        </w:rPr>
        <w:t xml:space="preserve"> a partir do dia 1° de janeiro de 2018, não estão automaticamente excluídas.  </w:t>
      </w:r>
    </w:p>
    <w:p w:rsidR="007B42BB" w:rsidRDefault="006D49B2" w:rsidP="00620452">
      <w:pPr>
        <w:rPr>
          <w:lang w:eastAsia="pt-BR"/>
        </w:rPr>
      </w:pPr>
      <w:r>
        <w:rPr>
          <w:lang w:eastAsia="pt-BR"/>
        </w:rPr>
        <w:t>O novo</w:t>
      </w:r>
      <w:r w:rsidR="007B42BB">
        <w:rPr>
          <w:lang w:eastAsia="pt-BR"/>
        </w:rPr>
        <w:t xml:space="preserve"> sistema agora </w:t>
      </w:r>
      <w:r w:rsidR="00C011A7">
        <w:rPr>
          <w:lang w:eastAsia="pt-BR"/>
        </w:rPr>
        <w:t xml:space="preserve">é constituído por </w:t>
      </w:r>
      <w:r w:rsidR="007B42BB">
        <w:rPr>
          <w:lang w:eastAsia="pt-BR"/>
        </w:rPr>
        <w:t>cinco anexos, cada um deles sendo composto por seis faixas de faturamento. Os anexos I e II continuam sendo referentes a comércio e indústrias, respectivame</w:t>
      </w:r>
      <w:r w:rsidR="00C011A7">
        <w:rPr>
          <w:lang w:eastAsia="pt-BR"/>
        </w:rPr>
        <w:t xml:space="preserve">nte. Já o anexo VI foi extinto, assim como </w:t>
      </w:r>
      <w:r w:rsidR="006B685D">
        <w:rPr>
          <w:lang w:eastAsia="pt-BR"/>
        </w:rPr>
        <w:t xml:space="preserve">as atividades </w:t>
      </w:r>
      <w:r w:rsidR="0078765E">
        <w:rPr>
          <w:lang w:eastAsia="pt-BR"/>
        </w:rPr>
        <w:t>do anexo V</w:t>
      </w:r>
      <w:r w:rsidR="006B685D">
        <w:rPr>
          <w:lang w:eastAsia="pt-BR"/>
        </w:rPr>
        <w:t>, que passaram a ser tributadas no Anexo III</w:t>
      </w:r>
      <w:r w:rsidR="00C011A7">
        <w:rPr>
          <w:lang w:eastAsia="pt-BR"/>
        </w:rPr>
        <w:t>. Dessa forma, essas atividades que antes se enquadravam em tais anexos</w:t>
      </w:r>
      <w:r w:rsidR="006B685D">
        <w:rPr>
          <w:lang w:eastAsia="pt-BR"/>
        </w:rPr>
        <w:t xml:space="preserve"> (V e VI)</w:t>
      </w:r>
      <w:r w:rsidR="00C011A7">
        <w:rPr>
          <w:lang w:eastAsia="pt-BR"/>
        </w:rPr>
        <w:t xml:space="preserve">, agora devem tributar por meio dos novos anexos III e V. </w:t>
      </w:r>
      <w:r w:rsidR="0071183D">
        <w:rPr>
          <w:lang w:eastAsia="pt-BR"/>
        </w:rPr>
        <w:t>Devendo mês a mês</w:t>
      </w:r>
      <w:r w:rsidR="004A7419">
        <w:rPr>
          <w:lang w:eastAsia="pt-BR"/>
        </w:rPr>
        <w:t xml:space="preserve"> </w:t>
      </w:r>
      <w:r w:rsidR="0071183D">
        <w:rPr>
          <w:lang w:eastAsia="pt-BR"/>
        </w:rPr>
        <w:t xml:space="preserve">ser </w:t>
      </w:r>
      <w:r w:rsidR="00EA6189">
        <w:rPr>
          <w:lang w:eastAsia="pt-BR"/>
        </w:rPr>
        <w:t>calculado o fator R, que se dá pela</w:t>
      </w:r>
      <w:r w:rsidR="0040713A">
        <w:rPr>
          <w:lang w:eastAsia="pt-BR"/>
        </w:rPr>
        <w:t xml:space="preserve"> razão da folha de pagamentos </w:t>
      </w:r>
      <w:r w:rsidR="002A2E55">
        <w:rPr>
          <w:lang w:eastAsia="pt-BR"/>
        </w:rPr>
        <w:t xml:space="preserve">acrescido dos </w:t>
      </w:r>
      <w:r w:rsidR="0040713A">
        <w:rPr>
          <w:lang w:eastAsia="pt-BR"/>
        </w:rPr>
        <w:t>encargos sociais (FGTS e INSS) e a receita bruta total auferida</w:t>
      </w:r>
      <w:r w:rsidR="00515473">
        <w:rPr>
          <w:lang w:eastAsia="pt-BR"/>
        </w:rPr>
        <w:t>,</w:t>
      </w:r>
      <w:r w:rsidR="00611614">
        <w:rPr>
          <w:lang w:eastAsia="pt-BR"/>
        </w:rPr>
        <w:t xml:space="preserve"> multiplicado</w:t>
      </w:r>
      <w:r w:rsidR="000174B0">
        <w:rPr>
          <w:lang w:eastAsia="pt-BR"/>
        </w:rPr>
        <w:t xml:space="preserve"> por 100 (cem),</w:t>
      </w:r>
      <w:r w:rsidR="00515473">
        <w:rPr>
          <w:lang w:eastAsia="pt-BR"/>
        </w:rPr>
        <w:t xml:space="preserve"> ambos d</w:t>
      </w:r>
      <w:r w:rsidR="0071183D">
        <w:rPr>
          <w:lang w:eastAsia="pt-BR"/>
        </w:rPr>
        <w:t xml:space="preserve">os últimos doze meses. </w:t>
      </w:r>
      <w:r w:rsidR="008F5063">
        <w:rPr>
          <w:lang w:eastAsia="pt-BR"/>
        </w:rPr>
        <w:t xml:space="preserve">Pois conforme </w:t>
      </w:r>
      <w:hyperlink r:id="rId13" w:anchor="art18§5j" w:history="1">
        <w:r w:rsidR="008F5063" w:rsidRPr="008F5063">
          <w:rPr>
            <w:lang w:eastAsia="pt-BR"/>
          </w:rPr>
          <w:t>§§ 5º-J</w:t>
        </w:r>
      </w:hyperlink>
      <w:r w:rsidR="008F5063" w:rsidRPr="008F5063">
        <w:rPr>
          <w:lang w:eastAsia="pt-BR"/>
        </w:rPr>
        <w:t xml:space="preserve"> e</w:t>
      </w:r>
      <w:hyperlink r:id="rId14" w:anchor="art18§5m" w:history="1">
        <w:r w:rsidR="008F5063" w:rsidRPr="008F5063">
          <w:rPr>
            <w:lang w:eastAsia="pt-BR"/>
          </w:rPr>
          <w:t> 5º-M</w:t>
        </w:r>
      </w:hyperlink>
      <w:r w:rsidR="00884AB6">
        <w:t xml:space="preserve"> </w:t>
      </w:r>
      <w:r w:rsidR="008F5063" w:rsidRPr="008F5063">
        <w:rPr>
          <w:lang w:eastAsia="pt-BR"/>
        </w:rPr>
        <w:t>do</w:t>
      </w:r>
      <w:r w:rsidR="00884AB6">
        <w:rPr>
          <w:lang w:eastAsia="pt-BR"/>
        </w:rPr>
        <w:t xml:space="preserve"> </w:t>
      </w:r>
      <w:r w:rsidR="008F5063" w:rsidRPr="008F5063">
        <w:rPr>
          <w:lang w:eastAsia="pt-BR"/>
        </w:rPr>
        <w:t>art. 8º da Lei Complementar 155/2016</w:t>
      </w:r>
      <w:r w:rsidR="006D76E3">
        <w:rPr>
          <w:lang w:eastAsia="pt-BR"/>
        </w:rPr>
        <w:t xml:space="preserve">, se o resultado </w:t>
      </w:r>
      <w:r w:rsidR="00611614">
        <w:rPr>
          <w:lang w:eastAsia="pt-BR"/>
        </w:rPr>
        <w:t>mensal do fator R</w:t>
      </w:r>
      <w:r w:rsidR="004A7419">
        <w:rPr>
          <w:lang w:eastAsia="pt-BR"/>
        </w:rPr>
        <w:t xml:space="preserve"> </w:t>
      </w:r>
      <w:r w:rsidR="006D76E3" w:rsidRPr="006D76E3">
        <w:rPr>
          <w:lang w:eastAsia="pt-BR"/>
        </w:rPr>
        <w:t>exceder</w:t>
      </w:r>
      <w:r w:rsidR="006D76E3">
        <w:rPr>
          <w:lang w:eastAsia="pt-BR"/>
        </w:rPr>
        <w:t xml:space="preserve"> o máximo permitido de 28</w:t>
      </w:r>
      <w:r w:rsidR="000174B0">
        <w:rPr>
          <w:lang w:eastAsia="pt-BR"/>
        </w:rPr>
        <w:t>%</w:t>
      </w:r>
      <w:r w:rsidR="00611614">
        <w:rPr>
          <w:lang w:eastAsia="pt-BR"/>
        </w:rPr>
        <w:t xml:space="preserve">, a empresa deve ser tributada pelo anexo III, e se inferior a 28% deve ser enquadrada no anexo V. </w:t>
      </w:r>
    </w:p>
    <w:p w:rsidR="00B02B88" w:rsidRPr="00B02B88" w:rsidRDefault="00D30893" w:rsidP="00EC0B6A">
      <w:pPr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-851535</wp:posOffset>
            </wp:positionH>
            <wp:positionV relativeFrom="margin">
              <wp:posOffset>5666105</wp:posOffset>
            </wp:positionV>
            <wp:extent cx="7115175" cy="2028825"/>
            <wp:effectExtent l="0" t="0" r="0" b="0"/>
            <wp:wrapSquare wrapText="bothSides"/>
            <wp:docPr id="5" name="Organograma 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023231">
        <w:rPr>
          <w:lang w:eastAsia="pt-BR"/>
        </w:rPr>
        <w:t xml:space="preserve">A legislação do Simples Nacional estabelece que o valor devido mensalmente pelas empresas optantes, será determinado mediante aplicação das tabelas presentes nos anexos I, II, III, IV e V, da Lei Complementar n° 155/2006. </w:t>
      </w:r>
      <w:r w:rsidR="00100227">
        <w:rPr>
          <w:lang w:eastAsia="pt-BR"/>
        </w:rPr>
        <w:t>Para fins do n</w:t>
      </w:r>
      <w:r w:rsidR="007259E0">
        <w:rPr>
          <w:lang w:eastAsia="pt-BR"/>
        </w:rPr>
        <w:t xml:space="preserve">ovo cálculo dos valores </w:t>
      </w:r>
      <w:r w:rsidR="007259E0" w:rsidRPr="001616E2">
        <w:rPr>
          <w:lang w:eastAsia="pt-BR"/>
        </w:rPr>
        <w:t>devidos:</w:t>
      </w:r>
    </w:p>
    <w:p w:rsidR="00B13E20" w:rsidRPr="00CD6D28" w:rsidRDefault="009A4367" w:rsidP="00CD6D28">
      <w:pPr>
        <w:spacing w:before="60" w:after="6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Figura</w:t>
      </w:r>
      <w:r w:rsidR="007F4ADB">
        <w:rPr>
          <w:rFonts w:cs="Times New Roman"/>
          <w:sz w:val="20"/>
          <w:szCs w:val="20"/>
        </w:rPr>
        <w:t xml:space="preserve"> 2.</w:t>
      </w:r>
      <w:r w:rsidR="00EA3330">
        <w:rPr>
          <w:rFonts w:cs="Times New Roman"/>
          <w:sz w:val="20"/>
          <w:szCs w:val="20"/>
        </w:rPr>
        <w:t xml:space="preserve"> Esquema do c</w:t>
      </w:r>
      <w:r w:rsidR="00EA3330" w:rsidRPr="003069DA">
        <w:rPr>
          <w:rFonts w:cs="Times New Roman"/>
          <w:sz w:val="20"/>
          <w:szCs w:val="20"/>
        </w:rPr>
        <w:t xml:space="preserve">álculo do </w:t>
      </w:r>
      <w:r w:rsidR="00EA3330">
        <w:rPr>
          <w:rFonts w:cs="Times New Roman"/>
          <w:sz w:val="20"/>
          <w:szCs w:val="20"/>
        </w:rPr>
        <w:t xml:space="preserve">novo </w:t>
      </w:r>
      <w:r w:rsidR="00EA3330" w:rsidRPr="003069DA">
        <w:rPr>
          <w:rFonts w:cs="Times New Roman"/>
          <w:sz w:val="20"/>
          <w:szCs w:val="20"/>
        </w:rPr>
        <w:t>Simples Nacional a pagar</w:t>
      </w:r>
    </w:p>
    <w:p w:rsidR="00CD6D28" w:rsidRPr="00CD6D28" w:rsidRDefault="00B13E20" w:rsidP="00CD6D28">
      <w:pPr>
        <w:rPr>
          <w:rFonts w:eastAsia="Times New Roman"/>
          <w:color w:val="000000"/>
          <w:szCs w:val="24"/>
          <w:lang w:val="pt-PT" w:eastAsia="pt-BR"/>
        </w:rPr>
      </w:pPr>
      <w:r>
        <w:rPr>
          <w:rFonts w:eastAsia="Times New Roman"/>
          <w:color w:val="000000"/>
          <w:szCs w:val="24"/>
          <w:lang w:eastAsia="pt-BR"/>
        </w:rPr>
        <w:t xml:space="preserve">Segundo </w:t>
      </w:r>
      <w:r>
        <w:rPr>
          <w:rFonts w:eastAsia="Times New Roman"/>
          <w:color w:val="000000"/>
          <w:szCs w:val="24"/>
          <w:lang w:val="pt-PT" w:eastAsia="pt-BR"/>
        </w:rPr>
        <w:t>Art. 18º (</w:t>
      </w:r>
      <w:r w:rsidR="00B02B88">
        <w:rPr>
          <w:rFonts w:eastAsia="Times New Roman"/>
          <w:color w:val="000000"/>
          <w:szCs w:val="24"/>
          <w:lang w:val="pt-PT" w:eastAsia="pt-BR"/>
        </w:rPr>
        <w:t xml:space="preserve">Lei Complementar 155/2016), para </w:t>
      </w:r>
      <w:r w:rsidR="00F75253">
        <w:rPr>
          <w:rFonts w:eastAsia="Times New Roman"/>
          <w:color w:val="000000"/>
          <w:szCs w:val="24"/>
          <w:lang w:val="pt-PT" w:eastAsia="pt-BR"/>
        </w:rPr>
        <w:t>efeito da</w:t>
      </w:r>
      <w:r w:rsidR="00F75253" w:rsidRPr="00F75253">
        <w:rPr>
          <w:rFonts w:eastAsia="Times New Roman"/>
          <w:color w:val="000000"/>
          <w:szCs w:val="24"/>
          <w:lang w:val="pt-PT" w:eastAsia="pt-BR"/>
        </w:rPr>
        <w:t xml:space="preserve"> determinação da alíquota</w:t>
      </w:r>
      <w:r w:rsidR="00F75253">
        <w:rPr>
          <w:rFonts w:eastAsia="Times New Roman"/>
          <w:color w:val="000000"/>
          <w:szCs w:val="24"/>
          <w:lang w:val="pt-PT" w:eastAsia="pt-BR"/>
        </w:rPr>
        <w:t xml:space="preserve"> efetiva</w:t>
      </w:r>
      <w:r w:rsidR="00EC2B89">
        <w:rPr>
          <w:rFonts w:eastAsia="Times New Roman"/>
          <w:color w:val="000000"/>
          <w:szCs w:val="24"/>
          <w:lang w:val="pt-PT" w:eastAsia="pt-BR"/>
        </w:rPr>
        <w:t>, para chegar ao</w:t>
      </w:r>
      <w:r w:rsidR="00F75253">
        <w:rPr>
          <w:rFonts w:eastAsia="Times New Roman"/>
          <w:color w:val="000000"/>
          <w:szCs w:val="24"/>
          <w:lang w:val="pt-PT" w:eastAsia="pt-BR"/>
        </w:rPr>
        <w:t xml:space="preserve"> resultado do valor a pagar </w:t>
      </w:r>
      <w:r w:rsidR="00EA3330">
        <w:rPr>
          <w:rFonts w:eastAsia="Times New Roman"/>
          <w:color w:val="000000"/>
          <w:szCs w:val="24"/>
          <w:lang w:val="pt-PT" w:eastAsia="pt-BR"/>
        </w:rPr>
        <w:t xml:space="preserve">do Simples Nacional </w:t>
      </w:r>
      <w:r w:rsidR="00F75253">
        <w:rPr>
          <w:rFonts w:eastAsia="Times New Roman"/>
          <w:color w:val="000000"/>
          <w:szCs w:val="24"/>
          <w:lang w:val="pt-PT" w:eastAsia="pt-BR"/>
        </w:rPr>
        <w:t xml:space="preserve">mensalmente, </w:t>
      </w:r>
      <w:r w:rsidR="00384480">
        <w:rPr>
          <w:rFonts w:eastAsia="Times New Roman"/>
          <w:color w:val="000000"/>
          <w:szCs w:val="24"/>
          <w:lang w:val="pt-PT" w:eastAsia="pt-BR"/>
        </w:rPr>
        <w:t>conforme segundo passo</w:t>
      </w:r>
      <w:r w:rsidR="009A4367">
        <w:rPr>
          <w:rFonts w:eastAsia="Times New Roman"/>
          <w:color w:val="000000"/>
          <w:szCs w:val="24"/>
          <w:lang w:val="pt-PT" w:eastAsia="pt-BR"/>
        </w:rPr>
        <w:t xml:space="preserve"> da figura</w:t>
      </w:r>
      <w:r w:rsidR="008C79A9">
        <w:rPr>
          <w:rFonts w:eastAsia="Times New Roman"/>
          <w:color w:val="000000"/>
          <w:szCs w:val="24"/>
          <w:lang w:val="pt-PT" w:eastAsia="pt-BR"/>
        </w:rPr>
        <w:t xml:space="preserve"> 2</w:t>
      </w:r>
      <w:r w:rsidR="001F75FF">
        <w:rPr>
          <w:rFonts w:eastAsia="Times New Roman"/>
          <w:color w:val="000000"/>
          <w:szCs w:val="24"/>
          <w:lang w:val="pt-PT" w:eastAsia="pt-BR"/>
        </w:rPr>
        <w:t xml:space="preserve"> deverá</w:t>
      </w:r>
      <w:r w:rsidR="00F75253">
        <w:rPr>
          <w:rFonts w:eastAsia="Times New Roman"/>
          <w:color w:val="000000"/>
          <w:szCs w:val="24"/>
          <w:lang w:val="pt-PT" w:eastAsia="pt-BR"/>
        </w:rPr>
        <w:t xml:space="preserve"> ser </w:t>
      </w:r>
      <w:r w:rsidR="001F75FF">
        <w:rPr>
          <w:rFonts w:eastAsia="Times New Roman"/>
          <w:color w:val="000000"/>
          <w:szCs w:val="24"/>
          <w:lang w:val="pt-PT" w:eastAsia="pt-BR"/>
        </w:rPr>
        <w:t>utilizada</w:t>
      </w:r>
      <w:r w:rsidR="00F75253">
        <w:rPr>
          <w:rFonts w:eastAsia="Times New Roman"/>
          <w:color w:val="000000"/>
          <w:szCs w:val="24"/>
          <w:lang w:val="pt-PT" w:eastAsia="pt-BR"/>
        </w:rPr>
        <w:t xml:space="preserve"> </w:t>
      </w:r>
      <w:r w:rsidR="001F75FF">
        <w:rPr>
          <w:rFonts w:eastAsia="Times New Roman"/>
          <w:color w:val="000000"/>
          <w:szCs w:val="24"/>
          <w:lang w:val="pt-PT" w:eastAsia="pt-BR"/>
        </w:rPr>
        <w:t>a</w:t>
      </w:r>
      <w:r w:rsidR="00F75253">
        <w:rPr>
          <w:rFonts w:eastAsia="Times New Roman"/>
          <w:color w:val="000000"/>
          <w:szCs w:val="24"/>
          <w:lang w:val="pt-PT" w:eastAsia="pt-BR"/>
        </w:rPr>
        <w:t xml:space="preserve"> fórmula: </w:t>
      </w:r>
    </w:p>
    <w:p w:rsidR="00F75253" w:rsidRPr="00D31A3C" w:rsidRDefault="009C48EB" w:rsidP="00F75253">
      <w:pPr>
        <w:spacing w:line="360" w:lineRule="auto"/>
        <w:rPr>
          <w:rFonts w:eastAsia="Times New Roman" w:cs="Times New Roman"/>
          <w:color w:val="000000"/>
          <w:sz w:val="20"/>
          <w:szCs w:val="26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6"/>
                  <w:lang w:eastAsia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2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Times New Roman"/>
                      <w:color w:val="000000"/>
                      <w:sz w:val="20"/>
                      <w:szCs w:val="26"/>
                    </w:rPr>
                    <m:t>RBT12 x Al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color w:val="000000"/>
                      <w:sz w:val="20"/>
                      <w:szCs w:val="26"/>
                    </w:rPr>
                    <m:t>í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color w:val="000000"/>
                      <w:sz w:val="20"/>
                      <w:szCs w:val="26"/>
                    </w:rPr>
                    <m:t>quota Nominal</m:t>
                  </m:r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0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color w:val="000000"/>
                      <w:sz w:val="20"/>
                      <w:szCs w:val="26"/>
                    </w:rPr>
                    <m:t>PD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Times New Roman"/>
                      <w:color w:val="000000"/>
                      <w:sz w:val="20"/>
                      <w:szCs w:val="26"/>
                    </w:rPr>
                    <m:t>RBT12</m:t>
                  </m:r>
                </m:den>
              </m:f>
            </m:e>
          </m:d>
          <m:r>
            <w:rPr>
              <w:rFonts w:ascii="Cambria Math" w:cs="Times New Roman"/>
              <w:color w:val="000000"/>
              <w:sz w:val="20"/>
              <w:szCs w:val="26"/>
            </w:rPr>
            <m:t xml:space="preserve">  x 100</m:t>
          </m:r>
        </m:oMath>
      </m:oMathPara>
    </w:p>
    <w:p w:rsidR="00845C03" w:rsidRDefault="00845C03" w:rsidP="003A3896">
      <w:pPr>
        <w:pStyle w:val="CitaoLonga"/>
      </w:pPr>
    </w:p>
    <w:p w:rsidR="003A3896" w:rsidRPr="003A3896" w:rsidRDefault="003A3896" w:rsidP="00845C03">
      <w:pPr>
        <w:pStyle w:val="CitaoLonga"/>
      </w:pPr>
      <w:r w:rsidRPr="003A3896">
        <w:t>I - RBT12: receita bruta acumulada nos doze meses anteriores ao período de apuração;</w:t>
      </w:r>
    </w:p>
    <w:p w:rsidR="003A3896" w:rsidRPr="003A3896" w:rsidRDefault="003A3896" w:rsidP="00845C03">
      <w:pPr>
        <w:pStyle w:val="CitaoLonga"/>
      </w:pPr>
      <w:r w:rsidRPr="003A3896">
        <w:t>II - Aliq: alíquota nominal constante dos Anexos I a V;</w:t>
      </w:r>
    </w:p>
    <w:p w:rsidR="003A3896" w:rsidRDefault="003A3896" w:rsidP="00845C03">
      <w:pPr>
        <w:pStyle w:val="CitaoLonga"/>
      </w:pPr>
      <w:r w:rsidRPr="003A3896">
        <w:t>III - PD: parcela a deduzir constante dos Anexos I a V.</w:t>
      </w:r>
    </w:p>
    <w:p w:rsidR="00801026" w:rsidRPr="009E737E" w:rsidRDefault="00801026" w:rsidP="00845C03">
      <w:pPr>
        <w:pStyle w:val="CitaoLonga"/>
      </w:pPr>
    </w:p>
    <w:p w:rsidR="00F97F9D" w:rsidRDefault="00801026" w:rsidP="00CD6D28">
      <w:pPr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>As empresas do setor de comércio são o enfoque principal da pesquisa, e toda</w:t>
      </w:r>
      <w:r w:rsidR="00B35726">
        <w:rPr>
          <w:rFonts w:eastAsia="Times New Roman" w:cs="Times New Roman"/>
          <w:color w:val="000000"/>
          <w:szCs w:val="24"/>
          <w:lang w:eastAsia="pt-BR"/>
        </w:rPr>
        <w:t xml:space="preserve">s </w:t>
      </w:r>
      <w:r w:rsidR="00D77B07">
        <w:rPr>
          <w:rFonts w:eastAsia="Times New Roman" w:cs="Times New Roman"/>
          <w:color w:val="000000"/>
          <w:szCs w:val="24"/>
          <w:lang w:eastAsia="pt-BR"/>
        </w:rPr>
        <w:t xml:space="preserve">elas </w:t>
      </w:r>
      <w:r w:rsidR="00B35726">
        <w:rPr>
          <w:rFonts w:eastAsia="Times New Roman" w:cs="Times New Roman"/>
          <w:color w:val="000000"/>
          <w:szCs w:val="24"/>
          <w:lang w:eastAsia="pt-BR"/>
        </w:rPr>
        <w:t>deverão ser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tributadas pelo </w:t>
      </w:r>
      <w:r w:rsidR="00D77B07">
        <w:rPr>
          <w:rFonts w:eastAsia="Times New Roman" w:cs="Times New Roman"/>
          <w:color w:val="000000"/>
          <w:szCs w:val="24"/>
          <w:lang w:eastAsia="pt-BR"/>
        </w:rPr>
        <w:t xml:space="preserve">novo </w:t>
      </w:r>
      <w:r>
        <w:rPr>
          <w:rFonts w:eastAsia="Times New Roman" w:cs="Times New Roman"/>
          <w:color w:val="000000"/>
          <w:szCs w:val="24"/>
          <w:lang w:eastAsia="pt-BR"/>
        </w:rPr>
        <w:t>anexo I</w:t>
      </w:r>
      <w:r w:rsidR="00D77B07">
        <w:rPr>
          <w:rFonts w:eastAsia="Times New Roman" w:cs="Times New Roman"/>
          <w:color w:val="000000"/>
          <w:szCs w:val="24"/>
          <w:lang w:eastAsia="pt-BR"/>
        </w:rPr>
        <w:t>, vigente a partir de 1° de janeiro de 2018</w:t>
      </w:r>
      <w:r>
        <w:rPr>
          <w:rFonts w:eastAsia="Times New Roman" w:cs="Times New Roman"/>
          <w:color w:val="000000"/>
          <w:szCs w:val="24"/>
          <w:lang w:eastAsia="pt-BR"/>
        </w:rPr>
        <w:t>. Portanto, são apl</w:t>
      </w:r>
      <w:r w:rsidR="000013A9">
        <w:rPr>
          <w:rFonts w:eastAsia="Times New Roman" w:cs="Times New Roman"/>
          <w:color w:val="000000"/>
          <w:szCs w:val="24"/>
          <w:lang w:eastAsia="pt-BR"/>
        </w:rPr>
        <w:t>icadas na tabela de tributação representada a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baixo</w:t>
      </w:r>
      <w:r w:rsidR="00B35726">
        <w:rPr>
          <w:rFonts w:eastAsia="Times New Roman" w:cs="Times New Roman"/>
          <w:color w:val="000000"/>
          <w:szCs w:val="24"/>
          <w:lang w:eastAsia="pt-BR"/>
        </w:rPr>
        <w:t xml:space="preserve">: </w:t>
      </w:r>
    </w:p>
    <w:p w:rsidR="00D77B07" w:rsidRPr="0084277D" w:rsidRDefault="00ED212C" w:rsidP="00BC2926">
      <w:pPr>
        <w:pStyle w:val="NormalWeb"/>
        <w:spacing w:before="0" w:beforeAutospacing="0" w:afterAutospacing="0"/>
        <w:ind w:firstLine="708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Tabela 2</w:t>
      </w:r>
      <w:r w:rsidR="007F4ADB">
        <w:rPr>
          <w:color w:val="000000"/>
          <w:sz w:val="20"/>
          <w:szCs w:val="20"/>
        </w:rPr>
        <w:t xml:space="preserve">. </w:t>
      </w:r>
      <w:r w:rsidR="00D77B07">
        <w:rPr>
          <w:color w:val="000000"/>
          <w:sz w:val="20"/>
          <w:szCs w:val="20"/>
        </w:rPr>
        <w:t xml:space="preserve">Tabela do Anexo I </w:t>
      </w:r>
      <w:r w:rsidR="00D77B07" w:rsidRPr="0084277D">
        <w:rPr>
          <w:color w:val="000000"/>
          <w:sz w:val="20"/>
          <w:szCs w:val="20"/>
        </w:rPr>
        <w:t>da Lei Complementar nº 155/2016</w:t>
      </w:r>
    </w:p>
    <w:tbl>
      <w:tblPr>
        <w:tblW w:w="4420" w:type="pct"/>
        <w:tblInd w:w="880" w:type="dxa"/>
        <w:tblCellMar>
          <w:left w:w="0" w:type="dxa"/>
          <w:right w:w="0" w:type="dxa"/>
        </w:tblCellMar>
        <w:tblLook w:val="04A0"/>
      </w:tblPr>
      <w:tblGrid>
        <w:gridCol w:w="991"/>
        <w:gridCol w:w="3406"/>
        <w:gridCol w:w="1506"/>
        <w:gridCol w:w="2307"/>
      </w:tblGrid>
      <w:tr w:rsidR="00393927" w:rsidRPr="00091DD9" w:rsidTr="00BC2926">
        <w:trPr>
          <w:trHeight w:val="205"/>
        </w:trPr>
        <w:tc>
          <w:tcPr>
            <w:tcW w:w="267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853217" w:rsidRDefault="00393927" w:rsidP="00853217">
            <w:pPr>
              <w:spacing w:before="100" w:beforeAutospacing="1" w:after="100" w:afterAutospacing="1"/>
              <w:ind w:right="-57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93927">
              <w:rPr>
                <w:rFonts w:cs="Times New Roman"/>
                <w:b/>
                <w:color w:val="000000"/>
                <w:sz w:val="20"/>
                <w:szCs w:val="20"/>
              </w:rPr>
              <w:t>Receita Bruta em 12 Meses (em R$)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93927">
              <w:rPr>
                <w:rFonts w:cs="Times New Roman"/>
                <w:b/>
                <w:color w:val="000000"/>
                <w:sz w:val="20"/>
                <w:szCs w:val="20"/>
              </w:rPr>
              <w:t>Alíquota Nominal</w:t>
            </w:r>
          </w:p>
        </w:tc>
        <w:tc>
          <w:tcPr>
            <w:tcW w:w="14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93927">
              <w:rPr>
                <w:rFonts w:cs="Times New Roman"/>
                <w:b/>
                <w:color w:val="000000"/>
                <w:sz w:val="20"/>
                <w:szCs w:val="20"/>
              </w:rPr>
              <w:t>Valor a Deduzir (em R$)</w:t>
            </w:r>
          </w:p>
        </w:tc>
      </w:tr>
      <w:tr w:rsidR="00393927" w:rsidRPr="00091DD9" w:rsidTr="00BC2926">
        <w:tc>
          <w:tcPr>
            <w:tcW w:w="6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393927">
              <w:rPr>
                <w:rFonts w:cs="Times New Roman"/>
                <w:color w:val="000000"/>
                <w:sz w:val="20"/>
                <w:szCs w:val="20"/>
                <w:u w:val="single"/>
                <w:vertAlign w:val="superscript"/>
                <w:lang w:val="pt-PT"/>
              </w:rPr>
              <w:t>a</w:t>
            </w:r>
            <w:r w:rsidR="001F75FF">
              <w:rPr>
                <w:rFonts w:cs="Times New Roman"/>
                <w:color w:val="000000"/>
                <w:sz w:val="20"/>
                <w:szCs w:val="20"/>
                <w:u w:val="single"/>
                <w:vertAlign w:val="superscript"/>
                <w:lang w:val="pt-PT"/>
              </w:rPr>
              <w:t xml:space="preserve"> </w:t>
            </w:r>
            <w:r w:rsidRPr="00393927">
              <w:rPr>
                <w:rFonts w:cs="Times New Roman"/>
                <w:color w:val="000000"/>
                <w:sz w:val="20"/>
                <w:szCs w:val="20"/>
              </w:rPr>
              <w:t>Faixa</w:t>
            </w:r>
          </w:p>
        </w:tc>
        <w:tc>
          <w:tcPr>
            <w:tcW w:w="20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Até 180.000,00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4,00%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-</w:t>
            </w:r>
          </w:p>
        </w:tc>
      </w:tr>
      <w:tr w:rsidR="00393927" w:rsidRPr="00091DD9" w:rsidTr="00BC2926">
        <w:tc>
          <w:tcPr>
            <w:tcW w:w="6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2</w:t>
            </w:r>
            <w:r w:rsidRPr="00393927">
              <w:rPr>
                <w:rFonts w:cs="Times New Roman"/>
                <w:color w:val="000000"/>
                <w:sz w:val="20"/>
                <w:szCs w:val="20"/>
                <w:u w:val="single"/>
                <w:vertAlign w:val="superscript"/>
                <w:lang w:val="pt-PT"/>
              </w:rPr>
              <w:t>a</w:t>
            </w:r>
            <w:r w:rsidRPr="00393927">
              <w:rPr>
                <w:rFonts w:cs="Times New Roman"/>
                <w:color w:val="000000"/>
                <w:sz w:val="20"/>
                <w:szCs w:val="20"/>
              </w:rPr>
              <w:t xml:space="preserve"> Faixa</w:t>
            </w:r>
          </w:p>
        </w:tc>
        <w:tc>
          <w:tcPr>
            <w:tcW w:w="20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De 180.000,01 a 360.000,00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7,30%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5.940,00</w:t>
            </w:r>
          </w:p>
        </w:tc>
      </w:tr>
      <w:tr w:rsidR="00393927" w:rsidRPr="00091DD9" w:rsidTr="00BC2926">
        <w:tc>
          <w:tcPr>
            <w:tcW w:w="6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3</w:t>
            </w:r>
            <w:r w:rsidRPr="00393927">
              <w:rPr>
                <w:rFonts w:cs="Times New Roman"/>
                <w:color w:val="000000"/>
                <w:sz w:val="20"/>
                <w:szCs w:val="20"/>
                <w:u w:val="single"/>
                <w:vertAlign w:val="superscript"/>
                <w:lang w:val="pt-PT"/>
              </w:rPr>
              <w:t>a</w:t>
            </w:r>
            <w:r w:rsidRPr="00393927">
              <w:rPr>
                <w:rFonts w:cs="Times New Roman"/>
                <w:color w:val="000000"/>
                <w:sz w:val="20"/>
                <w:szCs w:val="20"/>
              </w:rPr>
              <w:t xml:space="preserve"> Faixa</w:t>
            </w:r>
          </w:p>
        </w:tc>
        <w:tc>
          <w:tcPr>
            <w:tcW w:w="20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De 360.000,01 a 720.000,00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9,50%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13.860,00</w:t>
            </w:r>
          </w:p>
        </w:tc>
      </w:tr>
      <w:tr w:rsidR="00393927" w:rsidRPr="00091DD9" w:rsidTr="00BC2926">
        <w:tc>
          <w:tcPr>
            <w:tcW w:w="6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4</w:t>
            </w:r>
            <w:r w:rsidRPr="00393927">
              <w:rPr>
                <w:rFonts w:cs="Times New Roman"/>
                <w:color w:val="000000"/>
                <w:sz w:val="20"/>
                <w:szCs w:val="20"/>
                <w:u w:val="single"/>
                <w:vertAlign w:val="superscript"/>
                <w:lang w:val="pt-PT"/>
              </w:rPr>
              <w:t>a</w:t>
            </w:r>
            <w:r w:rsidRPr="00393927">
              <w:rPr>
                <w:rFonts w:cs="Times New Roman"/>
                <w:color w:val="000000"/>
                <w:sz w:val="20"/>
                <w:szCs w:val="20"/>
              </w:rPr>
              <w:t xml:space="preserve"> Faixa</w:t>
            </w:r>
          </w:p>
        </w:tc>
        <w:tc>
          <w:tcPr>
            <w:tcW w:w="20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De 720.000,01 a 1.800.000,00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10,70%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22.500,00</w:t>
            </w:r>
          </w:p>
        </w:tc>
      </w:tr>
      <w:tr w:rsidR="00393927" w:rsidRPr="00091DD9" w:rsidTr="00BC2926">
        <w:tc>
          <w:tcPr>
            <w:tcW w:w="6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5</w:t>
            </w:r>
            <w:r w:rsidRPr="00393927">
              <w:rPr>
                <w:rFonts w:cs="Times New Roman"/>
                <w:color w:val="000000"/>
                <w:sz w:val="20"/>
                <w:szCs w:val="20"/>
                <w:u w:val="single"/>
                <w:vertAlign w:val="superscript"/>
                <w:lang w:val="pt-PT"/>
              </w:rPr>
              <w:t>a</w:t>
            </w:r>
            <w:r w:rsidRPr="00393927">
              <w:rPr>
                <w:rFonts w:cs="Times New Roman"/>
                <w:color w:val="000000"/>
                <w:sz w:val="20"/>
                <w:szCs w:val="20"/>
              </w:rPr>
              <w:t xml:space="preserve"> Faixa</w:t>
            </w:r>
          </w:p>
        </w:tc>
        <w:tc>
          <w:tcPr>
            <w:tcW w:w="20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De 1.800.000,01 a 3.600.000,00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14,30%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87.300,00</w:t>
            </w:r>
          </w:p>
        </w:tc>
      </w:tr>
      <w:tr w:rsidR="00393927" w:rsidRPr="00091DD9" w:rsidTr="00BC2926">
        <w:tc>
          <w:tcPr>
            <w:tcW w:w="6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6</w:t>
            </w:r>
            <w:r w:rsidRPr="00393927">
              <w:rPr>
                <w:rFonts w:cs="Times New Roman"/>
                <w:color w:val="000000"/>
                <w:sz w:val="20"/>
                <w:szCs w:val="20"/>
                <w:u w:val="single"/>
                <w:vertAlign w:val="superscript"/>
                <w:lang w:val="pt-PT"/>
              </w:rPr>
              <w:t>a</w:t>
            </w:r>
            <w:r w:rsidRPr="00393927">
              <w:rPr>
                <w:rFonts w:cs="Times New Roman"/>
                <w:color w:val="000000"/>
                <w:sz w:val="20"/>
                <w:szCs w:val="20"/>
              </w:rPr>
              <w:t xml:space="preserve"> Faixa</w:t>
            </w:r>
          </w:p>
        </w:tc>
        <w:tc>
          <w:tcPr>
            <w:tcW w:w="20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De 3.600.000,01 a 4.800.000,00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19,00%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3927" w:rsidRPr="00393927" w:rsidRDefault="00393927" w:rsidP="00447C3A">
            <w:pPr>
              <w:spacing w:before="100" w:beforeAutospacing="1" w:after="100" w:afterAutospacing="1"/>
              <w:ind w:right="-57" w:firstLine="34"/>
              <w:jc w:val="center"/>
              <w:rPr>
                <w:rFonts w:cs="Times New Roman"/>
                <w:sz w:val="20"/>
                <w:szCs w:val="20"/>
              </w:rPr>
            </w:pPr>
            <w:r w:rsidRPr="00393927">
              <w:rPr>
                <w:rFonts w:cs="Times New Roman"/>
                <w:color w:val="000000"/>
                <w:sz w:val="20"/>
                <w:szCs w:val="20"/>
              </w:rPr>
              <w:t>378.000,00</w:t>
            </w:r>
          </w:p>
        </w:tc>
      </w:tr>
    </w:tbl>
    <w:p w:rsidR="00393927" w:rsidRPr="00393927" w:rsidRDefault="00393927" w:rsidP="00CD6D28">
      <w:pPr>
        <w:spacing w:after="0"/>
        <w:ind w:firstLine="0"/>
        <w:jc w:val="center"/>
        <w:rPr>
          <w:rFonts w:eastAsia="Times New Roman" w:cs="Times New Roman"/>
          <w:color w:val="000000"/>
          <w:sz w:val="20"/>
          <w:szCs w:val="20"/>
          <w:lang w:val="pt-PT" w:eastAsia="pt-BR"/>
        </w:rPr>
      </w:pPr>
      <w:r w:rsidRPr="00393927">
        <w:rPr>
          <w:rFonts w:eastAsia="Times New Roman" w:cs="Times New Roman"/>
          <w:color w:val="000000"/>
          <w:sz w:val="20"/>
          <w:szCs w:val="20"/>
          <w:lang w:val="pt-PT" w:eastAsia="pt-BR"/>
        </w:rPr>
        <w:t>Fonte: Lei Complementar 155/2016</w:t>
      </w:r>
    </w:p>
    <w:p w:rsidR="00D77B07" w:rsidRPr="00097F57" w:rsidRDefault="00D77B07" w:rsidP="00F97F9D">
      <w:pPr>
        <w:rPr>
          <w:rFonts w:eastAsia="Times New Roman" w:cs="Times New Roman"/>
          <w:color w:val="000000"/>
          <w:szCs w:val="24"/>
          <w:lang w:eastAsia="pt-BR"/>
        </w:rPr>
      </w:pPr>
    </w:p>
    <w:p w:rsidR="00F97F9D" w:rsidRPr="00CD6D28" w:rsidRDefault="000F07D3" w:rsidP="00CD6D28">
      <w:pPr>
        <w:pStyle w:val="Ttulo2"/>
        <w:ind w:left="0" w:firstLine="0"/>
        <w:rPr>
          <w:szCs w:val="24"/>
        </w:rPr>
      </w:pPr>
      <w:r>
        <w:rPr>
          <w:szCs w:val="24"/>
        </w:rPr>
        <w:t>PESQUISAS similares</w:t>
      </w:r>
    </w:p>
    <w:p w:rsidR="003C6C6C" w:rsidRDefault="00AC2F6D" w:rsidP="00620452">
      <w:r>
        <w:t>De acordo com as pesquisas mais relevantes relacionadas com o tema proposto deste artigo, dentre elas, algumas concluem a mudança do Simples Nacional como vantajosa e outras como onerosa. Não c</w:t>
      </w:r>
      <w:r w:rsidR="00A32F94">
        <w:t>ontendo assim, uma unanimidade n</w:t>
      </w:r>
      <w:r>
        <w:t xml:space="preserve">os resultados encontrados. </w:t>
      </w:r>
    </w:p>
    <w:p w:rsidR="00F97F9D" w:rsidRPr="00AC2F6D" w:rsidRDefault="009A4367" w:rsidP="00620452">
      <w:r>
        <w:t>A seguir no quadro um</w:t>
      </w:r>
      <w:r w:rsidR="00261CA7">
        <w:t xml:space="preserve">, apresenta-se a relação das principais pesquisas </w:t>
      </w:r>
      <w:r w:rsidR="00700BDA">
        <w:t>similares em torno do tema da alteração do Simples Nacional, porém com diferentes enfoques entre si,</w:t>
      </w:r>
      <w:r w:rsidR="00D36588">
        <w:t xml:space="preserve"> como</w:t>
      </w:r>
      <w:r w:rsidR="00700BDA">
        <w:t xml:space="preserve"> por exemplo: Comparação entre os regimes tributários; </w:t>
      </w:r>
      <w:r w:rsidR="00B5386E">
        <w:t xml:space="preserve">vantagens ou desvantagens das alterações da Lei </w:t>
      </w:r>
      <w:r w:rsidR="007B30A1">
        <w:t xml:space="preserve">Complementar n° 123/2006 em </w:t>
      </w:r>
      <w:r w:rsidR="00B5386E">
        <w:t xml:space="preserve">empresa prestadora de serviços; planejamento tributário; </w:t>
      </w:r>
      <w:r w:rsidR="00D9768D">
        <w:t xml:space="preserve">e </w:t>
      </w:r>
      <w:r w:rsidR="00B5386E">
        <w:t>entre outros.</w:t>
      </w:r>
    </w:p>
    <w:p w:rsidR="003069DA" w:rsidRDefault="007F4ADB" w:rsidP="00F97F9D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Tabela 3.</w:t>
      </w:r>
      <w:r w:rsidR="0096743B">
        <w:rPr>
          <w:rFonts w:cs="Times New Roman"/>
          <w:sz w:val="20"/>
          <w:szCs w:val="20"/>
        </w:rPr>
        <w:t xml:space="preserve"> </w:t>
      </w:r>
      <w:r w:rsidR="00323AAC">
        <w:rPr>
          <w:rFonts w:cs="Times New Roman"/>
          <w:sz w:val="20"/>
          <w:szCs w:val="20"/>
        </w:rPr>
        <w:t>Pesquisas Similares ou C</w:t>
      </w:r>
      <w:r w:rsidR="0096743B">
        <w:rPr>
          <w:rFonts w:cs="Times New Roman"/>
          <w:sz w:val="20"/>
          <w:szCs w:val="20"/>
        </w:rPr>
        <w:t>orrelatadas</w:t>
      </w: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4A0"/>
      </w:tblPr>
      <w:tblGrid>
        <w:gridCol w:w="999"/>
        <w:gridCol w:w="2835"/>
        <w:gridCol w:w="2975"/>
        <w:gridCol w:w="3121"/>
      </w:tblGrid>
      <w:tr w:rsidR="001F75FF" w:rsidRPr="0096743B" w:rsidTr="00645E2F">
        <w:trPr>
          <w:trHeight w:val="57"/>
          <w:jc w:val="center"/>
        </w:trPr>
        <w:tc>
          <w:tcPr>
            <w:tcW w:w="999" w:type="dxa"/>
            <w:noWrap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Autoria</w:t>
            </w:r>
          </w:p>
        </w:tc>
        <w:tc>
          <w:tcPr>
            <w:tcW w:w="2835" w:type="dxa"/>
            <w:noWrap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Objetivos</w:t>
            </w:r>
          </w:p>
        </w:tc>
        <w:tc>
          <w:tcPr>
            <w:tcW w:w="2975" w:type="dxa"/>
            <w:noWrap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Ferramentas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de pesquisa</w:t>
            </w:r>
          </w:p>
        </w:tc>
        <w:tc>
          <w:tcPr>
            <w:tcW w:w="3121" w:type="dxa"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Resultado</w:t>
            </w: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 w:val="restart"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Mattos</w:t>
            </w:r>
          </w:p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(2018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)</w:t>
            </w:r>
          </w:p>
        </w:tc>
        <w:tc>
          <w:tcPr>
            <w:tcW w:w="2835" w:type="dxa"/>
            <w:vMerge w:val="restart"/>
            <w:hideMark/>
          </w:tcPr>
          <w:p w:rsidR="001F75FF" w:rsidRPr="0096743B" w:rsidRDefault="001F75FF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DA0CFC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A pesquisa objetiva mensurar</w:t>
            </w:r>
            <w:r w:rsidR="001E5C73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DA0CFC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qual o (b) ônus que a LC nº 155/2016 trará, analisando as mudanças propostas para o ano de 2018.</w:t>
            </w:r>
          </w:p>
        </w:tc>
        <w:tc>
          <w:tcPr>
            <w:tcW w:w="2975" w:type="dxa"/>
            <w:vMerge w:val="restart"/>
            <w:hideMark/>
          </w:tcPr>
          <w:p w:rsidR="001F75FF" w:rsidRPr="0096743B" w:rsidRDefault="00645E2F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C</w:t>
            </w:r>
            <w:r w:rsidRPr="00645E2F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oletar dados de janeiro de 2015 até dezembro de 2016, de uma lotérica e simular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="00407C6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como se a LC nº 155/2016 </w:t>
            </w:r>
            <w:r w:rsidRPr="00645E2F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já estivesse em vigor. Como</w:t>
            </w:r>
            <w:r w:rsidR="00407C6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645E2F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ins</w:t>
            </w:r>
            <w:r w:rsidR="00407C6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trumento utilizado foi feito um </w:t>
            </w:r>
            <w:r w:rsidRPr="00645E2F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levantamento de dados</w:t>
            </w:r>
            <w:r w:rsidR="00DC53C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645E2F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a p</w:t>
            </w:r>
            <w:r w:rsidR="00407C6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artir de informações fornecidas </w:t>
            </w:r>
            <w:r w:rsidRPr="00645E2F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pela mesma.</w:t>
            </w:r>
          </w:p>
        </w:tc>
        <w:tc>
          <w:tcPr>
            <w:tcW w:w="3121" w:type="dxa"/>
            <w:vMerge w:val="restart"/>
            <w:hideMark/>
          </w:tcPr>
          <w:p w:rsidR="001F75FF" w:rsidRPr="00407C64" w:rsidRDefault="00407C64" w:rsidP="00DC53C4">
            <w:pPr>
              <w:spacing w:after="0"/>
              <w:ind w:firstLine="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shd w:val="clear" w:color="auto" w:fill="FFFFFF"/>
                <w:lang w:val="pt-PT" w:eastAsia="pt-BR"/>
              </w:rPr>
            </w:pPr>
            <w:r w:rsidRPr="00407C6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Como resultados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407C6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obtidos a 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empresa apresentou ônus</w:t>
            </w:r>
            <w:r w:rsidRPr="00407C6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, visto que o valor da folha de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407C6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pagamento e o faturamento são fatores decisivos no anexo a ser tributado.</w:t>
            </w: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A537FC" w:rsidRPr="0096743B" w:rsidTr="00645E2F">
        <w:trPr>
          <w:trHeight w:val="230"/>
          <w:jc w:val="center"/>
        </w:trPr>
        <w:tc>
          <w:tcPr>
            <w:tcW w:w="999" w:type="dxa"/>
            <w:vMerge w:val="restart"/>
            <w:hideMark/>
          </w:tcPr>
          <w:p w:rsidR="00A537FC" w:rsidRPr="00632CA2" w:rsidRDefault="00A537FC" w:rsidP="00A537FC">
            <w:pPr>
              <w:spacing w:after="0"/>
              <w:rPr>
                <w:rFonts w:eastAsia="Times New Roman" w:cs="Times New Roman"/>
                <w:color w:val="000000"/>
                <w:sz w:val="20"/>
                <w:szCs w:val="24"/>
                <w:highlight w:val="yellow"/>
                <w:lang w:val="pt-PT" w:eastAsia="pt-BR"/>
              </w:rPr>
            </w:pPr>
          </w:p>
          <w:p w:rsidR="00A537FC" w:rsidRPr="00DC53C4" w:rsidRDefault="00841654" w:rsidP="00841654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DC53C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Da Costa </w:t>
            </w:r>
          </w:p>
          <w:p w:rsidR="00A537FC" w:rsidRPr="00632CA2" w:rsidRDefault="00A537FC" w:rsidP="00A537F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highlight w:val="yellow"/>
                <w:lang w:val="pt-PT" w:eastAsia="pt-BR"/>
              </w:rPr>
            </w:pPr>
            <w:r w:rsidRPr="00DC53C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(2017)</w:t>
            </w:r>
          </w:p>
        </w:tc>
        <w:tc>
          <w:tcPr>
            <w:tcW w:w="2835" w:type="dxa"/>
            <w:vMerge w:val="restart"/>
            <w:hideMark/>
          </w:tcPr>
          <w:p w:rsidR="00A537FC" w:rsidRPr="006E41E8" w:rsidRDefault="00DC53C4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6E41E8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I</w:t>
            </w:r>
            <w:r w:rsidRPr="006E41E8"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>ncidência dos três principais modalidades empresariais no Brasil, o Simples Nacional, o Lucro Real e o Lucro Presumido.</w:t>
            </w:r>
          </w:p>
        </w:tc>
        <w:tc>
          <w:tcPr>
            <w:tcW w:w="2975" w:type="dxa"/>
            <w:vMerge w:val="restart"/>
            <w:hideMark/>
          </w:tcPr>
          <w:p w:rsidR="00A537FC" w:rsidRPr="006E41E8" w:rsidRDefault="006E41E8" w:rsidP="006E41E8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6E41E8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O </w:t>
            </w:r>
            <w:r w:rsidRPr="006E41E8"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>tema foi abordado de forma qualitativa buscando a compreensão dos tipos de tributação possíveis na legislação brasileira, podendo assim ter uma visão sobre qual regime é mais lucrativo.</w:t>
            </w:r>
          </w:p>
        </w:tc>
        <w:tc>
          <w:tcPr>
            <w:tcW w:w="3121" w:type="dxa"/>
            <w:vMerge w:val="restart"/>
            <w:hideMark/>
          </w:tcPr>
          <w:p w:rsidR="00A537FC" w:rsidRPr="00632CA2" w:rsidRDefault="00E069B1" w:rsidP="00E069B1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highlight w:val="yellow"/>
                <w:lang w:val="pt-PT" w:eastAsia="pt-BR"/>
              </w:rPr>
            </w:pPr>
            <w:r w:rsidRPr="00E069B1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Nos resultados, o</w:t>
            </w:r>
            <w:r w:rsidRPr="00E069B1"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 xml:space="preserve"> Simples Nacional se destaca tanto em maior lucro quanto em menor carga tributária.</w:t>
            </w: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376C97" w:rsidRPr="0096743B" w:rsidTr="00645E2F">
        <w:trPr>
          <w:trHeight w:val="230"/>
          <w:jc w:val="center"/>
        </w:trPr>
        <w:tc>
          <w:tcPr>
            <w:tcW w:w="999" w:type="dxa"/>
            <w:vMerge w:val="restart"/>
            <w:hideMark/>
          </w:tcPr>
          <w:p w:rsidR="00376C97" w:rsidRPr="00C03391" w:rsidRDefault="00376C97" w:rsidP="00804CC5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  <w:p w:rsidR="00376C97" w:rsidRPr="00C03391" w:rsidRDefault="00376C97" w:rsidP="00804CC5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C03391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lastRenderedPageBreak/>
              <w:t xml:space="preserve">Silva  </w:t>
            </w:r>
          </w:p>
          <w:p w:rsidR="00376C97" w:rsidRPr="00C03391" w:rsidRDefault="00376C97" w:rsidP="00804CC5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C03391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(2017)</w:t>
            </w:r>
          </w:p>
        </w:tc>
        <w:tc>
          <w:tcPr>
            <w:tcW w:w="2835" w:type="dxa"/>
            <w:vMerge w:val="restart"/>
            <w:hideMark/>
          </w:tcPr>
          <w:p w:rsidR="00376C97" w:rsidRPr="00C03391" w:rsidRDefault="001E5C73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lastRenderedPageBreak/>
              <w:t xml:space="preserve">Quais vantagens uma empresa de 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lastRenderedPageBreak/>
              <w:t xml:space="preserve">comércio, serviços e indústria teriam, permanecendo no Simples Nacional </w:t>
            </w:r>
            <w:r w:rsidRPr="001E5C73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2018.</w:t>
            </w:r>
          </w:p>
        </w:tc>
        <w:tc>
          <w:tcPr>
            <w:tcW w:w="2975" w:type="dxa"/>
            <w:vMerge w:val="restart"/>
            <w:hideMark/>
          </w:tcPr>
          <w:p w:rsidR="00376C97" w:rsidRPr="00C03391" w:rsidRDefault="001E5C73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lastRenderedPageBreak/>
              <w:t>L</w:t>
            </w:r>
            <w:r w:rsidRPr="001E5C73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evantamento de dados a partir de </w:t>
            </w:r>
            <w:r w:rsidRPr="001E5C73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lastRenderedPageBreak/>
              <w:t>informações fornecidas por outra empresa em poder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1E5C73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destas.</w:t>
            </w:r>
          </w:p>
        </w:tc>
        <w:tc>
          <w:tcPr>
            <w:tcW w:w="3121" w:type="dxa"/>
            <w:vMerge w:val="restart"/>
            <w:hideMark/>
          </w:tcPr>
          <w:p w:rsidR="00376C97" w:rsidRPr="00C03391" w:rsidRDefault="001E5C73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lastRenderedPageBreak/>
              <w:t>A</w:t>
            </w:r>
            <w:r w:rsidRPr="001E5C73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empresa de comércio e a p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restadora 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lastRenderedPageBreak/>
              <w:t>de serviço</w:t>
            </w:r>
            <w:r w:rsidRPr="001E5C73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="0088569C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de estética, </w:t>
            </w:r>
            <w:r w:rsidRPr="001E5C73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apresentaram bônus</w:t>
            </w:r>
            <w:r w:rsidR="00376C97" w:rsidRPr="00C03391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.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Já a empresa </w:t>
            </w:r>
            <w:r w:rsidRPr="001E5C73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presta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dora de serviços</w:t>
            </w:r>
            <w:r w:rsidR="0088569C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de fisioterapia</w:t>
            </w:r>
            <w:r w:rsidRPr="001E5C73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,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1E5C73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apresentou ônus</w:t>
            </w:r>
            <w:r w:rsidR="00F04553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.</w:t>
            </w: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/>
            <w:hideMark/>
          </w:tcPr>
          <w:p w:rsidR="001F75FF" w:rsidRPr="002C5460" w:rsidRDefault="001F75FF" w:rsidP="00447C3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/>
            <w:hideMark/>
          </w:tcPr>
          <w:p w:rsidR="001F75FF" w:rsidRPr="002C5460" w:rsidRDefault="001F75FF" w:rsidP="00447C3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376C97" w:rsidRPr="0096743B" w:rsidTr="00645E2F">
        <w:trPr>
          <w:trHeight w:val="230"/>
          <w:jc w:val="center"/>
        </w:trPr>
        <w:tc>
          <w:tcPr>
            <w:tcW w:w="999" w:type="dxa"/>
            <w:vMerge w:val="restart"/>
            <w:hideMark/>
          </w:tcPr>
          <w:p w:rsidR="004129BA" w:rsidRDefault="004129BA" w:rsidP="004129B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  <w:p w:rsidR="00376C97" w:rsidRPr="002C5460" w:rsidRDefault="00376C97" w:rsidP="00804CC5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De Souza</w:t>
            </w:r>
            <w:r w:rsidRPr="002C5460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(2016)</w:t>
            </w:r>
          </w:p>
        </w:tc>
        <w:tc>
          <w:tcPr>
            <w:tcW w:w="2835" w:type="dxa"/>
            <w:vMerge w:val="restart"/>
            <w:hideMark/>
          </w:tcPr>
          <w:p w:rsidR="00376C97" w:rsidRPr="0096743B" w:rsidRDefault="00F04553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Co</w:t>
            </w:r>
            <w:r w:rsidRPr="00F04553"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>mparativo a fim de evidenciar qual o melhor regime tr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>ibutário</w:t>
            </w:r>
            <w:r w:rsidRPr="00F04553"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 xml:space="preserve">aplicado em uma </w:t>
            </w:r>
            <w:r w:rsidRPr="00F04553"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>empresa de representação comercial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>.</w:t>
            </w:r>
          </w:p>
        </w:tc>
        <w:tc>
          <w:tcPr>
            <w:tcW w:w="2975" w:type="dxa"/>
            <w:vMerge w:val="restart"/>
            <w:hideMark/>
          </w:tcPr>
          <w:p w:rsidR="00376C97" w:rsidRPr="0096743B" w:rsidRDefault="00F04553" w:rsidP="00DC53C4">
            <w:pPr>
              <w:spacing w:after="0"/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>.</w:t>
            </w:r>
            <w:r w:rsidRPr="00F04553"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>A metodologia aplicada foi o levantamento de dados com base em informações disponibilizadas pela empresa de estudo.</w:t>
            </w:r>
          </w:p>
        </w:tc>
        <w:tc>
          <w:tcPr>
            <w:tcW w:w="3121" w:type="dxa"/>
            <w:vMerge w:val="restart"/>
            <w:hideMark/>
          </w:tcPr>
          <w:p w:rsidR="00376C97" w:rsidRPr="0096743B" w:rsidRDefault="00F04553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 xml:space="preserve">Na conclusão deste </w:t>
            </w:r>
            <w:r w:rsidRPr="00F04553"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>trabalho tem-se como resultado que o regime de tributação do Simples Nacion</w:t>
            </w:r>
            <w:r w:rsidR="00DC53C4"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 xml:space="preserve">al, </w:t>
            </w:r>
            <w:r w:rsidR="004129BA" w:rsidRPr="004129BA"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>é o menos oneroso</w:t>
            </w:r>
          </w:p>
          <w:p w:rsidR="00376C97" w:rsidRPr="0096743B" w:rsidRDefault="00376C97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/>
            <w:hideMark/>
          </w:tcPr>
          <w:p w:rsidR="001F75FF" w:rsidRPr="002C5460" w:rsidRDefault="001F75FF" w:rsidP="00447C3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/>
            <w:hideMark/>
          </w:tcPr>
          <w:p w:rsidR="001F75FF" w:rsidRPr="002C5460" w:rsidRDefault="001F75FF" w:rsidP="00447C3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F04553">
        <w:trPr>
          <w:trHeight w:val="230"/>
          <w:jc w:val="center"/>
        </w:trPr>
        <w:tc>
          <w:tcPr>
            <w:tcW w:w="999" w:type="dxa"/>
            <w:vMerge/>
            <w:hideMark/>
          </w:tcPr>
          <w:p w:rsidR="001F75FF" w:rsidRPr="002C5460" w:rsidRDefault="001F75FF" w:rsidP="00447C3A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30"/>
          <w:jc w:val="center"/>
        </w:trPr>
        <w:tc>
          <w:tcPr>
            <w:tcW w:w="999" w:type="dxa"/>
            <w:vMerge w:val="restart"/>
            <w:hideMark/>
          </w:tcPr>
          <w:p w:rsidR="00F04553" w:rsidRDefault="00F04553" w:rsidP="00376C97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  <w:p w:rsidR="00F04553" w:rsidRPr="002C5460" w:rsidRDefault="00F04553" w:rsidP="00376C97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</w:p>
          <w:p w:rsidR="001F75FF" w:rsidRPr="002C5460" w:rsidRDefault="001F75FF" w:rsidP="00447C3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2C5460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Barbosa (2016)</w:t>
            </w:r>
          </w:p>
        </w:tc>
        <w:tc>
          <w:tcPr>
            <w:tcW w:w="2835" w:type="dxa"/>
            <w:vMerge w:val="restart"/>
            <w:hideMark/>
          </w:tcPr>
          <w:p w:rsidR="001F75FF" w:rsidRPr="0096743B" w:rsidRDefault="001F75FF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Avaliar os impactos</w:t>
            </w:r>
            <w:r w:rsidR="00645E2F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gerados pela Lei</w:t>
            </w:r>
            <w:r w:rsidR="00645E2F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Complementar nº</w:t>
            </w:r>
            <w:r w:rsidR="004129BA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155/16</w:t>
            </w:r>
            <w:r w:rsidR="00645E2F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="00DC53C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que altera o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Simples</w:t>
            </w:r>
            <w:r w:rsidR="00645E2F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Nacional</w:t>
            </w:r>
            <w:r w:rsidR="004129BA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, </w:t>
            </w:r>
            <w:r w:rsidR="004129BA"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 xml:space="preserve"> visando</w:t>
            </w:r>
            <w:r w:rsidR="004129BA" w:rsidRPr="004129BA">
              <w:rPr>
                <w:rFonts w:eastAsia="Times New Roman" w:cs="Times New Roman"/>
                <w:color w:val="000000"/>
                <w:sz w:val="20"/>
                <w:szCs w:val="24"/>
                <w:lang w:eastAsia="pt-BR"/>
              </w:rPr>
              <w:t xml:space="preserve"> também, demonstrar os benefícios do planejamento tributário.</w:t>
            </w:r>
          </w:p>
        </w:tc>
        <w:tc>
          <w:tcPr>
            <w:tcW w:w="2975" w:type="dxa"/>
            <w:vMerge w:val="restart"/>
            <w:hideMark/>
          </w:tcPr>
          <w:p w:rsidR="001F75FF" w:rsidRPr="0096743B" w:rsidRDefault="001F75FF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Caso hipotético de uma</w:t>
            </w:r>
            <w:r w:rsidR="00376C97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empresa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prestadora de</w:t>
            </w:r>
            <w:r w:rsidR="00376C97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="00645E2F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serviços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que pode optar</w:t>
            </w:r>
            <w:r w:rsidR="00376C97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por arcar com suas</w:t>
            </w:r>
            <w:r w:rsidR="00376C97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obrigações fiscais</w:t>
            </w:r>
            <w:r w:rsidR="00376C97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utilizando o Simples</w:t>
            </w:r>
            <w:r w:rsidR="00376C97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Nacional ou o Lucro</w:t>
            </w:r>
            <w:r w:rsidR="00376C97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Presumido.</w:t>
            </w:r>
          </w:p>
        </w:tc>
        <w:tc>
          <w:tcPr>
            <w:tcW w:w="3121" w:type="dxa"/>
            <w:vMerge w:val="restart"/>
            <w:hideMark/>
          </w:tcPr>
          <w:p w:rsidR="001F75FF" w:rsidRPr="0096743B" w:rsidRDefault="001F75FF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As alterações no Simples Nacional</w:t>
            </w:r>
          </w:p>
          <w:p w:rsidR="001F75FF" w:rsidRPr="0096743B" w:rsidRDefault="001F75FF" w:rsidP="00DC53C4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podem tornar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esse</w:t>
            </w:r>
            <w:r w:rsidR="00376C97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regime menos vantajoso, </w:t>
            </w:r>
            <w:r w:rsidR="00376C97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e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em alguns casos citados,</w:t>
            </w:r>
            <w:r w:rsidR="00376C97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ser menos oneroso optar pelo</w:t>
            </w:r>
            <w:r w:rsidR="00DC53C4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 xml:space="preserve"> </w:t>
            </w:r>
            <w:r w:rsidR="00645E2F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Lucro Presumido</w:t>
            </w:r>
            <w:r w:rsidRPr="0096743B">
              <w:rPr>
                <w:rFonts w:eastAsia="Times New Roman" w:cs="Times New Roman"/>
                <w:color w:val="000000"/>
                <w:sz w:val="20"/>
                <w:szCs w:val="24"/>
                <w:lang w:val="pt-PT" w:eastAsia="pt-BR"/>
              </w:rPr>
              <w:t>.</w:t>
            </w:r>
          </w:p>
        </w:tc>
      </w:tr>
      <w:tr w:rsidR="001F75FF" w:rsidRPr="0096743B" w:rsidTr="00645E2F">
        <w:trPr>
          <w:trHeight w:val="244"/>
          <w:jc w:val="center"/>
        </w:trPr>
        <w:tc>
          <w:tcPr>
            <w:tcW w:w="999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44"/>
          <w:jc w:val="center"/>
        </w:trPr>
        <w:tc>
          <w:tcPr>
            <w:tcW w:w="999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44"/>
          <w:jc w:val="center"/>
        </w:trPr>
        <w:tc>
          <w:tcPr>
            <w:tcW w:w="999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44"/>
          <w:jc w:val="center"/>
        </w:trPr>
        <w:tc>
          <w:tcPr>
            <w:tcW w:w="999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</w:tr>
      <w:tr w:rsidR="001F75FF" w:rsidRPr="0096743B" w:rsidTr="00645E2F">
        <w:trPr>
          <w:trHeight w:val="244"/>
          <w:jc w:val="center"/>
        </w:trPr>
        <w:tc>
          <w:tcPr>
            <w:tcW w:w="999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83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2975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  <w:tc>
          <w:tcPr>
            <w:tcW w:w="3121" w:type="dxa"/>
            <w:vMerge/>
            <w:hideMark/>
          </w:tcPr>
          <w:p w:rsidR="001F75FF" w:rsidRPr="0096743B" w:rsidRDefault="001F75FF" w:rsidP="00447C3A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20"/>
                <w:szCs w:val="24"/>
                <w:lang w:val="pt-PT" w:eastAsia="pt-BR"/>
              </w:rPr>
            </w:pPr>
          </w:p>
        </w:tc>
      </w:tr>
    </w:tbl>
    <w:p w:rsidR="0096743B" w:rsidRPr="00EB5ACA" w:rsidRDefault="00EB5ACA" w:rsidP="00EB5ACA">
      <w:pPr>
        <w:ind w:firstLine="0"/>
        <w:jc w:val="center"/>
        <w:rPr>
          <w:sz w:val="20"/>
          <w:szCs w:val="20"/>
          <w:lang w:val="pt-PT"/>
        </w:rPr>
      </w:pPr>
      <w:r w:rsidRPr="00EB5ACA">
        <w:rPr>
          <w:sz w:val="20"/>
          <w:szCs w:val="20"/>
          <w:lang w:val="pt-PT"/>
        </w:rPr>
        <w:t>Fonte: Dados de pesquisa (2018)</w:t>
      </w:r>
    </w:p>
    <w:p w:rsidR="00CD6D28" w:rsidRDefault="002F184A" w:rsidP="00620452">
      <w:pPr>
        <w:rPr>
          <w:shd w:val="clear" w:color="auto" w:fill="FFFFFF"/>
        </w:rPr>
      </w:pPr>
      <w:r>
        <w:rPr>
          <w:shd w:val="clear" w:color="auto" w:fill="FFFFFF"/>
        </w:rPr>
        <w:t>O</w:t>
      </w:r>
      <w:r w:rsidR="008E007C">
        <w:rPr>
          <w:shd w:val="clear" w:color="auto" w:fill="FFFFFF"/>
        </w:rPr>
        <w:t>s</w:t>
      </w:r>
      <w:r>
        <w:rPr>
          <w:shd w:val="clear" w:color="auto" w:fill="FFFFFF"/>
        </w:rPr>
        <w:t xml:space="preserve"> estudo</w:t>
      </w:r>
      <w:r w:rsidR="008E007C">
        <w:rPr>
          <w:shd w:val="clear" w:color="auto" w:fill="FFFFFF"/>
        </w:rPr>
        <w:t>s</w:t>
      </w:r>
      <w:r>
        <w:rPr>
          <w:shd w:val="clear" w:color="auto" w:fill="FFFFFF"/>
        </w:rPr>
        <w:t xml:space="preserve"> de </w:t>
      </w:r>
      <w:r w:rsidR="009D0951">
        <w:rPr>
          <w:shd w:val="clear" w:color="auto" w:fill="FFFFFF"/>
        </w:rPr>
        <w:t>Barbosa (2016)</w:t>
      </w:r>
      <w:r w:rsidR="00E0658A">
        <w:rPr>
          <w:shd w:val="clear" w:color="auto" w:fill="FFFFFF"/>
        </w:rPr>
        <w:t xml:space="preserve"> e</w:t>
      </w:r>
      <w:r w:rsidR="009D0951">
        <w:rPr>
          <w:shd w:val="clear" w:color="auto" w:fill="FFFFFF"/>
        </w:rPr>
        <w:t xml:space="preserve"> De </w:t>
      </w:r>
      <w:r w:rsidR="008E007C">
        <w:rPr>
          <w:shd w:val="clear" w:color="auto" w:fill="FFFFFF"/>
        </w:rPr>
        <w:t>Souza (2016)</w:t>
      </w:r>
      <w:r w:rsidR="009D0951">
        <w:rPr>
          <w:shd w:val="clear" w:color="auto" w:fill="FFFFFF"/>
        </w:rPr>
        <w:t xml:space="preserve"> </w:t>
      </w:r>
      <w:r w:rsidR="0015012E">
        <w:rPr>
          <w:shd w:val="clear" w:color="auto" w:fill="FFFFFF"/>
        </w:rPr>
        <w:t>avalia</w:t>
      </w:r>
      <w:r w:rsidR="009D0951">
        <w:rPr>
          <w:shd w:val="clear" w:color="auto" w:fill="FFFFFF"/>
        </w:rPr>
        <w:t>m</w:t>
      </w:r>
      <w:r w:rsidR="008E007C">
        <w:rPr>
          <w:shd w:val="clear" w:color="auto" w:fill="FFFFFF"/>
        </w:rPr>
        <w:t xml:space="preserve">, entre </w:t>
      </w:r>
      <w:r w:rsidR="007D2EC7">
        <w:rPr>
          <w:shd w:val="clear" w:color="auto" w:fill="FFFFFF"/>
        </w:rPr>
        <w:t>os regimes d</w:t>
      </w:r>
      <w:r w:rsidR="008E007C">
        <w:rPr>
          <w:shd w:val="clear" w:color="auto" w:fill="FFFFFF"/>
        </w:rPr>
        <w:t xml:space="preserve">o Lucro Presumido e o Simples Nacional, </w:t>
      </w:r>
      <w:r w:rsidR="009D0951">
        <w:rPr>
          <w:shd w:val="clear" w:color="auto" w:fill="FFFFFF"/>
        </w:rPr>
        <w:t xml:space="preserve">qual a melhor opção </w:t>
      </w:r>
      <w:r w:rsidR="008E007C">
        <w:rPr>
          <w:shd w:val="clear" w:color="auto" w:fill="FFFFFF"/>
        </w:rPr>
        <w:t xml:space="preserve">para </w:t>
      </w:r>
      <w:r w:rsidR="008E007C" w:rsidRPr="005A0542">
        <w:rPr>
          <w:shd w:val="clear" w:color="auto" w:fill="FFFFFF"/>
        </w:rPr>
        <w:t xml:space="preserve">uma empresa de </w:t>
      </w:r>
      <w:r w:rsidR="009D0951">
        <w:rPr>
          <w:shd w:val="clear" w:color="auto" w:fill="FFFFFF"/>
        </w:rPr>
        <w:t>prestação d</w:t>
      </w:r>
      <w:r w:rsidR="00E0658A">
        <w:rPr>
          <w:shd w:val="clear" w:color="auto" w:fill="FFFFFF"/>
        </w:rPr>
        <w:t xml:space="preserve">e serviços e </w:t>
      </w:r>
      <w:r w:rsidR="009D0951">
        <w:rPr>
          <w:shd w:val="clear" w:color="auto" w:fill="FFFFFF"/>
        </w:rPr>
        <w:t>uma representante</w:t>
      </w:r>
      <w:r w:rsidR="008E007C" w:rsidRPr="005A0542">
        <w:rPr>
          <w:shd w:val="clear" w:color="auto" w:fill="FFFFFF"/>
        </w:rPr>
        <w:t xml:space="preserve"> comercial</w:t>
      </w:r>
      <w:r w:rsidR="009D0951">
        <w:rPr>
          <w:shd w:val="clear" w:color="auto" w:fill="FFFFFF"/>
        </w:rPr>
        <w:t>,</w:t>
      </w:r>
      <w:r w:rsidR="008E007C">
        <w:rPr>
          <w:shd w:val="clear" w:color="auto" w:fill="FFFFFF"/>
        </w:rPr>
        <w:t xml:space="preserve"> respectivamente</w:t>
      </w:r>
      <w:r w:rsidR="00815400">
        <w:rPr>
          <w:shd w:val="clear" w:color="auto" w:fill="FFFFFF"/>
        </w:rPr>
        <w:t xml:space="preserve">. </w:t>
      </w:r>
      <w:r w:rsidR="009D0951" w:rsidRPr="004E4F3C">
        <w:rPr>
          <w:shd w:val="clear" w:color="auto" w:fill="FFFFFF"/>
        </w:rPr>
        <w:t xml:space="preserve">Já </w:t>
      </w:r>
      <w:r w:rsidR="00E0658A" w:rsidRPr="004E4F3C">
        <w:rPr>
          <w:shd w:val="clear" w:color="auto" w:fill="FFFFFF"/>
        </w:rPr>
        <w:t xml:space="preserve">Mattos (2018) e </w:t>
      </w:r>
      <w:r w:rsidR="00177C53" w:rsidRPr="004E4F3C">
        <w:rPr>
          <w:shd w:val="clear" w:color="auto" w:fill="FFFFFF"/>
        </w:rPr>
        <w:t xml:space="preserve">Silva </w:t>
      </w:r>
      <w:r w:rsidR="003B0E97" w:rsidRPr="004E4F3C">
        <w:rPr>
          <w:shd w:val="clear" w:color="auto" w:fill="FFFFFF"/>
        </w:rPr>
        <w:t>(201</w:t>
      </w:r>
      <w:r w:rsidR="00177C53" w:rsidRPr="004E4F3C">
        <w:rPr>
          <w:shd w:val="clear" w:color="auto" w:fill="FFFFFF"/>
        </w:rPr>
        <w:t>7</w:t>
      </w:r>
      <w:r w:rsidR="00664CF7" w:rsidRPr="004E4F3C">
        <w:rPr>
          <w:shd w:val="clear" w:color="auto" w:fill="FFFFFF"/>
        </w:rPr>
        <w:t xml:space="preserve">), que serviram de base na comparação dos resultados, </w:t>
      </w:r>
      <w:r w:rsidR="008E007C" w:rsidRPr="004E4F3C">
        <w:rPr>
          <w:shd w:val="clear" w:color="auto" w:fill="FFFFFF"/>
        </w:rPr>
        <w:t>visa</w:t>
      </w:r>
      <w:r w:rsidR="00A728DB" w:rsidRPr="004E4F3C">
        <w:rPr>
          <w:shd w:val="clear" w:color="auto" w:fill="FFFFFF"/>
        </w:rPr>
        <w:t>m</w:t>
      </w:r>
      <w:r w:rsidR="008E007C" w:rsidRPr="004E4F3C">
        <w:rPr>
          <w:shd w:val="clear" w:color="auto" w:fill="FFFFFF"/>
        </w:rPr>
        <w:t xml:space="preserve"> o bônus da nova Lei Complementar nº 155/2016</w:t>
      </w:r>
      <w:r w:rsidR="00DC4504" w:rsidRPr="004E4F3C">
        <w:rPr>
          <w:shd w:val="clear" w:color="auto" w:fill="FFFFFF"/>
        </w:rPr>
        <w:t>.</w:t>
      </w:r>
      <w:r w:rsidR="00DC4504">
        <w:rPr>
          <w:shd w:val="clear" w:color="auto" w:fill="FFFFFF"/>
        </w:rPr>
        <w:t xml:space="preserve"> O</w:t>
      </w:r>
      <w:r w:rsidR="00664CF7">
        <w:rPr>
          <w:shd w:val="clear" w:color="auto" w:fill="FFFFFF"/>
        </w:rPr>
        <w:t>s demais trabalhos listados</w:t>
      </w:r>
      <w:r w:rsidR="00815400">
        <w:rPr>
          <w:shd w:val="clear" w:color="auto" w:fill="FFFFFF"/>
        </w:rPr>
        <w:t xml:space="preserve"> não </w:t>
      </w:r>
      <w:r w:rsidR="00664CF7">
        <w:rPr>
          <w:shd w:val="clear" w:color="auto" w:fill="FFFFFF"/>
        </w:rPr>
        <w:t>possuem</w:t>
      </w:r>
      <w:r w:rsidR="00F73366">
        <w:rPr>
          <w:shd w:val="clear" w:color="auto" w:fill="FFFFFF"/>
        </w:rPr>
        <w:t xml:space="preserve"> </w:t>
      </w:r>
      <w:r w:rsidR="00815400">
        <w:rPr>
          <w:shd w:val="clear" w:color="auto" w:fill="FFFFFF"/>
        </w:rPr>
        <w:t>a mesma proposta</w:t>
      </w:r>
      <w:r w:rsidR="00F73366">
        <w:rPr>
          <w:shd w:val="clear" w:color="auto" w:fill="FFFFFF"/>
        </w:rPr>
        <w:t xml:space="preserve"> que a presente pesquisa</w:t>
      </w:r>
      <w:r w:rsidR="00664CF7">
        <w:rPr>
          <w:shd w:val="clear" w:color="auto" w:fill="FFFFFF"/>
        </w:rPr>
        <w:t>. Assim sendo, foram utilizados apenas como fonte de informações</w:t>
      </w:r>
      <w:r w:rsidR="0039251E">
        <w:rPr>
          <w:shd w:val="clear" w:color="auto" w:fill="FFFFFF"/>
        </w:rPr>
        <w:t xml:space="preserve"> para elaboração deste</w:t>
      </w:r>
      <w:r w:rsidR="00F73366">
        <w:rPr>
          <w:shd w:val="clear" w:color="auto" w:fill="FFFFFF"/>
        </w:rPr>
        <w:t xml:space="preserve"> artigo. O trabalho aqui proposto apresenta um diferencial por meio da</w:t>
      </w:r>
      <w:r w:rsidR="00DC4504">
        <w:rPr>
          <w:shd w:val="clear" w:color="auto" w:fill="FFFFFF"/>
        </w:rPr>
        <w:t xml:space="preserve"> comparação </w:t>
      </w:r>
      <w:r w:rsidR="00C0477B">
        <w:rPr>
          <w:shd w:val="clear" w:color="auto" w:fill="FFFFFF"/>
        </w:rPr>
        <w:t xml:space="preserve">entre </w:t>
      </w:r>
      <w:r w:rsidR="00E11915">
        <w:rPr>
          <w:shd w:val="clear" w:color="auto" w:fill="FFFFFF"/>
        </w:rPr>
        <w:t>os faturamentos</w:t>
      </w:r>
      <w:r w:rsidR="00240C02">
        <w:rPr>
          <w:shd w:val="clear" w:color="auto" w:fill="FFFFFF"/>
        </w:rPr>
        <w:t xml:space="preserve"> distintos entre si</w:t>
      </w:r>
      <w:r w:rsidR="00462BCA">
        <w:rPr>
          <w:shd w:val="clear" w:color="auto" w:fill="FFFFFF"/>
        </w:rPr>
        <w:t xml:space="preserve"> (baixo, mediano e alto)</w:t>
      </w:r>
      <w:r w:rsidR="00240C02">
        <w:rPr>
          <w:shd w:val="clear" w:color="auto" w:fill="FFFFFF"/>
        </w:rPr>
        <w:t>, de três empresas d</w:t>
      </w:r>
      <w:r w:rsidR="00462BCA">
        <w:rPr>
          <w:shd w:val="clear" w:color="auto" w:fill="FFFFFF"/>
        </w:rPr>
        <w:t>o setor d</w:t>
      </w:r>
      <w:r w:rsidR="00240C02">
        <w:rPr>
          <w:shd w:val="clear" w:color="auto" w:fill="FFFFFF"/>
        </w:rPr>
        <w:t>e comércio. E se essa diferença é expressiva para empresas do mesmo anexo</w:t>
      </w:r>
      <w:r w:rsidR="00F73366">
        <w:rPr>
          <w:shd w:val="clear" w:color="auto" w:fill="FFFFFF"/>
        </w:rPr>
        <w:t>, no momento da obtenção de</w:t>
      </w:r>
      <w:r w:rsidR="00D35C27">
        <w:rPr>
          <w:shd w:val="clear" w:color="auto" w:fill="FFFFFF"/>
        </w:rPr>
        <w:t xml:space="preserve"> vantagens ou desvantagens</w:t>
      </w:r>
      <w:r w:rsidR="00316DC4">
        <w:rPr>
          <w:shd w:val="clear" w:color="auto" w:fill="FFFFFF"/>
        </w:rPr>
        <w:t xml:space="preserve"> no novo Simples Nacional</w:t>
      </w:r>
      <w:r w:rsidR="00240C02">
        <w:rPr>
          <w:shd w:val="clear" w:color="auto" w:fill="FFFFFF"/>
        </w:rPr>
        <w:t>.</w:t>
      </w:r>
    </w:p>
    <w:p w:rsidR="00845C03" w:rsidRDefault="00845C03" w:rsidP="00845C03">
      <w:pPr>
        <w:rPr>
          <w:shd w:val="clear" w:color="auto" w:fill="FFFFFF"/>
        </w:rPr>
      </w:pPr>
    </w:p>
    <w:p w:rsidR="00CD6D28" w:rsidRPr="00CD6D28" w:rsidRDefault="007561A8" w:rsidP="00845C03">
      <w:pPr>
        <w:pStyle w:val="Ttulo1"/>
        <w:spacing w:before="0" w:after="0"/>
        <w:ind w:left="432" w:hanging="432"/>
        <w:rPr>
          <w:sz w:val="26"/>
          <w:szCs w:val="26"/>
        </w:rPr>
      </w:pPr>
      <w:bookmarkStart w:id="3" w:name="_GoBack"/>
      <w:r w:rsidRPr="00B151C3">
        <w:rPr>
          <w:sz w:val="26"/>
          <w:szCs w:val="26"/>
        </w:rPr>
        <w:t xml:space="preserve">APRESENTAÇÃO E DISCUSSÃO DOS RESULTADOS </w:t>
      </w:r>
    </w:p>
    <w:bookmarkEnd w:id="3"/>
    <w:p w:rsidR="007561A8" w:rsidRDefault="00F97F9D" w:rsidP="00620452">
      <w:r>
        <w:t>Neste segmento são exposta</w:t>
      </w:r>
      <w:r w:rsidR="004A37ED">
        <w:t xml:space="preserve">s </w:t>
      </w:r>
      <w:r w:rsidRPr="00F97F9D">
        <w:t>as</w:t>
      </w:r>
      <w:r w:rsidR="004A37ED" w:rsidRPr="00F97F9D">
        <w:t xml:space="preserve"> a</w:t>
      </w:r>
      <w:r w:rsidRPr="00F97F9D">
        <w:t>purações</w:t>
      </w:r>
      <w:r w:rsidR="004A37ED">
        <w:t xml:space="preserve"> do regime tributário do Simples Nacional</w:t>
      </w:r>
      <w:r w:rsidR="00775386">
        <w:t>, de acordo com a Lei Complementar n° 123/2006 e a Lei Complementar n° 155/2016, como forma de exemplificar o conteúdo abordado</w:t>
      </w:r>
      <w:r w:rsidR="0002344E">
        <w:t>.</w:t>
      </w:r>
      <w:r w:rsidR="00277F00">
        <w:t xml:space="preserve"> </w:t>
      </w:r>
    </w:p>
    <w:p w:rsidR="00CD6D28" w:rsidRDefault="00CD6D28" w:rsidP="00845C03"/>
    <w:p w:rsidR="00F97F9D" w:rsidRPr="00CD6D28" w:rsidRDefault="00855AEF" w:rsidP="00845C03">
      <w:pPr>
        <w:pStyle w:val="Ttulo2"/>
        <w:ind w:left="0" w:firstLine="0"/>
        <w:rPr>
          <w:sz w:val="26"/>
          <w:szCs w:val="26"/>
        </w:rPr>
      </w:pPr>
      <w:r w:rsidRPr="00A74466">
        <w:rPr>
          <w:sz w:val="26"/>
          <w:szCs w:val="26"/>
        </w:rPr>
        <w:t>APRESENTAÇÃO DOS DADOS</w:t>
      </w:r>
    </w:p>
    <w:p w:rsidR="00FB2BD0" w:rsidRDefault="00845C03" w:rsidP="00620452">
      <w:pPr>
        <w:rPr>
          <w:rFonts w:cs="Times New Roman"/>
          <w:szCs w:val="24"/>
        </w:rPr>
      </w:pPr>
      <w:r>
        <w:rPr>
          <w:rFonts w:cs="Times New Roman"/>
          <w:szCs w:val="24"/>
        </w:rPr>
        <w:t>Demonstra-se</w:t>
      </w:r>
      <w:r w:rsidR="009312C7">
        <w:rPr>
          <w:rFonts w:cs="Times New Roman"/>
          <w:szCs w:val="24"/>
        </w:rPr>
        <w:t xml:space="preserve"> primeiro, o valor do tributo devido antes </w:t>
      </w:r>
      <w:r>
        <w:rPr>
          <w:rFonts w:cs="Times New Roman"/>
          <w:szCs w:val="24"/>
        </w:rPr>
        <w:t xml:space="preserve">e após aprovação da nova Lei. Posteriormente, é realizada </w:t>
      </w:r>
      <w:r w:rsidR="009312C7">
        <w:rPr>
          <w:rFonts w:cs="Times New Roman"/>
          <w:szCs w:val="24"/>
        </w:rPr>
        <w:t xml:space="preserve">uma análise dos resultados obtidos, referente </w:t>
      </w:r>
      <w:r w:rsidR="009312C7" w:rsidRPr="000A1DE9">
        <w:rPr>
          <w:rFonts w:cs="Times New Roman"/>
          <w:szCs w:val="24"/>
        </w:rPr>
        <w:t xml:space="preserve">aos dados </w:t>
      </w:r>
      <w:r>
        <w:rPr>
          <w:rFonts w:cs="Times New Roman"/>
          <w:szCs w:val="24"/>
        </w:rPr>
        <w:t xml:space="preserve">coletados </w:t>
      </w:r>
      <w:r w:rsidR="009312C7" w:rsidRPr="000A1DE9">
        <w:rPr>
          <w:rFonts w:cs="Times New Roman"/>
          <w:szCs w:val="24"/>
        </w:rPr>
        <w:t>de 1° de janeiro de 2016 a 31 de abril de 2018.</w:t>
      </w:r>
      <w:r w:rsidR="009312C7" w:rsidRPr="00277F00">
        <w:rPr>
          <w:rFonts w:cs="Times New Roman"/>
          <w:b/>
          <w:color w:val="FF0000"/>
          <w:szCs w:val="24"/>
        </w:rPr>
        <w:t xml:space="preserve"> </w:t>
      </w:r>
      <w:r w:rsidR="009312C7">
        <w:rPr>
          <w:rFonts w:cs="Times New Roman"/>
          <w:szCs w:val="24"/>
        </w:rPr>
        <w:t xml:space="preserve">Por fim comparar as duas apurações, concluindo se o novo Simples Nacional é vantajoso, e se faturamentos variados entre si tem alguma influência para a obtenção de benefícios.  </w:t>
      </w:r>
    </w:p>
    <w:p w:rsidR="00FB2BD0" w:rsidRDefault="00FB2BD0" w:rsidP="00FB2BD0">
      <w:pPr>
        <w:rPr>
          <w:rFonts w:cs="Times New Roman"/>
          <w:szCs w:val="24"/>
        </w:rPr>
      </w:pPr>
    </w:p>
    <w:p w:rsidR="00CC1325" w:rsidRDefault="00CC1325" w:rsidP="00F97F9D">
      <w:pPr>
        <w:pStyle w:val="Ttulo3"/>
        <w:rPr>
          <w:u w:val="none"/>
        </w:rPr>
      </w:pPr>
      <w:r w:rsidRPr="00CC1325">
        <w:rPr>
          <w:u w:val="none"/>
        </w:rPr>
        <w:t>Análise da empresa de baixo faturamento (Alfa)</w:t>
      </w:r>
    </w:p>
    <w:p w:rsidR="00325C7D" w:rsidRDefault="00B15147" w:rsidP="00620452">
      <w:r>
        <w:t>A empresa de baixo faturamento Alfa, utilizada neste estudo, é uma lanchonete localizad</w:t>
      </w:r>
      <w:r w:rsidR="00CD6C16">
        <w:t>a em</w:t>
      </w:r>
      <w:r>
        <w:t xml:space="preserve"> Itajaí/SC. </w:t>
      </w:r>
      <w:r w:rsidR="00EA6770">
        <w:t>Na simulação, a</w:t>
      </w:r>
      <w:r>
        <w:t xml:space="preserve"> lanchonete de acordo com sua atividade, se encaixa no Anexo I da Lei Complementar n° 123/2006 e Lei Complementar n° 155/2016</w:t>
      </w:r>
      <w:r w:rsidR="00EA6770">
        <w:t xml:space="preserve">, e sob ela incidem os tributos do IRPJ, CSLL, COFINS, PIS, Contribuição Previdenciária Patronal e o ICMS. </w:t>
      </w:r>
    </w:p>
    <w:p w:rsidR="00934A8C" w:rsidRPr="00845C03" w:rsidRDefault="00EA6770" w:rsidP="00D30893">
      <w:r>
        <w:lastRenderedPageBreak/>
        <w:t>N</w:t>
      </w:r>
      <w:r w:rsidR="00933029">
        <w:t>a simulação das apurações da Figura 3</w:t>
      </w:r>
      <w:r w:rsidR="00325C7D">
        <w:t xml:space="preserve"> a seguir, é demonstrado os valores devidos</w:t>
      </w:r>
      <w:r w:rsidR="00762D32">
        <w:t xml:space="preserve"> por Alfa</w:t>
      </w:r>
      <w:r w:rsidR="00325C7D">
        <w:t xml:space="preserve"> </w:t>
      </w:r>
      <w:r w:rsidR="00762D32">
        <w:t xml:space="preserve">nos anos de 2016 a 2018, conforme </w:t>
      </w:r>
      <w:r w:rsidR="00325C7D">
        <w:t xml:space="preserve">a Lei Complementar n° 123/20016 e a Lei Complementar </w:t>
      </w:r>
      <w:r w:rsidR="00762D32">
        <w:t xml:space="preserve">n° </w:t>
      </w:r>
      <w:r w:rsidR="00325C7D">
        <w:t xml:space="preserve">155/2016. </w:t>
      </w:r>
    </w:p>
    <w:p w:rsidR="007D68AD" w:rsidRPr="00BB0B84" w:rsidRDefault="007F4ADB" w:rsidP="00BB0B8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3. </w:t>
      </w:r>
      <w:r w:rsidR="00762D32" w:rsidRPr="00BB0B84">
        <w:rPr>
          <w:sz w:val="20"/>
          <w:szCs w:val="20"/>
        </w:rPr>
        <w:t>Apuração do Simples Nacional</w:t>
      </w:r>
      <w:r w:rsidR="00BB0B84">
        <w:rPr>
          <w:sz w:val="20"/>
          <w:szCs w:val="20"/>
        </w:rPr>
        <w:t xml:space="preserve"> – Empresa Alfa (Em R$)</w:t>
      </w:r>
    </w:p>
    <w:p w:rsidR="007D68AD" w:rsidRPr="007D68AD" w:rsidRDefault="007D68AD" w:rsidP="007D68AD">
      <w:pPr>
        <w:ind w:firstLine="0"/>
      </w:pPr>
      <w:r w:rsidRPr="007D68AD">
        <w:rPr>
          <w:noProof/>
          <w:lang w:eastAsia="pt-BR"/>
        </w:rPr>
        <w:drawing>
          <wp:inline distT="0" distB="0" distL="0" distR="0">
            <wp:extent cx="5772150" cy="2085975"/>
            <wp:effectExtent l="19050" t="0" r="19050" b="0"/>
            <wp:docPr id="6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B28C8" w:rsidRPr="000B28C8" w:rsidRDefault="00B34E78" w:rsidP="00620452">
      <w:r>
        <w:t xml:space="preserve">Em todos </w:t>
      </w:r>
      <w:r w:rsidR="00BB0B84">
        <w:t>o</w:t>
      </w:r>
      <w:r>
        <w:t>s anos</w:t>
      </w:r>
      <w:r w:rsidR="00BB0B84">
        <w:t xml:space="preserve"> utilizado</w:t>
      </w:r>
      <w:r>
        <w:t>s</w:t>
      </w:r>
      <w:r w:rsidR="00BB0B84">
        <w:t xml:space="preserve"> para fins de cálculo do valor do Simples Nacional a pagar, os faturamentos acumulados dos últimos 12 meses da lanchonete, não ultrapassaram o valor de R$ 180.000,00</w:t>
      </w:r>
      <w:r>
        <w:t xml:space="preserve">. Sendo assim no cálculo pela Lei Complementar n° 123/2006, foi utilizada somente a alíquota de 4% sob o faturamento mensal. E em conformidade com a Lei Complementar nº 155/2016, a alíquota nominal e efetiva, também se mantiveram em 4%. Já que de acordo com a fórmula da alíquota efetiva, neste caso, não há valor a deduzir. </w:t>
      </w:r>
      <w:r w:rsidR="00087ECF">
        <w:t>Sendo assim, a empresa Alfa com seu baixo faturamento, não obteve alterações em seus valores</w:t>
      </w:r>
      <w:r w:rsidR="00517C7E">
        <w:t xml:space="preserve"> a pagar.</w:t>
      </w:r>
    </w:p>
    <w:p w:rsidR="00CC1325" w:rsidRDefault="00546FB4" w:rsidP="007D68AD">
      <w:pPr>
        <w:pStyle w:val="Ttulo3"/>
        <w:rPr>
          <w:u w:val="none"/>
        </w:rPr>
      </w:pPr>
      <w:r>
        <w:rPr>
          <w:u w:val="none"/>
        </w:rPr>
        <w:t>Análise da empresa de médio faturamento (Beta</w:t>
      </w:r>
      <w:r w:rsidR="00CC1325" w:rsidRPr="00CC1325">
        <w:rPr>
          <w:u w:val="none"/>
        </w:rPr>
        <w:t>)</w:t>
      </w:r>
    </w:p>
    <w:p w:rsidR="000B28C8" w:rsidRPr="000B28C8" w:rsidRDefault="00CD6C16" w:rsidP="00620452">
      <w:r>
        <w:t xml:space="preserve">A empresa com faturamento mediano é estabelecida na cidade de Itapema/SC. Sua atividade fim </w:t>
      </w:r>
      <w:r w:rsidR="00DE38D6">
        <w:t xml:space="preserve">é de revenda de roupas, </w:t>
      </w:r>
      <w:r>
        <w:t>com seu faturamento consideravelmente bom, já que a revendedora deu início a suas atividades</w:t>
      </w:r>
      <w:r w:rsidR="00001EE6">
        <w:t xml:space="preserve"> no mês de julho de 2016</w:t>
      </w:r>
      <w:r w:rsidR="008B66D8">
        <w:t xml:space="preserve"> e só começou a obter faturamento em setembro de 2016</w:t>
      </w:r>
      <w:r w:rsidR="00001EE6">
        <w:t xml:space="preserve">. </w:t>
      </w:r>
      <w:r w:rsidR="008B66D8">
        <w:t>No cálculo dos valores devidos</w:t>
      </w:r>
      <w:r w:rsidR="00F530BA">
        <w:t xml:space="preserve">, </w:t>
      </w:r>
      <w:r w:rsidR="008B66D8">
        <w:t>Beta</w:t>
      </w:r>
      <w:r w:rsidR="00F530BA">
        <w:t xml:space="preserve"> está sujeita a</w:t>
      </w:r>
      <w:r w:rsidR="008B66D8">
        <w:t xml:space="preserve"> todos os tributos inclusos no Anexo I de comércio.</w:t>
      </w:r>
      <w:r>
        <w:t xml:space="preserve"> </w:t>
      </w:r>
      <w:r w:rsidR="002A2F1D">
        <w:t>E na</w:t>
      </w:r>
      <w:r w:rsidR="008B66D8">
        <w:t xml:space="preserve"> </w:t>
      </w:r>
      <w:r w:rsidR="00933029">
        <w:t>Figura 4</w:t>
      </w:r>
      <w:r w:rsidR="008B66D8">
        <w:t xml:space="preserve"> a baixo, são apresentados os valores a pagar do antigo e novo Simples Nacional.</w:t>
      </w:r>
    </w:p>
    <w:p w:rsidR="00EB5ACA" w:rsidRPr="00EB5ACA" w:rsidRDefault="007F4ADB" w:rsidP="00EB5ACA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4.</w:t>
      </w:r>
      <w:r w:rsidR="00EB5ACA" w:rsidRPr="00EB5ACA">
        <w:rPr>
          <w:sz w:val="20"/>
          <w:szCs w:val="20"/>
        </w:rPr>
        <w:t xml:space="preserve"> Apuração do Simples Nacional – Empresa Beta (Em R$)</w:t>
      </w:r>
    </w:p>
    <w:p w:rsidR="007D68AD" w:rsidRPr="007D68AD" w:rsidRDefault="007D68AD" w:rsidP="007D68AD">
      <w:pPr>
        <w:ind w:firstLine="0"/>
      </w:pPr>
      <w:r w:rsidRPr="007D68AD">
        <w:rPr>
          <w:noProof/>
          <w:lang w:eastAsia="pt-BR"/>
        </w:rPr>
        <w:drawing>
          <wp:inline distT="0" distB="0" distL="0" distR="0">
            <wp:extent cx="5772150" cy="2209800"/>
            <wp:effectExtent l="19050" t="0" r="19050" b="0"/>
            <wp:docPr id="9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37FB4" w:rsidRDefault="00885869" w:rsidP="00D30893">
      <w:r>
        <w:lastRenderedPageBreak/>
        <w:t>A partir do mês de novembro</w:t>
      </w:r>
      <w:r w:rsidR="00A0293D">
        <w:t>/2016</w:t>
      </w:r>
      <w:r w:rsidR="00550CED">
        <w:t>, a empresa Beta já ultrapassou o faturamen</w:t>
      </w:r>
      <w:r>
        <w:t>to acumu</w:t>
      </w:r>
      <w:r w:rsidR="00C2010A">
        <w:t xml:space="preserve">lado de R$ </w:t>
      </w:r>
      <w:r>
        <w:t>180.000,00</w:t>
      </w:r>
      <w:r w:rsidR="00C2010A">
        <w:t>,</w:t>
      </w:r>
      <w:r>
        <w:t xml:space="preserve"> referente </w:t>
      </w:r>
      <w:r w:rsidR="00C2010A">
        <w:t>à</w:t>
      </w:r>
      <w:r>
        <w:t xml:space="preserve"> </w:t>
      </w:r>
      <w:r w:rsidR="00550CED">
        <w:t xml:space="preserve">1ª faixa do Anexo I de comércio, da Lei Complementar n° </w:t>
      </w:r>
      <w:r>
        <w:t>155/2016. Já em setembro e outubro</w:t>
      </w:r>
      <w:r w:rsidR="00C2010A">
        <w:t xml:space="preserve"> de 2016</w:t>
      </w:r>
      <w:r>
        <w:t xml:space="preserve"> como em alguns meses no decorrer do ano de 2017</w:t>
      </w:r>
      <w:r w:rsidR="00C2010A">
        <w:t>, igualmente à</w:t>
      </w:r>
      <w:r>
        <w:t xml:space="preserve"> empresa Alfa</w:t>
      </w:r>
      <w:r w:rsidR="00C2010A">
        <w:t>,</w:t>
      </w:r>
      <w:r w:rsidR="00337FB4">
        <w:t xml:space="preserve"> não houve variações</w:t>
      </w:r>
      <w:r>
        <w:t xml:space="preserve"> nos valores a pagar</w:t>
      </w:r>
      <w:r w:rsidR="00C2010A">
        <w:t xml:space="preserve"> com</w:t>
      </w:r>
      <w:r w:rsidR="00337FB4">
        <w:t xml:space="preserve"> a alteração</w:t>
      </w:r>
      <w:r w:rsidR="00C2010A">
        <w:t xml:space="preserve"> da lei. Porém, pela Lei Complementar n° 123/2006 </w:t>
      </w:r>
      <w:r w:rsidR="003B6F8A">
        <w:t>a revendedo</w:t>
      </w:r>
      <w:r w:rsidR="00C2010A">
        <w:t xml:space="preserve">ra alternou entre </w:t>
      </w:r>
      <w:r w:rsidR="00337FB4">
        <w:t>a alíquota de 4% e 5,47%, e pel</w:t>
      </w:r>
      <w:r w:rsidR="00C2010A">
        <w:t>a Lei Complementar n° 155/2016, alternou entre a 1° e 2° Faixas. Assim sendo, com</w:t>
      </w:r>
      <w:r w:rsidR="00933029">
        <w:t>o demonstra a Figura 4</w:t>
      </w:r>
      <w:r w:rsidR="00337FB4">
        <w:t>,</w:t>
      </w:r>
      <w:r w:rsidR="00C2010A">
        <w:t xml:space="preserve"> </w:t>
      </w:r>
      <w:r w:rsidR="00337FB4">
        <w:t>n</w:t>
      </w:r>
      <w:r w:rsidR="00C2010A">
        <w:t>o novo cálculo a empresa apresentou valores a pagar menores, ou seja, obteve vantagens com a mudança da Lei.</w:t>
      </w:r>
    </w:p>
    <w:p w:rsidR="00D30893" w:rsidRDefault="00D30893" w:rsidP="00D30893"/>
    <w:p w:rsidR="007D68AD" w:rsidRDefault="00546FB4" w:rsidP="00CA13C6">
      <w:pPr>
        <w:pStyle w:val="Ttulo3"/>
        <w:rPr>
          <w:u w:val="none"/>
        </w:rPr>
      </w:pPr>
      <w:r>
        <w:rPr>
          <w:u w:val="none"/>
        </w:rPr>
        <w:t>Análise da empresa de alto faturamento (Gama</w:t>
      </w:r>
      <w:r w:rsidRPr="00CC1325">
        <w:rPr>
          <w:u w:val="none"/>
        </w:rPr>
        <w:t>)</w:t>
      </w:r>
    </w:p>
    <w:p w:rsidR="00657BE6" w:rsidRPr="00934A8C" w:rsidRDefault="00CA13C6" w:rsidP="00620452">
      <w:r>
        <w:t>Gama é uma empresa da cidade de B</w:t>
      </w:r>
      <w:r w:rsidR="0050450D">
        <w:t>alneário Camboriú/SC, atuante</w:t>
      </w:r>
      <w:r>
        <w:t xml:space="preserve"> no ramo de </w:t>
      </w:r>
      <w:r w:rsidR="0050450D">
        <w:t xml:space="preserve">atividades de </w:t>
      </w:r>
      <w:r>
        <w:t>bares</w:t>
      </w:r>
      <w:r w:rsidR="0050450D">
        <w:t xml:space="preserve">. Tem o mais alto faturamento entre as três empresas do presente estudo. E uma taxa constante de crescimento em seus faturamentos </w:t>
      </w:r>
      <w:r w:rsidR="00C01FAD">
        <w:t xml:space="preserve">acumulados dos últimos 12 meses, demonstrando </w:t>
      </w:r>
      <w:r w:rsidR="0050450D">
        <w:t xml:space="preserve">ser uma empresa em ascensão. </w:t>
      </w:r>
      <w:r w:rsidR="00C01FAD">
        <w:t>Para fins de cálculo, como nas análises anteriores, há incidência de todos os tributos presentes no Anexo I da atividade de comércio.</w:t>
      </w:r>
    </w:p>
    <w:p w:rsidR="00C01FAD" w:rsidRPr="00EB5ACA" w:rsidRDefault="007F4ADB" w:rsidP="00C01FAD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5.</w:t>
      </w:r>
      <w:r w:rsidR="00C01FAD" w:rsidRPr="00EB5ACA">
        <w:rPr>
          <w:sz w:val="20"/>
          <w:szCs w:val="20"/>
        </w:rPr>
        <w:t xml:space="preserve"> Apuração do Simples Nacional – Empresa </w:t>
      </w:r>
      <w:r w:rsidR="00C01FAD">
        <w:rPr>
          <w:sz w:val="20"/>
          <w:szCs w:val="20"/>
        </w:rPr>
        <w:t>Gama</w:t>
      </w:r>
      <w:r w:rsidR="00C01FAD" w:rsidRPr="00EB5ACA">
        <w:rPr>
          <w:sz w:val="20"/>
          <w:szCs w:val="20"/>
        </w:rPr>
        <w:t xml:space="preserve"> (Em R$)</w:t>
      </w:r>
    </w:p>
    <w:p w:rsidR="00C01FAD" w:rsidRDefault="00C01FAD" w:rsidP="00C01FAD">
      <w:pPr>
        <w:ind w:firstLine="0"/>
      </w:pPr>
      <w:r w:rsidRPr="007D68AD">
        <w:rPr>
          <w:noProof/>
          <w:lang w:eastAsia="pt-BR"/>
        </w:rPr>
        <w:drawing>
          <wp:inline distT="0" distB="0" distL="0" distR="0">
            <wp:extent cx="5915025" cy="2152650"/>
            <wp:effectExtent l="19050" t="0" r="9525" b="0"/>
            <wp:docPr id="17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528CC" w:rsidRDefault="008538CF" w:rsidP="00620452">
      <w:r>
        <w:t>Entre</w:t>
      </w:r>
      <w:r w:rsidR="0005557E">
        <w:t xml:space="preserve"> </w:t>
      </w:r>
      <w:r w:rsidR="00AE0B44">
        <w:t>todo</w:t>
      </w:r>
      <w:r>
        <w:t>s</w:t>
      </w:r>
      <w:r w:rsidR="00AE0B44">
        <w:t xml:space="preserve"> o</w:t>
      </w:r>
      <w:r>
        <w:t>s anos do</w:t>
      </w:r>
      <w:r w:rsidR="00AE0B44">
        <w:t xml:space="preserve"> período pesquisado</w:t>
      </w:r>
      <w:r>
        <w:t xml:space="preserve"> na análise de Gama, a empresa </w:t>
      </w:r>
      <w:r w:rsidR="00F530BA">
        <w:t xml:space="preserve">apresentou nas duas formas de cálculo, </w:t>
      </w:r>
      <w:r>
        <w:t>variações nos valores a pagar do Simples Nacional. N</w:t>
      </w:r>
      <w:r w:rsidR="000D1291">
        <w:t xml:space="preserve">o cálculo da </w:t>
      </w:r>
      <w:r w:rsidR="00286209">
        <w:t xml:space="preserve">mova </w:t>
      </w:r>
      <w:r w:rsidR="000D1291">
        <w:t>Lei Com</w:t>
      </w:r>
      <w:r w:rsidR="008F76B7">
        <w:t xml:space="preserve">plementar n° 155/2016 </w:t>
      </w:r>
      <w:r>
        <w:t>entre o</w:t>
      </w:r>
      <w:r w:rsidR="00AE0B44">
        <w:t xml:space="preserve"> mês de jan</w:t>
      </w:r>
      <w:r w:rsidR="00F530BA">
        <w:t xml:space="preserve">eiro de </w:t>
      </w:r>
      <w:r w:rsidR="008F76B7">
        <w:t>2016 a</w:t>
      </w:r>
      <w:r>
        <w:t xml:space="preserve"> j</w:t>
      </w:r>
      <w:r w:rsidR="00F530BA">
        <w:t xml:space="preserve">ulho de </w:t>
      </w:r>
      <w:r>
        <w:t>2016</w:t>
      </w:r>
      <w:r w:rsidR="008F76B7">
        <w:t>,</w:t>
      </w:r>
      <w:r>
        <w:t xml:space="preserve"> </w:t>
      </w:r>
      <w:r w:rsidR="00F530BA">
        <w:t>a alíq</w:t>
      </w:r>
      <w:r w:rsidR="008F76B7">
        <w:t>uota efetiva ultrapassou a alíquota nominal da antiga Lei Complementar n° 123/2006. Já</w:t>
      </w:r>
      <w:r w:rsidR="00F530BA">
        <w:t xml:space="preserve"> de ag</w:t>
      </w:r>
      <w:r w:rsidR="008F76B7">
        <w:t xml:space="preserve">osto de 2016 até abril de 2018 no geral, a alíquota efetiva conforme exposto no apêndice deste trabalho, </w:t>
      </w:r>
      <w:r w:rsidR="00286209">
        <w:t xml:space="preserve">não </w:t>
      </w:r>
      <w:r w:rsidR="008F76B7">
        <w:t>superou o valor da alíquota nominal da antiga lei vigente</w:t>
      </w:r>
      <w:r w:rsidR="00286209">
        <w:t>. Consequentemente, também não excedeu os valores de apuração da mesma</w:t>
      </w:r>
      <w:r w:rsidR="00A94BCF">
        <w:t>.</w:t>
      </w:r>
    </w:p>
    <w:p w:rsidR="00C528CC" w:rsidRPr="00546FB4" w:rsidRDefault="00C528CC" w:rsidP="00C528CC">
      <w:pPr>
        <w:ind w:firstLine="708"/>
      </w:pPr>
    </w:p>
    <w:p w:rsidR="0002344E" w:rsidRDefault="0002344E" w:rsidP="007D68AD">
      <w:pPr>
        <w:pStyle w:val="Ttulo2"/>
        <w:ind w:left="0" w:firstLine="0"/>
        <w:rPr>
          <w:sz w:val="26"/>
          <w:szCs w:val="26"/>
        </w:rPr>
      </w:pPr>
      <w:r>
        <w:rPr>
          <w:sz w:val="26"/>
          <w:szCs w:val="26"/>
        </w:rPr>
        <w:t>ANÁLISE DOS RESULTADOS</w:t>
      </w:r>
    </w:p>
    <w:p w:rsidR="00934A8C" w:rsidRPr="00D755AA" w:rsidRDefault="00126624" w:rsidP="00D30893">
      <w:r>
        <w:t xml:space="preserve">Diante das pesquisas similares citadas no artigo, este trabalho diferencia-se expondo uma comparação entre três </w:t>
      </w:r>
      <w:r w:rsidR="00AB7038">
        <w:t xml:space="preserve">empresas de pequeno, médio e grande porte, participantes do mesmo Anexo do âmbito comercial. O artigo de </w:t>
      </w:r>
      <w:r w:rsidR="004F170F">
        <w:t>Mattos (2018)</w:t>
      </w:r>
      <w:r w:rsidR="00863BCA">
        <w:t xml:space="preserve"> retrata </w:t>
      </w:r>
      <w:r w:rsidR="00FE3694">
        <w:t xml:space="preserve">como onerosa, </w:t>
      </w:r>
      <w:r w:rsidR="00863BCA">
        <w:t>as alterações do Simples Nacion</w:t>
      </w:r>
      <w:r w:rsidR="00FE3694">
        <w:t>al em</w:t>
      </w:r>
      <w:r w:rsidR="005F1D40">
        <w:t xml:space="preserve"> uma lotérica prestadora de</w:t>
      </w:r>
      <w:r w:rsidR="00E96700">
        <w:t xml:space="preserve"> serviços</w:t>
      </w:r>
      <w:r w:rsidR="005F1D40">
        <w:t>, não havendo comparação com mais de uma empresa. Diferentemente do presente estudo, onde o resultado expõe</w:t>
      </w:r>
      <w:r w:rsidR="00863BCA">
        <w:t xml:space="preserve"> desoneração para as empresas de médio (Beta) e grande porte (Gama), e nenhuma variação nos impostos apurados para a em</w:t>
      </w:r>
      <w:r w:rsidR="00386215">
        <w:t xml:space="preserve">presa de baixo faturamento (Alfa). </w:t>
      </w:r>
    </w:p>
    <w:p w:rsidR="008D2BAF" w:rsidRDefault="007F4ADB" w:rsidP="008D2BAF">
      <w:pPr>
        <w:jc w:val="center"/>
      </w:pPr>
      <w:r>
        <w:rPr>
          <w:rFonts w:eastAsia="Times New Roman" w:cs="Times New Roman"/>
          <w:color w:val="000000"/>
          <w:sz w:val="20"/>
          <w:szCs w:val="20"/>
          <w:lang w:val="pt-PT" w:eastAsia="pt-BR"/>
        </w:rPr>
        <w:lastRenderedPageBreak/>
        <w:t>Tabela 4.</w:t>
      </w:r>
      <w:r w:rsidR="008D2BAF" w:rsidRPr="00A3075A">
        <w:rPr>
          <w:rFonts w:eastAsia="Times New Roman" w:cs="Times New Roman"/>
          <w:color w:val="000000"/>
          <w:sz w:val="20"/>
          <w:szCs w:val="20"/>
          <w:lang w:val="pt-PT" w:eastAsia="pt-BR"/>
        </w:rPr>
        <w:t xml:space="preserve"> Tabela comparativa (Em R$)</w:t>
      </w:r>
    </w:p>
    <w:tbl>
      <w:tblPr>
        <w:tblW w:w="895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1329"/>
        <w:gridCol w:w="1329"/>
        <w:gridCol w:w="1340"/>
        <w:gridCol w:w="1340"/>
        <w:gridCol w:w="1329"/>
        <w:gridCol w:w="1329"/>
      </w:tblGrid>
      <w:tr w:rsidR="00B44986" w:rsidRPr="00B44986" w:rsidTr="008D2BAF">
        <w:trPr>
          <w:trHeight w:val="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986" w:rsidRPr="00B44986" w:rsidRDefault="00B44986" w:rsidP="00B44986">
            <w:pPr>
              <w:spacing w:after="0"/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F2E2"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Alfa</w:t>
            </w:r>
          </w:p>
        </w:tc>
        <w:tc>
          <w:tcPr>
            <w:tcW w:w="26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DF2E2"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Beta </w:t>
            </w:r>
          </w:p>
        </w:tc>
        <w:tc>
          <w:tcPr>
            <w:tcW w:w="265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DF2E2"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Gama</w:t>
            </w:r>
          </w:p>
        </w:tc>
      </w:tr>
      <w:tr w:rsidR="00B44986" w:rsidRPr="00B44986" w:rsidTr="008D2BAF">
        <w:trPr>
          <w:trHeight w:val="2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4986" w:rsidRPr="00B44986" w:rsidRDefault="00B44986" w:rsidP="00B44986">
            <w:pPr>
              <w:spacing w:after="0"/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4986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E2"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Lei Complementar 123/2006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F2E2"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Lei Complementar 155/2016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DF2E2"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Lei Complementar 123/2006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DF2E2"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Lei Complementar 155/2016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DF2E2"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Lei Complementar 123/2006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DF2E2"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Lei Complementar 155/2016</w:t>
            </w:r>
          </w:p>
        </w:tc>
      </w:tr>
      <w:tr w:rsidR="00B44986" w:rsidRPr="00B44986" w:rsidTr="008D2BAF">
        <w:trPr>
          <w:trHeight w:val="2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Imposto devido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986" w:rsidRPr="00B44986" w:rsidRDefault="00B44986" w:rsidP="00B44986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       1.412,65 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986" w:rsidRPr="00B44986" w:rsidRDefault="00B44986" w:rsidP="00B44986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      1.412,65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986" w:rsidRPr="00B44986" w:rsidRDefault="00B44986" w:rsidP="00B44986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     17.598,97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986" w:rsidRPr="00B44986" w:rsidRDefault="00B44986" w:rsidP="00B44986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     15.671,14 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986" w:rsidRPr="00B44986" w:rsidRDefault="00B44986" w:rsidP="00B44986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    80.408,41 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4986" w:rsidRPr="00B44986" w:rsidRDefault="00B44986" w:rsidP="00B44986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    75.962,35 </w:t>
            </w:r>
          </w:p>
        </w:tc>
      </w:tr>
      <w:tr w:rsidR="00B44986" w:rsidRPr="00B44986" w:rsidTr="008D2BAF">
        <w:trPr>
          <w:trHeight w:val="2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Diferença </w:t>
            </w:r>
          </w:p>
        </w:tc>
        <w:tc>
          <w:tcPr>
            <w:tcW w:w="2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986" w:rsidRPr="00B44986" w:rsidRDefault="008D2BAF" w:rsidP="008D2BAF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</w:t>
            </w:r>
            <w:r w:rsidR="00B44986"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="008D2BAF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</w:t>
            </w: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1.927,83 </w:t>
            </w:r>
          </w:p>
        </w:tc>
        <w:tc>
          <w:tcPr>
            <w:tcW w:w="2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986" w:rsidRPr="00B44986" w:rsidRDefault="00B44986" w:rsidP="00B44986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  </w:t>
            </w:r>
            <w:r w:rsidR="008D2BAF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</w:t>
            </w:r>
            <w:r w:rsidRPr="00B4498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4.446,06 </w:t>
            </w:r>
          </w:p>
        </w:tc>
      </w:tr>
    </w:tbl>
    <w:p w:rsidR="00CE2EFD" w:rsidRDefault="00CE2EFD" w:rsidP="00CE2EFD"/>
    <w:p w:rsidR="00234B40" w:rsidRDefault="00950BB6" w:rsidP="00234B40">
      <w:r>
        <w:t>Conforme exibido</w:t>
      </w:r>
      <w:r w:rsidR="00D353ED">
        <w:t xml:space="preserve"> na Tabela 4</w:t>
      </w:r>
      <w:r w:rsidR="006C430D">
        <w:t xml:space="preserve">, a empresa Alfa </w:t>
      </w:r>
      <w:r w:rsidR="00380E79">
        <w:t xml:space="preserve">com faturamento acumulado </w:t>
      </w:r>
      <w:r>
        <w:t xml:space="preserve">máximo de R$ 17.056,53 entre todo o período analisado, </w:t>
      </w:r>
      <w:r w:rsidR="006C430D">
        <w:t xml:space="preserve">não houve modificações </w:t>
      </w:r>
      <w:r>
        <w:t>nos valores a pagar do Simples Nacional. A empresa Beta, com a nova Lei Complementar n° 155/2016 reduziu seus gastos em R$ 1.927,83, sendo favorecida com as mudanças. E por fim</w:t>
      </w:r>
      <w:r w:rsidR="00273C5A">
        <w:t>,</w:t>
      </w:r>
      <w:r>
        <w:t xml:space="preserve"> </w:t>
      </w:r>
      <w:r w:rsidR="009927FB">
        <w:t xml:space="preserve">a empresa </w:t>
      </w:r>
      <w:r>
        <w:t xml:space="preserve">Gama </w:t>
      </w:r>
      <w:r w:rsidR="00273C5A">
        <w:t>também b</w:t>
      </w:r>
      <w:r w:rsidR="00EC16AA">
        <w:t>eneficiada</w:t>
      </w:r>
      <w:r w:rsidR="009927FB">
        <w:t>,</w:t>
      </w:r>
      <w:r w:rsidR="00273C5A">
        <w:t xml:space="preserve"> obteve</w:t>
      </w:r>
      <w:r w:rsidR="009927FB">
        <w:t xml:space="preserve"> uma diferença de R$ 4.446,06. </w:t>
      </w:r>
    </w:p>
    <w:p w:rsidR="00386215" w:rsidRPr="005B2B20" w:rsidRDefault="009927FB" w:rsidP="005B2B20">
      <w:r>
        <w:t>É possível observar</w:t>
      </w:r>
      <w:r w:rsidR="005C7E63">
        <w:t xml:space="preserve"> </w:t>
      </w:r>
      <w:r w:rsidR="00EC16AA">
        <w:t>n</w:t>
      </w:r>
      <w:r w:rsidR="005C7E63">
        <w:t>o setor estudado</w:t>
      </w:r>
      <w:r>
        <w:t xml:space="preserve">, </w:t>
      </w:r>
      <w:r w:rsidR="005C7E63">
        <w:t xml:space="preserve">que </w:t>
      </w:r>
      <w:r>
        <w:t xml:space="preserve">a nova lei se mostra benéfica por meio do cálculo da alíquota efetiva, </w:t>
      </w:r>
      <w:r w:rsidR="005C7E63">
        <w:t xml:space="preserve">pois </w:t>
      </w:r>
      <w:r>
        <w:t>diminui o valor da mesma e por consequência</w:t>
      </w:r>
      <w:r w:rsidR="005C7E63">
        <w:t>,</w:t>
      </w:r>
      <w:r>
        <w:t xml:space="preserve"> diminu</w:t>
      </w:r>
      <w:r w:rsidR="00A9554A">
        <w:t>i o valor do imposto final.</w:t>
      </w:r>
      <w:r w:rsidR="005C7E63">
        <w:t xml:space="preserve"> Mesmo qu</w:t>
      </w:r>
      <w:r w:rsidR="004641E0">
        <w:t>e quanto maior a receita acumulada dos últimos 12 meses</w:t>
      </w:r>
      <w:r w:rsidR="005C7E63">
        <w:t>, maior a alíquota efetiva.</w:t>
      </w:r>
      <w:r w:rsidR="00A9554A">
        <w:t xml:space="preserve"> </w:t>
      </w:r>
      <w:r w:rsidR="00736EA7">
        <w:t xml:space="preserve">Deste modo, o novo Simples Nacional vigente em 2018, cumpre com o seu intuito de benefícios e incentivo às iniciativas de pequeno porte, do setor de comércio. </w:t>
      </w:r>
    </w:p>
    <w:p w:rsidR="00620452" w:rsidRDefault="004F170F" w:rsidP="00620452">
      <w:r>
        <w:t>O artigo de Silva (2017)</w:t>
      </w:r>
      <w:r w:rsidR="004C1B8A">
        <w:t xml:space="preserve"> </w:t>
      </w:r>
      <w:r w:rsidR="00CC0116">
        <w:t xml:space="preserve">mesmo não tendo a mesma finalidade por abordar diferentes Anexos, </w:t>
      </w:r>
      <w:r w:rsidR="004C1B8A">
        <w:t>retrata</w:t>
      </w:r>
      <w:r w:rsidR="00FE3694">
        <w:t xml:space="preserve"> como desfavorável a mudança </w:t>
      </w:r>
      <w:r w:rsidR="004C1B8A">
        <w:t xml:space="preserve">do Simples Nacional, </w:t>
      </w:r>
      <w:r w:rsidR="00FE3694">
        <w:t>para uma prestadora de serviços de fisioterapia. Porém as empresas</w:t>
      </w:r>
      <w:r w:rsidR="00BF07EF">
        <w:t>,</w:t>
      </w:r>
      <w:r w:rsidR="00FE3694">
        <w:t xml:space="preserve"> de </w:t>
      </w:r>
      <w:r w:rsidR="00380E79">
        <w:t xml:space="preserve">serviço de </w:t>
      </w:r>
      <w:r w:rsidR="00BF07EF">
        <w:t xml:space="preserve">estética e uma revendedora do setor </w:t>
      </w:r>
      <w:r w:rsidR="00FE3694">
        <w:t>de comércio</w:t>
      </w:r>
      <w:r w:rsidR="00380E79">
        <w:t xml:space="preserve"> </w:t>
      </w:r>
      <w:r w:rsidR="00FE3694">
        <w:t>obtiveram bônus.</w:t>
      </w:r>
      <w:r w:rsidR="00EA5155">
        <w:t xml:space="preserve"> Complementando assim,</w:t>
      </w:r>
      <w:r w:rsidR="004C1B8A">
        <w:t xml:space="preserve"> </w:t>
      </w:r>
      <w:r w:rsidR="00FE3694">
        <w:t>o</w:t>
      </w:r>
      <w:r w:rsidR="00951A92">
        <w:t>s</w:t>
      </w:r>
      <w:r w:rsidR="00FE3694">
        <w:t xml:space="preserve"> resultado</w:t>
      </w:r>
      <w:r w:rsidR="00951A92">
        <w:t>s</w:t>
      </w:r>
      <w:r w:rsidR="00FE3694">
        <w:t xml:space="preserve"> do presente artigo.   </w:t>
      </w:r>
    </w:p>
    <w:p w:rsidR="00C528CC" w:rsidRPr="00CC1325" w:rsidRDefault="004F170F" w:rsidP="00620452">
      <w:r>
        <w:t xml:space="preserve"> </w:t>
      </w:r>
    </w:p>
    <w:p w:rsidR="00F77120" w:rsidRDefault="007561A8" w:rsidP="00742441">
      <w:pPr>
        <w:pStyle w:val="Ttulo1"/>
        <w:spacing w:before="0" w:after="0"/>
        <w:ind w:left="432" w:hanging="432"/>
        <w:rPr>
          <w:sz w:val="26"/>
          <w:szCs w:val="26"/>
        </w:rPr>
      </w:pPr>
      <w:r w:rsidRPr="00B151C3">
        <w:rPr>
          <w:sz w:val="26"/>
          <w:szCs w:val="26"/>
        </w:rPr>
        <w:t>CONSIDERAÇÕES FINAIS</w:t>
      </w:r>
    </w:p>
    <w:p w:rsidR="00C740F0" w:rsidRDefault="009079B4" w:rsidP="00620452">
      <w:r>
        <w:t>Nesta seção serão abordadas as con</w:t>
      </w:r>
      <w:r w:rsidR="006A5225">
        <w:t>siderações finais relacionada à solução do</w:t>
      </w:r>
      <w:r>
        <w:t xml:space="preserve"> problema de pesquisa, </w:t>
      </w:r>
      <w:r w:rsidR="006A5225">
        <w:t xml:space="preserve">o modo </w:t>
      </w:r>
      <w:r w:rsidR="00807130">
        <w:t xml:space="preserve">como foi </w:t>
      </w:r>
      <w:r w:rsidR="006A5225">
        <w:t>alcançado</w:t>
      </w:r>
      <w:r w:rsidR="00807130">
        <w:t xml:space="preserve"> o objetivo do artigo e por fim</w:t>
      </w:r>
      <w:r w:rsidR="006A5225">
        <w:t xml:space="preserve">, é proposto </w:t>
      </w:r>
      <w:r w:rsidR="00807130">
        <w:t xml:space="preserve">recomendações de </w:t>
      </w:r>
      <w:r w:rsidR="006A5225">
        <w:t xml:space="preserve">pesquisas futuras referente ao tema estudado. </w:t>
      </w:r>
    </w:p>
    <w:p w:rsidR="007268A3" w:rsidRDefault="006A5225" w:rsidP="00C740F0">
      <w:r>
        <w:t xml:space="preserve">Com a </w:t>
      </w:r>
      <w:r w:rsidR="00AD1DF2">
        <w:t xml:space="preserve">atenção existente do governo sob a tributação das empresas de pequeno porte, conclui-se a relevância do estudo abordado para melhor compreensão do Simples Nacional em 2018 e suas consequências no setor de comércio. Sendo assim, primeiramente foi realizado o levantamento de dados de cada empresa, </w:t>
      </w:r>
      <w:r w:rsidR="007268A3">
        <w:t>sendo organizados em uma planilha eletrônica de acordo com seus faturamentos mensais e acumulados dos últimos 12 meses.</w:t>
      </w:r>
    </w:p>
    <w:p w:rsidR="00E77CAA" w:rsidRDefault="007268A3" w:rsidP="00C740F0">
      <w:r>
        <w:t xml:space="preserve">Para responder o problema de pesquisa, utilizaram-se três simulações conforme exposto no apêndice, evidenciando o cálculo do imposto devido segundo a Lei Complementar n° 123/2006 e a Lei Complementar n° 155/2016, demonstrando as alíquotas aplicadas para fins dos cálculos efetuados. Para assim ser capaz de comparar, qual das duas formas de apuração é menos onerosa </w:t>
      </w:r>
      <w:r w:rsidR="00E77CAA">
        <w:t>para as empresas Alfa, Beta e Gama, respectivamente.</w:t>
      </w:r>
    </w:p>
    <w:p w:rsidR="004B2547" w:rsidRDefault="004B2547" w:rsidP="00C740F0">
      <w:r>
        <w:t>O estudo conta com uma comparação entre as etapas dos cálculos segundo a antiga e a nova lei. Sendo possível concluir com o confronto, que no cálculo dos valores apurados do Anexo 1, por causa do valor a deduzir (VD) presente na fórmula da Lei Complementar n° 155/2016, em geral a alíquota efetiva apresenta-se menor do que a alíquota nominal da antiga Lei Complementar n° 123/2006.</w:t>
      </w:r>
    </w:p>
    <w:p w:rsidR="006A5225" w:rsidRDefault="0036229A" w:rsidP="00C740F0">
      <w:r>
        <w:t>Além da metodologia q</w:t>
      </w:r>
      <w:r w:rsidR="00AC0A1B">
        <w:t xml:space="preserve">uantitativa a qual conta com o </w:t>
      </w:r>
      <w:r>
        <w:t>comparativo</w:t>
      </w:r>
      <w:r w:rsidR="00AC0A1B">
        <w:t xml:space="preserve"> explicitado acima</w:t>
      </w:r>
      <w:r>
        <w:t>, o</w:t>
      </w:r>
      <w:r w:rsidR="00E77CAA">
        <w:t xml:space="preserve"> artigo conté</w:t>
      </w:r>
      <w:r w:rsidR="00AC0A1B">
        <w:t xml:space="preserve">m </w:t>
      </w:r>
      <w:r w:rsidR="00E77CAA">
        <w:t xml:space="preserve">a análise por meio de </w:t>
      </w:r>
      <w:r w:rsidR="00933029">
        <w:t>Figuras</w:t>
      </w:r>
      <w:r w:rsidR="00184C9C">
        <w:t xml:space="preserve"> e de</w:t>
      </w:r>
      <w:r w:rsidR="00E77CAA">
        <w:t xml:space="preserve"> Tabela, com o intuito de demonstrar a </w:t>
      </w:r>
      <w:r w:rsidR="00E77CAA">
        <w:lastRenderedPageBreak/>
        <w:t xml:space="preserve">diferença dos tributos a serem pagos, com as mudanças da lei. Com tal análise </w:t>
      </w:r>
      <w:r w:rsidR="00AC0A1B">
        <w:t>que visa evidencia</w:t>
      </w:r>
      <w:r w:rsidR="00221E88">
        <w:t>r</w:t>
      </w:r>
      <w:r w:rsidR="00AC0A1B">
        <w:t xml:space="preserve"> o objetivo do trabalho, como resultado </w:t>
      </w:r>
      <w:r w:rsidR="001F7531">
        <w:t>a nova Lei Complementar n° 155/2016 cumpre sua finalidade de favorecer o setor de comércio</w:t>
      </w:r>
      <w:r w:rsidR="00E77CAA">
        <w:t xml:space="preserve"> </w:t>
      </w:r>
      <w:r w:rsidR="00CF5EE3">
        <w:t>e essas</w:t>
      </w:r>
      <w:r w:rsidR="001F7531">
        <w:t xml:space="preserve"> empresas</w:t>
      </w:r>
      <w:r w:rsidR="00CF5EE3">
        <w:t>,</w:t>
      </w:r>
      <w:r w:rsidR="001F7531">
        <w:t xml:space="preserve"> </w:t>
      </w:r>
      <w:r w:rsidR="00E77CAA">
        <w:t>independente de faturamentos distintos</w:t>
      </w:r>
      <w:r w:rsidR="00FF2C23">
        <w:t xml:space="preserve"> (pequeno, médio e alto)</w:t>
      </w:r>
      <w:r w:rsidR="00E77CAA">
        <w:t xml:space="preserve">, </w:t>
      </w:r>
      <w:r w:rsidR="00CB52C0">
        <w:t xml:space="preserve">são beneficiadas ou </w:t>
      </w:r>
      <w:r w:rsidR="00B1684F">
        <w:t>permanecem com seus valores inalterados</w:t>
      </w:r>
      <w:r w:rsidR="00FF2C23">
        <w:t xml:space="preserve"> diante da modificação.</w:t>
      </w:r>
      <w:r w:rsidR="003E09FE">
        <w:t xml:space="preserve"> </w:t>
      </w:r>
    </w:p>
    <w:p w:rsidR="00936ED5" w:rsidRDefault="003E09FE" w:rsidP="00620452">
      <w:r>
        <w:t xml:space="preserve">O presente artigo intenciona contribuir aumentando a </w:t>
      </w:r>
      <w:r w:rsidR="00504478">
        <w:t xml:space="preserve">abundância de estudos disponíveis </w:t>
      </w:r>
      <w:r>
        <w:t xml:space="preserve">sobre o tema </w:t>
      </w:r>
      <w:r w:rsidR="00504478">
        <w:t xml:space="preserve">proposto, para colaborar </w:t>
      </w:r>
      <w:r w:rsidR="00EA2D34">
        <w:t xml:space="preserve">como conhecimento para pesquisas futuras. Onde </w:t>
      </w:r>
      <w:r w:rsidR="000157E1">
        <w:t>se recomenda</w:t>
      </w:r>
      <w:r w:rsidR="00EA2D34">
        <w:t xml:space="preserve"> </w:t>
      </w:r>
      <w:r w:rsidR="00934654">
        <w:t>uma análise do</w:t>
      </w:r>
      <w:r w:rsidR="000157E1">
        <w:t xml:space="preserve"> mesmo gênero, porém com empresas d</w:t>
      </w:r>
      <w:r w:rsidR="00934654">
        <w:t>os demais A</w:t>
      </w:r>
      <w:r w:rsidR="000157E1">
        <w:t>nexos contidos no Simples Nacional</w:t>
      </w:r>
      <w:r w:rsidR="00934654">
        <w:t>, para constatar se as vantagens da Lei Complementar n° 155/2016 no comércio, também se aplicam aos Anexos I, II, III, IV e V. Sugere-se por fim, um estudo comparativo</w:t>
      </w:r>
      <w:r w:rsidR="00093F2C">
        <w:t xml:space="preserve"> com enfoque em planejamento tributário, no sentido de abordar as alterações do Simples Nacional em confronto com os regimes do Lucro Presumido e Lucro Real.</w:t>
      </w:r>
    </w:p>
    <w:p w:rsidR="00934A8C" w:rsidRDefault="00936ED5" w:rsidP="00D30893">
      <w:r>
        <w:t xml:space="preserve">Apesar de utilizar-se de simulações com dados reais das instituições, e de se aproximar da realidade vivida pelas empresas. A limitação da pesquisa </w:t>
      </w:r>
      <w:r w:rsidR="00E279B7">
        <w:t xml:space="preserve">se manifestou na dificuldade de obter </w:t>
      </w:r>
      <w:r w:rsidR="00AF1D6C">
        <w:t xml:space="preserve">fontes para a pesquisa bibliográfica, devido </w:t>
      </w:r>
      <w:r w:rsidR="00DE1951">
        <w:t xml:space="preserve">ao tema recente e </w:t>
      </w:r>
      <w:r w:rsidR="00AF1D6C">
        <w:t>à recém</w:t>
      </w:r>
      <w:r w:rsidR="006D5B13">
        <w:t xml:space="preserve"> vigorada </w:t>
      </w:r>
      <w:r w:rsidR="00AF1D6C">
        <w:t>Lei Complementar n° 155/2016</w:t>
      </w:r>
      <w:r w:rsidR="006D5B13">
        <w:t xml:space="preserve">. </w:t>
      </w:r>
    </w:p>
    <w:p w:rsidR="00D30893" w:rsidRPr="00742441" w:rsidRDefault="00D30893" w:rsidP="00D30893"/>
    <w:p w:rsidR="00B35761" w:rsidRDefault="008A7FF0" w:rsidP="008A7FF0">
      <w:pPr>
        <w:pStyle w:val="Ttulo1"/>
        <w:spacing w:before="0" w:after="0"/>
        <w:ind w:left="432" w:hanging="432"/>
        <w:jc w:val="center"/>
        <w:rPr>
          <w:sz w:val="26"/>
          <w:szCs w:val="26"/>
        </w:rPr>
      </w:pPr>
      <w:r>
        <w:rPr>
          <w:sz w:val="26"/>
          <w:szCs w:val="26"/>
        </w:rPr>
        <w:t>REFERÊNCIAS</w:t>
      </w:r>
    </w:p>
    <w:p w:rsidR="008A7FF0" w:rsidRPr="008F15C2" w:rsidRDefault="008A7FF0" w:rsidP="008A7FF0">
      <w:pPr>
        <w:rPr>
          <w:sz w:val="20"/>
          <w:szCs w:val="20"/>
        </w:rPr>
      </w:pPr>
    </w:p>
    <w:p w:rsidR="00CE2486" w:rsidRPr="008F15C2" w:rsidRDefault="006462B0" w:rsidP="008A7FF0">
      <w:pPr>
        <w:pStyle w:val="Referencias"/>
        <w:rPr>
          <w:color w:val="auto"/>
          <w:szCs w:val="20"/>
        </w:rPr>
      </w:pPr>
      <w:r w:rsidRPr="008F15C2">
        <w:rPr>
          <w:color w:val="auto"/>
          <w:szCs w:val="20"/>
        </w:rPr>
        <w:t xml:space="preserve">BARBOSA, Suelen Tavares. </w:t>
      </w:r>
      <w:r w:rsidRPr="008F15C2">
        <w:rPr>
          <w:b/>
          <w:color w:val="auto"/>
          <w:szCs w:val="20"/>
        </w:rPr>
        <w:t>Avaliação do impacto da Lei Complementar nº 155/16 no Simples Nacional.</w:t>
      </w:r>
      <w:r w:rsidRPr="008F15C2">
        <w:rPr>
          <w:color w:val="auto"/>
          <w:szCs w:val="20"/>
        </w:rPr>
        <w:t xml:space="preserve"> 2016. 73 f., il. Trabalho de conclusão de curso (Bacharelado em Ciências Contábeis)—Universidade de Brasília, Brasília, 2016.</w:t>
      </w:r>
      <w:r w:rsidR="000A0DF2" w:rsidRPr="008F15C2">
        <w:rPr>
          <w:color w:val="auto"/>
          <w:szCs w:val="20"/>
        </w:rPr>
        <w:t xml:space="preserve"> Disponível em: </w:t>
      </w:r>
      <w:hyperlink r:id="rId22" w:history="1">
        <w:r w:rsidR="00857C96" w:rsidRPr="008F15C2">
          <w:rPr>
            <w:rStyle w:val="Hyperlink"/>
            <w:szCs w:val="20"/>
          </w:rPr>
          <w:t>http://bdm.unb.br/handle/10483/16070</w:t>
        </w:r>
      </w:hyperlink>
      <w:r w:rsidR="00857C96" w:rsidRPr="008F15C2">
        <w:rPr>
          <w:color w:val="auto"/>
          <w:szCs w:val="20"/>
        </w:rPr>
        <w:t>. Acesso em: 24 de junho de 2018.</w:t>
      </w:r>
    </w:p>
    <w:p w:rsidR="00CB13EA" w:rsidRPr="008F15C2" w:rsidRDefault="00CB13EA" w:rsidP="00FB2BD0">
      <w:pPr>
        <w:pStyle w:val="Referencias"/>
        <w:rPr>
          <w:color w:val="auto"/>
          <w:szCs w:val="20"/>
        </w:rPr>
      </w:pPr>
      <w:r w:rsidRPr="008F15C2">
        <w:rPr>
          <w:color w:val="auto"/>
          <w:szCs w:val="20"/>
        </w:rPr>
        <w:t xml:space="preserve">BARRETO, Luiz. </w:t>
      </w:r>
      <w:r w:rsidRPr="008F15C2">
        <w:rPr>
          <w:b/>
          <w:color w:val="auto"/>
          <w:szCs w:val="20"/>
        </w:rPr>
        <w:t>Micro e pequenas empresas geram 27% do PIB do Brasil</w:t>
      </w:r>
      <w:r w:rsidRPr="008F15C2">
        <w:rPr>
          <w:color w:val="auto"/>
          <w:szCs w:val="20"/>
        </w:rPr>
        <w:t xml:space="preserve">. Disponível em: </w:t>
      </w:r>
      <w:hyperlink r:id="rId23" w:history="1">
        <w:r w:rsidRPr="008F15C2">
          <w:rPr>
            <w:rStyle w:val="Hyperlink"/>
            <w:szCs w:val="20"/>
          </w:rPr>
          <w:t>http://www.sebrae.com.br/sites/PortalSebrae/ufs/mt/noticias/micro-e-pequenas-empresas-geram-27-do-pib-do-brasil,ad0fc70646467410VgnVCM2000003c74010aRCRD</w:t>
        </w:r>
      </w:hyperlink>
      <w:r w:rsidRPr="008F15C2">
        <w:rPr>
          <w:color w:val="auto"/>
          <w:szCs w:val="20"/>
        </w:rPr>
        <w:t>. Acesso em: 01 de junho de 2018.</w:t>
      </w:r>
    </w:p>
    <w:p w:rsidR="00CE2486" w:rsidRPr="008F15C2" w:rsidRDefault="00CE2486" w:rsidP="00FB2BD0">
      <w:pPr>
        <w:pStyle w:val="Referencias"/>
        <w:rPr>
          <w:color w:val="auto"/>
          <w:szCs w:val="20"/>
        </w:rPr>
      </w:pPr>
      <w:r w:rsidRPr="008F15C2">
        <w:rPr>
          <w:color w:val="auto"/>
          <w:szCs w:val="20"/>
        </w:rPr>
        <w:t xml:space="preserve">BEUREN, Ilse Maria. </w:t>
      </w:r>
      <w:r w:rsidRPr="008F15C2">
        <w:rPr>
          <w:b/>
          <w:color w:val="auto"/>
          <w:szCs w:val="20"/>
        </w:rPr>
        <w:t>Como elaborar trabalhos monográficos em contabilidade: teoria e prática.</w:t>
      </w:r>
      <w:r w:rsidRPr="008F15C2">
        <w:rPr>
          <w:color w:val="auto"/>
          <w:szCs w:val="20"/>
        </w:rPr>
        <w:t xml:space="preserve"> São Paulo: Atlas, 2003.</w:t>
      </w:r>
    </w:p>
    <w:p w:rsidR="00FB2BD0" w:rsidRPr="008F15C2" w:rsidRDefault="00074BD3" w:rsidP="00FB2BD0">
      <w:pPr>
        <w:pStyle w:val="Referencias"/>
        <w:rPr>
          <w:color w:val="auto"/>
          <w:szCs w:val="20"/>
        </w:rPr>
      </w:pPr>
      <w:r w:rsidRPr="008F15C2">
        <w:rPr>
          <w:color w:val="auto"/>
          <w:szCs w:val="20"/>
        </w:rPr>
        <w:t xml:space="preserve">BRASIL, </w:t>
      </w:r>
      <w:r w:rsidRPr="008F15C2">
        <w:rPr>
          <w:b/>
          <w:color w:val="auto"/>
          <w:szCs w:val="20"/>
        </w:rPr>
        <w:t>Lei Complementar nº 123, 14 de dezembro de 2006.</w:t>
      </w:r>
      <w:r w:rsidRPr="008F15C2">
        <w:rPr>
          <w:color w:val="auto"/>
          <w:szCs w:val="20"/>
        </w:rPr>
        <w:t xml:space="preserve"> Institui o Estatuto Nacional da Microempresa e da Empresa de Pequeno Porte; </w:t>
      </w:r>
      <w:r w:rsidR="00830558" w:rsidRPr="008F15C2">
        <w:rPr>
          <w:color w:val="auto"/>
          <w:szCs w:val="20"/>
        </w:rPr>
        <w:t>altera</w:t>
      </w:r>
      <w:r w:rsidRPr="008F15C2">
        <w:rPr>
          <w:color w:val="auto"/>
          <w:szCs w:val="20"/>
        </w:rPr>
        <w:t xml:space="preserve"> dispositivos das Leis nº 8.212 e 8.213, ambas de 24 de julho de 1991, da Consolidação das Leis do Trabalho - CLT, aprovada pelo Decreto-Lei nº 5.452, de 1º de maio de 1943, da Lei nº 10.189, de 14 de fevereiro de 2001, da Lei Complementar nº 63, de 11 de janeiro de 1990; e revoga as Leis nº 9.317, de 5 de dezembro de 1996, e 9.841, de 5 de outubro de 1999. Disponível em: </w:t>
      </w:r>
      <w:r w:rsidR="003B4F3D" w:rsidRPr="008F15C2">
        <w:rPr>
          <w:color w:val="auto"/>
          <w:szCs w:val="20"/>
        </w:rPr>
        <w:t>&lt;</w:t>
      </w:r>
      <w:r w:rsidR="00CF3531" w:rsidRPr="008F15C2">
        <w:rPr>
          <w:szCs w:val="20"/>
        </w:rPr>
        <w:t>http://www.planalto.gov.br/ccivil_03/leis/LCP/Lcp123.htm</w:t>
      </w:r>
      <w:r w:rsidR="003B4F3D" w:rsidRPr="008F15C2">
        <w:rPr>
          <w:color w:val="auto"/>
          <w:szCs w:val="20"/>
        </w:rPr>
        <w:t>&gt;. Acesso em: 18 de junho de 2018</w:t>
      </w:r>
      <w:r w:rsidRPr="008F15C2">
        <w:rPr>
          <w:color w:val="auto"/>
          <w:szCs w:val="20"/>
        </w:rPr>
        <w:t>.</w:t>
      </w:r>
    </w:p>
    <w:p w:rsidR="00953A88" w:rsidRPr="008F15C2" w:rsidRDefault="00953A88" w:rsidP="00FB2BD0">
      <w:pPr>
        <w:rPr>
          <w:sz w:val="20"/>
          <w:szCs w:val="20"/>
        </w:rPr>
      </w:pPr>
      <w:r w:rsidRPr="008F15C2">
        <w:rPr>
          <w:sz w:val="20"/>
          <w:szCs w:val="20"/>
        </w:rPr>
        <w:t xml:space="preserve">BRASIL, </w:t>
      </w:r>
      <w:r w:rsidRPr="008F15C2">
        <w:rPr>
          <w:b/>
          <w:sz w:val="20"/>
          <w:szCs w:val="20"/>
        </w:rPr>
        <w:t>Lei Complementar nº 155, 27 de outubro de 2016.</w:t>
      </w:r>
      <w:r w:rsidRPr="008F15C2">
        <w:rPr>
          <w:sz w:val="20"/>
          <w:szCs w:val="20"/>
        </w:rPr>
        <w:t xml:space="preserve"> </w:t>
      </w:r>
      <w:r w:rsidRPr="008F15C2">
        <w:rPr>
          <w:rFonts w:eastAsia="Times New Roman" w:cs="Times New Roman"/>
          <w:sz w:val="20"/>
          <w:szCs w:val="20"/>
          <w:lang w:eastAsia="pt-BR"/>
        </w:rPr>
        <w:t>Altera a Lei Complementar nº 123, de 14 de dezembro de 2006, para reorgani</w:t>
      </w:r>
      <w:r w:rsidR="00FB2BD0" w:rsidRPr="008F15C2">
        <w:rPr>
          <w:rFonts w:eastAsia="Times New Roman" w:cs="Times New Roman"/>
          <w:sz w:val="20"/>
          <w:szCs w:val="20"/>
          <w:lang w:eastAsia="pt-BR"/>
        </w:rPr>
        <w:t xml:space="preserve">zar e simplificar a metodologia </w:t>
      </w:r>
      <w:r w:rsidRPr="008F15C2">
        <w:rPr>
          <w:rFonts w:eastAsia="Times New Roman" w:cs="Times New Roman"/>
          <w:sz w:val="20"/>
          <w:szCs w:val="20"/>
          <w:lang w:eastAsia="pt-BR"/>
        </w:rPr>
        <w:t xml:space="preserve">de apuração do imposto devido por </w:t>
      </w:r>
      <w:r w:rsidR="00FB2BD0" w:rsidRPr="008F15C2">
        <w:rPr>
          <w:rFonts w:eastAsia="Times New Roman" w:cs="Times New Roman"/>
          <w:sz w:val="20"/>
          <w:szCs w:val="20"/>
          <w:lang w:eastAsia="pt-BR"/>
        </w:rPr>
        <w:t xml:space="preserve">optantes pelo Simples Nacional; </w:t>
      </w:r>
      <w:r w:rsidRPr="008F15C2">
        <w:rPr>
          <w:rFonts w:eastAsia="Times New Roman" w:cs="Times New Roman"/>
          <w:sz w:val="20"/>
          <w:szCs w:val="20"/>
          <w:lang w:eastAsia="pt-BR"/>
        </w:rPr>
        <w:t xml:space="preserve">altera as Leis nº 9.613, de 3 de março de 1998, 12.512, de 14 de outubro de 2011, e 7.998, de 11 de janeiro de 1990; e revoga dispositivo da Lei nº 8.212, de 24 de julho de 1991. </w:t>
      </w:r>
      <w:r w:rsidRPr="008F15C2">
        <w:rPr>
          <w:rFonts w:eastAsia="Times New Roman" w:cs="Times New Roman"/>
          <w:sz w:val="20"/>
          <w:szCs w:val="20"/>
          <w:lang w:eastAsia="pt-BR"/>
        </w:rPr>
        <w:br/>
      </w:r>
      <w:r w:rsidR="00B73220" w:rsidRPr="008F15C2">
        <w:rPr>
          <w:rFonts w:eastAsia="Times New Roman" w:cs="Times New Roman"/>
          <w:sz w:val="20"/>
          <w:szCs w:val="20"/>
          <w:lang w:eastAsia="pt-BR"/>
        </w:rPr>
        <w:t>Disponível</w:t>
      </w:r>
      <w:r w:rsidRPr="008F15C2">
        <w:rPr>
          <w:rFonts w:eastAsia="Times New Roman" w:cs="Times New Roman"/>
          <w:sz w:val="20"/>
          <w:szCs w:val="20"/>
          <w:lang w:eastAsia="pt-BR"/>
        </w:rPr>
        <w:t xml:space="preserve"> em:</w:t>
      </w:r>
      <w:r w:rsidRPr="008F15C2">
        <w:rPr>
          <w:sz w:val="20"/>
          <w:szCs w:val="20"/>
        </w:rPr>
        <w:t xml:space="preserve"> </w:t>
      </w:r>
      <w:hyperlink r:id="rId24" w:history="1">
        <w:r w:rsidR="00C353AF" w:rsidRPr="008F15C2">
          <w:rPr>
            <w:rStyle w:val="Hyperlink"/>
            <w:sz w:val="20"/>
            <w:szCs w:val="20"/>
          </w:rPr>
          <w:t>http://www.planalto.gov.br/ccivil_03/leis/LCP/Lcp155.htm</w:t>
        </w:r>
      </w:hyperlink>
      <w:r w:rsidR="00C353AF" w:rsidRPr="008F15C2">
        <w:rPr>
          <w:sz w:val="20"/>
          <w:szCs w:val="20"/>
        </w:rPr>
        <w:t xml:space="preserve"> </w:t>
      </w:r>
      <w:r w:rsidRPr="008F15C2">
        <w:rPr>
          <w:sz w:val="20"/>
          <w:szCs w:val="20"/>
        </w:rPr>
        <w:br/>
        <w:t>Acesso em: 31 de maio de 2017.</w:t>
      </w:r>
    </w:p>
    <w:p w:rsidR="00E8073E" w:rsidRPr="008F15C2" w:rsidRDefault="00E8073E" w:rsidP="00FB2BD0">
      <w:pPr>
        <w:pStyle w:val="Referencias"/>
        <w:rPr>
          <w:color w:val="auto"/>
          <w:szCs w:val="20"/>
        </w:rPr>
      </w:pPr>
      <w:r w:rsidRPr="008F15C2">
        <w:rPr>
          <w:color w:val="auto"/>
          <w:szCs w:val="20"/>
        </w:rPr>
        <w:t xml:space="preserve">BRASIL, </w:t>
      </w:r>
      <w:r w:rsidRPr="008F15C2">
        <w:rPr>
          <w:b/>
          <w:color w:val="auto"/>
          <w:szCs w:val="20"/>
        </w:rPr>
        <w:t>Lei nº 10.406, 10 de janeiro de 2002.</w:t>
      </w:r>
      <w:r w:rsidRPr="008F15C2">
        <w:rPr>
          <w:color w:val="auto"/>
          <w:szCs w:val="20"/>
        </w:rPr>
        <w:t xml:space="preserve"> Institui o </w:t>
      </w:r>
      <w:r w:rsidR="003B4F3D" w:rsidRPr="008F15C2">
        <w:rPr>
          <w:color w:val="auto"/>
          <w:szCs w:val="20"/>
        </w:rPr>
        <w:t>Código</w:t>
      </w:r>
      <w:r w:rsidRPr="008F15C2">
        <w:rPr>
          <w:color w:val="auto"/>
          <w:szCs w:val="20"/>
        </w:rPr>
        <w:t xml:space="preserve"> Civil. </w:t>
      </w:r>
      <w:r w:rsidR="003B4F3D" w:rsidRPr="008F15C2">
        <w:rPr>
          <w:color w:val="auto"/>
          <w:szCs w:val="20"/>
        </w:rPr>
        <w:t>Disponível</w:t>
      </w:r>
      <w:r w:rsidRPr="008F15C2">
        <w:rPr>
          <w:color w:val="auto"/>
          <w:szCs w:val="20"/>
        </w:rPr>
        <w:t xml:space="preserve"> em: </w:t>
      </w:r>
      <w:hyperlink r:id="rId25" w:history="1">
        <w:r w:rsidR="007065CF" w:rsidRPr="008F15C2">
          <w:rPr>
            <w:rStyle w:val="Hyperlink"/>
            <w:szCs w:val="20"/>
          </w:rPr>
          <w:t>http://www.planalto.gov.br/ccivil_03/leis/2002/L10406.htm</w:t>
        </w:r>
      </w:hyperlink>
      <w:r w:rsidR="007065CF" w:rsidRPr="008F15C2">
        <w:rPr>
          <w:szCs w:val="20"/>
        </w:rPr>
        <w:t>.</w:t>
      </w:r>
      <w:r w:rsidR="003B4F3D" w:rsidRPr="008F15C2">
        <w:rPr>
          <w:color w:val="auto"/>
          <w:szCs w:val="20"/>
        </w:rPr>
        <w:t xml:space="preserve"> Acesso em: 18 de junho de 2018</w:t>
      </w:r>
      <w:r w:rsidRPr="008F15C2">
        <w:rPr>
          <w:color w:val="auto"/>
          <w:szCs w:val="20"/>
        </w:rPr>
        <w:t>.</w:t>
      </w:r>
    </w:p>
    <w:p w:rsidR="00472AF5" w:rsidRPr="008F15C2" w:rsidRDefault="00472AF5" w:rsidP="00FB2BD0">
      <w:pPr>
        <w:pStyle w:val="Referencias"/>
        <w:rPr>
          <w:color w:val="auto"/>
          <w:szCs w:val="20"/>
        </w:rPr>
      </w:pPr>
      <w:r w:rsidRPr="008F15C2">
        <w:rPr>
          <w:color w:val="auto"/>
          <w:szCs w:val="20"/>
        </w:rPr>
        <w:t xml:space="preserve">COSTA, Gildevan Silva da. </w:t>
      </w:r>
      <w:r w:rsidRPr="008F15C2">
        <w:rPr>
          <w:b/>
          <w:color w:val="auto"/>
          <w:szCs w:val="20"/>
        </w:rPr>
        <w:t>Lucro real x lucro presumido x simples nacional: um comparativo entre os regimes de tributação.</w:t>
      </w:r>
      <w:r w:rsidRPr="008F15C2">
        <w:rPr>
          <w:color w:val="auto"/>
          <w:szCs w:val="20"/>
        </w:rPr>
        <w:t xml:space="preserve"> 2017. 22 f. Monografia (Graduação) - Faculdade de Tecnologia e Ciências Sociais Aplicadas, Centro Universitário de Brasília, Brasília, 2017.</w:t>
      </w:r>
      <w:r w:rsidR="003600CD" w:rsidRPr="008F15C2">
        <w:rPr>
          <w:color w:val="auto"/>
          <w:szCs w:val="20"/>
        </w:rPr>
        <w:t xml:space="preserve"> Disponível em: </w:t>
      </w:r>
      <w:hyperlink r:id="rId26" w:history="1">
        <w:r w:rsidR="00C8326A" w:rsidRPr="008F15C2">
          <w:rPr>
            <w:rStyle w:val="Hyperlink"/>
            <w:szCs w:val="20"/>
          </w:rPr>
          <w:t>http://repositorio.uniceub.br/handle/235/11401</w:t>
        </w:r>
      </w:hyperlink>
      <w:r w:rsidR="00C8326A" w:rsidRPr="008F15C2">
        <w:rPr>
          <w:color w:val="auto"/>
          <w:szCs w:val="20"/>
        </w:rPr>
        <w:t>. Acesso em: 24 de junho de 2018.</w:t>
      </w:r>
    </w:p>
    <w:p w:rsidR="00F16F8C" w:rsidRPr="008F15C2" w:rsidRDefault="00F16F8C" w:rsidP="00FB2BD0">
      <w:pPr>
        <w:pStyle w:val="NormalWeb"/>
        <w:shd w:val="clear" w:color="auto" w:fill="FFFFFF"/>
        <w:textAlignment w:val="baseline"/>
        <w:rPr>
          <w:sz w:val="20"/>
          <w:szCs w:val="20"/>
        </w:rPr>
      </w:pPr>
      <w:r w:rsidRPr="008F15C2">
        <w:rPr>
          <w:sz w:val="20"/>
          <w:szCs w:val="20"/>
        </w:rPr>
        <w:lastRenderedPageBreak/>
        <w:t xml:space="preserve">FABRETTI, L. C. </w:t>
      </w:r>
      <w:r w:rsidRPr="008F15C2">
        <w:rPr>
          <w:b/>
          <w:sz w:val="20"/>
          <w:szCs w:val="20"/>
        </w:rPr>
        <w:t>Contabilidade Tributária</w:t>
      </w:r>
      <w:r w:rsidRPr="008F15C2">
        <w:rPr>
          <w:sz w:val="20"/>
          <w:szCs w:val="20"/>
        </w:rPr>
        <w:t>. 9ª ed. São Paulo: Atlas, 2005.</w:t>
      </w:r>
    </w:p>
    <w:p w:rsidR="00F16F8C" w:rsidRPr="008F15C2" w:rsidRDefault="00F16F8C" w:rsidP="00FB2BD0">
      <w:pPr>
        <w:pStyle w:val="NormalWeb"/>
        <w:shd w:val="clear" w:color="auto" w:fill="FFFFFF"/>
        <w:textAlignment w:val="baseline"/>
        <w:rPr>
          <w:sz w:val="20"/>
          <w:szCs w:val="20"/>
        </w:rPr>
      </w:pPr>
      <w:r w:rsidRPr="008F15C2">
        <w:rPr>
          <w:sz w:val="20"/>
          <w:szCs w:val="20"/>
        </w:rPr>
        <w:t>FABRETTI, L. C</w:t>
      </w:r>
      <w:r w:rsidRPr="008F15C2">
        <w:rPr>
          <w:b/>
          <w:sz w:val="20"/>
          <w:szCs w:val="20"/>
        </w:rPr>
        <w:t>. Contabilidade Tributária</w:t>
      </w:r>
      <w:r w:rsidRPr="008F15C2">
        <w:rPr>
          <w:sz w:val="20"/>
          <w:szCs w:val="20"/>
        </w:rPr>
        <w:t>. 10ª ed. São Paulo: Atlas, 2006.</w:t>
      </w:r>
    </w:p>
    <w:p w:rsidR="00885A7C" w:rsidRPr="008F15C2" w:rsidRDefault="00885A7C" w:rsidP="00FB2BD0">
      <w:pPr>
        <w:rPr>
          <w:rFonts w:cs="Times New Roman"/>
          <w:sz w:val="20"/>
          <w:szCs w:val="20"/>
        </w:rPr>
      </w:pPr>
      <w:r w:rsidRPr="008F15C2">
        <w:rPr>
          <w:rFonts w:cs="Times New Roman"/>
          <w:sz w:val="20"/>
          <w:szCs w:val="20"/>
        </w:rPr>
        <w:t>GIL, Antonio Carlos</w:t>
      </w:r>
      <w:r w:rsidRPr="008F15C2">
        <w:rPr>
          <w:rFonts w:cs="Times New Roman"/>
          <w:b/>
          <w:sz w:val="20"/>
          <w:szCs w:val="20"/>
        </w:rPr>
        <w:t>. Métodos e técnicas de pesquisa social.</w:t>
      </w:r>
      <w:r w:rsidRPr="008F15C2">
        <w:rPr>
          <w:rFonts w:cs="Times New Roman"/>
          <w:sz w:val="20"/>
          <w:szCs w:val="20"/>
        </w:rPr>
        <w:t xml:space="preserve"> 6ª ed. São Paulo: Atlas, 2009.</w:t>
      </w:r>
    </w:p>
    <w:p w:rsidR="008604EC" w:rsidRPr="008F15C2" w:rsidRDefault="008604EC" w:rsidP="00FB2BD0">
      <w:pPr>
        <w:rPr>
          <w:rFonts w:cs="Times New Roman"/>
          <w:sz w:val="20"/>
          <w:szCs w:val="20"/>
        </w:rPr>
      </w:pPr>
      <w:r w:rsidRPr="008F15C2">
        <w:rPr>
          <w:rFonts w:cs="Times New Roman"/>
          <w:sz w:val="20"/>
          <w:szCs w:val="20"/>
        </w:rPr>
        <w:t xml:space="preserve">IUDÍCIBUS, Sérgio de; MARION; José Carlos. </w:t>
      </w:r>
      <w:r w:rsidRPr="008F15C2">
        <w:rPr>
          <w:rFonts w:cs="Times New Roman"/>
          <w:b/>
          <w:sz w:val="20"/>
          <w:szCs w:val="20"/>
        </w:rPr>
        <w:t>Contabilidade comercial: atualizado conforme Lei Nº 11.638/07 e Lei Nº 11.941/09</w:t>
      </w:r>
      <w:r w:rsidRPr="008F15C2">
        <w:rPr>
          <w:rFonts w:cs="Times New Roman"/>
          <w:sz w:val="20"/>
          <w:szCs w:val="20"/>
        </w:rPr>
        <w:t>. 9ª ed. São Paulo: Editora Atlas, 2010.</w:t>
      </w:r>
    </w:p>
    <w:p w:rsidR="00067ED9" w:rsidRPr="008F15C2" w:rsidRDefault="00067ED9" w:rsidP="00FB2BD0">
      <w:pPr>
        <w:rPr>
          <w:rFonts w:cs="Times New Roman"/>
          <w:sz w:val="20"/>
          <w:szCs w:val="20"/>
        </w:rPr>
      </w:pPr>
      <w:r w:rsidRPr="008F15C2">
        <w:rPr>
          <w:rFonts w:cs="Times New Roman"/>
          <w:sz w:val="20"/>
          <w:szCs w:val="20"/>
        </w:rPr>
        <w:t xml:space="preserve">IBPT. </w:t>
      </w:r>
      <w:r w:rsidRPr="008F15C2">
        <w:rPr>
          <w:rFonts w:cs="Times New Roman"/>
          <w:b/>
          <w:sz w:val="20"/>
          <w:szCs w:val="20"/>
        </w:rPr>
        <w:t>Brasileiro trabalha 153 dias por ano para pagar impostos.</w:t>
      </w:r>
      <w:r w:rsidRPr="008F15C2">
        <w:rPr>
          <w:rFonts w:cs="Times New Roman"/>
          <w:sz w:val="20"/>
          <w:szCs w:val="20"/>
        </w:rPr>
        <w:t xml:space="preserve"> Disponível em: </w:t>
      </w:r>
      <w:hyperlink r:id="rId27" w:history="1">
        <w:r w:rsidR="00451715" w:rsidRPr="008F15C2">
          <w:rPr>
            <w:rStyle w:val="Hyperlink"/>
            <w:sz w:val="20"/>
            <w:szCs w:val="20"/>
          </w:rPr>
          <w:t>https://ibpt.com.br/noticia/2644/BRASILEIRO-TRABALHA-153-DIAS-POR-ANO-PARA-PAGAR-IMPOSTOS</w:t>
        </w:r>
      </w:hyperlink>
      <w:r w:rsidR="00451715" w:rsidRPr="008F15C2">
        <w:rPr>
          <w:sz w:val="20"/>
          <w:szCs w:val="20"/>
        </w:rPr>
        <w:t>.</w:t>
      </w:r>
      <w:r w:rsidRPr="008F15C2">
        <w:rPr>
          <w:rFonts w:cs="Times New Roman"/>
          <w:sz w:val="20"/>
          <w:szCs w:val="20"/>
        </w:rPr>
        <w:t xml:space="preserve"> Acesso em: 12 de junho de 2018.</w:t>
      </w:r>
    </w:p>
    <w:p w:rsidR="00F12D7B" w:rsidRPr="008F15C2" w:rsidRDefault="00F12D7B" w:rsidP="00FB2BD0">
      <w:pPr>
        <w:rPr>
          <w:rFonts w:cs="Times New Roman"/>
          <w:sz w:val="20"/>
          <w:szCs w:val="20"/>
        </w:rPr>
      </w:pPr>
      <w:r w:rsidRPr="008F15C2">
        <w:rPr>
          <w:rFonts w:cs="Times New Roman"/>
          <w:sz w:val="20"/>
          <w:szCs w:val="20"/>
        </w:rPr>
        <w:t xml:space="preserve">MATTOS, Tainá da Conceição. </w:t>
      </w:r>
      <w:r w:rsidRPr="008F15C2">
        <w:rPr>
          <w:rFonts w:cs="Times New Roman"/>
          <w:b/>
          <w:sz w:val="20"/>
          <w:szCs w:val="20"/>
        </w:rPr>
        <w:t xml:space="preserve">Qual o (b) ônus que a Lei Complementar n° 155/2016 que altera a Lei Complementar n° 123/2006 trará para uma lotérica? </w:t>
      </w:r>
      <w:r w:rsidRPr="008F15C2">
        <w:rPr>
          <w:rFonts w:cs="Times New Roman"/>
          <w:sz w:val="20"/>
          <w:szCs w:val="20"/>
        </w:rPr>
        <w:t xml:space="preserve">2018. 36p. Monografia do Curso de Ciências Contábeis. Universidade Federal de Santa Catarina, Florianópolis, 2018. </w:t>
      </w:r>
    </w:p>
    <w:p w:rsidR="00F16F8C" w:rsidRPr="008F15C2" w:rsidRDefault="00F16F8C" w:rsidP="00FB2BD0">
      <w:pPr>
        <w:pStyle w:val="NormalWeb"/>
        <w:shd w:val="clear" w:color="auto" w:fill="FFFFFF"/>
        <w:textAlignment w:val="baseline"/>
        <w:rPr>
          <w:sz w:val="20"/>
          <w:szCs w:val="20"/>
        </w:rPr>
      </w:pPr>
      <w:r w:rsidRPr="008F15C2">
        <w:rPr>
          <w:sz w:val="20"/>
          <w:szCs w:val="20"/>
        </w:rPr>
        <w:t xml:space="preserve">NAKAGAWA, Fernando. </w:t>
      </w:r>
      <w:r w:rsidRPr="008F15C2">
        <w:rPr>
          <w:b/>
          <w:sz w:val="20"/>
          <w:szCs w:val="20"/>
        </w:rPr>
        <w:t>Brasil tem maior carga tributária da América Latina.</w:t>
      </w:r>
      <w:r w:rsidRPr="008F15C2">
        <w:rPr>
          <w:sz w:val="20"/>
          <w:szCs w:val="20"/>
        </w:rPr>
        <w:t xml:space="preserve"> Revista Exame [online], p. 1-1. 16 mar. 2016. Disponível em: &lt;&amp;lt;https://exame.abril.com.br/economia/brasil-tem-maior-carga-tributaria-da-america-latina/&amp;gt&gt;;. Acesso em: junho. 2018.</w:t>
      </w:r>
    </w:p>
    <w:p w:rsidR="00F16F8C" w:rsidRPr="008F15C2" w:rsidRDefault="00F16F8C" w:rsidP="00FB2BD0">
      <w:pPr>
        <w:pStyle w:val="NormalWeb"/>
        <w:shd w:val="clear" w:color="auto" w:fill="FFFFFF"/>
        <w:textAlignment w:val="baseline"/>
        <w:rPr>
          <w:sz w:val="20"/>
          <w:szCs w:val="20"/>
        </w:rPr>
      </w:pPr>
      <w:r w:rsidRPr="008F15C2">
        <w:rPr>
          <w:sz w:val="20"/>
          <w:szCs w:val="20"/>
        </w:rPr>
        <w:t xml:space="preserve"> OLIVEIRA, L.M. et al. </w:t>
      </w:r>
      <w:r w:rsidRPr="008F15C2">
        <w:rPr>
          <w:b/>
          <w:sz w:val="20"/>
          <w:szCs w:val="20"/>
        </w:rPr>
        <w:t>Manual de contabilidade tributária: textos e testes com respostas</w:t>
      </w:r>
      <w:r w:rsidRPr="008F15C2">
        <w:rPr>
          <w:sz w:val="20"/>
          <w:szCs w:val="20"/>
        </w:rPr>
        <w:t>. 7. ed. São Paulo: Atlas, 2009.</w:t>
      </w:r>
    </w:p>
    <w:p w:rsidR="003069DA" w:rsidRPr="008F15C2" w:rsidRDefault="003069DA" w:rsidP="00FB2BD0">
      <w:pPr>
        <w:pStyle w:val="NormalWeb"/>
        <w:shd w:val="clear" w:color="auto" w:fill="FFFFFF"/>
        <w:textAlignment w:val="baseline"/>
        <w:rPr>
          <w:sz w:val="20"/>
          <w:szCs w:val="20"/>
        </w:rPr>
      </w:pPr>
      <w:r w:rsidRPr="008F15C2">
        <w:rPr>
          <w:sz w:val="20"/>
          <w:szCs w:val="20"/>
        </w:rPr>
        <w:t xml:space="preserve">OLIVEIRA, Luís Martins; CHIERENGATO, Renato; PEREZ JUNIOR, José Hernandez; GOMES, Marliete Bezerra. </w:t>
      </w:r>
      <w:r w:rsidRPr="008F15C2">
        <w:rPr>
          <w:b/>
          <w:sz w:val="20"/>
          <w:szCs w:val="20"/>
        </w:rPr>
        <w:t>Manual de contabilidade tributári</w:t>
      </w:r>
      <w:r w:rsidRPr="008F15C2">
        <w:rPr>
          <w:sz w:val="20"/>
          <w:szCs w:val="20"/>
        </w:rPr>
        <w:t>a.5e.d. São Paulo: Atlas, 2006.</w:t>
      </w:r>
    </w:p>
    <w:p w:rsidR="00E64CC4" w:rsidRPr="008F15C2" w:rsidRDefault="00E64CC4" w:rsidP="00FB2BD0">
      <w:pPr>
        <w:pStyle w:val="NormalWeb"/>
        <w:shd w:val="clear" w:color="auto" w:fill="FFFFFF"/>
        <w:textAlignment w:val="baseline"/>
        <w:rPr>
          <w:sz w:val="20"/>
          <w:szCs w:val="20"/>
        </w:rPr>
      </w:pPr>
      <w:r w:rsidRPr="008F15C2">
        <w:rPr>
          <w:sz w:val="20"/>
          <w:szCs w:val="20"/>
        </w:rPr>
        <w:t xml:space="preserve">RECEITA FEDERAL DO BRASIL, </w:t>
      </w:r>
      <w:r w:rsidRPr="008F15C2">
        <w:rPr>
          <w:b/>
          <w:sz w:val="20"/>
          <w:szCs w:val="20"/>
        </w:rPr>
        <w:t>O que é o Simples Nacional?</w:t>
      </w:r>
      <w:r w:rsidRPr="008F15C2">
        <w:rPr>
          <w:sz w:val="20"/>
          <w:szCs w:val="20"/>
        </w:rPr>
        <w:t>Disponível em: https://www8.receita.fazenda.gov.br/SimplesNacional/Documentos/Pagina.aspx?id=3. Acesso em:</w:t>
      </w:r>
      <w:r w:rsidR="003C526A" w:rsidRPr="008F15C2">
        <w:rPr>
          <w:sz w:val="20"/>
          <w:szCs w:val="20"/>
        </w:rPr>
        <w:t xml:space="preserve"> </w:t>
      </w:r>
      <w:r w:rsidRPr="008F15C2">
        <w:rPr>
          <w:sz w:val="20"/>
          <w:szCs w:val="20"/>
        </w:rPr>
        <w:t>junho de 2018.</w:t>
      </w:r>
    </w:p>
    <w:p w:rsidR="008604EC" w:rsidRPr="008F15C2" w:rsidRDefault="008604EC" w:rsidP="00FB2BD0">
      <w:pPr>
        <w:pStyle w:val="NormalWeb"/>
        <w:shd w:val="clear" w:color="auto" w:fill="FFFFFF"/>
        <w:textAlignment w:val="baseline"/>
        <w:rPr>
          <w:sz w:val="20"/>
          <w:szCs w:val="20"/>
        </w:rPr>
      </w:pPr>
      <w:r w:rsidRPr="008F15C2">
        <w:rPr>
          <w:sz w:val="20"/>
          <w:szCs w:val="20"/>
        </w:rPr>
        <w:t xml:space="preserve">SANTOS, Cleônimos dos; BARROS, Sidney Ferro Barros. </w:t>
      </w:r>
      <w:r w:rsidRPr="008F15C2">
        <w:rPr>
          <w:b/>
          <w:sz w:val="20"/>
          <w:szCs w:val="20"/>
        </w:rPr>
        <w:t>Manual do Super Simples.</w:t>
      </w:r>
      <w:r w:rsidRPr="008F15C2">
        <w:rPr>
          <w:sz w:val="20"/>
          <w:szCs w:val="20"/>
        </w:rPr>
        <w:t xml:space="preserve"> 2ed. São Paulo: IOB, 2009.</w:t>
      </w:r>
    </w:p>
    <w:p w:rsidR="00B34030" w:rsidRPr="008F15C2" w:rsidRDefault="00B34030" w:rsidP="00FB2BD0">
      <w:pPr>
        <w:pStyle w:val="NormalWeb"/>
        <w:shd w:val="clear" w:color="auto" w:fill="FFFFFF"/>
        <w:textAlignment w:val="baseline"/>
        <w:rPr>
          <w:sz w:val="20"/>
          <w:szCs w:val="20"/>
        </w:rPr>
      </w:pPr>
      <w:r w:rsidRPr="008F15C2">
        <w:rPr>
          <w:sz w:val="20"/>
          <w:szCs w:val="20"/>
        </w:rPr>
        <w:t xml:space="preserve">SEBRAE. </w:t>
      </w:r>
      <w:r w:rsidRPr="008F15C2">
        <w:rPr>
          <w:b/>
          <w:sz w:val="20"/>
          <w:szCs w:val="20"/>
        </w:rPr>
        <w:t>Micro e pequenas empresas geram 27% do PIB do Brasil</w:t>
      </w:r>
      <w:r w:rsidRPr="008F15C2">
        <w:rPr>
          <w:sz w:val="20"/>
          <w:szCs w:val="20"/>
        </w:rPr>
        <w:t xml:space="preserve">. Disponível em:   </w:t>
      </w:r>
      <w:hyperlink r:id="rId28" w:history="1">
        <w:r w:rsidR="00CB13EA" w:rsidRPr="008F15C2">
          <w:rPr>
            <w:rStyle w:val="Hyperlink"/>
            <w:sz w:val="20"/>
            <w:szCs w:val="20"/>
          </w:rPr>
          <w:t>http://www.sebrae.com.br/sites/PortalSebrae/ufs/mt/noticias/micro-e-pequenas-empresas-geram-27-do-pib-do-brasil,ad0fc70646467410VgnVCM2000003c74010aRCRD</w:t>
        </w:r>
      </w:hyperlink>
      <w:r w:rsidR="00CB13EA" w:rsidRPr="008F15C2">
        <w:rPr>
          <w:sz w:val="20"/>
          <w:szCs w:val="20"/>
        </w:rPr>
        <w:t>.</w:t>
      </w:r>
      <w:r w:rsidRPr="008F15C2">
        <w:rPr>
          <w:sz w:val="20"/>
          <w:szCs w:val="20"/>
        </w:rPr>
        <w:t xml:space="preserve"> Acesso em: 01 de junho de 2018.</w:t>
      </w:r>
    </w:p>
    <w:p w:rsidR="00841654" w:rsidRPr="008F15C2" w:rsidRDefault="00841654" w:rsidP="00841654">
      <w:pPr>
        <w:pStyle w:val="NormalWeb"/>
        <w:shd w:val="clear" w:color="auto" w:fill="FFFFFF"/>
        <w:textAlignment w:val="baseline"/>
        <w:rPr>
          <w:sz w:val="20"/>
          <w:szCs w:val="20"/>
        </w:rPr>
      </w:pPr>
      <w:r w:rsidRPr="008F15C2">
        <w:rPr>
          <w:sz w:val="20"/>
          <w:szCs w:val="20"/>
        </w:rPr>
        <w:t xml:space="preserve">SILVA, Karina dos Santos da. </w:t>
      </w:r>
      <w:r w:rsidRPr="008F15C2">
        <w:rPr>
          <w:b/>
          <w:sz w:val="20"/>
          <w:szCs w:val="20"/>
        </w:rPr>
        <w:t>QUAL O (B) ÔNUS DE PERMANECER TRIBUTADO PELO SIMPLES NACIONAL EM 2018?</w:t>
      </w:r>
      <w:r w:rsidRPr="008F15C2">
        <w:rPr>
          <w:sz w:val="20"/>
          <w:szCs w:val="20"/>
        </w:rPr>
        <w:t xml:space="preserve"> . 2017. 54p. Monografia do Curso de Ciências Contábeis. Universidade Federal de Santa Catarina, Florianópolis. Disponível em: </w:t>
      </w:r>
      <w:hyperlink r:id="rId29" w:history="1">
        <w:r w:rsidRPr="008F15C2">
          <w:rPr>
            <w:rStyle w:val="Hyperlink"/>
            <w:sz w:val="20"/>
            <w:szCs w:val="20"/>
          </w:rPr>
          <w:t>https://repositorio.ufsc.br/handle/123456789/183696</w:t>
        </w:r>
      </w:hyperlink>
      <w:r w:rsidRPr="008F15C2">
        <w:rPr>
          <w:sz w:val="20"/>
          <w:szCs w:val="20"/>
        </w:rPr>
        <w:t>. Acesso em: 22 de junho de 2018.</w:t>
      </w:r>
    </w:p>
    <w:p w:rsidR="0063307E" w:rsidRPr="008F15C2" w:rsidRDefault="0063307E" w:rsidP="00FB2BD0">
      <w:pPr>
        <w:pStyle w:val="NormalWeb"/>
        <w:shd w:val="clear" w:color="auto" w:fill="FFFFFF"/>
        <w:textAlignment w:val="baseline"/>
        <w:rPr>
          <w:sz w:val="20"/>
          <w:szCs w:val="20"/>
        </w:rPr>
      </w:pPr>
      <w:r w:rsidRPr="008F15C2">
        <w:rPr>
          <w:sz w:val="20"/>
          <w:szCs w:val="20"/>
        </w:rPr>
        <w:t>SOUZA, Flávio Marques</w:t>
      </w:r>
      <w:r w:rsidR="00A537FC" w:rsidRPr="008F15C2">
        <w:rPr>
          <w:sz w:val="20"/>
          <w:szCs w:val="20"/>
        </w:rPr>
        <w:t xml:space="preserve"> de</w:t>
      </w:r>
      <w:r w:rsidRPr="008F15C2">
        <w:rPr>
          <w:sz w:val="20"/>
          <w:szCs w:val="20"/>
        </w:rPr>
        <w:t xml:space="preserve">. Elaboração de um Comparativo para Evidenciar a Forma Menos Onerosa de Tributação em uma Empresa de Representação Comercial de Florianópolis/Sc. Disponível em: </w:t>
      </w:r>
      <w:hyperlink r:id="rId30" w:history="1">
        <w:r w:rsidR="00EA5821" w:rsidRPr="008F15C2">
          <w:rPr>
            <w:rStyle w:val="Hyperlink"/>
            <w:sz w:val="20"/>
            <w:szCs w:val="20"/>
          </w:rPr>
          <w:t>https://repositorio.ufsc.br/bitstream/handle/123456789/178649/Fl%C3%A1vio%20Marques%20de%20Souza.pdf.pdf?sequence=1</w:t>
        </w:r>
      </w:hyperlink>
      <w:r w:rsidR="00EA5821" w:rsidRPr="008F15C2">
        <w:rPr>
          <w:sz w:val="20"/>
          <w:szCs w:val="20"/>
        </w:rPr>
        <w:t>.</w:t>
      </w:r>
      <w:r w:rsidRPr="008F15C2">
        <w:rPr>
          <w:sz w:val="20"/>
          <w:szCs w:val="20"/>
        </w:rPr>
        <w:t xml:space="preserve"> A</w:t>
      </w:r>
      <w:r w:rsidR="0005702C" w:rsidRPr="008F15C2">
        <w:rPr>
          <w:sz w:val="20"/>
          <w:szCs w:val="20"/>
        </w:rPr>
        <w:t>cesso em</w:t>
      </w:r>
      <w:r w:rsidR="00841654" w:rsidRPr="008F15C2">
        <w:rPr>
          <w:sz w:val="20"/>
          <w:szCs w:val="20"/>
        </w:rPr>
        <w:t>:</w:t>
      </w:r>
      <w:r w:rsidR="0005702C" w:rsidRPr="008F15C2">
        <w:rPr>
          <w:sz w:val="20"/>
          <w:szCs w:val="20"/>
        </w:rPr>
        <w:t xml:space="preserve"> 22</w:t>
      </w:r>
      <w:r w:rsidRPr="008F15C2">
        <w:rPr>
          <w:sz w:val="20"/>
          <w:szCs w:val="20"/>
        </w:rPr>
        <w:t xml:space="preserve"> de junho de 2018.</w:t>
      </w:r>
    </w:p>
    <w:p w:rsidR="00EC0B6A" w:rsidRPr="008F15C2" w:rsidRDefault="00F16F8C" w:rsidP="00F067D4">
      <w:pPr>
        <w:pStyle w:val="NormalWeb"/>
        <w:shd w:val="clear" w:color="auto" w:fill="FFFFFF"/>
        <w:textAlignment w:val="baseline"/>
        <w:rPr>
          <w:sz w:val="20"/>
          <w:szCs w:val="20"/>
        </w:rPr>
        <w:sectPr w:rsidR="00EC0B6A" w:rsidRPr="008F15C2" w:rsidSect="00E43EA8">
          <w:headerReference w:type="default" r:id="rId31"/>
          <w:footerReference w:type="default" r:id="rId32"/>
          <w:pgSz w:w="11906" w:h="16838"/>
          <w:pgMar w:top="1701" w:right="1134" w:bottom="1134" w:left="1701" w:header="142" w:footer="0" w:gutter="0"/>
          <w:cols w:space="708"/>
          <w:docGrid w:linePitch="360"/>
        </w:sectPr>
      </w:pPr>
      <w:r w:rsidRPr="008F15C2">
        <w:rPr>
          <w:sz w:val="20"/>
          <w:szCs w:val="20"/>
        </w:rPr>
        <w:t>ZANLUCA, Júlio César.</w:t>
      </w:r>
      <w:r w:rsidR="008D43DD" w:rsidRPr="008F15C2">
        <w:rPr>
          <w:sz w:val="20"/>
          <w:szCs w:val="20"/>
        </w:rPr>
        <w:t xml:space="preserve"> </w:t>
      </w:r>
      <w:r w:rsidRPr="008F15C2">
        <w:rPr>
          <w:b/>
          <w:sz w:val="20"/>
          <w:szCs w:val="20"/>
        </w:rPr>
        <w:t>PLANEJAMENTO TRIBUTÁRIO PARA 2017</w:t>
      </w:r>
      <w:r w:rsidRPr="008F15C2">
        <w:rPr>
          <w:sz w:val="20"/>
          <w:szCs w:val="20"/>
        </w:rPr>
        <w:t>.</w:t>
      </w:r>
      <w:r w:rsidR="008D43DD" w:rsidRPr="008F15C2">
        <w:rPr>
          <w:sz w:val="20"/>
          <w:szCs w:val="20"/>
        </w:rPr>
        <w:t xml:space="preserve"> </w:t>
      </w:r>
      <w:r w:rsidRPr="008F15C2">
        <w:rPr>
          <w:sz w:val="20"/>
          <w:szCs w:val="20"/>
        </w:rPr>
        <w:t>Disponível em:</w:t>
      </w:r>
      <w:r w:rsidR="00FB2BD0" w:rsidRPr="008F15C2">
        <w:rPr>
          <w:sz w:val="20"/>
          <w:szCs w:val="20"/>
        </w:rPr>
        <w:t xml:space="preserve"> </w:t>
      </w:r>
      <w:r w:rsidRPr="008F15C2">
        <w:rPr>
          <w:sz w:val="20"/>
          <w:szCs w:val="20"/>
        </w:rPr>
        <w:t>&amp;lt;http://www.portaltributario.com.br/planejamento.htm&amp;gt;. Acesso em: junho. 2018</w:t>
      </w:r>
      <w:r w:rsidR="008C2FDB" w:rsidRPr="008F15C2">
        <w:rPr>
          <w:sz w:val="20"/>
          <w:szCs w:val="20"/>
        </w:rPr>
        <w:t>.</w:t>
      </w:r>
    </w:p>
    <w:p w:rsidR="00BD096A" w:rsidRDefault="008C2FDB" w:rsidP="004F170F">
      <w:pPr>
        <w:pStyle w:val="Ttulo2"/>
        <w:numPr>
          <w:ilvl w:val="0"/>
          <w:numId w:val="0"/>
        </w:numPr>
        <w:jc w:val="center"/>
        <w:rPr>
          <w:szCs w:val="24"/>
        </w:rPr>
      </w:pPr>
      <w:r w:rsidRPr="004F170F">
        <w:rPr>
          <w:szCs w:val="24"/>
        </w:rPr>
        <w:lastRenderedPageBreak/>
        <w:t>Ap</w:t>
      </w:r>
      <w:r w:rsidR="004F170F" w:rsidRPr="004F170F">
        <w:rPr>
          <w:szCs w:val="24"/>
        </w:rPr>
        <w:t xml:space="preserve">êndice a </w:t>
      </w:r>
    </w:p>
    <w:p w:rsidR="005C0ACF" w:rsidRPr="005C0ACF" w:rsidRDefault="005C0ACF" w:rsidP="005C0ACF"/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96"/>
        <w:gridCol w:w="141"/>
        <w:gridCol w:w="858"/>
        <w:gridCol w:w="842"/>
        <w:gridCol w:w="901"/>
        <w:gridCol w:w="900"/>
        <w:gridCol w:w="841"/>
        <w:gridCol w:w="900"/>
        <w:gridCol w:w="941"/>
        <w:gridCol w:w="900"/>
        <w:gridCol w:w="900"/>
        <w:gridCol w:w="941"/>
        <w:gridCol w:w="900"/>
        <w:gridCol w:w="941"/>
        <w:gridCol w:w="900"/>
        <w:gridCol w:w="900"/>
        <w:gridCol w:w="941"/>
      </w:tblGrid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47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D096A" w:rsidRPr="00BD096A" w:rsidRDefault="007F4ADB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Tabela 5.</w:t>
            </w:r>
            <w:r w:rsidR="00BD096A"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C</w:t>
            </w:r>
            <w:r w:rsidR="004F170F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oleta de dados das empresas e</w:t>
            </w:r>
            <w:r w:rsidR="00BD096A"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cálculo do</w:t>
            </w:r>
            <w:r w:rsidR="004F170F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  <w:r w:rsidR="00BD096A"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imposto</w:t>
            </w:r>
            <w:r w:rsidR="004F170F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 a pagar</w:t>
            </w:r>
            <w:r w:rsidR="00BD096A"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(Em R$)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48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F2E2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Alfa</w:t>
            </w:r>
          </w:p>
        </w:tc>
        <w:tc>
          <w:tcPr>
            <w:tcW w:w="458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F2E2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Beta</w:t>
            </w:r>
          </w:p>
        </w:tc>
        <w:tc>
          <w:tcPr>
            <w:tcW w:w="458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DF2E2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Gama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F2E2"/>
            <w:hideMark/>
          </w:tcPr>
          <w:p w:rsidR="005F41F1" w:rsidRPr="00DB1A30" w:rsidRDefault="005F41F1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Lei Complementar 123/2006</w:t>
            </w:r>
          </w:p>
        </w:tc>
        <w:tc>
          <w:tcPr>
            <w:tcW w:w="26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F2E2"/>
            <w:hideMark/>
          </w:tcPr>
          <w:p w:rsidR="002E249A" w:rsidRPr="00DB1A30" w:rsidRDefault="002E249A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Lei Complementar 155/2016</w:t>
            </w:r>
          </w:p>
        </w:tc>
        <w:tc>
          <w:tcPr>
            <w:tcW w:w="18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F2E2"/>
            <w:hideMark/>
          </w:tcPr>
          <w:p w:rsidR="00E44B03" w:rsidRPr="00DB1A30" w:rsidRDefault="00E44B03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Lei Complementar 123/2006</w:t>
            </w:r>
          </w:p>
        </w:tc>
        <w:tc>
          <w:tcPr>
            <w:tcW w:w="27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F2E2"/>
            <w:hideMark/>
          </w:tcPr>
          <w:p w:rsidR="002E249A" w:rsidRPr="00DB1A30" w:rsidRDefault="002E249A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Lei Complementar 155/2016</w:t>
            </w:r>
          </w:p>
        </w:tc>
        <w:tc>
          <w:tcPr>
            <w:tcW w:w="18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F2E2"/>
            <w:hideMark/>
          </w:tcPr>
          <w:p w:rsidR="00E44B03" w:rsidRPr="00DB1A30" w:rsidRDefault="00E44B03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Lei Complementar 123/2006</w:t>
            </w:r>
          </w:p>
        </w:tc>
        <w:tc>
          <w:tcPr>
            <w:tcW w:w="27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DF2E2"/>
            <w:hideMark/>
          </w:tcPr>
          <w:p w:rsidR="002E249A" w:rsidRPr="00DB1A30" w:rsidRDefault="002E249A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Lei Complementar 155/2016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E2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Alíquota Nominal LC 123/2006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F2E2"/>
            <w:hideMark/>
          </w:tcPr>
          <w:p w:rsidR="00BD096A" w:rsidRPr="00DB1A30" w:rsidRDefault="00BD096A" w:rsidP="00756677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Imposto devido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E2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Alíquota Nominal LC 155/2016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DF2E2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Alíquota Efetiva LC 155/2016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F2E2"/>
            <w:hideMark/>
          </w:tcPr>
          <w:p w:rsidR="00756677" w:rsidRPr="00DB1A30" w:rsidRDefault="00756677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Imposto devido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E2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Alíquota Nominal LC 123/2006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F2E2"/>
            <w:hideMark/>
          </w:tcPr>
          <w:p w:rsidR="00BD096A" w:rsidRPr="00DB1A30" w:rsidRDefault="00BD096A" w:rsidP="00756677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Imposto devido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E2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Alíquota Nominal LC 155/2016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DF2E2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Alíquota Efetiva LC 155/2016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F2E2"/>
            <w:hideMark/>
          </w:tcPr>
          <w:p w:rsidR="00BD096A" w:rsidRPr="00DB1A30" w:rsidRDefault="00BD096A" w:rsidP="00741098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Imposto devido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E2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Alíquota Nominal LC 123/2006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F2E2"/>
            <w:hideMark/>
          </w:tcPr>
          <w:p w:rsidR="00BD096A" w:rsidRPr="00DB1A30" w:rsidRDefault="00BD096A" w:rsidP="00741098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Imposto devido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E2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Alíquota Nominal LC 155/2016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DF2E2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Alíquota Efetiva LC 155/2016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E2"/>
            <w:hideMark/>
          </w:tcPr>
          <w:p w:rsidR="00BD096A" w:rsidRPr="00DB1A30" w:rsidRDefault="00BD096A" w:rsidP="00756677">
            <w:pPr>
              <w:spacing w:after="0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Imposto devido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32,34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32,34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1.623,12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5,54%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1.643,50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42,34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42,34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1.550,43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5,54%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1.570,48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42,00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42,00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1.560,33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5,56%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1.585,19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38,08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38,08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1.631,42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5,56%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1.659,70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42,10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42,10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1.598,51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5,6%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1.628,21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45,84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45,84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1.814,27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5,60%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1.858,17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41,70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41,70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2.025,50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5,64%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2.088,85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47,54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47,54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2.469,48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5,72%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2.064,79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45,62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45,62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397,46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397,46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1.837,97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5,76%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1.548,89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48,16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48,16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638,67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638,67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2.278,36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5,83%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1.941,39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47,52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47,52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1.714,82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4,71%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2E249A" w:rsidRPr="00DB1A3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476,56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2.553,60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5,93%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2.214,96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56,52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56,52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827,88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4,56%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690,15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4.953,74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6,11%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4.427,46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50,84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50,84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295,04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4,12%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222,22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2.563,80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6,21%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2.329,28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45,14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45,14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402,35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402,35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3.149,32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6,27%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2.888,73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58,46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58,46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253,16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253,16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3.330,26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6,40%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3.116,83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43,46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43,46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252,39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252,39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2.882,84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6,54%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2.754,41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55,84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55,84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530,68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530,68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3.033,15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6,61%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2.931,78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53,02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53,02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74,90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74,9</w:t>
            </w:r>
            <w:r w:rsidR="002E249A" w:rsidRPr="00DB1A3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3.117,20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6,70%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3.053,25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60,24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60,24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112,35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112,35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3.532,31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6,77%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3.495,20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63,60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63,60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168,52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168,52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3.052,31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3.054,37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43,06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43,06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836,42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836,42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2.570,71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6,89%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2.588,48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53,08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53,08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789,18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789,18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7,54%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3.472,77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6,94%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3.195,96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58,18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58,18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1.034,00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131BE" w:rsidRPr="00DB1A3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034</w:t>
            </w:r>
            <w:r w:rsidR="00A131BE" w:rsidRPr="00DB1A3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7,54%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3.642,10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7,00%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3.380,26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69,56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69,56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3.782,76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4,35%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r w:rsidR="002E249A" w:rsidRPr="00DB1A3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008,23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7,54%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5.786,64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7,05%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5.407,91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61,69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61,69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903,94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4,37%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722,16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7,54%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3.660,68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7,07%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3.430,14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52,53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52,54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1.272,83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4,60%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2E249A" w:rsidRPr="00DB1A3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070,39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7,54%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3.235,97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7,11%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3.052,11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60,35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60,34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1.718,96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4,84%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2E249A" w:rsidRPr="00DB1A3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520,98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7,54%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4.000,83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7,10%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3.766,65</w:t>
            </w:r>
          </w:p>
        </w:tc>
      </w:tr>
      <w:tr w:rsidR="002E249A" w:rsidRPr="00BD096A" w:rsidTr="00742441">
        <w:trPr>
          <w:trHeight w:val="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53,84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53,84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5,47%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1.592,66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7,30%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5,05%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2E249A" w:rsidRPr="00DB1A3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470,37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7,54%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3.480,80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7,12%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3.285,39</w:t>
            </w:r>
          </w:p>
        </w:tc>
      </w:tr>
      <w:tr w:rsidR="002E249A" w:rsidRPr="00BD096A" w:rsidTr="00742441">
        <w:trPr>
          <w:trHeight w:val="20"/>
        </w:trPr>
        <w:tc>
          <w:tcPr>
            <w:tcW w:w="6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Total </w:t>
            </w:r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1.412,65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1.412,65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17.598,97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15.671,14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80.408,41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BD096A" w:rsidRPr="00BD096A" w:rsidRDefault="00BD096A" w:rsidP="00BD096A">
            <w:pPr>
              <w:spacing w:after="0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BD096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75.962,35</w:t>
            </w:r>
          </w:p>
        </w:tc>
      </w:tr>
    </w:tbl>
    <w:p w:rsidR="00EC0B6A" w:rsidRDefault="00EC0B6A" w:rsidP="00A17198">
      <w:pPr>
        <w:pStyle w:val="NormalWeb"/>
        <w:shd w:val="clear" w:color="auto" w:fill="FFFFFF"/>
        <w:spacing w:line="360" w:lineRule="auto"/>
        <w:textAlignment w:val="baseline"/>
      </w:pPr>
    </w:p>
    <w:sectPr w:rsidR="00EC0B6A" w:rsidSect="00EC0B6A">
      <w:pgSz w:w="16838" w:h="11906" w:orient="landscape"/>
      <w:pgMar w:top="1134" w:right="1134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69A" w:rsidRDefault="001E369A" w:rsidP="00395969">
      <w:pPr>
        <w:spacing w:after="0"/>
      </w:pPr>
      <w:r>
        <w:separator/>
      </w:r>
    </w:p>
  </w:endnote>
  <w:endnote w:type="continuationSeparator" w:id="1">
    <w:p w:rsidR="001E369A" w:rsidRDefault="001E369A" w:rsidP="003959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13778"/>
      <w:docPartObj>
        <w:docPartGallery w:val="Page Numbers (Bottom of Page)"/>
        <w:docPartUnique/>
      </w:docPartObj>
    </w:sdtPr>
    <w:sdtContent>
      <w:p w:rsidR="006118AF" w:rsidRDefault="00917899" w:rsidP="00917899">
        <w:pPr>
          <w:pStyle w:val="Rodap"/>
          <w:jc w:val="center"/>
        </w:pPr>
        <w:r w:rsidRPr="00917899">
          <w:rPr>
            <w:noProof/>
            <w:lang w:eastAsia="pt-BR"/>
          </w:rPr>
          <w:drawing>
            <wp:inline distT="0" distB="0" distL="0" distR="0">
              <wp:extent cx="3898900" cy="972820"/>
              <wp:effectExtent l="19050" t="0" r="6350" b="0"/>
              <wp:docPr id="11" name="Imagem 2" descr="logosartig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2" descr="logosartigos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98900" cy="972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fldSimple w:instr=" PAGE   \* MERGEFORMAT ">
          <w:r w:rsidR="00E01905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69A" w:rsidRDefault="001E369A" w:rsidP="00395969">
      <w:pPr>
        <w:spacing w:after="0"/>
      </w:pPr>
      <w:r>
        <w:separator/>
      </w:r>
    </w:p>
  </w:footnote>
  <w:footnote w:type="continuationSeparator" w:id="1">
    <w:p w:rsidR="001E369A" w:rsidRDefault="001E369A" w:rsidP="0039596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8AF" w:rsidRDefault="006118AF" w:rsidP="00934A8C">
    <w:pPr>
      <w:pStyle w:val="Cabealho"/>
      <w:jc w:val="center"/>
    </w:pPr>
    <w:r w:rsidRPr="006118AF">
      <w:rPr>
        <w:noProof/>
        <w:lang w:eastAsia="pt-BR"/>
      </w:rPr>
      <w:drawing>
        <wp:inline distT="0" distB="0" distL="0" distR="0">
          <wp:extent cx="4784725" cy="1111250"/>
          <wp:effectExtent l="0" t="0" r="0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0996" t="14440" r="21957" b="50926"/>
                  <a:stretch>
                    <a:fillRect/>
                  </a:stretch>
                </pic:blipFill>
                <pic:spPr bwMode="auto">
                  <a:xfrm>
                    <a:off x="0" y="0"/>
                    <a:ext cx="4785224" cy="11113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263"/>
    <w:multiLevelType w:val="multilevel"/>
    <w:tmpl w:val="839EAF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u w:val="none"/>
      </w:rPr>
    </w:lvl>
  </w:abstractNum>
  <w:abstractNum w:abstractNumId="1">
    <w:nsid w:val="09372B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2F727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286880"/>
    <w:multiLevelType w:val="multilevel"/>
    <w:tmpl w:val="839EAF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u w:val="none"/>
      </w:rPr>
    </w:lvl>
  </w:abstractNum>
  <w:abstractNum w:abstractNumId="5">
    <w:nsid w:val="33311257"/>
    <w:multiLevelType w:val="hybridMultilevel"/>
    <w:tmpl w:val="C42E9C34"/>
    <w:lvl w:ilvl="0" w:tplc="23E8C0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61D45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7361EF"/>
    <w:multiLevelType w:val="hybridMultilevel"/>
    <w:tmpl w:val="641E3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A04CD4"/>
    <w:rsid w:val="000013A9"/>
    <w:rsid w:val="00001EE6"/>
    <w:rsid w:val="00010DC4"/>
    <w:rsid w:val="000157E1"/>
    <w:rsid w:val="000174B0"/>
    <w:rsid w:val="00023231"/>
    <w:rsid w:val="0002344E"/>
    <w:rsid w:val="00025D86"/>
    <w:rsid w:val="00027E33"/>
    <w:rsid w:val="00034200"/>
    <w:rsid w:val="00042757"/>
    <w:rsid w:val="00043260"/>
    <w:rsid w:val="000432A0"/>
    <w:rsid w:val="0005557E"/>
    <w:rsid w:val="000568CF"/>
    <w:rsid w:val="0005702C"/>
    <w:rsid w:val="00061B31"/>
    <w:rsid w:val="00061BAA"/>
    <w:rsid w:val="00063FF7"/>
    <w:rsid w:val="00067BDC"/>
    <w:rsid w:val="00067ED9"/>
    <w:rsid w:val="00074BD3"/>
    <w:rsid w:val="00087ECF"/>
    <w:rsid w:val="0009182E"/>
    <w:rsid w:val="00093F2C"/>
    <w:rsid w:val="00097F57"/>
    <w:rsid w:val="000A0DF2"/>
    <w:rsid w:val="000A1DE9"/>
    <w:rsid w:val="000A36BC"/>
    <w:rsid w:val="000A43A6"/>
    <w:rsid w:val="000B1A54"/>
    <w:rsid w:val="000B28C8"/>
    <w:rsid w:val="000B4557"/>
    <w:rsid w:val="000B47C4"/>
    <w:rsid w:val="000C26D6"/>
    <w:rsid w:val="000C7214"/>
    <w:rsid w:val="000D1291"/>
    <w:rsid w:val="000D1656"/>
    <w:rsid w:val="000D566F"/>
    <w:rsid w:val="000D68DA"/>
    <w:rsid w:val="000E60FC"/>
    <w:rsid w:val="000E7AC8"/>
    <w:rsid w:val="000F07D3"/>
    <w:rsid w:val="000F6C03"/>
    <w:rsid w:val="00100227"/>
    <w:rsid w:val="00101DE1"/>
    <w:rsid w:val="00103E6F"/>
    <w:rsid w:val="00106400"/>
    <w:rsid w:val="001209AC"/>
    <w:rsid w:val="00126624"/>
    <w:rsid w:val="00127DC8"/>
    <w:rsid w:val="00131D0F"/>
    <w:rsid w:val="00132840"/>
    <w:rsid w:val="00142C4C"/>
    <w:rsid w:val="00146545"/>
    <w:rsid w:val="0015012E"/>
    <w:rsid w:val="001616E2"/>
    <w:rsid w:val="00170183"/>
    <w:rsid w:val="00174939"/>
    <w:rsid w:val="00177C53"/>
    <w:rsid w:val="001806DD"/>
    <w:rsid w:val="00180F24"/>
    <w:rsid w:val="00184B9B"/>
    <w:rsid w:val="00184C9C"/>
    <w:rsid w:val="00187CF4"/>
    <w:rsid w:val="001A17E7"/>
    <w:rsid w:val="001A3166"/>
    <w:rsid w:val="001A36EF"/>
    <w:rsid w:val="001A3AB9"/>
    <w:rsid w:val="001A6E82"/>
    <w:rsid w:val="001B14C7"/>
    <w:rsid w:val="001B5C07"/>
    <w:rsid w:val="001C7836"/>
    <w:rsid w:val="001D1118"/>
    <w:rsid w:val="001D5928"/>
    <w:rsid w:val="001E1B7E"/>
    <w:rsid w:val="001E369A"/>
    <w:rsid w:val="001E5C73"/>
    <w:rsid w:val="001F3726"/>
    <w:rsid w:val="001F71DC"/>
    <w:rsid w:val="001F7531"/>
    <w:rsid w:val="001F75FF"/>
    <w:rsid w:val="00206AF3"/>
    <w:rsid w:val="00207DF3"/>
    <w:rsid w:val="00210ACD"/>
    <w:rsid w:val="00211374"/>
    <w:rsid w:val="00216F56"/>
    <w:rsid w:val="00221E88"/>
    <w:rsid w:val="00223657"/>
    <w:rsid w:val="00234473"/>
    <w:rsid w:val="00234B40"/>
    <w:rsid w:val="00240C02"/>
    <w:rsid w:val="0024675C"/>
    <w:rsid w:val="00254B24"/>
    <w:rsid w:val="002566D1"/>
    <w:rsid w:val="00261CA7"/>
    <w:rsid w:val="002647CF"/>
    <w:rsid w:val="00273641"/>
    <w:rsid w:val="00273C5A"/>
    <w:rsid w:val="00277258"/>
    <w:rsid w:val="00277F00"/>
    <w:rsid w:val="0028542C"/>
    <w:rsid w:val="00286209"/>
    <w:rsid w:val="00295EB2"/>
    <w:rsid w:val="002A2E55"/>
    <w:rsid w:val="002A2F1D"/>
    <w:rsid w:val="002A4093"/>
    <w:rsid w:val="002C5460"/>
    <w:rsid w:val="002D3244"/>
    <w:rsid w:val="002D72FC"/>
    <w:rsid w:val="002E0F79"/>
    <w:rsid w:val="002E249A"/>
    <w:rsid w:val="002F184A"/>
    <w:rsid w:val="002F35BB"/>
    <w:rsid w:val="002F5492"/>
    <w:rsid w:val="002F5EF4"/>
    <w:rsid w:val="003003A5"/>
    <w:rsid w:val="003013AD"/>
    <w:rsid w:val="003069DA"/>
    <w:rsid w:val="003075B9"/>
    <w:rsid w:val="003117DC"/>
    <w:rsid w:val="00316566"/>
    <w:rsid w:val="00316DC4"/>
    <w:rsid w:val="0032022C"/>
    <w:rsid w:val="00320BC8"/>
    <w:rsid w:val="00323AAC"/>
    <w:rsid w:val="00323F55"/>
    <w:rsid w:val="00324D99"/>
    <w:rsid w:val="00325C7D"/>
    <w:rsid w:val="00326F3C"/>
    <w:rsid w:val="00337FB4"/>
    <w:rsid w:val="00340319"/>
    <w:rsid w:val="00340A75"/>
    <w:rsid w:val="003457C4"/>
    <w:rsid w:val="00352A3C"/>
    <w:rsid w:val="00353D2F"/>
    <w:rsid w:val="003600CD"/>
    <w:rsid w:val="00360227"/>
    <w:rsid w:val="0036229A"/>
    <w:rsid w:val="00363ABE"/>
    <w:rsid w:val="003716B8"/>
    <w:rsid w:val="00373EC4"/>
    <w:rsid w:val="00376C97"/>
    <w:rsid w:val="00380E79"/>
    <w:rsid w:val="003817F3"/>
    <w:rsid w:val="0038274E"/>
    <w:rsid w:val="00383BC1"/>
    <w:rsid w:val="0038405F"/>
    <w:rsid w:val="00384480"/>
    <w:rsid w:val="00386215"/>
    <w:rsid w:val="00391415"/>
    <w:rsid w:val="0039251E"/>
    <w:rsid w:val="00393927"/>
    <w:rsid w:val="00395969"/>
    <w:rsid w:val="003A3896"/>
    <w:rsid w:val="003A71ED"/>
    <w:rsid w:val="003B0293"/>
    <w:rsid w:val="003B092E"/>
    <w:rsid w:val="003B0E97"/>
    <w:rsid w:val="003B47A6"/>
    <w:rsid w:val="003B4F3D"/>
    <w:rsid w:val="003B6D7B"/>
    <w:rsid w:val="003B6F8A"/>
    <w:rsid w:val="003B7E49"/>
    <w:rsid w:val="003C2114"/>
    <w:rsid w:val="003C526A"/>
    <w:rsid w:val="003C53C2"/>
    <w:rsid w:val="003C6C6C"/>
    <w:rsid w:val="003D1EF0"/>
    <w:rsid w:val="003D6D88"/>
    <w:rsid w:val="003E09FE"/>
    <w:rsid w:val="003E11D5"/>
    <w:rsid w:val="003E30F5"/>
    <w:rsid w:val="003F0207"/>
    <w:rsid w:val="003F0C22"/>
    <w:rsid w:val="003F3299"/>
    <w:rsid w:val="0040713A"/>
    <w:rsid w:val="00407C64"/>
    <w:rsid w:val="004129BA"/>
    <w:rsid w:val="004214CA"/>
    <w:rsid w:val="00421908"/>
    <w:rsid w:val="00432D5C"/>
    <w:rsid w:val="0043631D"/>
    <w:rsid w:val="0044008C"/>
    <w:rsid w:val="00441EB9"/>
    <w:rsid w:val="0044293E"/>
    <w:rsid w:val="00447C3A"/>
    <w:rsid w:val="00450316"/>
    <w:rsid w:val="00451715"/>
    <w:rsid w:val="004616DD"/>
    <w:rsid w:val="00462BCA"/>
    <w:rsid w:val="004641E0"/>
    <w:rsid w:val="00472AF5"/>
    <w:rsid w:val="00474F28"/>
    <w:rsid w:val="00475E35"/>
    <w:rsid w:val="00482485"/>
    <w:rsid w:val="00496126"/>
    <w:rsid w:val="0049619D"/>
    <w:rsid w:val="004A174C"/>
    <w:rsid w:val="004A37ED"/>
    <w:rsid w:val="004A6C8C"/>
    <w:rsid w:val="004A7419"/>
    <w:rsid w:val="004B2547"/>
    <w:rsid w:val="004C19D5"/>
    <w:rsid w:val="004C1B8A"/>
    <w:rsid w:val="004C48DE"/>
    <w:rsid w:val="004D5287"/>
    <w:rsid w:val="004D57EC"/>
    <w:rsid w:val="004E2080"/>
    <w:rsid w:val="004E44BF"/>
    <w:rsid w:val="004E4F3C"/>
    <w:rsid w:val="004F170F"/>
    <w:rsid w:val="004F42C4"/>
    <w:rsid w:val="004F46A8"/>
    <w:rsid w:val="00500F69"/>
    <w:rsid w:val="00504478"/>
    <w:rsid w:val="0050450D"/>
    <w:rsid w:val="00506F72"/>
    <w:rsid w:val="00507A55"/>
    <w:rsid w:val="00511E4B"/>
    <w:rsid w:val="00515473"/>
    <w:rsid w:val="0051744E"/>
    <w:rsid w:val="00517C7E"/>
    <w:rsid w:val="005251CC"/>
    <w:rsid w:val="0052532F"/>
    <w:rsid w:val="00526969"/>
    <w:rsid w:val="00526BBE"/>
    <w:rsid w:val="00534AB5"/>
    <w:rsid w:val="005375B3"/>
    <w:rsid w:val="00544590"/>
    <w:rsid w:val="00546FB4"/>
    <w:rsid w:val="00550CED"/>
    <w:rsid w:val="00555092"/>
    <w:rsid w:val="00561104"/>
    <w:rsid w:val="00562786"/>
    <w:rsid w:val="005729EA"/>
    <w:rsid w:val="00576D1F"/>
    <w:rsid w:val="00587C9A"/>
    <w:rsid w:val="00594FF3"/>
    <w:rsid w:val="005A0542"/>
    <w:rsid w:val="005A0A06"/>
    <w:rsid w:val="005B2B20"/>
    <w:rsid w:val="005B7DDB"/>
    <w:rsid w:val="005C0ACF"/>
    <w:rsid w:val="005C25DD"/>
    <w:rsid w:val="005C44BB"/>
    <w:rsid w:val="005C7E63"/>
    <w:rsid w:val="005D0DFA"/>
    <w:rsid w:val="005D11FF"/>
    <w:rsid w:val="005D37CA"/>
    <w:rsid w:val="005E59B5"/>
    <w:rsid w:val="005F1D40"/>
    <w:rsid w:val="005F32C8"/>
    <w:rsid w:val="005F41F1"/>
    <w:rsid w:val="005F4881"/>
    <w:rsid w:val="00601F21"/>
    <w:rsid w:val="006076A1"/>
    <w:rsid w:val="00611614"/>
    <w:rsid w:val="006118AF"/>
    <w:rsid w:val="00620452"/>
    <w:rsid w:val="006212E7"/>
    <w:rsid w:val="00622127"/>
    <w:rsid w:val="00632B52"/>
    <w:rsid w:val="00632CA2"/>
    <w:rsid w:val="0063307E"/>
    <w:rsid w:val="00643DDD"/>
    <w:rsid w:val="00645E2F"/>
    <w:rsid w:val="006462B0"/>
    <w:rsid w:val="006517B9"/>
    <w:rsid w:val="00654CC1"/>
    <w:rsid w:val="00656555"/>
    <w:rsid w:val="00657BE6"/>
    <w:rsid w:val="0066231E"/>
    <w:rsid w:val="00664CF7"/>
    <w:rsid w:val="0067065F"/>
    <w:rsid w:val="00671663"/>
    <w:rsid w:val="00671DFB"/>
    <w:rsid w:val="006766B9"/>
    <w:rsid w:val="00683B85"/>
    <w:rsid w:val="00685AFC"/>
    <w:rsid w:val="00690EA3"/>
    <w:rsid w:val="00695F33"/>
    <w:rsid w:val="006962DA"/>
    <w:rsid w:val="00697246"/>
    <w:rsid w:val="006975A4"/>
    <w:rsid w:val="006A5225"/>
    <w:rsid w:val="006A7791"/>
    <w:rsid w:val="006B23A7"/>
    <w:rsid w:val="006B2CA2"/>
    <w:rsid w:val="006B4325"/>
    <w:rsid w:val="006B685D"/>
    <w:rsid w:val="006C05DF"/>
    <w:rsid w:val="006C320D"/>
    <w:rsid w:val="006C430D"/>
    <w:rsid w:val="006D2295"/>
    <w:rsid w:val="006D49B2"/>
    <w:rsid w:val="006D5B13"/>
    <w:rsid w:val="006D6F59"/>
    <w:rsid w:val="006D76E3"/>
    <w:rsid w:val="006E1ECF"/>
    <w:rsid w:val="006E41E8"/>
    <w:rsid w:val="006E780A"/>
    <w:rsid w:val="006F0E22"/>
    <w:rsid w:val="006F5D14"/>
    <w:rsid w:val="00700BDA"/>
    <w:rsid w:val="00702083"/>
    <w:rsid w:val="0070226F"/>
    <w:rsid w:val="00702472"/>
    <w:rsid w:val="00704024"/>
    <w:rsid w:val="00706442"/>
    <w:rsid w:val="007065CF"/>
    <w:rsid w:val="0071089E"/>
    <w:rsid w:val="0071183D"/>
    <w:rsid w:val="00712A6A"/>
    <w:rsid w:val="007150D8"/>
    <w:rsid w:val="007156D1"/>
    <w:rsid w:val="00723240"/>
    <w:rsid w:val="00724196"/>
    <w:rsid w:val="00724F02"/>
    <w:rsid w:val="007259E0"/>
    <w:rsid w:val="007268A3"/>
    <w:rsid w:val="007362AA"/>
    <w:rsid w:val="00736EA7"/>
    <w:rsid w:val="00737E7D"/>
    <w:rsid w:val="00741098"/>
    <w:rsid w:val="00742441"/>
    <w:rsid w:val="00744697"/>
    <w:rsid w:val="00750A59"/>
    <w:rsid w:val="0075232F"/>
    <w:rsid w:val="007561A8"/>
    <w:rsid w:val="00756677"/>
    <w:rsid w:val="00762D32"/>
    <w:rsid w:val="0076600E"/>
    <w:rsid w:val="007700FD"/>
    <w:rsid w:val="00775386"/>
    <w:rsid w:val="007760B7"/>
    <w:rsid w:val="00785D71"/>
    <w:rsid w:val="0078765E"/>
    <w:rsid w:val="0079310B"/>
    <w:rsid w:val="00794569"/>
    <w:rsid w:val="0079551A"/>
    <w:rsid w:val="0079679B"/>
    <w:rsid w:val="00797AD1"/>
    <w:rsid w:val="00797B46"/>
    <w:rsid w:val="007A4E7D"/>
    <w:rsid w:val="007B114A"/>
    <w:rsid w:val="007B2D72"/>
    <w:rsid w:val="007B30A1"/>
    <w:rsid w:val="007B42BB"/>
    <w:rsid w:val="007C1423"/>
    <w:rsid w:val="007C30CF"/>
    <w:rsid w:val="007C3602"/>
    <w:rsid w:val="007D0C0F"/>
    <w:rsid w:val="007D2EC7"/>
    <w:rsid w:val="007D49B9"/>
    <w:rsid w:val="007D68AD"/>
    <w:rsid w:val="007D77EF"/>
    <w:rsid w:val="007E6C03"/>
    <w:rsid w:val="007F0326"/>
    <w:rsid w:val="007F4ADB"/>
    <w:rsid w:val="007F5EB6"/>
    <w:rsid w:val="00801026"/>
    <w:rsid w:val="00803A42"/>
    <w:rsid w:val="00804CC5"/>
    <w:rsid w:val="008055C7"/>
    <w:rsid w:val="00807130"/>
    <w:rsid w:val="00815400"/>
    <w:rsid w:val="008173EA"/>
    <w:rsid w:val="00830558"/>
    <w:rsid w:val="008372F5"/>
    <w:rsid w:val="00841654"/>
    <w:rsid w:val="00845C03"/>
    <w:rsid w:val="008479E4"/>
    <w:rsid w:val="00852B5A"/>
    <w:rsid w:val="00852C6F"/>
    <w:rsid w:val="00853217"/>
    <w:rsid w:val="008538CF"/>
    <w:rsid w:val="00854E35"/>
    <w:rsid w:val="00855AEF"/>
    <w:rsid w:val="0085736A"/>
    <w:rsid w:val="00857389"/>
    <w:rsid w:val="00857C96"/>
    <w:rsid w:val="008604EC"/>
    <w:rsid w:val="008610D6"/>
    <w:rsid w:val="00863BCA"/>
    <w:rsid w:val="00866623"/>
    <w:rsid w:val="00873F0C"/>
    <w:rsid w:val="00875899"/>
    <w:rsid w:val="00876B5A"/>
    <w:rsid w:val="00883BB7"/>
    <w:rsid w:val="00884AB6"/>
    <w:rsid w:val="0088569C"/>
    <w:rsid w:val="00885869"/>
    <w:rsid w:val="0088599C"/>
    <w:rsid w:val="00885A7C"/>
    <w:rsid w:val="008A7FF0"/>
    <w:rsid w:val="008B017F"/>
    <w:rsid w:val="008B0AD2"/>
    <w:rsid w:val="008B0B55"/>
    <w:rsid w:val="008B66D8"/>
    <w:rsid w:val="008C0D10"/>
    <w:rsid w:val="008C21A3"/>
    <w:rsid w:val="008C2FDB"/>
    <w:rsid w:val="008C56F8"/>
    <w:rsid w:val="008C5CEC"/>
    <w:rsid w:val="008C6C5E"/>
    <w:rsid w:val="008C79A9"/>
    <w:rsid w:val="008C7D01"/>
    <w:rsid w:val="008D2BAF"/>
    <w:rsid w:val="008D43DD"/>
    <w:rsid w:val="008E007C"/>
    <w:rsid w:val="008E0C94"/>
    <w:rsid w:val="008F15C2"/>
    <w:rsid w:val="008F2876"/>
    <w:rsid w:val="008F5063"/>
    <w:rsid w:val="008F75B1"/>
    <w:rsid w:val="008F76B7"/>
    <w:rsid w:val="00902426"/>
    <w:rsid w:val="00905CC6"/>
    <w:rsid w:val="009079B4"/>
    <w:rsid w:val="00912FD4"/>
    <w:rsid w:val="00914239"/>
    <w:rsid w:val="00914A40"/>
    <w:rsid w:val="00917899"/>
    <w:rsid w:val="00920513"/>
    <w:rsid w:val="0092614D"/>
    <w:rsid w:val="009312C7"/>
    <w:rsid w:val="00932B1A"/>
    <w:rsid w:val="00933029"/>
    <w:rsid w:val="00934654"/>
    <w:rsid w:val="0093477B"/>
    <w:rsid w:val="00934A8C"/>
    <w:rsid w:val="00936ED5"/>
    <w:rsid w:val="00950BB6"/>
    <w:rsid w:val="00951A92"/>
    <w:rsid w:val="00952449"/>
    <w:rsid w:val="00953A88"/>
    <w:rsid w:val="00960521"/>
    <w:rsid w:val="00960B10"/>
    <w:rsid w:val="00963988"/>
    <w:rsid w:val="00965BC6"/>
    <w:rsid w:val="0096743B"/>
    <w:rsid w:val="0098643F"/>
    <w:rsid w:val="009927FB"/>
    <w:rsid w:val="00993736"/>
    <w:rsid w:val="009A0040"/>
    <w:rsid w:val="009A4282"/>
    <w:rsid w:val="009A4367"/>
    <w:rsid w:val="009A563D"/>
    <w:rsid w:val="009B182D"/>
    <w:rsid w:val="009B39C0"/>
    <w:rsid w:val="009B3D91"/>
    <w:rsid w:val="009B3F6C"/>
    <w:rsid w:val="009B4B59"/>
    <w:rsid w:val="009B79FF"/>
    <w:rsid w:val="009C48EB"/>
    <w:rsid w:val="009D0951"/>
    <w:rsid w:val="009D4BC1"/>
    <w:rsid w:val="009D59F8"/>
    <w:rsid w:val="009D7462"/>
    <w:rsid w:val="009E1457"/>
    <w:rsid w:val="009E53BA"/>
    <w:rsid w:val="009E6256"/>
    <w:rsid w:val="009E68A9"/>
    <w:rsid w:val="009F5F95"/>
    <w:rsid w:val="009F6EDF"/>
    <w:rsid w:val="009F7818"/>
    <w:rsid w:val="00A0293D"/>
    <w:rsid w:val="00A04633"/>
    <w:rsid w:val="00A04CD4"/>
    <w:rsid w:val="00A04D92"/>
    <w:rsid w:val="00A05524"/>
    <w:rsid w:val="00A06078"/>
    <w:rsid w:val="00A131BE"/>
    <w:rsid w:val="00A17198"/>
    <w:rsid w:val="00A17298"/>
    <w:rsid w:val="00A17A36"/>
    <w:rsid w:val="00A21CD4"/>
    <w:rsid w:val="00A26BC9"/>
    <w:rsid w:val="00A3075A"/>
    <w:rsid w:val="00A32C3A"/>
    <w:rsid w:val="00A32F94"/>
    <w:rsid w:val="00A3340A"/>
    <w:rsid w:val="00A33720"/>
    <w:rsid w:val="00A35A88"/>
    <w:rsid w:val="00A4575A"/>
    <w:rsid w:val="00A46408"/>
    <w:rsid w:val="00A467A2"/>
    <w:rsid w:val="00A537FC"/>
    <w:rsid w:val="00A53BA2"/>
    <w:rsid w:val="00A56848"/>
    <w:rsid w:val="00A728DB"/>
    <w:rsid w:val="00A74466"/>
    <w:rsid w:val="00A81A94"/>
    <w:rsid w:val="00A82875"/>
    <w:rsid w:val="00A855C8"/>
    <w:rsid w:val="00A94BCF"/>
    <w:rsid w:val="00A9554A"/>
    <w:rsid w:val="00A96CEB"/>
    <w:rsid w:val="00AA6EAB"/>
    <w:rsid w:val="00AB0392"/>
    <w:rsid w:val="00AB49CE"/>
    <w:rsid w:val="00AB7038"/>
    <w:rsid w:val="00AC0A1B"/>
    <w:rsid w:val="00AC214E"/>
    <w:rsid w:val="00AC2F6D"/>
    <w:rsid w:val="00AC7CC3"/>
    <w:rsid w:val="00AD06CA"/>
    <w:rsid w:val="00AD1DF2"/>
    <w:rsid w:val="00AE0B44"/>
    <w:rsid w:val="00AE72D8"/>
    <w:rsid w:val="00AF1D6C"/>
    <w:rsid w:val="00AF3B0D"/>
    <w:rsid w:val="00B001CA"/>
    <w:rsid w:val="00B02B88"/>
    <w:rsid w:val="00B02F60"/>
    <w:rsid w:val="00B03080"/>
    <w:rsid w:val="00B07619"/>
    <w:rsid w:val="00B1086E"/>
    <w:rsid w:val="00B10FE7"/>
    <w:rsid w:val="00B13E20"/>
    <w:rsid w:val="00B142FD"/>
    <w:rsid w:val="00B15147"/>
    <w:rsid w:val="00B1684F"/>
    <w:rsid w:val="00B16A72"/>
    <w:rsid w:val="00B21B2D"/>
    <w:rsid w:val="00B26790"/>
    <w:rsid w:val="00B30E05"/>
    <w:rsid w:val="00B34030"/>
    <w:rsid w:val="00B34E78"/>
    <w:rsid w:val="00B35726"/>
    <w:rsid w:val="00B35761"/>
    <w:rsid w:val="00B44986"/>
    <w:rsid w:val="00B45380"/>
    <w:rsid w:val="00B46E0A"/>
    <w:rsid w:val="00B503BA"/>
    <w:rsid w:val="00B5386E"/>
    <w:rsid w:val="00B6357E"/>
    <w:rsid w:val="00B657E2"/>
    <w:rsid w:val="00B73220"/>
    <w:rsid w:val="00B77D24"/>
    <w:rsid w:val="00B82D8A"/>
    <w:rsid w:val="00B879A1"/>
    <w:rsid w:val="00B90113"/>
    <w:rsid w:val="00B94929"/>
    <w:rsid w:val="00B94A3D"/>
    <w:rsid w:val="00B9756C"/>
    <w:rsid w:val="00BA38F7"/>
    <w:rsid w:val="00BA3983"/>
    <w:rsid w:val="00BA77BA"/>
    <w:rsid w:val="00BB0B84"/>
    <w:rsid w:val="00BB5B0F"/>
    <w:rsid w:val="00BC2926"/>
    <w:rsid w:val="00BC4963"/>
    <w:rsid w:val="00BD096A"/>
    <w:rsid w:val="00BD62DA"/>
    <w:rsid w:val="00BE02EC"/>
    <w:rsid w:val="00BE2DAE"/>
    <w:rsid w:val="00BE3315"/>
    <w:rsid w:val="00BE4AFA"/>
    <w:rsid w:val="00BE6821"/>
    <w:rsid w:val="00BF06D7"/>
    <w:rsid w:val="00BF07EF"/>
    <w:rsid w:val="00BF19B4"/>
    <w:rsid w:val="00BF3A62"/>
    <w:rsid w:val="00C011A7"/>
    <w:rsid w:val="00C017D2"/>
    <w:rsid w:val="00C01FAD"/>
    <w:rsid w:val="00C023B4"/>
    <w:rsid w:val="00C0477B"/>
    <w:rsid w:val="00C1476D"/>
    <w:rsid w:val="00C1529B"/>
    <w:rsid w:val="00C2010A"/>
    <w:rsid w:val="00C236DF"/>
    <w:rsid w:val="00C3123C"/>
    <w:rsid w:val="00C32D86"/>
    <w:rsid w:val="00C353AF"/>
    <w:rsid w:val="00C355FD"/>
    <w:rsid w:val="00C36867"/>
    <w:rsid w:val="00C4797E"/>
    <w:rsid w:val="00C522F3"/>
    <w:rsid w:val="00C528CC"/>
    <w:rsid w:val="00C576A3"/>
    <w:rsid w:val="00C61F0C"/>
    <w:rsid w:val="00C65DA4"/>
    <w:rsid w:val="00C71A66"/>
    <w:rsid w:val="00C71AEA"/>
    <w:rsid w:val="00C73959"/>
    <w:rsid w:val="00C740F0"/>
    <w:rsid w:val="00C76BF8"/>
    <w:rsid w:val="00C77D14"/>
    <w:rsid w:val="00C8326A"/>
    <w:rsid w:val="00C91965"/>
    <w:rsid w:val="00C926E0"/>
    <w:rsid w:val="00C92E6C"/>
    <w:rsid w:val="00CA13C6"/>
    <w:rsid w:val="00CA52BF"/>
    <w:rsid w:val="00CA683A"/>
    <w:rsid w:val="00CB0DDB"/>
    <w:rsid w:val="00CB13EA"/>
    <w:rsid w:val="00CB52C0"/>
    <w:rsid w:val="00CC0116"/>
    <w:rsid w:val="00CC1325"/>
    <w:rsid w:val="00CD0FEA"/>
    <w:rsid w:val="00CD15AC"/>
    <w:rsid w:val="00CD6C16"/>
    <w:rsid w:val="00CD6D28"/>
    <w:rsid w:val="00CE00B2"/>
    <w:rsid w:val="00CE149F"/>
    <w:rsid w:val="00CE2486"/>
    <w:rsid w:val="00CE2EFD"/>
    <w:rsid w:val="00CF3531"/>
    <w:rsid w:val="00CF5EE3"/>
    <w:rsid w:val="00D01766"/>
    <w:rsid w:val="00D065E0"/>
    <w:rsid w:val="00D2073F"/>
    <w:rsid w:val="00D21394"/>
    <w:rsid w:val="00D2175E"/>
    <w:rsid w:val="00D23A5F"/>
    <w:rsid w:val="00D30893"/>
    <w:rsid w:val="00D31A3C"/>
    <w:rsid w:val="00D353ED"/>
    <w:rsid w:val="00D35C27"/>
    <w:rsid w:val="00D36588"/>
    <w:rsid w:val="00D37D00"/>
    <w:rsid w:val="00D42E7E"/>
    <w:rsid w:val="00D5290A"/>
    <w:rsid w:val="00D65FA2"/>
    <w:rsid w:val="00D6758A"/>
    <w:rsid w:val="00D73EEB"/>
    <w:rsid w:val="00D74F55"/>
    <w:rsid w:val="00D755AA"/>
    <w:rsid w:val="00D77B07"/>
    <w:rsid w:val="00D8713C"/>
    <w:rsid w:val="00D87BB4"/>
    <w:rsid w:val="00D928E3"/>
    <w:rsid w:val="00D96994"/>
    <w:rsid w:val="00D9768D"/>
    <w:rsid w:val="00DA04A8"/>
    <w:rsid w:val="00DA0CFC"/>
    <w:rsid w:val="00DB1A30"/>
    <w:rsid w:val="00DC199A"/>
    <w:rsid w:val="00DC4118"/>
    <w:rsid w:val="00DC4504"/>
    <w:rsid w:val="00DC53C4"/>
    <w:rsid w:val="00DD1CC0"/>
    <w:rsid w:val="00DD20AA"/>
    <w:rsid w:val="00DE1951"/>
    <w:rsid w:val="00DE2DF2"/>
    <w:rsid w:val="00DE38D6"/>
    <w:rsid w:val="00DE74F9"/>
    <w:rsid w:val="00DF14E7"/>
    <w:rsid w:val="00DF1F8B"/>
    <w:rsid w:val="00DF340D"/>
    <w:rsid w:val="00DF4918"/>
    <w:rsid w:val="00E01905"/>
    <w:rsid w:val="00E049E9"/>
    <w:rsid w:val="00E05898"/>
    <w:rsid w:val="00E0658A"/>
    <w:rsid w:val="00E069B1"/>
    <w:rsid w:val="00E06A07"/>
    <w:rsid w:val="00E06B57"/>
    <w:rsid w:val="00E06E83"/>
    <w:rsid w:val="00E07C50"/>
    <w:rsid w:val="00E103F7"/>
    <w:rsid w:val="00E11915"/>
    <w:rsid w:val="00E15383"/>
    <w:rsid w:val="00E279B7"/>
    <w:rsid w:val="00E33B7E"/>
    <w:rsid w:val="00E34D48"/>
    <w:rsid w:val="00E43665"/>
    <w:rsid w:val="00E43EA8"/>
    <w:rsid w:val="00E44B03"/>
    <w:rsid w:val="00E46438"/>
    <w:rsid w:val="00E51FEA"/>
    <w:rsid w:val="00E64CC4"/>
    <w:rsid w:val="00E75BB2"/>
    <w:rsid w:val="00E7696F"/>
    <w:rsid w:val="00E77CAA"/>
    <w:rsid w:val="00E8073E"/>
    <w:rsid w:val="00E87778"/>
    <w:rsid w:val="00E928A0"/>
    <w:rsid w:val="00E92B1D"/>
    <w:rsid w:val="00E9563E"/>
    <w:rsid w:val="00E96700"/>
    <w:rsid w:val="00E9679C"/>
    <w:rsid w:val="00EA2D34"/>
    <w:rsid w:val="00EA3330"/>
    <w:rsid w:val="00EA3669"/>
    <w:rsid w:val="00EA5155"/>
    <w:rsid w:val="00EA5821"/>
    <w:rsid w:val="00EA6189"/>
    <w:rsid w:val="00EA6770"/>
    <w:rsid w:val="00EA7010"/>
    <w:rsid w:val="00EB0EF7"/>
    <w:rsid w:val="00EB4537"/>
    <w:rsid w:val="00EB5ACA"/>
    <w:rsid w:val="00EB6C84"/>
    <w:rsid w:val="00EC0B6A"/>
    <w:rsid w:val="00EC16AA"/>
    <w:rsid w:val="00EC2B89"/>
    <w:rsid w:val="00EC47AC"/>
    <w:rsid w:val="00EC4B85"/>
    <w:rsid w:val="00EC4DD1"/>
    <w:rsid w:val="00ED0424"/>
    <w:rsid w:val="00ED212C"/>
    <w:rsid w:val="00ED71D9"/>
    <w:rsid w:val="00EE1728"/>
    <w:rsid w:val="00EE345B"/>
    <w:rsid w:val="00EE3E1F"/>
    <w:rsid w:val="00EE5C2A"/>
    <w:rsid w:val="00EE5D88"/>
    <w:rsid w:val="00EF0D48"/>
    <w:rsid w:val="00EF4352"/>
    <w:rsid w:val="00F04553"/>
    <w:rsid w:val="00F05D71"/>
    <w:rsid w:val="00F067D4"/>
    <w:rsid w:val="00F12D7B"/>
    <w:rsid w:val="00F16F8C"/>
    <w:rsid w:val="00F24D27"/>
    <w:rsid w:val="00F3177B"/>
    <w:rsid w:val="00F37DAB"/>
    <w:rsid w:val="00F436F7"/>
    <w:rsid w:val="00F4379E"/>
    <w:rsid w:val="00F43A8E"/>
    <w:rsid w:val="00F530BA"/>
    <w:rsid w:val="00F55CED"/>
    <w:rsid w:val="00F638D5"/>
    <w:rsid w:val="00F64380"/>
    <w:rsid w:val="00F65BBA"/>
    <w:rsid w:val="00F66C0D"/>
    <w:rsid w:val="00F70D22"/>
    <w:rsid w:val="00F73366"/>
    <w:rsid w:val="00F74391"/>
    <w:rsid w:val="00F75253"/>
    <w:rsid w:val="00F77120"/>
    <w:rsid w:val="00F80704"/>
    <w:rsid w:val="00F90A87"/>
    <w:rsid w:val="00F97751"/>
    <w:rsid w:val="00F97F9D"/>
    <w:rsid w:val="00FB1CC2"/>
    <w:rsid w:val="00FB2BD0"/>
    <w:rsid w:val="00FC0469"/>
    <w:rsid w:val="00FC0994"/>
    <w:rsid w:val="00FC6220"/>
    <w:rsid w:val="00FD2E88"/>
    <w:rsid w:val="00FD53E1"/>
    <w:rsid w:val="00FD5CFB"/>
    <w:rsid w:val="00FE3694"/>
    <w:rsid w:val="00FE6A68"/>
    <w:rsid w:val="00FF175D"/>
    <w:rsid w:val="00FF2C23"/>
    <w:rsid w:val="00FF3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B6A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05898"/>
    <w:pPr>
      <w:keepNext/>
      <w:widowControl w:val="0"/>
      <w:numPr>
        <w:numId w:val="3"/>
      </w:numPr>
      <w:suppressLineNumbers/>
      <w:suppressAutoHyphens/>
      <w:spacing w:before="120"/>
      <w:ind w:left="431" w:hanging="431"/>
      <w:outlineLvl w:val="0"/>
    </w:pPr>
    <w:rPr>
      <w:rFonts w:eastAsia="Times New Roman" w:cs="Times New Roman"/>
      <w:b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E05898"/>
    <w:pPr>
      <w:keepNext/>
      <w:widowControl w:val="0"/>
      <w:numPr>
        <w:ilvl w:val="1"/>
        <w:numId w:val="3"/>
      </w:numPr>
      <w:suppressLineNumbers/>
      <w:suppressAutoHyphens/>
      <w:spacing w:after="0"/>
      <w:outlineLvl w:val="1"/>
    </w:pPr>
    <w:rPr>
      <w:rFonts w:eastAsia="Times New Roman" w:cs="Times New Roman"/>
      <w:caps/>
      <w:szCs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E05898"/>
    <w:pPr>
      <w:keepNext/>
      <w:widowControl w:val="0"/>
      <w:numPr>
        <w:ilvl w:val="2"/>
        <w:numId w:val="3"/>
      </w:numPr>
      <w:suppressLineNumbers/>
      <w:tabs>
        <w:tab w:val="left" w:pos="0"/>
      </w:tabs>
      <w:suppressAutoHyphens/>
      <w:spacing w:after="0"/>
      <w:outlineLvl w:val="2"/>
    </w:pPr>
    <w:rPr>
      <w:rFonts w:eastAsia="Times New Roman" w:cs="Times New Roman"/>
      <w:b/>
      <w:szCs w:val="20"/>
      <w:u w:val="single"/>
    </w:rPr>
  </w:style>
  <w:style w:type="paragraph" w:styleId="Ttulo4">
    <w:name w:val="heading 4"/>
    <w:basedOn w:val="Normal"/>
    <w:next w:val="Normal"/>
    <w:link w:val="Ttulo4Char"/>
    <w:uiPriority w:val="9"/>
    <w:qFormat/>
    <w:rsid w:val="00E05898"/>
    <w:pPr>
      <w:keepNext/>
      <w:widowControl w:val="0"/>
      <w:numPr>
        <w:ilvl w:val="3"/>
        <w:numId w:val="3"/>
      </w:numPr>
      <w:suppressLineNumbers/>
      <w:suppressAutoHyphens/>
      <w:spacing w:after="0"/>
      <w:outlineLvl w:val="3"/>
    </w:pPr>
    <w:rPr>
      <w:rFonts w:ascii="Arial" w:eastAsia="Times New Roman" w:hAnsi="Arial" w:cs="Times New Roman"/>
      <w:szCs w:val="24"/>
    </w:rPr>
  </w:style>
  <w:style w:type="paragraph" w:styleId="Ttulo5">
    <w:name w:val="heading 5"/>
    <w:basedOn w:val="Normal"/>
    <w:next w:val="Normal"/>
    <w:link w:val="Ttulo5Char"/>
    <w:uiPriority w:val="9"/>
    <w:qFormat/>
    <w:rsid w:val="00E05898"/>
    <w:pPr>
      <w:keepNext/>
      <w:widowControl w:val="0"/>
      <w:numPr>
        <w:ilvl w:val="4"/>
        <w:numId w:val="3"/>
      </w:numPr>
      <w:suppressLineNumbers/>
      <w:tabs>
        <w:tab w:val="left" w:pos="0"/>
      </w:tabs>
      <w:suppressAutoHyphens/>
      <w:spacing w:after="0"/>
      <w:jc w:val="center"/>
      <w:outlineLvl w:val="4"/>
    </w:pPr>
    <w:rPr>
      <w:rFonts w:eastAsia="Times New Roman" w:cs="Times New Roman"/>
      <w:b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5898"/>
    <w:pPr>
      <w:widowControl w:val="0"/>
      <w:numPr>
        <w:ilvl w:val="5"/>
        <w:numId w:val="3"/>
      </w:numPr>
      <w:suppressLineNumbers/>
      <w:suppressAutoHyphens/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5898"/>
    <w:pPr>
      <w:widowControl w:val="0"/>
      <w:numPr>
        <w:ilvl w:val="6"/>
        <w:numId w:val="3"/>
      </w:numPr>
      <w:suppressLineNumbers/>
      <w:suppressAutoHyphens/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5898"/>
    <w:pPr>
      <w:widowControl w:val="0"/>
      <w:numPr>
        <w:ilvl w:val="7"/>
        <w:numId w:val="3"/>
      </w:numPr>
      <w:suppressLineNumbers/>
      <w:suppressAutoHyphens/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5898"/>
    <w:pPr>
      <w:widowControl w:val="0"/>
      <w:numPr>
        <w:ilvl w:val="8"/>
        <w:numId w:val="3"/>
      </w:numPr>
      <w:suppressLineNumbers/>
      <w:suppressAutoHyphens/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596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95969"/>
  </w:style>
  <w:style w:type="paragraph" w:styleId="Rodap">
    <w:name w:val="footer"/>
    <w:basedOn w:val="Normal"/>
    <w:link w:val="RodapChar"/>
    <w:uiPriority w:val="99"/>
    <w:unhideWhenUsed/>
    <w:rsid w:val="0039596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95969"/>
  </w:style>
  <w:style w:type="paragraph" w:styleId="PargrafodaLista">
    <w:name w:val="List Paragraph"/>
    <w:basedOn w:val="Normal"/>
    <w:uiPriority w:val="34"/>
    <w:qFormat/>
    <w:rsid w:val="00F37D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05898"/>
    <w:rPr>
      <w:rFonts w:ascii="Times New Roman" w:eastAsia="Times New Roman" w:hAnsi="Times New Roman" w:cs="Times New Roman"/>
      <w:b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E05898"/>
    <w:rPr>
      <w:rFonts w:ascii="Times New Roman" w:eastAsia="Times New Roman" w:hAnsi="Times New Roman" w:cs="Times New Roman"/>
      <w:caps/>
      <w:sz w:val="24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E05898"/>
    <w:rPr>
      <w:rFonts w:ascii="Times New Roman" w:eastAsia="Times New Roman" w:hAnsi="Times New Roman" w:cs="Times New Roman"/>
      <w:b/>
      <w:szCs w:val="20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E05898"/>
    <w:rPr>
      <w:rFonts w:ascii="Arial" w:eastAsia="Times New Roman" w:hAnsi="Arial" w:cs="Times New Roman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05898"/>
    <w:rPr>
      <w:rFonts w:ascii="Times New Roman" w:eastAsia="Times New Roman" w:hAnsi="Times New Roman" w:cs="Times New Roman"/>
      <w:b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5898"/>
    <w:rPr>
      <w:rFonts w:ascii="Calibri" w:eastAsia="Times New Roman" w:hAnsi="Calibri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5898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589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5898"/>
    <w:rPr>
      <w:rFonts w:ascii="Cambria" w:eastAsia="Times New Roman" w:hAnsi="Cambria" w:cs="Times New Roman"/>
    </w:rPr>
  </w:style>
  <w:style w:type="paragraph" w:styleId="SemEspaamento">
    <w:name w:val="No Spacing"/>
    <w:uiPriority w:val="1"/>
    <w:qFormat/>
    <w:rsid w:val="00CB0DDB"/>
    <w:pPr>
      <w:spacing w:after="0" w:line="240" w:lineRule="auto"/>
    </w:pPr>
  </w:style>
  <w:style w:type="paragraph" w:styleId="Corpodetexto">
    <w:name w:val="Body Text"/>
    <w:basedOn w:val="Normal"/>
    <w:link w:val="CorpodetextoChar"/>
    <w:rsid w:val="00EC0B6A"/>
    <w:pPr>
      <w:widowControl w:val="0"/>
      <w:suppressAutoHyphens/>
      <w:spacing w:after="140" w:line="288" w:lineRule="auto"/>
      <w:ind w:firstLine="0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EC0B6A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6975A4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character" w:styleId="Hyperlink">
    <w:name w:val="Hyperlink"/>
    <w:rsid w:val="00074BD3"/>
    <w:rPr>
      <w:color w:val="0000FF"/>
      <w:u w:val="single"/>
    </w:rPr>
  </w:style>
  <w:style w:type="paragraph" w:customStyle="1" w:styleId="Referencias">
    <w:name w:val="Referencias"/>
    <w:basedOn w:val="NormalWeb"/>
    <w:qFormat/>
    <w:rsid w:val="00074BD3"/>
    <w:pPr>
      <w:spacing w:before="0" w:beforeAutospacing="0" w:after="120" w:afterAutospacing="0"/>
    </w:pPr>
    <w:rPr>
      <w:color w:val="000000"/>
      <w:sz w:val="20"/>
      <w:szCs w:val="26"/>
    </w:rPr>
  </w:style>
  <w:style w:type="character" w:styleId="nfase">
    <w:name w:val="Emphasis"/>
    <w:qFormat/>
    <w:rsid w:val="00D87BB4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7F5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7F5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Web"/>
    <w:qFormat/>
    <w:rsid w:val="003A3896"/>
    <w:pPr>
      <w:spacing w:before="60" w:beforeAutospacing="0" w:after="60" w:afterAutospacing="0"/>
      <w:ind w:left="2268"/>
    </w:pPr>
    <w:rPr>
      <w:color w:val="000000"/>
      <w:sz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23231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2323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2323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908"/>
  </w:style>
  <w:style w:type="paragraph" w:styleId="Ttulo1">
    <w:name w:val="heading 1"/>
    <w:basedOn w:val="Normal"/>
    <w:next w:val="Normal"/>
    <w:link w:val="Ttulo1Char"/>
    <w:uiPriority w:val="9"/>
    <w:qFormat/>
    <w:rsid w:val="00E05898"/>
    <w:pPr>
      <w:keepNext/>
      <w:widowControl w:val="0"/>
      <w:numPr>
        <w:numId w:val="3"/>
      </w:numPr>
      <w:suppressLineNumbers/>
      <w:suppressAutoHyphens/>
      <w:spacing w:before="120" w:after="120" w:line="240" w:lineRule="auto"/>
      <w:ind w:left="431" w:hanging="431"/>
      <w:jc w:val="both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E05898"/>
    <w:pPr>
      <w:keepNext/>
      <w:widowControl w:val="0"/>
      <w:numPr>
        <w:ilvl w:val="1"/>
        <w:numId w:val="3"/>
      </w:numPr>
      <w:suppressLineNumbers/>
      <w:suppressAutoHyphens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caps/>
      <w:sz w:val="24"/>
      <w:szCs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E05898"/>
    <w:pPr>
      <w:keepNext/>
      <w:widowControl w:val="0"/>
      <w:numPr>
        <w:ilvl w:val="2"/>
        <w:numId w:val="3"/>
      </w:numPr>
      <w:suppressLineNumbers/>
      <w:tabs>
        <w:tab w:val="left" w:pos="0"/>
      </w:tabs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Cs w:val="20"/>
      <w:u w:val="single"/>
    </w:rPr>
  </w:style>
  <w:style w:type="paragraph" w:styleId="Ttulo4">
    <w:name w:val="heading 4"/>
    <w:basedOn w:val="Normal"/>
    <w:next w:val="Normal"/>
    <w:link w:val="Ttulo4Char"/>
    <w:uiPriority w:val="9"/>
    <w:qFormat/>
    <w:rsid w:val="00E05898"/>
    <w:pPr>
      <w:keepNext/>
      <w:widowControl w:val="0"/>
      <w:numPr>
        <w:ilvl w:val="3"/>
        <w:numId w:val="3"/>
      </w:numPr>
      <w:suppressLineNumbers/>
      <w:suppressAutoHyphens/>
      <w:spacing w:after="0" w:line="240" w:lineRule="auto"/>
      <w:jc w:val="both"/>
      <w:outlineLvl w:val="3"/>
    </w:pPr>
    <w:rPr>
      <w:rFonts w:ascii="Arial" w:eastAsia="Times New Roman" w:hAnsi="Arial" w:cs="Times New Roman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qFormat/>
    <w:rsid w:val="00E05898"/>
    <w:pPr>
      <w:keepNext/>
      <w:widowControl w:val="0"/>
      <w:numPr>
        <w:ilvl w:val="4"/>
        <w:numId w:val="3"/>
      </w:numPr>
      <w:suppressLineNumbers/>
      <w:tabs>
        <w:tab w:val="left" w:pos="0"/>
      </w:tabs>
      <w:suppressAutoHyphens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5898"/>
    <w:pPr>
      <w:widowControl w:val="0"/>
      <w:numPr>
        <w:ilvl w:val="5"/>
        <w:numId w:val="3"/>
      </w:numPr>
      <w:suppressLineNumbers/>
      <w:suppressAutoHyphens/>
      <w:spacing w:before="240" w:after="60" w:line="240" w:lineRule="auto"/>
      <w:jc w:val="both"/>
      <w:outlineLvl w:val="5"/>
    </w:pPr>
    <w:rPr>
      <w:rFonts w:ascii="Calibri" w:eastAsia="Times New Roman" w:hAnsi="Calibri" w:cs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5898"/>
    <w:pPr>
      <w:widowControl w:val="0"/>
      <w:numPr>
        <w:ilvl w:val="6"/>
        <w:numId w:val="3"/>
      </w:numPr>
      <w:suppressLineNumbers/>
      <w:suppressAutoHyphens/>
      <w:spacing w:before="240" w:after="60" w:line="240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5898"/>
    <w:pPr>
      <w:widowControl w:val="0"/>
      <w:numPr>
        <w:ilvl w:val="7"/>
        <w:numId w:val="3"/>
      </w:numPr>
      <w:suppressLineNumbers/>
      <w:suppressAutoHyphens/>
      <w:spacing w:before="240" w:after="60" w:line="24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5898"/>
    <w:pPr>
      <w:widowControl w:val="0"/>
      <w:numPr>
        <w:ilvl w:val="8"/>
        <w:numId w:val="3"/>
      </w:numPr>
      <w:suppressLineNumbers/>
      <w:suppressAutoHyphens/>
      <w:spacing w:before="240" w:after="60" w:line="240" w:lineRule="auto"/>
      <w:jc w:val="both"/>
      <w:outlineLvl w:val="8"/>
    </w:pPr>
    <w:rPr>
      <w:rFonts w:ascii="Cambria" w:eastAsia="Times New Roman" w:hAnsi="Cambria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5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969"/>
  </w:style>
  <w:style w:type="paragraph" w:styleId="Rodap">
    <w:name w:val="footer"/>
    <w:basedOn w:val="Normal"/>
    <w:link w:val="RodapChar"/>
    <w:uiPriority w:val="99"/>
    <w:unhideWhenUsed/>
    <w:rsid w:val="00395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969"/>
  </w:style>
  <w:style w:type="paragraph" w:styleId="PargrafodaLista">
    <w:name w:val="List Paragraph"/>
    <w:basedOn w:val="Normal"/>
    <w:uiPriority w:val="34"/>
    <w:qFormat/>
    <w:rsid w:val="00F37D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05898"/>
    <w:rPr>
      <w:rFonts w:ascii="Times New Roman" w:eastAsia="Times New Roman" w:hAnsi="Times New Roman" w:cs="Times New Roman"/>
      <w:b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E05898"/>
    <w:rPr>
      <w:rFonts w:ascii="Times New Roman" w:eastAsia="Times New Roman" w:hAnsi="Times New Roman" w:cs="Times New Roman"/>
      <w:caps/>
      <w:sz w:val="24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E05898"/>
    <w:rPr>
      <w:rFonts w:ascii="Times New Roman" w:eastAsia="Times New Roman" w:hAnsi="Times New Roman" w:cs="Times New Roman"/>
      <w:b/>
      <w:szCs w:val="20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E05898"/>
    <w:rPr>
      <w:rFonts w:ascii="Arial" w:eastAsia="Times New Roman" w:hAnsi="Arial" w:cs="Times New Roman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05898"/>
    <w:rPr>
      <w:rFonts w:ascii="Times New Roman" w:eastAsia="Times New Roman" w:hAnsi="Times New Roman" w:cs="Times New Roman"/>
      <w:b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5898"/>
    <w:rPr>
      <w:rFonts w:ascii="Calibri" w:eastAsia="Times New Roman" w:hAnsi="Calibri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5898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589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5898"/>
    <w:rPr>
      <w:rFonts w:ascii="Cambria" w:eastAsia="Times New Roman" w:hAnsi="Cambria" w:cs="Times New Roman"/>
    </w:rPr>
  </w:style>
  <w:style w:type="paragraph" w:styleId="SemEspaamento">
    <w:name w:val="No Spacing"/>
    <w:uiPriority w:val="1"/>
    <w:qFormat/>
    <w:rsid w:val="00CB0DDB"/>
    <w:pPr>
      <w:spacing w:after="0" w:line="240" w:lineRule="auto"/>
    </w:pPr>
  </w:style>
  <w:style w:type="paragraph" w:styleId="Corpodetexto">
    <w:name w:val="Body Text"/>
    <w:basedOn w:val="Normal"/>
    <w:link w:val="CorpodetextoChar"/>
    <w:rsid w:val="00FF35E2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F35E2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69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rsid w:val="00074BD3"/>
    <w:rPr>
      <w:color w:val="0000FF"/>
      <w:u w:val="single"/>
    </w:rPr>
  </w:style>
  <w:style w:type="paragraph" w:customStyle="1" w:styleId="Referencias">
    <w:name w:val="Referencias"/>
    <w:basedOn w:val="NormalWeb"/>
    <w:qFormat/>
    <w:rsid w:val="00074BD3"/>
    <w:pPr>
      <w:spacing w:before="0" w:beforeAutospacing="0" w:after="120" w:afterAutospacing="0"/>
      <w:jc w:val="both"/>
    </w:pPr>
    <w:rPr>
      <w:color w:val="000000"/>
      <w:sz w:val="20"/>
      <w:szCs w:val="26"/>
    </w:rPr>
  </w:style>
  <w:style w:type="character" w:styleId="nfase">
    <w:name w:val="Emphasis"/>
    <w:qFormat/>
    <w:rsid w:val="00D87BB4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7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7F5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Web"/>
    <w:qFormat/>
    <w:rsid w:val="003A3896"/>
    <w:pPr>
      <w:spacing w:before="60" w:beforeAutospacing="0" w:after="60" w:afterAutospacing="0"/>
      <w:ind w:left="2268"/>
      <w:jc w:val="both"/>
    </w:pPr>
    <w:rPr>
      <w:color w:val="000000"/>
      <w:sz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2323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2323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2323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2002/L10406.htm" TargetMode="External"/><Relationship Id="rId13" Type="http://schemas.openxmlformats.org/officeDocument/2006/relationships/hyperlink" Target="http://www.planalto.gov.br/ccivil_03/leis/LCP/Lcp123.htm" TargetMode="External"/><Relationship Id="rId18" Type="http://schemas.openxmlformats.org/officeDocument/2006/relationships/diagramColors" Target="diagrams/colors2.xml"/><Relationship Id="rId26" Type="http://schemas.openxmlformats.org/officeDocument/2006/relationships/hyperlink" Target="http://repositorio.uniceub.br/handle/235/11401" TargetMode="Externa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hyperlink" Target="http://www.planalto.gov.br/ccivil_03/leis/2002/L10406.ht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chart" Target="charts/chart2.xml"/><Relationship Id="rId29" Type="http://schemas.openxmlformats.org/officeDocument/2006/relationships/hyperlink" Target="https://repositorio.ufsc.br/handle/123456789/18369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://www.planalto.gov.br/ccivil_03/leis/LCP/Lcp155.htm" TargetMode="External"/><Relationship Id="rId32" Type="http://schemas.openxmlformats.org/officeDocument/2006/relationships/footer" Target="footer1.xml"/><Relationship Id="rId37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hyperlink" Target="http://www.sebrae.com.br/sites/PortalSebrae/ufs/mt/noticias/micro-e-pequenas-empresas-geram-27-do-pib-do-brasil,ad0fc70646467410VgnVCM2000003c74010aRCRD" TargetMode="External"/><Relationship Id="rId28" Type="http://schemas.openxmlformats.org/officeDocument/2006/relationships/hyperlink" Target="http://www.sebrae.com.br/sites/PortalSebrae/ufs/mt/noticias/micro-e-pequenas-empresas-geram-27-do-pib-do-brasil,ad0fc70646467410VgnVCM2000003c74010aRCRD" TargetMode="External"/><Relationship Id="rId36" Type="http://schemas.microsoft.com/office/2007/relationships/diagramDrawing" Target="diagrams/drawing1.xml"/><Relationship Id="rId10" Type="http://schemas.openxmlformats.org/officeDocument/2006/relationships/diagramLayout" Target="diagrams/layout1.xml"/><Relationship Id="rId19" Type="http://schemas.openxmlformats.org/officeDocument/2006/relationships/chart" Target="charts/chart1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www.planalto.gov.br/ccivil_03/leis/LCP/Lcp123.htm" TargetMode="External"/><Relationship Id="rId22" Type="http://schemas.openxmlformats.org/officeDocument/2006/relationships/hyperlink" Target="http://bdm.unb.br/handle/10483/16070" TargetMode="External"/><Relationship Id="rId27" Type="http://schemas.openxmlformats.org/officeDocument/2006/relationships/hyperlink" Target="https://ibpt.com.br/noticia/2644/BRASILEIRO-TRABALHA-153-DIAS-POR-ANO-PARA-PAGAR-IMPOSTOS" TargetMode="External"/><Relationship Id="rId30" Type="http://schemas.openxmlformats.org/officeDocument/2006/relationships/hyperlink" Target="https://repositorio.ufsc.br/bitstream/handle/123456789/178649/Fl%C3%A1vio%20Marques%20de%20Souza.pdf.pdf?sequence=1" TargetMode="External"/><Relationship Id="rId35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C:\Users\Usuario\Desktop\ARTIGO%20TCC\TABELAS%20TCC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Usuario\Desktop\ARTIGO%20TCC\TABELAS%20TCC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Usuario\Desktop\ARTIGO%20TCC\TABELAS%20TCC.xlsx" TargetMode="External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5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ser>
          <c:idx val="0"/>
          <c:order val="0"/>
          <c:tx>
            <c:v>LC 123/2006</c:v>
          </c:tx>
          <c:dLbls>
            <c:delete val="1"/>
          </c:dLbls>
          <c:cat>
            <c:numRef>
              <c:f>'TABELA ALFA'!$E$6:$E$33</c:f>
              <c:numCache>
                <c:formatCode>mmm/yy</c:formatCode>
                <c:ptCount val="28"/>
                <c:pt idx="0">
                  <c:v>42370</c:v>
                </c:pt>
                <c:pt idx="1">
                  <c:v>42401</c:v>
                </c:pt>
                <c:pt idx="2">
                  <c:v>42430</c:v>
                </c:pt>
                <c:pt idx="3">
                  <c:v>42461</c:v>
                </c:pt>
                <c:pt idx="4">
                  <c:v>42491</c:v>
                </c:pt>
                <c:pt idx="5">
                  <c:v>42522</c:v>
                </c:pt>
                <c:pt idx="6">
                  <c:v>42552</c:v>
                </c:pt>
                <c:pt idx="7">
                  <c:v>42583</c:v>
                </c:pt>
                <c:pt idx="8">
                  <c:v>42614</c:v>
                </c:pt>
                <c:pt idx="9">
                  <c:v>42644</c:v>
                </c:pt>
                <c:pt idx="10">
                  <c:v>42675</c:v>
                </c:pt>
                <c:pt idx="11">
                  <c:v>42705</c:v>
                </c:pt>
                <c:pt idx="12">
                  <c:v>42736</c:v>
                </c:pt>
                <c:pt idx="13">
                  <c:v>42767</c:v>
                </c:pt>
                <c:pt idx="14">
                  <c:v>42795</c:v>
                </c:pt>
                <c:pt idx="15">
                  <c:v>42826</c:v>
                </c:pt>
                <c:pt idx="16">
                  <c:v>42856</c:v>
                </c:pt>
                <c:pt idx="17">
                  <c:v>42887</c:v>
                </c:pt>
                <c:pt idx="18">
                  <c:v>42917</c:v>
                </c:pt>
                <c:pt idx="19">
                  <c:v>42948</c:v>
                </c:pt>
                <c:pt idx="20">
                  <c:v>42979</c:v>
                </c:pt>
                <c:pt idx="21">
                  <c:v>43009</c:v>
                </c:pt>
                <c:pt idx="22">
                  <c:v>43040</c:v>
                </c:pt>
                <c:pt idx="23">
                  <c:v>43070</c:v>
                </c:pt>
                <c:pt idx="24">
                  <c:v>43101</c:v>
                </c:pt>
                <c:pt idx="25">
                  <c:v>43132</c:v>
                </c:pt>
                <c:pt idx="26">
                  <c:v>43160</c:v>
                </c:pt>
                <c:pt idx="27">
                  <c:v>43191</c:v>
                </c:pt>
              </c:numCache>
            </c:numRef>
          </c:cat>
          <c:val>
            <c:numRef>
              <c:f>'TABELA ALFA'!$F$6:$F$33</c:f>
              <c:numCache>
                <c:formatCode>_-* #,##0.00_-;\-* #,##0.00_-;_-* "-"??_-;_-@_-</c:formatCode>
                <c:ptCount val="28"/>
                <c:pt idx="0">
                  <c:v>32.339999999999996</c:v>
                </c:pt>
                <c:pt idx="1">
                  <c:v>42.339999999999996</c:v>
                </c:pt>
                <c:pt idx="2">
                  <c:v>42</c:v>
                </c:pt>
                <c:pt idx="3">
                  <c:v>38.08</c:v>
                </c:pt>
                <c:pt idx="4">
                  <c:v>42.1</c:v>
                </c:pt>
                <c:pt idx="5">
                  <c:v>45.839999999999996</c:v>
                </c:pt>
                <c:pt idx="6">
                  <c:v>41.7</c:v>
                </c:pt>
                <c:pt idx="7">
                  <c:v>47.54</c:v>
                </c:pt>
                <c:pt idx="8">
                  <c:v>45.620000000000012</c:v>
                </c:pt>
                <c:pt idx="9">
                  <c:v>48.160000000000011</c:v>
                </c:pt>
                <c:pt idx="10">
                  <c:v>47.52</c:v>
                </c:pt>
                <c:pt idx="11">
                  <c:v>56.52</c:v>
                </c:pt>
                <c:pt idx="12">
                  <c:v>50.839999999999996</c:v>
                </c:pt>
                <c:pt idx="13">
                  <c:v>45.14</c:v>
                </c:pt>
                <c:pt idx="14">
                  <c:v>58.46</c:v>
                </c:pt>
                <c:pt idx="15">
                  <c:v>43.46</c:v>
                </c:pt>
                <c:pt idx="16">
                  <c:v>55.839999999999996</c:v>
                </c:pt>
                <c:pt idx="17">
                  <c:v>53.02</c:v>
                </c:pt>
                <c:pt idx="18">
                  <c:v>60.24</c:v>
                </c:pt>
                <c:pt idx="19">
                  <c:v>63.6</c:v>
                </c:pt>
                <c:pt idx="20">
                  <c:v>43.06</c:v>
                </c:pt>
                <c:pt idx="21">
                  <c:v>53.08</c:v>
                </c:pt>
                <c:pt idx="22">
                  <c:v>58.18</c:v>
                </c:pt>
                <c:pt idx="23">
                  <c:v>69.56</c:v>
                </c:pt>
                <c:pt idx="24">
                  <c:v>61.690000000000012</c:v>
                </c:pt>
                <c:pt idx="25">
                  <c:v>52.53</c:v>
                </c:pt>
                <c:pt idx="26">
                  <c:v>60.349999999999994</c:v>
                </c:pt>
                <c:pt idx="27">
                  <c:v>53.839999999999996</c:v>
                </c:pt>
              </c:numCache>
            </c:numRef>
          </c:val>
        </c:ser>
        <c:ser>
          <c:idx val="1"/>
          <c:order val="1"/>
          <c:tx>
            <c:v>LC 155/2016</c:v>
          </c:tx>
          <c:dLbls>
            <c:dLbl>
              <c:idx val="0"/>
              <c:layout>
                <c:manualLayout>
                  <c:x val="-1.0857763300760043E-2"/>
                  <c:y val="0"/>
                </c:manualLayout>
              </c:layout>
              <c:showVal val="1"/>
            </c:dLbl>
            <c:dLbl>
              <c:idx val="1"/>
              <c:layout>
                <c:manualLayout>
                  <c:x val="-6.5146579804560324E-3"/>
                  <c:y val="0"/>
                </c:manualLayout>
              </c:layout>
              <c:showVal val="1"/>
            </c:dLbl>
            <c:dLbl>
              <c:idx val="2"/>
              <c:layout>
                <c:manualLayout>
                  <c:x val="-6.5146579804560324E-3"/>
                  <c:y val="-4.0526849037487338E-3"/>
                </c:manualLayout>
              </c:layout>
              <c:showVal val="1"/>
            </c:dLbl>
            <c:dLbl>
              <c:idx val="3"/>
              <c:layout>
                <c:manualLayout>
                  <c:x val="-6.5146579804560324E-3"/>
                  <c:y val="0"/>
                </c:manualLayout>
              </c:layout>
              <c:showVal val="1"/>
            </c:dLbl>
            <c:dLbl>
              <c:idx val="4"/>
              <c:layout>
                <c:manualLayout>
                  <c:x val="-6.5146579804560324E-3"/>
                  <c:y val="0"/>
                </c:manualLayout>
              </c:layout>
              <c:showVal val="1"/>
            </c:dLbl>
            <c:dLbl>
              <c:idx val="5"/>
              <c:layout>
                <c:manualLayout>
                  <c:x val="-6.5146579804560324E-3"/>
                  <c:y val="3.7149182467171303E-17"/>
                </c:manualLayout>
              </c:layout>
              <c:showVal val="1"/>
            </c:dLbl>
            <c:dLbl>
              <c:idx val="6"/>
              <c:layout>
                <c:manualLayout>
                  <c:x val="-6.5146579804560324E-3"/>
                  <c:y val="0"/>
                </c:manualLayout>
              </c:layout>
              <c:showVal val="1"/>
            </c:dLbl>
            <c:dLbl>
              <c:idx val="7"/>
              <c:layout>
                <c:manualLayout>
                  <c:x val="-8.6862106406080507E-3"/>
                  <c:y val="0"/>
                </c:manualLayout>
              </c:layout>
              <c:showVal val="1"/>
            </c:dLbl>
            <c:dLbl>
              <c:idx val="8"/>
              <c:layout>
                <c:manualLayout>
                  <c:x val="-4.3431053203040583E-3"/>
                  <c:y val="3.7149182467171303E-17"/>
                </c:manualLayout>
              </c:layout>
              <c:showVal val="1"/>
            </c:dLbl>
            <c:dLbl>
              <c:idx val="9"/>
              <c:layout>
                <c:manualLayout>
                  <c:x val="-4.3431053203039794E-3"/>
                  <c:y val="0"/>
                </c:manualLayout>
              </c:layout>
              <c:showVal val="1"/>
            </c:dLbl>
            <c:dLbl>
              <c:idx val="10"/>
              <c:layout>
                <c:manualLayout>
                  <c:x val="-6.5146579804560324E-3"/>
                  <c:y val="0"/>
                </c:manualLayout>
              </c:layout>
              <c:showVal val="1"/>
            </c:dLbl>
            <c:dLbl>
              <c:idx val="11"/>
              <c:layout>
                <c:manualLayout>
                  <c:x val="-6.5146579804560324E-3"/>
                  <c:y val="0"/>
                </c:manualLayout>
              </c:layout>
              <c:showVal val="1"/>
            </c:dLbl>
            <c:dLbl>
              <c:idx val="12"/>
              <c:layout>
                <c:manualLayout>
                  <c:x val="-6.5146579804560324E-3"/>
                  <c:y val="4.0526849037487338E-3"/>
                </c:manualLayout>
              </c:layout>
              <c:showVal val="1"/>
            </c:dLbl>
            <c:dLbl>
              <c:idx val="13"/>
              <c:layout>
                <c:manualLayout>
                  <c:x val="-6.5146579804560324E-3"/>
                  <c:y val="3.7149182467171303E-17"/>
                </c:manualLayout>
              </c:layout>
              <c:showVal val="1"/>
            </c:dLbl>
            <c:dLbl>
              <c:idx val="14"/>
              <c:layout>
                <c:manualLayout>
                  <c:x val="-1.0857763300760043E-2"/>
                  <c:y val="0"/>
                </c:manualLayout>
              </c:layout>
              <c:showVal val="1"/>
            </c:dLbl>
            <c:dLbl>
              <c:idx val="15"/>
              <c:layout>
                <c:manualLayout>
                  <c:x val="-6.5146579804560324E-3"/>
                  <c:y val="0"/>
                </c:manualLayout>
              </c:layout>
              <c:showVal val="1"/>
            </c:dLbl>
            <c:dLbl>
              <c:idx val="16"/>
              <c:layout>
                <c:manualLayout>
                  <c:x val="-8.6862106406079727E-3"/>
                  <c:y val="1.2158054711246199E-2"/>
                </c:manualLayout>
              </c:layout>
              <c:showVal val="1"/>
            </c:dLbl>
            <c:dLbl>
              <c:idx val="17"/>
              <c:layout>
                <c:manualLayout>
                  <c:x val="-4.3431053203040184E-3"/>
                  <c:y val="0"/>
                </c:manualLayout>
              </c:layout>
              <c:showVal val="1"/>
            </c:dLbl>
            <c:dLbl>
              <c:idx val="18"/>
              <c:layout>
                <c:manualLayout>
                  <c:x val="-6.5146579804560324E-3"/>
                  <c:y val="0"/>
                </c:manualLayout>
              </c:layout>
              <c:showVal val="1"/>
            </c:dLbl>
            <c:dLbl>
              <c:idx val="19"/>
              <c:layout>
                <c:manualLayout>
                  <c:x val="-8.6862106406081167E-3"/>
                  <c:y val="0"/>
                </c:manualLayout>
              </c:layout>
              <c:showVal val="1"/>
            </c:dLbl>
            <c:dLbl>
              <c:idx val="20"/>
              <c:layout>
                <c:manualLayout>
                  <c:x val="-6.5146579804560324E-3"/>
                  <c:y val="0"/>
                </c:manualLayout>
              </c:layout>
              <c:showVal val="1"/>
            </c:dLbl>
            <c:dLbl>
              <c:idx val="21"/>
              <c:layout>
                <c:manualLayout>
                  <c:x val="-6.5146579804560324E-3"/>
                  <c:y val="8.1053698074974728E-3"/>
                </c:manualLayout>
              </c:layout>
              <c:showVal val="1"/>
            </c:dLbl>
            <c:dLbl>
              <c:idx val="22"/>
              <c:layout>
                <c:manualLayout>
                  <c:x val="-6.5146579804560324E-3"/>
                  <c:y val="0"/>
                </c:manualLayout>
              </c:layout>
              <c:showVal val="1"/>
            </c:dLbl>
            <c:dLbl>
              <c:idx val="23"/>
              <c:layout>
                <c:manualLayout>
                  <c:x val="-4.3431053203040184E-3"/>
                  <c:y val="0"/>
                </c:manualLayout>
              </c:layout>
              <c:showVal val="1"/>
            </c:dLbl>
            <c:dLbl>
              <c:idx val="24"/>
              <c:layout>
                <c:manualLayout>
                  <c:x val="-4.3431053203040184E-3"/>
                  <c:y val="0"/>
                </c:manualLayout>
              </c:layout>
              <c:showVal val="1"/>
            </c:dLbl>
            <c:dLbl>
              <c:idx val="25"/>
              <c:layout>
                <c:manualLayout>
                  <c:x val="-6.5146579804560324E-3"/>
                  <c:y val="0"/>
                </c:manualLayout>
              </c:layout>
              <c:showVal val="1"/>
            </c:dLbl>
            <c:dLbl>
              <c:idx val="26"/>
              <c:layout>
                <c:manualLayout>
                  <c:x val="-8.6862106406080507E-3"/>
                  <c:y val="0"/>
                </c:manualLayout>
              </c:layout>
              <c:showVal val="1"/>
            </c:dLbl>
            <c:dLbl>
              <c:idx val="27"/>
              <c:layout>
                <c:manualLayout>
                  <c:x val="-6.5146579804560324E-3"/>
                  <c:y val="0"/>
                </c:manualLayout>
              </c:layout>
              <c:showVal val="1"/>
            </c:dLbl>
            <c:txPr>
              <a:bodyPr rot="-5400000" vert="horz"/>
              <a:lstStyle/>
              <a:p>
                <a:pPr>
                  <a:defRPr/>
                </a:pPr>
                <a:endParaRPr lang="pt-BR"/>
              </a:p>
            </c:txPr>
            <c:showVal val="1"/>
          </c:dLbls>
          <c:cat>
            <c:numRef>
              <c:f>'TABELA ALFA'!$E$6:$E$33</c:f>
              <c:numCache>
                <c:formatCode>mmm/yy</c:formatCode>
                <c:ptCount val="28"/>
                <c:pt idx="0">
                  <c:v>42370</c:v>
                </c:pt>
                <c:pt idx="1">
                  <c:v>42401</c:v>
                </c:pt>
                <c:pt idx="2">
                  <c:v>42430</c:v>
                </c:pt>
                <c:pt idx="3">
                  <c:v>42461</c:v>
                </c:pt>
                <c:pt idx="4">
                  <c:v>42491</c:v>
                </c:pt>
                <c:pt idx="5">
                  <c:v>42522</c:v>
                </c:pt>
                <c:pt idx="6">
                  <c:v>42552</c:v>
                </c:pt>
                <c:pt idx="7">
                  <c:v>42583</c:v>
                </c:pt>
                <c:pt idx="8">
                  <c:v>42614</c:v>
                </c:pt>
                <c:pt idx="9">
                  <c:v>42644</c:v>
                </c:pt>
                <c:pt idx="10">
                  <c:v>42675</c:v>
                </c:pt>
                <c:pt idx="11">
                  <c:v>42705</c:v>
                </c:pt>
                <c:pt idx="12">
                  <c:v>42736</c:v>
                </c:pt>
                <c:pt idx="13">
                  <c:v>42767</c:v>
                </c:pt>
                <c:pt idx="14">
                  <c:v>42795</c:v>
                </c:pt>
                <c:pt idx="15">
                  <c:v>42826</c:v>
                </c:pt>
                <c:pt idx="16">
                  <c:v>42856</c:v>
                </c:pt>
                <c:pt idx="17">
                  <c:v>42887</c:v>
                </c:pt>
                <c:pt idx="18">
                  <c:v>42917</c:v>
                </c:pt>
                <c:pt idx="19">
                  <c:v>42948</c:v>
                </c:pt>
                <c:pt idx="20">
                  <c:v>42979</c:v>
                </c:pt>
                <c:pt idx="21">
                  <c:v>43009</c:v>
                </c:pt>
                <c:pt idx="22">
                  <c:v>43040</c:v>
                </c:pt>
                <c:pt idx="23">
                  <c:v>43070</c:v>
                </c:pt>
                <c:pt idx="24">
                  <c:v>43101</c:v>
                </c:pt>
                <c:pt idx="25">
                  <c:v>43132</c:v>
                </c:pt>
                <c:pt idx="26">
                  <c:v>43160</c:v>
                </c:pt>
                <c:pt idx="27">
                  <c:v>43191</c:v>
                </c:pt>
              </c:numCache>
            </c:numRef>
          </c:cat>
          <c:val>
            <c:numRef>
              <c:f>'TABELA ALFA'!$G$6:$G$33</c:f>
              <c:numCache>
                <c:formatCode>_-* #,##0.00_-;\-* #,##0.00_-;_-* "-"??_-;_-@_-</c:formatCode>
                <c:ptCount val="28"/>
                <c:pt idx="0">
                  <c:v>32.339999999999996</c:v>
                </c:pt>
                <c:pt idx="1">
                  <c:v>42.339999999999996</c:v>
                </c:pt>
                <c:pt idx="2">
                  <c:v>42</c:v>
                </c:pt>
                <c:pt idx="3">
                  <c:v>38.08</c:v>
                </c:pt>
                <c:pt idx="4">
                  <c:v>42.1</c:v>
                </c:pt>
                <c:pt idx="5">
                  <c:v>45.839999999999996</c:v>
                </c:pt>
                <c:pt idx="6">
                  <c:v>41.7</c:v>
                </c:pt>
                <c:pt idx="7">
                  <c:v>47.54</c:v>
                </c:pt>
                <c:pt idx="8">
                  <c:v>45.620000000000012</c:v>
                </c:pt>
                <c:pt idx="9">
                  <c:v>48.160000000000011</c:v>
                </c:pt>
                <c:pt idx="10">
                  <c:v>47.52</c:v>
                </c:pt>
                <c:pt idx="11">
                  <c:v>56.52</c:v>
                </c:pt>
                <c:pt idx="12">
                  <c:v>50.839999999999996</c:v>
                </c:pt>
                <c:pt idx="13">
                  <c:v>45.14</c:v>
                </c:pt>
                <c:pt idx="14">
                  <c:v>58.46</c:v>
                </c:pt>
                <c:pt idx="15">
                  <c:v>43.46</c:v>
                </c:pt>
                <c:pt idx="16">
                  <c:v>55.839999999999996</c:v>
                </c:pt>
                <c:pt idx="17">
                  <c:v>53.02</c:v>
                </c:pt>
                <c:pt idx="18">
                  <c:v>60.24</c:v>
                </c:pt>
                <c:pt idx="19">
                  <c:v>63.6</c:v>
                </c:pt>
                <c:pt idx="20">
                  <c:v>43.06</c:v>
                </c:pt>
                <c:pt idx="21">
                  <c:v>53.08</c:v>
                </c:pt>
                <c:pt idx="22">
                  <c:v>58.18</c:v>
                </c:pt>
                <c:pt idx="23">
                  <c:v>69.56</c:v>
                </c:pt>
                <c:pt idx="24">
                  <c:v>61.69400000000001</c:v>
                </c:pt>
                <c:pt idx="25">
                  <c:v>52.54</c:v>
                </c:pt>
                <c:pt idx="26">
                  <c:v>60.339999999999996</c:v>
                </c:pt>
                <c:pt idx="27">
                  <c:v>53.839999999999996</c:v>
                </c:pt>
              </c:numCache>
            </c:numRef>
          </c:val>
        </c:ser>
        <c:dLbls>
          <c:showVal val="1"/>
        </c:dLbls>
        <c:overlap val="-25"/>
        <c:axId val="79419264"/>
        <c:axId val="79420800"/>
      </c:barChart>
      <c:dateAx>
        <c:axId val="79419264"/>
        <c:scaling>
          <c:orientation val="minMax"/>
        </c:scaling>
        <c:axPos val="b"/>
        <c:numFmt formatCode="mmm/yy" sourceLinked="1"/>
        <c:majorTickMark val="none"/>
        <c:tickLblPos val="nextTo"/>
        <c:crossAx val="79420800"/>
        <c:crosses val="autoZero"/>
        <c:auto val="1"/>
        <c:lblOffset val="100"/>
      </c:dateAx>
      <c:valAx>
        <c:axId val="79420800"/>
        <c:scaling>
          <c:orientation val="minMax"/>
        </c:scaling>
        <c:delete val="1"/>
        <c:axPos val="l"/>
        <c:numFmt formatCode="_-* #,##0.00_-;\-* #,##0.00_-;_-* &quot;-&quot;??_-;_-@_-" sourceLinked="1"/>
        <c:majorTickMark val="none"/>
        <c:tickLblPos val="nextTo"/>
        <c:crossAx val="79419264"/>
        <c:crosses val="autoZero"/>
        <c:crossBetween val="between"/>
      </c:valAx>
    </c:plotArea>
    <c:legend>
      <c:legendPos val="t"/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pt-BR"/>
    </a:p>
  </c:txPr>
  <c:externalData r:id="rId2"/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5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'TABELA BETA'!$G$7</c:f>
              <c:strCache>
                <c:ptCount val="1"/>
                <c:pt idx="0">
                  <c:v>LC 123/2006</c:v>
                </c:pt>
              </c:strCache>
            </c:strRef>
          </c:tx>
          <c:dLbls>
            <c:dLbl>
              <c:idx val="0"/>
              <c:layout>
                <c:manualLayout>
                  <c:x val="4.0297401166657374E-3"/>
                  <c:y val="-3.2183699406822414E-7"/>
                </c:manualLayout>
              </c:layout>
              <c:showVal val="1"/>
            </c:dLbl>
            <c:dLbl>
              <c:idx val="1"/>
              <c:layout>
                <c:manualLayout>
                  <c:x val="8.0594802333315164E-3"/>
                  <c:y val="7.4933514480531778E-17"/>
                </c:manualLayout>
              </c:layout>
              <c:showVal val="1"/>
            </c:dLbl>
            <c:dLbl>
              <c:idx val="2"/>
              <c:layout>
                <c:manualLayout>
                  <c:x val="-4.0297401166657374E-3"/>
                  <c:y val="-3.7466757240265821E-17"/>
                </c:manualLayout>
              </c:layout>
              <c:showVal val="1"/>
            </c:dLbl>
            <c:dLbl>
              <c:idx val="3"/>
              <c:layout>
                <c:manualLayout>
                  <c:x val="-2.0148700583328691E-3"/>
                  <c:y val="0"/>
                </c:manualLayout>
              </c:layout>
              <c:showVal val="1"/>
            </c:dLbl>
            <c:dLbl>
              <c:idx val="4"/>
              <c:layout>
                <c:manualLayout>
                  <c:x val="-2.0148700583328691E-3"/>
                  <c:y val="-7.4933514480531778E-17"/>
                </c:manualLayout>
              </c:layout>
              <c:showVal val="1"/>
            </c:dLbl>
            <c:dLbl>
              <c:idx val="5"/>
              <c:layout>
                <c:manualLayout>
                  <c:x val="4.0297401166657374E-3"/>
                  <c:y val="0"/>
                </c:manualLayout>
              </c:layout>
              <c:showVal val="1"/>
            </c:dLbl>
            <c:dLbl>
              <c:idx val="6"/>
              <c:layout>
                <c:manualLayout>
                  <c:x val="6.0446101749985779E-3"/>
                  <c:y val="0"/>
                </c:manualLayout>
              </c:layout>
              <c:showVal val="1"/>
            </c:dLbl>
            <c:dLbl>
              <c:idx val="7"/>
              <c:layout>
                <c:manualLayout>
                  <c:x val="4.0297401166657374E-3"/>
                  <c:y val="0"/>
                </c:manualLayout>
              </c:layout>
              <c:showVal val="1"/>
            </c:dLbl>
            <c:dLbl>
              <c:idx val="8"/>
              <c:layout>
                <c:manualLayout>
                  <c:x val="8.0594802333315164E-3"/>
                  <c:y val="0"/>
                </c:manualLayout>
              </c:layout>
              <c:showVal val="1"/>
            </c:dLbl>
            <c:dLbl>
              <c:idx val="9"/>
              <c:layout>
                <c:manualLayout>
                  <c:x val="6.0446101749986134E-3"/>
                  <c:y val="-7.4933514480531778E-17"/>
                </c:manualLayout>
              </c:layout>
              <c:showVal val="1"/>
            </c:dLbl>
            <c:dLbl>
              <c:idx val="10"/>
              <c:layout>
                <c:manualLayout>
                  <c:x val="4.0297401166657374E-3"/>
                  <c:y val="0"/>
                </c:manualLayout>
              </c:layout>
              <c:showVal val="1"/>
            </c:dLbl>
            <c:dLbl>
              <c:idx val="11"/>
              <c:layout>
                <c:manualLayout>
                  <c:x val="6.0444515238129081E-3"/>
                  <c:y val="-3.2183699414315786E-7"/>
                </c:manualLayout>
              </c:layout>
              <c:showVal val="1"/>
            </c:dLbl>
            <c:dLbl>
              <c:idx val="12"/>
              <c:layout>
                <c:manualLayout>
                  <c:x val="6.0446101749986134E-3"/>
                  <c:y val="0"/>
                </c:manualLayout>
              </c:layout>
              <c:showVal val="1"/>
            </c:dLbl>
            <c:dLbl>
              <c:idx val="13"/>
              <c:layout>
                <c:manualLayout>
                  <c:x val="8.0594802333315164E-3"/>
                  <c:y val="1.226198947399927E-2"/>
                </c:manualLayout>
              </c:layout>
              <c:showVal val="1"/>
            </c:dLbl>
            <c:dLbl>
              <c:idx val="14"/>
              <c:layout>
                <c:manualLayout>
                  <c:x val="6.0446101749986134E-3"/>
                  <c:y val="8.1746596493328504E-3"/>
                </c:manualLayout>
              </c:layout>
              <c:showVal val="1"/>
            </c:dLbl>
            <c:dLbl>
              <c:idx val="16"/>
              <c:layout>
                <c:manualLayout>
                  <c:x val="-4.0297401166657374E-3"/>
                  <c:y val="0"/>
                </c:manualLayout>
              </c:layout>
              <c:showVal val="1"/>
            </c:dLbl>
            <c:dLbl>
              <c:idx val="17"/>
              <c:layout>
                <c:manualLayout>
                  <c:x val="-4.0297401166657374E-3"/>
                  <c:y val="0"/>
                </c:manualLayout>
              </c:layout>
              <c:showVal val="1"/>
            </c:dLbl>
            <c:dLbl>
              <c:idx val="18"/>
              <c:layout>
                <c:manualLayout>
                  <c:x val="-6.0446101749986134E-3"/>
                  <c:y val="3.7466757240265821E-17"/>
                </c:manualLayout>
              </c:layout>
              <c:showVal val="1"/>
            </c:dLbl>
            <c:dLbl>
              <c:idx val="19"/>
              <c:layout>
                <c:manualLayout>
                  <c:x val="-4.0297401166657374E-3"/>
                  <c:y val="0"/>
                </c:manualLayout>
              </c:layout>
              <c:showVal val="1"/>
            </c:dLbl>
            <c:txPr>
              <a:bodyPr rot="-5400000" vert="horz"/>
              <a:lstStyle/>
              <a:p>
                <a:pPr>
                  <a:defRPr/>
                </a:pPr>
                <a:endParaRPr lang="pt-BR"/>
              </a:p>
            </c:txPr>
            <c:showVal val="1"/>
          </c:dLbls>
          <c:cat>
            <c:numRef>
              <c:f>'TABELA BETA'!$F$8:$F$27</c:f>
              <c:numCache>
                <c:formatCode>mmm/yy</c:formatCode>
                <c:ptCount val="20"/>
                <c:pt idx="0">
                  <c:v>42614</c:v>
                </c:pt>
                <c:pt idx="1">
                  <c:v>42644</c:v>
                </c:pt>
                <c:pt idx="2">
                  <c:v>42675</c:v>
                </c:pt>
                <c:pt idx="3">
                  <c:v>42705</c:v>
                </c:pt>
                <c:pt idx="4">
                  <c:v>42736</c:v>
                </c:pt>
                <c:pt idx="5">
                  <c:v>42767</c:v>
                </c:pt>
                <c:pt idx="6">
                  <c:v>42795</c:v>
                </c:pt>
                <c:pt idx="7">
                  <c:v>42826</c:v>
                </c:pt>
                <c:pt idx="8">
                  <c:v>42856</c:v>
                </c:pt>
                <c:pt idx="9">
                  <c:v>42887</c:v>
                </c:pt>
                <c:pt idx="10">
                  <c:v>42917</c:v>
                </c:pt>
                <c:pt idx="11">
                  <c:v>42948</c:v>
                </c:pt>
                <c:pt idx="12">
                  <c:v>42979</c:v>
                </c:pt>
                <c:pt idx="13">
                  <c:v>43009</c:v>
                </c:pt>
                <c:pt idx="14">
                  <c:v>43040</c:v>
                </c:pt>
                <c:pt idx="15">
                  <c:v>43070</c:v>
                </c:pt>
                <c:pt idx="16">
                  <c:v>43101</c:v>
                </c:pt>
                <c:pt idx="17">
                  <c:v>43132</c:v>
                </c:pt>
                <c:pt idx="18">
                  <c:v>43160</c:v>
                </c:pt>
                <c:pt idx="19">
                  <c:v>43191</c:v>
                </c:pt>
              </c:numCache>
            </c:numRef>
          </c:cat>
          <c:val>
            <c:numRef>
              <c:f>'TABELA BETA'!$G$8:$G$27</c:f>
              <c:numCache>
                <c:formatCode>_-* #,##0.00_-;\-* #,##0.00_-;_-* "-"??_-;_-@_-</c:formatCode>
                <c:ptCount val="20"/>
                <c:pt idx="0">
                  <c:v>397.46160000000003</c:v>
                </c:pt>
                <c:pt idx="1">
                  <c:v>638.66880000000003</c:v>
                </c:pt>
                <c:pt idx="2">
                  <c:v>1714.821479</c:v>
                </c:pt>
                <c:pt idx="3">
                  <c:v>827.87738899999999</c:v>
                </c:pt>
                <c:pt idx="4">
                  <c:v>295.03538999999944</c:v>
                </c:pt>
                <c:pt idx="5">
                  <c:v>402.34760000000063</c:v>
                </c:pt>
                <c:pt idx="6">
                  <c:v>253.15520000000001</c:v>
                </c:pt>
                <c:pt idx="7">
                  <c:v>252.39440000000025</c:v>
                </c:pt>
                <c:pt idx="8">
                  <c:v>530.68040000000053</c:v>
                </c:pt>
                <c:pt idx="9">
                  <c:v>74.896799999999999</c:v>
                </c:pt>
                <c:pt idx="10">
                  <c:v>112.34520000000002</c:v>
                </c:pt>
                <c:pt idx="11">
                  <c:v>168.51779999999999</c:v>
                </c:pt>
                <c:pt idx="12">
                  <c:v>836.41919999999948</c:v>
                </c:pt>
                <c:pt idx="13">
                  <c:v>789.17880000000116</c:v>
                </c:pt>
                <c:pt idx="14">
                  <c:v>1034.0016000000001</c:v>
                </c:pt>
                <c:pt idx="15">
                  <c:v>3782.7620899999938</c:v>
                </c:pt>
                <c:pt idx="16">
                  <c:v>903.94484999999997</c:v>
                </c:pt>
                <c:pt idx="17">
                  <c:v>1272.8334449999963</c:v>
                </c:pt>
                <c:pt idx="18">
                  <c:v>1718.9639099999999</c:v>
                </c:pt>
                <c:pt idx="19">
                  <c:v>1592.661063</c:v>
                </c:pt>
              </c:numCache>
            </c:numRef>
          </c:val>
        </c:ser>
        <c:ser>
          <c:idx val="1"/>
          <c:order val="1"/>
          <c:tx>
            <c:strRef>
              <c:f>'TABELA BETA'!$H$7</c:f>
              <c:strCache>
                <c:ptCount val="1"/>
                <c:pt idx="0">
                  <c:v>LC 155/2016</c:v>
                </c:pt>
              </c:strCache>
            </c:strRef>
          </c:tx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8"/>
              <c:delete val="1"/>
            </c:dLbl>
            <c:dLbl>
              <c:idx val="9"/>
              <c:delete val="1"/>
            </c:dLbl>
            <c:dLbl>
              <c:idx val="10"/>
              <c:delete val="1"/>
            </c:dLbl>
            <c:dLbl>
              <c:idx val="11"/>
              <c:delete val="1"/>
            </c:dLbl>
            <c:dLbl>
              <c:idx val="12"/>
              <c:delete val="1"/>
            </c:dLbl>
            <c:dLbl>
              <c:idx val="13"/>
              <c:delete val="1"/>
            </c:dLbl>
            <c:dLbl>
              <c:idx val="14"/>
              <c:delete val="1"/>
            </c:dLbl>
            <c:dLbl>
              <c:idx val="15"/>
              <c:layout>
                <c:manualLayout>
                  <c:x val="6.7888662593347032E-3"/>
                  <c:y val="0"/>
                </c:manualLayout>
              </c:layout>
              <c:showVal val="1"/>
            </c:dLbl>
            <c:txPr>
              <a:bodyPr rot="-5400000" vert="horz"/>
              <a:lstStyle/>
              <a:p>
                <a:pPr>
                  <a:defRPr/>
                </a:pPr>
                <a:endParaRPr lang="pt-BR"/>
              </a:p>
            </c:txPr>
            <c:showVal val="1"/>
          </c:dLbls>
          <c:cat>
            <c:numRef>
              <c:f>'TABELA BETA'!$F$8:$F$27</c:f>
              <c:numCache>
                <c:formatCode>mmm/yy</c:formatCode>
                <c:ptCount val="20"/>
                <c:pt idx="0">
                  <c:v>42614</c:v>
                </c:pt>
                <c:pt idx="1">
                  <c:v>42644</c:v>
                </c:pt>
                <c:pt idx="2">
                  <c:v>42675</c:v>
                </c:pt>
                <c:pt idx="3">
                  <c:v>42705</c:v>
                </c:pt>
                <c:pt idx="4">
                  <c:v>42736</c:v>
                </c:pt>
                <c:pt idx="5">
                  <c:v>42767</c:v>
                </c:pt>
                <c:pt idx="6">
                  <c:v>42795</c:v>
                </c:pt>
                <c:pt idx="7">
                  <c:v>42826</c:v>
                </c:pt>
                <c:pt idx="8">
                  <c:v>42856</c:v>
                </c:pt>
                <c:pt idx="9">
                  <c:v>42887</c:v>
                </c:pt>
                <c:pt idx="10">
                  <c:v>42917</c:v>
                </c:pt>
                <c:pt idx="11">
                  <c:v>42948</c:v>
                </c:pt>
                <c:pt idx="12">
                  <c:v>42979</c:v>
                </c:pt>
                <c:pt idx="13">
                  <c:v>43009</c:v>
                </c:pt>
                <c:pt idx="14">
                  <c:v>43040</c:v>
                </c:pt>
                <c:pt idx="15">
                  <c:v>43070</c:v>
                </c:pt>
                <c:pt idx="16">
                  <c:v>43101</c:v>
                </c:pt>
                <c:pt idx="17">
                  <c:v>43132</c:v>
                </c:pt>
                <c:pt idx="18">
                  <c:v>43160</c:v>
                </c:pt>
                <c:pt idx="19">
                  <c:v>43191</c:v>
                </c:pt>
              </c:numCache>
            </c:numRef>
          </c:cat>
          <c:val>
            <c:numRef>
              <c:f>'TABELA BETA'!$H$8:$H$27</c:f>
              <c:numCache>
                <c:formatCode>General</c:formatCode>
                <c:ptCount val="20"/>
                <c:pt idx="0">
                  <c:v>397.46</c:v>
                </c:pt>
                <c:pt idx="1">
                  <c:v>638.66999999999996</c:v>
                </c:pt>
                <c:pt idx="2">
                  <c:v>1476.56</c:v>
                </c:pt>
                <c:pt idx="3">
                  <c:v>690.15</c:v>
                </c:pt>
                <c:pt idx="4">
                  <c:v>222.22</c:v>
                </c:pt>
                <c:pt idx="5">
                  <c:v>402.35</c:v>
                </c:pt>
                <c:pt idx="6">
                  <c:v>253.16</c:v>
                </c:pt>
                <c:pt idx="7">
                  <c:v>252.39000000000001</c:v>
                </c:pt>
                <c:pt idx="8">
                  <c:v>530.67999999999995</c:v>
                </c:pt>
                <c:pt idx="9">
                  <c:v>74.900000000000006</c:v>
                </c:pt>
                <c:pt idx="10">
                  <c:v>112.35</c:v>
                </c:pt>
                <c:pt idx="11">
                  <c:v>168.52</c:v>
                </c:pt>
                <c:pt idx="12">
                  <c:v>836.42</c:v>
                </c:pt>
                <c:pt idx="13">
                  <c:v>789.18000000000052</c:v>
                </c:pt>
                <c:pt idx="14">
                  <c:v>1034</c:v>
                </c:pt>
                <c:pt idx="15">
                  <c:v>3008.23</c:v>
                </c:pt>
                <c:pt idx="16">
                  <c:v>722.16</c:v>
                </c:pt>
                <c:pt idx="17">
                  <c:v>1070.3899999999999</c:v>
                </c:pt>
                <c:pt idx="18">
                  <c:v>1520.98</c:v>
                </c:pt>
                <c:pt idx="19">
                  <c:v>1470.37</c:v>
                </c:pt>
              </c:numCache>
            </c:numRef>
          </c:val>
        </c:ser>
        <c:dLbls>
          <c:showVal val="1"/>
        </c:dLbls>
        <c:overlap val="-25"/>
        <c:axId val="85227392"/>
        <c:axId val="85533440"/>
      </c:barChart>
      <c:dateAx>
        <c:axId val="85227392"/>
        <c:scaling>
          <c:orientation val="minMax"/>
        </c:scaling>
        <c:axPos val="b"/>
        <c:numFmt formatCode="mmm/yy" sourceLinked="1"/>
        <c:majorTickMark val="none"/>
        <c:tickLblPos val="nextTo"/>
        <c:crossAx val="85533440"/>
        <c:crosses val="autoZero"/>
        <c:auto val="1"/>
        <c:lblOffset val="100"/>
      </c:dateAx>
      <c:valAx>
        <c:axId val="85533440"/>
        <c:scaling>
          <c:orientation val="minMax"/>
        </c:scaling>
        <c:delete val="1"/>
        <c:axPos val="l"/>
        <c:numFmt formatCode="_-* #,##0.00_-;\-* #,##0.00_-;_-* &quot;-&quot;??_-;_-@_-" sourceLinked="1"/>
        <c:tickLblPos val="nextTo"/>
        <c:crossAx val="85227392"/>
        <c:crosses val="autoZero"/>
        <c:crossBetween val="between"/>
      </c:valAx>
    </c:plotArea>
    <c:legend>
      <c:legendPos val="t"/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pt-BR"/>
    </a:p>
  </c:txPr>
  <c:externalData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5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'TABELA GAMA'!$F$6</c:f>
              <c:strCache>
                <c:ptCount val="1"/>
                <c:pt idx="0">
                  <c:v>LC 123/2006</c:v>
                </c:pt>
              </c:strCache>
            </c:strRef>
          </c:tx>
          <c:dLbls>
            <c:dLbl>
              <c:idx val="0"/>
              <c:layout>
                <c:manualLayout>
                  <c:x val="-1.1690205862684263E-2"/>
                  <c:y val="1.3628616445930481E-2"/>
                </c:manualLayout>
              </c:layout>
              <c:showVal val="1"/>
            </c:dLbl>
            <c:dLbl>
              <c:idx val="1"/>
              <c:layout>
                <c:manualLayout>
                  <c:x val="-5.845102931342148E-3"/>
                  <c:y val="2.7256964612009747E-2"/>
                </c:manualLayout>
              </c:layout>
              <c:showVal val="1"/>
            </c:dLbl>
            <c:dLbl>
              <c:idx val="2"/>
              <c:layout>
                <c:manualLayout>
                  <c:x val="-5.845102931342148E-3"/>
                  <c:y val="2.3850078780378411E-2"/>
                </c:manualLayout>
              </c:layout>
              <c:showVal val="1"/>
            </c:dLbl>
            <c:dLbl>
              <c:idx val="3"/>
              <c:layout>
                <c:manualLayout>
                  <c:x val="-3.8967352875614336E-3"/>
                  <c:y val="2.7257232891861043E-2"/>
                </c:manualLayout>
              </c:layout>
              <c:showVal val="1"/>
            </c:dLbl>
            <c:dLbl>
              <c:idx val="4"/>
              <c:layout>
                <c:manualLayout>
                  <c:x val="-3.8967352875614336E-3"/>
                  <c:y val="2.7257232891861043E-2"/>
                </c:manualLayout>
              </c:layout>
              <c:showVal val="1"/>
            </c:dLbl>
            <c:dLbl>
              <c:idx val="5"/>
              <c:layout>
                <c:manualLayout>
                  <c:x val="-3.8967352875614336E-3"/>
                  <c:y val="2.0442924668895742E-2"/>
                </c:manualLayout>
              </c:layout>
              <c:showVal val="1"/>
            </c:dLbl>
            <c:dLbl>
              <c:idx val="6"/>
              <c:layout>
                <c:manualLayout>
                  <c:x val="-3.8967352875614336E-3"/>
                  <c:y val="2.0442656389044356E-2"/>
                </c:manualLayout>
              </c:layout>
              <c:showVal val="1"/>
            </c:dLbl>
            <c:dLbl>
              <c:idx val="7"/>
              <c:layout>
                <c:manualLayout>
                  <c:x val="-1.9485210585558151E-3"/>
                  <c:y val="-2.0442924668895742E-2"/>
                </c:manualLayout>
              </c:layout>
              <c:showVal val="1"/>
            </c:dLbl>
            <c:dLbl>
              <c:idx val="8"/>
              <c:layout>
                <c:manualLayout>
                  <c:x val="-3.8967352875614336E-3"/>
                  <c:y val="3.4071541114826308E-3"/>
                </c:manualLayout>
              </c:layout>
              <c:showVal val="1"/>
            </c:dLbl>
            <c:dLbl>
              <c:idx val="9"/>
              <c:layout>
                <c:manualLayout>
                  <c:x val="-5.845102931342148E-3"/>
                  <c:y val="3.4071541114826308E-3"/>
                </c:manualLayout>
              </c:layout>
              <c:showVal val="1"/>
            </c:dLbl>
            <c:dLbl>
              <c:idx val="10"/>
              <c:layout>
                <c:manualLayout>
                  <c:x val="-3.8967352875614336E-3"/>
                  <c:y val="-3.4071541114826308E-3"/>
                </c:manualLayout>
              </c:layout>
              <c:showVal val="1"/>
            </c:dLbl>
            <c:dLbl>
              <c:idx val="11"/>
              <c:layout>
                <c:manualLayout>
                  <c:x val="-5.845102931342148E-3"/>
                  <c:y val="1.70357705574131E-2"/>
                </c:manualLayout>
              </c:layout>
              <c:showVal val="1"/>
            </c:dLbl>
            <c:dLbl>
              <c:idx val="12"/>
              <c:layout>
                <c:manualLayout>
                  <c:x val="-3.8967352875614336E-3"/>
                  <c:y val="6.8143082229652381E-3"/>
                </c:manualLayout>
              </c:layout>
              <c:showVal val="1"/>
            </c:dLbl>
            <c:dLbl>
              <c:idx val="13"/>
              <c:layout>
                <c:manualLayout>
                  <c:x val="-5.845102931342148E-3"/>
                  <c:y val="0"/>
                </c:manualLayout>
              </c:layout>
              <c:showVal val="1"/>
            </c:dLbl>
            <c:dLbl>
              <c:idx val="14"/>
              <c:layout>
                <c:manualLayout>
                  <c:x val="-5.845102931342148E-3"/>
                  <c:y val="3.4071541114826308E-3"/>
                </c:manualLayout>
              </c:layout>
              <c:showVal val="1"/>
            </c:dLbl>
            <c:dLbl>
              <c:idx val="15"/>
              <c:layout>
                <c:manualLayout>
                  <c:x val="-5.845102931342148E-3"/>
                  <c:y val="-3.4071541114826308E-3"/>
                </c:manualLayout>
              </c:layout>
              <c:showVal val="1"/>
            </c:dLbl>
            <c:dLbl>
              <c:idx val="16"/>
              <c:layout>
                <c:manualLayout>
                  <c:x val="-7.793623989897973E-3"/>
                  <c:y val="-1.0221462334447861E-2"/>
                </c:manualLayout>
              </c:layout>
              <c:showVal val="1"/>
            </c:dLbl>
            <c:dLbl>
              <c:idx val="17"/>
              <c:layout>
                <c:manualLayout>
                  <c:x val="-5.845102931342148E-3"/>
                  <c:y val="-3.4071541114826308E-3"/>
                </c:manualLayout>
              </c:layout>
              <c:showVal val="1"/>
            </c:dLbl>
            <c:dLbl>
              <c:idx val="18"/>
              <c:layout>
                <c:manualLayout>
                  <c:x val="-5.845102931342148E-3"/>
                  <c:y val="0"/>
                </c:manualLayout>
              </c:layout>
              <c:showVal val="1"/>
            </c:dLbl>
            <c:dLbl>
              <c:idx val="19"/>
              <c:layout>
                <c:manualLayout>
                  <c:x val="-5.8450351199413452E-3"/>
                  <c:y val="2.0436992317432991E-2"/>
                </c:manualLayout>
              </c:layout>
              <c:showVal val="1"/>
            </c:dLbl>
            <c:dLbl>
              <c:idx val="20"/>
              <c:layout>
                <c:manualLayout>
                  <c:x val="-3.8967924063199651E-3"/>
                  <c:y val="1.7026396539891176E-2"/>
                </c:manualLayout>
              </c:layout>
              <c:showVal val="1"/>
            </c:dLbl>
            <c:dLbl>
              <c:idx val="21"/>
              <c:layout>
                <c:manualLayout>
                  <c:x val="-5.845102931342148E-3"/>
                  <c:y val="-1.0221462334447861E-2"/>
                </c:manualLayout>
              </c:layout>
              <c:showVal val="1"/>
            </c:dLbl>
            <c:dLbl>
              <c:idx val="22"/>
              <c:layout>
                <c:manualLayout>
                  <c:x val="-5.845102931342148E-3"/>
                  <c:y val="-2.0442924668895742E-2"/>
                </c:manualLayout>
              </c:layout>
              <c:showVal val="1"/>
            </c:dLbl>
            <c:dLbl>
              <c:idx val="23"/>
              <c:layout>
                <c:manualLayout>
                  <c:x val="-7.7934705751228637E-3"/>
                  <c:y val="0"/>
                </c:manualLayout>
              </c:layout>
              <c:showVal val="1"/>
            </c:dLbl>
            <c:dLbl>
              <c:idx val="24"/>
              <c:layout>
                <c:manualLayout>
                  <c:x val="-5.845102931342148E-3"/>
                  <c:y val="6.8143082229652381E-3"/>
                </c:manualLayout>
              </c:layout>
              <c:showVal val="1"/>
            </c:dLbl>
            <c:dLbl>
              <c:idx val="25"/>
              <c:layout>
                <c:manualLayout>
                  <c:x val="-3.8967352875614336E-3"/>
                  <c:y val="1.0221462334447861E-2"/>
                </c:manualLayout>
              </c:layout>
              <c:showVal val="1"/>
            </c:dLbl>
            <c:dLbl>
              <c:idx val="26"/>
              <c:layout>
                <c:manualLayout>
                  <c:x val="-7.7934705751228637E-3"/>
                  <c:y val="6.8140399431139403E-3"/>
                </c:manualLayout>
              </c:layout>
              <c:showVal val="1"/>
            </c:dLbl>
            <c:dLbl>
              <c:idx val="27"/>
              <c:layout>
                <c:manualLayout>
                  <c:x val="-3.8967352875614336E-3"/>
                  <c:y val="0"/>
                </c:manualLayout>
              </c:layout>
              <c:showVal val="1"/>
            </c:dLbl>
            <c:txPr>
              <a:bodyPr rot="-5400000" vert="horz"/>
              <a:lstStyle/>
              <a:p>
                <a:pPr>
                  <a:defRPr/>
                </a:pPr>
                <a:endParaRPr lang="pt-BR"/>
              </a:p>
            </c:txPr>
            <c:showVal val="1"/>
          </c:dLbls>
          <c:cat>
            <c:numRef>
              <c:f>'TABELA GAMA'!$E$7:$E$34</c:f>
              <c:numCache>
                <c:formatCode>mmm/yy</c:formatCode>
                <c:ptCount val="28"/>
                <c:pt idx="0">
                  <c:v>42370</c:v>
                </c:pt>
                <c:pt idx="1">
                  <c:v>42401</c:v>
                </c:pt>
                <c:pt idx="2">
                  <c:v>42430</c:v>
                </c:pt>
                <c:pt idx="3">
                  <c:v>42461</c:v>
                </c:pt>
                <c:pt idx="4">
                  <c:v>42491</c:v>
                </c:pt>
                <c:pt idx="5">
                  <c:v>42522</c:v>
                </c:pt>
                <c:pt idx="6">
                  <c:v>42552</c:v>
                </c:pt>
                <c:pt idx="7">
                  <c:v>42583</c:v>
                </c:pt>
                <c:pt idx="8">
                  <c:v>42614</c:v>
                </c:pt>
                <c:pt idx="9">
                  <c:v>42644</c:v>
                </c:pt>
                <c:pt idx="10">
                  <c:v>42675</c:v>
                </c:pt>
                <c:pt idx="11">
                  <c:v>42705</c:v>
                </c:pt>
                <c:pt idx="12">
                  <c:v>42736</c:v>
                </c:pt>
                <c:pt idx="13">
                  <c:v>42767</c:v>
                </c:pt>
                <c:pt idx="14">
                  <c:v>42795</c:v>
                </c:pt>
                <c:pt idx="15">
                  <c:v>42826</c:v>
                </c:pt>
                <c:pt idx="16">
                  <c:v>42856</c:v>
                </c:pt>
                <c:pt idx="17">
                  <c:v>42887</c:v>
                </c:pt>
                <c:pt idx="18">
                  <c:v>42917</c:v>
                </c:pt>
                <c:pt idx="19">
                  <c:v>42948</c:v>
                </c:pt>
                <c:pt idx="20">
                  <c:v>42979</c:v>
                </c:pt>
                <c:pt idx="21">
                  <c:v>43009</c:v>
                </c:pt>
                <c:pt idx="22">
                  <c:v>43040</c:v>
                </c:pt>
                <c:pt idx="23">
                  <c:v>43070</c:v>
                </c:pt>
                <c:pt idx="24">
                  <c:v>43101</c:v>
                </c:pt>
                <c:pt idx="25">
                  <c:v>43132</c:v>
                </c:pt>
                <c:pt idx="26">
                  <c:v>43160</c:v>
                </c:pt>
                <c:pt idx="27">
                  <c:v>43191</c:v>
                </c:pt>
              </c:numCache>
            </c:numRef>
          </c:cat>
          <c:val>
            <c:numRef>
              <c:f>'TABELA GAMA'!$F$7:$F$34</c:f>
              <c:numCache>
                <c:formatCode>_-* #,##0.00_-;\-* #,##0.00_-;_-* "-"??_-;_-@_-</c:formatCode>
                <c:ptCount val="28"/>
                <c:pt idx="0">
                  <c:v>1623.1196640000001</c:v>
                </c:pt>
                <c:pt idx="1">
                  <c:v>1550.429928</c:v>
                </c:pt>
                <c:pt idx="2">
                  <c:v>1560.331175</c:v>
                </c:pt>
                <c:pt idx="3">
                  <c:v>1631.4242179999999</c:v>
                </c:pt>
                <c:pt idx="4">
                  <c:v>1598.5063050000001</c:v>
                </c:pt>
                <c:pt idx="5">
                  <c:v>1814.2704550000001</c:v>
                </c:pt>
                <c:pt idx="6">
                  <c:v>2025.504351</c:v>
                </c:pt>
                <c:pt idx="7">
                  <c:v>2469.4807679999999</c:v>
                </c:pt>
                <c:pt idx="8">
                  <c:v>1837.97298</c:v>
                </c:pt>
                <c:pt idx="9">
                  <c:v>2278.3561200000022</c:v>
                </c:pt>
                <c:pt idx="10">
                  <c:v>2553.5977200000002</c:v>
                </c:pt>
                <c:pt idx="11">
                  <c:v>4953.7393559999919</c:v>
                </c:pt>
                <c:pt idx="12">
                  <c:v>2563.8043680000001</c:v>
                </c:pt>
                <c:pt idx="13">
                  <c:v>3149.3241000000012</c:v>
                </c:pt>
                <c:pt idx="14">
                  <c:v>3330.2550960000012</c:v>
                </c:pt>
                <c:pt idx="15">
                  <c:v>2882.8424879999998</c:v>
                </c:pt>
                <c:pt idx="16">
                  <c:v>3033.1473840000003</c:v>
                </c:pt>
                <c:pt idx="17">
                  <c:v>3117.2000399999997</c:v>
                </c:pt>
                <c:pt idx="18">
                  <c:v>3532.3114320000077</c:v>
                </c:pt>
                <c:pt idx="19">
                  <c:v>3052.3062239999999</c:v>
                </c:pt>
                <c:pt idx="20">
                  <c:v>2570.7086639999943</c:v>
                </c:pt>
                <c:pt idx="21">
                  <c:v>3472.7694299999944</c:v>
                </c:pt>
                <c:pt idx="22">
                  <c:v>3642.0959640000001</c:v>
                </c:pt>
                <c:pt idx="23">
                  <c:v>5786.6385980000014</c:v>
                </c:pt>
                <c:pt idx="24">
                  <c:v>3660.6813099999999</c:v>
                </c:pt>
                <c:pt idx="25">
                  <c:v>3235.9689439999997</c:v>
                </c:pt>
                <c:pt idx="26">
                  <c:v>4000.8295600000001</c:v>
                </c:pt>
                <c:pt idx="27">
                  <c:v>3480.79576</c:v>
                </c:pt>
              </c:numCache>
            </c:numRef>
          </c:val>
        </c:ser>
        <c:ser>
          <c:idx val="1"/>
          <c:order val="1"/>
          <c:tx>
            <c:strRef>
              <c:f>'TABELA GAMA'!$G$6</c:f>
              <c:strCache>
                <c:ptCount val="1"/>
                <c:pt idx="0">
                  <c:v>LC 155/2016</c:v>
                </c:pt>
              </c:strCache>
            </c:strRef>
          </c:tx>
          <c:dLbls>
            <c:dLbl>
              <c:idx val="0"/>
              <c:layout>
                <c:manualLayout>
                  <c:x val="-5.845102931342148E-3"/>
                  <c:y val="-2.7257232891861043E-2"/>
                </c:manualLayout>
              </c:layout>
              <c:showVal val="1"/>
            </c:dLbl>
            <c:dLbl>
              <c:idx val="1"/>
              <c:layout>
                <c:manualLayout>
                  <c:x val="-1.9485210585558151E-3"/>
                  <c:y val="1.0221462334447861E-2"/>
                </c:manualLayout>
              </c:layout>
              <c:showVal val="1"/>
            </c:dLbl>
            <c:dLbl>
              <c:idx val="2"/>
              <c:layout>
                <c:manualLayout>
                  <c:x val="-1.9483676437807194E-3"/>
                  <c:y val="6.8143082229652381E-3"/>
                </c:manualLayout>
              </c:layout>
              <c:showVal val="1"/>
            </c:dLbl>
            <c:dLbl>
              <c:idx val="3"/>
              <c:layout>
                <c:manualLayout>
                  <c:x val="1.9482142290056167E-3"/>
                  <c:y val="6.2463770457042473E-17"/>
                </c:manualLayout>
              </c:layout>
              <c:showVal val="1"/>
            </c:dLbl>
            <c:dLbl>
              <c:idx val="4"/>
              <c:layout>
                <c:manualLayout>
                  <c:x val="1.9483676437807194E-3"/>
                  <c:y val="1.70357705574131E-2"/>
                </c:manualLayout>
              </c:layout>
              <c:showVal val="1"/>
            </c:dLbl>
            <c:dLbl>
              <c:idx val="5"/>
              <c:layout>
                <c:manualLayout>
                  <c:x val="1.9483676437807194E-3"/>
                  <c:y val="6.8143082229653014E-3"/>
                </c:manualLayout>
              </c:layout>
              <c:showVal val="1"/>
            </c:dLbl>
            <c:dLbl>
              <c:idx val="6"/>
              <c:layout>
                <c:manualLayout>
                  <c:x val="1.9483676437807194E-3"/>
                  <c:y val="-2.3850078780378411E-2"/>
                </c:manualLayout>
              </c:layout>
              <c:showVal val="1"/>
            </c:dLbl>
            <c:dLbl>
              <c:idx val="7"/>
              <c:layout>
                <c:manualLayout>
                  <c:x val="1.9487031822372136E-3"/>
                  <c:y val="1.3619828390806731E-2"/>
                </c:manualLayout>
              </c:layout>
              <c:showVal val="1"/>
            </c:dLbl>
            <c:dLbl>
              <c:idx val="8"/>
              <c:layout>
                <c:manualLayout>
                  <c:x val="1.9483962031599821E-3"/>
                  <c:y val="1.7023711454253122E-2"/>
                </c:manualLayout>
              </c:layout>
              <c:showVal val="1"/>
            </c:dLbl>
            <c:dLbl>
              <c:idx val="9"/>
              <c:layout>
                <c:manualLayout>
                  <c:x val="0"/>
                  <c:y val="2.0442924668895742E-2"/>
                </c:manualLayout>
              </c:layout>
              <c:showVal val="1"/>
            </c:dLbl>
            <c:dLbl>
              <c:idx val="10"/>
              <c:layout>
                <c:manualLayout>
                  <c:x val="1.9483676437807194E-3"/>
                  <c:y val="1.70357705574131E-2"/>
                </c:manualLayout>
              </c:layout>
              <c:showVal val="1"/>
            </c:dLbl>
            <c:dLbl>
              <c:idx val="11"/>
              <c:layout>
                <c:manualLayout>
                  <c:x val="1.9483676437807194E-3"/>
                  <c:y val="2.0442924668895742E-2"/>
                </c:manualLayout>
              </c:layout>
              <c:showVal val="1"/>
            </c:dLbl>
            <c:dLbl>
              <c:idx val="12"/>
              <c:layout>
                <c:manualLayout>
                  <c:x val="1.9483676437807194E-3"/>
                  <c:y val="2.0442924668895742E-2"/>
                </c:manualLayout>
              </c:layout>
              <c:showVal val="1"/>
            </c:dLbl>
            <c:dLbl>
              <c:idx val="13"/>
              <c:layout>
                <c:manualLayout>
                  <c:x val="0"/>
                  <c:y val="2.0442924668895742E-2"/>
                </c:manualLayout>
              </c:layout>
              <c:showVal val="1"/>
            </c:dLbl>
            <c:dLbl>
              <c:idx val="14"/>
              <c:layout>
                <c:manualLayout>
                  <c:x val="-1.9485496926985961E-3"/>
                  <c:y val="1.3619828390806731E-2"/>
                </c:manualLayout>
              </c:layout>
              <c:showVal val="1"/>
            </c:dLbl>
            <c:dLbl>
              <c:idx val="15"/>
              <c:layout>
                <c:manualLayout>
                  <c:x val="-1.9485496926985961E-3"/>
                  <c:y val="1.0212723224594522E-2"/>
                </c:manualLayout>
              </c:layout>
              <c:showVal val="1"/>
            </c:dLbl>
            <c:dLbl>
              <c:idx val="16"/>
              <c:layout>
                <c:manualLayout>
                  <c:x val="-1.9483962031599101E-3"/>
                  <c:y val="1.70298871512208E-2"/>
                </c:manualLayout>
              </c:layout>
              <c:showVal val="1"/>
            </c:dLbl>
            <c:dLbl>
              <c:idx val="17"/>
              <c:layout>
                <c:manualLayout>
                  <c:x val="-1.9483962031599821E-3"/>
                  <c:y val="1.3616874796604802E-2"/>
                </c:manualLayout>
              </c:layout>
              <c:showVal val="1"/>
            </c:dLbl>
            <c:dLbl>
              <c:idx val="18"/>
              <c:layout>
                <c:manualLayout>
                  <c:x val="-1.9483676437806457E-3"/>
                  <c:y val="2.0442924668895742E-2"/>
                </c:manualLayout>
              </c:layout>
              <c:showVal val="1"/>
            </c:dLbl>
            <c:dLbl>
              <c:idx val="19"/>
              <c:layout>
                <c:manualLayout>
                  <c:x val="-1.9483676437807194E-3"/>
                  <c:y val="-1.70357705574131E-2"/>
                </c:manualLayout>
              </c:layout>
              <c:showVal val="1"/>
            </c:dLbl>
            <c:dLbl>
              <c:idx val="20"/>
              <c:layout>
                <c:manualLayout>
                  <c:x val="1.9483676437807194E-3"/>
                  <c:y val="1.0221462334447861E-2"/>
                </c:manualLayout>
              </c:layout>
              <c:showVal val="1"/>
            </c:dLbl>
            <c:dLbl>
              <c:idx val="21"/>
              <c:layout>
                <c:manualLayout>
                  <c:x val="0"/>
                  <c:y val="1.70357705574131E-2"/>
                </c:manualLayout>
              </c:layout>
              <c:showVal val="1"/>
            </c:dLbl>
            <c:dLbl>
              <c:idx val="22"/>
              <c:layout>
                <c:manualLayout>
                  <c:x val="0"/>
                  <c:y val="2.0442924668895742E-2"/>
                </c:manualLayout>
              </c:layout>
              <c:showVal val="1"/>
            </c:dLbl>
            <c:dLbl>
              <c:idx val="23"/>
              <c:layout>
                <c:manualLayout>
                  <c:x val="0"/>
                  <c:y val="6.7997108699784873E-3"/>
                </c:manualLayout>
              </c:layout>
              <c:showVal val="1"/>
            </c:dLbl>
            <c:dLbl>
              <c:idx val="24"/>
              <c:layout>
                <c:manualLayout>
                  <c:x val="0"/>
                  <c:y val="1.0209769630392601E-2"/>
                </c:manualLayout>
              </c:layout>
              <c:showVal val="1"/>
            </c:dLbl>
            <c:dLbl>
              <c:idx val="25"/>
              <c:layout>
                <c:manualLayout>
                  <c:x val="1.9483962031599821E-3"/>
                  <c:y val="3.3896521095643788E-3"/>
                </c:manualLayout>
              </c:layout>
              <c:showVal val="1"/>
            </c:dLbl>
            <c:dLbl>
              <c:idx val="26"/>
              <c:layout>
                <c:manualLayout>
                  <c:x val="0"/>
                  <c:y val="1.3628616445930481E-2"/>
                </c:manualLayout>
              </c:layout>
              <c:showVal val="1"/>
            </c:dLbl>
            <c:dLbl>
              <c:idx val="27"/>
              <c:layout>
                <c:manualLayout>
                  <c:x val="3.8967352875614336E-3"/>
                  <c:y val="2.0442924668895742E-2"/>
                </c:manualLayout>
              </c:layout>
              <c:showVal val="1"/>
            </c:dLbl>
            <c:txPr>
              <a:bodyPr rot="-5400000" vert="horz"/>
              <a:lstStyle/>
              <a:p>
                <a:pPr>
                  <a:defRPr/>
                </a:pPr>
                <a:endParaRPr lang="pt-BR"/>
              </a:p>
            </c:txPr>
            <c:showVal val="1"/>
          </c:dLbls>
          <c:cat>
            <c:numRef>
              <c:f>'TABELA GAMA'!$E$7:$E$34</c:f>
              <c:numCache>
                <c:formatCode>mmm/yy</c:formatCode>
                <c:ptCount val="28"/>
                <c:pt idx="0">
                  <c:v>42370</c:v>
                </c:pt>
                <c:pt idx="1">
                  <c:v>42401</c:v>
                </c:pt>
                <c:pt idx="2">
                  <c:v>42430</c:v>
                </c:pt>
                <c:pt idx="3">
                  <c:v>42461</c:v>
                </c:pt>
                <c:pt idx="4">
                  <c:v>42491</c:v>
                </c:pt>
                <c:pt idx="5">
                  <c:v>42522</c:v>
                </c:pt>
                <c:pt idx="6">
                  <c:v>42552</c:v>
                </c:pt>
                <c:pt idx="7">
                  <c:v>42583</c:v>
                </c:pt>
                <c:pt idx="8">
                  <c:v>42614</c:v>
                </c:pt>
                <c:pt idx="9">
                  <c:v>42644</c:v>
                </c:pt>
                <c:pt idx="10">
                  <c:v>42675</c:v>
                </c:pt>
                <c:pt idx="11">
                  <c:v>42705</c:v>
                </c:pt>
                <c:pt idx="12">
                  <c:v>42736</c:v>
                </c:pt>
                <c:pt idx="13">
                  <c:v>42767</c:v>
                </c:pt>
                <c:pt idx="14">
                  <c:v>42795</c:v>
                </c:pt>
                <c:pt idx="15">
                  <c:v>42826</c:v>
                </c:pt>
                <c:pt idx="16">
                  <c:v>42856</c:v>
                </c:pt>
                <c:pt idx="17">
                  <c:v>42887</c:v>
                </c:pt>
                <c:pt idx="18">
                  <c:v>42917</c:v>
                </c:pt>
                <c:pt idx="19">
                  <c:v>42948</c:v>
                </c:pt>
                <c:pt idx="20">
                  <c:v>42979</c:v>
                </c:pt>
                <c:pt idx="21">
                  <c:v>43009</c:v>
                </c:pt>
                <c:pt idx="22">
                  <c:v>43040</c:v>
                </c:pt>
                <c:pt idx="23">
                  <c:v>43070</c:v>
                </c:pt>
                <c:pt idx="24">
                  <c:v>43101</c:v>
                </c:pt>
                <c:pt idx="25">
                  <c:v>43132</c:v>
                </c:pt>
                <c:pt idx="26">
                  <c:v>43160</c:v>
                </c:pt>
                <c:pt idx="27">
                  <c:v>43191</c:v>
                </c:pt>
              </c:numCache>
            </c:numRef>
          </c:cat>
          <c:val>
            <c:numRef>
              <c:f>'TABELA GAMA'!$G$7:$G$34</c:f>
              <c:numCache>
                <c:formatCode>_-* #,##0.00_-;\-* #,##0.00_-;_-* "-"??_-;_-@_-</c:formatCode>
                <c:ptCount val="28"/>
                <c:pt idx="0">
                  <c:v>1643.4964280081228</c:v>
                </c:pt>
                <c:pt idx="1">
                  <c:v>1570.4836515705301</c:v>
                </c:pt>
                <c:pt idx="2">
                  <c:v>1585.1945786214328</c:v>
                </c:pt>
                <c:pt idx="3">
                  <c:v>1659.7034292034898</c:v>
                </c:pt>
                <c:pt idx="4">
                  <c:v>1628.2057014039033</c:v>
                </c:pt>
                <c:pt idx="5">
                  <c:v>1858.1660475406629</c:v>
                </c:pt>
                <c:pt idx="6">
                  <c:v>2088.8533519729631</c:v>
                </c:pt>
                <c:pt idx="7">
                  <c:v>2064.7888313089652</c:v>
                </c:pt>
                <c:pt idx="8">
                  <c:v>1548.8925081545249</c:v>
                </c:pt>
                <c:pt idx="9">
                  <c:v>1941.3949273257595</c:v>
                </c:pt>
                <c:pt idx="10">
                  <c:v>2214.9618063870962</c:v>
                </c:pt>
                <c:pt idx="11">
                  <c:v>4427.4647911022112</c:v>
                </c:pt>
                <c:pt idx="12">
                  <c:v>2329.2760038998267</c:v>
                </c:pt>
                <c:pt idx="13">
                  <c:v>2888.7325689945997</c:v>
                </c:pt>
                <c:pt idx="14">
                  <c:v>3116.8344725549587</c:v>
                </c:pt>
                <c:pt idx="15">
                  <c:v>2754.4144786692254</c:v>
                </c:pt>
                <c:pt idx="16">
                  <c:v>2931.7847014472045</c:v>
                </c:pt>
                <c:pt idx="17">
                  <c:v>3053.2466961507598</c:v>
                </c:pt>
                <c:pt idx="18">
                  <c:v>3495.2021643498197</c:v>
                </c:pt>
                <c:pt idx="19">
                  <c:v>3054.3686361169148</c:v>
                </c:pt>
                <c:pt idx="20">
                  <c:v>2588.4757662844772</c:v>
                </c:pt>
                <c:pt idx="21">
                  <c:v>3195.9568660670848</c:v>
                </c:pt>
                <c:pt idx="22">
                  <c:v>3380.2567362569512</c:v>
                </c:pt>
                <c:pt idx="23">
                  <c:v>5407.9131111622719</c:v>
                </c:pt>
                <c:pt idx="24">
                  <c:v>3430.1418065444786</c:v>
                </c:pt>
                <c:pt idx="25">
                  <c:v>3052.1065461969738</c:v>
                </c:pt>
                <c:pt idx="26">
                  <c:v>3766.646539561033</c:v>
                </c:pt>
                <c:pt idx="27">
                  <c:v>3285.3889966206357</c:v>
                </c:pt>
              </c:numCache>
            </c:numRef>
          </c:val>
        </c:ser>
        <c:dLbls>
          <c:showVal val="1"/>
        </c:dLbls>
        <c:overlap val="-25"/>
        <c:axId val="85816832"/>
        <c:axId val="85818368"/>
      </c:barChart>
      <c:dateAx>
        <c:axId val="85816832"/>
        <c:scaling>
          <c:orientation val="minMax"/>
        </c:scaling>
        <c:axPos val="b"/>
        <c:numFmt formatCode="mmm/yy" sourceLinked="1"/>
        <c:majorTickMark val="none"/>
        <c:tickLblPos val="nextTo"/>
        <c:crossAx val="85818368"/>
        <c:crosses val="autoZero"/>
        <c:auto val="1"/>
        <c:lblOffset val="100"/>
      </c:dateAx>
      <c:valAx>
        <c:axId val="85818368"/>
        <c:scaling>
          <c:orientation val="minMax"/>
        </c:scaling>
        <c:delete val="1"/>
        <c:axPos val="l"/>
        <c:numFmt formatCode="_-* #,##0.00_-;\-* #,##0.00_-;_-* &quot;-&quot;??_-;_-@_-" sourceLinked="1"/>
        <c:majorTickMark val="none"/>
        <c:tickLblPos val="nextTo"/>
        <c:crossAx val="85816832"/>
        <c:crosses val="autoZero"/>
        <c:crossBetween val="between"/>
      </c:valAx>
    </c:plotArea>
    <c:legend>
      <c:legendPos val="t"/>
    </c:legend>
    <c:plotVisOnly val="1"/>
  </c:chart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pt-BR"/>
    </a:p>
  </c:txPr>
  <c:externalData r:id="rId2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B928D8-A9A6-43DB-A871-AA3A22044B6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EA69777E-7A5D-4E8B-A0D1-5F263EE312F2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marR="0" algn="ctr" rtl="0"/>
          <a:r>
            <a:rPr lang="pt-BR" sz="1000" b="1" baseline="0" smtClean="0">
              <a:solidFill>
                <a:sysClr val="windowText" lastClr="000000"/>
              </a:solidFill>
              <a:latin typeface="Times New Roman"/>
            </a:rPr>
            <a:t>1. </a:t>
          </a:r>
          <a:r>
            <a:rPr lang="pt-BR" sz="1000" b="0" baseline="0" smtClean="0">
              <a:solidFill>
                <a:sysClr val="windowText" lastClr="000000"/>
              </a:solidFill>
              <a:latin typeface="Times New Roman"/>
            </a:rPr>
            <a:t>Apuração da receita bruta do mês (Base de cálculo)</a:t>
          </a:r>
          <a:endParaRPr lang="pt-BR" sz="1000" b="0" smtClean="0">
            <a:solidFill>
              <a:sysClr val="windowText" lastClr="000000"/>
            </a:solidFill>
          </a:endParaRPr>
        </a:p>
      </dgm:t>
    </dgm:pt>
    <dgm:pt modelId="{BC5B1BD4-A72D-4D66-A7E5-663CE155290F}" type="parTrans" cxnId="{E0BFC9DD-0BE3-45F8-A582-DA29B0E54678}">
      <dgm:prSet/>
      <dgm:spPr/>
      <dgm:t>
        <a:bodyPr/>
        <a:lstStyle/>
        <a:p>
          <a:endParaRPr lang="pt-BR" sz="1000"/>
        </a:p>
      </dgm:t>
    </dgm:pt>
    <dgm:pt modelId="{6D3C9410-B8D5-4CB3-8F57-ADD403BD778F}" type="sibTrans" cxnId="{E0BFC9DD-0BE3-45F8-A582-DA29B0E54678}">
      <dgm:prSet/>
      <dgm:spPr/>
      <dgm:t>
        <a:bodyPr/>
        <a:lstStyle/>
        <a:p>
          <a:endParaRPr lang="pt-BR" sz="1000"/>
        </a:p>
      </dgm:t>
    </dgm:pt>
    <dgm:pt modelId="{3D3942FB-040F-4FAC-B178-5F01689BF53D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marR="0" algn="ctr" rtl="0"/>
          <a:r>
            <a:rPr lang="pt-BR" sz="1000" b="1" baseline="0" smtClean="0">
              <a:solidFill>
                <a:sysClr val="windowText" lastClr="000000"/>
              </a:solidFill>
              <a:latin typeface="Times New Roman"/>
            </a:rPr>
            <a:t>2. </a:t>
          </a:r>
          <a:r>
            <a:rPr lang="pt-BR" sz="1000" b="0" baseline="0" smtClean="0">
              <a:solidFill>
                <a:sysClr val="windowText" lastClr="000000"/>
              </a:solidFill>
              <a:latin typeface="Times New Roman"/>
            </a:rPr>
            <a:t>Segregar as receitas por tipo de atividades e enquadramento nos anexos</a:t>
          </a:r>
          <a:endParaRPr lang="pt-BR" sz="1000" b="0" smtClean="0">
            <a:solidFill>
              <a:sysClr val="windowText" lastClr="000000"/>
            </a:solidFill>
          </a:endParaRPr>
        </a:p>
      </dgm:t>
    </dgm:pt>
    <dgm:pt modelId="{8F001285-C804-4CE5-AFF2-75E939CFB6E2}" type="parTrans" cxnId="{224AF09C-E594-4E2B-A16D-E5262E67FBBA}">
      <dgm:prSet/>
      <dgm:spPr/>
      <dgm:t>
        <a:bodyPr/>
        <a:lstStyle/>
        <a:p>
          <a:endParaRPr lang="pt-BR" sz="1000"/>
        </a:p>
      </dgm:t>
    </dgm:pt>
    <dgm:pt modelId="{35AA4F74-F8D6-4CD1-AE28-AF303422F774}" type="sibTrans" cxnId="{224AF09C-E594-4E2B-A16D-E5262E67FBBA}">
      <dgm:prSet/>
      <dgm:spPr/>
      <dgm:t>
        <a:bodyPr/>
        <a:lstStyle/>
        <a:p>
          <a:endParaRPr lang="pt-BR" sz="1000"/>
        </a:p>
      </dgm:t>
    </dgm:pt>
    <dgm:pt modelId="{9AC1CC54-F959-49F8-B1BA-D46E3A7AEFB1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marR="0" algn="ctr" rtl="0"/>
          <a:r>
            <a:rPr lang="pt-BR" sz="1000" b="1" baseline="0" smtClean="0">
              <a:solidFill>
                <a:sysClr val="windowText" lastClr="000000"/>
              </a:solidFill>
              <a:latin typeface="Times New Roman"/>
            </a:rPr>
            <a:t>3.</a:t>
          </a:r>
          <a:r>
            <a:rPr lang="pt-BR" sz="1000" b="0" baseline="0" smtClean="0">
              <a:solidFill>
                <a:sysClr val="windowText" lastClr="000000"/>
              </a:solidFill>
              <a:latin typeface="Times New Roman"/>
            </a:rPr>
            <a:t> Verificar a receita bruta acumulada dos últimos 12 meses </a:t>
          </a:r>
          <a:endParaRPr lang="pt-BR" sz="1000" b="0" smtClean="0">
            <a:solidFill>
              <a:sysClr val="windowText" lastClr="000000"/>
            </a:solidFill>
          </a:endParaRPr>
        </a:p>
      </dgm:t>
    </dgm:pt>
    <dgm:pt modelId="{F5C8A948-BA4F-47D9-BA94-7BE7B2740A93}" type="parTrans" cxnId="{4E9A91A2-7840-40EE-BF7C-2B60D457F622}">
      <dgm:prSet/>
      <dgm:spPr/>
      <dgm:t>
        <a:bodyPr/>
        <a:lstStyle/>
        <a:p>
          <a:endParaRPr lang="pt-BR" sz="1000"/>
        </a:p>
      </dgm:t>
    </dgm:pt>
    <dgm:pt modelId="{1CF6751F-021F-4571-8A2F-7398934BDC74}" type="sibTrans" cxnId="{4E9A91A2-7840-40EE-BF7C-2B60D457F622}">
      <dgm:prSet/>
      <dgm:spPr/>
      <dgm:t>
        <a:bodyPr/>
        <a:lstStyle/>
        <a:p>
          <a:endParaRPr lang="pt-BR" sz="1000"/>
        </a:p>
      </dgm:t>
    </dgm:pt>
    <dgm:pt modelId="{6F46784F-8CA1-49D5-B631-061BCC3A3F57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marR="0" algn="ctr" rtl="0"/>
          <a:r>
            <a:rPr lang="pt-BR" sz="1000" b="1" baseline="0" smtClean="0">
              <a:solidFill>
                <a:sysClr val="windowText" lastClr="000000"/>
              </a:solidFill>
              <a:latin typeface="Times New Roman"/>
            </a:rPr>
            <a:t>4. </a:t>
          </a:r>
          <a:r>
            <a:rPr lang="pt-BR" sz="1000" b="0" baseline="0" smtClean="0">
              <a:solidFill>
                <a:sysClr val="windowText" lastClr="000000"/>
              </a:solidFill>
              <a:latin typeface="Times New Roman"/>
            </a:rPr>
            <a:t>Enquadrado nos Anexos conforme passo 2, verificar a faixa da receita (passo 3) para indicação da alíquota correspondente.</a:t>
          </a:r>
        </a:p>
      </dgm:t>
    </dgm:pt>
    <dgm:pt modelId="{4093AFA9-AAB3-4212-B33F-1C4ACCBDB758}" type="parTrans" cxnId="{FE90240F-54D0-4A32-A893-D509741527CD}">
      <dgm:prSet/>
      <dgm:spPr/>
      <dgm:t>
        <a:bodyPr/>
        <a:lstStyle/>
        <a:p>
          <a:endParaRPr lang="pt-BR" sz="1000"/>
        </a:p>
      </dgm:t>
    </dgm:pt>
    <dgm:pt modelId="{D3CD5305-ECD9-4394-9F61-A5033A773467}" type="sibTrans" cxnId="{FE90240F-54D0-4A32-A893-D509741527CD}">
      <dgm:prSet/>
      <dgm:spPr/>
      <dgm:t>
        <a:bodyPr/>
        <a:lstStyle/>
        <a:p>
          <a:endParaRPr lang="pt-BR" sz="1000"/>
        </a:p>
      </dgm:t>
    </dgm:pt>
    <dgm:pt modelId="{FC07CE6C-E92D-4DC9-873A-47838242E8BD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marR="0" algn="ctr" rtl="0"/>
          <a:r>
            <a:rPr lang="pt-BR" sz="1000" b="1" baseline="0" smtClean="0">
              <a:solidFill>
                <a:sysClr val="windowText" lastClr="000000"/>
              </a:solidFill>
              <a:latin typeface="Times New Roman"/>
            </a:rPr>
            <a:t>5. </a:t>
          </a:r>
          <a:r>
            <a:rPr lang="pt-BR" sz="1000" b="0" baseline="0" smtClean="0">
              <a:solidFill>
                <a:sysClr val="windowText" lastClr="000000"/>
              </a:solidFill>
              <a:latin typeface="Times New Roman"/>
            </a:rPr>
            <a:t>Alíquota x Base de Cálculo = Simples Nacional a pagar.</a:t>
          </a:r>
          <a:endParaRPr lang="pt-BR" sz="1000" b="0" smtClean="0">
            <a:solidFill>
              <a:sysClr val="windowText" lastClr="000000"/>
            </a:solidFill>
          </a:endParaRPr>
        </a:p>
      </dgm:t>
    </dgm:pt>
    <dgm:pt modelId="{2FAD2913-2E44-400E-886D-7D6AF3130470}" type="parTrans" cxnId="{D9A7FF6C-4CC9-49EF-B5A0-1DD1967A5FE0}">
      <dgm:prSet/>
      <dgm:spPr/>
      <dgm:t>
        <a:bodyPr/>
        <a:lstStyle/>
        <a:p>
          <a:endParaRPr lang="pt-BR" sz="1000"/>
        </a:p>
      </dgm:t>
    </dgm:pt>
    <dgm:pt modelId="{CD454204-A7B8-4CD6-86BA-7C201D91279A}" type="sibTrans" cxnId="{D9A7FF6C-4CC9-49EF-B5A0-1DD1967A5FE0}">
      <dgm:prSet/>
      <dgm:spPr/>
      <dgm:t>
        <a:bodyPr/>
        <a:lstStyle/>
        <a:p>
          <a:endParaRPr lang="pt-BR" sz="1000"/>
        </a:p>
      </dgm:t>
    </dgm:pt>
    <dgm:pt modelId="{E8272161-D73F-4F8E-8624-98F0787E4237}" type="pres">
      <dgm:prSet presAssocID="{A3B928D8-A9A6-43DB-A871-AA3A22044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43D6EB-862A-460B-B02C-8CF9D440D072}" type="pres">
      <dgm:prSet presAssocID="{EA69777E-7A5D-4E8B-A0D1-5F263EE312F2}" presName="hierRoot1" presStyleCnt="0">
        <dgm:presLayoutVars>
          <dgm:hierBranch/>
        </dgm:presLayoutVars>
      </dgm:prSet>
      <dgm:spPr/>
    </dgm:pt>
    <dgm:pt modelId="{3E322886-7668-4FDE-B101-C65E5896B974}" type="pres">
      <dgm:prSet presAssocID="{EA69777E-7A5D-4E8B-A0D1-5F263EE312F2}" presName="rootComposite1" presStyleCnt="0"/>
      <dgm:spPr/>
    </dgm:pt>
    <dgm:pt modelId="{E8F6F056-F01B-40AB-89BD-DA899505C524}" type="pres">
      <dgm:prSet presAssocID="{EA69777E-7A5D-4E8B-A0D1-5F263EE312F2}" presName="rootText1" presStyleLbl="node0" presStyleIdx="0" presStyleCnt="1" custScaleX="107023" custScaleY="496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4486FAE-4372-4A22-A26B-8D3F031843F9}" type="pres">
      <dgm:prSet presAssocID="{EA69777E-7A5D-4E8B-A0D1-5F263EE312F2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4251F85-A14E-4651-A411-31D94F34414E}" type="pres">
      <dgm:prSet presAssocID="{EA69777E-7A5D-4E8B-A0D1-5F263EE312F2}" presName="hierChild2" presStyleCnt="0"/>
      <dgm:spPr/>
    </dgm:pt>
    <dgm:pt modelId="{A2EB4334-9385-41E5-88D1-61BBAAF3C195}" type="pres">
      <dgm:prSet presAssocID="{8F001285-C804-4CE5-AFF2-75E939CFB6E2}" presName="Name35" presStyleLbl="parChTrans1D2" presStyleIdx="0" presStyleCnt="1"/>
      <dgm:spPr/>
      <dgm:t>
        <a:bodyPr/>
        <a:lstStyle/>
        <a:p>
          <a:endParaRPr lang="pt-BR"/>
        </a:p>
      </dgm:t>
    </dgm:pt>
    <dgm:pt modelId="{205F6FB3-7025-4656-90BA-39D7C803895D}" type="pres">
      <dgm:prSet presAssocID="{3D3942FB-040F-4FAC-B178-5F01689BF53D}" presName="hierRoot2" presStyleCnt="0">
        <dgm:presLayoutVars>
          <dgm:hierBranch/>
        </dgm:presLayoutVars>
      </dgm:prSet>
      <dgm:spPr/>
    </dgm:pt>
    <dgm:pt modelId="{2E54A4E7-65B9-47E5-BE36-218F03E683BD}" type="pres">
      <dgm:prSet presAssocID="{3D3942FB-040F-4FAC-B178-5F01689BF53D}" presName="rootComposite" presStyleCnt="0"/>
      <dgm:spPr/>
    </dgm:pt>
    <dgm:pt modelId="{AE6C5646-D451-4E44-A709-CF80ECF4566C}" type="pres">
      <dgm:prSet presAssocID="{3D3942FB-040F-4FAC-B178-5F01689BF53D}" presName="rootText" presStyleLbl="node2" presStyleIdx="0" presStyleCnt="1" custScaleX="109936" custScaleY="66002" custLinFactNeighborX="-1915" custLinFactNeighborY="-2488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BF5BEC-2DE7-48BD-9F9F-FEB1CE5B7A43}" type="pres">
      <dgm:prSet presAssocID="{3D3942FB-040F-4FAC-B178-5F01689BF53D}" presName="rootConnector" presStyleLbl="node2" presStyleIdx="0" presStyleCnt="1"/>
      <dgm:spPr/>
      <dgm:t>
        <a:bodyPr/>
        <a:lstStyle/>
        <a:p>
          <a:endParaRPr lang="pt-BR"/>
        </a:p>
      </dgm:t>
    </dgm:pt>
    <dgm:pt modelId="{6F986FD5-401B-4EF4-932D-9A4B5097F1E9}" type="pres">
      <dgm:prSet presAssocID="{3D3942FB-040F-4FAC-B178-5F01689BF53D}" presName="hierChild4" presStyleCnt="0"/>
      <dgm:spPr/>
    </dgm:pt>
    <dgm:pt modelId="{70FCA103-93CD-43A0-AB74-1DCB1E3876CF}" type="pres">
      <dgm:prSet presAssocID="{F5C8A948-BA4F-47D9-BA94-7BE7B2740A93}" presName="Name35" presStyleLbl="parChTrans1D3" presStyleIdx="0" presStyleCnt="3"/>
      <dgm:spPr/>
      <dgm:t>
        <a:bodyPr/>
        <a:lstStyle/>
        <a:p>
          <a:endParaRPr lang="pt-BR"/>
        </a:p>
      </dgm:t>
    </dgm:pt>
    <dgm:pt modelId="{1B2E93A3-F9A4-47B0-9476-20F57F17A6FB}" type="pres">
      <dgm:prSet presAssocID="{9AC1CC54-F959-49F8-B1BA-D46E3A7AEFB1}" presName="hierRoot2" presStyleCnt="0">
        <dgm:presLayoutVars>
          <dgm:hierBranch val="r"/>
        </dgm:presLayoutVars>
      </dgm:prSet>
      <dgm:spPr/>
    </dgm:pt>
    <dgm:pt modelId="{2F414410-B8E1-474D-BF9A-D853BA7BDA6F}" type="pres">
      <dgm:prSet presAssocID="{9AC1CC54-F959-49F8-B1BA-D46E3A7AEFB1}" presName="rootComposite" presStyleCnt="0"/>
      <dgm:spPr/>
    </dgm:pt>
    <dgm:pt modelId="{095FE1E7-ACB2-4852-98D5-0058C32FA879}" type="pres">
      <dgm:prSet presAssocID="{9AC1CC54-F959-49F8-B1BA-D46E3A7AEFB1}" presName="rootText" presStyleLbl="node3" presStyleIdx="0" presStyleCnt="3" custScaleX="82626" custScaleY="67115" custLinFactNeighborX="-21058" custLinFactNeighborY="-3637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0B57403-D83D-48F1-B4FF-8B4CF7A01AF7}" type="pres">
      <dgm:prSet presAssocID="{9AC1CC54-F959-49F8-B1BA-D46E3A7AEFB1}" presName="rootConnector" presStyleLbl="node3" presStyleIdx="0" presStyleCnt="3"/>
      <dgm:spPr/>
      <dgm:t>
        <a:bodyPr/>
        <a:lstStyle/>
        <a:p>
          <a:endParaRPr lang="pt-BR"/>
        </a:p>
      </dgm:t>
    </dgm:pt>
    <dgm:pt modelId="{785FCCD5-1FFD-4D7C-A148-B8DD0567F01E}" type="pres">
      <dgm:prSet presAssocID="{9AC1CC54-F959-49F8-B1BA-D46E3A7AEFB1}" presName="hierChild4" presStyleCnt="0"/>
      <dgm:spPr/>
    </dgm:pt>
    <dgm:pt modelId="{F3E28289-9142-493A-81E6-B731599D69B1}" type="pres">
      <dgm:prSet presAssocID="{9AC1CC54-F959-49F8-B1BA-D46E3A7AEFB1}" presName="hierChild5" presStyleCnt="0"/>
      <dgm:spPr/>
    </dgm:pt>
    <dgm:pt modelId="{F012EB98-65F5-44A9-A71D-73BE063A126D}" type="pres">
      <dgm:prSet presAssocID="{4093AFA9-AAB3-4212-B33F-1C4ACCBDB758}" presName="Name35" presStyleLbl="parChTrans1D3" presStyleIdx="1" presStyleCnt="3"/>
      <dgm:spPr/>
      <dgm:t>
        <a:bodyPr/>
        <a:lstStyle/>
        <a:p>
          <a:endParaRPr lang="pt-BR"/>
        </a:p>
      </dgm:t>
    </dgm:pt>
    <dgm:pt modelId="{E7C58BD1-1B46-4E87-B4A0-16AD8902CA6C}" type="pres">
      <dgm:prSet presAssocID="{6F46784F-8CA1-49D5-B631-061BCC3A3F57}" presName="hierRoot2" presStyleCnt="0">
        <dgm:presLayoutVars>
          <dgm:hierBranch val="r"/>
        </dgm:presLayoutVars>
      </dgm:prSet>
      <dgm:spPr/>
    </dgm:pt>
    <dgm:pt modelId="{BEB93492-4A52-49F7-A53F-76DD6F959CD9}" type="pres">
      <dgm:prSet presAssocID="{6F46784F-8CA1-49D5-B631-061BCC3A3F57}" presName="rootComposite" presStyleCnt="0"/>
      <dgm:spPr/>
    </dgm:pt>
    <dgm:pt modelId="{427B4AF1-99DC-4AB7-A84E-8935F062BA1B}" type="pres">
      <dgm:prSet presAssocID="{6F46784F-8CA1-49D5-B631-061BCC3A3F57}" presName="rootText" presStyleLbl="node3" presStyleIdx="1" presStyleCnt="3" custLinFactNeighborX="63176" custLinFactNeighborY="-2488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BBBF7FA-8962-4486-BA09-2AD1C89D85EA}" type="pres">
      <dgm:prSet presAssocID="{6F46784F-8CA1-49D5-B631-061BCC3A3F57}" presName="rootConnector" presStyleLbl="node3" presStyleIdx="1" presStyleCnt="3"/>
      <dgm:spPr/>
      <dgm:t>
        <a:bodyPr/>
        <a:lstStyle/>
        <a:p>
          <a:endParaRPr lang="pt-BR"/>
        </a:p>
      </dgm:t>
    </dgm:pt>
    <dgm:pt modelId="{3175758F-4627-4D75-BA75-5991F4A19EE5}" type="pres">
      <dgm:prSet presAssocID="{6F46784F-8CA1-49D5-B631-061BCC3A3F57}" presName="hierChild4" presStyleCnt="0"/>
      <dgm:spPr/>
    </dgm:pt>
    <dgm:pt modelId="{82F6233B-5BA9-4D31-AE3F-61180741FBB3}" type="pres">
      <dgm:prSet presAssocID="{6F46784F-8CA1-49D5-B631-061BCC3A3F57}" presName="hierChild5" presStyleCnt="0"/>
      <dgm:spPr/>
    </dgm:pt>
    <dgm:pt modelId="{423639E5-59F1-480D-8CF6-7A6A8EF7B511}" type="pres">
      <dgm:prSet presAssocID="{2FAD2913-2E44-400E-886D-7D6AF3130470}" presName="Name35" presStyleLbl="parChTrans1D3" presStyleIdx="2" presStyleCnt="3"/>
      <dgm:spPr/>
      <dgm:t>
        <a:bodyPr/>
        <a:lstStyle/>
        <a:p>
          <a:endParaRPr lang="pt-BR"/>
        </a:p>
      </dgm:t>
    </dgm:pt>
    <dgm:pt modelId="{2647C4B3-14F3-4056-ABF5-EFF458999D14}" type="pres">
      <dgm:prSet presAssocID="{FC07CE6C-E92D-4DC9-873A-47838242E8BD}" presName="hierRoot2" presStyleCnt="0">
        <dgm:presLayoutVars>
          <dgm:hierBranch val="r"/>
        </dgm:presLayoutVars>
      </dgm:prSet>
      <dgm:spPr/>
    </dgm:pt>
    <dgm:pt modelId="{4EE19B36-FCB5-4155-B393-CF13240ECD49}" type="pres">
      <dgm:prSet presAssocID="{FC07CE6C-E92D-4DC9-873A-47838242E8BD}" presName="rootComposite" presStyleCnt="0"/>
      <dgm:spPr/>
    </dgm:pt>
    <dgm:pt modelId="{A99A1A8A-6452-4F86-8D9C-441D321AD6B5}" type="pres">
      <dgm:prSet presAssocID="{FC07CE6C-E92D-4DC9-873A-47838242E8BD}" presName="rootText" presStyleLbl="node3" presStyleIdx="2" presStyleCnt="3" custScaleX="78112" custScaleY="59755" custLinFactX="-56024" custLinFactNeighborX="-100000" custLinFactNeighborY="2584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BAE0FF-1440-4BAA-AD3C-8930EAF21925}" type="pres">
      <dgm:prSet presAssocID="{FC07CE6C-E92D-4DC9-873A-47838242E8BD}" presName="rootConnector" presStyleLbl="node3" presStyleIdx="2" presStyleCnt="3"/>
      <dgm:spPr/>
      <dgm:t>
        <a:bodyPr/>
        <a:lstStyle/>
        <a:p>
          <a:endParaRPr lang="pt-BR"/>
        </a:p>
      </dgm:t>
    </dgm:pt>
    <dgm:pt modelId="{74BE8C2B-D306-4679-B48F-E5390AA4A102}" type="pres">
      <dgm:prSet presAssocID="{FC07CE6C-E92D-4DC9-873A-47838242E8BD}" presName="hierChild4" presStyleCnt="0"/>
      <dgm:spPr/>
    </dgm:pt>
    <dgm:pt modelId="{04DC4992-ECD7-451C-8405-63576871BCBE}" type="pres">
      <dgm:prSet presAssocID="{FC07CE6C-E92D-4DC9-873A-47838242E8BD}" presName="hierChild5" presStyleCnt="0"/>
      <dgm:spPr/>
    </dgm:pt>
    <dgm:pt modelId="{E3767086-C4F0-4260-8E43-6B59328A2C4E}" type="pres">
      <dgm:prSet presAssocID="{3D3942FB-040F-4FAC-B178-5F01689BF53D}" presName="hierChild5" presStyleCnt="0"/>
      <dgm:spPr/>
    </dgm:pt>
    <dgm:pt modelId="{F3424491-F0D5-4447-8424-0CBB0EA1BA1D}" type="pres">
      <dgm:prSet presAssocID="{EA69777E-7A5D-4E8B-A0D1-5F263EE312F2}" presName="hierChild3" presStyleCnt="0"/>
      <dgm:spPr/>
    </dgm:pt>
  </dgm:ptLst>
  <dgm:cxnLst>
    <dgm:cxn modelId="{55474531-AA82-4A5A-B9DA-CCA6CAB2C173}" type="presOf" srcId="{8F001285-C804-4CE5-AFF2-75E939CFB6E2}" destId="{A2EB4334-9385-41E5-88D1-61BBAAF3C195}" srcOrd="0" destOrd="0" presId="urn:microsoft.com/office/officeart/2005/8/layout/orgChart1"/>
    <dgm:cxn modelId="{6BF21692-FEC5-410F-9D44-0864E92AEF8D}" type="presOf" srcId="{6F46784F-8CA1-49D5-B631-061BCC3A3F57}" destId="{6BBBF7FA-8962-4486-BA09-2AD1C89D85EA}" srcOrd="1" destOrd="0" presId="urn:microsoft.com/office/officeart/2005/8/layout/orgChart1"/>
    <dgm:cxn modelId="{D9A7FF6C-4CC9-49EF-B5A0-1DD1967A5FE0}" srcId="{3D3942FB-040F-4FAC-B178-5F01689BF53D}" destId="{FC07CE6C-E92D-4DC9-873A-47838242E8BD}" srcOrd="2" destOrd="0" parTransId="{2FAD2913-2E44-400E-886D-7D6AF3130470}" sibTransId="{CD454204-A7B8-4CD6-86BA-7C201D91279A}"/>
    <dgm:cxn modelId="{E088DE3E-BFF1-473D-9171-FAEBC587A56C}" type="presOf" srcId="{A3B928D8-A9A6-43DB-A871-AA3A22044B6B}" destId="{E8272161-D73F-4F8E-8624-98F0787E4237}" srcOrd="0" destOrd="0" presId="urn:microsoft.com/office/officeart/2005/8/layout/orgChart1"/>
    <dgm:cxn modelId="{4E9A91A2-7840-40EE-BF7C-2B60D457F622}" srcId="{3D3942FB-040F-4FAC-B178-5F01689BF53D}" destId="{9AC1CC54-F959-49F8-B1BA-D46E3A7AEFB1}" srcOrd="0" destOrd="0" parTransId="{F5C8A948-BA4F-47D9-BA94-7BE7B2740A93}" sibTransId="{1CF6751F-021F-4571-8A2F-7398934BDC74}"/>
    <dgm:cxn modelId="{0781C22D-D327-4E36-B717-54DD2E0F7E7D}" type="presOf" srcId="{3D3942FB-040F-4FAC-B178-5F01689BF53D}" destId="{AE6C5646-D451-4E44-A709-CF80ECF4566C}" srcOrd="0" destOrd="0" presId="urn:microsoft.com/office/officeart/2005/8/layout/orgChart1"/>
    <dgm:cxn modelId="{C9F5BF0F-9CF7-45E0-9F5B-CF6933F56993}" type="presOf" srcId="{2FAD2913-2E44-400E-886D-7D6AF3130470}" destId="{423639E5-59F1-480D-8CF6-7A6A8EF7B511}" srcOrd="0" destOrd="0" presId="urn:microsoft.com/office/officeart/2005/8/layout/orgChart1"/>
    <dgm:cxn modelId="{D33F1399-ED4D-4E04-9324-245C7C7C6F2E}" type="presOf" srcId="{EA69777E-7A5D-4E8B-A0D1-5F263EE312F2}" destId="{E8F6F056-F01B-40AB-89BD-DA899505C524}" srcOrd="0" destOrd="0" presId="urn:microsoft.com/office/officeart/2005/8/layout/orgChart1"/>
    <dgm:cxn modelId="{FE90240F-54D0-4A32-A893-D509741527CD}" srcId="{3D3942FB-040F-4FAC-B178-5F01689BF53D}" destId="{6F46784F-8CA1-49D5-B631-061BCC3A3F57}" srcOrd="1" destOrd="0" parTransId="{4093AFA9-AAB3-4212-B33F-1C4ACCBDB758}" sibTransId="{D3CD5305-ECD9-4394-9F61-A5033A773467}"/>
    <dgm:cxn modelId="{F1E31AA0-EB36-4CAF-8EC1-2EF7F582F8E4}" type="presOf" srcId="{EA69777E-7A5D-4E8B-A0D1-5F263EE312F2}" destId="{94486FAE-4372-4A22-A26B-8D3F031843F9}" srcOrd="1" destOrd="0" presId="urn:microsoft.com/office/officeart/2005/8/layout/orgChart1"/>
    <dgm:cxn modelId="{7C166F44-393D-407C-AA92-9B1C27D2E2FD}" type="presOf" srcId="{9AC1CC54-F959-49F8-B1BA-D46E3A7AEFB1}" destId="{D0B57403-D83D-48F1-B4FF-8B4CF7A01AF7}" srcOrd="1" destOrd="0" presId="urn:microsoft.com/office/officeart/2005/8/layout/orgChart1"/>
    <dgm:cxn modelId="{14528D36-A46A-497D-B9A3-AB0FEB2A795E}" type="presOf" srcId="{6F46784F-8CA1-49D5-B631-061BCC3A3F57}" destId="{427B4AF1-99DC-4AB7-A84E-8935F062BA1B}" srcOrd="0" destOrd="0" presId="urn:microsoft.com/office/officeart/2005/8/layout/orgChart1"/>
    <dgm:cxn modelId="{47F980E6-1F84-4DFF-BF6B-9DE0A8F0F643}" type="presOf" srcId="{4093AFA9-AAB3-4212-B33F-1C4ACCBDB758}" destId="{F012EB98-65F5-44A9-A71D-73BE063A126D}" srcOrd="0" destOrd="0" presId="urn:microsoft.com/office/officeart/2005/8/layout/orgChart1"/>
    <dgm:cxn modelId="{45C317A6-1AC2-4F33-B7E9-8836B6A312C7}" type="presOf" srcId="{3D3942FB-040F-4FAC-B178-5F01689BF53D}" destId="{CDBF5BEC-2DE7-48BD-9F9F-FEB1CE5B7A43}" srcOrd="1" destOrd="0" presId="urn:microsoft.com/office/officeart/2005/8/layout/orgChart1"/>
    <dgm:cxn modelId="{9B2B9313-24E4-462B-99CF-C1F7C529B902}" type="presOf" srcId="{FC07CE6C-E92D-4DC9-873A-47838242E8BD}" destId="{58BAE0FF-1440-4BAA-AD3C-8930EAF21925}" srcOrd="1" destOrd="0" presId="urn:microsoft.com/office/officeart/2005/8/layout/orgChart1"/>
    <dgm:cxn modelId="{E0BFC9DD-0BE3-45F8-A582-DA29B0E54678}" srcId="{A3B928D8-A9A6-43DB-A871-AA3A22044B6B}" destId="{EA69777E-7A5D-4E8B-A0D1-5F263EE312F2}" srcOrd="0" destOrd="0" parTransId="{BC5B1BD4-A72D-4D66-A7E5-663CE155290F}" sibTransId="{6D3C9410-B8D5-4CB3-8F57-ADD403BD778F}"/>
    <dgm:cxn modelId="{34728276-E884-49BC-A657-AD77F360214B}" type="presOf" srcId="{9AC1CC54-F959-49F8-B1BA-D46E3A7AEFB1}" destId="{095FE1E7-ACB2-4852-98D5-0058C32FA879}" srcOrd="0" destOrd="0" presId="urn:microsoft.com/office/officeart/2005/8/layout/orgChart1"/>
    <dgm:cxn modelId="{224AF09C-E594-4E2B-A16D-E5262E67FBBA}" srcId="{EA69777E-7A5D-4E8B-A0D1-5F263EE312F2}" destId="{3D3942FB-040F-4FAC-B178-5F01689BF53D}" srcOrd="0" destOrd="0" parTransId="{8F001285-C804-4CE5-AFF2-75E939CFB6E2}" sibTransId="{35AA4F74-F8D6-4CD1-AE28-AF303422F774}"/>
    <dgm:cxn modelId="{BE5754AA-8351-4374-ABBB-258BA787760C}" type="presOf" srcId="{F5C8A948-BA4F-47D9-BA94-7BE7B2740A93}" destId="{70FCA103-93CD-43A0-AB74-1DCB1E3876CF}" srcOrd="0" destOrd="0" presId="urn:microsoft.com/office/officeart/2005/8/layout/orgChart1"/>
    <dgm:cxn modelId="{F6B377B8-C71D-4E99-8662-BF1CE7138714}" type="presOf" srcId="{FC07CE6C-E92D-4DC9-873A-47838242E8BD}" destId="{A99A1A8A-6452-4F86-8D9C-441D321AD6B5}" srcOrd="0" destOrd="0" presId="urn:microsoft.com/office/officeart/2005/8/layout/orgChart1"/>
    <dgm:cxn modelId="{4C4957B1-BE9D-4D99-86DC-B517E37CA911}" type="presParOf" srcId="{E8272161-D73F-4F8E-8624-98F0787E4237}" destId="{2743D6EB-862A-460B-B02C-8CF9D440D072}" srcOrd="0" destOrd="0" presId="urn:microsoft.com/office/officeart/2005/8/layout/orgChart1"/>
    <dgm:cxn modelId="{7572AAD3-A695-402C-9E44-C336F1E00CA2}" type="presParOf" srcId="{2743D6EB-862A-460B-B02C-8CF9D440D072}" destId="{3E322886-7668-4FDE-B101-C65E5896B974}" srcOrd="0" destOrd="0" presId="urn:microsoft.com/office/officeart/2005/8/layout/orgChart1"/>
    <dgm:cxn modelId="{E680F017-A705-4280-BD74-981E63840988}" type="presParOf" srcId="{3E322886-7668-4FDE-B101-C65E5896B974}" destId="{E8F6F056-F01B-40AB-89BD-DA899505C524}" srcOrd="0" destOrd="0" presId="urn:microsoft.com/office/officeart/2005/8/layout/orgChart1"/>
    <dgm:cxn modelId="{6D9A0320-6EDC-4DBC-927C-21BDE79C3A2E}" type="presParOf" srcId="{3E322886-7668-4FDE-B101-C65E5896B974}" destId="{94486FAE-4372-4A22-A26B-8D3F031843F9}" srcOrd="1" destOrd="0" presId="urn:microsoft.com/office/officeart/2005/8/layout/orgChart1"/>
    <dgm:cxn modelId="{A8E30C2F-11CE-43AE-9EFE-81280D108DF4}" type="presParOf" srcId="{2743D6EB-862A-460B-B02C-8CF9D440D072}" destId="{F4251F85-A14E-4651-A411-31D94F34414E}" srcOrd="1" destOrd="0" presId="urn:microsoft.com/office/officeart/2005/8/layout/orgChart1"/>
    <dgm:cxn modelId="{A3F94537-D992-4614-90C0-1B095E9E6AAD}" type="presParOf" srcId="{F4251F85-A14E-4651-A411-31D94F34414E}" destId="{A2EB4334-9385-41E5-88D1-61BBAAF3C195}" srcOrd="0" destOrd="0" presId="urn:microsoft.com/office/officeart/2005/8/layout/orgChart1"/>
    <dgm:cxn modelId="{1F3558AD-C052-4F56-9CD0-835278C25B10}" type="presParOf" srcId="{F4251F85-A14E-4651-A411-31D94F34414E}" destId="{205F6FB3-7025-4656-90BA-39D7C803895D}" srcOrd="1" destOrd="0" presId="urn:microsoft.com/office/officeart/2005/8/layout/orgChart1"/>
    <dgm:cxn modelId="{641AE7F0-07D4-4955-B793-CE80FC61B6A8}" type="presParOf" srcId="{205F6FB3-7025-4656-90BA-39D7C803895D}" destId="{2E54A4E7-65B9-47E5-BE36-218F03E683BD}" srcOrd="0" destOrd="0" presId="urn:microsoft.com/office/officeart/2005/8/layout/orgChart1"/>
    <dgm:cxn modelId="{FA61D512-4BAB-4DFC-8EF2-D60D033D63EC}" type="presParOf" srcId="{2E54A4E7-65B9-47E5-BE36-218F03E683BD}" destId="{AE6C5646-D451-4E44-A709-CF80ECF4566C}" srcOrd="0" destOrd="0" presId="urn:microsoft.com/office/officeart/2005/8/layout/orgChart1"/>
    <dgm:cxn modelId="{F1C09A92-7DF8-42B2-918B-2B248DDFAC0D}" type="presParOf" srcId="{2E54A4E7-65B9-47E5-BE36-218F03E683BD}" destId="{CDBF5BEC-2DE7-48BD-9F9F-FEB1CE5B7A43}" srcOrd="1" destOrd="0" presId="urn:microsoft.com/office/officeart/2005/8/layout/orgChart1"/>
    <dgm:cxn modelId="{614DAC4D-597C-4CB2-A681-FC4F2DA3190C}" type="presParOf" srcId="{205F6FB3-7025-4656-90BA-39D7C803895D}" destId="{6F986FD5-401B-4EF4-932D-9A4B5097F1E9}" srcOrd="1" destOrd="0" presId="urn:microsoft.com/office/officeart/2005/8/layout/orgChart1"/>
    <dgm:cxn modelId="{10D25797-9EC1-460B-A336-F6152A096CA7}" type="presParOf" srcId="{6F986FD5-401B-4EF4-932D-9A4B5097F1E9}" destId="{70FCA103-93CD-43A0-AB74-1DCB1E3876CF}" srcOrd="0" destOrd="0" presId="urn:microsoft.com/office/officeart/2005/8/layout/orgChart1"/>
    <dgm:cxn modelId="{6F6C1BB5-87BA-4698-B808-5C576125ED4E}" type="presParOf" srcId="{6F986FD5-401B-4EF4-932D-9A4B5097F1E9}" destId="{1B2E93A3-F9A4-47B0-9476-20F57F17A6FB}" srcOrd="1" destOrd="0" presId="urn:microsoft.com/office/officeart/2005/8/layout/orgChart1"/>
    <dgm:cxn modelId="{393B2045-AD5F-4BF3-B773-B4BF40ADBA02}" type="presParOf" srcId="{1B2E93A3-F9A4-47B0-9476-20F57F17A6FB}" destId="{2F414410-B8E1-474D-BF9A-D853BA7BDA6F}" srcOrd="0" destOrd="0" presId="urn:microsoft.com/office/officeart/2005/8/layout/orgChart1"/>
    <dgm:cxn modelId="{2FBE2F3A-6A61-4602-903E-0F14EF6A6164}" type="presParOf" srcId="{2F414410-B8E1-474D-BF9A-D853BA7BDA6F}" destId="{095FE1E7-ACB2-4852-98D5-0058C32FA879}" srcOrd="0" destOrd="0" presId="urn:microsoft.com/office/officeart/2005/8/layout/orgChart1"/>
    <dgm:cxn modelId="{F5F8F95A-B830-4F82-881E-8348C1376AB9}" type="presParOf" srcId="{2F414410-B8E1-474D-BF9A-D853BA7BDA6F}" destId="{D0B57403-D83D-48F1-B4FF-8B4CF7A01AF7}" srcOrd="1" destOrd="0" presId="urn:microsoft.com/office/officeart/2005/8/layout/orgChart1"/>
    <dgm:cxn modelId="{051A9B6E-DC7F-4B09-AC48-47F53F1EB779}" type="presParOf" srcId="{1B2E93A3-F9A4-47B0-9476-20F57F17A6FB}" destId="{785FCCD5-1FFD-4D7C-A148-B8DD0567F01E}" srcOrd="1" destOrd="0" presId="urn:microsoft.com/office/officeart/2005/8/layout/orgChart1"/>
    <dgm:cxn modelId="{48547AC2-EDE5-418B-A6C0-E3506F7231F3}" type="presParOf" srcId="{1B2E93A3-F9A4-47B0-9476-20F57F17A6FB}" destId="{F3E28289-9142-493A-81E6-B731599D69B1}" srcOrd="2" destOrd="0" presId="urn:microsoft.com/office/officeart/2005/8/layout/orgChart1"/>
    <dgm:cxn modelId="{7AD5F1EB-386F-4A0E-9052-E3E4BB87AD00}" type="presParOf" srcId="{6F986FD5-401B-4EF4-932D-9A4B5097F1E9}" destId="{F012EB98-65F5-44A9-A71D-73BE063A126D}" srcOrd="2" destOrd="0" presId="urn:microsoft.com/office/officeart/2005/8/layout/orgChart1"/>
    <dgm:cxn modelId="{AE6F7ACF-7965-4771-B68A-CBD339DD7053}" type="presParOf" srcId="{6F986FD5-401B-4EF4-932D-9A4B5097F1E9}" destId="{E7C58BD1-1B46-4E87-B4A0-16AD8902CA6C}" srcOrd="3" destOrd="0" presId="urn:microsoft.com/office/officeart/2005/8/layout/orgChart1"/>
    <dgm:cxn modelId="{F1A40F1D-9752-417A-8764-479D1D310897}" type="presParOf" srcId="{E7C58BD1-1B46-4E87-B4A0-16AD8902CA6C}" destId="{BEB93492-4A52-49F7-A53F-76DD6F959CD9}" srcOrd="0" destOrd="0" presId="urn:microsoft.com/office/officeart/2005/8/layout/orgChart1"/>
    <dgm:cxn modelId="{F8757DC5-8061-41EE-BD39-E061DEAF43E0}" type="presParOf" srcId="{BEB93492-4A52-49F7-A53F-76DD6F959CD9}" destId="{427B4AF1-99DC-4AB7-A84E-8935F062BA1B}" srcOrd="0" destOrd="0" presId="urn:microsoft.com/office/officeart/2005/8/layout/orgChart1"/>
    <dgm:cxn modelId="{7B9A84CF-B3DA-42C9-875F-75594669E58E}" type="presParOf" srcId="{BEB93492-4A52-49F7-A53F-76DD6F959CD9}" destId="{6BBBF7FA-8962-4486-BA09-2AD1C89D85EA}" srcOrd="1" destOrd="0" presId="urn:microsoft.com/office/officeart/2005/8/layout/orgChart1"/>
    <dgm:cxn modelId="{4B3551BF-21BF-4EB8-9AE7-1F38709D4F9B}" type="presParOf" srcId="{E7C58BD1-1B46-4E87-B4A0-16AD8902CA6C}" destId="{3175758F-4627-4D75-BA75-5991F4A19EE5}" srcOrd="1" destOrd="0" presId="urn:microsoft.com/office/officeart/2005/8/layout/orgChart1"/>
    <dgm:cxn modelId="{24820EA6-B869-41C2-91FB-7BA0B7278860}" type="presParOf" srcId="{E7C58BD1-1B46-4E87-B4A0-16AD8902CA6C}" destId="{82F6233B-5BA9-4D31-AE3F-61180741FBB3}" srcOrd="2" destOrd="0" presId="urn:microsoft.com/office/officeart/2005/8/layout/orgChart1"/>
    <dgm:cxn modelId="{2AB58D72-4BB9-4DA5-9E6D-7693C3C1511F}" type="presParOf" srcId="{6F986FD5-401B-4EF4-932D-9A4B5097F1E9}" destId="{423639E5-59F1-480D-8CF6-7A6A8EF7B511}" srcOrd="4" destOrd="0" presId="urn:microsoft.com/office/officeart/2005/8/layout/orgChart1"/>
    <dgm:cxn modelId="{EE58975F-BED0-4B9F-99AF-BE3B5E2F80B1}" type="presParOf" srcId="{6F986FD5-401B-4EF4-932D-9A4B5097F1E9}" destId="{2647C4B3-14F3-4056-ABF5-EFF458999D14}" srcOrd="5" destOrd="0" presId="urn:microsoft.com/office/officeart/2005/8/layout/orgChart1"/>
    <dgm:cxn modelId="{C41EA6DB-EDC5-42D4-90E4-8ABF9C907B01}" type="presParOf" srcId="{2647C4B3-14F3-4056-ABF5-EFF458999D14}" destId="{4EE19B36-FCB5-4155-B393-CF13240ECD49}" srcOrd="0" destOrd="0" presId="urn:microsoft.com/office/officeart/2005/8/layout/orgChart1"/>
    <dgm:cxn modelId="{23F69D2F-9D01-4505-A638-F9C2F44922E4}" type="presParOf" srcId="{4EE19B36-FCB5-4155-B393-CF13240ECD49}" destId="{A99A1A8A-6452-4F86-8D9C-441D321AD6B5}" srcOrd="0" destOrd="0" presId="urn:microsoft.com/office/officeart/2005/8/layout/orgChart1"/>
    <dgm:cxn modelId="{F3CD860B-126E-4F27-8103-4B534AD9E877}" type="presParOf" srcId="{4EE19B36-FCB5-4155-B393-CF13240ECD49}" destId="{58BAE0FF-1440-4BAA-AD3C-8930EAF21925}" srcOrd="1" destOrd="0" presId="urn:microsoft.com/office/officeart/2005/8/layout/orgChart1"/>
    <dgm:cxn modelId="{45154EF3-B8D5-4074-A6D5-8E367039BA8B}" type="presParOf" srcId="{2647C4B3-14F3-4056-ABF5-EFF458999D14}" destId="{74BE8C2B-D306-4679-B48F-E5390AA4A102}" srcOrd="1" destOrd="0" presId="urn:microsoft.com/office/officeart/2005/8/layout/orgChart1"/>
    <dgm:cxn modelId="{BCCA91F3-193E-486B-8F6E-3326873FB25A}" type="presParOf" srcId="{2647C4B3-14F3-4056-ABF5-EFF458999D14}" destId="{04DC4992-ECD7-451C-8405-63576871BCBE}" srcOrd="2" destOrd="0" presId="urn:microsoft.com/office/officeart/2005/8/layout/orgChart1"/>
    <dgm:cxn modelId="{8FCE0EEC-7BA9-44B7-A82F-E09CBDAEE0CA}" type="presParOf" srcId="{205F6FB3-7025-4656-90BA-39D7C803895D}" destId="{E3767086-C4F0-4260-8E43-6B59328A2C4E}" srcOrd="2" destOrd="0" presId="urn:microsoft.com/office/officeart/2005/8/layout/orgChart1"/>
    <dgm:cxn modelId="{D06D2429-BCE5-41A2-8B44-3FBC169D5ED7}" type="presParOf" srcId="{2743D6EB-862A-460B-B02C-8CF9D440D072}" destId="{F3424491-F0D5-4447-8424-0CBB0EA1BA1D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B928D8-A9A6-43DB-A871-AA3A22044B6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EA69777E-7A5D-4E8B-A0D1-5F263EE312F2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marR="0" algn="ctr" rtl="0"/>
          <a:r>
            <a:rPr lang="pt-BR" sz="1000" b="1" baseline="0" smtClean="0">
              <a:solidFill>
                <a:sysClr val="windowText" lastClr="000000"/>
              </a:solidFill>
              <a:latin typeface="Times New Roman"/>
            </a:rPr>
            <a:t>1. </a:t>
          </a:r>
          <a:r>
            <a:rPr lang="pt-BR" sz="1000" b="0" baseline="0" smtClean="0">
              <a:solidFill>
                <a:sysClr val="windowText" lastClr="000000"/>
              </a:solidFill>
              <a:latin typeface="Times New Roman"/>
            </a:rPr>
            <a:t>Determinar a alíquota nominal, por meio da receita bruta acumulada nos últimos doze meses, ou proporcional ao número de meses do início da atividade fim.</a:t>
          </a:r>
          <a:endParaRPr lang="pt-BR" sz="1000" b="0" smtClean="0">
            <a:solidFill>
              <a:sysClr val="windowText" lastClr="000000"/>
            </a:solidFill>
          </a:endParaRPr>
        </a:p>
      </dgm:t>
    </dgm:pt>
    <dgm:pt modelId="{BC5B1BD4-A72D-4D66-A7E5-663CE155290F}" type="parTrans" cxnId="{E0BFC9DD-0BE3-45F8-A582-DA29B0E54678}">
      <dgm:prSet/>
      <dgm:spPr/>
      <dgm:t>
        <a:bodyPr/>
        <a:lstStyle/>
        <a:p>
          <a:endParaRPr lang="pt-BR" sz="1000"/>
        </a:p>
      </dgm:t>
    </dgm:pt>
    <dgm:pt modelId="{6D3C9410-B8D5-4CB3-8F57-ADD403BD778F}" type="sibTrans" cxnId="{E0BFC9DD-0BE3-45F8-A582-DA29B0E54678}">
      <dgm:prSet/>
      <dgm:spPr/>
      <dgm:t>
        <a:bodyPr/>
        <a:lstStyle/>
        <a:p>
          <a:endParaRPr lang="pt-BR" sz="1000"/>
        </a:p>
      </dgm:t>
    </dgm:pt>
    <dgm:pt modelId="{3D3942FB-040F-4FAC-B178-5F01689BF53D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marR="0" algn="ctr" rtl="0"/>
          <a:r>
            <a:rPr lang="pt-BR" sz="1000" b="1" baseline="0" smtClean="0">
              <a:solidFill>
                <a:sysClr val="windowText" lastClr="000000"/>
              </a:solidFill>
              <a:latin typeface="Times New Roman"/>
            </a:rPr>
            <a:t>2. </a:t>
          </a:r>
          <a:r>
            <a:rPr lang="pt-BR" sz="1000" b="0" baseline="0" smtClean="0">
              <a:solidFill>
                <a:sysClr val="windowText" lastClr="000000"/>
              </a:solidFill>
              <a:latin typeface="Times New Roman"/>
            </a:rPr>
            <a:t>Determinar a alíquota efetiva</a:t>
          </a:r>
          <a:endParaRPr lang="pt-BR" sz="1000" b="0" smtClean="0">
            <a:solidFill>
              <a:sysClr val="windowText" lastClr="000000"/>
            </a:solidFill>
          </a:endParaRPr>
        </a:p>
      </dgm:t>
    </dgm:pt>
    <dgm:pt modelId="{8F001285-C804-4CE5-AFF2-75E939CFB6E2}" type="parTrans" cxnId="{224AF09C-E594-4E2B-A16D-E5262E67FBBA}">
      <dgm:prSet/>
      <dgm:spPr/>
      <dgm:t>
        <a:bodyPr/>
        <a:lstStyle/>
        <a:p>
          <a:endParaRPr lang="pt-BR" sz="1000"/>
        </a:p>
      </dgm:t>
    </dgm:pt>
    <dgm:pt modelId="{35AA4F74-F8D6-4CD1-AE28-AF303422F774}" type="sibTrans" cxnId="{224AF09C-E594-4E2B-A16D-E5262E67FBBA}">
      <dgm:prSet/>
      <dgm:spPr/>
      <dgm:t>
        <a:bodyPr/>
        <a:lstStyle/>
        <a:p>
          <a:endParaRPr lang="pt-BR" sz="1000"/>
        </a:p>
      </dgm:t>
    </dgm:pt>
    <dgm:pt modelId="{9AC1CC54-F959-49F8-B1BA-D46E3A7AEFB1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marR="0" algn="ctr" rtl="0"/>
          <a:r>
            <a:rPr lang="pt-BR" sz="1000" b="1" baseline="0" smtClean="0">
              <a:solidFill>
                <a:sysClr val="windowText" lastClr="000000"/>
              </a:solidFill>
              <a:latin typeface="Times New Roman"/>
            </a:rPr>
            <a:t>3. </a:t>
          </a:r>
          <a:r>
            <a:rPr lang="pt-BR" sz="1000" b="0" baseline="0" smtClean="0">
              <a:solidFill>
                <a:sysClr val="windowText" lastClr="000000"/>
              </a:solidFill>
              <a:latin typeface="Times New Roman"/>
            </a:rPr>
            <a:t>Alíquota efetiva x Base de cálculo (receita bruta do mês) = Simples Nacional a pagar </a:t>
          </a:r>
          <a:endParaRPr lang="pt-BR" sz="1000" b="0" smtClean="0">
            <a:solidFill>
              <a:sysClr val="windowText" lastClr="000000"/>
            </a:solidFill>
          </a:endParaRPr>
        </a:p>
      </dgm:t>
    </dgm:pt>
    <dgm:pt modelId="{F5C8A948-BA4F-47D9-BA94-7BE7B2740A93}" type="parTrans" cxnId="{4E9A91A2-7840-40EE-BF7C-2B60D457F622}">
      <dgm:prSet/>
      <dgm:spPr/>
      <dgm:t>
        <a:bodyPr/>
        <a:lstStyle/>
        <a:p>
          <a:endParaRPr lang="pt-BR" sz="1000"/>
        </a:p>
      </dgm:t>
    </dgm:pt>
    <dgm:pt modelId="{1CF6751F-021F-4571-8A2F-7398934BDC74}" type="sibTrans" cxnId="{4E9A91A2-7840-40EE-BF7C-2B60D457F622}">
      <dgm:prSet/>
      <dgm:spPr/>
      <dgm:t>
        <a:bodyPr/>
        <a:lstStyle/>
        <a:p>
          <a:endParaRPr lang="pt-BR" sz="1000"/>
        </a:p>
      </dgm:t>
    </dgm:pt>
    <dgm:pt modelId="{E8272161-D73F-4F8E-8624-98F0787E4237}" type="pres">
      <dgm:prSet presAssocID="{A3B928D8-A9A6-43DB-A871-AA3A22044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43D6EB-862A-460B-B02C-8CF9D440D072}" type="pres">
      <dgm:prSet presAssocID="{EA69777E-7A5D-4E8B-A0D1-5F263EE312F2}" presName="hierRoot1" presStyleCnt="0">
        <dgm:presLayoutVars>
          <dgm:hierBranch/>
        </dgm:presLayoutVars>
      </dgm:prSet>
      <dgm:spPr/>
    </dgm:pt>
    <dgm:pt modelId="{3E322886-7668-4FDE-B101-C65E5896B974}" type="pres">
      <dgm:prSet presAssocID="{EA69777E-7A5D-4E8B-A0D1-5F263EE312F2}" presName="rootComposite1" presStyleCnt="0"/>
      <dgm:spPr/>
    </dgm:pt>
    <dgm:pt modelId="{E8F6F056-F01B-40AB-89BD-DA899505C524}" type="pres">
      <dgm:prSet presAssocID="{EA69777E-7A5D-4E8B-A0D1-5F263EE312F2}" presName="rootText1" presStyleLbl="node0" presStyleIdx="0" presStyleCnt="1" custScaleX="230445" custScaleY="9604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4486FAE-4372-4A22-A26B-8D3F031843F9}" type="pres">
      <dgm:prSet presAssocID="{EA69777E-7A5D-4E8B-A0D1-5F263EE312F2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4251F85-A14E-4651-A411-31D94F34414E}" type="pres">
      <dgm:prSet presAssocID="{EA69777E-7A5D-4E8B-A0D1-5F263EE312F2}" presName="hierChild2" presStyleCnt="0"/>
      <dgm:spPr/>
    </dgm:pt>
    <dgm:pt modelId="{A2EB4334-9385-41E5-88D1-61BBAAF3C195}" type="pres">
      <dgm:prSet presAssocID="{8F001285-C804-4CE5-AFF2-75E939CFB6E2}" presName="Name35" presStyleLbl="parChTrans1D2" presStyleIdx="0" presStyleCnt="1"/>
      <dgm:spPr/>
      <dgm:t>
        <a:bodyPr/>
        <a:lstStyle/>
        <a:p>
          <a:endParaRPr lang="pt-BR"/>
        </a:p>
      </dgm:t>
    </dgm:pt>
    <dgm:pt modelId="{205F6FB3-7025-4656-90BA-39D7C803895D}" type="pres">
      <dgm:prSet presAssocID="{3D3942FB-040F-4FAC-B178-5F01689BF53D}" presName="hierRoot2" presStyleCnt="0">
        <dgm:presLayoutVars>
          <dgm:hierBranch/>
        </dgm:presLayoutVars>
      </dgm:prSet>
      <dgm:spPr/>
    </dgm:pt>
    <dgm:pt modelId="{2E54A4E7-65B9-47E5-BE36-218F03E683BD}" type="pres">
      <dgm:prSet presAssocID="{3D3942FB-040F-4FAC-B178-5F01689BF53D}" presName="rootComposite" presStyleCnt="0"/>
      <dgm:spPr/>
    </dgm:pt>
    <dgm:pt modelId="{AE6C5646-D451-4E44-A709-CF80ECF4566C}" type="pres">
      <dgm:prSet presAssocID="{3D3942FB-040F-4FAC-B178-5F01689BF53D}" presName="rootText" presStyleLbl="node2" presStyleIdx="0" presStyleCnt="1" custScaleX="109936" custScaleY="66002" custLinFactNeighborX="-694" custLinFactNeighborY="-2366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BF5BEC-2DE7-48BD-9F9F-FEB1CE5B7A43}" type="pres">
      <dgm:prSet presAssocID="{3D3942FB-040F-4FAC-B178-5F01689BF53D}" presName="rootConnector" presStyleLbl="node2" presStyleIdx="0" presStyleCnt="1"/>
      <dgm:spPr/>
      <dgm:t>
        <a:bodyPr/>
        <a:lstStyle/>
        <a:p>
          <a:endParaRPr lang="pt-BR"/>
        </a:p>
      </dgm:t>
    </dgm:pt>
    <dgm:pt modelId="{6F986FD5-401B-4EF4-932D-9A4B5097F1E9}" type="pres">
      <dgm:prSet presAssocID="{3D3942FB-040F-4FAC-B178-5F01689BF53D}" presName="hierChild4" presStyleCnt="0"/>
      <dgm:spPr/>
    </dgm:pt>
    <dgm:pt modelId="{70FCA103-93CD-43A0-AB74-1DCB1E3876CF}" type="pres">
      <dgm:prSet presAssocID="{F5C8A948-BA4F-47D9-BA94-7BE7B2740A93}" presName="Name35" presStyleLbl="parChTrans1D3" presStyleIdx="0" presStyleCnt="1"/>
      <dgm:spPr/>
      <dgm:t>
        <a:bodyPr/>
        <a:lstStyle/>
        <a:p>
          <a:endParaRPr lang="pt-BR"/>
        </a:p>
      </dgm:t>
    </dgm:pt>
    <dgm:pt modelId="{1B2E93A3-F9A4-47B0-9476-20F57F17A6FB}" type="pres">
      <dgm:prSet presAssocID="{9AC1CC54-F959-49F8-B1BA-D46E3A7AEFB1}" presName="hierRoot2" presStyleCnt="0">
        <dgm:presLayoutVars>
          <dgm:hierBranch val="r"/>
        </dgm:presLayoutVars>
      </dgm:prSet>
      <dgm:spPr/>
    </dgm:pt>
    <dgm:pt modelId="{2F414410-B8E1-474D-BF9A-D853BA7BDA6F}" type="pres">
      <dgm:prSet presAssocID="{9AC1CC54-F959-49F8-B1BA-D46E3A7AEFB1}" presName="rootComposite" presStyleCnt="0"/>
      <dgm:spPr/>
    </dgm:pt>
    <dgm:pt modelId="{095FE1E7-ACB2-4852-98D5-0058C32FA879}" type="pres">
      <dgm:prSet presAssocID="{9AC1CC54-F959-49F8-B1BA-D46E3A7AEFB1}" presName="rootText" presStyleLbl="node3" presStyleIdx="0" presStyleCnt="1" custScaleX="132159" custScaleY="86832" custLinFactNeighborX="65093" custLinFactNeighborY="-2291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0B57403-D83D-48F1-B4FF-8B4CF7A01AF7}" type="pres">
      <dgm:prSet presAssocID="{9AC1CC54-F959-49F8-B1BA-D46E3A7AEFB1}" presName="rootConnector" presStyleLbl="node3" presStyleIdx="0" presStyleCnt="1"/>
      <dgm:spPr/>
      <dgm:t>
        <a:bodyPr/>
        <a:lstStyle/>
        <a:p>
          <a:endParaRPr lang="pt-BR"/>
        </a:p>
      </dgm:t>
    </dgm:pt>
    <dgm:pt modelId="{785FCCD5-1FFD-4D7C-A148-B8DD0567F01E}" type="pres">
      <dgm:prSet presAssocID="{9AC1CC54-F959-49F8-B1BA-D46E3A7AEFB1}" presName="hierChild4" presStyleCnt="0"/>
      <dgm:spPr/>
    </dgm:pt>
    <dgm:pt modelId="{F3E28289-9142-493A-81E6-B731599D69B1}" type="pres">
      <dgm:prSet presAssocID="{9AC1CC54-F959-49F8-B1BA-D46E3A7AEFB1}" presName="hierChild5" presStyleCnt="0"/>
      <dgm:spPr/>
    </dgm:pt>
    <dgm:pt modelId="{E3767086-C4F0-4260-8E43-6B59328A2C4E}" type="pres">
      <dgm:prSet presAssocID="{3D3942FB-040F-4FAC-B178-5F01689BF53D}" presName="hierChild5" presStyleCnt="0"/>
      <dgm:spPr/>
    </dgm:pt>
    <dgm:pt modelId="{F3424491-F0D5-4447-8424-0CBB0EA1BA1D}" type="pres">
      <dgm:prSet presAssocID="{EA69777E-7A5D-4E8B-A0D1-5F263EE312F2}" presName="hierChild3" presStyleCnt="0"/>
      <dgm:spPr/>
    </dgm:pt>
  </dgm:ptLst>
  <dgm:cxnLst>
    <dgm:cxn modelId="{61031787-267B-47F6-AF6F-348A80E76C7E}" type="presOf" srcId="{EA69777E-7A5D-4E8B-A0D1-5F263EE312F2}" destId="{94486FAE-4372-4A22-A26B-8D3F031843F9}" srcOrd="1" destOrd="0" presId="urn:microsoft.com/office/officeart/2005/8/layout/orgChart1"/>
    <dgm:cxn modelId="{224AF09C-E594-4E2B-A16D-E5262E67FBBA}" srcId="{EA69777E-7A5D-4E8B-A0D1-5F263EE312F2}" destId="{3D3942FB-040F-4FAC-B178-5F01689BF53D}" srcOrd="0" destOrd="0" parTransId="{8F001285-C804-4CE5-AFF2-75E939CFB6E2}" sibTransId="{35AA4F74-F8D6-4CD1-AE28-AF303422F774}"/>
    <dgm:cxn modelId="{4E9A91A2-7840-40EE-BF7C-2B60D457F622}" srcId="{3D3942FB-040F-4FAC-B178-5F01689BF53D}" destId="{9AC1CC54-F959-49F8-B1BA-D46E3A7AEFB1}" srcOrd="0" destOrd="0" parTransId="{F5C8A948-BA4F-47D9-BA94-7BE7B2740A93}" sibTransId="{1CF6751F-021F-4571-8A2F-7398934BDC74}"/>
    <dgm:cxn modelId="{2E4862CD-E918-42C0-94C5-F980BC502A4B}" type="presOf" srcId="{3D3942FB-040F-4FAC-B178-5F01689BF53D}" destId="{CDBF5BEC-2DE7-48BD-9F9F-FEB1CE5B7A43}" srcOrd="1" destOrd="0" presId="urn:microsoft.com/office/officeart/2005/8/layout/orgChart1"/>
    <dgm:cxn modelId="{D8EFE897-FE90-463A-8509-96F0618E3F6B}" type="presOf" srcId="{F5C8A948-BA4F-47D9-BA94-7BE7B2740A93}" destId="{70FCA103-93CD-43A0-AB74-1DCB1E3876CF}" srcOrd="0" destOrd="0" presId="urn:microsoft.com/office/officeart/2005/8/layout/orgChart1"/>
    <dgm:cxn modelId="{EEBAC21B-5926-4205-B381-47CC5354FE79}" type="presOf" srcId="{8F001285-C804-4CE5-AFF2-75E939CFB6E2}" destId="{A2EB4334-9385-41E5-88D1-61BBAAF3C195}" srcOrd="0" destOrd="0" presId="urn:microsoft.com/office/officeart/2005/8/layout/orgChart1"/>
    <dgm:cxn modelId="{6308BCE3-94D4-4500-8C09-DB312304D957}" type="presOf" srcId="{9AC1CC54-F959-49F8-B1BA-D46E3A7AEFB1}" destId="{D0B57403-D83D-48F1-B4FF-8B4CF7A01AF7}" srcOrd="1" destOrd="0" presId="urn:microsoft.com/office/officeart/2005/8/layout/orgChart1"/>
    <dgm:cxn modelId="{EE61E604-144B-4B98-BEAE-3624A56EE5B8}" type="presOf" srcId="{3D3942FB-040F-4FAC-B178-5F01689BF53D}" destId="{AE6C5646-D451-4E44-A709-CF80ECF4566C}" srcOrd="0" destOrd="0" presId="urn:microsoft.com/office/officeart/2005/8/layout/orgChart1"/>
    <dgm:cxn modelId="{19F4998E-C5D5-4705-94D0-ABE05DCFE8C4}" type="presOf" srcId="{A3B928D8-A9A6-43DB-A871-AA3A22044B6B}" destId="{E8272161-D73F-4F8E-8624-98F0787E4237}" srcOrd="0" destOrd="0" presId="urn:microsoft.com/office/officeart/2005/8/layout/orgChart1"/>
    <dgm:cxn modelId="{E0BFC9DD-0BE3-45F8-A582-DA29B0E54678}" srcId="{A3B928D8-A9A6-43DB-A871-AA3A22044B6B}" destId="{EA69777E-7A5D-4E8B-A0D1-5F263EE312F2}" srcOrd="0" destOrd="0" parTransId="{BC5B1BD4-A72D-4D66-A7E5-663CE155290F}" sibTransId="{6D3C9410-B8D5-4CB3-8F57-ADD403BD778F}"/>
    <dgm:cxn modelId="{CBE3E714-FE4F-4D08-91D7-A8BA082B116D}" type="presOf" srcId="{9AC1CC54-F959-49F8-B1BA-D46E3A7AEFB1}" destId="{095FE1E7-ACB2-4852-98D5-0058C32FA879}" srcOrd="0" destOrd="0" presId="urn:microsoft.com/office/officeart/2005/8/layout/orgChart1"/>
    <dgm:cxn modelId="{81458C58-CB79-425E-9F00-FD9FA2572E48}" type="presOf" srcId="{EA69777E-7A5D-4E8B-A0D1-5F263EE312F2}" destId="{E8F6F056-F01B-40AB-89BD-DA899505C524}" srcOrd="0" destOrd="0" presId="urn:microsoft.com/office/officeart/2005/8/layout/orgChart1"/>
    <dgm:cxn modelId="{7FAC0725-3631-41FE-8F65-0D05CA119647}" type="presParOf" srcId="{E8272161-D73F-4F8E-8624-98F0787E4237}" destId="{2743D6EB-862A-460B-B02C-8CF9D440D072}" srcOrd="0" destOrd="0" presId="urn:microsoft.com/office/officeart/2005/8/layout/orgChart1"/>
    <dgm:cxn modelId="{AF22E4AB-1AC7-4704-BA9F-17E53BADB54F}" type="presParOf" srcId="{2743D6EB-862A-460B-B02C-8CF9D440D072}" destId="{3E322886-7668-4FDE-B101-C65E5896B974}" srcOrd="0" destOrd="0" presId="urn:microsoft.com/office/officeart/2005/8/layout/orgChart1"/>
    <dgm:cxn modelId="{86273F3F-77B4-4DB1-A675-29F262A3400B}" type="presParOf" srcId="{3E322886-7668-4FDE-B101-C65E5896B974}" destId="{E8F6F056-F01B-40AB-89BD-DA899505C524}" srcOrd="0" destOrd="0" presId="urn:microsoft.com/office/officeart/2005/8/layout/orgChart1"/>
    <dgm:cxn modelId="{D533FF40-C66E-4E2D-8D1F-5E7A52FEF292}" type="presParOf" srcId="{3E322886-7668-4FDE-B101-C65E5896B974}" destId="{94486FAE-4372-4A22-A26B-8D3F031843F9}" srcOrd="1" destOrd="0" presId="urn:microsoft.com/office/officeart/2005/8/layout/orgChart1"/>
    <dgm:cxn modelId="{5C53B2B8-456C-4D84-8050-1148B690C1F2}" type="presParOf" srcId="{2743D6EB-862A-460B-B02C-8CF9D440D072}" destId="{F4251F85-A14E-4651-A411-31D94F34414E}" srcOrd="1" destOrd="0" presId="urn:microsoft.com/office/officeart/2005/8/layout/orgChart1"/>
    <dgm:cxn modelId="{03293B98-73C7-4DB2-A9A1-5CBADD3DB114}" type="presParOf" srcId="{F4251F85-A14E-4651-A411-31D94F34414E}" destId="{A2EB4334-9385-41E5-88D1-61BBAAF3C195}" srcOrd="0" destOrd="0" presId="urn:microsoft.com/office/officeart/2005/8/layout/orgChart1"/>
    <dgm:cxn modelId="{F7674858-65A2-4673-8E04-4484246B321A}" type="presParOf" srcId="{F4251F85-A14E-4651-A411-31D94F34414E}" destId="{205F6FB3-7025-4656-90BA-39D7C803895D}" srcOrd="1" destOrd="0" presId="urn:microsoft.com/office/officeart/2005/8/layout/orgChart1"/>
    <dgm:cxn modelId="{15493926-18C4-455F-ABA5-2B06D17EC671}" type="presParOf" srcId="{205F6FB3-7025-4656-90BA-39D7C803895D}" destId="{2E54A4E7-65B9-47E5-BE36-218F03E683BD}" srcOrd="0" destOrd="0" presId="urn:microsoft.com/office/officeart/2005/8/layout/orgChart1"/>
    <dgm:cxn modelId="{019A0DC4-761C-4D56-840E-D531CBD187DB}" type="presParOf" srcId="{2E54A4E7-65B9-47E5-BE36-218F03E683BD}" destId="{AE6C5646-D451-4E44-A709-CF80ECF4566C}" srcOrd="0" destOrd="0" presId="urn:microsoft.com/office/officeart/2005/8/layout/orgChart1"/>
    <dgm:cxn modelId="{2E04A42A-3349-44E0-8977-98D02441406C}" type="presParOf" srcId="{2E54A4E7-65B9-47E5-BE36-218F03E683BD}" destId="{CDBF5BEC-2DE7-48BD-9F9F-FEB1CE5B7A43}" srcOrd="1" destOrd="0" presId="urn:microsoft.com/office/officeart/2005/8/layout/orgChart1"/>
    <dgm:cxn modelId="{46118136-62DB-4C54-8F2F-4936F972B386}" type="presParOf" srcId="{205F6FB3-7025-4656-90BA-39D7C803895D}" destId="{6F986FD5-401B-4EF4-932D-9A4B5097F1E9}" srcOrd="1" destOrd="0" presId="urn:microsoft.com/office/officeart/2005/8/layout/orgChart1"/>
    <dgm:cxn modelId="{9551C386-ADE8-4BCB-A65C-0FEF879E8EB0}" type="presParOf" srcId="{6F986FD5-401B-4EF4-932D-9A4B5097F1E9}" destId="{70FCA103-93CD-43A0-AB74-1DCB1E3876CF}" srcOrd="0" destOrd="0" presId="urn:microsoft.com/office/officeart/2005/8/layout/orgChart1"/>
    <dgm:cxn modelId="{95F7BDB6-DD99-44C9-856C-40E45DAD1924}" type="presParOf" srcId="{6F986FD5-401B-4EF4-932D-9A4B5097F1E9}" destId="{1B2E93A3-F9A4-47B0-9476-20F57F17A6FB}" srcOrd="1" destOrd="0" presId="urn:microsoft.com/office/officeart/2005/8/layout/orgChart1"/>
    <dgm:cxn modelId="{14DFFDCE-E822-427A-85E8-CDF6123D9CD3}" type="presParOf" srcId="{1B2E93A3-F9A4-47B0-9476-20F57F17A6FB}" destId="{2F414410-B8E1-474D-BF9A-D853BA7BDA6F}" srcOrd="0" destOrd="0" presId="urn:microsoft.com/office/officeart/2005/8/layout/orgChart1"/>
    <dgm:cxn modelId="{261B2C69-E8F2-41F0-8F4E-45B6663A93FE}" type="presParOf" srcId="{2F414410-B8E1-474D-BF9A-D853BA7BDA6F}" destId="{095FE1E7-ACB2-4852-98D5-0058C32FA879}" srcOrd="0" destOrd="0" presId="urn:microsoft.com/office/officeart/2005/8/layout/orgChart1"/>
    <dgm:cxn modelId="{72C474C2-F00D-4996-8EBE-555BB59B39A1}" type="presParOf" srcId="{2F414410-B8E1-474D-BF9A-D853BA7BDA6F}" destId="{D0B57403-D83D-48F1-B4FF-8B4CF7A01AF7}" srcOrd="1" destOrd="0" presId="urn:microsoft.com/office/officeart/2005/8/layout/orgChart1"/>
    <dgm:cxn modelId="{1C7813C7-2AE5-4CEF-86B4-3AD1F97CD148}" type="presParOf" srcId="{1B2E93A3-F9A4-47B0-9476-20F57F17A6FB}" destId="{785FCCD5-1FFD-4D7C-A148-B8DD0567F01E}" srcOrd="1" destOrd="0" presId="urn:microsoft.com/office/officeart/2005/8/layout/orgChart1"/>
    <dgm:cxn modelId="{BD703188-CE6A-44FA-B8C5-164F98A6FFD6}" type="presParOf" srcId="{1B2E93A3-F9A4-47B0-9476-20F57F17A6FB}" destId="{F3E28289-9142-493A-81E6-B731599D69B1}" srcOrd="2" destOrd="0" presId="urn:microsoft.com/office/officeart/2005/8/layout/orgChart1"/>
    <dgm:cxn modelId="{AAA14662-E15C-430E-9DC1-CD0328400F28}" type="presParOf" srcId="{205F6FB3-7025-4656-90BA-39D7C803895D}" destId="{E3767086-C4F0-4260-8E43-6B59328A2C4E}" srcOrd="2" destOrd="0" presId="urn:microsoft.com/office/officeart/2005/8/layout/orgChart1"/>
    <dgm:cxn modelId="{2D9AE746-098B-4D1C-8D67-A27472280490}" type="presParOf" srcId="{2743D6EB-862A-460B-B02C-8CF9D440D072}" destId="{F3424491-F0D5-4447-8424-0CBB0EA1BA1D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3639E5-59F1-480D-8CF6-7A6A8EF7B511}">
      <dsp:nvSpPr>
        <dsp:cNvPr id="0" name=""/>
        <dsp:cNvSpPr/>
      </dsp:nvSpPr>
      <dsp:spPr>
        <a:xfrm>
          <a:off x="2836164" y="1067727"/>
          <a:ext cx="671601" cy="745026"/>
        </a:xfrm>
        <a:custGeom>
          <a:avLst/>
          <a:gdLst/>
          <a:ahLst/>
          <a:cxnLst/>
          <a:rect l="0" t="0" r="0" b="0"/>
          <a:pathLst>
            <a:path>
              <a:moveTo>
                <a:pt x="671601" y="0"/>
              </a:moveTo>
              <a:lnTo>
                <a:pt x="671601" y="576306"/>
              </a:lnTo>
              <a:lnTo>
                <a:pt x="0" y="576306"/>
              </a:lnTo>
              <a:lnTo>
                <a:pt x="0" y="74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2EB98-65F5-44A9-A71D-73BE063A126D}">
      <dsp:nvSpPr>
        <dsp:cNvPr id="0" name=""/>
        <dsp:cNvSpPr/>
      </dsp:nvSpPr>
      <dsp:spPr>
        <a:xfrm>
          <a:off x="3507766" y="1067727"/>
          <a:ext cx="1082184" cy="337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719"/>
              </a:lnTo>
              <a:lnTo>
                <a:pt x="1082184" y="168719"/>
              </a:lnTo>
              <a:lnTo>
                <a:pt x="1082184" y="3374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CA103-93CD-43A0-AB74-1DCB1E3876CF}">
      <dsp:nvSpPr>
        <dsp:cNvPr id="0" name=""/>
        <dsp:cNvSpPr/>
      </dsp:nvSpPr>
      <dsp:spPr>
        <a:xfrm>
          <a:off x="1431725" y="1067727"/>
          <a:ext cx="2076041" cy="245157"/>
        </a:xfrm>
        <a:custGeom>
          <a:avLst/>
          <a:gdLst/>
          <a:ahLst/>
          <a:cxnLst/>
          <a:rect l="0" t="0" r="0" b="0"/>
          <a:pathLst>
            <a:path>
              <a:moveTo>
                <a:pt x="2076041" y="0"/>
              </a:moveTo>
              <a:lnTo>
                <a:pt x="2076041" y="76438"/>
              </a:lnTo>
              <a:lnTo>
                <a:pt x="0" y="76438"/>
              </a:lnTo>
              <a:lnTo>
                <a:pt x="0" y="2451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B4334-9385-41E5-88D1-61BBAAF3C195}">
      <dsp:nvSpPr>
        <dsp:cNvPr id="0" name=""/>
        <dsp:cNvSpPr/>
      </dsp:nvSpPr>
      <dsp:spPr>
        <a:xfrm>
          <a:off x="3462046" y="399958"/>
          <a:ext cx="91440" cy="137490"/>
        </a:xfrm>
        <a:custGeom>
          <a:avLst/>
          <a:gdLst/>
          <a:ahLst/>
          <a:cxnLst/>
          <a:rect l="0" t="0" r="0" b="0"/>
          <a:pathLst>
            <a:path>
              <a:moveTo>
                <a:pt x="76491" y="0"/>
              </a:moveTo>
              <a:lnTo>
                <a:pt x="45720" y="0"/>
              </a:lnTo>
              <a:lnTo>
                <a:pt x="45720" y="137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6F056-F01B-40AB-89BD-DA899505C524}">
      <dsp:nvSpPr>
        <dsp:cNvPr id="0" name=""/>
        <dsp:cNvSpPr/>
      </dsp:nvSpPr>
      <dsp:spPr>
        <a:xfrm>
          <a:off x="2678685" y="1281"/>
          <a:ext cx="1719704" cy="398676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 baseline="0" smtClean="0">
              <a:solidFill>
                <a:sysClr val="windowText" lastClr="000000"/>
              </a:solidFill>
              <a:latin typeface="Times New Roman"/>
            </a:rPr>
            <a:t>1. </a:t>
          </a:r>
          <a:r>
            <a:rPr lang="pt-BR" sz="1100" b="0" kern="1200" baseline="0" smtClean="0">
              <a:solidFill>
                <a:sysClr val="windowText" lastClr="000000"/>
              </a:solidFill>
              <a:latin typeface="Times New Roman"/>
            </a:rPr>
            <a:t>Apuração da receita bruta do mês (Base de cálculo)</a:t>
          </a:r>
          <a:endParaRPr lang="pt-BR" sz="1100" b="0" kern="1200" smtClean="0">
            <a:solidFill>
              <a:sysClr val="windowText" lastClr="000000"/>
            </a:solidFill>
          </a:endParaRPr>
        </a:p>
      </dsp:txBody>
      <dsp:txXfrm>
        <a:off x="2678685" y="1281"/>
        <a:ext cx="1719704" cy="398676"/>
      </dsp:txXfrm>
    </dsp:sp>
    <dsp:sp modelId="{AE6C5646-D451-4E44-A709-CF80ECF4566C}">
      <dsp:nvSpPr>
        <dsp:cNvPr id="0" name=""/>
        <dsp:cNvSpPr/>
      </dsp:nvSpPr>
      <dsp:spPr>
        <a:xfrm>
          <a:off x="2624509" y="537448"/>
          <a:ext cx="1766512" cy="530278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 baseline="0" smtClean="0">
              <a:solidFill>
                <a:sysClr val="windowText" lastClr="000000"/>
              </a:solidFill>
              <a:latin typeface="Times New Roman"/>
            </a:rPr>
            <a:t>2. </a:t>
          </a:r>
          <a:r>
            <a:rPr lang="pt-BR" sz="1100" b="0" kern="1200" baseline="0" smtClean="0">
              <a:solidFill>
                <a:sysClr val="windowText" lastClr="000000"/>
              </a:solidFill>
              <a:latin typeface="Times New Roman"/>
            </a:rPr>
            <a:t>Segregar as receitas por tipo de atividades e enquadramento nos anexos</a:t>
          </a:r>
          <a:endParaRPr lang="pt-BR" sz="1100" b="0" kern="1200" smtClean="0">
            <a:solidFill>
              <a:sysClr val="windowText" lastClr="000000"/>
            </a:solidFill>
          </a:endParaRPr>
        </a:p>
      </dsp:txBody>
      <dsp:txXfrm>
        <a:off x="2624509" y="537448"/>
        <a:ext cx="1766512" cy="530278"/>
      </dsp:txXfrm>
    </dsp:sp>
    <dsp:sp modelId="{095FE1E7-ACB2-4852-98D5-0058C32FA879}">
      <dsp:nvSpPr>
        <dsp:cNvPr id="0" name=""/>
        <dsp:cNvSpPr/>
      </dsp:nvSpPr>
      <dsp:spPr>
        <a:xfrm>
          <a:off x="767884" y="1312885"/>
          <a:ext cx="1327680" cy="539220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 baseline="0" smtClean="0">
              <a:solidFill>
                <a:sysClr val="windowText" lastClr="000000"/>
              </a:solidFill>
              <a:latin typeface="Times New Roman"/>
            </a:rPr>
            <a:t>3.</a:t>
          </a:r>
          <a:r>
            <a:rPr lang="pt-BR" sz="1100" b="0" kern="1200" baseline="0" smtClean="0">
              <a:solidFill>
                <a:sysClr val="windowText" lastClr="000000"/>
              </a:solidFill>
              <a:latin typeface="Times New Roman"/>
            </a:rPr>
            <a:t> Verificar a receita bruta acumulada dos últimos 12 meses </a:t>
          </a:r>
          <a:endParaRPr lang="pt-BR" sz="1100" b="0" kern="1200" smtClean="0">
            <a:solidFill>
              <a:sysClr val="windowText" lastClr="000000"/>
            </a:solidFill>
          </a:endParaRPr>
        </a:p>
      </dsp:txBody>
      <dsp:txXfrm>
        <a:off x="767884" y="1312885"/>
        <a:ext cx="1327680" cy="539220"/>
      </dsp:txXfrm>
    </dsp:sp>
    <dsp:sp modelId="{427B4AF1-99DC-4AB7-A84E-8935F062BA1B}">
      <dsp:nvSpPr>
        <dsp:cNvPr id="0" name=""/>
        <dsp:cNvSpPr/>
      </dsp:nvSpPr>
      <dsp:spPr>
        <a:xfrm>
          <a:off x="3786523" y="1405166"/>
          <a:ext cx="1606855" cy="803427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 baseline="0" smtClean="0">
              <a:solidFill>
                <a:sysClr val="windowText" lastClr="000000"/>
              </a:solidFill>
              <a:latin typeface="Times New Roman"/>
            </a:rPr>
            <a:t>4. </a:t>
          </a:r>
          <a:r>
            <a:rPr lang="pt-BR" sz="1100" b="0" kern="1200" baseline="0" smtClean="0">
              <a:solidFill>
                <a:sysClr val="windowText" lastClr="000000"/>
              </a:solidFill>
              <a:latin typeface="Times New Roman"/>
            </a:rPr>
            <a:t>Enquadrado nos Anexos conforme passo 2, verificar a faixa da receita (passo 3) para indicação da alíquota correspondente.</a:t>
          </a:r>
        </a:p>
      </dsp:txBody>
      <dsp:txXfrm>
        <a:off x="3786523" y="1405166"/>
        <a:ext cx="1606855" cy="803427"/>
      </dsp:txXfrm>
    </dsp:sp>
    <dsp:sp modelId="{A99A1A8A-6452-4F86-8D9C-441D321AD6B5}">
      <dsp:nvSpPr>
        <dsp:cNvPr id="0" name=""/>
        <dsp:cNvSpPr/>
      </dsp:nvSpPr>
      <dsp:spPr>
        <a:xfrm>
          <a:off x="2208591" y="1812753"/>
          <a:ext cx="1255146" cy="480088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 baseline="0" smtClean="0">
              <a:solidFill>
                <a:sysClr val="windowText" lastClr="000000"/>
              </a:solidFill>
              <a:latin typeface="Times New Roman"/>
            </a:rPr>
            <a:t>5. </a:t>
          </a:r>
          <a:r>
            <a:rPr lang="pt-BR" sz="1100" b="0" kern="1200" baseline="0" smtClean="0">
              <a:solidFill>
                <a:sysClr val="windowText" lastClr="000000"/>
              </a:solidFill>
              <a:latin typeface="Times New Roman"/>
            </a:rPr>
            <a:t>Alíquota x Base de Cálculo = Simples Nacional a pagar.</a:t>
          </a:r>
          <a:endParaRPr lang="pt-BR" sz="1100" b="0" kern="1200" smtClean="0">
            <a:solidFill>
              <a:sysClr val="windowText" lastClr="000000"/>
            </a:solidFill>
          </a:endParaRPr>
        </a:p>
      </dsp:txBody>
      <dsp:txXfrm>
        <a:off x="2208591" y="1812753"/>
        <a:ext cx="1255146" cy="4800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FCA103-93CD-43A0-AB74-1DCB1E3876CF}">
      <dsp:nvSpPr>
        <dsp:cNvPr id="0" name=""/>
        <dsp:cNvSpPr/>
      </dsp:nvSpPr>
      <dsp:spPr>
        <a:xfrm>
          <a:off x="3547234" y="1166879"/>
          <a:ext cx="981369" cy="318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211"/>
              </a:lnTo>
              <a:lnTo>
                <a:pt x="981369" y="162211"/>
              </a:lnTo>
              <a:lnTo>
                <a:pt x="981369" y="318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B4334-9385-41E5-88D1-61BBAAF3C195}">
      <dsp:nvSpPr>
        <dsp:cNvPr id="0" name=""/>
        <dsp:cNvSpPr/>
      </dsp:nvSpPr>
      <dsp:spPr>
        <a:xfrm>
          <a:off x="3501514" y="537835"/>
          <a:ext cx="91440" cy="136755"/>
        </a:xfrm>
        <a:custGeom>
          <a:avLst/>
          <a:gdLst/>
          <a:ahLst/>
          <a:cxnLst/>
          <a:rect l="0" t="0" r="0" b="0"/>
          <a:pathLst>
            <a:path>
              <a:moveTo>
                <a:pt x="56072" y="0"/>
              </a:moveTo>
              <a:lnTo>
                <a:pt x="45720" y="0"/>
              </a:lnTo>
              <a:lnTo>
                <a:pt x="45720" y="1367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6F056-F01B-40AB-89BD-DA899505C524}">
      <dsp:nvSpPr>
        <dsp:cNvPr id="0" name=""/>
        <dsp:cNvSpPr/>
      </dsp:nvSpPr>
      <dsp:spPr>
        <a:xfrm>
          <a:off x="1917563" y="743"/>
          <a:ext cx="3280047" cy="537092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 baseline="0" smtClean="0">
              <a:solidFill>
                <a:sysClr val="windowText" lastClr="000000"/>
              </a:solidFill>
              <a:latin typeface="Times New Roman"/>
            </a:rPr>
            <a:t>1. </a:t>
          </a:r>
          <a:r>
            <a:rPr lang="pt-BR" sz="1100" b="0" kern="1200" baseline="0" smtClean="0">
              <a:solidFill>
                <a:sysClr val="windowText" lastClr="000000"/>
              </a:solidFill>
              <a:latin typeface="Times New Roman"/>
            </a:rPr>
            <a:t>Determinar a alíquota nominal, por meio da receita bruta acumulada nos últimos doze meses, ou proporcional ao número de meses do início da atividade fim.</a:t>
          </a:r>
          <a:endParaRPr lang="pt-BR" sz="1100" b="0" kern="1200" smtClean="0">
            <a:solidFill>
              <a:sysClr val="windowText" lastClr="000000"/>
            </a:solidFill>
          </a:endParaRPr>
        </a:p>
      </dsp:txBody>
      <dsp:txXfrm>
        <a:off x="1917563" y="743"/>
        <a:ext cx="3280047" cy="537092"/>
      </dsp:txXfrm>
    </dsp:sp>
    <dsp:sp modelId="{AE6C5646-D451-4E44-A709-CF80ECF4566C}">
      <dsp:nvSpPr>
        <dsp:cNvPr id="0" name=""/>
        <dsp:cNvSpPr/>
      </dsp:nvSpPr>
      <dsp:spPr>
        <a:xfrm>
          <a:off x="2727256" y="674590"/>
          <a:ext cx="1639956" cy="492288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 baseline="0" smtClean="0">
              <a:solidFill>
                <a:sysClr val="windowText" lastClr="000000"/>
              </a:solidFill>
              <a:latin typeface="Times New Roman"/>
            </a:rPr>
            <a:t>2. </a:t>
          </a:r>
          <a:r>
            <a:rPr lang="pt-BR" sz="1100" b="0" kern="1200" baseline="0" smtClean="0">
              <a:solidFill>
                <a:sysClr val="windowText" lastClr="000000"/>
              </a:solidFill>
              <a:latin typeface="Times New Roman"/>
            </a:rPr>
            <a:t>Determinar a alíquota efetiva</a:t>
          </a:r>
          <a:endParaRPr lang="pt-BR" sz="1100" b="0" kern="1200" smtClean="0">
            <a:solidFill>
              <a:sysClr val="windowText" lastClr="000000"/>
            </a:solidFill>
          </a:endParaRPr>
        </a:p>
      </dsp:txBody>
      <dsp:txXfrm>
        <a:off x="2727256" y="674590"/>
        <a:ext cx="1639956" cy="492288"/>
      </dsp:txXfrm>
    </dsp:sp>
    <dsp:sp modelId="{095FE1E7-ACB2-4852-98D5-0058C32FA879}">
      <dsp:nvSpPr>
        <dsp:cNvPr id="0" name=""/>
        <dsp:cNvSpPr/>
      </dsp:nvSpPr>
      <dsp:spPr>
        <a:xfrm>
          <a:off x="3542871" y="1485723"/>
          <a:ext cx="1971465" cy="647652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 baseline="0" smtClean="0">
              <a:solidFill>
                <a:sysClr val="windowText" lastClr="000000"/>
              </a:solidFill>
              <a:latin typeface="Times New Roman"/>
            </a:rPr>
            <a:t>3. </a:t>
          </a:r>
          <a:r>
            <a:rPr lang="pt-BR" sz="1100" b="0" kern="1200" baseline="0" smtClean="0">
              <a:solidFill>
                <a:sysClr val="windowText" lastClr="000000"/>
              </a:solidFill>
              <a:latin typeface="Times New Roman"/>
            </a:rPr>
            <a:t>Alíquota efetiva x Base de cálculo (receita bruta do mês) = Simples Nacional a pagar </a:t>
          </a:r>
          <a:endParaRPr lang="pt-BR" sz="1100" b="0" kern="1200" smtClean="0">
            <a:solidFill>
              <a:sysClr val="windowText" lastClr="000000"/>
            </a:solidFill>
          </a:endParaRPr>
        </a:p>
      </dsp:txBody>
      <dsp:txXfrm>
        <a:off x="3542871" y="1485723"/>
        <a:ext cx="1971465" cy="6476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0.4625</cdr:x>
      <cdr:y>0.66667</cdr:y>
    </cdr:from>
    <cdr:to>
      <cdr:x>0.6625</cdr:x>
      <cdr:y>1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2114550" y="26289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Escritório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Escritório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Escritório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E50A4-4FE4-451D-AF34-71A55EDA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7254</Words>
  <Characters>39176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Amaral</dc:creator>
  <cp:lastModifiedBy>Usuario</cp:lastModifiedBy>
  <cp:revision>4</cp:revision>
  <dcterms:created xsi:type="dcterms:W3CDTF">2018-07-30T02:18:00Z</dcterms:created>
  <dcterms:modified xsi:type="dcterms:W3CDTF">2018-07-30T02:24:00Z</dcterms:modified>
</cp:coreProperties>
</file>