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wdp" ContentType="image/vnd.ms-photo"/>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C1756E" w14:textId="77777777" w:rsidR="0036377D" w:rsidRDefault="0036377D" w:rsidP="0036377D">
      <w:pPr>
        <w:jc w:val="center"/>
        <w:rPr>
          <w:b/>
          <w:sz w:val="24"/>
        </w:rPr>
      </w:pPr>
    </w:p>
    <w:p w14:paraId="6DDBEB18" w14:textId="77777777" w:rsidR="004403D5" w:rsidRPr="00AF2A95" w:rsidRDefault="004403D5" w:rsidP="004403D5">
      <w:pPr>
        <w:jc w:val="center"/>
      </w:pPr>
      <w:r w:rsidRPr="00AF2A95">
        <w:rPr>
          <w:b/>
          <w:sz w:val="24"/>
          <w:szCs w:val="24"/>
        </w:rPr>
        <w:t>O Desempenho do Estado de Santa Catarina em Relação ao Cumprimento da Aplicação Mínima Constitucional em Saúde no Período de 2000 a 2015</w:t>
      </w:r>
    </w:p>
    <w:p w14:paraId="65865454" w14:textId="77777777" w:rsidR="0036377D" w:rsidRPr="00AF2A95" w:rsidRDefault="0036377D" w:rsidP="0036377D">
      <w:pPr>
        <w:jc w:val="center"/>
        <w:rPr>
          <w:color w:val="999999"/>
        </w:rPr>
      </w:pPr>
    </w:p>
    <w:p w14:paraId="6D5E0583" w14:textId="77777777" w:rsidR="0036377D" w:rsidRPr="00AF2A95" w:rsidRDefault="0036377D" w:rsidP="0036377D">
      <w:pPr>
        <w:rPr>
          <w:color w:val="999999"/>
        </w:rPr>
      </w:pPr>
    </w:p>
    <w:p w14:paraId="4B065B1D" w14:textId="5BB13167" w:rsidR="0036377D" w:rsidRPr="00AF2A95" w:rsidRDefault="004403D5" w:rsidP="0036377D">
      <w:pPr>
        <w:jc w:val="right"/>
        <w:rPr>
          <w:b/>
          <w:sz w:val="24"/>
          <w:szCs w:val="24"/>
        </w:rPr>
      </w:pPr>
      <w:r w:rsidRPr="00AF2A95">
        <w:rPr>
          <w:b/>
          <w:sz w:val="24"/>
          <w:szCs w:val="24"/>
        </w:rPr>
        <w:t>Fábio Rosar</w:t>
      </w:r>
    </w:p>
    <w:p w14:paraId="4DE2505C" w14:textId="06334AD5" w:rsidR="0036377D" w:rsidRPr="00AF2A95" w:rsidRDefault="004403D5" w:rsidP="0036377D">
      <w:pPr>
        <w:jc w:val="right"/>
        <w:rPr>
          <w:b/>
          <w:i/>
          <w:sz w:val="24"/>
          <w:szCs w:val="24"/>
        </w:rPr>
      </w:pPr>
      <w:r w:rsidRPr="00AF2A95">
        <w:rPr>
          <w:b/>
          <w:sz w:val="24"/>
          <w:szCs w:val="24"/>
        </w:rPr>
        <w:t>Universidade Federal de Santa Catarina (UFSC</w:t>
      </w:r>
      <w:r w:rsidR="0036377D" w:rsidRPr="00AF2A95">
        <w:rPr>
          <w:b/>
          <w:sz w:val="24"/>
          <w:szCs w:val="24"/>
        </w:rPr>
        <w:t>)</w:t>
      </w:r>
    </w:p>
    <w:p w14:paraId="7E31B7AE" w14:textId="5698A317" w:rsidR="0036377D" w:rsidRPr="00AF2A95" w:rsidRDefault="004403D5" w:rsidP="0036377D">
      <w:pPr>
        <w:jc w:val="right"/>
        <w:rPr>
          <w:b/>
          <w:sz w:val="24"/>
          <w:szCs w:val="24"/>
        </w:rPr>
      </w:pPr>
      <w:r w:rsidRPr="00AF2A95">
        <w:rPr>
          <w:b/>
          <w:i/>
          <w:sz w:val="24"/>
          <w:szCs w:val="24"/>
        </w:rPr>
        <w:t>fabiorosar@hotmail.com</w:t>
      </w:r>
    </w:p>
    <w:p w14:paraId="54607B61" w14:textId="77777777" w:rsidR="0036377D" w:rsidRPr="00AF2A95" w:rsidRDefault="0036377D" w:rsidP="0036377D">
      <w:pPr>
        <w:jc w:val="right"/>
        <w:rPr>
          <w:b/>
          <w:sz w:val="24"/>
          <w:szCs w:val="24"/>
        </w:rPr>
      </w:pPr>
    </w:p>
    <w:p w14:paraId="146A2B1B" w14:textId="02BD0CD2" w:rsidR="0036377D" w:rsidRPr="00AF2A95" w:rsidRDefault="004403D5" w:rsidP="0036377D">
      <w:pPr>
        <w:jc w:val="right"/>
        <w:rPr>
          <w:b/>
          <w:sz w:val="24"/>
          <w:szCs w:val="24"/>
        </w:rPr>
      </w:pPr>
      <w:r w:rsidRPr="00AF2A95">
        <w:rPr>
          <w:b/>
          <w:sz w:val="24"/>
          <w:szCs w:val="24"/>
        </w:rPr>
        <w:t>Orion Augusto Platt Neto</w:t>
      </w:r>
    </w:p>
    <w:p w14:paraId="0C95B989" w14:textId="77777777" w:rsidR="004403D5" w:rsidRPr="00AF2A95" w:rsidRDefault="004403D5" w:rsidP="004403D5">
      <w:pPr>
        <w:jc w:val="right"/>
        <w:rPr>
          <w:b/>
          <w:i/>
          <w:sz w:val="24"/>
          <w:szCs w:val="24"/>
        </w:rPr>
      </w:pPr>
      <w:r w:rsidRPr="00AF2A95">
        <w:rPr>
          <w:b/>
          <w:sz w:val="24"/>
          <w:szCs w:val="24"/>
        </w:rPr>
        <w:t>Universidade Federal de Santa Catarina (UFSC)</w:t>
      </w:r>
    </w:p>
    <w:p w14:paraId="6D3FAA0E" w14:textId="1648FEB5" w:rsidR="0036377D" w:rsidRPr="00AF2A95" w:rsidRDefault="004403D5" w:rsidP="0036377D">
      <w:pPr>
        <w:jc w:val="right"/>
        <w:rPr>
          <w:b/>
          <w:sz w:val="24"/>
          <w:szCs w:val="24"/>
        </w:rPr>
      </w:pPr>
      <w:r w:rsidRPr="00AF2A95">
        <w:rPr>
          <w:b/>
          <w:i/>
          <w:sz w:val="24"/>
          <w:szCs w:val="24"/>
        </w:rPr>
        <w:t>orion.platt@ufsc.br</w:t>
      </w:r>
    </w:p>
    <w:p w14:paraId="3E6BD9B7" w14:textId="77777777" w:rsidR="0036377D" w:rsidRPr="00AF2A95" w:rsidRDefault="0036377D" w:rsidP="0036377D">
      <w:pPr>
        <w:rPr>
          <w:b/>
          <w:sz w:val="24"/>
          <w:szCs w:val="24"/>
        </w:rPr>
      </w:pPr>
    </w:p>
    <w:p w14:paraId="4A8C1A6C" w14:textId="77777777" w:rsidR="0036377D" w:rsidRPr="00AF2A95" w:rsidRDefault="0036377D" w:rsidP="0036377D">
      <w:pPr>
        <w:jc w:val="center"/>
        <w:rPr>
          <w:b/>
          <w:color w:val="999999"/>
        </w:rPr>
      </w:pPr>
    </w:p>
    <w:p w14:paraId="7BDE6C02" w14:textId="77777777" w:rsidR="0036377D" w:rsidRPr="00AF2A95" w:rsidRDefault="0036377D" w:rsidP="0036377D">
      <w:pPr>
        <w:jc w:val="center"/>
        <w:rPr>
          <w:b/>
          <w:color w:val="999999"/>
        </w:rPr>
      </w:pPr>
    </w:p>
    <w:p w14:paraId="754411D7" w14:textId="56A83E3D" w:rsidR="0036377D" w:rsidRPr="00AF2A95" w:rsidRDefault="0036377D" w:rsidP="0036377D">
      <w:pPr>
        <w:jc w:val="both"/>
        <w:rPr>
          <w:sz w:val="24"/>
          <w:szCs w:val="24"/>
        </w:rPr>
      </w:pPr>
      <w:r w:rsidRPr="00AF2A95">
        <w:rPr>
          <w:b/>
          <w:sz w:val="24"/>
          <w:szCs w:val="24"/>
        </w:rPr>
        <w:t xml:space="preserve">Resumo: </w:t>
      </w:r>
      <w:r w:rsidR="004403D5" w:rsidRPr="00AF2A95">
        <w:rPr>
          <w:sz w:val="24"/>
          <w:szCs w:val="24"/>
        </w:rPr>
        <w:t>A preocupação com o controle e a suficiência dos recursos aplicados em saúde motivaram a criação de uma estrutura normativa que deu origem à exigência da aplicação mínima em Ações e Serviços Públicos de Saúde (ASPS). Neste contexto, o objetivo deste artigo é evidenciar o desempenho do Estado de Santa Catarina em relação ao cumprimento da aplicação mínima constitucional em saúde no período de 2000 a 2015. Esta pesquisa, quanto aos seus objetivos, é classificada como descritiva, com abordagem metodológica qualitativa e quantitativa. Quanto aos procedimentos, é classificada como bibliográfica e documental. Por meio da análise dos dados disponíveis, foi possível observar que, em média, o percentual de aplicação em ASPS pelo Estado foi de 10,59%, segundo dados do Tribunal de Contas do Estado (TCE/SC), e de 12,33%, segundo dados da Secretaria de Estado da Fazenda (SEF/SC). O Estado descumpriu o limite mínimo em onze dos dezesseis anos analisados, segundo o TCE/SC, e uma vez entre os quatorze anos analisados, segundo a SEF/SC. Isto resultou num déficit de aplicação de 4,13%, segundo o TCE/SC, e num superávit de aplicação de 4,84%, segundo a SEF/SC, em relação ao que deveria ser aplicado.</w:t>
      </w:r>
    </w:p>
    <w:p w14:paraId="3258BEEF" w14:textId="77777777" w:rsidR="0036377D" w:rsidRPr="00AF2A95" w:rsidRDefault="0036377D" w:rsidP="0036377D">
      <w:pPr>
        <w:rPr>
          <w:b/>
          <w:sz w:val="24"/>
          <w:szCs w:val="24"/>
        </w:rPr>
      </w:pPr>
    </w:p>
    <w:p w14:paraId="11A1A19B" w14:textId="48D5B58B" w:rsidR="0036377D" w:rsidRPr="00AF2A95" w:rsidRDefault="0036377D" w:rsidP="0036377D">
      <w:pPr>
        <w:rPr>
          <w:sz w:val="24"/>
          <w:szCs w:val="24"/>
        </w:rPr>
      </w:pPr>
      <w:r w:rsidRPr="00AF2A95">
        <w:rPr>
          <w:b/>
          <w:sz w:val="24"/>
          <w:szCs w:val="24"/>
        </w:rPr>
        <w:t xml:space="preserve">Palavras-chave: </w:t>
      </w:r>
      <w:r w:rsidR="004403D5" w:rsidRPr="00AF2A95">
        <w:rPr>
          <w:sz w:val="24"/>
          <w:szCs w:val="24"/>
        </w:rPr>
        <w:t>Despesas com saúde, Aplicação mínima constitucional, Despesa pública, Emenda Constitucional n.º 29/2000.</w:t>
      </w:r>
    </w:p>
    <w:p w14:paraId="42811FFC" w14:textId="77777777" w:rsidR="0036377D" w:rsidRPr="00AF2A95" w:rsidRDefault="0036377D" w:rsidP="0036377D">
      <w:pPr>
        <w:rPr>
          <w:sz w:val="24"/>
          <w:szCs w:val="24"/>
        </w:rPr>
      </w:pPr>
    </w:p>
    <w:p w14:paraId="6EB4D033" w14:textId="0E02A264" w:rsidR="0036377D" w:rsidRPr="00AF2A95" w:rsidRDefault="004403D5" w:rsidP="0036377D">
      <w:pPr>
        <w:rPr>
          <w:sz w:val="24"/>
          <w:szCs w:val="24"/>
        </w:rPr>
      </w:pPr>
      <w:r w:rsidRPr="00AF2A95">
        <w:rPr>
          <w:b/>
          <w:sz w:val="24"/>
          <w:szCs w:val="24"/>
        </w:rPr>
        <w:t>Linha Temática:</w:t>
      </w:r>
      <w:r w:rsidRPr="00AF2A95">
        <w:rPr>
          <w:sz w:val="24"/>
          <w:szCs w:val="24"/>
        </w:rPr>
        <w:t xml:space="preserve"> Contabilidade Pública Governamental</w:t>
      </w:r>
    </w:p>
    <w:p w14:paraId="7376362B" w14:textId="77777777" w:rsidR="004403D5" w:rsidRPr="00AF2A95" w:rsidRDefault="004403D5"/>
    <w:p w14:paraId="2EB3ECF5" w14:textId="72A86D97" w:rsidR="0036377D" w:rsidRPr="00AF2A95" w:rsidRDefault="0036377D"/>
    <w:p w14:paraId="4D755F5F" w14:textId="77777777" w:rsidR="00E6136F" w:rsidRPr="00AF2A95" w:rsidRDefault="00E6136F"/>
    <w:p w14:paraId="2AD8AD5C" w14:textId="77777777" w:rsidR="00E6136F" w:rsidRPr="00AF2A95" w:rsidRDefault="00E6136F"/>
    <w:p w14:paraId="557F60D6" w14:textId="77777777" w:rsidR="00E6136F" w:rsidRPr="00AF2A95" w:rsidRDefault="00E6136F"/>
    <w:p w14:paraId="12B2D759" w14:textId="77777777" w:rsidR="00E6136F" w:rsidRPr="00AF2A95" w:rsidRDefault="00E6136F"/>
    <w:p w14:paraId="71FC307E" w14:textId="77777777" w:rsidR="00E6136F" w:rsidRPr="00AF2A95" w:rsidRDefault="00E6136F"/>
    <w:p w14:paraId="72DD56B2" w14:textId="77777777" w:rsidR="00E6136F" w:rsidRPr="00AF2A95" w:rsidRDefault="00E6136F"/>
    <w:p w14:paraId="3053CD7F" w14:textId="77777777" w:rsidR="00E6136F" w:rsidRPr="00AF2A95" w:rsidRDefault="00E6136F"/>
    <w:p w14:paraId="19FF4B18" w14:textId="77777777" w:rsidR="00E6136F" w:rsidRPr="00AF2A95" w:rsidRDefault="00E6136F"/>
    <w:p w14:paraId="71F095E8" w14:textId="77777777" w:rsidR="00E6136F" w:rsidRPr="00AF2A95" w:rsidRDefault="00E6136F"/>
    <w:p w14:paraId="35B3DC58" w14:textId="77777777" w:rsidR="00E6136F" w:rsidRPr="00AF2A95" w:rsidRDefault="00E6136F"/>
    <w:p w14:paraId="5018E792" w14:textId="77777777" w:rsidR="00E6136F" w:rsidRPr="00AF2A95" w:rsidRDefault="00E6136F"/>
    <w:p w14:paraId="6678B071" w14:textId="77777777" w:rsidR="00E6136F" w:rsidRPr="00AF2A95" w:rsidRDefault="00E6136F"/>
    <w:p w14:paraId="3F15C82D" w14:textId="77777777" w:rsidR="00E6136F" w:rsidRPr="00AF2A95" w:rsidRDefault="00E6136F"/>
    <w:p w14:paraId="41AD3A1E" w14:textId="77777777" w:rsidR="00E6136F" w:rsidRPr="00AF2A95" w:rsidRDefault="00E6136F"/>
    <w:p w14:paraId="2D9B6D96" w14:textId="77777777" w:rsidR="00E6136F" w:rsidRPr="00AF2A95" w:rsidRDefault="00E6136F"/>
    <w:p w14:paraId="3EC7E16B" w14:textId="77777777" w:rsidR="00E6136F" w:rsidRPr="00AF2A95" w:rsidRDefault="00E6136F"/>
    <w:p w14:paraId="151F9C1E" w14:textId="77777777" w:rsidR="00E6136F" w:rsidRPr="00AF2A95" w:rsidRDefault="00E6136F"/>
    <w:p w14:paraId="7EBE4DCF" w14:textId="7526998D" w:rsidR="00E6136F" w:rsidRPr="00AF2A95" w:rsidRDefault="00E6136F" w:rsidP="001C328B">
      <w:pPr>
        <w:rPr>
          <w:sz w:val="24"/>
          <w:szCs w:val="24"/>
        </w:rPr>
      </w:pPr>
    </w:p>
    <w:p w14:paraId="64DDB201" w14:textId="77777777" w:rsidR="004403D5" w:rsidRPr="00AF2A95" w:rsidRDefault="004403D5" w:rsidP="004403D5">
      <w:pPr>
        <w:rPr>
          <w:b/>
          <w:sz w:val="24"/>
          <w:szCs w:val="24"/>
        </w:rPr>
      </w:pPr>
      <w:r w:rsidRPr="00AF2A95">
        <w:rPr>
          <w:b/>
          <w:sz w:val="24"/>
          <w:szCs w:val="24"/>
        </w:rPr>
        <w:lastRenderedPageBreak/>
        <w:t>1 INTRODUÇÃO</w:t>
      </w:r>
    </w:p>
    <w:p w14:paraId="2802ACE7" w14:textId="77777777" w:rsidR="004403D5" w:rsidRPr="00AF2A95" w:rsidRDefault="004403D5" w:rsidP="004403D5">
      <w:pPr>
        <w:ind w:firstLine="708"/>
        <w:jc w:val="both"/>
        <w:rPr>
          <w:sz w:val="24"/>
          <w:szCs w:val="24"/>
        </w:rPr>
      </w:pPr>
    </w:p>
    <w:p w14:paraId="09AFD9E9" w14:textId="3868FC0A" w:rsidR="004403D5" w:rsidRPr="00AF2A95" w:rsidRDefault="004403D5" w:rsidP="004403D5">
      <w:pPr>
        <w:ind w:firstLine="708"/>
        <w:jc w:val="both"/>
        <w:rPr>
          <w:sz w:val="24"/>
          <w:szCs w:val="24"/>
        </w:rPr>
      </w:pPr>
      <w:r w:rsidRPr="00AF2A95">
        <w:rPr>
          <w:sz w:val="24"/>
          <w:szCs w:val="24"/>
        </w:rPr>
        <w:t xml:space="preserve">Em 1988 foi elaborada, em Assembleia Nacional Constituinte, a Constituição Cidadã. Tal alcunha originou-se no viés do texto, com foco na garantia de direitos dos cidadãos. Seguindo esta linha, a Constituição estabeleceu como objetivo fundamental da República Federativa do Brasil a construção de uma “sociedade livre, justa e solidária”, além de definir a saúde como um “direito social” </w:t>
      </w:r>
      <w:r w:rsidR="0003475A" w:rsidRPr="00AF2A95">
        <w:rPr>
          <w:sz w:val="24"/>
          <w:szCs w:val="24"/>
        </w:rPr>
        <w:t>(Constituição do Brasil</w:t>
      </w:r>
      <w:r w:rsidRPr="00AF2A95">
        <w:rPr>
          <w:sz w:val="24"/>
          <w:szCs w:val="24"/>
        </w:rPr>
        <w:t>, 1988, arts. 6º e 3º, I).</w:t>
      </w:r>
    </w:p>
    <w:p w14:paraId="3A4777C4" w14:textId="77777777" w:rsidR="004403D5" w:rsidRPr="00AF2A95" w:rsidRDefault="004403D5" w:rsidP="004403D5">
      <w:pPr>
        <w:ind w:firstLine="708"/>
        <w:jc w:val="both"/>
        <w:rPr>
          <w:sz w:val="24"/>
          <w:szCs w:val="24"/>
        </w:rPr>
      </w:pPr>
      <w:r w:rsidRPr="00AF2A95">
        <w:rPr>
          <w:sz w:val="24"/>
          <w:szCs w:val="24"/>
        </w:rPr>
        <w:t>São necessários recursos significativos para</w:t>
      </w:r>
      <w:r w:rsidRPr="00AF2A95">
        <w:rPr>
          <w:color w:val="FF0000"/>
          <w:sz w:val="24"/>
          <w:szCs w:val="24"/>
        </w:rPr>
        <w:t xml:space="preserve"> </w:t>
      </w:r>
      <w:r w:rsidRPr="00AF2A95">
        <w:rPr>
          <w:sz w:val="24"/>
          <w:szCs w:val="24"/>
        </w:rPr>
        <w:t>efetivar na realidade o direito social à saúde previsto na Constituição, independentemente de o serviço ser prestado diretamente pelo Estado ou por organizações privadas. Por se tratar de função prioritária do Estado, surgiu a necessidade de uma maior regulamentação e controle da aplicação dos recursos em saúde. A Emenda Constitucional (EC) n.º 29/2000 e, posteriormente, a Lei Complementar n.º 141/2012, definiram limites mínimos de aplicação em Ações e Serviços Públicos de Saúde (ASPS).</w:t>
      </w:r>
    </w:p>
    <w:p w14:paraId="62CA75EA" w14:textId="77777777" w:rsidR="004403D5" w:rsidRPr="00AF2A95" w:rsidRDefault="004403D5" w:rsidP="004403D5">
      <w:pPr>
        <w:ind w:firstLine="708"/>
        <w:jc w:val="both"/>
        <w:rPr>
          <w:sz w:val="24"/>
          <w:szCs w:val="24"/>
        </w:rPr>
      </w:pPr>
      <w:r w:rsidRPr="00AF2A95">
        <w:rPr>
          <w:sz w:val="24"/>
          <w:szCs w:val="24"/>
        </w:rPr>
        <w:t xml:space="preserve">No Século XXI, o controle social se fortaleceu no Brasil, em virtude de mudanças culturais, tecnológicas e normativas. O crescente interesse da sociedade pela gestão dos recursos públicos foi estimulado por novas tecnologias de comunicação. Neste período, surgiram amparos legais ao controle social, como a Lei de Responsabilidade Fiscal, a Lei da Transparência e a Lei de Acesso à Informação. Com isso, a Contabilidade Pública adquire importância na efetivação destas normas e como instrumento de controle administrativo e social, por meio da evidenciação das ASPS.  </w:t>
      </w:r>
    </w:p>
    <w:p w14:paraId="0C1A7870" w14:textId="77777777" w:rsidR="004403D5" w:rsidRPr="00AF2A95" w:rsidRDefault="004403D5" w:rsidP="004403D5">
      <w:pPr>
        <w:ind w:firstLine="708"/>
        <w:jc w:val="both"/>
        <w:rPr>
          <w:sz w:val="24"/>
          <w:szCs w:val="24"/>
        </w:rPr>
      </w:pPr>
      <w:r w:rsidRPr="00AF2A95">
        <w:rPr>
          <w:sz w:val="24"/>
          <w:szCs w:val="24"/>
        </w:rPr>
        <w:t>Diante deste contexto, a presente pesquisa procura responder a seguinte pergunta, relacionada com o tema proposto: O Estado de Santa Catarina cumpriu o limite constitucional relativo à aplicação mínima em saúde no período de 2000 a 2015?</w:t>
      </w:r>
    </w:p>
    <w:p w14:paraId="6E8B1FC6" w14:textId="77777777" w:rsidR="004403D5" w:rsidRPr="00AF2A95" w:rsidRDefault="004403D5" w:rsidP="004403D5">
      <w:pPr>
        <w:ind w:firstLine="708"/>
        <w:jc w:val="both"/>
        <w:rPr>
          <w:sz w:val="24"/>
          <w:szCs w:val="24"/>
        </w:rPr>
      </w:pPr>
      <w:r w:rsidRPr="00AF2A95">
        <w:rPr>
          <w:sz w:val="24"/>
          <w:szCs w:val="24"/>
        </w:rPr>
        <w:t>Considerando a importância da evidenciação das ASPS, o objetivo desta pesquisa é evidenciar o desempenho do Estado de Santa Catarina em relação ao cumprimento da aplicação mínima constitucional em saúde no período de 2000 a 2015.</w:t>
      </w:r>
    </w:p>
    <w:p w14:paraId="6A4EECE2" w14:textId="1E0A8D7F" w:rsidR="004403D5" w:rsidRPr="00AF2A95" w:rsidRDefault="004403D5" w:rsidP="004403D5">
      <w:pPr>
        <w:ind w:firstLine="708"/>
        <w:jc w:val="both"/>
        <w:rPr>
          <w:sz w:val="24"/>
          <w:szCs w:val="24"/>
        </w:rPr>
      </w:pPr>
      <w:r w:rsidRPr="00AF2A95">
        <w:rPr>
          <w:sz w:val="24"/>
          <w:szCs w:val="24"/>
        </w:rPr>
        <w:t xml:space="preserve">Os percentuais de aplicação mínima pelos Estados em ASPS são regulamentados pela Lei complementar n.º 141/2012, em substituição ao art. 77 dos Atos das Disposições Constitucionais Transitórias, o qual foi introduzido pela EC n.º 29/2000 e determina aos Estados a aplicação de 12% das receitas líquidas de impostos e transferências constitucionais e legais, deduzidas as transferências aos municípios </w:t>
      </w:r>
      <w:r w:rsidR="0003475A" w:rsidRPr="00AF2A95">
        <w:rPr>
          <w:sz w:val="24"/>
          <w:szCs w:val="24"/>
        </w:rPr>
        <w:t xml:space="preserve">(Lei </w:t>
      </w:r>
      <w:r w:rsidR="00F704AA" w:rsidRPr="00AF2A95">
        <w:rPr>
          <w:sz w:val="24"/>
          <w:szCs w:val="24"/>
        </w:rPr>
        <w:t xml:space="preserve">Complementar </w:t>
      </w:r>
      <w:r w:rsidR="0003475A" w:rsidRPr="00AF2A95">
        <w:rPr>
          <w:sz w:val="24"/>
          <w:szCs w:val="24"/>
        </w:rPr>
        <w:t>n. 141</w:t>
      </w:r>
      <w:r w:rsidRPr="00AF2A95">
        <w:rPr>
          <w:sz w:val="24"/>
          <w:szCs w:val="24"/>
        </w:rPr>
        <w:t>, 2012, art. 6º).</w:t>
      </w:r>
    </w:p>
    <w:p w14:paraId="70E280FA" w14:textId="77777777" w:rsidR="004403D5" w:rsidRPr="00AF2A95" w:rsidRDefault="004403D5" w:rsidP="004403D5">
      <w:pPr>
        <w:ind w:firstLine="708"/>
        <w:jc w:val="both"/>
        <w:rPr>
          <w:sz w:val="24"/>
          <w:szCs w:val="24"/>
        </w:rPr>
      </w:pPr>
      <w:r w:rsidRPr="00AF2A95">
        <w:rPr>
          <w:sz w:val="24"/>
          <w:szCs w:val="24"/>
        </w:rPr>
        <w:t>Para alcançar o objetivo proposto, este artigo descreve o cumprimento da aplicação mínima de recursos em saúde por meio de uma série histórica de dezesseis anos, com os dados de demonstrativos contábeis da Secretaria de Estado da Fazenda de Santa Catarina e também com os dados dos Pareceres Prévios sobre as Contas do Governo do Estado, elaborados pelo Tribunal de Contas do Estado de Santa Catarina (TCE/SC).</w:t>
      </w:r>
    </w:p>
    <w:p w14:paraId="3C7ADFB8" w14:textId="77777777" w:rsidR="004403D5" w:rsidRPr="00AF2A95" w:rsidRDefault="004403D5" w:rsidP="004403D5">
      <w:pPr>
        <w:ind w:firstLine="708"/>
        <w:jc w:val="both"/>
        <w:rPr>
          <w:sz w:val="24"/>
          <w:szCs w:val="24"/>
        </w:rPr>
      </w:pPr>
      <w:r w:rsidRPr="00AF2A95">
        <w:rPr>
          <w:sz w:val="24"/>
          <w:szCs w:val="24"/>
        </w:rPr>
        <w:t>Este artigo se limita a atingir o objetivo proposto por meio dos procedimentos metodológicos evidenciados no Capítulo 3. Não é feito juízo de valor a respeito das despesas públicas com saúde, do arcabouço normativo que envolve o tema ou sobre os procedimentos contábeis adotados pelos órgãos. Não são feitas tentativas de explicar os dados por meio de fatos históricos ou relações de causa e efeito.</w:t>
      </w:r>
    </w:p>
    <w:p w14:paraId="50E57B12" w14:textId="77777777" w:rsidR="004403D5" w:rsidRPr="00AF2A95" w:rsidRDefault="004403D5" w:rsidP="004403D5">
      <w:pPr>
        <w:ind w:firstLine="708"/>
        <w:jc w:val="both"/>
        <w:rPr>
          <w:sz w:val="24"/>
          <w:szCs w:val="24"/>
        </w:rPr>
      </w:pPr>
      <w:r w:rsidRPr="00AF2A95">
        <w:rPr>
          <w:sz w:val="24"/>
          <w:szCs w:val="24"/>
        </w:rPr>
        <w:t>O presente artigo se justifica por sua possível utilidade nos contextos governamental e social. No contexto governamental, porque oferece ao gestor público informações sobre o desempenho do Estado quanto ao cumprimento ou descumprimento da aplicação mínima constitucional em saúde desde a promulgação da EC n.º 29/2000. No contexto social, o artigo pode oferecer uma visão simplificada da aplicação mínima em saúde pelo Estado, considerando que a maioria das pessoas não possuem conhecimento em Contabilidade Pública. Baseando-se neste conhecimento, os cidadãos podem construir seu julgamento sobre o trabalho dos gestores públicos e exercer o controle social.</w:t>
      </w:r>
    </w:p>
    <w:p w14:paraId="0EAF4A98" w14:textId="77777777" w:rsidR="004403D5" w:rsidRPr="00AF2A95" w:rsidRDefault="004403D5" w:rsidP="004403D5">
      <w:pPr>
        <w:jc w:val="both"/>
        <w:rPr>
          <w:sz w:val="24"/>
          <w:szCs w:val="24"/>
        </w:rPr>
      </w:pPr>
    </w:p>
    <w:p w14:paraId="75CD4FA7" w14:textId="77777777" w:rsidR="004403D5" w:rsidRPr="00AF2A95" w:rsidRDefault="004403D5" w:rsidP="004403D5">
      <w:pPr>
        <w:rPr>
          <w:b/>
          <w:sz w:val="24"/>
          <w:szCs w:val="24"/>
        </w:rPr>
      </w:pPr>
      <w:r w:rsidRPr="00AF2A95">
        <w:rPr>
          <w:b/>
          <w:sz w:val="24"/>
          <w:szCs w:val="24"/>
        </w:rPr>
        <w:lastRenderedPageBreak/>
        <w:t>2 FUNDAMENTAÇÃO TEÓRICA</w:t>
      </w:r>
    </w:p>
    <w:p w14:paraId="6075C0D6" w14:textId="77777777" w:rsidR="004403D5" w:rsidRPr="00AF2A95" w:rsidRDefault="004403D5" w:rsidP="004403D5">
      <w:pPr>
        <w:rPr>
          <w:b/>
          <w:sz w:val="24"/>
          <w:szCs w:val="24"/>
        </w:rPr>
      </w:pPr>
    </w:p>
    <w:p w14:paraId="2073C5A9" w14:textId="77777777" w:rsidR="004403D5" w:rsidRPr="00AF2A95" w:rsidRDefault="004403D5" w:rsidP="004403D5">
      <w:pPr>
        <w:ind w:firstLine="709"/>
        <w:jc w:val="both"/>
        <w:rPr>
          <w:sz w:val="24"/>
          <w:szCs w:val="24"/>
        </w:rPr>
      </w:pPr>
      <w:r w:rsidRPr="00AF2A95">
        <w:rPr>
          <w:sz w:val="24"/>
          <w:szCs w:val="24"/>
        </w:rPr>
        <w:t>Com o intuito de facilitar a compreensão dos resultados da pesquisa, este capítulo apresenta os temas que permeiam o objetivo do estudo. Os temas selecionados foram receitas e despesas públicas e as aplicações em Ações e Serviços públicos de saúde (ASPS). São abordados aqui o arcabouço normativo e a bibliografia que tratam destes temas.</w:t>
      </w:r>
    </w:p>
    <w:p w14:paraId="147297CC" w14:textId="77777777" w:rsidR="004403D5" w:rsidRPr="00AF2A95" w:rsidRDefault="004403D5" w:rsidP="004403D5">
      <w:pPr>
        <w:ind w:firstLine="709"/>
        <w:jc w:val="both"/>
        <w:rPr>
          <w:sz w:val="24"/>
          <w:szCs w:val="24"/>
        </w:rPr>
      </w:pPr>
    </w:p>
    <w:p w14:paraId="0B3637D1" w14:textId="77777777" w:rsidR="004403D5" w:rsidRPr="00AF2A95" w:rsidRDefault="004403D5" w:rsidP="004403D5">
      <w:pPr>
        <w:widowControl w:val="0"/>
        <w:numPr>
          <w:ilvl w:val="1"/>
          <w:numId w:val="2"/>
        </w:numPr>
        <w:suppressAutoHyphens w:val="0"/>
        <w:ind w:hanging="360"/>
        <w:contextualSpacing/>
        <w:rPr>
          <w:b/>
          <w:sz w:val="24"/>
          <w:szCs w:val="24"/>
        </w:rPr>
      </w:pPr>
      <w:r w:rsidRPr="00AF2A95">
        <w:rPr>
          <w:b/>
          <w:sz w:val="24"/>
          <w:szCs w:val="24"/>
        </w:rPr>
        <w:t>Receitas e despesas públicas</w:t>
      </w:r>
    </w:p>
    <w:p w14:paraId="3A080413" w14:textId="77777777" w:rsidR="004403D5" w:rsidRPr="00AF2A95" w:rsidRDefault="004403D5" w:rsidP="004403D5">
      <w:pPr>
        <w:ind w:firstLine="709"/>
        <w:jc w:val="both"/>
        <w:rPr>
          <w:sz w:val="24"/>
          <w:szCs w:val="24"/>
        </w:rPr>
      </w:pPr>
      <w:r w:rsidRPr="00AF2A95">
        <w:rPr>
          <w:sz w:val="24"/>
          <w:szCs w:val="24"/>
        </w:rPr>
        <w:t>As receitas e despesas públicas orçamentárias são reguladas por diversas normas, especialmente pela Lei n.º 4.320/1964 (Lei de Finanças Públicas), a Lei de Responsabilidade Fiscal (LRF), pela Parte I (Procedimentos Contábeis Orçamentários) do Manual de Contabilidade Aplicada ao Setor Público (MCASP) e Pela Portaria Interministerial STN/SOF n.º 163/2001.</w:t>
      </w:r>
    </w:p>
    <w:p w14:paraId="60911AC0" w14:textId="2C7A313E" w:rsidR="004403D5" w:rsidRPr="00AF2A95" w:rsidRDefault="004403D5" w:rsidP="004403D5">
      <w:pPr>
        <w:ind w:firstLine="709"/>
        <w:jc w:val="both"/>
        <w:rPr>
          <w:sz w:val="24"/>
          <w:szCs w:val="24"/>
        </w:rPr>
      </w:pPr>
      <w:r w:rsidRPr="00AF2A95">
        <w:rPr>
          <w:sz w:val="24"/>
          <w:szCs w:val="24"/>
        </w:rPr>
        <w:t>O MCASP classifica as receitas orçamentárias conforme três critérios (a) Natureza, (b) Fonte/Destinação de Recursos e (c) Indicador de Resultado Primário (S</w:t>
      </w:r>
      <w:r w:rsidR="00497CBE" w:rsidRPr="00AF2A95">
        <w:rPr>
          <w:sz w:val="24"/>
          <w:szCs w:val="24"/>
        </w:rPr>
        <w:t>ecretaria do Tesouro Nacional</w:t>
      </w:r>
      <w:r w:rsidR="002B11BE" w:rsidRPr="00AF2A95">
        <w:rPr>
          <w:sz w:val="24"/>
          <w:szCs w:val="24"/>
        </w:rPr>
        <w:t xml:space="preserve"> [STN]</w:t>
      </w:r>
      <w:r w:rsidR="00497CBE" w:rsidRPr="00AF2A95">
        <w:rPr>
          <w:sz w:val="24"/>
          <w:szCs w:val="24"/>
        </w:rPr>
        <w:t xml:space="preserve"> &amp; </w:t>
      </w:r>
      <w:r w:rsidRPr="00AF2A95">
        <w:rPr>
          <w:sz w:val="24"/>
          <w:szCs w:val="24"/>
        </w:rPr>
        <w:t>S</w:t>
      </w:r>
      <w:r w:rsidR="00497CBE" w:rsidRPr="00AF2A95">
        <w:rPr>
          <w:sz w:val="24"/>
          <w:szCs w:val="24"/>
        </w:rPr>
        <w:t>ecretaria de Orçamento Federal</w:t>
      </w:r>
      <w:r w:rsidR="002B11BE" w:rsidRPr="00AF2A95">
        <w:rPr>
          <w:sz w:val="24"/>
          <w:szCs w:val="24"/>
        </w:rPr>
        <w:t xml:space="preserve"> [SOF]</w:t>
      </w:r>
      <w:r w:rsidRPr="00AF2A95">
        <w:rPr>
          <w:sz w:val="24"/>
          <w:szCs w:val="24"/>
        </w:rPr>
        <w:t xml:space="preserve">, 2016, p. 36). Nesta pesquisa é abordada a classificação por natureza. Com base neste critério, as receitas e despesas podem ser correntes ou de capital. “São receitas correntes as receitas tributária, de contribuições, patrimonial, agropecuária, industrial, de serviços” e outras oriundas de pessoas de direito público e privado, destinadas à cobertura das despesas correntes </w:t>
      </w:r>
      <w:r w:rsidR="00435F9A" w:rsidRPr="00AF2A95">
        <w:rPr>
          <w:sz w:val="24"/>
          <w:szCs w:val="24"/>
        </w:rPr>
        <w:t>(Lei n. 4.320</w:t>
      </w:r>
      <w:r w:rsidRPr="00AF2A95">
        <w:rPr>
          <w:sz w:val="24"/>
          <w:szCs w:val="24"/>
        </w:rPr>
        <w:t xml:space="preserve">, 1964, art. 11, § 1º). </w:t>
      </w:r>
    </w:p>
    <w:p w14:paraId="39BC2D63" w14:textId="3E1FFA49" w:rsidR="004403D5" w:rsidRPr="00AF2A95" w:rsidRDefault="004403D5" w:rsidP="004403D5">
      <w:pPr>
        <w:ind w:firstLine="709"/>
        <w:jc w:val="both"/>
        <w:rPr>
          <w:sz w:val="24"/>
          <w:szCs w:val="24"/>
        </w:rPr>
      </w:pPr>
      <w:r w:rsidRPr="00AF2A95">
        <w:rPr>
          <w:sz w:val="24"/>
          <w:szCs w:val="24"/>
        </w:rPr>
        <w:t>As receitas de capital são as originárias de “recursos financeiros oriundos de constituição de dívidas; da conversão, em espécie, de bens e direitos; os recursos recebidos de outras pessoas de direito público ou privado”, para suprir as despesas de capital e o superávit do orçamento (</w:t>
      </w:r>
      <w:r w:rsidR="00435F9A" w:rsidRPr="00AF2A95">
        <w:rPr>
          <w:sz w:val="24"/>
          <w:szCs w:val="24"/>
        </w:rPr>
        <w:t>Lei n. 4.320</w:t>
      </w:r>
      <w:r w:rsidRPr="00AF2A95">
        <w:rPr>
          <w:sz w:val="24"/>
          <w:szCs w:val="24"/>
        </w:rPr>
        <w:t>, 1964, art. 11, § 2º).</w:t>
      </w:r>
    </w:p>
    <w:p w14:paraId="03260F8D" w14:textId="62775F7D" w:rsidR="004403D5" w:rsidRPr="00AF2A95" w:rsidRDefault="004403D5" w:rsidP="004403D5">
      <w:pPr>
        <w:ind w:firstLine="709"/>
        <w:jc w:val="both"/>
        <w:rPr>
          <w:sz w:val="24"/>
          <w:szCs w:val="24"/>
        </w:rPr>
      </w:pPr>
      <w:r w:rsidRPr="00AF2A95">
        <w:rPr>
          <w:sz w:val="24"/>
          <w:szCs w:val="24"/>
        </w:rPr>
        <w:t xml:space="preserve">A Portaria Interministerial STN/SOF n.º 163/2001, atualizada pela Portaria Interministerial STN/SOF n.º 5/2015, normatiza, entre outros aspectos, a classificação das receitas e despesas orçamentárias, estabelece a estrutura de classificação de receita como “a.b.c.d.dd.d.e” , onde “a” representa a categoria econômica, “b” a origem da receita, “c” a espécie da receita, “d” desdobramentos específicos e “e” o tipo de receita </w:t>
      </w:r>
      <w:r w:rsidR="002B11BE" w:rsidRPr="00AF2A95">
        <w:rPr>
          <w:sz w:val="24"/>
          <w:szCs w:val="24"/>
        </w:rPr>
        <w:t xml:space="preserve">(STN &amp; </w:t>
      </w:r>
      <w:r w:rsidRPr="00AF2A95">
        <w:rPr>
          <w:sz w:val="24"/>
          <w:szCs w:val="24"/>
        </w:rPr>
        <w:t xml:space="preserve">SOF, 2001, art. 2º, § 4º). A vigência desta classificação foi prevista para 2016 na União e 2018 para os outros entes da federação </w:t>
      </w:r>
      <w:r w:rsidR="002B11BE" w:rsidRPr="00AF2A95">
        <w:rPr>
          <w:sz w:val="24"/>
          <w:szCs w:val="24"/>
        </w:rPr>
        <w:t xml:space="preserve">(STN &amp; </w:t>
      </w:r>
      <w:r w:rsidRPr="00AF2A95">
        <w:rPr>
          <w:sz w:val="24"/>
          <w:szCs w:val="24"/>
        </w:rPr>
        <w:t>SOF, 2015, art. 3º).</w:t>
      </w:r>
    </w:p>
    <w:p w14:paraId="662F4CDE" w14:textId="506C660D" w:rsidR="004403D5" w:rsidRPr="00AF2A95" w:rsidRDefault="004403D5" w:rsidP="004403D5">
      <w:pPr>
        <w:ind w:firstLine="709"/>
        <w:jc w:val="both"/>
        <w:rPr>
          <w:sz w:val="24"/>
          <w:szCs w:val="24"/>
        </w:rPr>
      </w:pPr>
      <w:r w:rsidRPr="00AF2A95">
        <w:rPr>
          <w:sz w:val="24"/>
          <w:szCs w:val="24"/>
        </w:rPr>
        <w:t xml:space="preserve">A categoria econômica segrega a receita em corrente ou de capital, como explicado anteriormente. A origem da receita visa “identificar a procedência das receitas no momento em que ingressam nos cofres públicos” </w:t>
      </w:r>
      <w:r w:rsidR="002B11BE" w:rsidRPr="00AF2A95">
        <w:rPr>
          <w:sz w:val="24"/>
          <w:szCs w:val="24"/>
        </w:rPr>
        <w:t xml:space="preserve">(STN &amp; </w:t>
      </w:r>
      <w:r w:rsidRPr="00AF2A95">
        <w:rPr>
          <w:sz w:val="24"/>
          <w:szCs w:val="24"/>
        </w:rPr>
        <w:t>SOF, 2016, p. 39). A espécie é um detalhamento da origem da receita, podendo ainda ser adotado um desdobramento específico do órgão após a espécie. O último dígito da classificação refere-se ao tipo de arrecadação, arrecadação principal ou arrecadação de juros, dívida ativa, entre outros.</w:t>
      </w:r>
    </w:p>
    <w:p w14:paraId="3FA4C6C7" w14:textId="15A3273F" w:rsidR="004403D5" w:rsidRPr="00AF2A95" w:rsidRDefault="004403D5" w:rsidP="004403D5">
      <w:pPr>
        <w:ind w:firstLine="709"/>
        <w:jc w:val="both"/>
        <w:rPr>
          <w:sz w:val="24"/>
          <w:szCs w:val="24"/>
        </w:rPr>
      </w:pPr>
      <w:r w:rsidRPr="00AF2A95">
        <w:rPr>
          <w:sz w:val="24"/>
          <w:szCs w:val="24"/>
        </w:rPr>
        <w:t xml:space="preserve">As receitas orçamentárias passam por fases ou estágios, que culminam na entrega de recursos ao erário. O MCASP resume os estágios da receita em previsão, lançamento, arrecadação e recolhimento </w:t>
      </w:r>
      <w:r w:rsidR="002B11BE" w:rsidRPr="00AF2A95">
        <w:rPr>
          <w:sz w:val="24"/>
          <w:szCs w:val="24"/>
        </w:rPr>
        <w:t>(STN &amp; S</w:t>
      </w:r>
      <w:r w:rsidRPr="00AF2A95">
        <w:rPr>
          <w:sz w:val="24"/>
          <w:szCs w:val="24"/>
        </w:rPr>
        <w:t>OF, 2016). Autores como Kohama (2016) e Silva (2011) adotam a mesma categorização do MCASP, com o primeiro, entretanto, considerando arrecadação e recolhimento como um só estágio (K</w:t>
      </w:r>
      <w:r w:rsidR="002B11BE" w:rsidRPr="00AF2A95">
        <w:rPr>
          <w:sz w:val="24"/>
          <w:szCs w:val="24"/>
        </w:rPr>
        <w:t>ohama</w:t>
      </w:r>
      <w:r w:rsidRPr="00AF2A95">
        <w:rPr>
          <w:sz w:val="24"/>
          <w:szCs w:val="24"/>
        </w:rPr>
        <w:t xml:space="preserve">, 2016, p. 101). A previsão é o estágio “em que se levantam [...] as possibilidades futuras do comportamento da receita”. O lançamento “é aquele estágio em que são identificados e arrolados os contribuintes” </w:t>
      </w:r>
      <w:r w:rsidR="002B11BE" w:rsidRPr="00AF2A95">
        <w:rPr>
          <w:sz w:val="24"/>
          <w:szCs w:val="24"/>
        </w:rPr>
        <w:t>(Cruz</w:t>
      </w:r>
      <w:r w:rsidRPr="00AF2A95">
        <w:rPr>
          <w:sz w:val="24"/>
          <w:szCs w:val="24"/>
        </w:rPr>
        <w:t xml:space="preserve">, 1988, p. 50) e identificados os fatos geradores. A arrecadação é a quitação do débito e entrega recursos por parte dos contribuintes </w:t>
      </w:r>
      <w:r w:rsidR="002B11BE" w:rsidRPr="00AF2A95">
        <w:rPr>
          <w:sz w:val="24"/>
          <w:szCs w:val="24"/>
        </w:rPr>
        <w:t xml:space="preserve">(STN &amp; </w:t>
      </w:r>
      <w:r w:rsidRPr="00AF2A95">
        <w:rPr>
          <w:sz w:val="24"/>
          <w:szCs w:val="24"/>
        </w:rPr>
        <w:t>SOF, 2016).</w:t>
      </w:r>
    </w:p>
    <w:p w14:paraId="2F6AA0E0" w14:textId="693E4200" w:rsidR="004403D5" w:rsidRPr="00AF2A95" w:rsidRDefault="004403D5" w:rsidP="004403D5">
      <w:pPr>
        <w:ind w:firstLine="709"/>
        <w:jc w:val="both"/>
        <w:rPr>
          <w:sz w:val="24"/>
          <w:szCs w:val="24"/>
        </w:rPr>
      </w:pPr>
      <w:r w:rsidRPr="00AF2A95">
        <w:rPr>
          <w:sz w:val="24"/>
          <w:szCs w:val="24"/>
        </w:rPr>
        <w:t xml:space="preserve">As despesas orçamentárias também se dividem, segundo sua natureza, em correntes e de capital.  Segundo Kohama (2016), classifica-se como despesas correntes “todas as despesas que não contribuem diretamente para a formação ou aquisição de um bem de capital”, e como </w:t>
      </w:r>
      <w:r w:rsidRPr="00AF2A95">
        <w:rPr>
          <w:sz w:val="24"/>
          <w:szCs w:val="24"/>
        </w:rPr>
        <w:lastRenderedPageBreak/>
        <w:t>despesa de capital aquelas que contribuem (K</w:t>
      </w:r>
      <w:r w:rsidR="002B11BE" w:rsidRPr="00AF2A95">
        <w:rPr>
          <w:sz w:val="24"/>
          <w:szCs w:val="24"/>
        </w:rPr>
        <w:t>ohama</w:t>
      </w:r>
      <w:r w:rsidR="00E46C35" w:rsidRPr="00AF2A95">
        <w:rPr>
          <w:sz w:val="24"/>
          <w:szCs w:val="24"/>
        </w:rPr>
        <w:t xml:space="preserve">, </w:t>
      </w:r>
      <w:r w:rsidRPr="00AF2A95">
        <w:rPr>
          <w:sz w:val="24"/>
          <w:szCs w:val="24"/>
        </w:rPr>
        <w:t>2016, p</w:t>
      </w:r>
      <w:r w:rsidR="002B11BE" w:rsidRPr="00AF2A95">
        <w:rPr>
          <w:sz w:val="24"/>
          <w:szCs w:val="24"/>
        </w:rPr>
        <w:t>p. 114-</w:t>
      </w:r>
      <w:r w:rsidRPr="00AF2A95">
        <w:rPr>
          <w:sz w:val="24"/>
          <w:szCs w:val="24"/>
        </w:rPr>
        <w:t xml:space="preserve">115). Cruz (1988) diferencia as duas categorias ligando o consumo imediato às despesas correntes e a ativação de bens às despesas de capital </w:t>
      </w:r>
      <w:r w:rsidR="005C13A2" w:rsidRPr="00AF2A95">
        <w:rPr>
          <w:sz w:val="24"/>
          <w:szCs w:val="24"/>
        </w:rPr>
        <w:t>(Cruz</w:t>
      </w:r>
      <w:r w:rsidRPr="00AF2A95">
        <w:rPr>
          <w:sz w:val="24"/>
          <w:szCs w:val="24"/>
        </w:rPr>
        <w:t>, 1988).</w:t>
      </w:r>
    </w:p>
    <w:p w14:paraId="28AA9063" w14:textId="590ECE2C" w:rsidR="004403D5" w:rsidRPr="00AF2A95" w:rsidRDefault="004403D5" w:rsidP="004403D5">
      <w:pPr>
        <w:ind w:firstLine="709"/>
        <w:jc w:val="both"/>
        <w:rPr>
          <w:sz w:val="24"/>
          <w:szCs w:val="24"/>
        </w:rPr>
      </w:pPr>
      <w:r w:rsidRPr="00AF2A95">
        <w:rPr>
          <w:sz w:val="24"/>
          <w:szCs w:val="24"/>
        </w:rPr>
        <w:t xml:space="preserve">A estrutura de classificação da despesa orçamentária é “c.g.mm.ee.dd”, onde “c” é a categoria econômica, que pode ser corrente ou de capital. O dígito “g” é o grupo de natureza da despesa, “um agregador de elementos de despesa orçamentária com as mesmas características quanto ao objeto de gasto” </w:t>
      </w:r>
      <w:r w:rsidR="005C13A2" w:rsidRPr="00AF2A95">
        <w:rPr>
          <w:sz w:val="24"/>
          <w:szCs w:val="24"/>
        </w:rPr>
        <w:t>(STN &amp; SOF, 2016, p</w:t>
      </w:r>
      <w:r w:rsidRPr="00AF2A95">
        <w:rPr>
          <w:sz w:val="24"/>
          <w:szCs w:val="24"/>
        </w:rPr>
        <w:t xml:space="preserve">. 81). A modalidade de aplicação (mm) “indica se os recursos serão aplicados diretamente pela unidade detentora do crédito ou mediante transferência para entidades públicas ou privadas” </w:t>
      </w:r>
      <w:r w:rsidR="005C13A2" w:rsidRPr="00AF2A95">
        <w:rPr>
          <w:sz w:val="24"/>
          <w:szCs w:val="24"/>
        </w:rPr>
        <w:t>(STN &amp; SOF, 2016, p</w:t>
      </w:r>
      <w:r w:rsidRPr="00AF2A95">
        <w:rPr>
          <w:sz w:val="24"/>
          <w:szCs w:val="24"/>
        </w:rPr>
        <w:t xml:space="preserve">. 81). O elemento da despesa (ee) “Tem por finalidade identificar os objetos de gasto” </w:t>
      </w:r>
      <w:r w:rsidR="005C13A2" w:rsidRPr="00AF2A95">
        <w:rPr>
          <w:sz w:val="24"/>
          <w:szCs w:val="24"/>
        </w:rPr>
        <w:t>(STN &amp; SOF, 2016, p</w:t>
      </w:r>
      <w:r w:rsidRPr="00AF2A95">
        <w:rPr>
          <w:sz w:val="24"/>
          <w:szCs w:val="24"/>
        </w:rPr>
        <w:t xml:space="preserve">. 81). O ente ainda poderá adotar desdobramentos (dd) conforme sua necessidade de escrituração. </w:t>
      </w:r>
      <w:r w:rsidR="005C13A2" w:rsidRPr="00AF2A95">
        <w:rPr>
          <w:sz w:val="24"/>
          <w:szCs w:val="24"/>
        </w:rPr>
        <w:t>(STN &amp; SOF, 2016, p</w:t>
      </w:r>
      <w:r w:rsidRPr="00AF2A95">
        <w:rPr>
          <w:sz w:val="24"/>
          <w:szCs w:val="24"/>
        </w:rPr>
        <w:t>. 81).</w:t>
      </w:r>
    </w:p>
    <w:p w14:paraId="3271E5BB" w14:textId="2B47AED5" w:rsidR="004403D5" w:rsidRPr="00AF2A95" w:rsidRDefault="004403D5" w:rsidP="004403D5">
      <w:pPr>
        <w:ind w:firstLine="709"/>
        <w:jc w:val="both"/>
        <w:rPr>
          <w:sz w:val="24"/>
          <w:szCs w:val="24"/>
        </w:rPr>
      </w:pPr>
      <w:r w:rsidRPr="00AF2A95">
        <w:rPr>
          <w:sz w:val="24"/>
          <w:szCs w:val="24"/>
        </w:rPr>
        <w:t>A Lei de Finanças Públicas define o empenho, liquidação e pagamento como estágios, os procedimentos necessários para a efetuação da despesa (</w:t>
      </w:r>
      <w:r w:rsidR="005C13A2" w:rsidRPr="00AF2A95">
        <w:rPr>
          <w:sz w:val="24"/>
          <w:szCs w:val="24"/>
        </w:rPr>
        <w:t>Lei n. 4.320</w:t>
      </w:r>
      <w:r w:rsidRPr="00AF2A95">
        <w:rPr>
          <w:sz w:val="24"/>
          <w:szCs w:val="24"/>
        </w:rPr>
        <w:t>, 1964, arts. 60 a 64). Silva (2011) denomina este processo como “administração de créditos” e o equivale</w:t>
      </w:r>
      <w:bookmarkStart w:id="0" w:name="gjdgxs" w:colFirst="0" w:colLast="0"/>
      <w:bookmarkEnd w:id="0"/>
      <w:r w:rsidRPr="00AF2A95">
        <w:rPr>
          <w:sz w:val="24"/>
          <w:szCs w:val="24"/>
        </w:rPr>
        <w:t xml:space="preserve"> “em </w:t>
      </w:r>
      <w:r w:rsidRPr="00AF2A95">
        <w:rPr>
          <w:i/>
          <w:sz w:val="24"/>
          <w:szCs w:val="24"/>
        </w:rPr>
        <w:t>sentido amplo</w:t>
      </w:r>
      <w:r w:rsidRPr="00AF2A95">
        <w:rPr>
          <w:sz w:val="24"/>
          <w:szCs w:val="24"/>
        </w:rPr>
        <w:t xml:space="preserve">, à própria realização da despesa e, em </w:t>
      </w:r>
      <w:r w:rsidRPr="00AF2A95">
        <w:rPr>
          <w:i/>
          <w:sz w:val="24"/>
          <w:szCs w:val="24"/>
        </w:rPr>
        <w:t>sentido explícito</w:t>
      </w:r>
      <w:r w:rsidRPr="00AF2A95">
        <w:rPr>
          <w:sz w:val="24"/>
          <w:szCs w:val="24"/>
        </w:rPr>
        <w:t xml:space="preserve">, à competência para baixar o Quadro de Detalhamento da Despesa, empenhar, liquidar, requisitar adiantamentos e ordenar pagamentos” </w:t>
      </w:r>
      <w:r w:rsidR="005C13A2" w:rsidRPr="00AF2A95">
        <w:rPr>
          <w:sz w:val="24"/>
          <w:szCs w:val="24"/>
        </w:rPr>
        <w:t>(Silva</w:t>
      </w:r>
      <w:r w:rsidRPr="00AF2A95">
        <w:rPr>
          <w:sz w:val="24"/>
          <w:szCs w:val="24"/>
        </w:rPr>
        <w:t>, 2011, p. 267).</w:t>
      </w:r>
    </w:p>
    <w:p w14:paraId="56870083" w14:textId="5C456610" w:rsidR="004403D5" w:rsidRPr="00AF2A95" w:rsidRDefault="004403D5" w:rsidP="004403D5">
      <w:pPr>
        <w:ind w:firstLine="709"/>
        <w:jc w:val="both"/>
        <w:rPr>
          <w:sz w:val="24"/>
          <w:szCs w:val="24"/>
        </w:rPr>
      </w:pPr>
      <w:r w:rsidRPr="00AF2A95">
        <w:rPr>
          <w:sz w:val="24"/>
          <w:szCs w:val="24"/>
        </w:rPr>
        <w:t xml:space="preserve">Parte da literatura considera mais um estágio, anterior ao empenho, que corresponderia à vinculação da despesa ao seu respectivo crédito orçamentário. Como observa Kohama (2016) “a escrituração contábil da despesa orçamentária deve, ainda, ser registrada também quanto ao aspecto relativo ao crédito fixado na lei orçamentária que se constitui, na realidade, em mais uma etapa ou estágio, denominada </w:t>
      </w:r>
      <w:r w:rsidRPr="00AF2A95">
        <w:rPr>
          <w:i/>
          <w:sz w:val="24"/>
          <w:szCs w:val="24"/>
        </w:rPr>
        <w:t>Fixação</w:t>
      </w:r>
      <w:r w:rsidRPr="00AF2A95">
        <w:rPr>
          <w:sz w:val="24"/>
          <w:szCs w:val="24"/>
        </w:rPr>
        <w:t>” (K</w:t>
      </w:r>
      <w:r w:rsidR="005C13A2" w:rsidRPr="00AF2A95">
        <w:rPr>
          <w:sz w:val="24"/>
          <w:szCs w:val="24"/>
        </w:rPr>
        <w:t>ohama</w:t>
      </w:r>
      <w:r w:rsidRPr="00AF2A95">
        <w:rPr>
          <w:sz w:val="24"/>
          <w:szCs w:val="24"/>
        </w:rPr>
        <w:t>, 2016, p. 124). A despesa orçamentária é fixada na ocasião da aprovação pelo Poder Legislativo da lei orçamentária, ou posteriormente, quando da abertura de créditos adicionais.</w:t>
      </w:r>
    </w:p>
    <w:p w14:paraId="142B89AB" w14:textId="4C29772D" w:rsidR="004403D5" w:rsidRPr="00AF2A95" w:rsidRDefault="004403D5" w:rsidP="004403D5">
      <w:pPr>
        <w:ind w:firstLine="709"/>
        <w:jc w:val="both"/>
        <w:rPr>
          <w:sz w:val="24"/>
          <w:szCs w:val="24"/>
        </w:rPr>
      </w:pPr>
      <w:r w:rsidRPr="00AF2A95">
        <w:rPr>
          <w:sz w:val="24"/>
          <w:szCs w:val="24"/>
        </w:rPr>
        <w:t>A Lei de Finanças Públicas define o empenho como “o ato emanado de autoridade competente que cria para o Estado obrigação de pagamento pendente ou não de implemento de condição” (</w:t>
      </w:r>
      <w:r w:rsidR="005C13A2" w:rsidRPr="00AF2A95">
        <w:rPr>
          <w:sz w:val="24"/>
          <w:szCs w:val="24"/>
        </w:rPr>
        <w:t>Lei n. 4.320</w:t>
      </w:r>
      <w:r w:rsidRPr="00AF2A95">
        <w:rPr>
          <w:sz w:val="24"/>
          <w:szCs w:val="24"/>
        </w:rPr>
        <w:t>, 1964, art. 58). Antes da quitação do débito com o credor, acontece a liquidação, que é a verificação da conformidade da despesa, em relação ao objeto do pagamento, valores e identificação do credor (</w:t>
      </w:r>
      <w:r w:rsidR="005C13A2" w:rsidRPr="00AF2A95">
        <w:rPr>
          <w:sz w:val="24"/>
          <w:szCs w:val="24"/>
        </w:rPr>
        <w:t>Lei n. 4.320</w:t>
      </w:r>
      <w:r w:rsidRPr="00AF2A95">
        <w:rPr>
          <w:sz w:val="24"/>
          <w:szCs w:val="24"/>
        </w:rPr>
        <w:t>, 1964, art. 63). Verificada a conformidade, é emitida ordem de pagamento pela autoridade competente (</w:t>
      </w:r>
      <w:r w:rsidR="005C13A2" w:rsidRPr="00AF2A95">
        <w:rPr>
          <w:sz w:val="24"/>
          <w:szCs w:val="24"/>
        </w:rPr>
        <w:t>Lei n. 4.320</w:t>
      </w:r>
      <w:r w:rsidRPr="00AF2A95">
        <w:rPr>
          <w:sz w:val="24"/>
          <w:szCs w:val="24"/>
        </w:rPr>
        <w:t xml:space="preserve">, 1964, art. 64). </w:t>
      </w:r>
    </w:p>
    <w:p w14:paraId="654D240F" w14:textId="2D94C719" w:rsidR="004403D5" w:rsidRPr="00AF2A95" w:rsidRDefault="004403D5" w:rsidP="004403D5">
      <w:pPr>
        <w:ind w:firstLine="709"/>
        <w:jc w:val="both"/>
        <w:rPr>
          <w:sz w:val="24"/>
          <w:szCs w:val="24"/>
        </w:rPr>
      </w:pPr>
      <w:r w:rsidRPr="00AF2A95">
        <w:rPr>
          <w:sz w:val="24"/>
          <w:szCs w:val="24"/>
        </w:rPr>
        <w:t>No aspecto orçamentário, a Contabilidade Pública brasileira adota um regime contábil misto no qual “pertencem ao exercício financeiro” as “receitas nele arrecadadas” e “as despesas nele legalmente empenhadas”, dentro de um exercício financeiro que coincide com o ano civil (</w:t>
      </w:r>
      <w:r w:rsidR="005C13A2" w:rsidRPr="00AF2A95">
        <w:rPr>
          <w:sz w:val="24"/>
          <w:szCs w:val="24"/>
        </w:rPr>
        <w:t>Lei n. 4.320</w:t>
      </w:r>
      <w:r w:rsidRPr="00AF2A95">
        <w:rPr>
          <w:sz w:val="24"/>
          <w:szCs w:val="24"/>
        </w:rPr>
        <w:t>, 1964, arts. 34 e 35).</w:t>
      </w:r>
    </w:p>
    <w:p w14:paraId="5B6D4377" w14:textId="77777777" w:rsidR="004403D5" w:rsidRPr="00AF2A95" w:rsidRDefault="004403D5" w:rsidP="004403D5">
      <w:pPr>
        <w:ind w:firstLine="709"/>
        <w:jc w:val="both"/>
        <w:rPr>
          <w:sz w:val="24"/>
          <w:szCs w:val="24"/>
        </w:rPr>
      </w:pPr>
    </w:p>
    <w:p w14:paraId="09C21B47" w14:textId="77777777" w:rsidR="004403D5" w:rsidRPr="00AF2A95" w:rsidRDefault="004403D5" w:rsidP="004403D5">
      <w:pPr>
        <w:widowControl w:val="0"/>
        <w:numPr>
          <w:ilvl w:val="1"/>
          <w:numId w:val="2"/>
        </w:numPr>
        <w:suppressAutoHyphens w:val="0"/>
        <w:ind w:hanging="360"/>
        <w:contextualSpacing/>
        <w:jc w:val="both"/>
        <w:rPr>
          <w:b/>
          <w:sz w:val="24"/>
          <w:szCs w:val="24"/>
        </w:rPr>
      </w:pPr>
      <w:bookmarkStart w:id="1" w:name="_30j0zll" w:colFirst="0" w:colLast="0"/>
      <w:bookmarkEnd w:id="1"/>
      <w:r w:rsidRPr="00AF2A95">
        <w:rPr>
          <w:b/>
          <w:sz w:val="24"/>
          <w:szCs w:val="24"/>
        </w:rPr>
        <w:t>Despesas com Ações e Serviços Públicos de Saúde (ASPS)</w:t>
      </w:r>
    </w:p>
    <w:p w14:paraId="769D2D9C" w14:textId="5A48EC57" w:rsidR="004403D5" w:rsidRPr="00AF2A95" w:rsidRDefault="004403D5" w:rsidP="004403D5">
      <w:pPr>
        <w:ind w:firstLine="709"/>
        <w:jc w:val="both"/>
        <w:rPr>
          <w:sz w:val="24"/>
          <w:szCs w:val="24"/>
        </w:rPr>
      </w:pPr>
      <w:r w:rsidRPr="00AF2A95">
        <w:rPr>
          <w:sz w:val="24"/>
          <w:szCs w:val="24"/>
        </w:rPr>
        <w:t>A saúde, sendo uma das funções prioritárias do Estado, é um tema frequente na Constituição, que a define como um “direito de todos e dever do estado”, bem como de “relevância pública” (</w:t>
      </w:r>
      <w:r w:rsidR="00E46C35" w:rsidRPr="00AF2A95">
        <w:rPr>
          <w:sz w:val="24"/>
          <w:szCs w:val="24"/>
        </w:rPr>
        <w:t>Constituição do Brasil</w:t>
      </w:r>
      <w:r w:rsidRPr="00AF2A95">
        <w:rPr>
          <w:sz w:val="24"/>
          <w:szCs w:val="24"/>
        </w:rPr>
        <w:t>, 1988, arts. 196 e 197).</w:t>
      </w:r>
    </w:p>
    <w:p w14:paraId="06EBAA11" w14:textId="340EBF44" w:rsidR="004403D5" w:rsidRPr="00AF2A95" w:rsidRDefault="004403D5" w:rsidP="004403D5">
      <w:pPr>
        <w:ind w:firstLine="709"/>
        <w:jc w:val="both"/>
        <w:rPr>
          <w:sz w:val="24"/>
          <w:szCs w:val="24"/>
        </w:rPr>
      </w:pPr>
      <w:r w:rsidRPr="00AF2A95">
        <w:rPr>
          <w:sz w:val="24"/>
          <w:szCs w:val="24"/>
        </w:rPr>
        <w:t>A Emenda Constitucional (EC) n.º 29/2000 foi promulgada “para assegurar os recursos mínimos para o financiamento” e estabeleceu limit</w:t>
      </w:r>
      <w:r w:rsidR="00E02444" w:rsidRPr="00AF2A95">
        <w:rPr>
          <w:sz w:val="24"/>
          <w:szCs w:val="24"/>
        </w:rPr>
        <w:t>es mínimos de despesas em ASPS (Emenda Constitucional n. 29</w:t>
      </w:r>
      <w:r w:rsidRPr="00AF2A95">
        <w:rPr>
          <w:sz w:val="24"/>
          <w:szCs w:val="24"/>
        </w:rPr>
        <w:t>, 2000). Estes limites, a serem cumpridos pelos entes a partir de 2000, foram definidos em dispositivo transitório (temporário), válido até a promulgação da lei complementar prevista na Emenda (</w:t>
      </w:r>
      <w:r w:rsidR="00E46C35" w:rsidRPr="00AF2A95">
        <w:rPr>
          <w:sz w:val="24"/>
          <w:szCs w:val="24"/>
        </w:rPr>
        <w:t>Constituição do Brasil,</w:t>
      </w:r>
      <w:r w:rsidRPr="00AF2A95">
        <w:rPr>
          <w:sz w:val="24"/>
          <w:szCs w:val="24"/>
        </w:rPr>
        <w:t xml:space="preserve"> 1988, art. 198, § 3º e art. 77 do ADCT, I a III).</w:t>
      </w:r>
    </w:p>
    <w:p w14:paraId="19E81356" w14:textId="2FB42CC0" w:rsidR="004403D5" w:rsidRPr="00AF2A95" w:rsidRDefault="004403D5" w:rsidP="004403D5">
      <w:pPr>
        <w:ind w:firstLine="709"/>
        <w:jc w:val="both"/>
        <w:rPr>
          <w:sz w:val="24"/>
          <w:szCs w:val="24"/>
        </w:rPr>
      </w:pPr>
      <w:r w:rsidRPr="00AF2A95">
        <w:rPr>
          <w:sz w:val="24"/>
          <w:szCs w:val="24"/>
        </w:rPr>
        <w:t xml:space="preserve">Para a União, foi definido que deveria ser aplicado, em 2000, “o montante empenhado” em ASPS “no exercício financeiro de 1999 acrescido de, no mínimo, cinco por cento” e, do ano 2001 até a promulgação de lei complementar, “o valor apurado no ano anterior, corrigido pela </w:t>
      </w:r>
      <w:r w:rsidRPr="00AF2A95">
        <w:rPr>
          <w:sz w:val="24"/>
          <w:szCs w:val="24"/>
        </w:rPr>
        <w:lastRenderedPageBreak/>
        <w:t>variação nominal do Produto Interno Bruto – PIB” (</w:t>
      </w:r>
      <w:r w:rsidR="00E46C35" w:rsidRPr="00AF2A95">
        <w:rPr>
          <w:sz w:val="24"/>
          <w:szCs w:val="24"/>
        </w:rPr>
        <w:t>Constituição do Brasil</w:t>
      </w:r>
      <w:r w:rsidRPr="00AF2A95">
        <w:rPr>
          <w:sz w:val="24"/>
          <w:szCs w:val="24"/>
        </w:rPr>
        <w:t>, 1988, art. 77 do ADCT, I, a e b). Quanto aos demais entes, foi estabelecido que (</w:t>
      </w:r>
      <w:r w:rsidR="00E46C35" w:rsidRPr="00AF2A95">
        <w:rPr>
          <w:sz w:val="24"/>
          <w:szCs w:val="24"/>
        </w:rPr>
        <w:t>Constituição do Brasil</w:t>
      </w:r>
      <w:r w:rsidRPr="00AF2A95">
        <w:rPr>
          <w:sz w:val="24"/>
          <w:szCs w:val="24"/>
        </w:rPr>
        <w:t>, 1988, art. 77 do ADCT, II e III):</w:t>
      </w:r>
    </w:p>
    <w:p w14:paraId="773A96D1" w14:textId="77777777" w:rsidR="004403D5" w:rsidRPr="00AF2A95" w:rsidRDefault="004403D5" w:rsidP="004403D5">
      <w:pPr>
        <w:ind w:left="2268"/>
        <w:jc w:val="both"/>
      </w:pPr>
      <w:r w:rsidRPr="00AF2A95">
        <w:t>II – no caso dos Estados e do Distrito Federal, doze por cento do produto da arrecadação dos impostos a que se refere o art. 155 e dos recursos de que tratam os arts. 157 e 159, inciso I, alínea a, e inciso II, deduzidas as parcelas que forem transferidas aos respectivos Municípios; e</w:t>
      </w:r>
    </w:p>
    <w:p w14:paraId="1DB8C232" w14:textId="77777777" w:rsidR="004403D5" w:rsidRPr="00AF2A95" w:rsidRDefault="004403D5" w:rsidP="004403D5">
      <w:pPr>
        <w:ind w:left="2268"/>
        <w:jc w:val="both"/>
      </w:pPr>
      <w:r w:rsidRPr="00AF2A95">
        <w:t>III – no caso dos Municípios e do Distrito Federal, quinze por cento do produto da arrecadação dos impostos a que se refere o art. 156 e dos recursos de que tratam os arts. 158 e 159, inciso I, alínea b e § 3º.</w:t>
      </w:r>
    </w:p>
    <w:p w14:paraId="53FEABCA" w14:textId="77777777" w:rsidR="004403D5" w:rsidRPr="00AF2A95" w:rsidRDefault="004403D5" w:rsidP="004403D5">
      <w:pPr>
        <w:ind w:left="2268"/>
        <w:jc w:val="both"/>
      </w:pPr>
    </w:p>
    <w:p w14:paraId="6C1143FD" w14:textId="0FE6E3DC" w:rsidR="004403D5" w:rsidRPr="00AF2A95" w:rsidRDefault="004403D5" w:rsidP="004403D5">
      <w:pPr>
        <w:ind w:firstLine="709"/>
        <w:jc w:val="both"/>
        <w:rPr>
          <w:sz w:val="24"/>
          <w:szCs w:val="24"/>
        </w:rPr>
      </w:pPr>
      <w:r w:rsidRPr="00AF2A95">
        <w:rPr>
          <w:sz w:val="24"/>
          <w:szCs w:val="24"/>
        </w:rPr>
        <w:t>Para estados, Distrito Federal e municípios, a EC n.º 29/2000 estabeleceu um período de transição de 2000 a 2004, nos casos de aplicação inferior ao limite mínimo (</w:t>
      </w:r>
      <w:r w:rsidR="00E46C35" w:rsidRPr="00AF2A95">
        <w:rPr>
          <w:sz w:val="24"/>
          <w:szCs w:val="24"/>
        </w:rPr>
        <w:t>Constituição do Brasil</w:t>
      </w:r>
      <w:r w:rsidRPr="00AF2A95">
        <w:rPr>
          <w:sz w:val="24"/>
          <w:szCs w:val="24"/>
        </w:rPr>
        <w:t>, 1988, art. 77 do ADCT, § 1º). Nesta transição, os entes deveriam elevar gradualmente os percentuais de aplicação, sendo “reduzida a diferença à razão de, pelo menos, um quinto por ano, sendo que, a partir de 2000, a aplicação será de pelo menos sete por cento” (</w:t>
      </w:r>
      <w:r w:rsidR="00E46C35" w:rsidRPr="00AF2A95">
        <w:rPr>
          <w:sz w:val="24"/>
          <w:szCs w:val="24"/>
        </w:rPr>
        <w:t>Constituição do Brasil</w:t>
      </w:r>
      <w:r w:rsidRPr="00AF2A95">
        <w:rPr>
          <w:sz w:val="24"/>
          <w:szCs w:val="24"/>
        </w:rPr>
        <w:t>, 1988, art. 77 do ADCT, § 1º). Segundo o Conselho Nacional de Saúde (CNS), por meio das Resoluções n.</w:t>
      </w:r>
      <w:r w:rsidRPr="00AF2A95">
        <w:rPr>
          <w:sz w:val="24"/>
          <w:szCs w:val="24"/>
          <w:vertAlign w:val="superscript"/>
        </w:rPr>
        <w:t>os</w:t>
      </w:r>
      <w:r w:rsidRPr="00AF2A95">
        <w:rPr>
          <w:sz w:val="24"/>
          <w:szCs w:val="24"/>
        </w:rPr>
        <w:t xml:space="preserve"> 316/2002 e 322/2003, e o Ministério da Saúde, por meio da Portaria n.º 2.047/2002, os percentuais mínimos deveriam ser de 7% em 2000, com elevação de 1% ao ano até 2003 e de 2% em 2004, alcançando o percentual de 12% em 2004 (</w:t>
      </w:r>
      <w:r w:rsidR="00E46C35" w:rsidRPr="00AF2A95">
        <w:rPr>
          <w:sz w:val="24"/>
          <w:szCs w:val="24"/>
        </w:rPr>
        <w:t>Portaria n. 2.047</w:t>
      </w:r>
      <w:r w:rsidR="0056577D" w:rsidRPr="00AF2A95">
        <w:rPr>
          <w:sz w:val="24"/>
          <w:szCs w:val="24"/>
        </w:rPr>
        <w:t xml:space="preserve"> do Ministério da Saúde</w:t>
      </w:r>
      <w:r w:rsidRPr="00AF2A95">
        <w:rPr>
          <w:sz w:val="24"/>
          <w:szCs w:val="24"/>
        </w:rPr>
        <w:t>, 2002, art. 2º, § 2º, II).</w:t>
      </w:r>
    </w:p>
    <w:p w14:paraId="6D6A386B" w14:textId="77777777" w:rsidR="004403D5" w:rsidRPr="00AF2A95" w:rsidRDefault="004403D5" w:rsidP="004403D5">
      <w:pPr>
        <w:ind w:firstLine="709"/>
        <w:jc w:val="both"/>
        <w:rPr>
          <w:sz w:val="24"/>
          <w:szCs w:val="24"/>
        </w:rPr>
      </w:pPr>
      <w:r w:rsidRPr="00AF2A95">
        <w:rPr>
          <w:sz w:val="24"/>
          <w:szCs w:val="24"/>
        </w:rPr>
        <w:t>A identificação das receitas que compõem a base de cálculo da aplicação mínima em ASPS dos estados, foco da presente pesquisa, por meio da leitura do dispositivo constitucional, é uma tarefa complexa. Segue, portanto, um quadro que evidencia estas variáveis.</w:t>
      </w:r>
    </w:p>
    <w:p w14:paraId="1F035649" w14:textId="77777777" w:rsidR="004403D5" w:rsidRPr="00AF2A95" w:rsidRDefault="004403D5" w:rsidP="004403D5">
      <w:pPr>
        <w:jc w:val="center"/>
        <w:rPr>
          <w:b/>
        </w:rPr>
      </w:pPr>
      <w:r w:rsidRPr="00AF2A95">
        <w:rPr>
          <w:b/>
        </w:rPr>
        <w:t>Quadro 1 – Base de cálculo da aplicação mínima em ASPS nos estados e Distrito Federal</w:t>
      </w:r>
    </w:p>
    <w:tbl>
      <w:tblPr>
        <w:tblW w:w="9061" w:type="dxa"/>
        <w:jc w:val="center"/>
        <w:tblLayout w:type="fixed"/>
        <w:tblLook w:val="0400" w:firstRow="0" w:lastRow="0" w:firstColumn="0" w:lastColumn="0" w:noHBand="0" w:noVBand="1"/>
      </w:tblPr>
      <w:tblGrid>
        <w:gridCol w:w="9061"/>
      </w:tblGrid>
      <w:tr w:rsidR="004403D5" w:rsidRPr="00AF2A95" w14:paraId="72BB1B67" w14:textId="77777777" w:rsidTr="004403D5">
        <w:trPr>
          <w:trHeight w:val="86"/>
          <w:jc w:val="center"/>
        </w:trPr>
        <w:tc>
          <w:tcPr>
            <w:tcW w:w="906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5E11FA45" w14:textId="77777777" w:rsidR="004403D5" w:rsidRPr="00AF2A95" w:rsidRDefault="004403D5" w:rsidP="004403D5">
            <w:pPr>
              <w:jc w:val="center"/>
              <w:rPr>
                <w:b/>
              </w:rPr>
            </w:pPr>
            <w:r w:rsidRPr="00AF2A95">
              <w:rPr>
                <w:b/>
              </w:rPr>
              <w:t>Receitas e deduções</w:t>
            </w:r>
          </w:p>
        </w:tc>
      </w:tr>
      <w:tr w:rsidR="004403D5" w:rsidRPr="00AF2A95" w14:paraId="0AD85F5B" w14:textId="77777777" w:rsidTr="004403D5">
        <w:trPr>
          <w:trHeight w:val="70"/>
          <w:jc w:val="center"/>
        </w:trPr>
        <w:tc>
          <w:tcPr>
            <w:tcW w:w="9061" w:type="dxa"/>
            <w:tcBorders>
              <w:top w:val="nil"/>
              <w:left w:val="single" w:sz="4" w:space="0" w:color="000000"/>
              <w:bottom w:val="nil"/>
              <w:right w:val="single" w:sz="4" w:space="0" w:color="000000"/>
            </w:tcBorders>
            <w:shd w:val="clear" w:color="auto" w:fill="FFFFFF"/>
            <w:vAlign w:val="bottom"/>
          </w:tcPr>
          <w:p w14:paraId="0F1745AB" w14:textId="77777777" w:rsidR="004403D5" w:rsidRPr="00AF2A95" w:rsidRDefault="004403D5" w:rsidP="004403D5">
            <w:r w:rsidRPr="00AF2A95">
              <w:t>(+) Cota-Parte do Fundo de Participação dos Estados</w:t>
            </w:r>
          </w:p>
        </w:tc>
      </w:tr>
      <w:tr w:rsidR="004403D5" w:rsidRPr="00AF2A95" w14:paraId="7FE689A7" w14:textId="77777777" w:rsidTr="004403D5">
        <w:trPr>
          <w:trHeight w:val="80"/>
          <w:jc w:val="center"/>
        </w:trPr>
        <w:tc>
          <w:tcPr>
            <w:tcW w:w="9061" w:type="dxa"/>
            <w:tcBorders>
              <w:top w:val="nil"/>
              <w:left w:val="single" w:sz="4" w:space="0" w:color="000000"/>
              <w:bottom w:val="nil"/>
              <w:right w:val="single" w:sz="4" w:space="0" w:color="000000"/>
            </w:tcBorders>
            <w:shd w:val="clear" w:color="auto" w:fill="FFFFFF"/>
            <w:vAlign w:val="bottom"/>
          </w:tcPr>
          <w:p w14:paraId="29CEDC4F" w14:textId="77777777" w:rsidR="004403D5" w:rsidRPr="00AF2A95" w:rsidRDefault="004403D5" w:rsidP="004403D5">
            <w:r w:rsidRPr="00AF2A95">
              <w:t>(+) Cota-Parte do Imposto sobre Produtos Industrializados sobre Exportação (IPI-Exportação)</w:t>
            </w:r>
          </w:p>
        </w:tc>
      </w:tr>
      <w:tr w:rsidR="004403D5" w:rsidRPr="00AF2A95" w14:paraId="731D1AED" w14:textId="77777777" w:rsidTr="004403D5">
        <w:trPr>
          <w:trHeight w:val="106"/>
          <w:jc w:val="center"/>
        </w:trPr>
        <w:tc>
          <w:tcPr>
            <w:tcW w:w="9061" w:type="dxa"/>
            <w:tcBorders>
              <w:top w:val="nil"/>
              <w:left w:val="single" w:sz="4" w:space="0" w:color="000000"/>
              <w:bottom w:val="nil"/>
              <w:right w:val="single" w:sz="4" w:space="0" w:color="000000"/>
            </w:tcBorders>
            <w:shd w:val="clear" w:color="auto" w:fill="FFFFFF"/>
            <w:vAlign w:val="bottom"/>
          </w:tcPr>
          <w:p w14:paraId="4A3BCC65" w14:textId="77777777" w:rsidR="004403D5" w:rsidRPr="00AF2A95" w:rsidRDefault="004403D5" w:rsidP="004403D5">
            <w:r w:rsidRPr="00AF2A95">
              <w:t>(+) Imposto de Renda Retido na Fonte (recolhidos pelo ente) (IRPF)</w:t>
            </w:r>
          </w:p>
        </w:tc>
      </w:tr>
      <w:tr w:rsidR="004403D5" w:rsidRPr="00AF2A95" w14:paraId="710E744E" w14:textId="77777777" w:rsidTr="004403D5">
        <w:trPr>
          <w:trHeight w:val="80"/>
          <w:jc w:val="center"/>
        </w:trPr>
        <w:tc>
          <w:tcPr>
            <w:tcW w:w="9061" w:type="dxa"/>
            <w:tcBorders>
              <w:top w:val="nil"/>
              <w:left w:val="single" w:sz="4" w:space="0" w:color="000000"/>
              <w:bottom w:val="nil"/>
              <w:right w:val="single" w:sz="4" w:space="0" w:color="000000"/>
            </w:tcBorders>
            <w:shd w:val="clear" w:color="auto" w:fill="FFFFFF"/>
            <w:vAlign w:val="bottom"/>
          </w:tcPr>
          <w:p w14:paraId="3E9EE6F1" w14:textId="77777777" w:rsidR="004403D5" w:rsidRPr="00AF2A95" w:rsidRDefault="004403D5" w:rsidP="004403D5">
            <w:r w:rsidRPr="00AF2A95">
              <w:t>(+) Imposto sobre a Circulação de Mercadorias e Serviços (ICMS)</w:t>
            </w:r>
          </w:p>
        </w:tc>
      </w:tr>
      <w:tr w:rsidR="004403D5" w:rsidRPr="00AF2A95" w14:paraId="159BCD79" w14:textId="77777777" w:rsidTr="004403D5">
        <w:trPr>
          <w:trHeight w:val="80"/>
          <w:jc w:val="center"/>
        </w:trPr>
        <w:tc>
          <w:tcPr>
            <w:tcW w:w="9061" w:type="dxa"/>
            <w:tcBorders>
              <w:top w:val="nil"/>
              <w:left w:val="single" w:sz="4" w:space="0" w:color="000000"/>
              <w:bottom w:val="nil"/>
              <w:right w:val="single" w:sz="4" w:space="0" w:color="000000"/>
            </w:tcBorders>
            <w:shd w:val="clear" w:color="auto" w:fill="FFFFFF"/>
            <w:vAlign w:val="bottom"/>
          </w:tcPr>
          <w:p w14:paraId="5290BC7C" w14:textId="77777777" w:rsidR="004403D5" w:rsidRPr="00AF2A95" w:rsidRDefault="004403D5" w:rsidP="004403D5">
            <w:r w:rsidRPr="00AF2A95">
              <w:t>(+) Imposto sobre a Propriedade de Veículos Automotores (IPVA)</w:t>
            </w:r>
          </w:p>
        </w:tc>
      </w:tr>
      <w:tr w:rsidR="004403D5" w:rsidRPr="00AF2A95" w14:paraId="78A774FC" w14:textId="77777777" w:rsidTr="004403D5">
        <w:trPr>
          <w:trHeight w:val="80"/>
          <w:jc w:val="center"/>
        </w:trPr>
        <w:tc>
          <w:tcPr>
            <w:tcW w:w="9061" w:type="dxa"/>
            <w:tcBorders>
              <w:top w:val="nil"/>
              <w:left w:val="single" w:sz="4" w:space="0" w:color="000000"/>
              <w:bottom w:val="nil"/>
              <w:right w:val="single" w:sz="4" w:space="0" w:color="000000"/>
            </w:tcBorders>
            <w:shd w:val="clear" w:color="auto" w:fill="FFFFFF"/>
            <w:vAlign w:val="bottom"/>
          </w:tcPr>
          <w:p w14:paraId="15264811" w14:textId="77777777" w:rsidR="004403D5" w:rsidRPr="00AF2A95" w:rsidRDefault="004403D5" w:rsidP="004403D5">
            <w:r w:rsidRPr="00AF2A95">
              <w:t xml:space="preserve">(+) Imposto sobre a Transmissão </w:t>
            </w:r>
            <w:r w:rsidRPr="00AF2A95">
              <w:rPr>
                <w:i/>
              </w:rPr>
              <w:t>Causa Mortis</w:t>
            </w:r>
            <w:r w:rsidRPr="00AF2A95">
              <w:t xml:space="preserve"> e Doação (ITCD)</w:t>
            </w:r>
          </w:p>
        </w:tc>
      </w:tr>
      <w:tr w:rsidR="004403D5" w:rsidRPr="00AF2A95" w14:paraId="6E59DA88" w14:textId="77777777" w:rsidTr="004403D5">
        <w:trPr>
          <w:trHeight w:val="80"/>
          <w:jc w:val="center"/>
        </w:trPr>
        <w:tc>
          <w:tcPr>
            <w:tcW w:w="9061" w:type="dxa"/>
            <w:tcBorders>
              <w:top w:val="nil"/>
              <w:left w:val="single" w:sz="4" w:space="0" w:color="000000"/>
              <w:bottom w:val="nil"/>
              <w:right w:val="single" w:sz="4" w:space="0" w:color="000000"/>
            </w:tcBorders>
            <w:shd w:val="clear" w:color="auto" w:fill="FFFFFF"/>
            <w:vAlign w:val="bottom"/>
          </w:tcPr>
          <w:p w14:paraId="4B3FEC52" w14:textId="77777777" w:rsidR="004403D5" w:rsidRPr="00AF2A95" w:rsidRDefault="004403D5" w:rsidP="004403D5">
            <w:r w:rsidRPr="00AF2A95">
              <w:t>(-) Parcela da Cota-Parte do IPI-Exportação transferida aos municípios</w:t>
            </w:r>
          </w:p>
        </w:tc>
      </w:tr>
      <w:tr w:rsidR="004403D5" w:rsidRPr="00AF2A95" w14:paraId="07E9DEDF" w14:textId="77777777" w:rsidTr="004403D5">
        <w:trPr>
          <w:trHeight w:val="80"/>
          <w:jc w:val="center"/>
        </w:trPr>
        <w:tc>
          <w:tcPr>
            <w:tcW w:w="9061" w:type="dxa"/>
            <w:tcBorders>
              <w:top w:val="nil"/>
              <w:left w:val="single" w:sz="4" w:space="0" w:color="000000"/>
              <w:bottom w:val="nil"/>
              <w:right w:val="single" w:sz="4" w:space="0" w:color="000000"/>
            </w:tcBorders>
            <w:shd w:val="clear" w:color="auto" w:fill="FFFFFF"/>
            <w:vAlign w:val="bottom"/>
          </w:tcPr>
          <w:p w14:paraId="08217DF5" w14:textId="77777777" w:rsidR="004403D5" w:rsidRPr="00AF2A95" w:rsidRDefault="004403D5" w:rsidP="004403D5">
            <w:r w:rsidRPr="00AF2A95">
              <w:t>(-) Parcela do IPVA transferida aos municípios</w:t>
            </w:r>
          </w:p>
        </w:tc>
      </w:tr>
      <w:tr w:rsidR="004403D5" w:rsidRPr="00AF2A95" w14:paraId="572146D4" w14:textId="77777777" w:rsidTr="004403D5">
        <w:trPr>
          <w:trHeight w:val="80"/>
          <w:jc w:val="center"/>
        </w:trPr>
        <w:tc>
          <w:tcPr>
            <w:tcW w:w="9061" w:type="dxa"/>
            <w:tcBorders>
              <w:top w:val="nil"/>
              <w:left w:val="single" w:sz="4" w:space="0" w:color="000000"/>
              <w:bottom w:val="single" w:sz="4" w:space="0" w:color="000000"/>
              <w:right w:val="single" w:sz="4" w:space="0" w:color="000000"/>
            </w:tcBorders>
            <w:shd w:val="clear" w:color="auto" w:fill="FFFFFF"/>
            <w:vAlign w:val="bottom"/>
          </w:tcPr>
          <w:p w14:paraId="3217D3B3" w14:textId="77777777" w:rsidR="004403D5" w:rsidRPr="00AF2A95" w:rsidRDefault="004403D5" w:rsidP="004403D5">
            <w:r w:rsidRPr="00AF2A95">
              <w:t>(-) Parcela do ICMS transferida aos municípios</w:t>
            </w:r>
          </w:p>
        </w:tc>
      </w:tr>
      <w:tr w:rsidR="004403D5" w:rsidRPr="00AF2A95" w14:paraId="4EB05334" w14:textId="77777777" w:rsidTr="004403D5">
        <w:trPr>
          <w:trHeight w:val="70"/>
          <w:jc w:val="center"/>
        </w:trPr>
        <w:tc>
          <w:tcPr>
            <w:tcW w:w="9061"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32A713D3" w14:textId="77777777" w:rsidR="004403D5" w:rsidRPr="00AF2A95" w:rsidRDefault="004403D5" w:rsidP="004403D5">
            <w:r w:rsidRPr="00AF2A95">
              <w:t>(=) Base de cálculo da aplicação mínima em ASPS nos estados e Distrito Federal</w:t>
            </w:r>
          </w:p>
        </w:tc>
      </w:tr>
    </w:tbl>
    <w:p w14:paraId="5D74CBA7" w14:textId="46C85581" w:rsidR="004403D5" w:rsidRPr="00AF2A95" w:rsidRDefault="004403D5" w:rsidP="004403D5">
      <w:pPr>
        <w:tabs>
          <w:tab w:val="left" w:pos="1843"/>
        </w:tabs>
        <w:jc w:val="center"/>
      </w:pPr>
      <w:r w:rsidRPr="00AF2A95">
        <w:t xml:space="preserve">Fonte: Elaborado pelos autores com base na Constituição Federal </w:t>
      </w:r>
      <w:r w:rsidR="00007E06" w:rsidRPr="00AF2A95">
        <w:t>(Constituição do Brasil</w:t>
      </w:r>
      <w:r w:rsidRPr="00AF2A95">
        <w:t>, 1988, art. 77 do ADCT, II e III).</w:t>
      </w:r>
    </w:p>
    <w:p w14:paraId="64B5B6BC" w14:textId="77777777" w:rsidR="004403D5" w:rsidRPr="00AF2A95" w:rsidRDefault="004403D5" w:rsidP="004403D5">
      <w:pPr>
        <w:ind w:firstLine="709"/>
        <w:jc w:val="both"/>
      </w:pPr>
    </w:p>
    <w:p w14:paraId="2A3027CF" w14:textId="6F7C8150" w:rsidR="004403D5" w:rsidRPr="00AF2A95" w:rsidRDefault="004403D5" w:rsidP="004403D5">
      <w:pPr>
        <w:ind w:firstLine="709"/>
        <w:jc w:val="both"/>
        <w:rPr>
          <w:sz w:val="24"/>
          <w:szCs w:val="24"/>
        </w:rPr>
      </w:pPr>
      <w:r w:rsidRPr="00AF2A95">
        <w:rPr>
          <w:sz w:val="24"/>
          <w:szCs w:val="24"/>
        </w:rPr>
        <w:t>Para preencher as lacunas regulatórias de alguns temas da Emenda, o texto estabeleceu a necessidade da elaboração de leis complementares para estabelecer: (a) os percentuais de aplicação mínima em ASPS em cada ente; (b) os “critérios de rateio dos recursos da União vinculados à saúde destinados aos Estados, ao Distrito Federal e aos Municípios, e dos estados destinados a seus respectivos Municípios”; (c) “as normas de fiscalização, avaliação e controle das despesas com saúde nas esferas federal, estadual, distrital e municipal</w:t>
      </w:r>
      <w:r w:rsidR="00E02444" w:rsidRPr="00AF2A95">
        <w:rPr>
          <w:sz w:val="24"/>
          <w:szCs w:val="24"/>
        </w:rPr>
        <w:t>”</w:t>
      </w:r>
      <w:r w:rsidRPr="00AF2A95">
        <w:rPr>
          <w:sz w:val="24"/>
          <w:szCs w:val="24"/>
        </w:rPr>
        <w:t xml:space="preserve">; e (d) </w:t>
      </w:r>
      <w:r w:rsidR="00E02444" w:rsidRPr="00AF2A95">
        <w:rPr>
          <w:sz w:val="24"/>
          <w:szCs w:val="24"/>
        </w:rPr>
        <w:t>“</w:t>
      </w:r>
      <w:r w:rsidRPr="00AF2A95">
        <w:rPr>
          <w:sz w:val="24"/>
          <w:szCs w:val="24"/>
        </w:rPr>
        <w:t>as normas de cálculo do montante a ser aplicado pela União</w:t>
      </w:r>
      <w:r w:rsidR="00E02444" w:rsidRPr="00AF2A95">
        <w:rPr>
          <w:sz w:val="24"/>
          <w:szCs w:val="24"/>
        </w:rPr>
        <w:t>”</w:t>
      </w:r>
      <w:r w:rsidRPr="00AF2A95">
        <w:rPr>
          <w:sz w:val="24"/>
          <w:szCs w:val="24"/>
        </w:rPr>
        <w:t xml:space="preserve"> (</w:t>
      </w:r>
      <w:r w:rsidR="00007E06" w:rsidRPr="00AF2A95">
        <w:rPr>
          <w:sz w:val="24"/>
          <w:szCs w:val="24"/>
        </w:rPr>
        <w:t>Constituição do Brasil</w:t>
      </w:r>
      <w:r w:rsidRPr="00AF2A95">
        <w:rPr>
          <w:sz w:val="24"/>
          <w:szCs w:val="24"/>
        </w:rPr>
        <w:t>, 1988, art. 198, § 3º).</w:t>
      </w:r>
    </w:p>
    <w:p w14:paraId="1473FE0D" w14:textId="25F5DAB0" w:rsidR="004403D5" w:rsidRPr="00AF2A95" w:rsidRDefault="004403D5" w:rsidP="004403D5">
      <w:pPr>
        <w:ind w:firstLine="709"/>
        <w:jc w:val="both"/>
        <w:rPr>
          <w:sz w:val="24"/>
          <w:szCs w:val="24"/>
        </w:rPr>
      </w:pPr>
      <w:r w:rsidRPr="00AF2A95">
        <w:rPr>
          <w:sz w:val="24"/>
          <w:szCs w:val="24"/>
        </w:rPr>
        <w:t>A Lei Complementar (LC) n.º 141/2012 foi promulgada para suprir esta necessidade regulatória. A Lei manteve a metodologia e a base de cálculo estipulados pela EC n.º 29/2000 para todos os entes. Posteriormente, no que se refere à União, a EC n.º 86/2015 estipulou o limite mínimo de aplicação ASPS em 15% da Receita Corrente Líquida (RCL) e uma regra de elevação percentual gradual de cinco anos, alterando o inciso “I” e revogando o inciso “IV” (</w:t>
      </w:r>
      <w:r w:rsidR="00007E06" w:rsidRPr="00AF2A95">
        <w:rPr>
          <w:sz w:val="24"/>
          <w:szCs w:val="24"/>
        </w:rPr>
        <w:t>Constituição do Brasil</w:t>
      </w:r>
      <w:r w:rsidRPr="00AF2A95">
        <w:rPr>
          <w:sz w:val="24"/>
          <w:szCs w:val="24"/>
        </w:rPr>
        <w:t xml:space="preserve">, 1988, art. 198, § 3º, I). A alteração do primeiro inciso limitou a </w:t>
      </w:r>
      <w:r w:rsidRPr="00AF2A95">
        <w:rPr>
          <w:sz w:val="24"/>
          <w:szCs w:val="24"/>
        </w:rPr>
        <w:lastRenderedPageBreak/>
        <w:t>estipulação dos percentuais mínimos de aplicação em ASPS pela LC n.º 141/2012 aos estados, Distrito Federal e municípios (</w:t>
      </w:r>
      <w:r w:rsidR="00007E06" w:rsidRPr="00AF2A95">
        <w:rPr>
          <w:sz w:val="24"/>
          <w:szCs w:val="24"/>
        </w:rPr>
        <w:t>Constituição do Brasil</w:t>
      </w:r>
      <w:r w:rsidRPr="00AF2A95">
        <w:rPr>
          <w:sz w:val="24"/>
          <w:szCs w:val="24"/>
        </w:rPr>
        <w:t xml:space="preserve">, 1988, art. 198, § 3º, I). </w:t>
      </w:r>
    </w:p>
    <w:p w14:paraId="40E607FF" w14:textId="7872E59A" w:rsidR="004403D5" w:rsidRPr="00AF2A95" w:rsidRDefault="004403D5" w:rsidP="004403D5">
      <w:pPr>
        <w:ind w:firstLine="709"/>
        <w:jc w:val="both"/>
        <w:rPr>
          <w:sz w:val="24"/>
          <w:szCs w:val="24"/>
        </w:rPr>
      </w:pPr>
      <w:r w:rsidRPr="00AF2A95">
        <w:rPr>
          <w:sz w:val="24"/>
          <w:szCs w:val="24"/>
        </w:rPr>
        <w:t>Em 2016, o Congresso Nacional promulgou a EC n.º 95/2016, conhecida também como Emenda do Teto de Gastos da União, que definiu um teto global de despesas primárias individualizado por Poderes e Órgãos por um período de vinte anos, os quais são o: (a) Poder Executivo; (b) Poder Legislativo; (c) Poder Judiciário; (d) Ministério Público da União e Conselho Nacional do Ministério Público; (e) Defensoria Pública da União (</w:t>
      </w:r>
      <w:r w:rsidR="00007E06" w:rsidRPr="00AF2A95">
        <w:rPr>
          <w:sz w:val="24"/>
          <w:szCs w:val="24"/>
        </w:rPr>
        <w:t>Constituição do Brasil</w:t>
      </w:r>
      <w:r w:rsidRPr="00AF2A95">
        <w:rPr>
          <w:sz w:val="24"/>
          <w:szCs w:val="24"/>
        </w:rPr>
        <w:t xml:space="preserve">, 1988, arts. 106 e 107 do ADCT). </w:t>
      </w:r>
    </w:p>
    <w:p w14:paraId="53CDA238" w14:textId="43835B3C" w:rsidR="004403D5" w:rsidRPr="00AF2A95" w:rsidRDefault="004403D5" w:rsidP="004403D5">
      <w:pPr>
        <w:ind w:firstLine="709"/>
        <w:jc w:val="both"/>
        <w:rPr>
          <w:sz w:val="24"/>
          <w:szCs w:val="24"/>
        </w:rPr>
      </w:pPr>
      <w:r w:rsidRPr="00AF2A95">
        <w:rPr>
          <w:sz w:val="24"/>
          <w:szCs w:val="24"/>
        </w:rPr>
        <w:t>No que se refere à aplicação mínima em ASPS, a EC n.º 95/2016 antecipou para 2017 a meta de 15%  da RCL, definida pela EC n.º 86/2015, estipulada originalmente para 2020</w:t>
      </w:r>
      <w:r w:rsidRPr="00AF2A95">
        <w:rPr>
          <w:b/>
          <w:sz w:val="24"/>
          <w:szCs w:val="24"/>
        </w:rPr>
        <w:t xml:space="preserve"> </w:t>
      </w:r>
      <w:r w:rsidRPr="00AF2A95">
        <w:rPr>
          <w:sz w:val="24"/>
          <w:szCs w:val="24"/>
        </w:rPr>
        <w:t>(</w:t>
      </w:r>
      <w:r w:rsidR="00007E06" w:rsidRPr="00AF2A95">
        <w:rPr>
          <w:sz w:val="24"/>
          <w:szCs w:val="24"/>
        </w:rPr>
        <w:t>Constituição do Brasil</w:t>
      </w:r>
      <w:r w:rsidRPr="00AF2A95">
        <w:rPr>
          <w:sz w:val="24"/>
          <w:szCs w:val="24"/>
        </w:rPr>
        <w:t>, 1988, art. 110, I do ADCT). A partir do exercício financeiro seguinte, a correção deve se dar segundo a regra do teto global (</w:t>
      </w:r>
      <w:r w:rsidR="00007E06" w:rsidRPr="00AF2A95">
        <w:rPr>
          <w:sz w:val="24"/>
          <w:szCs w:val="24"/>
        </w:rPr>
        <w:t>Constituição do Brasil</w:t>
      </w:r>
      <w:r w:rsidRPr="00AF2A95">
        <w:rPr>
          <w:sz w:val="24"/>
          <w:szCs w:val="24"/>
        </w:rPr>
        <w:t>, 1988, art. 107 e 110, § 1º, II do ADCT):</w:t>
      </w:r>
    </w:p>
    <w:p w14:paraId="12D51D5B" w14:textId="77777777" w:rsidR="004403D5" w:rsidRPr="00AF2A95" w:rsidRDefault="004403D5" w:rsidP="004403D5">
      <w:pPr>
        <w:ind w:left="2274"/>
        <w:jc w:val="both"/>
      </w:pPr>
      <w:r w:rsidRPr="00AF2A95">
        <w:t>Art. 107. Ficam estabelecidos, para cada exercício, limites individualizados para as despesas primárias:</w:t>
      </w:r>
    </w:p>
    <w:p w14:paraId="14D3EBD3" w14:textId="77777777" w:rsidR="004403D5" w:rsidRPr="00AF2A95" w:rsidRDefault="004403D5" w:rsidP="004403D5">
      <w:pPr>
        <w:ind w:left="2274"/>
        <w:jc w:val="both"/>
      </w:pPr>
      <w:r w:rsidRPr="00AF2A95">
        <w:t>[...] § 1º Cada um dos limites a que se refere o caput deste artigo equivalerá:</w:t>
      </w:r>
    </w:p>
    <w:p w14:paraId="210AC73C" w14:textId="77777777" w:rsidR="004403D5" w:rsidRPr="00AF2A95" w:rsidRDefault="004403D5" w:rsidP="004403D5">
      <w:pPr>
        <w:ind w:left="2274"/>
        <w:jc w:val="both"/>
      </w:pPr>
      <w:r w:rsidRPr="00AF2A95">
        <w:t>[...] II - para os exercícios posteriores, ao valor do limite referente ao exercício imediatamente anterior, corrigido pela variação do Índice Nacional de Preços ao Consumidor Amplo - IPCA, publicado pelo Instituto Brasileiro de Geografia e Estatística, ou de outro índice que vier a substituí-lo, para o período de doze meses encerrado em junho do exercício anterior a que se refere a lei orçamentária.</w:t>
      </w:r>
    </w:p>
    <w:p w14:paraId="358A0A83" w14:textId="77777777" w:rsidR="004403D5" w:rsidRPr="00AF2A95" w:rsidRDefault="004403D5" w:rsidP="004403D5">
      <w:pPr>
        <w:ind w:left="2274"/>
        <w:jc w:val="both"/>
      </w:pPr>
      <w:r w:rsidRPr="00AF2A95">
        <w:t>[...] Art. 110. Na vigência do Novo Regime Fiscal, as aplicações mínimas em ações e serviços públicos de saúde e em manutenção e desenvolvimento do ensino equivalerão:</w:t>
      </w:r>
    </w:p>
    <w:p w14:paraId="0BC20288" w14:textId="77777777" w:rsidR="004403D5" w:rsidRPr="00AF2A95" w:rsidRDefault="004403D5" w:rsidP="004403D5">
      <w:pPr>
        <w:ind w:left="2274"/>
        <w:jc w:val="both"/>
      </w:pPr>
      <w:r w:rsidRPr="00AF2A95">
        <w:t>I - no exercício de 2017, às aplicações mínimas calculadas nos termos do inciso I do § 2º do art. 198 e do caput do art. 212, da Constituição Federal; e</w:t>
      </w:r>
    </w:p>
    <w:p w14:paraId="2CE7E510" w14:textId="77777777" w:rsidR="004403D5" w:rsidRPr="00AF2A95" w:rsidRDefault="004403D5" w:rsidP="004403D5">
      <w:pPr>
        <w:ind w:left="2274"/>
        <w:jc w:val="both"/>
      </w:pPr>
      <w:r w:rsidRPr="00AF2A95">
        <w:t>II - nos exercícios posteriores, aos valores calculados para as aplicações mínimas do exercício imediatamente anterior, corrigidos na forma estabelecida pelo inciso II do § 1º do art. 107 deste Ato das Disposições Constitucionais Transitórias.</w:t>
      </w:r>
    </w:p>
    <w:p w14:paraId="574B5F7E" w14:textId="77777777" w:rsidR="004403D5" w:rsidRPr="00AF2A95" w:rsidRDefault="004403D5" w:rsidP="004403D5">
      <w:pPr>
        <w:ind w:left="2274"/>
        <w:jc w:val="both"/>
      </w:pPr>
    </w:p>
    <w:p w14:paraId="019B45F6" w14:textId="2F14EF2D" w:rsidR="004403D5" w:rsidRPr="00AF2A95" w:rsidRDefault="004403D5" w:rsidP="004403D5">
      <w:pPr>
        <w:ind w:left="-5" w:firstLine="720"/>
        <w:jc w:val="both"/>
        <w:rPr>
          <w:sz w:val="24"/>
          <w:szCs w:val="24"/>
        </w:rPr>
      </w:pPr>
      <w:r w:rsidRPr="00AF2A95">
        <w:rPr>
          <w:sz w:val="24"/>
          <w:szCs w:val="24"/>
        </w:rPr>
        <w:t>O teto de gastos é individualizado por Poder ou Órgão, e não por tipo de despesa. Assim, os recursos podem ser redistribuídos entre os elementos do Orçamento Fiscal e da Seguridade Social, sendo respeitado o limite mínimo de aplicação em ASPS citado no parágrafo anterior (</w:t>
      </w:r>
      <w:r w:rsidR="00007E06" w:rsidRPr="00AF2A95">
        <w:rPr>
          <w:sz w:val="24"/>
          <w:szCs w:val="24"/>
        </w:rPr>
        <w:t>Constituição do Brasil</w:t>
      </w:r>
      <w:r w:rsidRPr="00AF2A95">
        <w:rPr>
          <w:sz w:val="24"/>
          <w:szCs w:val="24"/>
        </w:rPr>
        <w:t xml:space="preserve">, 1988, arts. 106 e 107 do ADCT). </w:t>
      </w:r>
    </w:p>
    <w:p w14:paraId="3CD79209" w14:textId="51FF075F" w:rsidR="004403D5" w:rsidRPr="00AF2A95" w:rsidRDefault="004403D5" w:rsidP="004403D5">
      <w:pPr>
        <w:ind w:firstLine="709"/>
        <w:jc w:val="both"/>
        <w:rPr>
          <w:sz w:val="24"/>
          <w:szCs w:val="24"/>
        </w:rPr>
      </w:pPr>
      <w:r w:rsidRPr="00AF2A95">
        <w:rPr>
          <w:sz w:val="24"/>
          <w:szCs w:val="24"/>
        </w:rPr>
        <w:t>As ASPS são definidas na LC n.º 141/2012 como “aquelas voltadas para a promoção, proteção e recuperação da saúde que atendam, simultaneamente” aos princípios do Sistema Único de Saúde (SUS) e à algumas diretrizes (</w:t>
      </w:r>
      <w:r w:rsidR="00007E06" w:rsidRPr="00AF2A95">
        <w:rPr>
          <w:sz w:val="24"/>
          <w:szCs w:val="24"/>
        </w:rPr>
        <w:t>Lei</w:t>
      </w:r>
      <w:r w:rsidR="006945D6" w:rsidRPr="00AF2A95">
        <w:rPr>
          <w:sz w:val="24"/>
          <w:szCs w:val="24"/>
        </w:rPr>
        <w:t xml:space="preserve"> Complementar</w:t>
      </w:r>
      <w:r w:rsidR="00007E06" w:rsidRPr="00AF2A95">
        <w:rPr>
          <w:sz w:val="24"/>
          <w:szCs w:val="24"/>
        </w:rPr>
        <w:t xml:space="preserve"> n. 141</w:t>
      </w:r>
      <w:r w:rsidRPr="00AF2A95">
        <w:rPr>
          <w:sz w:val="24"/>
          <w:szCs w:val="24"/>
        </w:rPr>
        <w:t>, 2012, art. 2º). Tais diretrizes determinam que as despesas “sejam destinadas às” ASPS “de acesso universal, igualitário e gratuito”, que “estejam em conformidade com objetivos e metas explicitados nos Planos de Saúde de cada ente da Federação” e “sejam de responsabilidade específica do setor da saúde, não se aplicando a despesas relacionadas a outras políticas públicas que atuam sobre determinantes sociais e econômicos, ainda que incidentes sobre as condições de saúde da população” (</w:t>
      </w:r>
      <w:r w:rsidR="00007E06" w:rsidRPr="00AF2A95">
        <w:rPr>
          <w:sz w:val="24"/>
          <w:szCs w:val="24"/>
        </w:rPr>
        <w:t xml:space="preserve">Lei </w:t>
      </w:r>
      <w:r w:rsidR="006945D6" w:rsidRPr="00AF2A95">
        <w:rPr>
          <w:sz w:val="24"/>
          <w:szCs w:val="24"/>
        </w:rPr>
        <w:t xml:space="preserve">Complementar </w:t>
      </w:r>
      <w:r w:rsidR="00007E06" w:rsidRPr="00AF2A95">
        <w:rPr>
          <w:sz w:val="24"/>
          <w:szCs w:val="24"/>
        </w:rPr>
        <w:t>n. 141</w:t>
      </w:r>
      <w:r w:rsidRPr="00AF2A95">
        <w:rPr>
          <w:sz w:val="24"/>
          <w:szCs w:val="24"/>
        </w:rPr>
        <w:t>, 2012, art. 2º).</w:t>
      </w:r>
    </w:p>
    <w:p w14:paraId="350A286E" w14:textId="685481AC" w:rsidR="004403D5" w:rsidRPr="00AF2A95" w:rsidRDefault="004403D5" w:rsidP="004403D5">
      <w:pPr>
        <w:ind w:firstLine="709"/>
        <w:jc w:val="both"/>
        <w:rPr>
          <w:sz w:val="24"/>
          <w:szCs w:val="24"/>
        </w:rPr>
      </w:pPr>
      <w:r w:rsidRPr="00AF2A95">
        <w:rPr>
          <w:sz w:val="24"/>
          <w:szCs w:val="24"/>
        </w:rPr>
        <w:t>A LC n.º 141/2012 não se limita a definir princípios e diretrizes, mas também elenca uma série de despesas específicas que podem ser classificadas como ASPS, bem como outras dez despesas não classificáveis (</w:t>
      </w:r>
      <w:r w:rsidR="00007E06" w:rsidRPr="00AF2A95">
        <w:rPr>
          <w:sz w:val="24"/>
          <w:szCs w:val="24"/>
        </w:rPr>
        <w:t xml:space="preserve">Lei </w:t>
      </w:r>
      <w:r w:rsidR="006945D6" w:rsidRPr="00AF2A95">
        <w:rPr>
          <w:sz w:val="24"/>
          <w:szCs w:val="24"/>
        </w:rPr>
        <w:t xml:space="preserve">Complementar </w:t>
      </w:r>
      <w:r w:rsidR="00007E06" w:rsidRPr="00AF2A95">
        <w:rPr>
          <w:sz w:val="24"/>
          <w:szCs w:val="24"/>
        </w:rPr>
        <w:t>n. 141</w:t>
      </w:r>
      <w:r w:rsidRPr="00AF2A95">
        <w:rPr>
          <w:sz w:val="24"/>
          <w:szCs w:val="24"/>
        </w:rPr>
        <w:t>, 2012, art. 3º e 4º). Como exemplo do primeiro caso, está a remuneração e encargos do “pessoal ativo da área de saúde” em atividade nas ASPS e, do segundo, o “pagamento de aposentadorias e pensões” (</w:t>
      </w:r>
      <w:r w:rsidR="00007E06" w:rsidRPr="00AF2A95">
        <w:rPr>
          <w:sz w:val="24"/>
          <w:szCs w:val="24"/>
        </w:rPr>
        <w:t>Lei</w:t>
      </w:r>
      <w:r w:rsidR="006945D6" w:rsidRPr="00AF2A95">
        <w:rPr>
          <w:sz w:val="24"/>
          <w:szCs w:val="24"/>
        </w:rPr>
        <w:t xml:space="preserve"> Complementar</w:t>
      </w:r>
      <w:r w:rsidR="00007E06" w:rsidRPr="00AF2A95">
        <w:rPr>
          <w:sz w:val="24"/>
          <w:szCs w:val="24"/>
        </w:rPr>
        <w:t xml:space="preserve"> n. 141</w:t>
      </w:r>
      <w:r w:rsidRPr="00AF2A95">
        <w:rPr>
          <w:sz w:val="24"/>
          <w:szCs w:val="24"/>
        </w:rPr>
        <w:t>, 2012, art. 3º e 4º). Antes da edição da Lei, a definição de despesas com ASPS foi estabelecid</w:t>
      </w:r>
      <w:r w:rsidR="00E02444" w:rsidRPr="00AF2A95">
        <w:rPr>
          <w:sz w:val="24"/>
          <w:szCs w:val="24"/>
        </w:rPr>
        <w:t>a</w:t>
      </w:r>
      <w:r w:rsidRPr="00AF2A95">
        <w:rPr>
          <w:sz w:val="24"/>
          <w:szCs w:val="24"/>
        </w:rPr>
        <w:t xml:space="preserve"> pelas Resoluções n.</w:t>
      </w:r>
      <w:r w:rsidRPr="00AF2A95">
        <w:rPr>
          <w:sz w:val="24"/>
          <w:szCs w:val="24"/>
          <w:vertAlign w:val="superscript"/>
        </w:rPr>
        <w:t>os</w:t>
      </w:r>
      <w:r w:rsidRPr="00AF2A95">
        <w:rPr>
          <w:sz w:val="24"/>
          <w:szCs w:val="24"/>
        </w:rPr>
        <w:t xml:space="preserve"> 316/2002 e 322/2003, do CNS, e pela Portaria n.º 2.047/2002 do Ministério da Saúde.</w:t>
      </w:r>
    </w:p>
    <w:p w14:paraId="61BDDC00" w14:textId="2F0D2B78" w:rsidR="004403D5" w:rsidRPr="00AF2A95" w:rsidRDefault="004403D5" w:rsidP="004403D5">
      <w:pPr>
        <w:ind w:firstLine="709"/>
        <w:jc w:val="both"/>
        <w:rPr>
          <w:sz w:val="24"/>
          <w:szCs w:val="24"/>
        </w:rPr>
      </w:pPr>
      <w:r w:rsidRPr="00AF2A95">
        <w:rPr>
          <w:sz w:val="24"/>
          <w:szCs w:val="24"/>
        </w:rPr>
        <w:t>A Constituição determinou que União elaborasse, bimestralmente, o Relatório Resumido de Execução Orçamentária (RREO) (</w:t>
      </w:r>
      <w:r w:rsidR="00007E06" w:rsidRPr="00AF2A95">
        <w:rPr>
          <w:sz w:val="24"/>
          <w:szCs w:val="24"/>
        </w:rPr>
        <w:t>Constituição do Brasil</w:t>
      </w:r>
      <w:r w:rsidRPr="00AF2A95">
        <w:rPr>
          <w:sz w:val="24"/>
          <w:szCs w:val="24"/>
        </w:rPr>
        <w:t xml:space="preserve">, 1988, art. 165, § 3º). </w:t>
      </w:r>
      <w:r w:rsidRPr="00AF2A95">
        <w:rPr>
          <w:sz w:val="24"/>
          <w:szCs w:val="24"/>
        </w:rPr>
        <w:lastRenderedPageBreak/>
        <w:t>Posteriormente, a LRF expandiu a obrigatoriedade aos outros entes, além de especificar os conteúdos centrais do relatório (</w:t>
      </w:r>
      <w:r w:rsidR="006945D6" w:rsidRPr="00AF2A95">
        <w:rPr>
          <w:sz w:val="24"/>
          <w:szCs w:val="24"/>
        </w:rPr>
        <w:t>Lei Complementar n. 101</w:t>
      </w:r>
      <w:r w:rsidRPr="00AF2A95">
        <w:rPr>
          <w:sz w:val="24"/>
          <w:szCs w:val="24"/>
        </w:rPr>
        <w:t>, 2000, arts. 52 e 53).</w:t>
      </w:r>
    </w:p>
    <w:p w14:paraId="4BADD63F" w14:textId="77777777" w:rsidR="004403D5" w:rsidRPr="00AF2A95" w:rsidRDefault="004403D5" w:rsidP="004403D5">
      <w:pPr>
        <w:ind w:firstLine="709"/>
        <w:jc w:val="both"/>
        <w:rPr>
          <w:sz w:val="24"/>
          <w:szCs w:val="24"/>
        </w:rPr>
      </w:pPr>
      <w:r w:rsidRPr="00AF2A95">
        <w:rPr>
          <w:sz w:val="24"/>
          <w:szCs w:val="24"/>
        </w:rPr>
        <w:t>O Demonstrativo das Receitas e Despesas com Ações e Serviços Públicos de Saúde, nomenclatura utilizada na 7ª edição do MDF de 2016, foi incluído no RREO em 2001, com vigência para 2002 por meio da Portaria n.º 560/2001, que instituiu o Manual de Elaboração do relatório (STN, 2001).  Este demonstrativo tem “a finalidade de demonstrar o cumprimento da aplicação dos recursos mínimos, nas ações e serviços públicos de saúde de acesso universal, previstos na Constituição Federal, alterada pela” EC n.º 29/2000 (STN, 2001, p.118). A 1ª edição do Manual de Elaboração do RREO definiu a liquidação como a etapa da despesa considerada na aplicação mínima em ASPS e estabeleceu que (STN, 2001, p. 124):</w:t>
      </w:r>
    </w:p>
    <w:p w14:paraId="67011E74" w14:textId="77777777" w:rsidR="004403D5" w:rsidRPr="00AF2A95" w:rsidRDefault="004403D5" w:rsidP="004403D5">
      <w:pPr>
        <w:ind w:left="2268"/>
        <w:jc w:val="both"/>
      </w:pPr>
      <w:r w:rsidRPr="00AF2A95">
        <w:t>Durante o exercício, não deverão ser incluídos os valores das despesas empenhadas que ainda não foram liquidadas. No encerramento do exercício, as despesas empenhadas e, ainda, não liquidadas deverão ser consideradas como liquidadas, se inscritas em restos a pagar, caso contrário, deverão ser canceladas.</w:t>
      </w:r>
    </w:p>
    <w:p w14:paraId="30FA33BD" w14:textId="77777777" w:rsidR="004403D5" w:rsidRPr="00AF2A95" w:rsidRDefault="004403D5" w:rsidP="004403D5">
      <w:pPr>
        <w:ind w:firstLine="709"/>
        <w:jc w:val="both"/>
      </w:pPr>
    </w:p>
    <w:p w14:paraId="099FAD35" w14:textId="0EFDC39B" w:rsidR="004403D5" w:rsidRPr="00AF2A95" w:rsidRDefault="004403D5" w:rsidP="004403D5">
      <w:pPr>
        <w:ind w:firstLine="709"/>
        <w:jc w:val="both"/>
        <w:rPr>
          <w:sz w:val="24"/>
          <w:szCs w:val="24"/>
        </w:rPr>
      </w:pPr>
      <w:r w:rsidRPr="00AF2A95">
        <w:rPr>
          <w:sz w:val="24"/>
          <w:szCs w:val="24"/>
        </w:rPr>
        <w:t>A partir da 2ª edição do Manual de Elaboração do RREO, instituída pela Portaria n.º 517/2002, vigente para a União a partir de 2003 e para os outros entes a partir do último bimestre de 2002, “no encerramento do exercício, as despesas inscritas em Restos a Pagar deverão ser consideradas desde que seja comprovada a existência de disponibilidade financeira no respectivo Fundo de Saúde” (STN, 2002, p. 133). Quando cancelada ou prescrita, a despesa incluída em restos a pagar “deverá ser, necessariamente, aplicada” em ASPS “até o término do exercício seguinte ao do cancelamento ou da prescrição”, “sem prejuízo do percentual mínimo a ser aplicado no exercício correspondente” (</w:t>
      </w:r>
      <w:r w:rsidR="00E17C56" w:rsidRPr="00AF2A95">
        <w:rPr>
          <w:sz w:val="24"/>
          <w:szCs w:val="24"/>
        </w:rPr>
        <w:t>Lei Complementar n. 141</w:t>
      </w:r>
      <w:r w:rsidRPr="00AF2A95">
        <w:rPr>
          <w:sz w:val="24"/>
          <w:szCs w:val="24"/>
        </w:rPr>
        <w:t>, 2012, art. 24, § 1º e § 2º).</w:t>
      </w:r>
    </w:p>
    <w:p w14:paraId="4DC49209" w14:textId="6EB7FBEC" w:rsidR="004403D5" w:rsidRPr="00AF2A95" w:rsidRDefault="004403D5" w:rsidP="004403D5">
      <w:pPr>
        <w:ind w:firstLine="709"/>
        <w:jc w:val="both"/>
        <w:rPr>
          <w:sz w:val="24"/>
          <w:szCs w:val="24"/>
        </w:rPr>
      </w:pPr>
      <w:r w:rsidRPr="00AF2A95">
        <w:rPr>
          <w:sz w:val="24"/>
          <w:szCs w:val="24"/>
        </w:rPr>
        <w:t>A fiscalização da aplicação mínima em ASPS é responsabilidade do Poder Legislativo, “diretamente ou com o auxílio dos Tribunais de Contas, do sistema de auditoria do SUS, do órgão de controle interno e do Conselho de Saúde de cada ente da Federação” (</w:t>
      </w:r>
      <w:r w:rsidR="00E17C56" w:rsidRPr="00AF2A95">
        <w:rPr>
          <w:sz w:val="24"/>
          <w:szCs w:val="24"/>
        </w:rPr>
        <w:t>Lei Complementar n. 141</w:t>
      </w:r>
      <w:r w:rsidRPr="00AF2A95">
        <w:rPr>
          <w:sz w:val="24"/>
          <w:szCs w:val="24"/>
        </w:rPr>
        <w:t>, 2012, art. 38). É produzido um relatório da fiscalização pelos Tribunais de Contas da União e dos estados denominado Parecer Prévio sobre as Contas do Governo do Estado, que é subsidiado pelo demonstrativo da aplicação mínima em ASPS, componente do RREO (</w:t>
      </w:r>
      <w:r w:rsidR="00E17C56" w:rsidRPr="00AF2A95">
        <w:rPr>
          <w:sz w:val="24"/>
          <w:szCs w:val="24"/>
        </w:rPr>
        <w:t>Lei Complementar n. 141</w:t>
      </w:r>
      <w:r w:rsidRPr="00AF2A95">
        <w:rPr>
          <w:sz w:val="24"/>
          <w:szCs w:val="24"/>
        </w:rPr>
        <w:t>, 2012, art. 34). Em caso de divergência entre os demonstrativos elaborados pelos entes e o Parecer Prévio é “dado ciência ao Poder Executivo e à direção local do SUS, para que sejam adotadas as medidas cabíveis, sem prejuízo das sanções previstas em lei” (</w:t>
      </w:r>
      <w:r w:rsidR="00E17C56" w:rsidRPr="00AF2A95">
        <w:rPr>
          <w:sz w:val="24"/>
          <w:szCs w:val="24"/>
        </w:rPr>
        <w:t>Lei Complementar n. 141</w:t>
      </w:r>
      <w:r w:rsidRPr="00AF2A95">
        <w:rPr>
          <w:sz w:val="24"/>
          <w:szCs w:val="24"/>
        </w:rPr>
        <w:t>, 2012, art. 40).</w:t>
      </w:r>
    </w:p>
    <w:p w14:paraId="09233D90" w14:textId="5EBB7264" w:rsidR="004403D5" w:rsidRPr="00AF2A95" w:rsidRDefault="004403D5" w:rsidP="004403D5">
      <w:pPr>
        <w:ind w:firstLine="709"/>
        <w:jc w:val="both"/>
        <w:rPr>
          <w:sz w:val="26"/>
          <w:szCs w:val="24"/>
        </w:rPr>
      </w:pPr>
      <w:r w:rsidRPr="00AF2A95">
        <w:rPr>
          <w:sz w:val="24"/>
          <w:szCs w:val="24"/>
        </w:rPr>
        <w:t>A constituição prevê a intervenção da União nos estados e dos estados nos municípios no caso de descumprimento da aplicação mínima em ASPS (</w:t>
      </w:r>
      <w:r w:rsidR="00E17C56" w:rsidRPr="00AF2A95">
        <w:rPr>
          <w:sz w:val="24"/>
          <w:szCs w:val="24"/>
        </w:rPr>
        <w:t>Constituição do Brasil</w:t>
      </w:r>
      <w:r w:rsidRPr="00AF2A95">
        <w:rPr>
          <w:sz w:val="24"/>
          <w:szCs w:val="24"/>
        </w:rPr>
        <w:t>, 1988, art. 34, VII, e, art. 35, III). Como regra geral, a Carta Magna veda a retenção da repartição das receitas tributárias por parte da União e estados, porém, abre uma exceção no caso de descumprimento da referida aplicação (</w:t>
      </w:r>
      <w:r w:rsidR="00E17C56" w:rsidRPr="00AF2A95">
        <w:rPr>
          <w:sz w:val="24"/>
          <w:szCs w:val="24"/>
        </w:rPr>
        <w:t>Constituição do Brasil</w:t>
      </w:r>
      <w:r w:rsidRPr="00AF2A95">
        <w:rPr>
          <w:sz w:val="24"/>
          <w:szCs w:val="24"/>
        </w:rPr>
        <w:t>, 1988, art. 160, II). A LC n.º 141/2012 traz a regulamentação de tal dispositivo constitucional, com orientações práticas de sua aplicação (</w:t>
      </w:r>
      <w:r w:rsidR="00E17C56" w:rsidRPr="00AF2A95">
        <w:rPr>
          <w:sz w:val="24"/>
          <w:szCs w:val="24"/>
        </w:rPr>
        <w:t>Lei Complementar n. 141</w:t>
      </w:r>
      <w:r w:rsidRPr="00AF2A95">
        <w:rPr>
          <w:sz w:val="24"/>
          <w:szCs w:val="24"/>
        </w:rPr>
        <w:t>, 2012, art. 26). A LRF, por sua vez, como requisito para concessão de transferências voluntárias, exige a observância do cumprimento do limite mínimo de aplicação em ASPS (</w:t>
      </w:r>
      <w:r w:rsidR="00E17C56" w:rsidRPr="00AF2A95">
        <w:rPr>
          <w:sz w:val="24"/>
          <w:szCs w:val="24"/>
        </w:rPr>
        <w:t>Lei Complementar n. 141</w:t>
      </w:r>
      <w:r w:rsidRPr="00AF2A95">
        <w:rPr>
          <w:sz w:val="24"/>
          <w:szCs w:val="24"/>
        </w:rPr>
        <w:t>, 2000, art. 25, § 1</w:t>
      </w:r>
      <w:r w:rsidRPr="00AF2A95">
        <w:rPr>
          <w:sz w:val="26"/>
          <w:szCs w:val="24"/>
        </w:rPr>
        <w:t xml:space="preserve">º, </w:t>
      </w:r>
      <w:r w:rsidRPr="00AF2A95">
        <w:rPr>
          <w:sz w:val="24"/>
          <w:szCs w:val="24"/>
        </w:rPr>
        <w:t>IV, b).</w:t>
      </w:r>
    </w:p>
    <w:p w14:paraId="27FD6C12" w14:textId="2DC74F25" w:rsidR="004403D5" w:rsidRPr="00AF2A95" w:rsidRDefault="004403D5" w:rsidP="004403D5">
      <w:pPr>
        <w:ind w:firstLine="709"/>
        <w:jc w:val="both"/>
        <w:rPr>
          <w:sz w:val="24"/>
          <w:szCs w:val="24"/>
        </w:rPr>
      </w:pPr>
      <w:r w:rsidRPr="00AF2A95">
        <w:rPr>
          <w:sz w:val="24"/>
          <w:szCs w:val="24"/>
        </w:rPr>
        <w:t>Auxiliando os responsáveis legais pela fiscalização, o Ministério da Saúde mantém o Sistema de Informação sobre Orçamento Público em Saúde (SIOPS) (</w:t>
      </w:r>
      <w:r w:rsidR="00E17C56" w:rsidRPr="00AF2A95">
        <w:rPr>
          <w:sz w:val="24"/>
          <w:szCs w:val="24"/>
        </w:rPr>
        <w:t>Lei Complementar n. 141</w:t>
      </w:r>
      <w:r w:rsidRPr="00AF2A95">
        <w:rPr>
          <w:sz w:val="24"/>
          <w:szCs w:val="24"/>
        </w:rPr>
        <w:t>, 2012, art. 39). O SIOPS é um “sistema de registro eletrônico centralizado das informações de saúde referentes aos orçamentos públicos da União, dos Estados, do Distrito Federal e dos Municípios, incluída sua execução” que garante o “acesso público às informações” (</w:t>
      </w:r>
      <w:r w:rsidR="00E17C56" w:rsidRPr="00AF2A95">
        <w:rPr>
          <w:sz w:val="24"/>
          <w:szCs w:val="24"/>
        </w:rPr>
        <w:t>Lei Complementar n. 141</w:t>
      </w:r>
      <w:r w:rsidRPr="00AF2A95">
        <w:rPr>
          <w:sz w:val="24"/>
          <w:szCs w:val="24"/>
        </w:rPr>
        <w:t xml:space="preserve">, 2012, art. 39). O Sistema calcula automaticamente uma série de índices, mediante o cruzamento de informações contábeis, padronizadas pela Secretaria de Tesouro </w:t>
      </w:r>
      <w:r w:rsidRPr="00AF2A95">
        <w:rPr>
          <w:sz w:val="24"/>
          <w:szCs w:val="24"/>
        </w:rPr>
        <w:lastRenderedPageBreak/>
        <w:t>Nacional, introduzidas pelos órgãos gestores da saúde de cada ente. Entre estes índices está o percentual de aplicação em ASPS.</w:t>
      </w:r>
    </w:p>
    <w:p w14:paraId="4027AF34" w14:textId="43696852" w:rsidR="004403D5" w:rsidRPr="00AF2A95" w:rsidRDefault="004403D5" w:rsidP="004403D5">
      <w:pPr>
        <w:ind w:firstLine="709"/>
        <w:jc w:val="both"/>
        <w:rPr>
          <w:sz w:val="24"/>
          <w:szCs w:val="24"/>
        </w:rPr>
      </w:pPr>
      <w:r w:rsidRPr="00AF2A95">
        <w:rPr>
          <w:sz w:val="24"/>
          <w:szCs w:val="24"/>
        </w:rPr>
        <w:t>Ao Ministério da Saúde cabe, “sempre que verificar o descumprimento” das regras da LC n.º 141/2012, dar “ciência à direção local do SUS e ao respectivo Conselho de Saúde, bem como aos órgãos de auditoria do SUS, ao Ministério Público e aos órgãos de controle interno e externo do respectivo ente da Federação” (</w:t>
      </w:r>
      <w:r w:rsidR="00E17C56" w:rsidRPr="00AF2A95">
        <w:rPr>
          <w:sz w:val="24"/>
          <w:szCs w:val="24"/>
        </w:rPr>
        <w:t>Lei Complementar n. 141</w:t>
      </w:r>
      <w:r w:rsidRPr="00AF2A95">
        <w:rPr>
          <w:sz w:val="24"/>
          <w:szCs w:val="24"/>
        </w:rPr>
        <w:t>, 2012, art. 39, § 5º).</w:t>
      </w:r>
    </w:p>
    <w:p w14:paraId="62DF301C" w14:textId="77777777" w:rsidR="00E17C56" w:rsidRPr="00AF2A95" w:rsidRDefault="00E17C56" w:rsidP="00E17C56">
      <w:pPr>
        <w:rPr>
          <w:sz w:val="24"/>
          <w:szCs w:val="24"/>
        </w:rPr>
      </w:pPr>
    </w:p>
    <w:p w14:paraId="3CF482C6" w14:textId="5AA40EF8" w:rsidR="004403D5" w:rsidRPr="00AF2A95" w:rsidRDefault="004403D5" w:rsidP="00E17C56">
      <w:pPr>
        <w:rPr>
          <w:sz w:val="24"/>
          <w:szCs w:val="24"/>
        </w:rPr>
      </w:pPr>
      <w:r w:rsidRPr="00AF2A95">
        <w:rPr>
          <w:b/>
          <w:sz w:val="24"/>
          <w:szCs w:val="24"/>
        </w:rPr>
        <w:t>2. 3 Pesquisas anteriores</w:t>
      </w:r>
    </w:p>
    <w:p w14:paraId="0B49A95E" w14:textId="77777777" w:rsidR="004403D5" w:rsidRPr="00AF2A95" w:rsidRDefault="004403D5" w:rsidP="004403D5">
      <w:pPr>
        <w:ind w:firstLine="709"/>
        <w:jc w:val="both"/>
        <w:rPr>
          <w:sz w:val="24"/>
          <w:szCs w:val="24"/>
        </w:rPr>
      </w:pPr>
      <w:r w:rsidRPr="00AF2A95">
        <w:rPr>
          <w:sz w:val="24"/>
          <w:szCs w:val="24"/>
        </w:rPr>
        <w:t>Esta seção demonstra alguns dos trabalhos acadêmicos encontrados que apresentam abordagem metodológica semelhante a desta pesquisa. A seguir, são listados os autores, títulos, objetivos e resultados.</w:t>
      </w:r>
    </w:p>
    <w:p w14:paraId="23F340E9" w14:textId="77777777" w:rsidR="004403D5" w:rsidRPr="00AF2A95" w:rsidRDefault="004403D5" w:rsidP="004403D5">
      <w:pPr>
        <w:ind w:firstLine="709"/>
        <w:jc w:val="center"/>
        <w:rPr>
          <w:b/>
        </w:rPr>
      </w:pPr>
      <w:r w:rsidRPr="00AF2A95">
        <w:rPr>
          <w:b/>
        </w:rPr>
        <w:t>Quadro 2 – Pesquisas anteriores similares em abordagem</w:t>
      </w:r>
    </w:p>
    <w:tbl>
      <w:tblPr>
        <w:tblW w:w="5006" w:type="pct"/>
        <w:tblCellMar>
          <w:left w:w="70" w:type="dxa"/>
          <w:right w:w="70" w:type="dxa"/>
        </w:tblCellMar>
        <w:tblLook w:val="04A0" w:firstRow="1" w:lastRow="0" w:firstColumn="1" w:lastColumn="0" w:noHBand="0" w:noVBand="1"/>
      </w:tblPr>
      <w:tblGrid>
        <w:gridCol w:w="1123"/>
        <w:gridCol w:w="2411"/>
        <w:gridCol w:w="5521"/>
        <w:gridCol w:w="11"/>
      </w:tblGrid>
      <w:tr w:rsidR="004403D5" w:rsidRPr="00AF2A95" w14:paraId="46ED055C" w14:textId="77777777" w:rsidTr="00CD7759">
        <w:trPr>
          <w:gridAfter w:val="1"/>
          <w:wAfter w:w="11" w:type="dxa"/>
          <w:trHeight w:val="70"/>
        </w:trPr>
        <w:tc>
          <w:tcPr>
            <w:tcW w:w="1123" w:type="dxa"/>
            <w:tcBorders>
              <w:top w:val="single" w:sz="4" w:space="0" w:color="auto"/>
              <w:left w:val="single" w:sz="4" w:space="0" w:color="auto"/>
              <w:bottom w:val="single" w:sz="4" w:space="0" w:color="auto"/>
              <w:right w:val="single" w:sz="4" w:space="0" w:color="auto"/>
            </w:tcBorders>
            <w:shd w:val="clear" w:color="000000" w:fill="F2F2F2"/>
            <w:vAlign w:val="center"/>
            <w:hideMark/>
          </w:tcPr>
          <w:p w14:paraId="460DE23E" w14:textId="77777777" w:rsidR="004403D5" w:rsidRPr="00AF2A95" w:rsidRDefault="004403D5" w:rsidP="004403D5">
            <w:pPr>
              <w:jc w:val="center"/>
              <w:rPr>
                <w:b/>
                <w:bCs/>
                <w:vertAlign w:val="superscript"/>
              </w:rPr>
            </w:pPr>
            <w:r w:rsidRPr="00AF2A95">
              <w:rPr>
                <w:b/>
                <w:bCs/>
              </w:rPr>
              <w:t>Autores</w:t>
            </w:r>
          </w:p>
        </w:tc>
        <w:tc>
          <w:tcPr>
            <w:tcW w:w="2411" w:type="dxa"/>
            <w:tcBorders>
              <w:top w:val="single" w:sz="4" w:space="0" w:color="auto"/>
              <w:left w:val="nil"/>
              <w:bottom w:val="single" w:sz="4" w:space="0" w:color="auto"/>
              <w:right w:val="single" w:sz="4" w:space="0" w:color="auto"/>
            </w:tcBorders>
            <w:shd w:val="clear" w:color="000000" w:fill="F2F2F2"/>
            <w:vAlign w:val="center"/>
            <w:hideMark/>
          </w:tcPr>
          <w:p w14:paraId="1DAD35D3" w14:textId="77777777" w:rsidR="004403D5" w:rsidRPr="00AF2A95" w:rsidRDefault="004403D5" w:rsidP="004403D5">
            <w:pPr>
              <w:jc w:val="center"/>
              <w:rPr>
                <w:b/>
                <w:bCs/>
                <w:vertAlign w:val="superscript"/>
              </w:rPr>
            </w:pPr>
            <w:r w:rsidRPr="00AF2A95">
              <w:rPr>
                <w:b/>
                <w:bCs/>
              </w:rPr>
              <w:t>Títulos das publicações</w:t>
            </w:r>
          </w:p>
        </w:tc>
        <w:tc>
          <w:tcPr>
            <w:tcW w:w="5521" w:type="dxa"/>
            <w:tcBorders>
              <w:top w:val="single" w:sz="4" w:space="0" w:color="auto"/>
              <w:left w:val="nil"/>
              <w:bottom w:val="single" w:sz="4" w:space="0" w:color="auto"/>
              <w:right w:val="single" w:sz="4" w:space="0" w:color="auto"/>
            </w:tcBorders>
            <w:shd w:val="clear" w:color="000000" w:fill="F2F2F2"/>
            <w:vAlign w:val="center"/>
            <w:hideMark/>
          </w:tcPr>
          <w:p w14:paraId="18F69634" w14:textId="77777777" w:rsidR="004403D5" w:rsidRPr="00AF2A95" w:rsidRDefault="004403D5" w:rsidP="004403D5">
            <w:pPr>
              <w:jc w:val="center"/>
              <w:rPr>
                <w:b/>
                <w:bCs/>
              </w:rPr>
            </w:pPr>
            <w:r w:rsidRPr="00AF2A95">
              <w:rPr>
                <w:b/>
                <w:bCs/>
              </w:rPr>
              <w:t>Objetivos e resultados das pesquisas</w:t>
            </w:r>
          </w:p>
        </w:tc>
      </w:tr>
      <w:tr w:rsidR="004403D5" w:rsidRPr="00AF2A95" w14:paraId="077D1DB9" w14:textId="77777777" w:rsidTr="00CD7759">
        <w:trPr>
          <w:gridAfter w:val="1"/>
          <w:wAfter w:w="11" w:type="dxa"/>
          <w:trHeight w:val="1380"/>
        </w:trPr>
        <w:tc>
          <w:tcPr>
            <w:tcW w:w="1123"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DF3644E" w14:textId="77777777" w:rsidR="004403D5" w:rsidRPr="00AF2A95" w:rsidRDefault="004403D5" w:rsidP="004403D5">
            <w:r w:rsidRPr="00AF2A95">
              <w:t>Campelli e Calvo (2007)</w:t>
            </w:r>
          </w:p>
        </w:tc>
        <w:tc>
          <w:tcPr>
            <w:tcW w:w="2411"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D5BBB8F" w14:textId="77777777" w:rsidR="004403D5" w:rsidRPr="00AF2A95" w:rsidRDefault="004403D5" w:rsidP="004403D5">
            <w:pPr>
              <w:jc w:val="both"/>
            </w:pPr>
            <w:r w:rsidRPr="00AF2A95">
              <w:t>O Cumprimento da Ementa Constitucional n.º 29 no Brasil</w:t>
            </w:r>
          </w:p>
        </w:tc>
        <w:tc>
          <w:tcPr>
            <w:tcW w:w="5521" w:type="dxa"/>
            <w:tcBorders>
              <w:top w:val="single" w:sz="4" w:space="0" w:color="auto"/>
              <w:left w:val="nil"/>
              <w:bottom w:val="single" w:sz="4" w:space="0" w:color="auto"/>
              <w:right w:val="single" w:sz="4" w:space="0" w:color="000000"/>
            </w:tcBorders>
            <w:shd w:val="clear" w:color="000000" w:fill="FFFFFF"/>
            <w:vAlign w:val="center"/>
            <w:hideMark/>
          </w:tcPr>
          <w:p w14:paraId="533731C4" w14:textId="5950B6D2" w:rsidR="004403D5" w:rsidRPr="00AF2A95" w:rsidRDefault="004403D5" w:rsidP="004403D5">
            <w:pPr>
              <w:jc w:val="both"/>
            </w:pPr>
            <w:r w:rsidRPr="00AF2A95">
              <w:t>O objetivo deste artigo é “verificar o cumprimento da EC-29 no Brasil no período de 2000 a 2003”. “O total de Estados que cumpriram a EC-29 foi de 59% em 2000, 33% em 2001, 41% em 2002 e 52% em 2003[...] A média percentual de recursos próprios aplicados pelos municípios ficou em 13,67% em 2000, 14,82% em 2001, 16,54% em 2002</w:t>
            </w:r>
            <w:r w:rsidR="00780AB3" w:rsidRPr="00AF2A95">
              <w:t xml:space="preserve"> e 17,40% em 2003</w:t>
            </w:r>
            <w:r w:rsidRPr="00AF2A95">
              <w:t>”</w:t>
            </w:r>
            <w:r w:rsidR="00780AB3" w:rsidRPr="00AF2A95">
              <w:t>.</w:t>
            </w:r>
          </w:p>
        </w:tc>
      </w:tr>
      <w:tr w:rsidR="004403D5" w:rsidRPr="00AF2A95" w14:paraId="083E8349" w14:textId="77777777" w:rsidTr="00CD7759">
        <w:trPr>
          <w:gridAfter w:val="1"/>
          <w:wAfter w:w="11" w:type="dxa"/>
          <w:trHeight w:val="1403"/>
        </w:trPr>
        <w:tc>
          <w:tcPr>
            <w:tcW w:w="1123"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5E9FCCD" w14:textId="77777777" w:rsidR="004403D5" w:rsidRPr="00AF2A95" w:rsidRDefault="004403D5" w:rsidP="004403D5">
            <w:r w:rsidRPr="00AF2A95">
              <w:t>Rezende (2009)</w:t>
            </w:r>
          </w:p>
        </w:tc>
        <w:tc>
          <w:tcPr>
            <w:tcW w:w="2411"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C941FF5" w14:textId="77777777" w:rsidR="004403D5" w:rsidRPr="00AF2A95" w:rsidRDefault="004403D5" w:rsidP="004403D5">
            <w:pPr>
              <w:jc w:val="both"/>
            </w:pPr>
            <w:r w:rsidRPr="00AF2A95">
              <w:t>Despesa com a Função Saúde no Município de Florianópolis, no Período de 2004 a 2008</w:t>
            </w:r>
          </w:p>
        </w:tc>
        <w:tc>
          <w:tcPr>
            <w:tcW w:w="5521" w:type="dxa"/>
            <w:tcBorders>
              <w:top w:val="single" w:sz="4" w:space="0" w:color="auto"/>
              <w:left w:val="nil"/>
              <w:bottom w:val="single" w:sz="4" w:space="0" w:color="auto"/>
              <w:right w:val="single" w:sz="4" w:space="0" w:color="000000"/>
            </w:tcBorders>
            <w:shd w:val="clear" w:color="000000" w:fill="FFFFFF"/>
            <w:vAlign w:val="center"/>
            <w:hideMark/>
          </w:tcPr>
          <w:p w14:paraId="399AF1E4" w14:textId="2D0405F3" w:rsidR="004403D5" w:rsidRPr="00AF2A95" w:rsidRDefault="004403D5" w:rsidP="00CD7759">
            <w:pPr>
              <w:jc w:val="both"/>
            </w:pPr>
            <w:r w:rsidRPr="00AF2A95">
              <w:t xml:space="preserve">O objetivo da pesquisa é "conhecer as despesas com a função Saúde no Município de Florianópolis, entre os anos de 2004 a 2008, considerando a composição, a expressividade, a evolução e o cumprimento da aplicação mínima constitucional”. “As despesas com saúde evoluíram 3,85%, de 14,05% em 2004 para 17,90% em 2008. O </w:t>
            </w:r>
            <w:r w:rsidR="00CD7759" w:rsidRPr="00AF2A95">
              <w:t>ente</w:t>
            </w:r>
            <w:r w:rsidRPr="00AF2A95">
              <w:t xml:space="preserve"> cumpriu o percentual superior ao mínimo constitucional em ações e serviços públicos de saúde em </w:t>
            </w:r>
            <w:r w:rsidR="00CD7759" w:rsidRPr="00AF2A95">
              <w:t xml:space="preserve"> período.</w:t>
            </w:r>
          </w:p>
        </w:tc>
      </w:tr>
      <w:tr w:rsidR="004403D5" w:rsidRPr="00AF2A95" w14:paraId="22438175" w14:textId="77777777" w:rsidTr="00CD7759">
        <w:trPr>
          <w:gridAfter w:val="1"/>
          <w:wAfter w:w="11" w:type="dxa"/>
          <w:trHeight w:val="1483"/>
        </w:trPr>
        <w:tc>
          <w:tcPr>
            <w:tcW w:w="1123" w:type="dxa"/>
            <w:tcBorders>
              <w:top w:val="single" w:sz="4" w:space="0" w:color="auto"/>
              <w:left w:val="single" w:sz="4" w:space="0" w:color="auto"/>
              <w:bottom w:val="single" w:sz="4" w:space="0" w:color="auto"/>
              <w:right w:val="nil"/>
            </w:tcBorders>
            <w:shd w:val="clear" w:color="000000" w:fill="FFFFFF"/>
            <w:vAlign w:val="center"/>
            <w:hideMark/>
          </w:tcPr>
          <w:p w14:paraId="613F379F" w14:textId="77777777" w:rsidR="004403D5" w:rsidRPr="00AF2A95" w:rsidRDefault="004403D5" w:rsidP="004403D5">
            <w:r w:rsidRPr="00AF2A95">
              <w:t>Godoy, Platt Neto e Cruz (2009)</w:t>
            </w:r>
          </w:p>
        </w:tc>
        <w:tc>
          <w:tcPr>
            <w:tcW w:w="2411"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145C021" w14:textId="77777777" w:rsidR="004403D5" w:rsidRPr="00AF2A95" w:rsidRDefault="004403D5" w:rsidP="004403D5">
            <w:pPr>
              <w:jc w:val="both"/>
            </w:pPr>
            <w:r w:rsidRPr="00AF2A95">
              <w:t>O Desempenho do Município de Selbach – RS em Relação aos Limites Constitucionais de Aplicações Mínimas em Ensino e Saúde, no Período de 2000 a 2008</w:t>
            </w:r>
          </w:p>
        </w:tc>
        <w:tc>
          <w:tcPr>
            <w:tcW w:w="5521" w:type="dxa"/>
            <w:tcBorders>
              <w:top w:val="single" w:sz="4" w:space="0" w:color="auto"/>
              <w:left w:val="nil"/>
              <w:bottom w:val="single" w:sz="4" w:space="0" w:color="auto"/>
              <w:right w:val="single" w:sz="4" w:space="0" w:color="000000"/>
            </w:tcBorders>
            <w:shd w:val="clear" w:color="000000" w:fill="FFFFFF"/>
            <w:vAlign w:val="center"/>
            <w:hideMark/>
          </w:tcPr>
          <w:p w14:paraId="7BE88501" w14:textId="0E20B7D8" w:rsidR="004403D5" w:rsidRPr="00AF2A95" w:rsidRDefault="004403D5" w:rsidP="00CD7759">
            <w:pPr>
              <w:jc w:val="both"/>
            </w:pPr>
            <w:r w:rsidRPr="00AF2A95">
              <w:t>“o objetivo do artigo é apresentar informações e considerações sobre a evolução do desempenho do Município de Selbach – RS no que se refere ao cumprimento dos limites constitucionais de aplicações em manutenção e desenvolvimento do ensino e em ações e serviços públicos de saúde, no período de 2000 a 2008”. “O artigo permite concluir que o Município de Selbach demonstrou o cumprimento dos dois limites constitucionais, relativos às aplicações mínimas em educação e saúde</w:t>
            </w:r>
            <w:r w:rsidR="00CD7759" w:rsidRPr="00AF2A95">
              <w:t>”.</w:t>
            </w:r>
          </w:p>
        </w:tc>
      </w:tr>
      <w:tr w:rsidR="004403D5" w:rsidRPr="00AF2A95" w14:paraId="7F5FA00F" w14:textId="77777777" w:rsidTr="00CD7759">
        <w:trPr>
          <w:gridAfter w:val="1"/>
          <w:wAfter w:w="11" w:type="dxa"/>
          <w:trHeight w:val="691"/>
        </w:trPr>
        <w:tc>
          <w:tcPr>
            <w:tcW w:w="1123"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2CA365B" w14:textId="77777777" w:rsidR="004403D5" w:rsidRPr="00AF2A95" w:rsidRDefault="004403D5" w:rsidP="004403D5">
            <w:r w:rsidRPr="00AF2A95">
              <w:t>Santos e Cruz (2011)</w:t>
            </w:r>
          </w:p>
        </w:tc>
        <w:tc>
          <w:tcPr>
            <w:tcW w:w="2411"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293F428" w14:textId="77777777" w:rsidR="004403D5" w:rsidRPr="00AF2A95" w:rsidRDefault="004403D5" w:rsidP="004403D5">
            <w:pPr>
              <w:jc w:val="both"/>
            </w:pPr>
            <w:r w:rsidRPr="00AF2A95">
              <w:t>Contabilidade Pública Municipal: Investigação da Função Saúde no Município de São José/SC, no Período de 2004 a 2008</w:t>
            </w:r>
          </w:p>
        </w:tc>
        <w:tc>
          <w:tcPr>
            <w:tcW w:w="5521" w:type="dxa"/>
            <w:tcBorders>
              <w:top w:val="single" w:sz="4" w:space="0" w:color="auto"/>
              <w:left w:val="nil"/>
              <w:bottom w:val="single" w:sz="4" w:space="0" w:color="auto"/>
              <w:right w:val="single" w:sz="4" w:space="0" w:color="000000"/>
            </w:tcBorders>
            <w:shd w:val="clear" w:color="000000" w:fill="FFFFFF"/>
            <w:vAlign w:val="center"/>
            <w:hideMark/>
          </w:tcPr>
          <w:p w14:paraId="310A9E17" w14:textId="665842C2" w:rsidR="004403D5" w:rsidRPr="00AF2A95" w:rsidRDefault="004403D5" w:rsidP="00CD7759">
            <w:pPr>
              <w:jc w:val="both"/>
            </w:pPr>
            <w:r w:rsidRPr="00AF2A95">
              <w:t>Objetiva “analisar as despesas com a Função Saúde no município de São José, no período de 2004 a 2008, considerando a expressividade, a evolução e o cumprimento da aplicação mínima constitucional”. Os resultados demonstraram que “o município de São José cumpriu a exigência legal da aplicação mínima</w:t>
            </w:r>
            <w:r w:rsidR="00CD7759" w:rsidRPr="00AF2A95">
              <w:t>”.</w:t>
            </w:r>
          </w:p>
        </w:tc>
      </w:tr>
      <w:tr w:rsidR="004403D5" w:rsidRPr="00AF2A95" w14:paraId="695B5038" w14:textId="77777777" w:rsidTr="00CD7759">
        <w:trPr>
          <w:trHeight w:val="1332"/>
        </w:trPr>
        <w:tc>
          <w:tcPr>
            <w:tcW w:w="1123" w:type="dxa"/>
            <w:tcBorders>
              <w:top w:val="single" w:sz="4" w:space="0" w:color="auto"/>
              <w:left w:val="single" w:sz="4" w:space="0" w:color="auto"/>
              <w:bottom w:val="single" w:sz="4" w:space="0" w:color="auto"/>
              <w:right w:val="nil"/>
            </w:tcBorders>
            <w:shd w:val="clear" w:color="000000" w:fill="FFFFFF"/>
            <w:vAlign w:val="center"/>
            <w:hideMark/>
          </w:tcPr>
          <w:p w14:paraId="128C5923" w14:textId="77777777" w:rsidR="004403D5" w:rsidRPr="00AF2A95" w:rsidRDefault="004403D5" w:rsidP="004403D5">
            <w:r w:rsidRPr="00AF2A95">
              <w:t>Santana e Oliveira (2011)</w:t>
            </w:r>
          </w:p>
        </w:tc>
        <w:tc>
          <w:tcPr>
            <w:tcW w:w="2411"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D444698" w14:textId="77777777" w:rsidR="004403D5" w:rsidRPr="00AF2A95" w:rsidRDefault="004403D5" w:rsidP="004403D5">
            <w:pPr>
              <w:jc w:val="both"/>
            </w:pPr>
            <w:r w:rsidRPr="00AF2A95">
              <w:t>A Fiscalização Exercida pelos Tribunais de Contas dos Municípios Goianos quanto à Aplicação do Percentual Mínimo Constitucional na Saúde</w:t>
            </w:r>
          </w:p>
        </w:tc>
        <w:tc>
          <w:tcPr>
            <w:tcW w:w="5532" w:type="dxa"/>
            <w:gridSpan w:val="2"/>
            <w:tcBorders>
              <w:top w:val="single" w:sz="4" w:space="0" w:color="auto"/>
              <w:left w:val="nil"/>
              <w:bottom w:val="single" w:sz="4" w:space="0" w:color="auto"/>
              <w:right w:val="single" w:sz="4" w:space="0" w:color="000000"/>
            </w:tcBorders>
            <w:shd w:val="clear" w:color="000000" w:fill="FFFFFF"/>
            <w:vAlign w:val="center"/>
            <w:hideMark/>
          </w:tcPr>
          <w:p w14:paraId="2F54F582" w14:textId="77777777" w:rsidR="004403D5" w:rsidRPr="00AF2A95" w:rsidRDefault="004403D5" w:rsidP="004403D5">
            <w:pPr>
              <w:jc w:val="both"/>
            </w:pPr>
            <w:r w:rsidRPr="00AF2A95">
              <w:t>“Este estudo trata da função fiscalizadora do Tribunal de Contas dos Municípios do Estado de Goiás quanto à aplicação, pelos municípios sob sua fiscalização, nos anos de 2009 e 2010, do percentual constitucional mínimo na saúde”. Como resultado, observou-se que “pequena parcela da totalidade não cumpriu a obrigatoriedade constitucional nos</w:t>
            </w:r>
            <w:r w:rsidRPr="00AF2A95">
              <w:rPr>
                <w:u w:val="single"/>
              </w:rPr>
              <w:t xml:space="preserve"> </w:t>
            </w:r>
            <w:r w:rsidRPr="00AF2A95">
              <w:t>exercícios em análise”.</w:t>
            </w:r>
          </w:p>
        </w:tc>
      </w:tr>
      <w:tr w:rsidR="004403D5" w:rsidRPr="00AF2A95" w14:paraId="4127AABE" w14:textId="77777777" w:rsidTr="00CD7759">
        <w:trPr>
          <w:trHeight w:val="1901"/>
        </w:trPr>
        <w:tc>
          <w:tcPr>
            <w:tcW w:w="1123"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F2165EF" w14:textId="77777777" w:rsidR="004403D5" w:rsidRPr="00AF2A95" w:rsidRDefault="004403D5" w:rsidP="004403D5">
            <w:r w:rsidRPr="00AF2A95">
              <w:t>Silva e Sarti (2011)</w:t>
            </w:r>
          </w:p>
        </w:tc>
        <w:tc>
          <w:tcPr>
            <w:tcW w:w="2411"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F5069BF" w14:textId="77777777" w:rsidR="004403D5" w:rsidRPr="00AF2A95" w:rsidRDefault="004403D5" w:rsidP="004403D5">
            <w:pPr>
              <w:jc w:val="both"/>
            </w:pPr>
            <w:r w:rsidRPr="00AF2A95">
              <w:t>Orçamento público em saúde: Uma análise do cumprimento da Emenda Constitucional 29/2000 nos estados brasileiros</w:t>
            </w:r>
          </w:p>
        </w:tc>
        <w:tc>
          <w:tcPr>
            <w:tcW w:w="5532" w:type="dxa"/>
            <w:gridSpan w:val="2"/>
            <w:tcBorders>
              <w:top w:val="single" w:sz="4" w:space="0" w:color="auto"/>
              <w:left w:val="nil"/>
              <w:bottom w:val="single" w:sz="4" w:space="0" w:color="auto"/>
              <w:right w:val="single" w:sz="4" w:space="0" w:color="000000"/>
            </w:tcBorders>
            <w:shd w:val="clear" w:color="000000" w:fill="FFFFFF"/>
            <w:vAlign w:val="center"/>
            <w:hideMark/>
          </w:tcPr>
          <w:p w14:paraId="7AF5C230" w14:textId="77777777" w:rsidR="004403D5" w:rsidRPr="00AF2A95" w:rsidRDefault="004403D5" w:rsidP="004403D5">
            <w:pPr>
              <w:jc w:val="both"/>
            </w:pPr>
            <w:r w:rsidRPr="00AF2A95">
              <w:t>A pesquisa “buscou analisar o cumprimento da Emenda Constitucional 29/2000 nos estados brasileiros durante o período de 2000 a 2005”. “Em 2000, 62,96% dos estados brasileiros efetuaram gastos em saúde de acordo com o percentual previsto na EC29. No ano de 2002, houve uma significativa queda no percentual de estados que cumpriram a EC29 (44,44%). A partir de 2003, o índice apresenta paulatino incremento, atingindo 70,37% no ano de 2005”. “Observou-se que o município em foco, cumpriu em todo período estudado o percentual determinado pela EC 29”.</w:t>
            </w:r>
          </w:p>
        </w:tc>
      </w:tr>
    </w:tbl>
    <w:p w14:paraId="45C61A7F" w14:textId="2467BC63" w:rsidR="00712ACD" w:rsidRPr="00AF2A95" w:rsidRDefault="00B62503">
      <w:pPr>
        <w:rPr>
          <w:i/>
        </w:rPr>
      </w:pPr>
      <w:r w:rsidRPr="00AF2A95">
        <w:rPr>
          <w:i/>
        </w:rPr>
        <w:t>Continua</w:t>
      </w:r>
    </w:p>
    <w:p w14:paraId="3DF7E442" w14:textId="77777777" w:rsidR="00712ACD" w:rsidRPr="00AF2A95" w:rsidRDefault="00712ACD">
      <w:pPr>
        <w:rPr>
          <w:i/>
        </w:rPr>
      </w:pPr>
    </w:p>
    <w:p w14:paraId="288C9704" w14:textId="76FAC9D2" w:rsidR="00712ACD" w:rsidRPr="00AF2A95" w:rsidRDefault="00712ACD">
      <w:pPr>
        <w:rPr>
          <w:i/>
        </w:rPr>
      </w:pPr>
    </w:p>
    <w:p w14:paraId="3BF2B06A" w14:textId="593A3192" w:rsidR="005D3C9C" w:rsidRPr="00AF2A95" w:rsidRDefault="005F08FA">
      <w:pPr>
        <w:rPr>
          <w:i/>
        </w:rPr>
      </w:pPr>
      <w:r w:rsidRPr="00AF2A95">
        <w:rPr>
          <w:i/>
        </w:rPr>
        <w:lastRenderedPageBreak/>
        <w:t>Continuação</w:t>
      </w:r>
    </w:p>
    <w:tbl>
      <w:tblPr>
        <w:tblW w:w="9220" w:type="dxa"/>
        <w:tblInd w:w="-10" w:type="dxa"/>
        <w:tblCellMar>
          <w:left w:w="70" w:type="dxa"/>
          <w:right w:w="70" w:type="dxa"/>
        </w:tblCellMar>
        <w:tblLook w:val="04A0" w:firstRow="1" w:lastRow="0" w:firstColumn="1" w:lastColumn="0" w:noHBand="0" w:noVBand="1"/>
      </w:tblPr>
      <w:tblGrid>
        <w:gridCol w:w="1161"/>
        <w:gridCol w:w="2448"/>
        <w:gridCol w:w="5611"/>
      </w:tblGrid>
      <w:tr w:rsidR="00B62503" w:rsidRPr="00AF2A95" w14:paraId="6B03A988" w14:textId="77777777" w:rsidTr="002E45E4">
        <w:trPr>
          <w:trHeight w:val="29"/>
        </w:trPr>
        <w:tc>
          <w:tcPr>
            <w:tcW w:w="1143" w:type="dxa"/>
            <w:tcBorders>
              <w:top w:val="single" w:sz="4" w:space="0" w:color="auto"/>
              <w:left w:val="single" w:sz="4" w:space="0" w:color="auto"/>
              <w:bottom w:val="single" w:sz="4" w:space="0" w:color="auto"/>
              <w:right w:val="single" w:sz="4" w:space="0" w:color="auto"/>
            </w:tcBorders>
            <w:shd w:val="clear" w:color="000000" w:fill="F2F2F2"/>
            <w:vAlign w:val="center"/>
            <w:hideMark/>
          </w:tcPr>
          <w:p w14:paraId="741F249C" w14:textId="77777777" w:rsidR="00B62503" w:rsidRPr="00AF2A95" w:rsidRDefault="00B62503" w:rsidP="00B62503">
            <w:pPr>
              <w:suppressAutoHyphens w:val="0"/>
              <w:jc w:val="center"/>
              <w:rPr>
                <w:b/>
                <w:bCs/>
                <w:color w:val="000000"/>
              </w:rPr>
            </w:pPr>
            <w:r w:rsidRPr="00AF2A95">
              <w:rPr>
                <w:b/>
                <w:bCs/>
                <w:color w:val="000000"/>
              </w:rPr>
              <w:t>Autores</w:t>
            </w:r>
          </w:p>
        </w:tc>
        <w:tc>
          <w:tcPr>
            <w:tcW w:w="2410" w:type="dxa"/>
            <w:tcBorders>
              <w:top w:val="single" w:sz="4" w:space="0" w:color="auto"/>
              <w:left w:val="single" w:sz="4" w:space="0" w:color="auto"/>
              <w:bottom w:val="single" w:sz="4" w:space="0" w:color="auto"/>
              <w:right w:val="single" w:sz="4" w:space="0" w:color="auto"/>
            </w:tcBorders>
            <w:shd w:val="clear" w:color="000000" w:fill="F2F2F2"/>
            <w:vAlign w:val="center"/>
            <w:hideMark/>
          </w:tcPr>
          <w:p w14:paraId="69CC6D4E" w14:textId="77777777" w:rsidR="00B62503" w:rsidRPr="00AF2A95" w:rsidRDefault="00B62503" w:rsidP="00B62503">
            <w:pPr>
              <w:suppressAutoHyphens w:val="0"/>
              <w:jc w:val="center"/>
              <w:rPr>
                <w:b/>
                <w:bCs/>
                <w:color w:val="000000"/>
              </w:rPr>
            </w:pPr>
            <w:r w:rsidRPr="00AF2A95">
              <w:rPr>
                <w:b/>
                <w:bCs/>
                <w:color w:val="000000"/>
              </w:rPr>
              <w:t>Títulos das publicações</w:t>
            </w:r>
          </w:p>
        </w:tc>
        <w:tc>
          <w:tcPr>
            <w:tcW w:w="5523" w:type="dxa"/>
            <w:tcBorders>
              <w:top w:val="single" w:sz="4" w:space="0" w:color="auto"/>
              <w:left w:val="single" w:sz="4" w:space="0" w:color="auto"/>
              <w:bottom w:val="single" w:sz="4" w:space="0" w:color="auto"/>
              <w:right w:val="single" w:sz="4" w:space="0" w:color="auto"/>
            </w:tcBorders>
            <w:shd w:val="clear" w:color="000000" w:fill="F2F2F2"/>
            <w:vAlign w:val="center"/>
            <w:hideMark/>
          </w:tcPr>
          <w:p w14:paraId="628A3442" w14:textId="77777777" w:rsidR="00B62503" w:rsidRPr="00AF2A95" w:rsidRDefault="00B62503" w:rsidP="00B62503">
            <w:pPr>
              <w:suppressAutoHyphens w:val="0"/>
              <w:jc w:val="center"/>
              <w:rPr>
                <w:b/>
                <w:bCs/>
                <w:color w:val="000000"/>
              </w:rPr>
            </w:pPr>
            <w:r w:rsidRPr="00AF2A95">
              <w:rPr>
                <w:b/>
                <w:bCs/>
                <w:color w:val="000000"/>
              </w:rPr>
              <w:t>Objetivos e resultados das pesquisas</w:t>
            </w:r>
          </w:p>
        </w:tc>
      </w:tr>
      <w:tr w:rsidR="00B62503" w:rsidRPr="00AF2A95" w14:paraId="48039239" w14:textId="77777777" w:rsidTr="002E45E4">
        <w:trPr>
          <w:trHeight w:val="320"/>
        </w:trPr>
        <w:tc>
          <w:tcPr>
            <w:tcW w:w="1143" w:type="dxa"/>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068BB348" w14:textId="77777777" w:rsidR="00B62503" w:rsidRPr="00AF2A95" w:rsidRDefault="00B62503" w:rsidP="00B62503">
            <w:pPr>
              <w:suppressAutoHyphens w:val="0"/>
              <w:rPr>
                <w:color w:val="000000"/>
              </w:rPr>
            </w:pPr>
            <w:r w:rsidRPr="00AF2A95">
              <w:rPr>
                <w:color w:val="000000"/>
              </w:rPr>
              <w:t>Pfitscher, Costa, Uhlmann (2014)</w:t>
            </w:r>
          </w:p>
        </w:tc>
        <w:tc>
          <w:tcPr>
            <w:tcW w:w="2410" w:type="dxa"/>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386981C9" w14:textId="77777777" w:rsidR="00B62503" w:rsidRPr="00AF2A95" w:rsidRDefault="00B62503" w:rsidP="00B62503">
            <w:pPr>
              <w:suppressAutoHyphens w:val="0"/>
              <w:jc w:val="both"/>
              <w:rPr>
                <w:color w:val="000000"/>
              </w:rPr>
            </w:pPr>
            <w:r w:rsidRPr="00AF2A95">
              <w:rPr>
                <w:color w:val="000000"/>
              </w:rPr>
              <w:t>Gastos Públicos em Educação, Saúde e Pessoal: Estudo nos Municípios Catarinenses no Período de 2008 a 2010 (Evento)</w:t>
            </w:r>
            <w:bookmarkStart w:id="2" w:name="_GoBack"/>
            <w:bookmarkEnd w:id="2"/>
          </w:p>
        </w:tc>
        <w:tc>
          <w:tcPr>
            <w:tcW w:w="5523" w:type="dxa"/>
            <w:vMerge w:val="restart"/>
            <w:tcBorders>
              <w:top w:val="single" w:sz="4" w:space="0" w:color="auto"/>
              <w:left w:val="single" w:sz="4" w:space="0" w:color="auto"/>
              <w:bottom w:val="single" w:sz="4" w:space="0" w:color="000000"/>
              <w:right w:val="single" w:sz="4" w:space="0" w:color="000000"/>
            </w:tcBorders>
            <w:shd w:val="clear" w:color="000000" w:fill="FFFFFF"/>
            <w:vAlign w:val="center"/>
            <w:hideMark/>
          </w:tcPr>
          <w:p w14:paraId="42A4D170" w14:textId="77777777" w:rsidR="00B62503" w:rsidRPr="00AF2A95" w:rsidRDefault="00B62503" w:rsidP="00B62503">
            <w:pPr>
              <w:suppressAutoHyphens w:val="0"/>
              <w:jc w:val="both"/>
              <w:rPr>
                <w:color w:val="000000"/>
              </w:rPr>
            </w:pPr>
            <w:r w:rsidRPr="00AF2A95">
              <w:rPr>
                <w:color w:val="000000"/>
              </w:rPr>
              <w:t>“O objetivo do presente estudo é verificar os gastos públicos nos municípios catarinenses em educação, saúde e pessoal em 2008, 2009 e 2010”. “Identificou-se que os municípios catarinenses têm, na sua maioria, observado os referidos limites”.</w:t>
            </w:r>
          </w:p>
        </w:tc>
      </w:tr>
      <w:tr w:rsidR="00B62503" w:rsidRPr="00AF2A95" w14:paraId="24FA1633" w14:textId="77777777" w:rsidTr="00B62503">
        <w:trPr>
          <w:trHeight w:val="230"/>
        </w:trPr>
        <w:tc>
          <w:tcPr>
            <w:tcW w:w="1143" w:type="dxa"/>
            <w:vMerge/>
            <w:tcBorders>
              <w:top w:val="single" w:sz="4" w:space="0" w:color="auto"/>
              <w:left w:val="single" w:sz="4" w:space="0" w:color="auto"/>
              <w:bottom w:val="single" w:sz="4" w:space="0" w:color="auto"/>
              <w:right w:val="single" w:sz="4" w:space="0" w:color="auto"/>
            </w:tcBorders>
            <w:vAlign w:val="center"/>
            <w:hideMark/>
          </w:tcPr>
          <w:p w14:paraId="4C0D7B0F" w14:textId="77777777" w:rsidR="00B62503" w:rsidRPr="00AF2A95" w:rsidRDefault="00B62503" w:rsidP="00B62503">
            <w:pPr>
              <w:suppressAutoHyphens w:val="0"/>
              <w:rPr>
                <w:color w:val="000000"/>
              </w:rPr>
            </w:pPr>
          </w:p>
        </w:tc>
        <w:tc>
          <w:tcPr>
            <w:tcW w:w="2410" w:type="dxa"/>
            <w:vMerge/>
            <w:tcBorders>
              <w:top w:val="single" w:sz="4" w:space="0" w:color="auto"/>
              <w:left w:val="single" w:sz="4" w:space="0" w:color="auto"/>
              <w:bottom w:val="single" w:sz="4" w:space="0" w:color="auto"/>
              <w:right w:val="single" w:sz="4" w:space="0" w:color="auto"/>
            </w:tcBorders>
            <w:vAlign w:val="center"/>
            <w:hideMark/>
          </w:tcPr>
          <w:p w14:paraId="3C36CCEF" w14:textId="77777777" w:rsidR="00B62503" w:rsidRPr="00AF2A95" w:rsidRDefault="00B62503" w:rsidP="00B62503">
            <w:pPr>
              <w:suppressAutoHyphens w:val="0"/>
              <w:rPr>
                <w:color w:val="000000"/>
              </w:rPr>
            </w:pPr>
          </w:p>
        </w:tc>
        <w:tc>
          <w:tcPr>
            <w:tcW w:w="5523" w:type="dxa"/>
            <w:vMerge/>
            <w:tcBorders>
              <w:top w:val="nil"/>
              <w:left w:val="single" w:sz="4" w:space="0" w:color="auto"/>
              <w:bottom w:val="single" w:sz="4" w:space="0" w:color="000000"/>
              <w:right w:val="single" w:sz="4" w:space="0" w:color="000000"/>
            </w:tcBorders>
            <w:vAlign w:val="center"/>
            <w:hideMark/>
          </w:tcPr>
          <w:p w14:paraId="1D60C88A" w14:textId="77777777" w:rsidR="00B62503" w:rsidRPr="00AF2A95" w:rsidRDefault="00B62503" w:rsidP="00B62503">
            <w:pPr>
              <w:suppressAutoHyphens w:val="0"/>
              <w:jc w:val="both"/>
              <w:rPr>
                <w:color w:val="000000"/>
              </w:rPr>
            </w:pPr>
          </w:p>
        </w:tc>
      </w:tr>
      <w:tr w:rsidR="00B62503" w:rsidRPr="00AF2A95" w14:paraId="6561410C" w14:textId="77777777" w:rsidTr="00B62503">
        <w:trPr>
          <w:trHeight w:val="507"/>
        </w:trPr>
        <w:tc>
          <w:tcPr>
            <w:tcW w:w="1143" w:type="dxa"/>
            <w:vMerge w:val="restart"/>
            <w:tcBorders>
              <w:top w:val="nil"/>
              <w:left w:val="single" w:sz="4" w:space="0" w:color="auto"/>
              <w:bottom w:val="single" w:sz="4" w:space="0" w:color="auto"/>
              <w:right w:val="single" w:sz="4" w:space="0" w:color="auto"/>
            </w:tcBorders>
            <w:shd w:val="clear" w:color="000000" w:fill="FFFFFF"/>
            <w:vAlign w:val="center"/>
            <w:hideMark/>
          </w:tcPr>
          <w:p w14:paraId="2932619E" w14:textId="77777777" w:rsidR="00B62503" w:rsidRPr="00AF2A95" w:rsidRDefault="00B62503" w:rsidP="00B62503">
            <w:pPr>
              <w:suppressAutoHyphens w:val="0"/>
              <w:rPr>
                <w:color w:val="000000"/>
              </w:rPr>
            </w:pPr>
            <w:r w:rsidRPr="00AF2A95">
              <w:rPr>
                <w:color w:val="000000"/>
              </w:rPr>
              <w:t>Ferreira e Platt Neto (2014)</w:t>
            </w:r>
          </w:p>
        </w:tc>
        <w:tc>
          <w:tcPr>
            <w:tcW w:w="2410" w:type="dxa"/>
            <w:vMerge w:val="restart"/>
            <w:tcBorders>
              <w:top w:val="nil"/>
              <w:left w:val="single" w:sz="4" w:space="0" w:color="auto"/>
              <w:bottom w:val="single" w:sz="4" w:space="0" w:color="auto"/>
              <w:right w:val="single" w:sz="4" w:space="0" w:color="auto"/>
            </w:tcBorders>
            <w:shd w:val="clear" w:color="000000" w:fill="FFFFFF"/>
            <w:vAlign w:val="center"/>
            <w:hideMark/>
          </w:tcPr>
          <w:p w14:paraId="0CD7C1FE" w14:textId="77777777" w:rsidR="00B62503" w:rsidRPr="00AF2A95" w:rsidRDefault="00B62503" w:rsidP="00B62503">
            <w:pPr>
              <w:suppressAutoHyphens w:val="0"/>
              <w:jc w:val="both"/>
              <w:rPr>
                <w:color w:val="000000"/>
              </w:rPr>
            </w:pPr>
            <w:r w:rsidRPr="00AF2A95">
              <w:rPr>
                <w:color w:val="000000"/>
              </w:rPr>
              <w:t>O Desempenho do Município de Moreira Sales - PR em Relação ao Cumprimento dos Limites Constitucionais de Aplicações Mínimas em Educação e Saúde no Período de 2004 a 2012 (Evento)</w:t>
            </w:r>
          </w:p>
        </w:tc>
        <w:tc>
          <w:tcPr>
            <w:tcW w:w="5523" w:type="dxa"/>
            <w:vMerge w:val="restart"/>
            <w:tcBorders>
              <w:top w:val="nil"/>
              <w:left w:val="single" w:sz="4" w:space="0" w:color="auto"/>
              <w:bottom w:val="single" w:sz="4" w:space="0" w:color="000000"/>
              <w:right w:val="single" w:sz="4" w:space="0" w:color="000000"/>
            </w:tcBorders>
            <w:shd w:val="clear" w:color="000000" w:fill="FFFFFF"/>
            <w:vAlign w:val="center"/>
            <w:hideMark/>
          </w:tcPr>
          <w:p w14:paraId="4C39EDB6" w14:textId="77777777" w:rsidR="00B62503" w:rsidRPr="00AF2A95" w:rsidRDefault="00B62503" w:rsidP="00B62503">
            <w:pPr>
              <w:suppressAutoHyphens w:val="0"/>
              <w:jc w:val="both"/>
              <w:rPr>
                <w:color w:val="000000"/>
              </w:rPr>
            </w:pPr>
            <w:r w:rsidRPr="00AF2A95">
              <w:rPr>
                <w:color w:val="000000"/>
              </w:rPr>
              <w:t>“o objetivo deste artigo é evidenciar o desempenho do Município de Moreira Sales - PR em relação ao cumprimento dos limites constitucionais de aplicações mínimas em educação e saúde no período de 2004 a 2012”. “Conclui-se que em todos os nove anos da série histórica o Município estudado demonstrou o cumprimento dos dois limites constitucionais, relativos às aplicações mínimas em educação e saúde”.</w:t>
            </w:r>
          </w:p>
        </w:tc>
      </w:tr>
      <w:tr w:rsidR="00B62503" w:rsidRPr="00AF2A95" w14:paraId="5F993D91" w14:textId="77777777" w:rsidTr="00B62503">
        <w:trPr>
          <w:trHeight w:val="427"/>
        </w:trPr>
        <w:tc>
          <w:tcPr>
            <w:tcW w:w="1143" w:type="dxa"/>
            <w:vMerge/>
            <w:tcBorders>
              <w:top w:val="nil"/>
              <w:left w:val="single" w:sz="4" w:space="0" w:color="auto"/>
              <w:bottom w:val="single" w:sz="4" w:space="0" w:color="auto"/>
              <w:right w:val="single" w:sz="4" w:space="0" w:color="auto"/>
            </w:tcBorders>
            <w:vAlign w:val="center"/>
            <w:hideMark/>
          </w:tcPr>
          <w:p w14:paraId="5F0952B5" w14:textId="77777777" w:rsidR="00B62503" w:rsidRPr="00AF2A95" w:rsidRDefault="00B62503" w:rsidP="00B62503">
            <w:pPr>
              <w:suppressAutoHyphens w:val="0"/>
              <w:rPr>
                <w:color w:val="000000"/>
              </w:rPr>
            </w:pPr>
          </w:p>
        </w:tc>
        <w:tc>
          <w:tcPr>
            <w:tcW w:w="2410" w:type="dxa"/>
            <w:vMerge/>
            <w:tcBorders>
              <w:top w:val="nil"/>
              <w:left w:val="single" w:sz="4" w:space="0" w:color="auto"/>
              <w:bottom w:val="single" w:sz="4" w:space="0" w:color="auto"/>
              <w:right w:val="single" w:sz="4" w:space="0" w:color="auto"/>
            </w:tcBorders>
            <w:vAlign w:val="center"/>
            <w:hideMark/>
          </w:tcPr>
          <w:p w14:paraId="03B6D26F" w14:textId="77777777" w:rsidR="00B62503" w:rsidRPr="00AF2A95" w:rsidRDefault="00B62503" w:rsidP="00B62503">
            <w:pPr>
              <w:suppressAutoHyphens w:val="0"/>
              <w:rPr>
                <w:color w:val="000000"/>
              </w:rPr>
            </w:pPr>
          </w:p>
        </w:tc>
        <w:tc>
          <w:tcPr>
            <w:tcW w:w="5523" w:type="dxa"/>
            <w:vMerge/>
            <w:tcBorders>
              <w:top w:val="nil"/>
              <w:left w:val="single" w:sz="4" w:space="0" w:color="auto"/>
              <w:bottom w:val="single" w:sz="4" w:space="0" w:color="000000"/>
              <w:right w:val="single" w:sz="4" w:space="0" w:color="000000"/>
            </w:tcBorders>
            <w:vAlign w:val="center"/>
            <w:hideMark/>
          </w:tcPr>
          <w:p w14:paraId="17B39649" w14:textId="77777777" w:rsidR="00B62503" w:rsidRPr="00AF2A95" w:rsidRDefault="00B62503" w:rsidP="00B62503">
            <w:pPr>
              <w:suppressAutoHyphens w:val="0"/>
              <w:jc w:val="both"/>
              <w:rPr>
                <w:color w:val="000000"/>
              </w:rPr>
            </w:pPr>
          </w:p>
        </w:tc>
      </w:tr>
      <w:tr w:rsidR="00B62503" w:rsidRPr="00AF2A95" w14:paraId="779C40AB" w14:textId="77777777" w:rsidTr="00B62503">
        <w:trPr>
          <w:trHeight w:val="507"/>
        </w:trPr>
        <w:tc>
          <w:tcPr>
            <w:tcW w:w="1143" w:type="dxa"/>
            <w:vMerge w:val="restart"/>
            <w:tcBorders>
              <w:top w:val="nil"/>
              <w:left w:val="single" w:sz="4" w:space="0" w:color="000000"/>
              <w:bottom w:val="single" w:sz="4" w:space="0" w:color="000000"/>
              <w:right w:val="nil"/>
            </w:tcBorders>
            <w:shd w:val="clear" w:color="000000" w:fill="FFFFFF"/>
            <w:vAlign w:val="center"/>
            <w:hideMark/>
          </w:tcPr>
          <w:p w14:paraId="14DBD5B8" w14:textId="77777777" w:rsidR="00B62503" w:rsidRPr="00AF2A95" w:rsidRDefault="00B62503" w:rsidP="00B62503">
            <w:pPr>
              <w:suppressAutoHyphens w:val="0"/>
              <w:rPr>
                <w:color w:val="000000"/>
              </w:rPr>
            </w:pPr>
            <w:r w:rsidRPr="00AF2A95">
              <w:rPr>
                <w:color w:val="000000"/>
              </w:rPr>
              <w:t>Bittencourt e Platt Neto (2016)</w:t>
            </w:r>
          </w:p>
        </w:tc>
        <w:tc>
          <w:tcPr>
            <w:tcW w:w="2410" w:type="dxa"/>
            <w:vMerge w:val="restart"/>
            <w:tcBorders>
              <w:top w:val="nil"/>
              <w:left w:val="single" w:sz="4" w:space="0" w:color="auto"/>
              <w:bottom w:val="single" w:sz="4" w:space="0" w:color="auto"/>
              <w:right w:val="single" w:sz="4" w:space="0" w:color="auto"/>
            </w:tcBorders>
            <w:shd w:val="clear" w:color="000000" w:fill="FFFFFF"/>
            <w:vAlign w:val="center"/>
            <w:hideMark/>
          </w:tcPr>
          <w:p w14:paraId="50A2B8DA" w14:textId="77777777" w:rsidR="00B62503" w:rsidRPr="00AF2A95" w:rsidRDefault="00B62503" w:rsidP="00B62503">
            <w:pPr>
              <w:suppressAutoHyphens w:val="0"/>
              <w:jc w:val="both"/>
              <w:rPr>
                <w:color w:val="000000"/>
              </w:rPr>
            </w:pPr>
            <w:r w:rsidRPr="00AF2A95">
              <w:rPr>
                <w:color w:val="000000"/>
              </w:rPr>
              <w:t>O Desempenho do Município de Florianópolis - SC em Relação ao Cumprimento da Aplicação Mínima Constitucional em Saúde no Período de 2000 a 2015 (Evento)</w:t>
            </w:r>
          </w:p>
        </w:tc>
        <w:tc>
          <w:tcPr>
            <w:tcW w:w="5523" w:type="dxa"/>
            <w:vMerge w:val="restart"/>
            <w:tcBorders>
              <w:top w:val="nil"/>
              <w:left w:val="single" w:sz="4" w:space="0" w:color="auto"/>
              <w:bottom w:val="single" w:sz="4" w:space="0" w:color="000000"/>
              <w:right w:val="single" w:sz="4" w:space="0" w:color="000000"/>
            </w:tcBorders>
            <w:shd w:val="clear" w:color="000000" w:fill="FFFFFF"/>
            <w:vAlign w:val="center"/>
            <w:hideMark/>
          </w:tcPr>
          <w:p w14:paraId="0D9A6834" w14:textId="77777777" w:rsidR="00B62503" w:rsidRPr="00AF2A95" w:rsidRDefault="00B62503" w:rsidP="00B62503">
            <w:pPr>
              <w:suppressAutoHyphens w:val="0"/>
              <w:jc w:val="both"/>
              <w:rPr>
                <w:color w:val="000000"/>
              </w:rPr>
            </w:pPr>
            <w:r w:rsidRPr="00AF2A95">
              <w:rPr>
                <w:color w:val="000000"/>
              </w:rPr>
              <w:t>“o objetivo deste artigo é evidenciar o desempenho do Município de Florianópolis - SC em relação ao cumprimento dos limites constitucionais de aplicação mínima em saúde no período de 2000 a 2015”. “Conclui-se que a PMF cumpriu o limite mínimo de aplicação em quase todos os anos analisados. Os anos em que não houve o cumprimento do percentual mínimo foram: 2001 e 2003, conforme dados do TCE/SC; e 2002 e 2003, conforme dados da PMF. Todavia, tais anos foram parte de um período de adaptação gradual ao limite, que seria concluído apenas em 2004”.</w:t>
            </w:r>
          </w:p>
        </w:tc>
      </w:tr>
      <w:tr w:rsidR="00B62503" w:rsidRPr="00AF2A95" w14:paraId="56C6772D" w14:textId="77777777" w:rsidTr="00B62503">
        <w:trPr>
          <w:trHeight w:val="761"/>
        </w:trPr>
        <w:tc>
          <w:tcPr>
            <w:tcW w:w="1143" w:type="dxa"/>
            <w:vMerge/>
            <w:tcBorders>
              <w:top w:val="nil"/>
              <w:left w:val="single" w:sz="4" w:space="0" w:color="000000"/>
              <w:bottom w:val="single" w:sz="4" w:space="0" w:color="000000"/>
              <w:right w:val="nil"/>
            </w:tcBorders>
            <w:vAlign w:val="center"/>
            <w:hideMark/>
          </w:tcPr>
          <w:p w14:paraId="4069DFA6" w14:textId="77777777" w:rsidR="00B62503" w:rsidRPr="00AF2A95" w:rsidRDefault="00B62503" w:rsidP="00B62503">
            <w:pPr>
              <w:suppressAutoHyphens w:val="0"/>
              <w:rPr>
                <w:color w:val="000000"/>
              </w:rPr>
            </w:pPr>
          </w:p>
        </w:tc>
        <w:tc>
          <w:tcPr>
            <w:tcW w:w="2410" w:type="dxa"/>
            <w:vMerge/>
            <w:tcBorders>
              <w:top w:val="nil"/>
              <w:left w:val="single" w:sz="4" w:space="0" w:color="auto"/>
              <w:bottom w:val="single" w:sz="4" w:space="0" w:color="auto"/>
              <w:right w:val="single" w:sz="4" w:space="0" w:color="auto"/>
            </w:tcBorders>
            <w:vAlign w:val="center"/>
            <w:hideMark/>
          </w:tcPr>
          <w:p w14:paraId="38B5C324" w14:textId="77777777" w:rsidR="00B62503" w:rsidRPr="00AF2A95" w:rsidRDefault="00B62503" w:rsidP="00B62503">
            <w:pPr>
              <w:suppressAutoHyphens w:val="0"/>
              <w:rPr>
                <w:color w:val="000000"/>
              </w:rPr>
            </w:pPr>
          </w:p>
        </w:tc>
        <w:tc>
          <w:tcPr>
            <w:tcW w:w="5523" w:type="dxa"/>
            <w:vMerge/>
            <w:tcBorders>
              <w:top w:val="nil"/>
              <w:left w:val="single" w:sz="4" w:space="0" w:color="auto"/>
              <w:bottom w:val="single" w:sz="4" w:space="0" w:color="000000"/>
              <w:right w:val="single" w:sz="4" w:space="0" w:color="000000"/>
            </w:tcBorders>
            <w:vAlign w:val="center"/>
            <w:hideMark/>
          </w:tcPr>
          <w:p w14:paraId="300BFBC5" w14:textId="77777777" w:rsidR="00B62503" w:rsidRPr="00AF2A95" w:rsidRDefault="00B62503" w:rsidP="00B62503">
            <w:pPr>
              <w:suppressAutoHyphens w:val="0"/>
              <w:rPr>
                <w:color w:val="000000"/>
              </w:rPr>
            </w:pPr>
          </w:p>
        </w:tc>
      </w:tr>
    </w:tbl>
    <w:p w14:paraId="5EB39CBD" w14:textId="0A38061E" w:rsidR="004403D5" w:rsidRPr="00AF2A95" w:rsidRDefault="004403D5" w:rsidP="00B62503">
      <w:pPr>
        <w:jc w:val="center"/>
      </w:pPr>
      <w:r w:rsidRPr="00AF2A95">
        <w:t>Fonte: Elaborado pelos autores com base nas obras citadas no quadro.</w:t>
      </w:r>
    </w:p>
    <w:p w14:paraId="2B90E071" w14:textId="77777777" w:rsidR="004403D5" w:rsidRPr="00AF2A95" w:rsidRDefault="004403D5" w:rsidP="004403D5"/>
    <w:p w14:paraId="6FFF2A76" w14:textId="77777777" w:rsidR="004403D5" w:rsidRPr="00AF2A95" w:rsidRDefault="004403D5" w:rsidP="004403D5">
      <w:pPr>
        <w:ind w:firstLine="709"/>
        <w:jc w:val="both"/>
        <w:rPr>
          <w:sz w:val="24"/>
          <w:szCs w:val="24"/>
        </w:rPr>
      </w:pPr>
      <w:r w:rsidRPr="00AF2A95">
        <w:rPr>
          <w:sz w:val="24"/>
          <w:szCs w:val="24"/>
        </w:rPr>
        <w:t>As publicações elencadas no Quadro 2 buscaram responder perguntas semelhantes à desta pesquisa. Em síntese, objetivaram evidenciar e analisar o cumprimento da aplicação mínima constitucional em ASPS. Além destas, foram encontradas outras pesquisas com similaridade em relação ao tema, porém com objetivos e abordagens metodológicas distintas, as quais não são apresentadas no quadro anterior.</w:t>
      </w:r>
    </w:p>
    <w:p w14:paraId="2B0CE1C9" w14:textId="77777777" w:rsidR="004403D5" w:rsidRPr="00AF2A95" w:rsidRDefault="004403D5" w:rsidP="004403D5">
      <w:pPr>
        <w:ind w:firstLine="709"/>
        <w:rPr>
          <w:sz w:val="24"/>
          <w:szCs w:val="24"/>
        </w:rPr>
      </w:pPr>
    </w:p>
    <w:p w14:paraId="283EABAC" w14:textId="77777777" w:rsidR="004403D5" w:rsidRPr="00AF2A95" w:rsidRDefault="004403D5" w:rsidP="004403D5">
      <w:pPr>
        <w:rPr>
          <w:b/>
          <w:sz w:val="24"/>
          <w:szCs w:val="24"/>
        </w:rPr>
      </w:pPr>
      <w:r w:rsidRPr="00AF2A95">
        <w:rPr>
          <w:b/>
          <w:sz w:val="24"/>
          <w:szCs w:val="24"/>
        </w:rPr>
        <w:t>3 METODOLOGIA DA PESQUISA</w:t>
      </w:r>
    </w:p>
    <w:p w14:paraId="074C9C30" w14:textId="77777777" w:rsidR="004403D5" w:rsidRPr="00AF2A95" w:rsidRDefault="004403D5" w:rsidP="004403D5">
      <w:pPr>
        <w:jc w:val="both"/>
        <w:rPr>
          <w:sz w:val="24"/>
          <w:szCs w:val="24"/>
        </w:rPr>
      </w:pPr>
    </w:p>
    <w:p w14:paraId="2110817B" w14:textId="77777777" w:rsidR="004403D5" w:rsidRPr="00AF2A95" w:rsidRDefault="004403D5" w:rsidP="004403D5">
      <w:pPr>
        <w:ind w:firstLine="709"/>
        <w:jc w:val="both"/>
        <w:rPr>
          <w:sz w:val="24"/>
          <w:szCs w:val="24"/>
        </w:rPr>
      </w:pPr>
      <w:r w:rsidRPr="00AF2A95">
        <w:rPr>
          <w:sz w:val="24"/>
          <w:szCs w:val="24"/>
        </w:rPr>
        <w:t>Buscando alcançar o objetivo estabelecido e responder à pergunta da pesquisa, este artigo recorre a uma abordagem metodológica. Neste capítulo, é apresentada a classificação, as técnicas e instrumentos utilizados, assim como os procedimentos adotados na pesquisa. Também são expostas as características e fontes de dados da entidade.</w:t>
      </w:r>
    </w:p>
    <w:p w14:paraId="11440D53" w14:textId="328D18FF" w:rsidR="004403D5" w:rsidRPr="00AF2A95" w:rsidRDefault="004403D5" w:rsidP="004403D5">
      <w:pPr>
        <w:ind w:firstLine="709"/>
        <w:jc w:val="both"/>
        <w:rPr>
          <w:sz w:val="24"/>
          <w:szCs w:val="24"/>
        </w:rPr>
      </w:pPr>
      <w:r w:rsidRPr="00AF2A95">
        <w:rPr>
          <w:sz w:val="24"/>
          <w:szCs w:val="24"/>
        </w:rPr>
        <w:t xml:space="preserve">Existem várias maneiras de classificar uma pesquisa, variando de acordo com as particularidades de cada ciência. Em Contabilidade, as pesquisas </w:t>
      </w:r>
      <w:r w:rsidR="00E02444" w:rsidRPr="00AF2A95">
        <w:rPr>
          <w:sz w:val="24"/>
          <w:szCs w:val="24"/>
        </w:rPr>
        <w:t>podem ser</w:t>
      </w:r>
      <w:r w:rsidRPr="00AF2A95">
        <w:rPr>
          <w:sz w:val="24"/>
          <w:szCs w:val="24"/>
        </w:rPr>
        <w:t xml:space="preserve"> classificadas quanto aos objetivos, procedimentos e abordagem do problema, segundo Beuren </w:t>
      </w:r>
      <w:r w:rsidRPr="00AF2A95">
        <w:rPr>
          <w:i/>
          <w:sz w:val="24"/>
          <w:szCs w:val="24"/>
        </w:rPr>
        <w:t>et al.</w:t>
      </w:r>
      <w:r w:rsidRPr="00AF2A95">
        <w:rPr>
          <w:sz w:val="24"/>
          <w:szCs w:val="24"/>
        </w:rPr>
        <w:t xml:space="preserve"> (2013). A presente pesquisa é classificada como descritiva quanto aos objetivos, bibliográfica e documental quanto aos procedimentos e qualitativa e quantitativa quanto à abordagem do problema.</w:t>
      </w:r>
    </w:p>
    <w:p w14:paraId="7ABFE11F" w14:textId="07123E44" w:rsidR="004403D5" w:rsidRPr="00AF2A95" w:rsidRDefault="004403D5" w:rsidP="004403D5">
      <w:pPr>
        <w:ind w:firstLine="709"/>
        <w:jc w:val="both"/>
        <w:rPr>
          <w:sz w:val="24"/>
          <w:szCs w:val="24"/>
        </w:rPr>
      </w:pPr>
      <w:r w:rsidRPr="00AF2A95">
        <w:rPr>
          <w:sz w:val="24"/>
          <w:szCs w:val="24"/>
        </w:rPr>
        <w:t>As técnicas e instrumentos são utilizados nas etapas de coleta de dados e análise de dados (Z</w:t>
      </w:r>
      <w:r w:rsidR="00763C88" w:rsidRPr="00AF2A95">
        <w:rPr>
          <w:sz w:val="24"/>
          <w:szCs w:val="24"/>
        </w:rPr>
        <w:t>anella</w:t>
      </w:r>
      <w:r w:rsidRPr="00AF2A95">
        <w:rPr>
          <w:sz w:val="24"/>
          <w:szCs w:val="24"/>
        </w:rPr>
        <w:t xml:space="preserve">, 2009, p. 110). Na etapa de coleta de dados, o instrumento utilizado neste artigo é a documentação indireta. A presente pesquisa adotou documentos escritos como fonte de dados, na fundamentação teórica e no capítulo dedicado à análise de resultados. Tais documentos são tanto de fontes primárias (pesquisa documental) quanto de secundárias (pesquisa bibliográfica). </w:t>
      </w:r>
    </w:p>
    <w:p w14:paraId="2E2C5667" w14:textId="77777777" w:rsidR="004403D5" w:rsidRPr="00AF2A95" w:rsidRDefault="004403D5" w:rsidP="004403D5">
      <w:pPr>
        <w:ind w:firstLine="709"/>
        <w:jc w:val="both"/>
        <w:rPr>
          <w:sz w:val="24"/>
          <w:szCs w:val="24"/>
        </w:rPr>
      </w:pPr>
      <w:r w:rsidRPr="00AF2A95">
        <w:rPr>
          <w:sz w:val="24"/>
          <w:szCs w:val="24"/>
        </w:rPr>
        <w:t xml:space="preserve">As fontes primárias são: dados levantados de demonstrativos contábeis, de elaboração e divulgação obrigatória por parte do governo e normas legais relacionadas à aplicação mínima em ASPS. As fontes secundárias são: literatura especializada que trata de receitas e despesas e </w:t>
      </w:r>
      <w:r w:rsidRPr="00AF2A95">
        <w:rPr>
          <w:sz w:val="24"/>
          <w:szCs w:val="24"/>
        </w:rPr>
        <w:lastRenderedPageBreak/>
        <w:t>Pareceres Prévios sobre as contas públicas. Na etapa de análise de dados foi empregada a técnica de análise documental, na qual foi observado o cumprimento da aplicação mínima em ASPS, regulada pela Constituição, pela Lei Complementar n.º 141/2012, por resoluções do Conselho Nacional de Saúde e por portarias do Ministério da Saúde.</w:t>
      </w:r>
    </w:p>
    <w:p w14:paraId="75FB75DF" w14:textId="77777777" w:rsidR="004403D5" w:rsidRPr="00AF2A95" w:rsidRDefault="004403D5" w:rsidP="004403D5">
      <w:pPr>
        <w:ind w:firstLine="709"/>
        <w:jc w:val="both"/>
        <w:rPr>
          <w:sz w:val="24"/>
          <w:szCs w:val="24"/>
        </w:rPr>
      </w:pPr>
      <w:r w:rsidRPr="00AF2A95">
        <w:rPr>
          <w:sz w:val="24"/>
          <w:szCs w:val="24"/>
        </w:rPr>
        <w:t>Esta pesquisa utilizou a mesma abordagem metodológica de Bittencourt e Platt Neto (2016), que analisaram a aplicação mínima constitucional em ASPS no Município de Florianópolis entre os anos de 2000 e 2015. O presente artigo analisou os percentuais de aplicação em ASPS no Estado de Santa Catarina, apurados pela SEF/SC e pelo TCE/SC, entre 2000 e 2015, observando divergências entres as apurações e o comportamento das receitas, despesas e aplicação mínima ao longo da série histórica.</w:t>
      </w:r>
    </w:p>
    <w:p w14:paraId="4AE5DEA7" w14:textId="77777777" w:rsidR="004403D5" w:rsidRPr="00AF2A95" w:rsidRDefault="004403D5" w:rsidP="004403D5">
      <w:pPr>
        <w:ind w:firstLine="709"/>
        <w:jc w:val="both"/>
        <w:rPr>
          <w:sz w:val="24"/>
          <w:szCs w:val="24"/>
        </w:rPr>
      </w:pPr>
      <w:r w:rsidRPr="00AF2A95">
        <w:rPr>
          <w:sz w:val="24"/>
          <w:szCs w:val="24"/>
        </w:rPr>
        <w:t>Os procedimentos da pesquisa foram organizados em uma série de etapas, conforme estabelecido pelos pesquisadores. Segue detalhamento destes passos e da abordagem adotada.</w:t>
      </w:r>
    </w:p>
    <w:p w14:paraId="6F9B8335" w14:textId="77777777" w:rsidR="004403D5" w:rsidRPr="00AF2A95" w:rsidRDefault="004403D5" w:rsidP="004403D5">
      <w:pPr>
        <w:ind w:firstLine="709"/>
        <w:jc w:val="both"/>
        <w:rPr>
          <w:sz w:val="24"/>
          <w:szCs w:val="24"/>
        </w:rPr>
      </w:pPr>
      <w:r w:rsidRPr="00AF2A95">
        <w:rPr>
          <w:sz w:val="24"/>
          <w:szCs w:val="24"/>
        </w:rPr>
        <w:t>1º Passo: Revisar a literatura contábil especializada, buscando identificar os fundamentos normativos que regem os limites para aplicação mínima ASPS.</w:t>
      </w:r>
    </w:p>
    <w:p w14:paraId="3C058097" w14:textId="77777777" w:rsidR="004403D5" w:rsidRPr="00AF2A95" w:rsidRDefault="004403D5" w:rsidP="004403D5">
      <w:pPr>
        <w:ind w:firstLine="709"/>
        <w:jc w:val="both"/>
        <w:rPr>
          <w:sz w:val="24"/>
          <w:szCs w:val="24"/>
        </w:rPr>
      </w:pPr>
      <w:r w:rsidRPr="00AF2A95">
        <w:rPr>
          <w:sz w:val="24"/>
          <w:szCs w:val="24"/>
        </w:rPr>
        <w:t>2º Passo: Levantar os demonstrativos contábeis da SEF/SC e os pereceres prévios do TCE/SC que apresentam as despesas com ASPS no período estudado.</w:t>
      </w:r>
    </w:p>
    <w:p w14:paraId="3A22EFE8" w14:textId="77777777" w:rsidR="004403D5" w:rsidRPr="00AF2A95" w:rsidRDefault="004403D5" w:rsidP="004403D5">
      <w:pPr>
        <w:ind w:firstLine="709"/>
        <w:jc w:val="both"/>
        <w:rPr>
          <w:sz w:val="24"/>
          <w:szCs w:val="24"/>
        </w:rPr>
      </w:pPr>
      <w:r w:rsidRPr="00AF2A95">
        <w:rPr>
          <w:sz w:val="24"/>
          <w:szCs w:val="24"/>
        </w:rPr>
        <w:t>3º Passo: Coletar e organizar os dados referentes às receitas consideradas para efeito da composição da base de cálculo e as despesas com ASPS, com o auxílio de planilha eletrônica.</w:t>
      </w:r>
    </w:p>
    <w:p w14:paraId="695A62F5" w14:textId="77777777" w:rsidR="004403D5" w:rsidRPr="00AF2A95" w:rsidRDefault="004403D5" w:rsidP="004403D5">
      <w:pPr>
        <w:ind w:firstLine="709"/>
        <w:jc w:val="both"/>
        <w:rPr>
          <w:sz w:val="24"/>
          <w:szCs w:val="24"/>
        </w:rPr>
      </w:pPr>
      <w:r w:rsidRPr="00AF2A95">
        <w:rPr>
          <w:sz w:val="24"/>
          <w:szCs w:val="24"/>
        </w:rPr>
        <w:t>4º Passo: Apresentar os cálculos efetuados para demonstrar os valores e a evolução das despesas com ASPS, com vistas a evidenciar se os limites constitucionais foram cumpridos.</w:t>
      </w:r>
    </w:p>
    <w:p w14:paraId="4B933C60" w14:textId="77777777" w:rsidR="004403D5" w:rsidRPr="00AF2A95" w:rsidRDefault="004403D5" w:rsidP="004403D5">
      <w:pPr>
        <w:ind w:firstLine="709"/>
        <w:jc w:val="both"/>
        <w:rPr>
          <w:sz w:val="24"/>
          <w:szCs w:val="24"/>
        </w:rPr>
      </w:pPr>
      <w:r w:rsidRPr="00AF2A95">
        <w:rPr>
          <w:sz w:val="24"/>
          <w:szCs w:val="24"/>
        </w:rPr>
        <w:t>5º Passo: Aplicar índice de preços para ajuste monetário dos valores, visando minimizar os efeitos da inflação na análise temporal das evoluções.</w:t>
      </w:r>
    </w:p>
    <w:p w14:paraId="6A8013E0" w14:textId="77777777" w:rsidR="004403D5" w:rsidRPr="00AF2A95" w:rsidRDefault="004403D5" w:rsidP="004403D5">
      <w:pPr>
        <w:ind w:firstLine="709"/>
        <w:jc w:val="both"/>
        <w:rPr>
          <w:sz w:val="24"/>
          <w:szCs w:val="24"/>
        </w:rPr>
      </w:pPr>
      <w:r w:rsidRPr="00AF2A95">
        <w:rPr>
          <w:sz w:val="24"/>
          <w:szCs w:val="24"/>
        </w:rPr>
        <w:t>6º Passo: Expor e comparar os resultados obtidos por meio de gráficos, tabelas e textos.</w:t>
      </w:r>
    </w:p>
    <w:p w14:paraId="4E8772E2" w14:textId="77777777" w:rsidR="004403D5" w:rsidRPr="00AF2A95" w:rsidRDefault="004403D5" w:rsidP="004403D5">
      <w:pPr>
        <w:ind w:firstLine="709"/>
        <w:jc w:val="both"/>
        <w:rPr>
          <w:sz w:val="24"/>
          <w:szCs w:val="24"/>
        </w:rPr>
      </w:pPr>
      <w:r w:rsidRPr="00AF2A95">
        <w:rPr>
          <w:sz w:val="24"/>
          <w:szCs w:val="24"/>
        </w:rPr>
        <w:t>Este estudo observa apenas a situação do Estado de Santa Catarina quanto ao cumprimento da aplicação mínima constitucional em saúde. O ente não foi escolhido por meio de amostragem, e seu caso não pode ser generalizado aos demais vinte e cinco estados brasileiros e ao Distrito Federal. Entretanto, a base normativa aplicada ao Estado analisado é a mesma dos demais – com exceção do Distrito Federal, em relação ao qual há divergências significativas – o que possibilita a expansão do âmbito de observação em pesquisas futuras.</w:t>
      </w:r>
      <w:bookmarkStart w:id="3" w:name="_1fob9te" w:colFirst="0" w:colLast="0"/>
      <w:bookmarkEnd w:id="3"/>
    </w:p>
    <w:p w14:paraId="3D4F2144" w14:textId="77777777" w:rsidR="004403D5" w:rsidRPr="00AF2A95" w:rsidRDefault="004403D5" w:rsidP="004403D5">
      <w:pPr>
        <w:ind w:firstLine="709"/>
        <w:jc w:val="both"/>
        <w:rPr>
          <w:sz w:val="24"/>
          <w:szCs w:val="24"/>
        </w:rPr>
      </w:pPr>
      <w:r w:rsidRPr="00AF2A95">
        <w:rPr>
          <w:sz w:val="24"/>
          <w:szCs w:val="24"/>
        </w:rPr>
        <w:t>Os Demonstrativos das Receitas e Despesas com Ações e Serviços Públicos de Saúde de 2003 a 2015 foram obtidos junto ao portal da SEF/SC, na seção de Transparência. Tais dados foram acessados no dia 27/10/2016. O Demonstrativo de 2002 foi obtido por meio de requisição na página da Ouvidoria Geral do Estado em 30/10/2016. Também foi feita requisição dos Demonstrativos de 2000 e 2001. Porém, conforme resposta da Ouvidoria, estes dados foram perdidos devido à desativação do banco de dados que os mantinha.</w:t>
      </w:r>
    </w:p>
    <w:p w14:paraId="1FBC0D64" w14:textId="77777777" w:rsidR="004403D5" w:rsidRPr="00AF2A95" w:rsidRDefault="004403D5" w:rsidP="004403D5">
      <w:pPr>
        <w:ind w:firstLine="709"/>
        <w:jc w:val="both"/>
        <w:rPr>
          <w:sz w:val="24"/>
          <w:szCs w:val="24"/>
        </w:rPr>
      </w:pPr>
      <w:r w:rsidRPr="00AF2A95">
        <w:rPr>
          <w:sz w:val="24"/>
          <w:szCs w:val="24"/>
        </w:rPr>
        <w:t xml:space="preserve">Os Pareceres Prévios sobre as Contas do Governo do Estado de 2000 a 2014 foram encontrados no portal do TCE/SC, na seção da Assessoria de Comunicação Social em 28/10/2016. Por sua vez, o Parecer de 2015 foi obtido por meio de requisição na página de Transparência do TCE/SC em 30/10/2016. </w:t>
      </w:r>
    </w:p>
    <w:p w14:paraId="0C5A6716" w14:textId="716F9FD5" w:rsidR="004403D5" w:rsidRPr="00AF2A95" w:rsidRDefault="004403D5" w:rsidP="004403D5">
      <w:pPr>
        <w:ind w:firstLine="709"/>
        <w:jc w:val="both"/>
        <w:rPr>
          <w:sz w:val="24"/>
          <w:szCs w:val="24"/>
        </w:rPr>
      </w:pPr>
      <w:r w:rsidRPr="00AF2A95">
        <w:rPr>
          <w:sz w:val="24"/>
          <w:szCs w:val="24"/>
        </w:rPr>
        <w:t>Com o objetivo de eliminar as distorções inflacionárias que dificultam a análise dos dados, estes foram ajustados monetariamente, sendo utilizado o Índice Nacional de Preços ao Consumidos Amplo (IPCA), do I</w:t>
      </w:r>
      <w:r w:rsidR="00B105CA" w:rsidRPr="00AF2A95">
        <w:rPr>
          <w:sz w:val="24"/>
          <w:szCs w:val="24"/>
        </w:rPr>
        <w:t xml:space="preserve">nstituto Brasileiro de Geografia e Estatística [IBGE] </w:t>
      </w:r>
      <w:r w:rsidRPr="00AF2A95">
        <w:rPr>
          <w:sz w:val="24"/>
          <w:szCs w:val="24"/>
        </w:rPr>
        <w:t>(2016), o índice de preços oficial do Governo Federal.</w:t>
      </w:r>
    </w:p>
    <w:p w14:paraId="03315B7C" w14:textId="77777777" w:rsidR="004403D5" w:rsidRPr="00AF2A95" w:rsidRDefault="004403D5" w:rsidP="004403D5">
      <w:pPr>
        <w:ind w:firstLine="709"/>
        <w:jc w:val="both"/>
        <w:rPr>
          <w:sz w:val="24"/>
          <w:szCs w:val="24"/>
        </w:rPr>
      </w:pPr>
      <w:r w:rsidRPr="00AF2A95">
        <w:rPr>
          <w:sz w:val="24"/>
          <w:szCs w:val="24"/>
        </w:rPr>
        <w:t>O IPCA acumulado de cada ano foi capitalizado mensalmente. Na atualização das receitas e despesas foi empregado o fator médio nos primeiros exercícios, considerando que as mesmas se realizam de forma distribuída no decorrer do exercício financeiro. Foram calculados multiplicadores anuais por meio do acumulo dos fatores anuais até o ano em questão, de modo a apurar o valor atualizado até o final de 2016. A inflação acumulada pelo IPCA de 01/01/2000 a 31/12/2016 foi de 192,01%. Devido à limitação de espaço, não será apresentada aqui a tabela de índices e a memória de cálculo dos fatores.</w:t>
      </w:r>
    </w:p>
    <w:p w14:paraId="73C102F6" w14:textId="41320343" w:rsidR="004403D5" w:rsidRPr="00AF2A95" w:rsidRDefault="004403D5" w:rsidP="004403D5">
      <w:pPr>
        <w:rPr>
          <w:b/>
          <w:sz w:val="24"/>
          <w:szCs w:val="24"/>
        </w:rPr>
      </w:pPr>
      <w:r w:rsidRPr="00AF2A95">
        <w:rPr>
          <w:b/>
          <w:sz w:val="24"/>
          <w:szCs w:val="24"/>
        </w:rPr>
        <w:lastRenderedPageBreak/>
        <w:t>4 RESULTADOS DA PESQUISA</w:t>
      </w:r>
    </w:p>
    <w:p w14:paraId="4E9B7E65" w14:textId="77777777" w:rsidR="004403D5" w:rsidRPr="00AF2A95" w:rsidRDefault="004403D5" w:rsidP="004403D5">
      <w:pPr>
        <w:rPr>
          <w:b/>
          <w:sz w:val="24"/>
          <w:szCs w:val="24"/>
        </w:rPr>
      </w:pPr>
    </w:p>
    <w:p w14:paraId="3E4CB93D" w14:textId="77777777" w:rsidR="004403D5" w:rsidRPr="00AF2A95" w:rsidRDefault="004403D5" w:rsidP="004403D5">
      <w:pPr>
        <w:jc w:val="both"/>
        <w:rPr>
          <w:b/>
          <w:sz w:val="24"/>
          <w:szCs w:val="24"/>
        </w:rPr>
      </w:pPr>
      <w:r w:rsidRPr="00AF2A95">
        <w:rPr>
          <w:b/>
          <w:sz w:val="24"/>
          <w:szCs w:val="24"/>
        </w:rPr>
        <w:t>4.1 Aplicações em Ações e Serviços Públicos de Saúde (ASPS)</w:t>
      </w:r>
    </w:p>
    <w:p w14:paraId="206B3D1E" w14:textId="77777777" w:rsidR="004403D5" w:rsidRPr="00AF2A95" w:rsidRDefault="004403D5" w:rsidP="004403D5">
      <w:pPr>
        <w:ind w:firstLine="709"/>
        <w:jc w:val="both"/>
        <w:rPr>
          <w:sz w:val="24"/>
          <w:szCs w:val="24"/>
        </w:rPr>
      </w:pPr>
      <w:r w:rsidRPr="00AF2A95">
        <w:rPr>
          <w:sz w:val="24"/>
          <w:szCs w:val="24"/>
        </w:rPr>
        <w:t>As ASPS foram abordadas no capítulo 2, com o levantamento das normas que tratam do tema, limites mínimos de aplicação, composição de receitas e despesas para efeito de tal cálculo, entre outras informações. Nesta seção, são analisados os dados dos documentos citados na seção 3.4 em confronto às determinações normativas vigentes.</w:t>
      </w:r>
    </w:p>
    <w:p w14:paraId="4D146736" w14:textId="77777777" w:rsidR="004403D5" w:rsidRPr="00AF2A95" w:rsidRDefault="004403D5" w:rsidP="004403D5">
      <w:pPr>
        <w:ind w:firstLine="851"/>
        <w:jc w:val="both"/>
        <w:rPr>
          <w:sz w:val="24"/>
          <w:szCs w:val="24"/>
        </w:rPr>
      </w:pPr>
      <w:r w:rsidRPr="00AF2A95">
        <w:rPr>
          <w:sz w:val="24"/>
          <w:szCs w:val="24"/>
        </w:rPr>
        <w:t>A Tabela 1 evidencia os valores de receitas e despesas para efeito de cálculo no decorrer da série histórica e os respectivos percentuais de aplicação em ASPS, segundo dados da Secretaria de Estado da Fazenda de Santa Catarina (SEF/SC) e do Tribunal de Contas do Estado de Santa Catarina (TCE/SC).</w:t>
      </w:r>
    </w:p>
    <w:p w14:paraId="22C86F1E" w14:textId="77777777" w:rsidR="004403D5" w:rsidRPr="00AF2A95" w:rsidRDefault="004403D5" w:rsidP="004403D5">
      <w:pPr>
        <w:ind w:firstLine="851"/>
        <w:jc w:val="both"/>
        <w:rPr>
          <w:b/>
        </w:rPr>
      </w:pPr>
      <w:r w:rsidRPr="00AF2A95">
        <w:rPr>
          <w:b/>
        </w:rPr>
        <w:t>Tabela 1 – Aplicação em Ações e Serviços Públicos de Saúde de 2000 a 2015</w:t>
      </w:r>
    </w:p>
    <w:p w14:paraId="7E5B85F8" w14:textId="77777777" w:rsidR="004403D5" w:rsidRPr="00AF2A95" w:rsidRDefault="004403D5" w:rsidP="004403D5">
      <w:pPr>
        <w:ind w:firstLine="851"/>
        <w:jc w:val="right"/>
      </w:pPr>
      <w:r w:rsidRPr="00AF2A95">
        <w:t>Valores originais em Reais.</w:t>
      </w:r>
    </w:p>
    <w:tbl>
      <w:tblPr>
        <w:tblW w:w="9072" w:type="dxa"/>
        <w:tblCellMar>
          <w:left w:w="70" w:type="dxa"/>
          <w:right w:w="70" w:type="dxa"/>
        </w:tblCellMar>
        <w:tblLook w:val="04A0" w:firstRow="1" w:lastRow="0" w:firstColumn="1" w:lastColumn="0" w:noHBand="0" w:noVBand="1"/>
      </w:tblPr>
      <w:tblGrid>
        <w:gridCol w:w="1066"/>
        <w:gridCol w:w="2087"/>
        <w:gridCol w:w="1530"/>
        <w:gridCol w:w="1499"/>
        <w:gridCol w:w="1437"/>
        <w:gridCol w:w="1453"/>
      </w:tblGrid>
      <w:tr w:rsidR="004403D5" w:rsidRPr="00AF2A95" w14:paraId="757D4BE2" w14:textId="77777777" w:rsidTr="004403D5">
        <w:trPr>
          <w:trHeight w:val="70"/>
        </w:trPr>
        <w:tc>
          <w:tcPr>
            <w:tcW w:w="1066" w:type="dxa"/>
            <w:tcBorders>
              <w:top w:val="single" w:sz="4" w:space="0" w:color="auto"/>
              <w:left w:val="nil"/>
              <w:bottom w:val="single" w:sz="4" w:space="0" w:color="auto"/>
              <w:right w:val="single" w:sz="4" w:space="0" w:color="auto"/>
            </w:tcBorders>
            <w:shd w:val="clear" w:color="000000" w:fill="F2F2F2"/>
            <w:noWrap/>
            <w:vAlign w:val="center"/>
            <w:hideMark/>
          </w:tcPr>
          <w:p w14:paraId="182F8484" w14:textId="77777777" w:rsidR="004403D5" w:rsidRPr="00AF2A95" w:rsidRDefault="004403D5" w:rsidP="004403D5">
            <w:pPr>
              <w:jc w:val="center"/>
              <w:rPr>
                <w:b/>
                <w:bCs/>
              </w:rPr>
            </w:pPr>
            <w:r w:rsidRPr="00AF2A95">
              <w:rPr>
                <w:b/>
                <w:bCs/>
              </w:rPr>
              <w:t>Variáveis</w:t>
            </w:r>
          </w:p>
        </w:tc>
        <w:tc>
          <w:tcPr>
            <w:tcW w:w="2087" w:type="dxa"/>
            <w:tcBorders>
              <w:top w:val="single" w:sz="4" w:space="0" w:color="auto"/>
              <w:left w:val="nil"/>
              <w:bottom w:val="single" w:sz="4" w:space="0" w:color="auto"/>
              <w:right w:val="single" w:sz="4" w:space="0" w:color="auto"/>
            </w:tcBorders>
            <w:shd w:val="clear" w:color="000000" w:fill="F2F2F2"/>
            <w:noWrap/>
            <w:vAlign w:val="center"/>
            <w:hideMark/>
          </w:tcPr>
          <w:p w14:paraId="71FB7485" w14:textId="77777777" w:rsidR="004403D5" w:rsidRPr="00AF2A95" w:rsidRDefault="004403D5" w:rsidP="004403D5">
            <w:pPr>
              <w:jc w:val="center"/>
              <w:rPr>
                <w:b/>
                <w:bCs/>
              </w:rPr>
            </w:pPr>
            <w:r w:rsidRPr="00AF2A95">
              <w:rPr>
                <w:b/>
                <w:bCs/>
              </w:rPr>
              <w:t>Origens dos dados</w:t>
            </w:r>
          </w:p>
        </w:tc>
        <w:tc>
          <w:tcPr>
            <w:tcW w:w="1530" w:type="dxa"/>
            <w:tcBorders>
              <w:top w:val="single" w:sz="4" w:space="0" w:color="auto"/>
              <w:left w:val="nil"/>
              <w:bottom w:val="single" w:sz="4" w:space="0" w:color="auto"/>
              <w:right w:val="single" w:sz="4" w:space="0" w:color="auto"/>
            </w:tcBorders>
            <w:shd w:val="clear" w:color="000000" w:fill="F2F2F2"/>
            <w:noWrap/>
            <w:vAlign w:val="center"/>
            <w:hideMark/>
          </w:tcPr>
          <w:p w14:paraId="56B217D6" w14:textId="77777777" w:rsidR="004403D5" w:rsidRPr="00AF2A95" w:rsidRDefault="004403D5" w:rsidP="004403D5">
            <w:pPr>
              <w:jc w:val="center"/>
              <w:rPr>
                <w:b/>
                <w:bCs/>
                <w:vertAlign w:val="superscript"/>
              </w:rPr>
            </w:pPr>
            <w:r w:rsidRPr="00AF2A95">
              <w:rPr>
                <w:b/>
                <w:bCs/>
              </w:rPr>
              <w:t>2000</w:t>
            </w:r>
            <w:r w:rsidRPr="00AF2A95">
              <w:rPr>
                <w:b/>
                <w:bCs/>
                <w:vertAlign w:val="superscript"/>
              </w:rPr>
              <w:t>[1]</w:t>
            </w:r>
          </w:p>
        </w:tc>
        <w:tc>
          <w:tcPr>
            <w:tcW w:w="1499" w:type="dxa"/>
            <w:tcBorders>
              <w:top w:val="single" w:sz="4" w:space="0" w:color="auto"/>
              <w:left w:val="nil"/>
              <w:bottom w:val="single" w:sz="4" w:space="0" w:color="auto"/>
              <w:right w:val="single" w:sz="4" w:space="0" w:color="auto"/>
            </w:tcBorders>
            <w:shd w:val="clear" w:color="000000" w:fill="F2F2F2"/>
            <w:noWrap/>
            <w:vAlign w:val="center"/>
            <w:hideMark/>
          </w:tcPr>
          <w:p w14:paraId="094960F6" w14:textId="77777777" w:rsidR="004403D5" w:rsidRPr="00AF2A95" w:rsidRDefault="004403D5" w:rsidP="004403D5">
            <w:pPr>
              <w:jc w:val="center"/>
              <w:rPr>
                <w:b/>
                <w:bCs/>
                <w:vertAlign w:val="superscript"/>
              </w:rPr>
            </w:pPr>
            <w:r w:rsidRPr="00AF2A95">
              <w:rPr>
                <w:b/>
                <w:bCs/>
              </w:rPr>
              <w:t>2001</w:t>
            </w:r>
            <w:r w:rsidRPr="00AF2A95">
              <w:rPr>
                <w:b/>
                <w:bCs/>
                <w:vertAlign w:val="superscript"/>
              </w:rPr>
              <w:t>[1]</w:t>
            </w:r>
          </w:p>
        </w:tc>
        <w:tc>
          <w:tcPr>
            <w:tcW w:w="1437" w:type="dxa"/>
            <w:tcBorders>
              <w:top w:val="single" w:sz="4" w:space="0" w:color="auto"/>
              <w:left w:val="nil"/>
              <w:bottom w:val="single" w:sz="4" w:space="0" w:color="auto"/>
              <w:right w:val="single" w:sz="4" w:space="0" w:color="auto"/>
            </w:tcBorders>
            <w:shd w:val="clear" w:color="000000" w:fill="F2F2F2"/>
            <w:noWrap/>
            <w:vAlign w:val="center"/>
            <w:hideMark/>
          </w:tcPr>
          <w:p w14:paraId="5F196647" w14:textId="77777777" w:rsidR="004403D5" w:rsidRPr="00AF2A95" w:rsidRDefault="004403D5" w:rsidP="004403D5">
            <w:pPr>
              <w:jc w:val="center"/>
              <w:rPr>
                <w:b/>
                <w:bCs/>
              </w:rPr>
            </w:pPr>
            <w:r w:rsidRPr="00AF2A95">
              <w:rPr>
                <w:b/>
                <w:bCs/>
              </w:rPr>
              <w:t>2002</w:t>
            </w:r>
          </w:p>
        </w:tc>
        <w:tc>
          <w:tcPr>
            <w:tcW w:w="1453" w:type="dxa"/>
            <w:tcBorders>
              <w:top w:val="single" w:sz="4" w:space="0" w:color="auto"/>
              <w:left w:val="nil"/>
              <w:bottom w:val="single" w:sz="4" w:space="0" w:color="auto"/>
              <w:right w:val="nil"/>
            </w:tcBorders>
            <w:shd w:val="clear" w:color="000000" w:fill="F2F2F2"/>
            <w:noWrap/>
            <w:vAlign w:val="center"/>
            <w:hideMark/>
          </w:tcPr>
          <w:p w14:paraId="6C759260" w14:textId="77777777" w:rsidR="004403D5" w:rsidRPr="00AF2A95" w:rsidRDefault="004403D5" w:rsidP="004403D5">
            <w:pPr>
              <w:jc w:val="center"/>
              <w:rPr>
                <w:b/>
                <w:bCs/>
              </w:rPr>
            </w:pPr>
            <w:r w:rsidRPr="00AF2A95">
              <w:rPr>
                <w:b/>
                <w:bCs/>
              </w:rPr>
              <w:t>2003</w:t>
            </w:r>
          </w:p>
        </w:tc>
      </w:tr>
      <w:tr w:rsidR="004403D5" w:rsidRPr="00AF2A95" w14:paraId="54295204" w14:textId="77777777" w:rsidTr="004403D5">
        <w:trPr>
          <w:trHeight w:val="70"/>
        </w:trPr>
        <w:tc>
          <w:tcPr>
            <w:tcW w:w="1066" w:type="dxa"/>
            <w:vMerge w:val="restart"/>
            <w:tcBorders>
              <w:top w:val="nil"/>
              <w:left w:val="nil"/>
              <w:bottom w:val="single" w:sz="4" w:space="0" w:color="000000"/>
              <w:right w:val="single" w:sz="4" w:space="0" w:color="auto"/>
            </w:tcBorders>
            <w:shd w:val="clear" w:color="auto" w:fill="auto"/>
            <w:noWrap/>
            <w:vAlign w:val="center"/>
            <w:hideMark/>
          </w:tcPr>
          <w:p w14:paraId="62D5033A" w14:textId="77777777" w:rsidR="004403D5" w:rsidRPr="00AF2A95" w:rsidRDefault="004403D5" w:rsidP="004403D5">
            <w:r w:rsidRPr="00AF2A95">
              <w:t>REC</w:t>
            </w:r>
          </w:p>
        </w:tc>
        <w:tc>
          <w:tcPr>
            <w:tcW w:w="2087" w:type="dxa"/>
            <w:tcBorders>
              <w:top w:val="nil"/>
              <w:left w:val="nil"/>
              <w:bottom w:val="nil"/>
              <w:right w:val="single" w:sz="4" w:space="0" w:color="auto"/>
            </w:tcBorders>
            <w:shd w:val="clear" w:color="auto" w:fill="auto"/>
            <w:noWrap/>
            <w:vAlign w:val="center"/>
            <w:hideMark/>
          </w:tcPr>
          <w:p w14:paraId="20E9B817" w14:textId="77777777" w:rsidR="004403D5" w:rsidRPr="00AF2A95" w:rsidRDefault="004403D5" w:rsidP="004403D5">
            <w:r w:rsidRPr="00AF2A95">
              <w:t>TCE/SC</w:t>
            </w:r>
          </w:p>
        </w:tc>
        <w:tc>
          <w:tcPr>
            <w:tcW w:w="1530" w:type="dxa"/>
            <w:tcBorders>
              <w:top w:val="nil"/>
              <w:left w:val="nil"/>
              <w:bottom w:val="nil"/>
              <w:right w:val="single" w:sz="4" w:space="0" w:color="auto"/>
            </w:tcBorders>
            <w:shd w:val="clear" w:color="auto" w:fill="auto"/>
            <w:noWrap/>
            <w:vAlign w:val="center"/>
            <w:hideMark/>
          </w:tcPr>
          <w:p w14:paraId="41481309" w14:textId="77777777" w:rsidR="004403D5" w:rsidRPr="00AF2A95" w:rsidRDefault="004403D5" w:rsidP="004403D5">
            <w:pPr>
              <w:jc w:val="right"/>
            </w:pPr>
            <w:r w:rsidRPr="00AF2A95">
              <w:t>2.227.445.808</w:t>
            </w:r>
          </w:p>
        </w:tc>
        <w:tc>
          <w:tcPr>
            <w:tcW w:w="1499" w:type="dxa"/>
            <w:tcBorders>
              <w:top w:val="nil"/>
              <w:left w:val="nil"/>
              <w:bottom w:val="nil"/>
              <w:right w:val="single" w:sz="4" w:space="0" w:color="auto"/>
            </w:tcBorders>
            <w:shd w:val="clear" w:color="auto" w:fill="auto"/>
            <w:noWrap/>
            <w:vAlign w:val="center"/>
            <w:hideMark/>
          </w:tcPr>
          <w:p w14:paraId="050F2175" w14:textId="77777777" w:rsidR="004403D5" w:rsidRPr="00AF2A95" w:rsidRDefault="004403D5" w:rsidP="004403D5">
            <w:pPr>
              <w:jc w:val="right"/>
            </w:pPr>
            <w:r w:rsidRPr="00AF2A95">
              <w:t>3.152.854.896</w:t>
            </w:r>
          </w:p>
        </w:tc>
        <w:tc>
          <w:tcPr>
            <w:tcW w:w="1437" w:type="dxa"/>
            <w:tcBorders>
              <w:top w:val="nil"/>
              <w:left w:val="nil"/>
              <w:bottom w:val="nil"/>
              <w:right w:val="single" w:sz="4" w:space="0" w:color="auto"/>
            </w:tcBorders>
            <w:shd w:val="clear" w:color="000000" w:fill="FFFFFF"/>
            <w:noWrap/>
            <w:vAlign w:val="center"/>
            <w:hideMark/>
          </w:tcPr>
          <w:p w14:paraId="3083292C" w14:textId="77777777" w:rsidR="004403D5" w:rsidRPr="00AF2A95" w:rsidRDefault="004403D5" w:rsidP="004403D5">
            <w:pPr>
              <w:jc w:val="right"/>
            </w:pPr>
            <w:r w:rsidRPr="00AF2A95">
              <w:t>3.681.297.103</w:t>
            </w:r>
          </w:p>
        </w:tc>
        <w:tc>
          <w:tcPr>
            <w:tcW w:w="1453" w:type="dxa"/>
            <w:tcBorders>
              <w:top w:val="nil"/>
              <w:left w:val="nil"/>
              <w:bottom w:val="nil"/>
              <w:right w:val="nil"/>
            </w:tcBorders>
            <w:shd w:val="clear" w:color="auto" w:fill="auto"/>
            <w:noWrap/>
            <w:vAlign w:val="center"/>
            <w:hideMark/>
          </w:tcPr>
          <w:p w14:paraId="32CF4225" w14:textId="77777777" w:rsidR="004403D5" w:rsidRPr="00AF2A95" w:rsidRDefault="004403D5" w:rsidP="004403D5">
            <w:pPr>
              <w:jc w:val="right"/>
            </w:pPr>
            <w:r w:rsidRPr="00AF2A95">
              <w:t>4.407.528.459</w:t>
            </w:r>
          </w:p>
        </w:tc>
      </w:tr>
      <w:tr w:rsidR="004403D5" w:rsidRPr="00AF2A95" w14:paraId="28727AB5" w14:textId="77777777" w:rsidTr="004403D5">
        <w:trPr>
          <w:trHeight w:val="70"/>
        </w:trPr>
        <w:tc>
          <w:tcPr>
            <w:tcW w:w="1066" w:type="dxa"/>
            <w:vMerge/>
            <w:tcBorders>
              <w:top w:val="nil"/>
              <w:left w:val="nil"/>
              <w:bottom w:val="single" w:sz="4" w:space="0" w:color="000000"/>
              <w:right w:val="single" w:sz="4" w:space="0" w:color="auto"/>
            </w:tcBorders>
            <w:vAlign w:val="center"/>
            <w:hideMark/>
          </w:tcPr>
          <w:p w14:paraId="503C55B8" w14:textId="77777777" w:rsidR="004403D5" w:rsidRPr="00AF2A95" w:rsidRDefault="004403D5" w:rsidP="004403D5"/>
        </w:tc>
        <w:tc>
          <w:tcPr>
            <w:tcW w:w="2087" w:type="dxa"/>
            <w:tcBorders>
              <w:top w:val="nil"/>
              <w:left w:val="nil"/>
              <w:bottom w:val="single" w:sz="4" w:space="0" w:color="auto"/>
              <w:right w:val="single" w:sz="4" w:space="0" w:color="auto"/>
            </w:tcBorders>
            <w:shd w:val="clear" w:color="auto" w:fill="auto"/>
            <w:noWrap/>
            <w:vAlign w:val="center"/>
            <w:hideMark/>
          </w:tcPr>
          <w:p w14:paraId="35B14DC2" w14:textId="77777777" w:rsidR="004403D5" w:rsidRPr="00AF2A95" w:rsidRDefault="004403D5" w:rsidP="004403D5">
            <w:r w:rsidRPr="00AF2A95">
              <w:t>SEF/SC</w:t>
            </w:r>
          </w:p>
        </w:tc>
        <w:tc>
          <w:tcPr>
            <w:tcW w:w="1530" w:type="dxa"/>
            <w:tcBorders>
              <w:top w:val="nil"/>
              <w:left w:val="nil"/>
              <w:bottom w:val="single" w:sz="4" w:space="0" w:color="auto"/>
              <w:right w:val="single" w:sz="4" w:space="0" w:color="auto"/>
            </w:tcBorders>
            <w:shd w:val="clear" w:color="auto" w:fill="auto"/>
            <w:noWrap/>
            <w:vAlign w:val="center"/>
            <w:hideMark/>
          </w:tcPr>
          <w:p w14:paraId="6E00E41D" w14:textId="77777777" w:rsidR="004403D5" w:rsidRPr="00AF2A95" w:rsidRDefault="004403D5" w:rsidP="004403D5">
            <w:pPr>
              <w:jc w:val="center"/>
            </w:pPr>
            <w:r w:rsidRPr="00AF2A95">
              <w:t>ND</w:t>
            </w:r>
          </w:p>
        </w:tc>
        <w:tc>
          <w:tcPr>
            <w:tcW w:w="1499" w:type="dxa"/>
            <w:tcBorders>
              <w:top w:val="nil"/>
              <w:left w:val="nil"/>
              <w:bottom w:val="single" w:sz="4" w:space="0" w:color="auto"/>
              <w:right w:val="single" w:sz="4" w:space="0" w:color="auto"/>
            </w:tcBorders>
            <w:shd w:val="clear" w:color="auto" w:fill="auto"/>
            <w:noWrap/>
            <w:vAlign w:val="center"/>
            <w:hideMark/>
          </w:tcPr>
          <w:p w14:paraId="333C282B" w14:textId="77777777" w:rsidR="004403D5" w:rsidRPr="00AF2A95" w:rsidRDefault="004403D5" w:rsidP="004403D5">
            <w:pPr>
              <w:jc w:val="center"/>
            </w:pPr>
            <w:r w:rsidRPr="00AF2A95">
              <w:t>ND</w:t>
            </w:r>
          </w:p>
        </w:tc>
        <w:tc>
          <w:tcPr>
            <w:tcW w:w="1437" w:type="dxa"/>
            <w:tcBorders>
              <w:top w:val="nil"/>
              <w:left w:val="nil"/>
              <w:bottom w:val="single" w:sz="4" w:space="0" w:color="auto"/>
              <w:right w:val="single" w:sz="4" w:space="0" w:color="auto"/>
            </w:tcBorders>
            <w:shd w:val="clear" w:color="auto" w:fill="auto"/>
            <w:vAlign w:val="center"/>
            <w:hideMark/>
          </w:tcPr>
          <w:p w14:paraId="25DDC85F" w14:textId="77777777" w:rsidR="004403D5" w:rsidRPr="00AF2A95" w:rsidRDefault="004403D5" w:rsidP="004403D5">
            <w:pPr>
              <w:jc w:val="right"/>
            </w:pPr>
            <w:r w:rsidRPr="00AF2A95">
              <w:t>3.228.574.968</w:t>
            </w:r>
          </w:p>
        </w:tc>
        <w:tc>
          <w:tcPr>
            <w:tcW w:w="1453" w:type="dxa"/>
            <w:tcBorders>
              <w:top w:val="nil"/>
              <w:left w:val="nil"/>
              <w:bottom w:val="single" w:sz="4" w:space="0" w:color="auto"/>
              <w:right w:val="nil"/>
            </w:tcBorders>
            <w:shd w:val="clear" w:color="auto" w:fill="auto"/>
            <w:noWrap/>
            <w:vAlign w:val="center"/>
            <w:hideMark/>
          </w:tcPr>
          <w:p w14:paraId="485CBAAE" w14:textId="77777777" w:rsidR="004403D5" w:rsidRPr="00AF2A95" w:rsidRDefault="004403D5" w:rsidP="004403D5">
            <w:pPr>
              <w:jc w:val="right"/>
            </w:pPr>
            <w:r w:rsidRPr="00AF2A95">
              <w:t>4.407.639.000</w:t>
            </w:r>
          </w:p>
        </w:tc>
      </w:tr>
      <w:tr w:rsidR="004403D5" w:rsidRPr="00AF2A95" w14:paraId="1A7C6EEF" w14:textId="77777777" w:rsidTr="004403D5">
        <w:trPr>
          <w:trHeight w:val="70"/>
        </w:trPr>
        <w:tc>
          <w:tcPr>
            <w:tcW w:w="1066" w:type="dxa"/>
            <w:vMerge w:val="restart"/>
            <w:tcBorders>
              <w:top w:val="nil"/>
              <w:left w:val="nil"/>
              <w:bottom w:val="single" w:sz="4" w:space="0" w:color="auto"/>
              <w:right w:val="single" w:sz="4" w:space="0" w:color="auto"/>
            </w:tcBorders>
            <w:shd w:val="clear" w:color="auto" w:fill="auto"/>
            <w:noWrap/>
            <w:vAlign w:val="center"/>
            <w:hideMark/>
          </w:tcPr>
          <w:p w14:paraId="4ADA2EE5" w14:textId="77777777" w:rsidR="004403D5" w:rsidRPr="00AF2A95" w:rsidRDefault="004403D5" w:rsidP="004403D5">
            <w:r w:rsidRPr="00AF2A95">
              <w:t>DEC</w:t>
            </w:r>
          </w:p>
        </w:tc>
        <w:tc>
          <w:tcPr>
            <w:tcW w:w="2087" w:type="dxa"/>
            <w:tcBorders>
              <w:top w:val="nil"/>
              <w:left w:val="nil"/>
              <w:bottom w:val="nil"/>
              <w:right w:val="single" w:sz="4" w:space="0" w:color="auto"/>
            </w:tcBorders>
            <w:shd w:val="clear" w:color="auto" w:fill="auto"/>
            <w:noWrap/>
            <w:vAlign w:val="center"/>
            <w:hideMark/>
          </w:tcPr>
          <w:p w14:paraId="2F45E96C" w14:textId="77777777" w:rsidR="004403D5" w:rsidRPr="00AF2A95" w:rsidRDefault="004403D5" w:rsidP="004403D5">
            <w:r w:rsidRPr="00AF2A95">
              <w:t>TCE/SC</w:t>
            </w:r>
          </w:p>
        </w:tc>
        <w:tc>
          <w:tcPr>
            <w:tcW w:w="1530" w:type="dxa"/>
            <w:tcBorders>
              <w:top w:val="nil"/>
              <w:left w:val="nil"/>
              <w:bottom w:val="nil"/>
              <w:right w:val="single" w:sz="4" w:space="0" w:color="auto"/>
            </w:tcBorders>
            <w:shd w:val="clear" w:color="auto" w:fill="auto"/>
            <w:noWrap/>
            <w:vAlign w:val="center"/>
            <w:hideMark/>
          </w:tcPr>
          <w:p w14:paraId="2818B318" w14:textId="77777777" w:rsidR="004403D5" w:rsidRPr="00AF2A95" w:rsidRDefault="004403D5" w:rsidP="004403D5">
            <w:pPr>
              <w:jc w:val="right"/>
            </w:pPr>
            <w:r w:rsidRPr="00AF2A95">
              <w:t>138.474.779</w:t>
            </w:r>
          </w:p>
        </w:tc>
        <w:tc>
          <w:tcPr>
            <w:tcW w:w="1499" w:type="dxa"/>
            <w:tcBorders>
              <w:top w:val="nil"/>
              <w:left w:val="nil"/>
              <w:bottom w:val="nil"/>
              <w:right w:val="single" w:sz="4" w:space="0" w:color="auto"/>
            </w:tcBorders>
            <w:shd w:val="clear" w:color="auto" w:fill="auto"/>
            <w:noWrap/>
            <w:vAlign w:val="center"/>
            <w:hideMark/>
          </w:tcPr>
          <w:p w14:paraId="569B77E9" w14:textId="77777777" w:rsidR="004403D5" w:rsidRPr="00AF2A95" w:rsidRDefault="004403D5" w:rsidP="004403D5">
            <w:pPr>
              <w:jc w:val="right"/>
            </w:pPr>
            <w:r w:rsidRPr="00AF2A95">
              <w:t>238.948.488</w:t>
            </w:r>
          </w:p>
        </w:tc>
        <w:tc>
          <w:tcPr>
            <w:tcW w:w="1437" w:type="dxa"/>
            <w:tcBorders>
              <w:top w:val="nil"/>
              <w:left w:val="nil"/>
              <w:bottom w:val="nil"/>
              <w:right w:val="single" w:sz="4" w:space="0" w:color="auto"/>
            </w:tcBorders>
            <w:shd w:val="clear" w:color="auto" w:fill="auto"/>
            <w:noWrap/>
            <w:vAlign w:val="center"/>
            <w:hideMark/>
          </w:tcPr>
          <w:p w14:paraId="2553F778" w14:textId="77777777" w:rsidR="004403D5" w:rsidRPr="00AF2A95" w:rsidRDefault="004403D5" w:rsidP="004403D5">
            <w:pPr>
              <w:jc w:val="right"/>
            </w:pPr>
            <w:r w:rsidRPr="00AF2A95">
              <w:t>305.945.210</w:t>
            </w:r>
          </w:p>
        </w:tc>
        <w:tc>
          <w:tcPr>
            <w:tcW w:w="1453" w:type="dxa"/>
            <w:tcBorders>
              <w:top w:val="nil"/>
              <w:left w:val="nil"/>
              <w:bottom w:val="nil"/>
              <w:right w:val="nil"/>
            </w:tcBorders>
            <w:shd w:val="clear" w:color="auto" w:fill="auto"/>
            <w:noWrap/>
            <w:vAlign w:val="center"/>
            <w:hideMark/>
          </w:tcPr>
          <w:p w14:paraId="2149778F" w14:textId="77777777" w:rsidR="004403D5" w:rsidRPr="00AF2A95" w:rsidRDefault="004403D5" w:rsidP="004403D5">
            <w:pPr>
              <w:jc w:val="right"/>
            </w:pPr>
            <w:r w:rsidRPr="00AF2A95">
              <w:t>491.139.978</w:t>
            </w:r>
          </w:p>
        </w:tc>
      </w:tr>
      <w:tr w:rsidR="004403D5" w:rsidRPr="00AF2A95" w14:paraId="6FDBF772" w14:textId="77777777" w:rsidTr="004403D5">
        <w:trPr>
          <w:trHeight w:val="70"/>
        </w:trPr>
        <w:tc>
          <w:tcPr>
            <w:tcW w:w="1066" w:type="dxa"/>
            <w:vMerge/>
            <w:tcBorders>
              <w:top w:val="nil"/>
              <w:left w:val="nil"/>
              <w:bottom w:val="single" w:sz="4" w:space="0" w:color="auto"/>
              <w:right w:val="single" w:sz="4" w:space="0" w:color="auto"/>
            </w:tcBorders>
            <w:vAlign w:val="center"/>
            <w:hideMark/>
          </w:tcPr>
          <w:p w14:paraId="32B89354" w14:textId="77777777" w:rsidR="004403D5" w:rsidRPr="00AF2A95" w:rsidRDefault="004403D5" w:rsidP="004403D5"/>
        </w:tc>
        <w:tc>
          <w:tcPr>
            <w:tcW w:w="2087" w:type="dxa"/>
            <w:tcBorders>
              <w:top w:val="nil"/>
              <w:left w:val="nil"/>
              <w:bottom w:val="single" w:sz="4" w:space="0" w:color="auto"/>
              <w:right w:val="single" w:sz="4" w:space="0" w:color="auto"/>
            </w:tcBorders>
            <w:shd w:val="clear" w:color="auto" w:fill="auto"/>
            <w:noWrap/>
            <w:vAlign w:val="center"/>
            <w:hideMark/>
          </w:tcPr>
          <w:p w14:paraId="6DF8C272" w14:textId="77777777" w:rsidR="004403D5" w:rsidRPr="00AF2A95" w:rsidRDefault="004403D5" w:rsidP="004403D5">
            <w:r w:rsidRPr="00AF2A95">
              <w:t>SEF/SC</w:t>
            </w:r>
          </w:p>
        </w:tc>
        <w:tc>
          <w:tcPr>
            <w:tcW w:w="1530" w:type="dxa"/>
            <w:tcBorders>
              <w:top w:val="nil"/>
              <w:left w:val="nil"/>
              <w:bottom w:val="single" w:sz="4" w:space="0" w:color="auto"/>
              <w:right w:val="single" w:sz="4" w:space="0" w:color="auto"/>
            </w:tcBorders>
            <w:shd w:val="clear" w:color="auto" w:fill="auto"/>
            <w:noWrap/>
            <w:vAlign w:val="center"/>
            <w:hideMark/>
          </w:tcPr>
          <w:p w14:paraId="7B4893CF" w14:textId="77777777" w:rsidR="004403D5" w:rsidRPr="00AF2A95" w:rsidRDefault="004403D5" w:rsidP="004403D5">
            <w:pPr>
              <w:jc w:val="center"/>
            </w:pPr>
            <w:r w:rsidRPr="00AF2A95">
              <w:t>ND</w:t>
            </w:r>
          </w:p>
        </w:tc>
        <w:tc>
          <w:tcPr>
            <w:tcW w:w="1499" w:type="dxa"/>
            <w:tcBorders>
              <w:top w:val="nil"/>
              <w:left w:val="nil"/>
              <w:bottom w:val="single" w:sz="4" w:space="0" w:color="auto"/>
              <w:right w:val="single" w:sz="4" w:space="0" w:color="auto"/>
            </w:tcBorders>
            <w:shd w:val="clear" w:color="auto" w:fill="auto"/>
            <w:noWrap/>
            <w:vAlign w:val="center"/>
            <w:hideMark/>
          </w:tcPr>
          <w:p w14:paraId="2A5B6AE8" w14:textId="77777777" w:rsidR="004403D5" w:rsidRPr="00AF2A95" w:rsidRDefault="004403D5" w:rsidP="004403D5">
            <w:pPr>
              <w:jc w:val="center"/>
            </w:pPr>
            <w:r w:rsidRPr="00AF2A95">
              <w:t>ND</w:t>
            </w:r>
          </w:p>
        </w:tc>
        <w:tc>
          <w:tcPr>
            <w:tcW w:w="1437" w:type="dxa"/>
            <w:tcBorders>
              <w:top w:val="nil"/>
              <w:left w:val="nil"/>
              <w:bottom w:val="single" w:sz="4" w:space="0" w:color="auto"/>
              <w:right w:val="single" w:sz="4" w:space="0" w:color="auto"/>
            </w:tcBorders>
            <w:shd w:val="clear" w:color="auto" w:fill="auto"/>
            <w:vAlign w:val="center"/>
            <w:hideMark/>
          </w:tcPr>
          <w:p w14:paraId="1020FFC1" w14:textId="77777777" w:rsidR="004403D5" w:rsidRPr="00AF2A95" w:rsidRDefault="004403D5" w:rsidP="004403D5">
            <w:pPr>
              <w:jc w:val="right"/>
            </w:pPr>
            <w:r w:rsidRPr="00AF2A95">
              <w:t>289.283.503</w:t>
            </w:r>
          </w:p>
        </w:tc>
        <w:tc>
          <w:tcPr>
            <w:tcW w:w="1453" w:type="dxa"/>
            <w:tcBorders>
              <w:top w:val="nil"/>
              <w:left w:val="nil"/>
              <w:bottom w:val="single" w:sz="4" w:space="0" w:color="auto"/>
              <w:right w:val="nil"/>
            </w:tcBorders>
            <w:shd w:val="clear" w:color="auto" w:fill="auto"/>
            <w:noWrap/>
            <w:vAlign w:val="center"/>
            <w:hideMark/>
          </w:tcPr>
          <w:p w14:paraId="5D004ECD" w14:textId="77777777" w:rsidR="004403D5" w:rsidRPr="00AF2A95" w:rsidRDefault="004403D5" w:rsidP="004403D5">
            <w:pPr>
              <w:jc w:val="right"/>
            </w:pPr>
            <w:r w:rsidRPr="00AF2A95">
              <w:t>472.299.000</w:t>
            </w:r>
          </w:p>
        </w:tc>
      </w:tr>
      <w:tr w:rsidR="004403D5" w:rsidRPr="00AF2A95" w14:paraId="1CA1FED8" w14:textId="77777777" w:rsidTr="004403D5">
        <w:trPr>
          <w:trHeight w:val="70"/>
        </w:trPr>
        <w:tc>
          <w:tcPr>
            <w:tcW w:w="1066" w:type="dxa"/>
            <w:vMerge w:val="restart"/>
            <w:tcBorders>
              <w:top w:val="nil"/>
              <w:left w:val="nil"/>
              <w:bottom w:val="single" w:sz="4" w:space="0" w:color="auto"/>
              <w:right w:val="single" w:sz="4" w:space="0" w:color="auto"/>
            </w:tcBorders>
            <w:shd w:val="clear" w:color="auto" w:fill="auto"/>
            <w:vAlign w:val="center"/>
            <w:hideMark/>
          </w:tcPr>
          <w:p w14:paraId="64B0BC9C" w14:textId="77777777" w:rsidR="004403D5" w:rsidRPr="00AF2A95" w:rsidRDefault="004403D5" w:rsidP="004403D5">
            <w:r w:rsidRPr="00AF2A95">
              <w:t>Aplicação em Saúde</w:t>
            </w:r>
          </w:p>
        </w:tc>
        <w:tc>
          <w:tcPr>
            <w:tcW w:w="2087" w:type="dxa"/>
            <w:tcBorders>
              <w:top w:val="nil"/>
              <w:left w:val="nil"/>
              <w:bottom w:val="nil"/>
              <w:right w:val="single" w:sz="4" w:space="0" w:color="auto"/>
            </w:tcBorders>
            <w:shd w:val="clear" w:color="auto" w:fill="auto"/>
            <w:noWrap/>
            <w:vAlign w:val="center"/>
            <w:hideMark/>
          </w:tcPr>
          <w:p w14:paraId="6B409199" w14:textId="77777777" w:rsidR="004403D5" w:rsidRPr="00AF2A95" w:rsidRDefault="004403D5" w:rsidP="004403D5">
            <w:r w:rsidRPr="00AF2A95">
              <w:t>TCE/SC</w:t>
            </w:r>
          </w:p>
        </w:tc>
        <w:tc>
          <w:tcPr>
            <w:tcW w:w="1530" w:type="dxa"/>
            <w:tcBorders>
              <w:top w:val="nil"/>
              <w:left w:val="nil"/>
              <w:bottom w:val="nil"/>
              <w:right w:val="single" w:sz="4" w:space="0" w:color="auto"/>
            </w:tcBorders>
            <w:shd w:val="clear" w:color="auto" w:fill="auto"/>
            <w:noWrap/>
            <w:vAlign w:val="center"/>
            <w:hideMark/>
          </w:tcPr>
          <w:p w14:paraId="271E8E20" w14:textId="77777777" w:rsidR="004403D5" w:rsidRPr="00AF2A95" w:rsidRDefault="004403D5" w:rsidP="004403D5">
            <w:pPr>
              <w:jc w:val="center"/>
            </w:pPr>
            <w:r w:rsidRPr="00AF2A95">
              <w:t>6,22%</w:t>
            </w:r>
          </w:p>
        </w:tc>
        <w:tc>
          <w:tcPr>
            <w:tcW w:w="1499" w:type="dxa"/>
            <w:tcBorders>
              <w:top w:val="nil"/>
              <w:left w:val="nil"/>
              <w:bottom w:val="nil"/>
              <w:right w:val="single" w:sz="4" w:space="0" w:color="auto"/>
            </w:tcBorders>
            <w:shd w:val="clear" w:color="auto" w:fill="auto"/>
            <w:noWrap/>
            <w:vAlign w:val="center"/>
            <w:hideMark/>
          </w:tcPr>
          <w:p w14:paraId="5A3F18B2" w14:textId="77777777" w:rsidR="004403D5" w:rsidRPr="00AF2A95" w:rsidRDefault="004403D5" w:rsidP="004403D5">
            <w:pPr>
              <w:jc w:val="center"/>
            </w:pPr>
            <w:r w:rsidRPr="00AF2A95">
              <w:t>7,58%</w:t>
            </w:r>
          </w:p>
        </w:tc>
        <w:tc>
          <w:tcPr>
            <w:tcW w:w="1437" w:type="dxa"/>
            <w:tcBorders>
              <w:top w:val="nil"/>
              <w:left w:val="nil"/>
              <w:bottom w:val="nil"/>
              <w:right w:val="single" w:sz="4" w:space="0" w:color="auto"/>
            </w:tcBorders>
            <w:shd w:val="clear" w:color="auto" w:fill="auto"/>
            <w:noWrap/>
            <w:vAlign w:val="center"/>
            <w:hideMark/>
          </w:tcPr>
          <w:p w14:paraId="41A351E9" w14:textId="77777777" w:rsidR="004403D5" w:rsidRPr="00AF2A95" w:rsidRDefault="004403D5" w:rsidP="004403D5">
            <w:pPr>
              <w:jc w:val="center"/>
            </w:pPr>
            <w:r w:rsidRPr="00AF2A95">
              <w:t>8,31%</w:t>
            </w:r>
          </w:p>
        </w:tc>
        <w:tc>
          <w:tcPr>
            <w:tcW w:w="1453" w:type="dxa"/>
            <w:tcBorders>
              <w:top w:val="nil"/>
              <w:left w:val="nil"/>
              <w:bottom w:val="nil"/>
              <w:right w:val="nil"/>
            </w:tcBorders>
            <w:shd w:val="clear" w:color="auto" w:fill="auto"/>
            <w:noWrap/>
            <w:vAlign w:val="center"/>
            <w:hideMark/>
          </w:tcPr>
          <w:p w14:paraId="318A2B0A" w14:textId="77777777" w:rsidR="004403D5" w:rsidRPr="00AF2A95" w:rsidRDefault="004403D5" w:rsidP="004403D5">
            <w:pPr>
              <w:jc w:val="center"/>
            </w:pPr>
            <w:r w:rsidRPr="00AF2A95">
              <w:t>11,14%</w:t>
            </w:r>
          </w:p>
        </w:tc>
      </w:tr>
      <w:tr w:rsidR="004403D5" w:rsidRPr="00AF2A95" w14:paraId="389B67E0" w14:textId="77777777" w:rsidTr="004403D5">
        <w:trPr>
          <w:trHeight w:val="70"/>
        </w:trPr>
        <w:tc>
          <w:tcPr>
            <w:tcW w:w="1066" w:type="dxa"/>
            <w:vMerge/>
            <w:tcBorders>
              <w:top w:val="nil"/>
              <w:left w:val="nil"/>
              <w:bottom w:val="single" w:sz="4" w:space="0" w:color="auto"/>
              <w:right w:val="single" w:sz="4" w:space="0" w:color="auto"/>
            </w:tcBorders>
            <w:vAlign w:val="center"/>
            <w:hideMark/>
          </w:tcPr>
          <w:p w14:paraId="0DBA60A4" w14:textId="77777777" w:rsidR="004403D5" w:rsidRPr="00AF2A95" w:rsidRDefault="004403D5" w:rsidP="004403D5"/>
        </w:tc>
        <w:tc>
          <w:tcPr>
            <w:tcW w:w="2087" w:type="dxa"/>
            <w:tcBorders>
              <w:top w:val="nil"/>
              <w:left w:val="nil"/>
              <w:bottom w:val="single" w:sz="4" w:space="0" w:color="auto"/>
              <w:right w:val="single" w:sz="4" w:space="0" w:color="auto"/>
            </w:tcBorders>
            <w:shd w:val="clear" w:color="auto" w:fill="auto"/>
            <w:noWrap/>
            <w:vAlign w:val="center"/>
            <w:hideMark/>
          </w:tcPr>
          <w:p w14:paraId="421A2196" w14:textId="77777777" w:rsidR="004403D5" w:rsidRPr="00AF2A95" w:rsidRDefault="004403D5" w:rsidP="004403D5">
            <w:r w:rsidRPr="00AF2A95">
              <w:t>SEF/SC</w:t>
            </w:r>
          </w:p>
        </w:tc>
        <w:tc>
          <w:tcPr>
            <w:tcW w:w="1530" w:type="dxa"/>
            <w:tcBorders>
              <w:top w:val="nil"/>
              <w:left w:val="nil"/>
              <w:bottom w:val="single" w:sz="4" w:space="0" w:color="auto"/>
              <w:right w:val="single" w:sz="4" w:space="0" w:color="auto"/>
            </w:tcBorders>
            <w:shd w:val="clear" w:color="auto" w:fill="auto"/>
            <w:noWrap/>
            <w:vAlign w:val="center"/>
            <w:hideMark/>
          </w:tcPr>
          <w:p w14:paraId="7F873F32" w14:textId="77777777" w:rsidR="004403D5" w:rsidRPr="00AF2A95" w:rsidRDefault="004403D5" w:rsidP="004403D5">
            <w:pPr>
              <w:jc w:val="center"/>
            </w:pPr>
            <w:r w:rsidRPr="00AF2A95">
              <w:t> ND</w:t>
            </w:r>
          </w:p>
        </w:tc>
        <w:tc>
          <w:tcPr>
            <w:tcW w:w="1499" w:type="dxa"/>
            <w:tcBorders>
              <w:top w:val="nil"/>
              <w:left w:val="nil"/>
              <w:bottom w:val="single" w:sz="4" w:space="0" w:color="auto"/>
              <w:right w:val="single" w:sz="4" w:space="0" w:color="auto"/>
            </w:tcBorders>
            <w:shd w:val="clear" w:color="auto" w:fill="auto"/>
            <w:noWrap/>
            <w:vAlign w:val="center"/>
            <w:hideMark/>
          </w:tcPr>
          <w:p w14:paraId="02905ADA" w14:textId="77777777" w:rsidR="004403D5" w:rsidRPr="00AF2A95" w:rsidRDefault="004403D5" w:rsidP="004403D5">
            <w:pPr>
              <w:jc w:val="center"/>
            </w:pPr>
            <w:r w:rsidRPr="00AF2A95">
              <w:t>ND</w:t>
            </w:r>
          </w:p>
        </w:tc>
        <w:tc>
          <w:tcPr>
            <w:tcW w:w="1437" w:type="dxa"/>
            <w:tcBorders>
              <w:top w:val="nil"/>
              <w:left w:val="nil"/>
              <w:bottom w:val="single" w:sz="4" w:space="0" w:color="auto"/>
              <w:right w:val="single" w:sz="4" w:space="0" w:color="auto"/>
            </w:tcBorders>
            <w:shd w:val="clear" w:color="auto" w:fill="auto"/>
            <w:noWrap/>
            <w:vAlign w:val="center"/>
            <w:hideMark/>
          </w:tcPr>
          <w:p w14:paraId="76FA1012" w14:textId="77777777" w:rsidR="004403D5" w:rsidRPr="00AF2A95" w:rsidRDefault="004403D5" w:rsidP="004403D5">
            <w:pPr>
              <w:jc w:val="center"/>
            </w:pPr>
            <w:r w:rsidRPr="00AF2A95">
              <w:t>8,96%</w:t>
            </w:r>
          </w:p>
        </w:tc>
        <w:tc>
          <w:tcPr>
            <w:tcW w:w="1453" w:type="dxa"/>
            <w:tcBorders>
              <w:top w:val="nil"/>
              <w:left w:val="nil"/>
              <w:bottom w:val="single" w:sz="4" w:space="0" w:color="auto"/>
              <w:right w:val="nil"/>
            </w:tcBorders>
            <w:shd w:val="clear" w:color="auto" w:fill="auto"/>
            <w:noWrap/>
            <w:vAlign w:val="center"/>
            <w:hideMark/>
          </w:tcPr>
          <w:p w14:paraId="72476931" w14:textId="77777777" w:rsidR="004403D5" w:rsidRPr="00AF2A95" w:rsidRDefault="004403D5" w:rsidP="004403D5">
            <w:pPr>
              <w:jc w:val="center"/>
            </w:pPr>
            <w:r w:rsidRPr="00AF2A95">
              <w:t>10,72%</w:t>
            </w:r>
          </w:p>
        </w:tc>
      </w:tr>
      <w:tr w:rsidR="004403D5" w:rsidRPr="00AF2A95" w14:paraId="79A2A4B1" w14:textId="77777777" w:rsidTr="004403D5">
        <w:trPr>
          <w:trHeight w:val="70"/>
        </w:trPr>
        <w:tc>
          <w:tcPr>
            <w:tcW w:w="3153" w:type="dxa"/>
            <w:gridSpan w:val="2"/>
            <w:tcBorders>
              <w:top w:val="single" w:sz="4" w:space="0" w:color="auto"/>
              <w:left w:val="nil"/>
              <w:bottom w:val="single" w:sz="4" w:space="0" w:color="auto"/>
              <w:right w:val="single" w:sz="4" w:space="0" w:color="000000"/>
            </w:tcBorders>
            <w:shd w:val="clear" w:color="auto" w:fill="auto"/>
            <w:vAlign w:val="center"/>
            <w:hideMark/>
          </w:tcPr>
          <w:p w14:paraId="3CECC595" w14:textId="77777777" w:rsidR="004403D5" w:rsidRPr="00AF2A95" w:rsidRDefault="004403D5" w:rsidP="004403D5">
            <w:r w:rsidRPr="00AF2A95">
              <w:t>Aplicação Mínima (LC n.º 141/2012)</w:t>
            </w:r>
          </w:p>
        </w:tc>
        <w:tc>
          <w:tcPr>
            <w:tcW w:w="1530" w:type="dxa"/>
            <w:tcBorders>
              <w:top w:val="nil"/>
              <w:left w:val="nil"/>
              <w:bottom w:val="single" w:sz="4" w:space="0" w:color="auto"/>
              <w:right w:val="single" w:sz="4" w:space="0" w:color="auto"/>
            </w:tcBorders>
            <w:shd w:val="clear" w:color="auto" w:fill="auto"/>
            <w:noWrap/>
            <w:vAlign w:val="center"/>
            <w:hideMark/>
          </w:tcPr>
          <w:p w14:paraId="6264AA5C" w14:textId="77777777" w:rsidR="004403D5" w:rsidRPr="00AF2A95" w:rsidRDefault="004403D5" w:rsidP="004403D5">
            <w:pPr>
              <w:jc w:val="center"/>
            </w:pPr>
            <w:r w:rsidRPr="00AF2A95">
              <w:t>7,00%</w:t>
            </w:r>
          </w:p>
        </w:tc>
        <w:tc>
          <w:tcPr>
            <w:tcW w:w="1499" w:type="dxa"/>
            <w:tcBorders>
              <w:top w:val="nil"/>
              <w:left w:val="nil"/>
              <w:bottom w:val="single" w:sz="4" w:space="0" w:color="auto"/>
              <w:right w:val="single" w:sz="4" w:space="0" w:color="auto"/>
            </w:tcBorders>
            <w:shd w:val="clear" w:color="auto" w:fill="auto"/>
            <w:noWrap/>
            <w:vAlign w:val="center"/>
            <w:hideMark/>
          </w:tcPr>
          <w:p w14:paraId="4AE88554" w14:textId="77777777" w:rsidR="004403D5" w:rsidRPr="00AF2A95" w:rsidRDefault="004403D5" w:rsidP="004403D5">
            <w:pPr>
              <w:jc w:val="center"/>
            </w:pPr>
            <w:r w:rsidRPr="00AF2A95">
              <w:t>8,00%</w:t>
            </w:r>
          </w:p>
        </w:tc>
        <w:tc>
          <w:tcPr>
            <w:tcW w:w="1437" w:type="dxa"/>
            <w:tcBorders>
              <w:top w:val="nil"/>
              <w:left w:val="nil"/>
              <w:bottom w:val="single" w:sz="4" w:space="0" w:color="auto"/>
              <w:right w:val="single" w:sz="4" w:space="0" w:color="auto"/>
            </w:tcBorders>
            <w:shd w:val="clear" w:color="auto" w:fill="auto"/>
            <w:noWrap/>
            <w:vAlign w:val="center"/>
            <w:hideMark/>
          </w:tcPr>
          <w:p w14:paraId="554FD5A9" w14:textId="77777777" w:rsidR="004403D5" w:rsidRPr="00AF2A95" w:rsidRDefault="004403D5" w:rsidP="004403D5">
            <w:pPr>
              <w:jc w:val="center"/>
            </w:pPr>
            <w:r w:rsidRPr="00AF2A95">
              <w:t>9,00%</w:t>
            </w:r>
          </w:p>
        </w:tc>
        <w:tc>
          <w:tcPr>
            <w:tcW w:w="1453" w:type="dxa"/>
            <w:tcBorders>
              <w:top w:val="nil"/>
              <w:left w:val="nil"/>
              <w:bottom w:val="single" w:sz="4" w:space="0" w:color="auto"/>
              <w:right w:val="nil"/>
            </w:tcBorders>
            <w:shd w:val="clear" w:color="auto" w:fill="auto"/>
            <w:noWrap/>
            <w:vAlign w:val="center"/>
            <w:hideMark/>
          </w:tcPr>
          <w:p w14:paraId="72C48EAE" w14:textId="77777777" w:rsidR="004403D5" w:rsidRPr="00AF2A95" w:rsidRDefault="004403D5" w:rsidP="004403D5">
            <w:pPr>
              <w:jc w:val="center"/>
            </w:pPr>
            <w:r w:rsidRPr="00AF2A95">
              <w:t>10,00%</w:t>
            </w:r>
          </w:p>
        </w:tc>
      </w:tr>
      <w:tr w:rsidR="004403D5" w:rsidRPr="00AF2A95" w14:paraId="4260C410" w14:textId="77777777" w:rsidTr="004403D5">
        <w:trPr>
          <w:trHeight w:val="70"/>
        </w:trPr>
        <w:tc>
          <w:tcPr>
            <w:tcW w:w="9072" w:type="dxa"/>
            <w:gridSpan w:val="6"/>
            <w:tcBorders>
              <w:top w:val="single" w:sz="4" w:space="0" w:color="auto"/>
              <w:left w:val="nil"/>
              <w:bottom w:val="single" w:sz="4" w:space="0" w:color="auto"/>
            </w:tcBorders>
            <w:shd w:val="clear" w:color="auto" w:fill="auto"/>
            <w:vAlign w:val="center"/>
          </w:tcPr>
          <w:p w14:paraId="6F950153" w14:textId="77777777" w:rsidR="004403D5" w:rsidRPr="00AF2A95" w:rsidRDefault="004403D5" w:rsidP="004403D5">
            <w:pPr>
              <w:jc w:val="center"/>
              <w:rPr>
                <w:sz w:val="10"/>
                <w:szCs w:val="10"/>
              </w:rPr>
            </w:pPr>
          </w:p>
        </w:tc>
      </w:tr>
      <w:tr w:rsidR="004403D5" w:rsidRPr="00AF2A95" w14:paraId="0E8968C4" w14:textId="77777777" w:rsidTr="004403D5">
        <w:trPr>
          <w:trHeight w:val="70"/>
        </w:trPr>
        <w:tc>
          <w:tcPr>
            <w:tcW w:w="1066" w:type="dxa"/>
            <w:tcBorders>
              <w:top w:val="nil"/>
              <w:left w:val="nil"/>
              <w:bottom w:val="single" w:sz="4" w:space="0" w:color="auto"/>
              <w:right w:val="single" w:sz="4" w:space="0" w:color="auto"/>
            </w:tcBorders>
            <w:shd w:val="clear" w:color="000000" w:fill="F2F2F2"/>
            <w:noWrap/>
            <w:vAlign w:val="center"/>
            <w:hideMark/>
          </w:tcPr>
          <w:p w14:paraId="154E7DD8" w14:textId="77777777" w:rsidR="004403D5" w:rsidRPr="00AF2A95" w:rsidRDefault="004403D5" w:rsidP="004403D5">
            <w:pPr>
              <w:jc w:val="center"/>
              <w:rPr>
                <w:b/>
                <w:bCs/>
              </w:rPr>
            </w:pPr>
            <w:r w:rsidRPr="00AF2A95">
              <w:rPr>
                <w:b/>
                <w:bCs/>
              </w:rPr>
              <w:t>Variáveis</w:t>
            </w:r>
          </w:p>
        </w:tc>
        <w:tc>
          <w:tcPr>
            <w:tcW w:w="2087" w:type="dxa"/>
            <w:tcBorders>
              <w:top w:val="nil"/>
              <w:left w:val="nil"/>
              <w:bottom w:val="single" w:sz="4" w:space="0" w:color="auto"/>
              <w:right w:val="single" w:sz="4" w:space="0" w:color="auto"/>
            </w:tcBorders>
            <w:shd w:val="clear" w:color="000000" w:fill="F2F2F2"/>
            <w:noWrap/>
            <w:vAlign w:val="center"/>
            <w:hideMark/>
          </w:tcPr>
          <w:p w14:paraId="7F3E8DBF" w14:textId="77777777" w:rsidR="004403D5" w:rsidRPr="00AF2A95" w:rsidRDefault="004403D5" w:rsidP="004403D5">
            <w:pPr>
              <w:jc w:val="center"/>
              <w:rPr>
                <w:b/>
                <w:bCs/>
              </w:rPr>
            </w:pPr>
            <w:r w:rsidRPr="00AF2A95">
              <w:rPr>
                <w:b/>
                <w:bCs/>
              </w:rPr>
              <w:t>Origens dos dados</w:t>
            </w:r>
          </w:p>
        </w:tc>
        <w:tc>
          <w:tcPr>
            <w:tcW w:w="1530" w:type="dxa"/>
            <w:tcBorders>
              <w:top w:val="nil"/>
              <w:left w:val="nil"/>
              <w:bottom w:val="single" w:sz="4" w:space="0" w:color="auto"/>
              <w:right w:val="single" w:sz="4" w:space="0" w:color="auto"/>
            </w:tcBorders>
            <w:shd w:val="clear" w:color="000000" w:fill="F2F2F2"/>
            <w:noWrap/>
            <w:vAlign w:val="center"/>
            <w:hideMark/>
          </w:tcPr>
          <w:p w14:paraId="1DD0E721" w14:textId="77777777" w:rsidR="004403D5" w:rsidRPr="00AF2A95" w:rsidRDefault="004403D5" w:rsidP="004403D5">
            <w:pPr>
              <w:jc w:val="center"/>
              <w:rPr>
                <w:b/>
                <w:bCs/>
              </w:rPr>
            </w:pPr>
            <w:r w:rsidRPr="00AF2A95">
              <w:rPr>
                <w:b/>
                <w:bCs/>
              </w:rPr>
              <w:t>2004</w:t>
            </w:r>
          </w:p>
        </w:tc>
        <w:tc>
          <w:tcPr>
            <w:tcW w:w="1499" w:type="dxa"/>
            <w:tcBorders>
              <w:top w:val="nil"/>
              <w:left w:val="nil"/>
              <w:bottom w:val="single" w:sz="4" w:space="0" w:color="auto"/>
              <w:right w:val="single" w:sz="4" w:space="0" w:color="auto"/>
            </w:tcBorders>
            <w:shd w:val="clear" w:color="000000" w:fill="F2F2F2"/>
            <w:noWrap/>
            <w:vAlign w:val="center"/>
            <w:hideMark/>
          </w:tcPr>
          <w:p w14:paraId="723F9183" w14:textId="77777777" w:rsidR="004403D5" w:rsidRPr="00AF2A95" w:rsidRDefault="004403D5" w:rsidP="004403D5">
            <w:pPr>
              <w:jc w:val="center"/>
              <w:rPr>
                <w:b/>
                <w:bCs/>
              </w:rPr>
            </w:pPr>
            <w:r w:rsidRPr="00AF2A95">
              <w:rPr>
                <w:b/>
                <w:bCs/>
              </w:rPr>
              <w:t>2005</w:t>
            </w:r>
          </w:p>
        </w:tc>
        <w:tc>
          <w:tcPr>
            <w:tcW w:w="1437" w:type="dxa"/>
            <w:tcBorders>
              <w:top w:val="nil"/>
              <w:left w:val="nil"/>
              <w:bottom w:val="single" w:sz="4" w:space="0" w:color="auto"/>
              <w:right w:val="single" w:sz="4" w:space="0" w:color="auto"/>
            </w:tcBorders>
            <w:shd w:val="clear" w:color="000000" w:fill="F2F2F2"/>
            <w:noWrap/>
            <w:vAlign w:val="center"/>
            <w:hideMark/>
          </w:tcPr>
          <w:p w14:paraId="0BBE3518" w14:textId="77777777" w:rsidR="004403D5" w:rsidRPr="00AF2A95" w:rsidRDefault="004403D5" w:rsidP="004403D5">
            <w:pPr>
              <w:jc w:val="center"/>
              <w:rPr>
                <w:b/>
                <w:bCs/>
              </w:rPr>
            </w:pPr>
            <w:r w:rsidRPr="00AF2A95">
              <w:rPr>
                <w:b/>
                <w:bCs/>
              </w:rPr>
              <w:t>2006</w:t>
            </w:r>
          </w:p>
        </w:tc>
        <w:tc>
          <w:tcPr>
            <w:tcW w:w="1453" w:type="dxa"/>
            <w:tcBorders>
              <w:top w:val="nil"/>
              <w:left w:val="nil"/>
              <w:bottom w:val="single" w:sz="4" w:space="0" w:color="auto"/>
              <w:right w:val="nil"/>
            </w:tcBorders>
            <w:shd w:val="clear" w:color="000000" w:fill="F2F2F2"/>
            <w:noWrap/>
            <w:vAlign w:val="center"/>
            <w:hideMark/>
          </w:tcPr>
          <w:p w14:paraId="1B079FC7" w14:textId="77777777" w:rsidR="004403D5" w:rsidRPr="00AF2A95" w:rsidRDefault="004403D5" w:rsidP="004403D5">
            <w:pPr>
              <w:jc w:val="center"/>
              <w:rPr>
                <w:b/>
                <w:bCs/>
              </w:rPr>
            </w:pPr>
            <w:r w:rsidRPr="00AF2A95">
              <w:rPr>
                <w:b/>
                <w:bCs/>
              </w:rPr>
              <w:t>2007</w:t>
            </w:r>
          </w:p>
        </w:tc>
      </w:tr>
      <w:tr w:rsidR="004403D5" w:rsidRPr="00AF2A95" w14:paraId="0B4D5EBC" w14:textId="77777777" w:rsidTr="004403D5">
        <w:trPr>
          <w:trHeight w:val="70"/>
        </w:trPr>
        <w:tc>
          <w:tcPr>
            <w:tcW w:w="1066" w:type="dxa"/>
            <w:vMerge w:val="restart"/>
            <w:tcBorders>
              <w:top w:val="nil"/>
              <w:left w:val="nil"/>
              <w:bottom w:val="single" w:sz="4" w:space="0" w:color="auto"/>
              <w:right w:val="single" w:sz="4" w:space="0" w:color="auto"/>
            </w:tcBorders>
            <w:shd w:val="clear" w:color="auto" w:fill="auto"/>
            <w:noWrap/>
            <w:vAlign w:val="center"/>
            <w:hideMark/>
          </w:tcPr>
          <w:p w14:paraId="4884E804" w14:textId="77777777" w:rsidR="004403D5" w:rsidRPr="00AF2A95" w:rsidRDefault="004403D5" w:rsidP="004403D5">
            <w:r w:rsidRPr="00AF2A95">
              <w:t>REC</w:t>
            </w:r>
          </w:p>
        </w:tc>
        <w:tc>
          <w:tcPr>
            <w:tcW w:w="2087" w:type="dxa"/>
            <w:tcBorders>
              <w:top w:val="nil"/>
              <w:left w:val="nil"/>
              <w:bottom w:val="nil"/>
              <w:right w:val="single" w:sz="4" w:space="0" w:color="auto"/>
            </w:tcBorders>
            <w:shd w:val="clear" w:color="auto" w:fill="auto"/>
            <w:noWrap/>
            <w:vAlign w:val="center"/>
            <w:hideMark/>
          </w:tcPr>
          <w:p w14:paraId="2DC5BFDD" w14:textId="77777777" w:rsidR="004403D5" w:rsidRPr="00AF2A95" w:rsidRDefault="004403D5" w:rsidP="004403D5">
            <w:r w:rsidRPr="00AF2A95">
              <w:t>TCE/SC</w:t>
            </w:r>
          </w:p>
        </w:tc>
        <w:tc>
          <w:tcPr>
            <w:tcW w:w="1530" w:type="dxa"/>
            <w:tcBorders>
              <w:top w:val="nil"/>
              <w:left w:val="nil"/>
              <w:bottom w:val="nil"/>
              <w:right w:val="single" w:sz="4" w:space="0" w:color="auto"/>
            </w:tcBorders>
            <w:shd w:val="clear" w:color="auto" w:fill="auto"/>
            <w:noWrap/>
            <w:vAlign w:val="center"/>
            <w:hideMark/>
          </w:tcPr>
          <w:p w14:paraId="165E5608" w14:textId="77777777" w:rsidR="004403D5" w:rsidRPr="00AF2A95" w:rsidRDefault="004403D5" w:rsidP="004403D5">
            <w:pPr>
              <w:jc w:val="right"/>
            </w:pPr>
            <w:r w:rsidRPr="00AF2A95">
              <w:t>4.845.970.027</w:t>
            </w:r>
          </w:p>
        </w:tc>
        <w:tc>
          <w:tcPr>
            <w:tcW w:w="1499" w:type="dxa"/>
            <w:tcBorders>
              <w:top w:val="nil"/>
              <w:left w:val="nil"/>
              <w:bottom w:val="nil"/>
              <w:right w:val="single" w:sz="4" w:space="0" w:color="auto"/>
            </w:tcBorders>
            <w:shd w:val="clear" w:color="auto" w:fill="auto"/>
            <w:noWrap/>
            <w:vAlign w:val="center"/>
            <w:hideMark/>
          </w:tcPr>
          <w:p w14:paraId="3C173517" w14:textId="77777777" w:rsidR="004403D5" w:rsidRPr="00AF2A95" w:rsidRDefault="004403D5" w:rsidP="004403D5">
            <w:pPr>
              <w:jc w:val="right"/>
            </w:pPr>
            <w:r w:rsidRPr="00AF2A95">
              <w:t>5.490.367.002</w:t>
            </w:r>
          </w:p>
        </w:tc>
        <w:tc>
          <w:tcPr>
            <w:tcW w:w="1437" w:type="dxa"/>
            <w:tcBorders>
              <w:top w:val="nil"/>
              <w:left w:val="nil"/>
              <w:bottom w:val="nil"/>
              <w:right w:val="single" w:sz="4" w:space="0" w:color="auto"/>
            </w:tcBorders>
            <w:shd w:val="clear" w:color="auto" w:fill="auto"/>
            <w:noWrap/>
            <w:vAlign w:val="center"/>
            <w:hideMark/>
          </w:tcPr>
          <w:p w14:paraId="615C986F" w14:textId="77777777" w:rsidR="004403D5" w:rsidRPr="00AF2A95" w:rsidRDefault="004403D5" w:rsidP="004403D5">
            <w:pPr>
              <w:jc w:val="right"/>
            </w:pPr>
            <w:r w:rsidRPr="00AF2A95">
              <w:t>5.885.357.263</w:t>
            </w:r>
          </w:p>
        </w:tc>
        <w:tc>
          <w:tcPr>
            <w:tcW w:w="1453" w:type="dxa"/>
            <w:tcBorders>
              <w:top w:val="nil"/>
              <w:left w:val="nil"/>
              <w:bottom w:val="nil"/>
              <w:right w:val="nil"/>
            </w:tcBorders>
            <w:shd w:val="clear" w:color="auto" w:fill="auto"/>
            <w:noWrap/>
            <w:vAlign w:val="center"/>
            <w:hideMark/>
          </w:tcPr>
          <w:p w14:paraId="3850B570" w14:textId="77777777" w:rsidR="004403D5" w:rsidRPr="00AF2A95" w:rsidRDefault="004403D5" w:rsidP="004403D5">
            <w:pPr>
              <w:jc w:val="right"/>
            </w:pPr>
            <w:r w:rsidRPr="00AF2A95">
              <w:t>6.602.950.304</w:t>
            </w:r>
          </w:p>
        </w:tc>
      </w:tr>
      <w:tr w:rsidR="004403D5" w:rsidRPr="00AF2A95" w14:paraId="4794C57A" w14:textId="77777777" w:rsidTr="004403D5">
        <w:trPr>
          <w:trHeight w:val="70"/>
        </w:trPr>
        <w:tc>
          <w:tcPr>
            <w:tcW w:w="1066" w:type="dxa"/>
            <w:vMerge/>
            <w:tcBorders>
              <w:top w:val="nil"/>
              <w:left w:val="nil"/>
              <w:bottom w:val="single" w:sz="4" w:space="0" w:color="auto"/>
              <w:right w:val="single" w:sz="4" w:space="0" w:color="auto"/>
            </w:tcBorders>
            <w:vAlign w:val="center"/>
            <w:hideMark/>
          </w:tcPr>
          <w:p w14:paraId="32380BFE" w14:textId="77777777" w:rsidR="004403D5" w:rsidRPr="00AF2A95" w:rsidRDefault="004403D5" w:rsidP="004403D5"/>
        </w:tc>
        <w:tc>
          <w:tcPr>
            <w:tcW w:w="2087" w:type="dxa"/>
            <w:tcBorders>
              <w:top w:val="nil"/>
              <w:left w:val="nil"/>
              <w:bottom w:val="single" w:sz="4" w:space="0" w:color="auto"/>
              <w:right w:val="single" w:sz="4" w:space="0" w:color="auto"/>
            </w:tcBorders>
            <w:shd w:val="clear" w:color="auto" w:fill="auto"/>
            <w:noWrap/>
            <w:vAlign w:val="center"/>
            <w:hideMark/>
          </w:tcPr>
          <w:p w14:paraId="2B30E3DE" w14:textId="77777777" w:rsidR="004403D5" w:rsidRPr="00AF2A95" w:rsidRDefault="004403D5" w:rsidP="004403D5">
            <w:r w:rsidRPr="00AF2A95">
              <w:t>SEF/SC</w:t>
            </w:r>
          </w:p>
        </w:tc>
        <w:tc>
          <w:tcPr>
            <w:tcW w:w="1530" w:type="dxa"/>
            <w:tcBorders>
              <w:top w:val="nil"/>
              <w:left w:val="nil"/>
              <w:bottom w:val="single" w:sz="4" w:space="0" w:color="auto"/>
              <w:right w:val="single" w:sz="4" w:space="0" w:color="auto"/>
            </w:tcBorders>
            <w:shd w:val="clear" w:color="auto" w:fill="auto"/>
            <w:noWrap/>
            <w:vAlign w:val="center"/>
            <w:hideMark/>
          </w:tcPr>
          <w:p w14:paraId="0DA29843" w14:textId="77777777" w:rsidR="004403D5" w:rsidRPr="00AF2A95" w:rsidRDefault="004403D5" w:rsidP="004403D5">
            <w:pPr>
              <w:jc w:val="right"/>
            </w:pPr>
            <w:r w:rsidRPr="00AF2A95">
              <w:t>4.862.332.000</w:t>
            </w:r>
          </w:p>
        </w:tc>
        <w:tc>
          <w:tcPr>
            <w:tcW w:w="1499" w:type="dxa"/>
            <w:tcBorders>
              <w:top w:val="nil"/>
              <w:left w:val="nil"/>
              <w:bottom w:val="single" w:sz="4" w:space="0" w:color="auto"/>
              <w:right w:val="single" w:sz="4" w:space="0" w:color="auto"/>
            </w:tcBorders>
            <w:shd w:val="clear" w:color="auto" w:fill="auto"/>
            <w:noWrap/>
            <w:vAlign w:val="center"/>
            <w:hideMark/>
          </w:tcPr>
          <w:p w14:paraId="31B8094C" w14:textId="77777777" w:rsidR="004403D5" w:rsidRPr="00AF2A95" w:rsidRDefault="004403D5" w:rsidP="004403D5">
            <w:pPr>
              <w:jc w:val="right"/>
            </w:pPr>
            <w:r w:rsidRPr="00AF2A95">
              <w:t>4.700.929.000</w:t>
            </w:r>
          </w:p>
        </w:tc>
        <w:tc>
          <w:tcPr>
            <w:tcW w:w="1437" w:type="dxa"/>
            <w:tcBorders>
              <w:top w:val="nil"/>
              <w:left w:val="nil"/>
              <w:bottom w:val="single" w:sz="4" w:space="0" w:color="auto"/>
              <w:right w:val="single" w:sz="4" w:space="0" w:color="auto"/>
            </w:tcBorders>
            <w:shd w:val="clear" w:color="auto" w:fill="auto"/>
            <w:noWrap/>
            <w:vAlign w:val="center"/>
            <w:hideMark/>
          </w:tcPr>
          <w:p w14:paraId="7C4982F8" w14:textId="77777777" w:rsidR="004403D5" w:rsidRPr="00AF2A95" w:rsidRDefault="004403D5" w:rsidP="004403D5">
            <w:pPr>
              <w:jc w:val="right"/>
            </w:pPr>
            <w:r w:rsidRPr="00AF2A95">
              <w:t>5.079.362.000</w:t>
            </w:r>
          </w:p>
        </w:tc>
        <w:tc>
          <w:tcPr>
            <w:tcW w:w="1453" w:type="dxa"/>
            <w:tcBorders>
              <w:top w:val="nil"/>
              <w:left w:val="nil"/>
              <w:bottom w:val="single" w:sz="4" w:space="0" w:color="auto"/>
              <w:right w:val="nil"/>
            </w:tcBorders>
            <w:shd w:val="clear" w:color="auto" w:fill="auto"/>
            <w:noWrap/>
            <w:vAlign w:val="center"/>
            <w:hideMark/>
          </w:tcPr>
          <w:p w14:paraId="2B32668C" w14:textId="77777777" w:rsidR="004403D5" w:rsidRPr="00AF2A95" w:rsidRDefault="004403D5" w:rsidP="004403D5">
            <w:pPr>
              <w:jc w:val="right"/>
            </w:pPr>
            <w:r w:rsidRPr="00AF2A95">
              <w:t>5.612.595.000</w:t>
            </w:r>
          </w:p>
        </w:tc>
      </w:tr>
      <w:tr w:rsidR="004403D5" w:rsidRPr="00AF2A95" w14:paraId="55BA9314" w14:textId="77777777" w:rsidTr="004403D5">
        <w:trPr>
          <w:trHeight w:val="270"/>
        </w:trPr>
        <w:tc>
          <w:tcPr>
            <w:tcW w:w="1066" w:type="dxa"/>
            <w:vMerge w:val="restart"/>
            <w:tcBorders>
              <w:top w:val="nil"/>
              <w:left w:val="nil"/>
              <w:bottom w:val="single" w:sz="4" w:space="0" w:color="auto"/>
              <w:right w:val="single" w:sz="4" w:space="0" w:color="auto"/>
            </w:tcBorders>
            <w:shd w:val="clear" w:color="auto" w:fill="auto"/>
            <w:noWrap/>
            <w:vAlign w:val="center"/>
            <w:hideMark/>
          </w:tcPr>
          <w:p w14:paraId="3168B123" w14:textId="77777777" w:rsidR="004403D5" w:rsidRPr="00AF2A95" w:rsidRDefault="004403D5" w:rsidP="004403D5">
            <w:r w:rsidRPr="00AF2A95">
              <w:t>DEC</w:t>
            </w:r>
          </w:p>
        </w:tc>
        <w:tc>
          <w:tcPr>
            <w:tcW w:w="2087" w:type="dxa"/>
            <w:tcBorders>
              <w:top w:val="nil"/>
              <w:left w:val="nil"/>
              <w:bottom w:val="nil"/>
              <w:right w:val="single" w:sz="4" w:space="0" w:color="auto"/>
            </w:tcBorders>
            <w:shd w:val="clear" w:color="auto" w:fill="auto"/>
            <w:noWrap/>
            <w:vAlign w:val="center"/>
            <w:hideMark/>
          </w:tcPr>
          <w:p w14:paraId="18606110" w14:textId="77777777" w:rsidR="004403D5" w:rsidRPr="00AF2A95" w:rsidRDefault="004403D5" w:rsidP="004403D5">
            <w:r w:rsidRPr="00AF2A95">
              <w:t>TCE/SC</w:t>
            </w:r>
          </w:p>
        </w:tc>
        <w:tc>
          <w:tcPr>
            <w:tcW w:w="1530" w:type="dxa"/>
            <w:tcBorders>
              <w:top w:val="nil"/>
              <w:left w:val="nil"/>
              <w:bottom w:val="nil"/>
              <w:right w:val="single" w:sz="4" w:space="0" w:color="auto"/>
            </w:tcBorders>
            <w:shd w:val="clear" w:color="auto" w:fill="auto"/>
            <w:noWrap/>
            <w:vAlign w:val="center"/>
            <w:hideMark/>
          </w:tcPr>
          <w:p w14:paraId="44785204" w14:textId="77777777" w:rsidR="004403D5" w:rsidRPr="00AF2A95" w:rsidRDefault="004403D5" w:rsidP="004403D5">
            <w:pPr>
              <w:jc w:val="right"/>
            </w:pPr>
            <w:r w:rsidRPr="00AF2A95">
              <w:t>517.277.475</w:t>
            </w:r>
          </w:p>
        </w:tc>
        <w:tc>
          <w:tcPr>
            <w:tcW w:w="1499" w:type="dxa"/>
            <w:tcBorders>
              <w:top w:val="nil"/>
              <w:left w:val="nil"/>
              <w:bottom w:val="nil"/>
              <w:right w:val="single" w:sz="4" w:space="0" w:color="auto"/>
            </w:tcBorders>
            <w:shd w:val="clear" w:color="auto" w:fill="auto"/>
            <w:noWrap/>
            <w:vAlign w:val="center"/>
            <w:hideMark/>
          </w:tcPr>
          <w:p w14:paraId="56EF4DED" w14:textId="77777777" w:rsidR="004403D5" w:rsidRPr="00AF2A95" w:rsidRDefault="004403D5" w:rsidP="004403D5">
            <w:pPr>
              <w:jc w:val="right"/>
            </w:pPr>
            <w:r w:rsidRPr="00AF2A95">
              <w:t>557.203.716</w:t>
            </w:r>
          </w:p>
        </w:tc>
        <w:tc>
          <w:tcPr>
            <w:tcW w:w="1437" w:type="dxa"/>
            <w:tcBorders>
              <w:top w:val="nil"/>
              <w:left w:val="nil"/>
              <w:bottom w:val="nil"/>
              <w:right w:val="single" w:sz="4" w:space="0" w:color="auto"/>
            </w:tcBorders>
            <w:shd w:val="clear" w:color="auto" w:fill="auto"/>
            <w:noWrap/>
            <w:vAlign w:val="center"/>
            <w:hideMark/>
          </w:tcPr>
          <w:p w14:paraId="358D5B35" w14:textId="77777777" w:rsidR="004403D5" w:rsidRPr="00AF2A95" w:rsidRDefault="004403D5" w:rsidP="004403D5">
            <w:pPr>
              <w:jc w:val="right"/>
            </w:pPr>
            <w:r w:rsidRPr="00AF2A95">
              <w:t>629.605.494</w:t>
            </w:r>
          </w:p>
        </w:tc>
        <w:tc>
          <w:tcPr>
            <w:tcW w:w="1453" w:type="dxa"/>
            <w:tcBorders>
              <w:top w:val="nil"/>
              <w:left w:val="nil"/>
              <w:bottom w:val="nil"/>
              <w:right w:val="nil"/>
            </w:tcBorders>
            <w:shd w:val="clear" w:color="auto" w:fill="auto"/>
            <w:noWrap/>
            <w:vAlign w:val="center"/>
            <w:hideMark/>
          </w:tcPr>
          <w:p w14:paraId="0AF0DF7E" w14:textId="77777777" w:rsidR="004403D5" w:rsidRPr="00AF2A95" w:rsidRDefault="004403D5" w:rsidP="004403D5">
            <w:pPr>
              <w:jc w:val="right"/>
            </w:pPr>
            <w:r w:rsidRPr="00AF2A95">
              <w:t>737.968.142</w:t>
            </w:r>
          </w:p>
        </w:tc>
      </w:tr>
      <w:tr w:rsidR="004403D5" w:rsidRPr="00AF2A95" w14:paraId="1C00CEF7" w14:textId="77777777" w:rsidTr="004403D5">
        <w:trPr>
          <w:trHeight w:val="70"/>
        </w:trPr>
        <w:tc>
          <w:tcPr>
            <w:tcW w:w="1066" w:type="dxa"/>
            <w:vMerge/>
            <w:tcBorders>
              <w:top w:val="nil"/>
              <w:left w:val="nil"/>
              <w:bottom w:val="single" w:sz="4" w:space="0" w:color="auto"/>
              <w:right w:val="single" w:sz="4" w:space="0" w:color="auto"/>
            </w:tcBorders>
            <w:vAlign w:val="center"/>
            <w:hideMark/>
          </w:tcPr>
          <w:p w14:paraId="71A949D8" w14:textId="77777777" w:rsidR="004403D5" w:rsidRPr="00AF2A95" w:rsidRDefault="004403D5" w:rsidP="004403D5"/>
        </w:tc>
        <w:tc>
          <w:tcPr>
            <w:tcW w:w="2087" w:type="dxa"/>
            <w:tcBorders>
              <w:top w:val="nil"/>
              <w:left w:val="nil"/>
              <w:bottom w:val="single" w:sz="4" w:space="0" w:color="auto"/>
              <w:right w:val="single" w:sz="4" w:space="0" w:color="auto"/>
            </w:tcBorders>
            <w:shd w:val="clear" w:color="auto" w:fill="auto"/>
            <w:noWrap/>
            <w:vAlign w:val="center"/>
            <w:hideMark/>
          </w:tcPr>
          <w:p w14:paraId="0682CCAC" w14:textId="77777777" w:rsidR="004403D5" w:rsidRPr="00AF2A95" w:rsidRDefault="004403D5" w:rsidP="004403D5">
            <w:r w:rsidRPr="00AF2A95">
              <w:t>SEF/SC</w:t>
            </w:r>
          </w:p>
        </w:tc>
        <w:tc>
          <w:tcPr>
            <w:tcW w:w="1530" w:type="dxa"/>
            <w:tcBorders>
              <w:top w:val="nil"/>
              <w:left w:val="nil"/>
              <w:bottom w:val="single" w:sz="4" w:space="0" w:color="auto"/>
              <w:right w:val="single" w:sz="4" w:space="0" w:color="auto"/>
            </w:tcBorders>
            <w:shd w:val="clear" w:color="auto" w:fill="auto"/>
            <w:noWrap/>
            <w:vAlign w:val="center"/>
            <w:hideMark/>
          </w:tcPr>
          <w:p w14:paraId="62F296DC" w14:textId="77777777" w:rsidR="004403D5" w:rsidRPr="00AF2A95" w:rsidRDefault="004403D5" w:rsidP="004403D5">
            <w:pPr>
              <w:jc w:val="right"/>
            </w:pPr>
            <w:r w:rsidRPr="00AF2A95">
              <w:t>585.786.000</w:t>
            </w:r>
          </w:p>
        </w:tc>
        <w:tc>
          <w:tcPr>
            <w:tcW w:w="1499" w:type="dxa"/>
            <w:tcBorders>
              <w:top w:val="nil"/>
              <w:left w:val="nil"/>
              <w:bottom w:val="single" w:sz="4" w:space="0" w:color="auto"/>
              <w:right w:val="single" w:sz="4" w:space="0" w:color="auto"/>
            </w:tcBorders>
            <w:shd w:val="clear" w:color="auto" w:fill="auto"/>
            <w:noWrap/>
            <w:vAlign w:val="center"/>
            <w:hideMark/>
          </w:tcPr>
          <w:p w14:paraId="0F924E7E" w14:textId="77777777" w:rsidR="004403D5" w:rsidRPr="00AF2A95" w:rsidRDefault="004403D5" w:rsidP="004403D5">
            <w:pPr>
              <w:jc w:val="right"/>
            </w:pPr>
            <w:r w:rsidRPr="00AF2A95">
              <w:t>637.949.000</w:t>
            </w:r>
          </w:p>
        </w:tc>
        <w:tc>
          <w:tcPr>
            <w:tcW w:w="1437" w:type="dxa"/>
            <w:tcBorders>
              <w:top w:val="nil"/>
              <w:left w:val="nil"/>
              <w:bottom w:val="single" w:sz="4" w:space="0" w:color="auto"/>
              <w:right w:val="single" w:sz="4" w:space="0" w:color="auto"/>
            </w:tcBorders>
            <w:shd w:val="clear" w:color="auto" w:fill="auto"/>
            <w:noWrap/>
            <w:vAlign w:val="center"/>
            <w:hideMark/>
          </w:tcPr>
          <w:p w14:paraId="7AD9DFB5" w14:textId="77777777" w:rsidR="004403D5" w:rsidRPr="00AF2A95" w:rsidRDefault="004403D5" w:rsidP="004403D5">
            <w:pPr>
              <w:jc w:val="right"/>
            </w:pPr>
            <w:r w:rsidRPr="00AF2A95">
              <w:t>766.354.000</w:t>
            </w:r>
          </w:p>
        </w:tc>
        <w:tc>
          <w:tcPr>
            <w:tcW w:w="1453" w:type="dxa"/>
            <w:tcBorders>
              <w:top w:val="nil"/>
              <w:left w:val="nil"/>
              <w:bottom w:val="single" w:sz="4" w:space="0" w:color="auto"/>
              <w:right w:val="nil"/>
            </w:tcBorders>
            <w:shd w:val="clear" w:color="auto" w:fill="auto"/>
            <w:noWrap/>
            <w:vAlign w:val="center"/>
            <w:hideMark/>
          </w:tcPr>
          <w:p w14:paraId="13681BD7" w14:textId="77777777" w:rsidR="004403D5" w:rsidRPr="00AF2A95" w:rsidRDefault="004403D5" w:rsidP="004403D5">
            <w:pPr>
              <w:jc w:val="right"/>
            </w:pPr>
            <w:r w:rsidRPr="00AF2A95">
              <w:t>804.973.000</w:t>
            </w:r>
          </w:p>
        </w:tc>
      </w:tr>
      <w:tr w:rsidR="004403D5" w:rsidRPr="00AF2A95" w14:paraId="47BB31B6" w14:textId="77777777" w:rsidTr="004403D5">
        <w:trPr>
          <w:trHeight w:val="270"/>
        </w:trPr>
        <w:tc>
          <w:tcPr>
            <w:tcW w:w="1066" w:type="dxa"/>
            <w:vMerge w:val="restart"/>
            <w:tcBorders>
              <w:top w:val="nil"/>
              <w:left w:val="nil"/>
              <w:bottom w:val="single" w:sz="4" w:space="0" w:color="auto"/>
              <w:right w:val="single" w:sz="4" w:space="0" w:color="auto"/>
            </w:tcBorders>
            <w:shd w:val="clear" w:color="auto" w:fill="auto"/>
            <w:vAlign w:val="center"/>
            <w:hideMark/>
          </w:tcPr>
          <w:p w14:paraId="6610949F" w14:textId="77777777" w:rsidR="004403D5" w:rsidRPr="00AF2A95" w:rsidRDefault="004403D5" w:rsidP="004403D5">
            <w:r w:rsidRPr="00AF2A95">
              <w:t>Aplicação em Saúde</w:t>
            </w:r>
          </w:p>
        </w:tc>
        <w:tc>
          <w:tcPr>
            <w:tcW w:w="2087" w:type="dxa"/>
            <w:tcBorders>
              <w:top w:val="nil"/>
              <w:left w:val="nil"/>
              <w:bottom w:val="nil"/>
              <w:right w:val="single" w:sz="4" w:space="0" w:color="auto"/>
            </w:tcBorders>
            <w:shd w:val="clear" w:color="auto" w:fill="auto"/>
            <w:noWrap/>
            <w:vAlign w:val="center"/>
            <w:hideMark/>
          </w:tcPr>
          <w:p w14:paraId="25228F20" w14:textId="77777777" w:rsidR="004403D5" w:rsidRPr="00AF2A95" w:rsidRDefault="004403D5" w:rsidP="004403D5">
            <w:r w:rsidRPr="00AF2A95">
              <w:t>TCE/SC</w:t>
            </w:r>
          </w:p>
        </w:tc>
        <w:tc>
          <w:tcPr>
            <w:tcW w:w="1530" w:type="dxa"/>
            <w:tcBorders>
              <w:top w:val="nil"/>
              <w:left w:val="nil"/>
              <w:bottom w:val="nil"/>
              <w:right w:val="single" w:sz="4" w:space="0" w:color="auto"/>
            </w:tcBorders>
            <w:shd w:val="clear" w:color="auto" w:fill="auto"/>
            <w:noWrap/>
            <w:vAlign w:val="center"/>
            <w:hideMark/>
          </w:tcPr>
          <w:p w14:paraId="39D97FAA" w14:textId="77777777" w:rsidR="004403D5" w:rsidRPr="00AF2A95" w:rsidRDefault="004403D5" w:rsidP="004403D5">
            <w:pPr>
              <w:jc w:val="center"/>
            </w:pPr>
            <w:r w:rsidRPr="00AF2A95">
              <w:t>10,67%</w:t>
            </w:r>
          </w:p>
        </w:tc>
        <w:tc>
          <w:tcPr>
            <w:tcW w:w="1499" w:type="dxa"/>
            <w:tcBorders>
              <w:top w:val="nil"/>
              <w:left w:val="nil"/>
              <w:bottom w:val="nil"/>
              <w:right w:val="single" w:sz="4" w:space="0" w:color="auto"/>
            </w:tcBorders>
            <w:shd w:val="clear" w:color="auto" w:fill="auto"/>
            <w:noWrap/>
            <w:vAlign w:val="center"/>
            <w:hideMark/>
          </w:tcPr>
          <w:p w14:paraId="680369B5" w14:textId="77777777" w:rsidR="004403D5" w:rsidRPr="00AF2A95" w:rsidRDefault="004403D5" w:rsidP="004403D5">
            <w:pPr>
              <w:jc w:val="center"/>
            </w:pPr>
            <w:r w:rsidRPr="00AF2A95">
              <w:t>10,15%</w:t>
            </w:r>
          </w:p>
        </w:tc>
        <w:tc>
          <w:tcPr>
            <w:tcW w:w="1437" w:type="dxa"/>
            <w:tcBorders>
              <w:top w:val="nil"/>
              <w:left w:val="nil"/>
              <w:bottom w:val="nil"/>
              <w:right w:val="single" w:sz="4" w:space="0" w:color="auto"/>
            </w:tcBorders>
            <w:shd w:val="clear" w:color="auto" w:fill="auto"/>
            <w:noWrap/>
            <w:vAlign w:val="center"/>
            <w:hideMark/>
          </w:tcPr>
          <w:p w14:paraId="65FB337F" w14:textId="77777777" w:rsidR="004403D5" w:rsidRPr="00AF2A95" w:rsidRDefault="004403D5" w:rsidP="004403D5">
            <w:pPr>
              <w:jc w:val="center"/>
            </w:pPr>
            <w:r w:rsidRPr="00AF2A95">
              <w:t>10,70%</w:t>
            </w:r>
          </w:p>
        </w:tc>
        <w:tc>
          <w:tcPr>
            <w:tcW w:w="1453" w:type="dxa"/>
            <w:tcBorders>
              <w:top w:val="nil"/>
              <w:left w:val="nil"/>
              <w:bottom w:val="nil"/>
              <w:right w:val="nil"/>
            </w:tcBorders>
            <w:shd w:val="clear" w:color="auto" w:fill="auto"/>
            <w:noWrap/>
            <w:vAlign w:val="center"/>
            <w:hideMark/>
          </w:tcPr>
          <w:p w14:paraId="70F37ACE" w14:textId="77777777" w:rsidR="004403D5" w:rsidRPr="00AF2A95" w:rsidRDefault="004403D5" w:rsidP="004403D5">
            <w:pPr>
              <w:jc w:val="center"/>
            </w:pPr>
            <w:r w:rsidRPr="00AF2A95">
              <w:t>11,18%</w:t>
            </w:r>
          </w:p>
        </w:tc>
      </w:tr>
      <w:tr w:rsidR="004403D5" w:rsidRPr="00AF2A95" w14:paraId="2CC8E00E" w14:textId="77777777" w:rsidTr="004403D5">
        <w:trPr>
          <w:trHeight w:val="70"/>
        </w:trPr>
        <w:tc>
          <w:tcPr>
            <w:tcW w:w="1066" w:type="dxa"/>
            <w:vMerge/>
            <w:tcBorders>
              <w:top w:val="nil"/>
              <w:left w:val="nil"/>
              <w:bottom w:val="single" w:sz="4" w:space="0" w:color="auto"/>
              <w:right w:val="single" w:sz="4" w:space="0" w:color="auto"/>
            </w:tcBorders>
            <w:vAlign w:val="center"/>
            <w:hideMark/>
          </w:tcPr>
          <w:p w14:paraId="736EFD23" w14:textId="77777777" w:rsidR="004403D5" w:rsidRPr="00AF2A95" w:rsidRDefault="004403D5" w:rsidP="004403D5"/>
        </w:tc>
        <w:tc>
          <w:tcPr>
            <w:tcW w:w="2087" w:type="dxa"/>
            <w:tcBorders>
              <w:top w:val="nil"/>
              <w:left w:val="nil"/>
              <w:bottom w:val="single" w:sz="4" w:space="0" w:color="auto"/>
              <w:right w:val="single" w:sz="4" w:space="0" w:color="auto"/>
            </w:tcBorders>
            <w:shd w:val="clear" w:color="auto" w:fill="auto"/>
            <w:noWrap/>
            <w:vAlign w:val="center"/>
            <w:hideMark/>
          </w:tcPr>
          <w:p w14:paraId="03F228BF" w14:textId="77777777" w:rsidR="004403D5" w:rsidRPr="00AF2A95" w:rsidRDefault="004403D5" w:rsidP="004403D5">
            <w:r w:rsidRPr="00AF2A95">
              <w:t>SEF/SC</w:t>
            </w:r>
          </w:p>
        </w:tc>
        <w:tc>
          <w:tcPr>
            <w:tcW w:w="1530" w:type="dxa"/>
            <w:tcBorders>
              <w:top w:val="nil"/>
              <w:left w:val="nil"/>
              <w:bottom w:val="single" w:sz="4" w:space="0" w:color="auto"/>
              <w:right w:val="single" w:sz="4" w:space="0" w:color="auto"/>
            </w:tcBorders>
            <w:shd w:val="clear" w:color="auto" w:fill="auto"/>
            <w:noWrap/>
            <w:vAlign w:val="center"/>
            <w:hideMark/>
          </w:tcPr>
          <w:p w14:paraId="7C11D2C4" w14:textId="77777777" w:rsidR="004403D5" w:rsidRPr="00AF2A95" w:rsidRDefault="004403D5" w:rsidP="004403D5">
            <w:pPr>
              <w:jc w:val="center"/>
            </w:pPr>
            <w:r w:rsidRPr="00AF2A95">
              <w:t>12,05%</w:t>
            </w:r>
          </w:p>
        </w:tc>
        <w:tc>
          <w:tcPr>
            <w:tcW w:w="1499" w:type="dxa"/>
            <w:tcBorders>
              <w:top w:val="nil"/>
              <w:left w:val="nil"/>
              <w:bottom w:val="single" w:sz="4" w:space="0" w:color="auto"/>
              <w:right w:val="single" w:sz="4" w:space="0" w:color="auto"/>
            </w:tcBorders>
            <w:shd w:val="clear" w:color="auto" w:fill="auto"/>
            <w:noWrap/>
            <w:vAlign w:val="center"/>
            <w:hideMark/>
          </w:tcPr>
          <w:p w14:paraId="52CFAFEC" w14:textId="77777777" w:rsidR="004403D5" w:rsidRPr="00AF2A95" w:rsidRDefault="004403D5" w:rsidP="004403D5">
            <w:pPr>
              <w:jc w:val="center"/>
            </w:pPr>
            <w:r w:rsidRPr="00AF2A95">
              <w:t>13,57%</w:t>
            </w:r>
          </w:p>
        </w:tc>
        <w:tc>
          <w:tcPr>
            <w:tcW w:w="1437" w:type="dxa"/>
            <w:tcBorders>
              <w:top w:val="nil"/>
              <w:left w:val="nil"/>
              <w:bottom w:val="single" w:sz="4" w:space="0" w:color="auto"/>
              <w:right w:val="single" w:sz="4" w:space="0" w:color="auto"/>
            </w:tcBorders>
            <w:shd w:val="clear" w:color="auto" w:fill="auto"/>
            <w:noWrap/>
            <w:vAlign w:val="center"/>
            <w:hideMark/>
          </w:tcPr>
          <w:p w14:paraId="049CE15B" w14:textId="77777777" w:rsidR="004403D5" w:rsidRPr="00AF2A95" w:rsidRDefault="004403D5" w:rsidP="004403D5">
            <w:pPr>
              <w:jc w:val="center"/>
            </w:pPr>
            <w:r w:rsidRPr="00AF2A95">
              <w:t>15,09%</w:t>
            </w:r>
          </w:p>
        </w:tc>
        <w:tc>
          <w:tcPr>
            <w:tcW w:w="1453" w:type="dxa"/>
            <w:tcBorders>
              <w:top w:val="nil"/>
              <w:left w:val="nil"/>
              <w:bottom w:val="single" w:sz="4" w:space="0" w:color="auto"/>
              <w:right w:val="nil"/>
            </w:tcBorders>
            <w:shd w:val="clear" w:color="auto" w:fill="auto"/>
            <w:noWrap/>
            <w:vAlign w:val="center"/>
            <w:hideMark/>
          </w:tcPr>
          <w:p w14:paraId="117E13C3" w14:textId="77777777" w:rsidR="004403D5" w:rsidRPr="00AF2A95" w:rsidRDefault="004403D5" w:rsidP="004403D5">
            <w:pPr>
              <w:jc w:val="center"/>
            </w:pPr>
            <w:r w:rsidRPr="00AF2A95">
              <w:t>14,34%</w:t>
            </w:r>
          </w:p>
        </w:tc>
      </w:tr>
      <w:tr w:rsidR="004403D5" w:rsidRPr="00AF2A95" w14:paraId="47FE156A" w14:textId="77777777" w:rsidTr="004403D5">
        <w:trPr>
          <w:trHeight w:val="70"/>
        </w:trPr>
        <w:tc>
          <w:tcPr>
            <w:tcW w:w="3153" w:type="dxa"/>
            <w:gridSpan w:val="2"/>
            <w:tcBorders>
              <w:top w:val="single" w:sz="4" w:space="0" w:color="auto"/>
              <w:left w:val="nil"/>
              <w:bottom w:val="single" w:sz="4" w:space="0" w:color="auto"/>
              <w:right w:val="single" w:sz="4" w:space="0" w:color="000000"/>
            </w:tcBorders>
            <w:shd w:val="clear" w:color="auto" w:fill="auto"/>
            <w:vAlign w:val="center"/>
            <w:hideMark/>
          </w:tcPr>
          <w:p w14:paraId="3148461D" w14:textId="77777777" w:rsidR="004403D5" w:rsidRPr="00AF2A95" w:rsidRDefault="004403D5" w:rsidP="004403D5">
            <w:r w:rsidRPr="00AF2A95">
              <w:t>Aplicação Mínima (LC n.º 141/2012)</w:t>
            </w:r>
          </w:p>
        </w:tc>
        <w:tc>
          <w:tcPr>
            <w:tcW w:w="1530" w:type="dxa"/>
            <w:tcBorders>
              <w:top w:val="nil"/>
              <w:left w:val="nil"/>
              <w:bottom w:val="single" w:sz="4" w:space="0" w:color="auto"/>
              <w:right w:val="single" w:sz="4" w:space="0" w:color="auto"/>
            </w:tcBorders>
            <w:shd w:val="clear" w:color="auto" w:fill="auto"/>
            <w:noWrap/>
            <w:vAlign w:val="center"/>
            <w:hideMark/>
          </w:tcPr>
          <w:p w14:paraId="3CB695E2" w14:textId="77777777" w:rsidR="004403D5" w:rsidRPr="00AF2A95" w:rsidRDefault="004403D5" w:rsidP="004403D5">
            <w:pPr>
              <w:jc w:val="center"/>
            </w:pPr>
            <w:r w:rsidRPr="00AF2A95">
              <w:t>12,00%</w:t>
            </w:r>
          </w:p>
        </w:tc>
        <w:tc>
          <w:tcPr>
            <w:tcW w:w="1499" w:type="dxa"/>
            <w:tcBorders>
              <w:top w:val="nil"/>
              <w:left w:val="nil"/>
              <w:bottom w:val="single" w:sz="4" w:space="0" w:color="auto"/>
              <w:right w:val="single" w:sz="4" w:space="0" w:color="auto"/>
            </w:tcBorders>
            <w:shd w:val="clear" w:color="auto" w:fill="auto"/>
            <w:noWrap/>
            <w:vAlign w:val="center"/>
            <w:hideMark/>
          </w:tcPr>
          <w:p w14:paraId="43A0E6A7" w14:textId="77777777" w:rsidR="004403D5" w:rsidRPr="00AF2A95" w:rsidRDefault="004403D5" w:rsidP="004403D5">
            <w:pPr>
              <w:jc w:val="center"/>
            </w:pPr>
            <w:r w:rsidRPr="00AF2A95">
              <w:t>12,00%</w:t>
            </w:r>
          </w:p>
        </w:tc>
        <w:tc>
          <w:tcPr>
            <w:tcW w:w="1437" w:type="dxa"/>
            <w:tcBorders>
              <w:top w:val="nil"/>
              <w:left w:val="nil"/>
              <w:bottom w:val="single" w:sz="4" w:space="0" w:color="auto"/>
              <w:right w:val="single" w:sz="4" w:space="0" w:color="auto"/>
            </w:tcBorders>
            <w:shd w:val="clear" w:color="auto" w:fill="auto"/>
            <w:noWrap/>
            <w:vAlign w:val="center"/>
            <w:hideMark/>
          </w:tcPr>
          <w:p w14:paraId="0EBD6F8F" w14:textId="77777777" w:rsidR="004403D5" w:rsidRPr="00AF2A95" w:rsidRDefault="004403D5" w:rsidP="004403D5">
            <w:pPr>
              <w:jc w:val="center"/>
            </w:pPr>
            <w:r w:rsidRPr="00AF2A95">
              <w:t>12,00%</w:t>
            </w:r>
          </w:p>
        </w:tc>
        <w:tc>
          <w:tcPr>
            <w:tcW w:w="1453" w:type="dxa"/>
            <w:tcBorders>
              <w:top w:val="nil"/>
              <w:left w:val="nil"/>
              <w:bottom w:val="single" w:sz="4" w:space="0" w:color="auto"/>
              <w:right w:val="nil"/>
            </w:tcBorders>
            <w:shd w:val="clear" w:color="auto" w:fill="auto"/>
            <w:noWrap/>
            <w:vAlign w:val="center"/>
            <w:hideMark/>
          </w:tcPr>
          <w:p w14:paraId="146D8117" w14:textId="77777777" w:rsidR="004403D5" w:rsidRPr="00AF2A95" w:rsidRDefault="004403D5" w:rsidP="004403D5">
            <w:pPr>
              <w:jc w:val="center"/>
            </w:pPr>
            <w:r w:rsidRPr="00AF2A95">
              <w:t>12,00%</w:t>
            </w:r>
          </w:p>
        </w:tc>
      </w:tr>
      <w:tr w:rsidR="004403D5" w:rsidRPr="00AF2A95" w14:paraId="6D42D061" w14:textId="77777777" w:rsidTr="004403D5">
        <w:trPr>
          <w:trHeight w:val="70"/>
        </w:trPr>
        <w:tc>
          <w:tcPr>
            <w:tcW w:w="1066" w:type="dxa"/>
            <w:tcBorders>
              <w:top w:val="single" w:sz="4" w:space="0" w:color="auto"/>
              <w:left w:val="nil"/>
              <w:bottom w:val="single" w:sz="4" w:space="0" w:color="auto"/>
              <w:right w:val="single" w:sz="4" w:space="0" w:color="auto"/>
            </w:tcBorders>
            <w:shd w:val="clear" w:color="000000" w:fill="F2F2F2"/>
            <w:noWrap/>
            <w:vAlign w:val="center"/>
            <w:hideMark/>
          </w:tcPr>
          <w:p w14:paraId="798856FA" w14:textId="77777777" w:rsidR="004403D5" w:rsidRPr="00AF2A95" w:rsidRDefault="004403D5" w:rsidP="004403D5">
            <w:pPr>
              <w:jc w:val="center"/>
              <w:rPr>
                <w:b/>
                <w:bCs/>
              </w:rPr>
            </w:pPr>
            <w:r w:rsidRPr="00AF2A95">
              <w:rPr>
                <w:b/>
                <w:bCs/>
              </w:rPr>
              <w:t>Variáveis</w:t>
            </w:r>
          </w:p>
        </w:tc>
        <w:tc>
          <w:tcPr>
            <w:tcW w:w="2087" w:type="dxa"/>
            <w:tcBorders>
              <w:top w:val="single" w:sz="4" w:space="0" w:color="auto"/>
              <w:left w:val="nil"/>
              <w:bottom w:val="single" w:sz="4" w:space="0" w:color="auto"/>
              <w:right w:val="single" w:sz="4" w:space="0" w:color="auto"/>
            </w:tcBorders>
            <w:shd w:val="clear" w:color="000000" w:fill="F2F2F2"/>
            <w:noWrap/>
            <w:vAlign w:val="center"/>
            <w:hideMark/>
          </w:tcPr>
          <w:p w14:paraId="7E7D9BFE" w14:textId="77777777" w:rsidR="004403D5" w:rsidRPr="00AF2A95" w:rsidRDefault="004403D5" w:rsidP="004403D5">
            <w:pPr>
              <w:jc w:val="center"/>
              <w:rPr>
                <w:b/>
                <w:bCs/>
              </w:rPr>
            </w:pPr>
            <w:r w:rsidRPr="00AF2A95">
              <w:rPr>
                <w:b/>
                <w:bCs/>
              </w:rPr>
              <w:t>Origens dos dados</w:t>
            </w:r>
          </w:p>
        </w:tc>
        <w:tc>
          <w:tcPr>
            <w:tcW w:w="1530" w:type="dxa"/>
            <w:tcBorders>
              <w:top w:val="single" w:sz="4" w:space="0" w:color="auto"/>
              <w:left w:val="nil"/>
              <w:bottom w:val="single" w:sz="4" w:space="0" w:color="auto"/>
              <w:right w:val="single" w:sz="4" w:space="0" w:color="auto"/>
            </w:tcBorders>
            <w:shd w:val="clear" w:color="000000" w:fill="F2F2F2"/>
            <w:noWrap/>
            <w:vAlign w:val="center"/>
            <w:hideMark/>
          </w:tcPr>
          <w:p w14:paraId="33D6641F" w14:textId="77777777" w:rsidR="004403D5" w:rsidRPr="00AF2A95" w:rsidRDefault="004403D5" w:rsidP="004403D5">
            <w:pPr>
              <w:jc w:val="center"/>
              <w:rPr>
                <w:b/>
                <w:bCs/>
              </w:rPr>
            </w:pPr>
            <w:r w:rsidRPr="00AF2A95">
              <w:rPr>
                <w:b/>
                <w:bCs/>
              </w:rPr>
              <w:t>2008</w:t>
            </w:r>
          </w:p>
        </w:tc>
        <w:tc>
          <w:tcPr>
            <w:tcW w:w="1499" w:type="dxa"/>
            <w:tcBorders>
              <w:top w:val="single" w:sz="4" w:space="0" w:color="auto"/>
              <w:left w:val="nil"/>
              <w:bottom w:val="single" w:sz="4" w:space="0" w:color="auto"/>
              <w:right w:val="single" w:sz="4" w:space="0" w:color="auto"/>
            </w:tcBorders>
            <w:shd w:val="clear" w:color="000000" w:fill="F2F2F2"/>
            <w:noWrap/>
            <w:vAlign w:val="center"/>
            <w:hideMark/>
          </w:tcPr>
          <w:p w14:paraId="42CBD50D" w14:textId="77777777" w:rsidR="004403D5" w:rsidRPr="00AF2A95" w:rsidRDefault="004403D5" w:rsidP="004403D5">
            <w:pPr>
              <w:jc w:val="center"/>
              <w:rPr>
                <w:b/>
                <w:bCs/>
              </w:rPr>
            </w:pPr>
            <w:r w:rsidRPr="00AF2A95">
              <w:rPr>
                <w:b/>
                <w:bCs/>
              </w:rPr>
              <w:t>2009</w:t>
            </w:r>
          </w:p>
        </w:tc>
        <w:tc>
          <w:tcPr>
            <w:tcW w:w="1437" w:type="dxa"/>
            <w:tcBorders>
              <w:top w:val="single" w:sz="4" w:space="0" w:color="auto"/>
              <w:left w:val="nil"/>
              <w:bottom w:val="single" w:sz="4" w:space="0" w:color="auto"/>
              <w:right w:val="single" w:sz="4" w:space="0" w:color="auto"/>
            </w:tcBorders>
            <w:shd w:val="clear" w:color="000000" w:fill="F2F2F2"/>
            <w:noWrap/>
            <w:vAlign w:val="center"/>
            <w:hideMark/>
          </w:tcPr>
          <w:p w14:paraId="20B91AC2" w14:textId="77777777" w:rsidR="004403D5" w:rsidRPr="00AF2A95" w:rsidRDefault="004403D5" w:rsidP="004403D5">
            <w:pPr>
              <w:jc w:val="center"/>
              <w:rPr>
                <w:b/>
                <w:bCs/>
              </w:rPr>
            </w:pPr>
            <w:r w:rsidRPr="00AF2A95">
              <w:rPr>
                <w:b/>
                <w:bCs/>
              </w:rPr>
              <w:t>2010</w:t>
            </w:r>
          </w:p>
        </w:tc>
        <w:tc>
          <w:tcPr>
            <w:tcW w:w="1453" w:type="dxa"/>
            <w:tcBorders>
              <w:top w:val="single" w:sz="4" w:space="0" w:color="auto"/>
              <w:left w:val="nil"/>
              <w:bottom w:val="single" w:sz="4" w:space="0" w:color="auto"/>
              <w:right w:val="nil"/>
            </w:tcBorders>
            <w:shd w:val="clear" w:color="000000" w:fill="F2F2F2"/>
            <w:noWrap/>
            <w:vAlign w:val="center"/>
            <w:hideMark/>
          </w:tcPr>
          <w:p w14:paraId="78443F71" w14:textId="77777777" w:rsidR="004403D5" w:rsidRPr="00AF2A95" w:rsidRDefault="004403D5" w:rsidP="004403D5">
            <w:pPr>
              <w:jc w:val="center"/>
              <w:rPr>
                <w:b/>
                <w:bCs/>
              </w:rPr>
            </w:pPr>
            <w:r w:rsidRPr="00AF2A95">
              <w:rPr>
                <w:b/>
                <w:bCs/>
              </w:rPr>
              <w:t>2011</w:t>
            </w:r>
          </w:p>
        </w:tc>
      </w:tr>
      <w:tr w:rsidR="004403D5" w:rsidRPr="00AF2A95" w14:paraId="62D55BF3" w14:textId="77777777" w:rsidTr="004403D5">
        <w:trPr>
          <w:trHeight w:val="270"/>
        </w:trPr>
        <w:tc>
          <w:tcPr>
            <w:tcW w:w="1066" w:type="dxa"/>
            <w:vMerge w:val="restart"/>
            <w:tcBorders>
              <w:top w:val="nil"/>
              <w:left w:val="nil"/>
              <w:bottom w:val="single" w:sz="4" w:space="0" w:color="auto"/>
              <w:right w:val="single" w:sz="4" w:space="0" w:color="auto"/>
            </w:tcBorders>
            <w:shd w:val="clear" w:color="auto" w:fill="auto"/>
            <w:noWrap/>
            <w:vAlign w:val="center"/>
            <w:hideMark/>
          </w:tcPr>
          <w:p w14:paraId="3740FCAB" w14:textId="77777777" w:rsidR="004403D5" w:rsidRPr="00AF2A95" w:rsidRDefault="004403D5" w:rsidP="004403D5">
            <w:r w:rsidRPr="00AF2A95">
              <w:t>REC</w:t>
            </w:r>
          </w:p>
        </w:tc>
        <w:tc>
          <w:tcPr>
            <w:tcW w:w="2087" w:type="dxa"/>
            <w:tcBorders>
              <w:top w:val="nil"/>
              <w:left w:val="nil"/>
              <w:bottom w:val="nil"/>
              <w:right w:val="single" w:sz="4" w:space="0" w:color="auto"/>
            </w:tcBorders>
            <w:shd w:val="clear" w:color="auto" w:fill="auto"/>
            <w:noWrap/>
            <w:vAlign w:val="center"/>
            <w:hideMark/>
          </w:tcPr>
          <w:p w14:paraId="532A0775" w14:textId="77777777" w:rsidR="004403D5" w:rsidRPr="00AF2A95" w:rsidRDefault="004403D5" w:rsidP="004403D5">
            <w:r w:rsidRPr="00AF2A95">
              <w:t>TCE/SC</w:t>
            </w:r>
          </w:p>
        </w:tc>
        <w:tc>
          <w:tcPr>
            <w:tcW w:w="1530" w:type="dxa"/>
            <w:tcBorders>
              <w:top w:val="nil"/>
              <w:left w:val="nil"/>
              <w:bottom w:val="nil"/>
              <w:right w:val="single" w:sz="4" w:space="0" w:color="auto"/>
            </w:tcBorders>
            <w:shd w:val="clear" w:color="auto" w:fill="auto"/>
            <w:noWrap/>
            <w:vAlign w:val="center"/>
            <w:hideMark/>
          </w:tcPr>
          <w:p w14:paraId="0E6CFD75" w14:textId="77777777" w:rsidR="004403D5" w:rsidRPr="00AF2A95" w:rsidRDefault="004403D5" w:rsidP="004403D5">
            <w:pPr>
              <w:jc w:val="right"/>
            </w:pPr>
            <w:r w:rsidRPr="00AF2A95">
              <w:t>7.553.738.402</w:t>
            </w:r>
          </w:p>
        </w:tc>
        <w:tc>
          <w:tcPr>
            <w:tcW w:w="1499" w:type="dxa"/>
            <w:tcBorders>
              <w:top w:val="nil"/>
              <w:left w:val="nil"/>
              <w:bottom w:val="nil"/>
              <w:right w:val="single" w:sz="4" w:space="0" w:color="auto"/>
            </w:tcBorders>
            <w:shd w:val="clear" w:color="auto" w:fill="auto"/>
            <w:noWrap/>
            <w:vAlign w:val="center"/>
            <w:hideMark/>
          </w:tcPr>
          <w:p w14:paraId="06441ED7" w14:textId="77777777" w:rsidR="004403D5" w:rsidRPr="00AF2A95" w:rsidRDefault="004403D5" w:rsidP="004403D5">
            <w:pPr>
              <w:jc w:val="right"/>
            </w:pPr>
            <w:r w:rsidRPr="00AF2A95">
              <w:t>7.968.143.369</w:t>
            </w:r>
          </w:p>
        </w:tc>
        <w:tc>
          <w:tcPr>
            <w:tcW w:w="1437" w:type="dxa"/>
            <w:tcBorders>
              <w:top w:val="nil"/>
              <w:left w:val="nil"/>
              <w:bottom w:val="nil"/>
              <w:right w:val="single" w:sz="4" w:space="0" w:color="auto"/>
            </w:tcBorders>
            <w:shd w:val="clear" w:color="auto" w:fill="auto"/>
            <w:noWrap/>
            <w:vAlign w:val="center"/>
            <w:hideMark/>
          </w:tcPr>
          <w:p w14:paraId="7E5FCD75" w14:textId="77777777" w:rsidR="004403D5" w:rsidRPr="00AF2A95" w:rsidRDefault="004403D5" w:rsidP="004403D5">
            <w:pPr>
              <w:jc w:val="right"/>
            </w:pPr>
            <w:r w:rsidRPr="00AF2A95">
              <w:t>9.579.414.020</w:t>
            </w:r>
          </w:p>
        </w:tc>
        <w:tc>
          <w:tcPr>
            <w:tcW w:w="1453" w:type="dxa"/>
            <w:tcBorders>
              <w:top w:val="nil"/>
              <w:left w:val="nil"/>
              <w:bottom w:val="nil"/>
              <w:right w:val="nil"/>
            </w:tcBorders>
            <w:shd w:val="clear" w:color="auto" w:fill="auto"/>
            <w:noWrap/>
            <w:vAlign w:val="center"/>
            <w:hideMark/>
          </w:tcPr>
          <w:p w14:paraId="3C59F9EA" w14:textId="77777777" w:rsidR="004403D5" w:rsidRPr="00AF2A95" w:rsidRDefault="004403D5" w:rsidP="004403D5">
            <w:pPr>
              <w:jc w:val="right"/>
            </w:pPr>
            <w:r w:rsidRPr="00AF2A95">
              <w:t>11.151.800.148</w:t>
            </w:r>
          </w:p>
        </w:tc>
      </w:tr>
      <w:tr w:rsidR="004403D5" w:rsidRPr="00AF2A95" w14:paraId="2A9C4B19" w14:textId="77777777" w:rsidTr="004403D5">
        <w:trPr>
          <w:trHeight w:val="70"/>
        </w:trPr>
        <w:tc>
          <w:tcPr>
            <w:tcW w:w="1066" w:type="dxa"/>
            <w:vMerge/>
            <w:tcBorders>
              <w:top w:val="nil"/>
              <w:left w:val="nil"/>
              <w:bottom w:val="single" w:sz="4" w:space="0" w:color="auto"/>
              <w:right w:val="single" w:sz="4" w:space="0" w:color="auto"/>
            </w:tcBorders>
            <w:vAlign w:val="center"/>
            <w:hideMark/>
          </w:tcPr>
          <w:p w14:paraId="2E35603B" w14:textId="77777777" w:rsidR="004403D5" w:rsidRPr="00AF2A95" w:rsidRDefault="004403D5" w:rsidP="004403D5"/>
        </w:tc>
        <w:tc>
          <w:tcPr>
            <w:tcW w:w="2087" w:type="dxa"/>
            <w:tcBorders>
              <w:top w:val="nil"/>
              <w:left w:val="nil"/>
              <w:bottom w:val="single" w:sz="4" w:space="0" w:color="auto"/>
              <w:right w:val="single" w:sz="4" w:space="0" w:color="auto"/>
            </w:tcBorders>
            <w:shd w:val="clear" w:color="auto" w:fill="auto"/>
            <w:noWrap/>
            <w:vAlign w:val="center"/>
            <w:hideMark/>
          </w:tcPr>
          <w:p w14:paraId="50B980F0" w14:textId="77777777" w:rsidR="004403D5" w:rsidRPr="00AF2A95" w:rsidRDefault="004403D5" w:rsidP="004403D5">
            <w:r w:rsidRPr="00AF2A95">
              <w:t>SEF/SC</w:t>
            </w:r>
          </w:p>
        </w:tc>
        <w:tc>
          <w:tcPr>
            <w:tcW w:w="1530" w:type="dxa"/>
            <w:tcBorders>
              <w:top w:val="nil"/>
              <w:left w:val="nil"/>
              <w:bottom w:val="single" w:sz="4" w:space="0" w:color="auto"/>
              <w:right w:val="single" w:sz="4" w:space="0" w:color="auto"/>
            </w:tcBorders>
            <w:shd w:val="clear" w:color="auto" w:fill="auto"/>
            <w:noWrap/>
            <w:vAlign w:val="center"/>
            <w:hideMark/>
          </w:tcPr>
          <w:p w14:paraId="7794584B" w14:textId="77777777" w:rsidR="004403D5" w:rsidRPr="00AF2A95" w:rsidRDefault="004403D5" w:rsidP="004403D5">
            <w:pPr>
              <w:jc w:val="right"/>
            </w:pPr>
            <w:r w:rsidRPr="00AF2A95">
              <w:t>7.553.737.000</w:t>
            </w:r>
          </w:p>
        </w:tc>
        <w:tc>
          <w:tcPr>
            <w:tcW w:w="1499" w:type="dxa"/>
            <w:tcBorders>
              <w:top w:val="nil"/>
              <w:left w:val="nil"/>
              <w:bottom w:val="single" w:sz="4" w:space="0" w:color="auto"/>
              <w:right w:val="single" w:sz="4" w:space="0" w:color="auto"/>
            </w:tcBorders>
            <w:shd w:val="clear" w:color="auto" w:fill="auto"/>
            <w:noWrap/>
            <w:vAlign w:val="center"/>
            <w:hideMark/>
          </w:tcPr>
          <w:p w14:paraId="110C1EAC" w14:textId="77777777" w:rsidR="004403D5" w:rsidRPr="00AF2A95" w:rsidRDefault="004403D5" w:rsidP="004403D5">
            <w:pPr>
              <w:jc w:val="right"/>
            </w:pPr>
            <w:r w:rsidRPr="00AF2A95">
              <w:t>7.968.143.000</w:t>
            </w:r>
          </w:p>
        </w:tc>
        <w:tc>
          <w:tcPr>
            <w:tcW w:w="1437" w:type="dxa"/>
            <w:tcBorders>
              <w:top w:val="nil"/>
              <w:left w:val="nil"/>
              <w:bottom w:val="single" w:sz="4" w:space="0" w:color="auto"/>
              <w:right w:val="single" w:sz="4" w:space="0" w:color="auto"/>
            </w:tcBorders>
            <w:shd w:val="clear" w:color="auto" w:fill="auto"/>
            <w:noWrap/>
            <w:vAlign w:val="center"/>
            <w:hideMark/>
          </w:tcPr>
          <w:p w14:paraId="190175D8" w14:textId="77777777" w:rsidR="004403D5" w:rsidRPr="00AF2A95" w:rsidRDefault="004403D5" w:rsidP="004403D5">
            <w:pPr>
              <w:jc w:val="right"/>
            </w:pPr>
            <w:r w:rsidRPr="00AF2A95">
              <w:t>9.579.414.020</w:t>
            </w:r>
          </w:p>
        </w:tc>
        <w:tc>
          <w:tcPr>
            <w:tcW w:w="1453" w:type="dxa"/>
            <w:tcBorders>
              <w:top w:val="nil"/>
              <w:left w:val="nil"/>
              <w:bottom w:val="single" w:sz="4" w:space="0" w:color="auto"/>
              <w:right w:val="nil"/>
            </w:tcBorders>
            <w:shd w:val="clear" w:color="auto" w:fill="auto"/>
            <w:noWrap/>
            <w:vAlign w:val="center"/>
            <w:hideMark/>
          </w:tcPr>
          <w:p w14:paraId="68128C46" w14:textId="77777777" w:rsidR="004403D5" w:rsidRPr="00AF2A95" w:rsidRDefault="004403D5" w:rsidP="004403D5">
            <w:pPr>
              <w:jc w:val="right"/>
            </w:pPr>
            <w:r w:rsidRPr="00AF2A95">
              <w:t>11.151.800.148</w:t>
            </w:r>
          </w:p>
        </w:tc>
      </w:tr>
      <w:tr w:rsidR="004403D5" w:rsidRPr="00AF2A95" w14:paraId="798B8613" w14:textId="77777777" w:rsidTr="004403D5">
        <w:trPr>
          <w:trHeight w:val="70"/>
        </w:trPr>
        <w:tc>
          <w:tcPr>
            <w:tcW w:w="1066" w:type="dxa"/>
            <w:vMerge w:val="restart"/>
            <w:tcBorders>
              <w:top w:val="nil"/>
              <w:left w:val="nil"/>
              <w:bottom w:val="single" w:sz="4" w:space="0" w:color="auto"/>
              <w:right w:val="single" w:sz="4" w:space="0" w:color="auto"/>
            </w:tcBorders>
            <w:shd w:val="clear" w:color="auto" w:fill="auto"/>
            <w:noWrap/>
            <w:vAlign w:val="center"/>
            <w:hideMark/>
          </w:tcPr>
          <w:p w14:paraId="48F9C69D" w14:textId="77777777" w:rsidR="004403D5" w:rsidRPr="00AF2A95" w:rsidRDefault="004403D5" w:rsidP="004403D5">
            <w:r w:rsidRPr="00AF2A95">
              <w:t>DEC</w:t>
            </w:r>
          </w:p>
        </w:tc>
        <w:tc>
          <w:tcPr>
            <w:tcW w:w="2087" w:type="dxa"/>
            <w:tcBorders>
              <w:top w:val="nil"/>
              <w:left w:val="nil"/>
              <w:bottom w:val="nil"/>
              <w:right w:val="single" w:sz="4" w:space="0" w:color="auto"/>
            </w:tcBorders>
            <w:shd w:val="clear" w:color="auto" w:fill="auto"/>
            <w:noWrap/>
            <w:vAlign w:val="center"/>
            <w:hideMark/>
          </w:tcPr>
          <w:p w14:paraId="31454848" w14:textId="77777777" w:rsidR="004403D5" w:rsidRPr="00AF2A95" w:rsidRDefault="004403D5" w:rsidP="004403D5">
            <w:r w:rsidRPr="00AF2A95">
              <w:t>TCE/SC</w:t>
            </w:r>
          </w:p>
        </w:tc>
        <w:tc>
          <w:tcPr>
            <w:tcW w:w="1530" w:type="dxa"/>
            <w:tcBorders>
              <w:top w:val="nil"/>
              <w:left w:val="nil"/>
              <w:bottom w:val="nil"/>
              <w:right w:val="single" w:sz="4" w:space="0" w:color="auto"/>
            </w:tcBorders>
            <w:shd w:val="clear" w:color="auto" w:fill="auto"/>
            <w:noWrap/>
            <w:vAlign w:val="center"/>
            <w:hideMark/>
          </w:tcPr>
          <w:p w14:paraId="49F2C46D" w14:textId="77777777" w:rsidR="004403D5" w:rsidRPr="00AF2A95" w:rsidRDefault="004403D5" w:rsidP="004403D5">
            <w:pPr>
              <w:jc w:val="right"/>
            </w:pPr>
            <w:r w:rsidRPr="00AF2A95">
              <w:t>880.468.753</w:t>
            </w:r>
          </w:p>
        </w:tc>
        <w:tc>
          <w:tcPr>
            <w:tcW w:w="1499" w:type="dxa"/>
            <w:tcBorders>
              <w:top w:val="nil"/>
              <w:left w:val="nil"/>
              <w:bottom w:val="nil"/>
              <w:right w:val="single" w:sz="4" w:space="0" w:color="auto"/>
            </w:tcBorders>
            <w:shd w:val="clear" w:color="auto" w:fill="auto"/>
            <w:noWrap/>
            <w:vAlign w:val="center"/>
            <w:hideMark/>
          </w:tcPr>
          <w:p w14:paraId="01667460" w14:textId="77777777" w:rsidR="004403D5" w:rsidRPr="00AF2A95" w:rsidRDefault="004403D5" w:rsidP="004403D5">
            <w:pPr>
              <w:jc w:val="right"/>
            </w:pPr>
            <w:r w:rsidRPr="00AF2A95">
              <w:t>910.894.135</w:t>
            </w:r>
          </w:p>
        </w:tc>
        <w:tc>
          <w:tcPr>
            <w:tcW w:w="1437" w:type="dxa"/>
            <w:tcBorders>
              <w:top w:val="nil"/>
              <w:left w:val="nil"/>
              <w:bottom w:val="nil"/>
              <w:right w:val="single" w:sz="4" w:space="0" w:color="auto"/>
            </w:tcBorders>
            <w:shd w:val="clear" w:color="auto" w:fill="auto"/>
            <w:noWrap/>
            <w:vAlign w:val="center"/>
            <w:hideMark/>
          </w:tcPr>
          <w:p w14:paraId="528B3422" w14:textId="77777777" w:rsidR="004403D5" w:rsidRPr="00AF2A95" w:rsidRDefault="004403D5" w:rsidP="004403D5">
            <w:pPr>
              <w:jc w:val="right"/>
            </w:pPr>
            <w:r w:rsidRPr="00AF2A95">
              <w:t>1.084.495.687</w:t>
            </w:r>
          </w:p>
        </w:tc>
        <w:tc>
          <w:tcPr>
            <w:tcW w:w="1453" w:type="dxa"/>
            <w:tcBorders>
              <w:top w:val="nil"/>
              <w:left w:val="nil"/>
              <w:bottom w:val="nil"/>
              <w:right w:val="nil"/>
            </w:tcBorders>
            <w:shd w:val="clear" w:color="auto" w:fill="auto"/>
            <w:noWrap/>
            <w:vAlign w:val="center"/>
            <w:hideMark/>
          </w:tcPr>
          <w:p w14:paraId="415BCB1A" w14:textId="77777777" w:rsidR="004403D5" w:rsidRPr="00AF2A95" w:rsidRDefault="004403D5" w:rsidP="004403D5">
            <w:pPr>
              <w:jc w:val="right"/>
            </w:pPr>
            <w:r w:rsidRPr="00AF2A95">
              <w:t>1.344.673.282</w:t>
            </w:r>
          </w:p>
        </w:tc>
      </w:tr>
      <w:tr w:rsidR="004403D5" w:rsidRPr="00AF2A95" w14:paraId="49A5AD94" w14:textId="77777777" w:rsidTr="004403D5">
        <w:trPr>
          <w:trHeight w:val="70"/>
        </w:trPr>
        <w:tc>
          <w:tcPr>
            <w:tcW w:w="1066" w:type="dxa"/>
            <w:vMerge/>
            <w:tcBorders>
              <w:top w:val="nil"/>
              <w:left w:val="nil"/>
              <w:bottom w:val="single" w:sz="4" w:space="0" w:color="auto"/>
              <w:right w:val="single" w:sz="4" w:space="0" w:color="auto"/>
            </w:tcBorders>
            <w:vAlign w:val="center"/>
            <w:hideMark/>
          </w:tcPr>
          <w:p w14:paraId="78A37ABD" w14:textId="77777777" w:rsidR="004403D5" w:rsidRPr="00AF2A95" w:rsidRDefault="004403D5" w:rsidP="004403D5"/>
        </w:tc>
        <w:tc>
          <w:tcPr>
            <w:tcW w:w="2087" w:type="dxa"/>
            <w:tcBorders>
              <w:top w:val="nil"/>
              <w:left w:val="nil"/>
              <w:bottom w:val="single" w:sz="4" w:space="0" w:color="auto"/>
              <w:right w:val="single" w:sz="4" w:space="0" w:color="auto"/>
            </w:tcBorders>
            <w:shd w:val="clear" w:color="auto" w:fill="auto"/>
            <w:noWrap/>
            <w:vAlign w:val="center"/>
            <w:hideMark/>
          </w:tcPr>
          <w:p w14:paraId="32A89DF8" w14:textId="77777777" w:rsidR="004403D5" w:rsidRPr="00AF2A95" w:rsidRDefault="004403D5" w:rsidP="004403D5">
            <w:r w:rsidRPr="00AF2A95">
              <w:t>SEF/SC</w:t>
            </w:r>
          </w:p>
        </w:tc>
        <w:tc>
          <w:tcPr>
            <w:tcW w:w="1530" w:type="dxa"/>
            <w:tcBorders>
              <w:top w:val="nil"/>
              <w:left w:val="nil"/>
              <w:bottom w:val="single" w:sz="4" w:space="0" w:color="auto"/>
              <w:right w:val="single" w:sz="4" w:space="0" w:color="auto"/>
            </w:tcBorders>
            <w:shd w:val="clear" w:color="auto" w:fill="auto"/>
            <w:noWrap/>
            <w:vAlign w:val="center"/>
            <w:hideMark/>
          </w:tcPr>
          <w:p w14:paraId="09C10FEF" w14:textId="77777777" w:rsidR="004403D5" w:rsidRPr="00AF2A95" w:rsidRDefault="004403D5" w:rsidP="004403D5">
            <w:pPr>
              <w:jc w:val="right"/>
            </w:pPr>
            <w:r w:rsidRPr="00AF2A95">
              <w:t>942.317.000</w:t>
            </w:r>
          </w:p>
        </w:tc>
        <w:tc>
          <w:tcPr>
            <w:tcW w:w="1499" w:type="dxa"/>
            <w:tcBorders>
              <w:top w:val="nil"/>
              <w:left w:val="nil"/>
              <w:bottom w:val="single" w:sz="4" w:space="0" w:color="auto"/>
              <w:right w:val="single" w:sz="4" w:space="0" w:color="auto"/>
            </w:tcBorders>
            <w:shd w:val="clear" w:color="auto" w:fill="auto"/>
            <w:noWrap/>
            <w:vAlign w:val="center"/>
            <w:hideMark/>
          </w:tcPr>
          <w:p w14:paraId="4E8CF953" w14:textId="77777777" w:rsidR="004403D5" w:rsidRPr="00AF2A95" w:rsidRDefault="004403D5" w:rsidP="004403D5">
            <w:pPr>
              <w:jc w:val="right"/>
            </w:pPr>
            <w:r w:rsidRPr="00AF2A95">
              <w:t>967.245.000</w:t>
            </w:r>
          </w:p>
        </w:tc>
        <w:tc>
          <w:tcPr>
            <w:tcW w:w="1437" w:type="dxa"/>
            <w:tcBorders>
              <w:top w:val="nil"/>
              <w:left w:val="nil"/>
              <w:bottom w:val="single" w:sz="4" w:space="0" w:color="auto"/>
              <w:right w:val="single" w:sz="4" w:space="0" w:color="auto"/>
            </w:tcBorders>
            <w:shd w:val="clear" w:color="auto" w:fill="auto"/>
            <w:noWrap/>
            <w:vAlign w:val="center"/>
            <w:hideMark/>
          </w:tcPr>
          <w:p w14:paraId="1145B328" w14:textId="77777777" w:rsidR="004403D5" w:rsidRPr="00AF2A95" w:rsidRDefault="004403D5" w:rsidP="004403D5">
            <w:pPr>
              <w:jc w:val="right"/>
            </w:pPr>
            <w:r w:rsidRPr="00AF2A95">
              <w:t>1.153.626.658</w:t>
            </w:r>
          </w:p>
        </w:tc>
        <w:tc>
          <w:tcPr>
            <w:tcW w:w="1453" w:type="dxa"/>
            <w:tcBorders>
              <w:top w:val="nil"/>
              <w:left w:val="nil"/>
              <w:bottom w:val="single" w:sz="4" w:space="0" w:color="auto"/>
              <w:right w:val="nil"/>
            </w:tcBorders>
            <w:shd w:val="clear" w:color="auto" w:fill="auto"/>
            <w:noWrap/>
            <w:vAlign w:val="center"/>
            <w:hideMark/>
          </w:tcPr>
          <w:p w14:paraId="39F6BC61" w14:textId="77777777" w:rsidR="004403D5" w:rsidRPr="00AF2A95" w:rsidRDefault="004403D5" w:rsidP="004403D5">
            <w:pPr>
              <w:jc w:val="right"/>
            </w:pPr>
            <w:r w:rsidRPr="00AF2A95">
              <w:t>1.348.767.512</w:t>
            </w:r>
          </w:p>
        </w:tc>
      </w:tr>
      <w:tr w:rsidR="004403D5" w:rsidRPr="00AF2A95" w14:paraId="6CF60AF3" w14:textId="77777777" w:rsidTr="004403D5">
        <w:trPr>
          <w:trHeight w:val="70"/>
        </w:trPr>
        <w:tc>
          <w:tcPr>
            <w:tcW w:w="1066" w:type="dxa"/>
            <w:vMerge w:val="restart"/>
            <w:tcBorders>
              <w:top w:val="nil"/>
              <w:left w:val="nil"/>
              <w:bottom w:val="single" w:sz="4" w:space="0" w:color="auto"/>
              <w:right w:val="single" w:sz="4" w:space="0" w:color="auto"/>
            </w:tcBorders>
            <w:shd w:val="clear" w:color="auto" w:fill="auto"/>
            <w:vAlign w:val="center"/>
            <w:hideMark/>
          </w:tcPr>
          <w:p w14:paraId="7400E685" w14:textId="77777777" w:rsidR="004403D5" w:rsidRPr="00AF2A95" w:rsidRDefault="004403D5" w:rsidP="004403D5">
            <w:r w:rsidRPr="00AF2A95">
              <w:t>Aplicação em Saúde</w:t>
            </w:r>
          </w:p>
        </w:tc>
        <w:tc>
          <w:tcPr>
            <w:tcW w:w="2087" w:type="dxa"/>
            <w:tcBorders>
              <w:top w:val="nil"/>
              <w:left w:val="nil"/>
              <w:bottom w:val="nil"/>
              <w:right w:val="single" w:sz="4" w:space="0" w:color="auto"/>
            </w:tcBorders>
            <w:shd w:val="clear" w:color="auto" w:fill="auto"/>
            <w:noWrap/>
            <w:vAlign w:val="center"/>
            <w:hideMark/>
          </w:tcPr>
          <w:p w14:paraId="619881C3" w14:textId="77777777" w:rsidR="004403D5" w:rsidRPr="00AF2A95" w:rsidRDefault="004403D5" w:rsidP="004403D5">
            <w:r w:rsidRPr="00AF2A95">
              <w:t>TCE/SC</w:t>
            </w:r>
          </w:p>
        </w:tc>
        <w:tc>
          <w:tcPr>
            <w:tcW w:w="1530" w:type="dxa"/>
            <w:tcBorders>
              <w:top w:val="nil"/>
              <w:left w:val="nil"/>
              <w:bottom w:val="nil"/>
              <w:right w:val="single" w:sz="4" w:space="0" w:color="auto"/>
            </w:tcBorders>
            <w:shd w:val="clear" w:color="auto" w:fill="auto"/>
            <w:noWrap/>
            <w:vAlign w:val="center"/>
            <w:hideMark/>
          </w:tcPr>
          <w:p w14:paraId="32B70303" w14:textId="77777777" w:rsidR="004403D5" w:rsidRPr="00AF2A95" w:rsidRDefault="004403D5" w:rsidP="004403D5">
            <w:pPr>
              <w:jc w:val="center"/>
            </w:pPr>
            <w:r w:rsidRPr="00AF2A95">
              <w:t>11,66%</w:t>
            </w:r>
          </w:p>
        </w:tc>
        <w:tc>
          <w:tcPr>
            <w:tcW w:w="1499" w:type="dxa"/>
            <w:tcBorders>
              <w:top w:val="nil"/>
              <w:left w:val="nil"/>
              <w:bottom w:val="nil"/>
              <w:right w:val="single" w:sz="4" w:space="0" w:color="auto"/>
            </w:tcBorders>
            <w:shd w:val="clear" w:color="auto" w:fill="auto"/>
            <w:noWrap/>
            <w:vAlign w:val="center"/>
            <w:hideMark/>
          </w:tcPr>
          <w:p w14:paraId="31FB5685" w14:textId="77777777" w:rsidR="004403D5" w:rsidRPr="00AF2A95" w:rsidRDefault="004403D5" w:rsidP="004403D5">
            <w:pPr>
              <w:jc w:val="center"/>
            </w:pPr>
            <w:r w:rsidRPr="00AF2A95">
              <w:t>11,43%</w:t>
            </w:r>
          </w:p>
        </w:tc>
        <w:tc>
          <w:tcPr>
            <w:tcW w:w="1437" w:type="dxa"/>
            <w:tcBorders>
              <w:top w:val="nil"/>
              <w:left w:val="nil"/>
              <w:bottom w:val="nil"/>
              <w:right w:val="single" w:sz="4" w:space="0" w:color="auto"/>
            </w:tcBorders>
            <w:shd w:val="clear" w:color="auto" w:fill="auto"/>
            <w:noWrap/>
            <w:vAlign w:val="center"/>
            <w:hideMark/>
          </w:tcPr>
          <w:p w14:paraId="1232EA49" w14:textId="77777777" w:rsidR="004403D5" w:rsidRPr="00AF2A95" w:rsidRDefault="004403D5" w:rsidP="004403D5">
            <w:pPr>
              <w:jc w:val="center"/>
            </w:pPr>
            <w:r w:rsidRPr="00AF2A95">
              <w:t>11,32%</w:t>
            </w:r>
          </w:p>
        </w:tc>
        <w:tc>
          <w:tcPr>
            <w:tcW w:w="1453" w:type="dxa"/>
            <w:tcBorders>
              <w:top w:val="nil"/>
              <w:left w:val="nil"/>
              <w:bottom w:val="nil"/>
              <w:right w:val="nil"/>
            </w:tcBorders>
            <w:shd w:val="clear" w:color="auto" w:fill="auto"/>
            <w:noWrap/>
            <w:vAlign w:val="center"/>
            <w:hideMark/>
          </w:tcPr>
          <w:p w14:paraId="4652AE50" w14:textId="77777777" w:rsidR="004403D5" w:rsidRPr="00AF2A95" w:rsidRDefault="004403D5" w:rsidP="004403D5">
            <w:pPr>
              <w:jc w:val="center"/>
            </w:pPr>
            <w:r w:rsidRPr="00AF2A95">
              <w:t>12,06%</w:t>
            </w:r>
          </w:p>
        </w:tc>
      </w:tr>
      <w:tr w:rsidR="004403D5" w:rsidRPr="00AF2A95" w14:paraId="119B95C4" w14:textId="77777777" w:rsidTr="004403D5">
        <w:trPr>
          <w:trHeight w:val="70"/>
        </w:trPr>
        <w:tc>
          <w:tcPr>
            <w:tcW w:w="1066" w:type="dxa"/>
            <w:vMerge/>
            <w:tcBorders>
              <w:top w:val="nil"/>
              <w:left w:val="nil"/>
              <w:bottom w:val="single" w:sz="4" w:space="0" w:color="auto"/>
              <w:right w:val="single" w:sz="4" w:space="0" w:color="auto"/>
            </w:tcBorders>
            <w:vAlign w:val="center"/>
            <w:hideMark/>
          </w:tcPr>
          <w:p w14:paraId="360F0EF4" w14:textId="77777777" w:rsidR="004403D5" w:rsidRPr="00AF2A95" w:rsidRDefault="004403D5" w:rsidP="004403D5"/>
        </w:tc>
        <w:tc>
          <w:tcPr>
            <w:tcW w:w="2087" w:type="dxa"/>
            <w:tcBorders>
              <w:top w:val="nil"/>
              <w:left w:val="nil"/>
              <w:bottom w:val="single" w:sz="4" w:space="0" w:color="auto"/>
              <w:right w:val="single" w:sz="4" w:space="0" w:color="auto"/>
            </w:tcBorders>
            <w:shd w:val="clear" w:color="auto" w:fill="auto"/>
            <w:noWrap/>
            <w:vAlign w:val="center"/>
            <w:hideMark/>
          </w:tcPr>
          <w:p w14:paraId="7ABD7816" w14:textId="77777777" w:rsidR="004403D5" w:rsidRPr="00AF2A95" w:rsidRDefault="004403D5" w:rsidP="004403D5">
            <w:r w:rsidRPr="00AF2A95">
              <w:t>SEF/SC</w:t>
            </w:r>
          </w:p>
        </w:tc>
        <w:tc>
          <w:tcPr>
            <w:tcW w:w="1530" w:type="dxa"/>
            <w:tcBorders>
              <w:top w:val="nil"/>
              <w:left w:val="nil"/>
              <w:bottom w:val="single" w:sz="4" w:space="0" w:color="auto"/>
              <w:right w:val="single" w:sz="4" w:space="0" w:color="auto"/>
            </w:tcBorders>
            <w:shd w:val="clear" w:color="auto" w:fill="auto"/>
            <w:noWrap/>
            <w:vAlign w:val="center"/>
            <w:hideMark/>
          </w:tcPr>
          <w:p w14:paraId="51B4CED7" w14:textId="77777777" w:rsidR="004403D5" w:rsidRPr="00AF2A95" w:rsidRDefault="004403D5" w:rsidP="004403D5">
            <w:pPr>
              <w:jc w:val="center"/>
            </w:pPr>
            <w:r w:rsidRPr="00AF2A95">
              <w:t>12,47%</w:t>
            </w:r>
          </w:p>
        </w:tc>
        <w:tc>
          <w:tcPr>
            <w:tcW w:w="1499" w:type="dxa"/>
            <w:tcBorders>
              <w:top w:val="nil"/>
              <w:left w:val="nil"/>
              <w:bottom w:val="single" w:sz="4" w:space="0" w:color="auto"/>
              <w:right w:val="single" w:sz="4" w:space="0" w:color="auto"/>
            </w:tcBorders>
            <w:shd w:val="clear" w:color="auto" w:fill="auto"/>
            <w:noWrap/>
            <w:vAlign w:val="center"/>
            <w:hideMark/>
          </w:tcPr>
          <w:p w14:paraId="206FE8D9" w14:textId="77777777" w:rsidR="004403D5" w:rsidRPr="00AF2A95" w:rsidRDefault="004403D5" w:rsidP="004403D5">
            <w:pPr>
              <w:jc w:val="center"/>
            </w:pPr>
            <w:r w:rsidRPr="00AF2A95">
              <w:t>12,14%</w:t>
            </w:r>
          </w:p>
        </w:tc>
        <w:tc>
          <w:tcPr>
            <w:tcW w:w="1437" w:type="dxa"/>
            <w:tcBorders>
              <w:top w:val="nil"/>
              <w:left w:val="nil"/>
              <w:bottom w:val="single" w:sz="4" w:space="0" w:color="auto"/>
              <w:right w:val="single" w:sz="4" w:space="0" w:color="auto"/>
            </w:tcBorders>
            <w:shd w:val="clear" w:color="auto" w:fill="auto"/>
            <w:noWrap/>
            <w:vAlign w:val="center"/>
            <w:hideMark/>
          </w:tcPr>
          <w:p w14:paraId="00447F0A" w14:textId="77777777" w:rsidR="004403D5" w:rsidRPr="00AF2A95" w:rsidRDefault="004403D5" w:rsidP="004403D5">
            <w:pPr>
              <w:jc w:val="center"/>
            </w:pPr>
            <w:r w:rsidRPr="00AF2A95">
              <w:t>12,04%</w:t>
            </w:r>
          </w:p>
        </w:tc>
        <w:tc>
          <w:tcPr>
            <w:tcW w:w="1453" w:type="dxa"/>
            <w:tcBorders>
              <w:top w:val="nil"/>
              <w:left w:val="nil"/>
              <w:bottom w:val="single" w:sz="4" w:space="0" w:color="auto"/>
              <w:right w:val="nil"/>
            </w:tcBorders>
            <w:shd w:val="clear" w:color="auto" w:fill="auto"/>
            <w:noWrap/>
            <w:vAlign w:val="center"/>
            <w:hideMark/>
          </w:tcPr>
          <w:p w14:paraId="5ECA4A91" w14:textId="77777777" w:rsidR="004403D5" w:rsidRPr="00AF2A95" w:rsidRDefault="004403D5" w:rsidP="004403D5">
            <w:pPr>
              <w:jc w:val="center"/>
            </w:pPr>
            <w:r w:rsidRPr="00AF2A95">
              <w:t>12,09%</w:t>
            </w:r>
          </w:p>
        </w:tc>
      </w:tr>
      <w:tr w:rsidR="004403D5" w:rsidRPr="00AF2A95" w14:paraId="40600995" w14:textId="77777777" w:rsidTr="004403D5">
        <w:trPr>
          <w:trHeight w:val="70"/>
        </w:trPr>
        <w:tc>
          <w:tcPr>
            <w:tcW w:w="3153" w:type="dxa"/>
            <w:gridSpan w:val="2"/>
            <w:tcBorders>
              <w:top w:val="single" w:sz="4" w:space="0" w:color="auto"/>
              <w:left w:val="nil"/>
              <w:bottom w:val="single" w:sz="4" w:space="0" w:color="auto"/>
              <w:right w:val="single" w:sz="4" w:space="0" w:color="000000"/>
            </w:tcBorders>
            <w:shd w:val="clear" w:color="auto" w:fill="auto"/>
            <w:vAlign w:val="center"/>
            <w:hideMark/>
          </w:tcPr>
          <w:p w14:paraId="18CD3016" w14:textId="77777777" w:rsidR="004403D5" w:rsidRPr="00AF2A95" w:rsidRDefault="004403D5" w:rsidP="004403D5">
            <w:r w:rsidRPr="00AF2A95">
              <w:t>Aplicação Mínima (LC n.º 141/2012)</w:t>
            </w:r>
          </w:p>
        </w:tc>
        <w:tc>
          <w:tcPr>
            <w:tcW w:w="1530" w:type="dxa"/>
            <w:tcBorders>
              <w:top w:val="nil"/>
              <w:left w:val="nil"/>
              <w:bottom w:val="single" w:sz="4" w:space="0" w:color="auto"/>
              <w:right w:val="single" w:sz="4" w:space="0" w:color="auto"/>
            </w:tcBorders>
            <w:shd w:val="clear" w:color="auto" w:fill="auto"/>
            <w:noWrap/>
            <w:vAlign w:val="center"/>
            <w:hideMark/>
          </w:tcPr>
          <w:p w14:paraId="12BA7218" w14:textId="77777777" w:rsidR="004403D5" w:rsidRPr="00AF2A95" w:rsidRDefault="004403D5" w:rsidP="004403D5">
            <w:pPr>
              <w:jc w:val="center"/>
            </w:pPr>
            <w:r w:rsidRPr="00AF2A95">
              <w:t>12,00%</w:t>
            </w:r>
          </w:p>
        </w:tc>
        <w:tc>
          <w:tcPr>
            <w:tcW w:w="1499" w:type="dxa"/>
            <w:tcBorders>
              <w:top w:val="nil"/>
              <w:left w:val="nil"/>
              <w:bottom w:val="single" w:sz="4" w:space="0" w:color="auto"/>
              <w:right w:val="single" w:sz="4" w:space="0" w:color="auto"/>
            </w:tcBorders>
            <w:shd w:val="clear" w:color="auto" w:fill="auto"/>
            <w:noWrap/>
            <w:vAlign w:val="center"/>
            <w:hideMark/>
          </w:tcPr>
          <w:p w14:paraId="15B7BBBE" w14:textId="77777777" w:rsidR="004403D5" w:rsidRPr="00AF2A95" w:rsidRDefault="004403D5" w:rsidP="004403D5">
            <w:pPr>
              <w:jc w:val="center"/>
            </w:pPr>
            <w:r w:rsidRPr="00AF2A95">
              <w:t>12,00%</w:t>
            </w:r>
          </w:p>
        </w:tc>
        <w:tc>
          <w:tcPr>
            <w:tcW w:w="1437" w:type="dxa"/>
            <w:tcBorders>
              <w:top w:val="nil"/>
              <w:left w:val="nil"/>
              <w:bottom w:val="single" w:sz="4" w:space="0" w:color="auto"/>
              <w:right w:val="single" w:sz="4" w:space="0" w:color="auto"/>
            </w:tcBorders>
            <w:shd w:val="clear" w:color="auto" w:fill="auto"/>
            <w:noWrap/>
            <w:vAlign w:val="center"/>
            <w:hideMark/>
          </w:tcPr>
          <w:p w14:paraId="44AA2444" w14:textId="77777777" w:rsidR="004403D5" w:rsidRPr="00AF2A95" w:rsidRDefault="004403D5" w:rsidP="004403D5">
            <w:pPr>
              <w:jc w:val="center"/>
            </w:pPr>
            <w:r w:rsidRPr="00AF2A95">
              <w:t>12,00%</w:t>
            </w:r>
          </w:p>
        </w:tc>
        <w:tc>
          <w:tcPr>
            <w:tcW w:w="1453" w:type="dxa"/>
            <w:tcBorders>
              <w:top w:val="nil"/>
              <w:left w:val="nil"/>
              <w:bottom w:val="single" w:sz="4" w:space="0" w:color="auto"/>
              <w:right w:val="nil"/>
            </w:tcBorders>
            <w:shd w:val="clear" w:color="auto" w:fill="auto"/>
            <w:noWrap/>
            <w:vAlign w:val="center"/>
            <w:hideMark/>
          </w:tcPr>
          <w:p w14:paraId="4E3E200A" w14:textId="77777777" w:rsidR="004403D5" w:rsidRPr="00AF2A95" w:rsidRDefault="004403D5" w:rsidP="004403D5">
            <w:pPr>
              <w:jc w:val="center"/>
            </w:pPr>
            <w:r w:rsidRPr="00AF2A95">
              <w:t>12,00%</w:t>
            </w:r>
          </w:p>
        </w:tc>
      </w:tr>
      <w:tr w:rsidR="004403D5" w:rsidRPr="00AF2A95" w14:paraId="57C7B05F" w14:textId="77777777" w:rsidTr="004403D5">
        <w:trPr>
          <w:trHeight w:val="70"/>
        </w:trPr>
        <w:tc>
          <w:tcPr>
            <w:tcW w:w="9072" w:type="dxa"/>
            <w:gridSpan w:val="6"/>
            <w:tcBorders>
              <w:top w:val="single" w:sz="4" w:space="0" w:color="auto"/>
              <w:left w:val="nil"/>
              <w:bottom w:val="single" w:sz="4" w:space="0" w:color="auto"/>
            </w:tcBorders>
            <w:shd w:val="clear" w:color="auto" w:fill="auto"/>
            <w:vAlign w:val="center"/>
          </w:tcPr>
          <w:p w14:paraId="3F5C6CD3" w14:textId="77777777" w:rsidR="004403D5" w:rsidRPr="00AF2A95" w:rsidRDefault="004403D5" w:rsidP="004403D5">
            <w:pPr>
              <w:jc w:val="center"/>
              <w:rPr>
                <w:sz w:val="10"/>
                <w:szCs w:val="10"/>
              </w:rPr>
            </w:pPr>
          </w:p>
        </w:tc>
      </w:tr>
      <w:tr w:rsidR="004403D5" w:rsidRPr="00AF2A95" w14:paraId="7AA6B6F8" w14:textId="77777777" w:rsidTr="004403D5">
        <w:trPr>
          <w:trHeight w:val="70"/>
        </w:trPr>
        <w:tc>
          <w:tcPr>
            <w:tcW w:w="1066" w:type="dxa"/>
            <w:tcBorders>
              <w:top w:val="nil"/>
              <w:left w:val="nil"/>
              <w:bottom w:val="single" w:sz="4" w:space="0" w:color="auto"/>
              <w:right w:val="single" w:sz="4" w:space="0" w:color="auto"/>
            </w:tcBorders>
            <w:shd w:val="clear" w:color="000000" w:fill="F2F2F2"/>
            <w:noWrap/>
            <w:vAlign w:val="center"/>
            <w:hideMark/>
          </w:tcPr>
          <w:p w14:paraId="22C5FE8F" w14:textId="77777777" w:rsidR="004403D5" w:rsidRPr="00AF2A95" w:rsidRDefault="004403D5" w:rsidP="004403D5">
            <w:pPr>
              <w:jc w:val="center"/>
              <w:rPr>
                <w:b/>
                <w:bCs/>
              </w:rPr>
            </w:pPr>
            <w:r w:rsidRPr="00AF2A95">
              <w:rPr>
                <w:b/>
                <w:bCs/>
              </w:rPr>
              <w:t>Variáveis</w:t>
            </w:r>
          </w:p>
        </w:tc>
        <w:tc>
          <w:tcPr>
            <w:tcW w:w="2087" w:type="dxa"/>
            <w:tcBorders>
              <w:top w:val="nil"/>
              <w:left w:val="nil"/>
              <w:bottom w:val="single" w:sz="4" w:space="0" w:color="auto"/>
              <w:right w:val="single" w:sz="4" w:space="0" w:color="auto"/>
            </w:tcBorders>
            <w:shd w:val="clear" w:color="000000" w:fill="F2F2F2"/>
            <w:noWrap/>
            <w:vAlign w:val="center"/>
            <w:hideMark/>
          </w:tcPr>
          <w:p w14:paraId="20C389D2" w14:textId="77777777" w:rsidR="004403D5" w:rsidRPr="00AF2A95" w:rsidRDefault="004403D5" w:rsidP="004403D5">
            <w:pPr>
              <w:jc w:val="center"/>
              <w:rPr>
                <w:b/>
                <w:bCs/>
              </w:rPr>
            </w:pPr>
            <w:r w:rsidRPr="00AF2A95">
              <w:rPr>
                <w:b/>
                <w:bCs/>
              </w:rPr>
              <w:t>Origens dos dados</w:t>
            </w:r>
          </w:p>
        </w:tc>
        <w:tc>
          <w:tcPr>
            <w:tcW w:w="1530" w:type="dxa"/>
            <w:tcBorders>
              <w:top w:val="nil"/>
              <w:left w:val="nil"/>
              <w:bottom w:val="single" w:sz="4" w:space="0" w:color="auto"/>
              <w:right w:val="single" w:sz="4" w:space="0" w:color="auto"/>
            </w:tcBorders>
            <w:shd w:val="clear" w:color="000000" w:fill="F2F2F2"/>
            <w:noWrap/>
            <w:vAlign w:val="center"/>
            <w:hideMark/>
          </w:tcPr>
          <w:p w14:paraId="088AF6EA" w14:textId="77777777" w:rsidR="004403D5" w:rsidRPr="00AF2A95" w:rsidRDefault="004403D5" w:rsidP="004403D5">
            <w:pPr>
              <w:jc w:val="center"/>
              <w:rPr>
                <w:b/>
                <w:bCs/>
              </w:rPr>
            </w:pPr>
            <w:r w:rsidRPr="00AF2A95">
              <w:rPr>
                <w:b/>
                <w:bCs/>
              </w:rPr>
              <w:t>2012</w:t>
            </w:r>
          </w:p>
        </w:tc>
        <w:tc>
          <w:tcPr>
            <w:tcW w:w="1499" w:type="dxa"/>
            <w:tcBorders>
              <w:top w:val="nil"/>
              <w:left w:val="nil"/>
              <w:bottom w:val="single" w:sz="4" w:space="0" w:color="auto"/>
              <w:right w:val="single" w:sz="4" w:space="0" w:color="auto"/>
            </w:tcBorders>
            <w:shd w:val="clear" w:color="000000" w:fill="F2F2F2"/>
            <w:noWrap/>
            <w:vAlign w:val="center"/>
            <w:hideMark/>
          </w:tcPr>
          <w:p w14:paraId="562F1645" w14:textId="77777777" w:rsidR="004403D5" w:rsidRPr="00AF2A95" w:rsidRDefault="004403D5" w:rsidP="004403D5">
            <w:pPr>
              <w:jc w:val="center"/>
              <w:rPr>
                <w:b/>
                <w:bCs/>
              </w:rPr>
            </w:pPr>
            <w:r w:rsidRPr="00AF2A95">
              <w:rPr>
                <w:b/>
                <w:bCs/>
              </w:rPr>
              <w:t>2013</w:t>
            </w:r>
          </w:p>
        </w:tc>
        <w:tc>
          <w:tcPr>
            <w:tcW w:w="1437" w:type="dxa"/>
            <w:tcBorders>
              <w:top w:val="nil"/>
              <w:left w:val="nil"/>
              <w:bottom w:val="single" w:sz="4" w:space="0" w:color="auto"/>
              <w:right w:val="single" w:sz="4" w:space="0" w:color="auto"/>
            </w:tcBorders>
            <w:shd w:val="clear" w:color="000000" w:fill="F2F2F2"/>
            <w:noWrap/>
            <w:vAlign w:val="center"/>
            <w:hideMark/>
          </w:tcPr>
          <w:p w14:paraId="677635CC" w14:textId="77777777" w:rsidR="004403D5" w:rsidRPr="00AF2A95" w:rsidRDefault="004403D5" w:rsidP="004403D5">
            <w:pPr>
              <w:jc w:val="center"/>
              <w:rPr>
                <w:b/>
                <w:bCs/>
              </w:rPr>
            </w:pPr>
            <w:r w:rsidRPr="00AF2A95">
              <w:rPr>
                <w:b/>
                <w:bCs/>
              </w:rPr>
              <w:t>2014</w:t>
            </w:r>
          </w:p>
        </w:tc>
        <w:tc>
          <w:tcPr>
            <w:tcW w:w="1453" w:type="dxa"/>
            <w:tcBorders>
              <w:top w:val="nil"/>
              <w:left w:val="nil"/>
              <w:bottom w:val="single" w:sz="4" w:space="0" w:color="auto"/>
              <w:right w:val="nil"/>
            </w:tcBorders>
            <w:shd w:val="clear" w:color="000000" w:fill="F2F2F2"/>
            <w:noWrap/>
            <w:vAlign w:val="center"/>
            <w:hideMark/>
          </w:tcPr>
          <w:p w14:paraId="3CFAC00E" w14:textId="77777777" w:rsidR="004403D5" w:rsidRPr="00AF2A95" w:rsidRDefault="004403D5" w:rsidP="004403D5">
            <w:pPr>
              <w:jc w:val="center"/>
              <w:rPr>
                <w:b/>
                <w:bCs/>
              </w:rPr>
            </w:pPr>
            <w:r w:rsidRPr="00AF2A95">
              <w:rPr>
                <w:b/>
                <w:bCs/>
              </w:rPr>
              <w:t>2015</w:t>
            </w:r>
          </w:p>
        </w:tc>
      </w:tr>
      <w:tr w:rsidR="004403D5" w:rsidRPr="00AF2A95" w14:paraId="1BA277B3" w14:textId="77777777" w:rsidTr="004403D5">
        <w:trPr>
          <w:trHeight w:val="70"/>
        </w:trPr>
        <w:tc>
          <w:tcPr>
            <w:tcW w:w="1066" w:type="dxa"/>
            <w:vMerge w:val="restart"/>
            <w:tcBorders>
              <w:top w:val="nil"/>
              <w:left w:val="nil"/>
              <w:bottom w:val="single" w:sz="4" w:space="0" w:color="auto"/>
              <w:right w:val="single" w:sz="4" w:space="0" w:color="auto"/>
            </w:tcBorders>
            <w:shd w:val="clear" w:color="auto" w:fill="auto"/>
            <w:noWrap/>
            <w:vAlign w:val="center"/>
            <w:hideMark/>
          </w:tcPr>
          <w:p w14:paraId="68C638C9" w14:textId="77777777" w:rsidR="004403D5" w:rsidRPr="00AF2A95" w:rsidRDefault="004403D5" w:rsidP="004403D5">
            <w:r w:rsidRPr="00AF2A95">
              <w:t>REC</w:t>
            </w:r>
          </w:p>
        </w:tc>
        <w:tc>
          <w:tcPr>
            <w:tcW w:w="2087" w:type="dxa"/>
            <w:tcBorders>
              <w:top w:val="nil"/>
              <w:left w:val="nil"/>
              <w:bottom w:val="nil"/>
              <w:right w:val="single" w:sz="4" w:space="0" w:color="auto"/>
            </w:tcBorders>
            <w:shd w:val="clear" w:color="auto" w:fill="auto"/>
            <w:noWrap/>
            <w:vAlign w:val="center"/>
            <w:hideMark/>
          </w:tcPr>
          <w:p w14:paraId="177D580E" w14:textId="77777777" w:rsidR="004403D5" w:rsidRPr="00AF2A95" w:rsidRDefault="004403D5" w:rsidP="004403D5">
            <w:r w:rsidRPr="00AF2A95">
              <w:t>TCE/SC</w:t>
            </w:r>
          </w:p>
        </w:tc>
        <w:tc>
          <w:tcPr>
            <w:tcW w:w="1530" w:type="dxa"/>
            <w:tcBorders>
              <w:top w:val="nil"/>
              <w:left w:val="nil"/>
              <w:bottom w:val="nil"/>
              <w:right w:val="single" w:sz="4" w:space="0" w:color="auto"/>
            </w:tcBorders>
            <w:shd w:val="clear" w:color="auto" w:fill="auto"/>
            <w:noWrap/>
            <w:vAlign w:val="center"/>
            <w:hideMark/>
          </w:tcPr>
          <w:p w14:paraId="3EA7CD2E" w14:textId="77777777" w:rsidR="004403D5" w:rsidRPr="00AF2A95" w:rsidRDefault="004403D5" w:rsidP="004403D5">
            <w:pPr>
              <w:jc w:val="right"/>
            </w:pPr>
            <w:r w:rsidRPr="00AF2A95">
              <w:t>12.239.320.689</w:t>
            </w:r>
          </w:p>
        </w:tc>
        <w:tc>
          <w:tcPr>
            <w:tcW w:w="1499" w:type="dxa"/>
            <w:tcBorders>
              <w:top w:val="nil"/>
              <w:left w:val="nil"/>
              <w:bottom w:val="nil"/>
              <w:right w:val="single" w:sz="4" w:space="0" w:color="auto"/>
            </w:tcBorders>
            <w:shd w:val="clear" w:color="auto" w:fill="auto"/>
            <w:noWrap/>
            <w:vAlign w:val="center"/>
            <w:hideMark/>
          </w:tcPr>
          <w:p w14:paraId="46772B1D" w14:textId="77777777" w:rsidR="004403D5" w:rsidRPr="00AF2A95" w:rsidRDefault="004403D5" w:rsidP="004403D5">
            <w:pPr>
              <w:jc w:val="right"/>
            </w:pPr>
            <w:r w:rsidRPr="00AF2A95">
              <w:t>13.532.600.270</w:t>
            </w:r>
          </w:p>
        </w:tc>
        <w:tc>
          <w:tcPr>
            <w:tcW w:w="1437" w:type="dxa"/>
            <w:tcBorders>
              <w:top w:val="nil"/>
              <w:left w:val="nil"/>
              <w:bottom w:val="nil"/>
              <w:right w:val="single" w:sz="4" w:space="0" w:color="auto"/>
            </w:tcBorders>
            <w:shd w:val="clear" w:color="auto" w:fill="auto"/>
            <w:noWrap/>
            <w:vAlign w:val="center"/>
            <w:hideMark/>
          </w:tcPr>
          <w:p w14:paraId="64BDC35C" w14:textId="77777777" w:rsidR="004403D5" w:rsidRPr="00AF2A95" w:rsidRDefault="004403D5" w:rsidP="004403D5">
            <w:pPr>
              <w:jc w:val="right"/>
            </w:pPr>
            <w:r w:rsidRPr="00AF2A95">
              <w:t>15.217.109.166</w:t>
            </w:r>
          </w:p>
        </w:tc>
        <w:tc>
          <w:tcPr>
            <w:tcW w:w="1453" w:type="dxa"/>
            <w:tcBorders>
              <w:top w:val="nil"/>
              <w:left w:val="nil"/>
              <w:bottom w:val="nil"/>
              <w:right w:val="nil"/>
            </w:tcBorders>
            <w:shd w:val="clear" w:color="auto" w:fill="auto"/>
            <w:noWrap/>
            <w:vAlign w:val="center"/>
            <w:hideMark/>
          </w:tcPr>
          <w:p w14:paraId="5EFC99BB" w14:textId="77777777" w:rsidR="004403D5" w:rsidRPr="00AF2A95" w:rsidRDefault="004403D5" w:rsidP="004403D5">
            <w:pPr>
              <w:jc w:val="right"/>
            </w:pPr>
            <w:r w:rsidRPr="00AF2A95">
              <w:t>16.477.870.142</w:t>
            </w:r>
          </w:p>
        </w:tc>
      </w:tr>
      <w:tr w:rsidR="004403D5" w:rsidRPr="00AF2A95" w14:paraId="48B033A6" w14:textId="77777777" w:rsidTr="004403D5">
        <w:trPr>
          <w:trHeight w:val="70"/>
        </w:trPr>
        <w:tc>
          <w:tcPr>
            <w:tcW w:w="1066" w:type="dxa"/>
            <w:vMerge/>
            <w:tcBorders>
              <w:top w:val="nil"/>
              <w:left w:val="nil"/>
              <w:bottom w:val="single" w:sz="4" w:space="0" w:color="auto"/>
              <w:right w:val="single" w:sz="4" w:space="0" w:color="auto"/>
            </w:tcBorders>
            <w:vAlign w:val="center"/>
            <w:hideMark/>
          </w:tcPr>
          <w:p w14:paraId="42D6BC8F" w14:textId="77777777" w:rsidR="004403D5" w:rsidRPr="00AF2A95" w:rsidRDefault="004403D5" w:rsidP="004403D5"/>
        </w:tc>
        <w:tc>
          <w:tcPr>
            <w:tcW w:w="2087" w:type="dxa"/>
            <w:tcBorders>
              <w:top w:val="nil"/>
              <w:left w:val="nil"/>
              <w:bottom w:val="single" w:sz="4" w:space="0" w:color="auto"/>
              <w:right w:val="single" w:sz="4" w:space="0" w:color="auto"/>
            </w:tcBorders>
            <w:shd w:val="clear" w:color="auto" w:fill="auto"/>
            <w:noWrap/>
            <w:vAlign w:val="center"/>
            <w:hideMark/>
          </w:tcPr>
          <w:p w14:paraId="430C8C12" w14:textId="77777777" w:rsidR="004403D5" w:rsidRPr="00AF2A95" w:rsidRDefault="004403D5" w:rsidP="004403D5">
            <w:r w:rsidRPr="00AF2A95">
              <w:t>SEF/SC</w:t>
            </w:r>
          </w:p>
        </w:tc>
        <w:tc>
          <w:tcPr>
            <w:tcW w:w="1530" w:type="dxa"/>
            <w:tcBorders>
              <w:top w:val="nil"/>
              <w:left w:val="nil"/>
              <w:bottom w:val="single" w:sz="4" w:space="0" w:color="auto"/>
              <w:right w:val="single" w:sz="4" w:space="0" w:color="auto"/>
            </w:tcBorders>
            <w:shd w:val="clear" w:color="auto" w:fill="auto"/>
            <w:noWrap/>
            <w:vAlign w:val="center"/>
            <w:hideMark/>
          </w:tcPr>
          <w:p w14:paraId="53666B60" w14:textId="77777777" w:rsidR="004403D5" w:rsidRPr="00AF2A95" w:rsidRDefault="004403D5" w:rsidP="004403D5">
            <w:pPr>
              <w:jc w:val="right"/>
            </w:pPr>
            <w:r w:rsidRPr="00AF2A95">
              <w:t>12.026.391.125</w:t>
            </w:r>
          </w:p>
        </w:tc>
        <w:tc>
          <w:tcPr>
            <w:tcW w:w="1499" w:type="dxa"/>
            <w:tcBorders>
              <w:top w:val="nil"/>
              <w:left w:val="nil"/>
              <w:bottom w:val="single" w:sz="4" w:space="0" w:color="auto"/>
              <w:right w:val="single" w:sz="4" w:space="0" w:color="auto"/>
            </w:tcBorders>
            <w:shd w:val="clear" w:color="auto" w:fill="auto"/>
            <w:noWrap/>
            <w:vAlign w:val="center"/>
            <w:hideMark/>
          </w:tcPr>
          <w:p w14:paraId="1B321DBD" w14:textId="77777777" w:rsidR="004403D5" w:rsidRPr="00AF2A95" w:rsidRDefault="004403D5" w:rsidP="004403D5">
            <w:pPr>
              <w:jc w:val="right"/>
            </w:pPr>
            <w:r w:rsidRPr="00AF2A95">
              <w:t>13.532.600.270</w:t>
            </w:r>
          </w:p>
        </w:tc>
        <w:tc>
          <w:tcPr>
            <w:tcW w:w="1437" w:type="dxa"/>
            <w:tcBorders>
              <w:top w:val="nil"/>
              <w:left w:val="nil"/>
              <w:bottom w:val="single" w:sz="4" w:space="0" w:color="auto"/>
              <w:right w:val="single" w:sz="4" w:space="0" w:color="auto"/>
            </w:tcBorders>
            <w:shd w:val="clear" w:color="auto" w:fill="auto"/>
            <w:noWrap/>
            <w:vAlign w:val="center"/>
            <w:hideMark/>
          </w:tcPr>
          <w:p w14:paraId="6CABA9A8" w14:textId="77777777" w:rsidR="004403D5" w:rsidRPr="00AF2A95" w:rsidRDefault="004403D5" w:rsidP="004403D5">
            <w:pPr>
              <w:jc w:val="right"/>
            </w:pPr>
            <w:r w:rsidRPr="00AF2A95">
              <w:t>15.217.109.167</w:t>
            </w:r>
          </w:p>
        </w:tc>
        <w:tc>
          <w:tcPr>
            <w:tcW w:w="1453" w:type="dxa"/>
            <w:tcBorders>
              <w:top w:val="nil"/>
              <w:left w:val="nil"/>
              <w:bottom w:val="single" w:sz="4" w:space="0" w:color="auto"/>
              <w:right w:val="nil"/>
            </w:tcBorders>
            <w:shd w:val="clear" w:color="auto" w:fill="auto"/>
            <w:noWrap/>
            <w:vAlign w:val="center"/>
            <w:hideMark/>
          </w:tcPr>
          <w:p w14:paraId="1098959C" w14:textId="77777777" w:rsidR="004403D5" w:rsidRPr="00AF2A95" w:rsidRDefault="004403D5" w:rsidP="004403D5">
            <w:pPr>
              <w:jc w:val="right"/>
            </w:pPr>
            <w:r w:rsidRPr="00AF2A95">
              <w:t>15.881.005.556</w:t>
            </w:r>
          </w:p>
        </w:tc>
      </w:tr>
      <w:tr w:rsidR="004403D5" w:rsidRPr="00AF2A95" w14:paraId="7C91C10F" w14:textId="77777777" w:rsidTr="004403D5">
        <w:trPr>
          <w:trHeight w:val="70"/>
        </w:trPr>
        <w:tc>
          <w:tcPr>
            <w:tcW w:w="1066" w:type="dxa"/>
            <w:vMerge w:val="restart"/>
            <w:tcBorders>
              <w:top w:val="nil"/>
              <w:left w:val="nil"/>
              <w:bottom w:val="single" w:sz="4" w:space="0" w:color="auto"/>
              <w:right w:val="single" w:sz="4" w:space="0" w:color="auto"/>
            </w:tcBorders>
            <w:shd w:val="clear" w:color="auto" w:fill="auto"/>
            <w:noWrap/>
            <w:vAlign w:val="center"/>
            <w:hideMark/>
          </w:tcPr>
          <w:p w14:paraId="2ABA4711" w14:textId="77777777" w:rsidR="004403D5" w:rsidRPr="00AF2A95" w:rsidRDefault="004403D5" w:rsidP="004403D5">
            <w:r w:rsidRPr="00AF2A95">
              <w:t>DEC</w:t>
            </w:r>
          </w:p>
        </w:tc>
        <w:tc>
          <w:tcPr>
            <w:tcW w:w="2087" w:type="dxa"/>
            <w:tcBorders>
              <w:top w:val="nil"/>
              <w:left w:val="nil"/>
              <w:bottom w:val="nil"/>
              <w:right w:val="single" w:sz="4" w:space="0" w:color="auto"/>
            </w:tcBorders>
            <w:shd w:val="clear" w:color="auto" w:fill="auto"/>
            <w:noWrap/>
            <w:vAlign w:val="center"/>
            <w:hideMark/>
          </w:tcPr>
          <w:p w14:paraId="47450FE5" w14:textId="77777777" w:rsidR="004403D5" w:rsidRPr="00AF2A95" w:rsidRDefault="004403D5" w:rsidP="004403D5">
            <w:r w:rsidRPr="00AF2A95">
              <w:t>TCE/SC</w:t>
            </w:r>
          </w:p>
        </w:tc>
        <w:tc>
          <w:tcPr>
            <w:tcW w:w="1530" w:type="dxa"/>
            <w:tcBorders>
              <w:top w:val="nil"/>
              <w:left w:val="nil"/>
              <w:bottom w:val="nil"/>
              <w:right w:val="single" w:sz="4" w:space="0" w:color="auto"/>
            </w:tcBorders>
            <w:shd w:val="clear" w:color="auto" w:fill="auto"/>
            <w:noWrap/>
            <w:vAlign w:val="center"/>
            <w:hideMark/>
          </w:tcPr>
          <w:p w14:paraId="3F7FB14A" w14:textId="77777777" w:rsidR="004403D5" w:rsidRPr="00AF2A95" w:rsidRDefault="004403D5" w:rsidP="004403D5">
            <w:pPr>
              <w:jc w:val="right"/>
            </w:pPr>
            <w:r w:rsidRPr="00AF2A95">
              <w:t>1.297.544.864</w:t>
            </w:r>
          </w:p>
        </w:tc>
        <w:tc>
          <w:tcPr>
            <w:tcW w:w="1499" w:type="dxa"/>
            <w:tcBorders>
              <w:top w:val="nil"/>
              <w:left w:val="nil"/>
              <w:bottom w:val="nil"/>
              <w:right w:val="single" w:sz="4" w:space="0" w:color="auto"/>
            </w:tcBorders>
            <w:shd w:val="clear" w:color="auto" w:fill="auto"/>
            <w:noWrap/>
            <w:vAlign w:val="center"/>
            <w:hideMark/>
          </w:tcPr>
          <w:p w14:paraId="20C12958" w14:textId="77777777" w:rsidR="004403D5" w:rsidRPr="00AF2A95" w:rsidRDefault="004403D5" w:rsidP="004403D5">
            <w:pPr>
              <w:jc w:val="right"/>
            </w:pPr>
            <w:r w:rsidRPr="00AF2A95">
              <w:t>1.626.685.513</w:t>
            </w:r>
          </w:p>
        </w:tc>
        <w:tc>
          <w:tcPr>
            <w:tcW w:w="1437" w:type="dxa"/>
            <w:tcBorders>
              <w:top w:val="nil"/>
              <w:left w:val="nil"/>
              <w:bottom w:val="nil"/>
              <w:right w:val="single" w:sz="4" w:space="0" w:color="auto"/>
            </w:tcBorders>
            <w:shd w:val="clear" w:color="auto" w:fill="auto"/>
            <w:noWrap/>
            <w:vAlign w:val="center"/>
            <w:hideMark/>
          </w:tcPr>
          <w:p w14:paraId="2D5BD70F" w14:textId="77777777" w:rsidR="004403D5" w:rsidRPr="00AF2A95" w:rsidRDefault="004403D5" w:rsidP="004403D5">
            <w:pPr>
              <w:jc w:val="right"/>
            </w:pPr>
            <w:r w:rsidRPr="00AF2A95">
              <w:t>1.843.355.645</w:t>
            </w:r>
          </w:p>
        </w:tc>
        <w:tc>
          <w:tcPr>
            <w:tcW w:w="1453" w:type="dxa"/>
            <w:tcBorders>
              <w:top w:val="nil"/>
              <w:left w:val="nil"/>
              <w:bottom w:val="nil"/>
              <w:right w:val="nil"/>
            </w:tcBorders>
            <w:shd w:val="clear" w:color="auto" w:fill="auto"/>
            <w:noWrap/>
            <w:vAlign w:val="center"/>
            <w:hideMark/>
          </w:tcPr>
          <w:p w14:paraId="375615DE" w14:textId="77777777" w:rsidR="004403D5" w:rsidRPr="00AF2A95" w:rsidRDefault="004403D5" w:rsidP="004403D5">
            <w:pPr>
              <w:jc w:val="right"/>
            </w:pPr>
            <w:r w:rsidRPr="00AF2A95">
              <w:t>2.026.186.059</w:t>
            </w:r>
          </w:p>
        </w:tc>
      </w:tr>
      <w:tr w:rsidR="004403D5" w:rsidRPr="00AF2A95" w14:paraId="46CCBF52" w14:textId="77777777" w:rsidTr="004403D5">
        <w:trPr>
          <w:trHeight w:val="70"/>
        </w:trPr>
        <w:tc>
          <w:tcPr>
            <w:tcW w:w="1066" w:type="dxa"/>
            <w:vMerge/>
            <w:tcBorders>
              <w:top w:val="nil"/>
              <w:left w:val="nil"/>
              <w:bottom w:val="single" w:sz="4" w:space="0" w:color="auto"/>
              <w:right w:val="single" w:sz="4" w:space="0" w:color="auto"/>
            </w:tcBorders>
            <w:vAlign w:val="center"/>
            <w:hideMark/>
          </w:tcPr>
          <w:p w14:paraId="7EA84D5D" w14:textId="77777777" w:rsidR="004403D5" w:rsidRPr="00AF2A95" w:rsidRDefault="004403D5" w:rsidP="004403D5"/>
        </w:tc>
        <w:tc>
          <w:tcPr>
            <w:tcW w:w="2087" w:type="dxa"/>
            <w:tcBorders>
              <w:top w:val="nil"/>
              <w:left w:val="nil"/>
              <w:bottom w:val="single" w:sz="4" w:space="0" w:color="auto"/>
              <w:right w:val="single" w:sz="4" w:space="0" w:color="auto"/>
            </w:tcBorders>
            <w:shd w:val="clear" w:color="auto" w:fill="auto"/>
            <w:noWrap/>
            <w:vAlign w:val="center"/>
            <w:hideMark/>
          </w:tcPr>
          <w:p w14:paraId="19ACDECD" w14:textId="77777777" w:rsidR="004403D5" w:rsidRPr="00AF2A95" w:rsidRDefault="004403D5" w:rsidP="004403D5">
            <w:r w:rsidRPr="00AF2A95">
              <w:t>SEF/SC</w:t>
            </w:r>
          </w:p>
        </w:tc>
        <w:tc>
          <w:tcPr>
            <w:tcW w:w="1530" w:type="dxa"/>
            <w:tcBorders>
              <w:top w:val="nil"/>
              <w:left w:val="nil"/>
              <w:bottom w:val="single" w:sz="4" w:space="0" w:color="auto"/>
              <w:right w:val="single" w:sz="4" w:space="0" w:color="auto"/>
            </w:tcBorders>
            <w:shd w:val="clear" w:color="auto" w:fill="auto"/>
            <w:noWrap/>
            <w:vAlign w:val="center"/>
            <w:hideMark/>
          </w:tcPr>
          <w:p w14:paraId="17EC153F" w14:textId="77777777" w:rsidR="004403D5" w:rsidRPr="00AF2A95" w:rsidRDefault="004403D5" w:rsidP="004403D5">
            <w:pPr>
              <w:jc w:val="right"/>
            </w:pPr>
            <w:r w:rsidRPr="00AF2A95">
              <w:t>1.460.566.795</w:t>
            </w:r>
          </w:p>
        </w:tc>
        <w:tc>
          <w:tcPr>
            <w:tcW w:w="1499" w:type="dxa"/>
            <w:tcBorders>
              <w:top w:val="nil"/>
              <w:left w:val="nil"/>
              <w:bottom w:val="single" w:sz="4" w:space="0" w:color="auto"/>
              <w:right w:val="single" w:sz="4" w:space="0" w:color="auto"/>
            </w:tcBorders>
            <w:shd w:val="clear" w:color="auto" w:fill="auto"/>
            <w:noWrap/>
            <w:vAlign w:val="center"/>
            <w:hideMark/>
          </w:tcPr>
          <w:p w14:paraId="56F7E342" w14:textId="77777777" w:rsidR="004403D5" w:rsidRPr="00AF2A95" w:rsidRDefault="004403D5" w:rsidP="004403D5">
            <w:pPr>
              <w:jc w:val="right"/>
            </w:pPr>
            <w:r w:rsidRPr="00AF2A95">
              <w:t>1.626.685.513</w:t>
            </w:r>
          </w:p>
        </w:tc>
        <w:tc>
          <w:tcPr>
            <w:tcW w:w="1437" w:type="dxa"/>
            <w:tcBorders>
              <w:top w:val="nil"/>
              <w:left w:val="nil"/>
              <w:bottom w:val="single" w:sz="4" w:space="0" w:color="auto"/>
              <w:right w:val="single" w:sz="4" w:space="0" w:color="auto"/>
            </w:tcBorders>
            <w:shd w:val="clear" w:color="auto" w:fill="auto"/>
            <w:noWrap/>
            <w:vAlign w:val="center"/>
            <w:hideMark/>
          </w:tcPr>
          <w:p w14:paraId="7ED63EDA" w14:textId="77777777" w:rsidR="004403D5" w:rsidRPr="00AF2A95" w:rsidRDefault="004403D5" w:rsidP="004403D5">
            <w:pPr>
              <w:jc w:val="right"/>
            </w:pPr>
            <w:r w:rsidRPr="00AF2A95">
              <w:t>1.843.355.645</w:t>
            </w:r>
          </w:p>
        </w:tc>
        <w:tc>
          <w:tcPr>
            <w:tcW w:w="1453" w:type="dxa"/>
            <w:tcBorders>
              <w:top w:val="nil"/>
              <w:left w:val="nil"/>
              <w:bottom w:val="single" w:sz="4" w:space="0" w:color="auto"/>
              <w:right w:val="nil"/>
            </w:tcBorders>
            <w:shd w:val="clear" w:color="auto" w:fill="auto"/>
            <w:noWrap/>
            <w:vAlign w:val="center"/>
            <w:hideMark/>
          </w:tcPr>
          <w:p w14:paraId="7C363644" w14:textId="77777777" w:rsidR="004403D5" w:rsidRPr="00AF2A95" w:rsidRDefault="004403D5" w:rsidP="004403D5">
            <w:pPr>
              <w:jc w:val="right"/>
            </w:pPr>
            <w:r w:rsidRPr="00AF2A95">
              <w:t>2.041.716.501</w:t>
            </w:r>
          </w:p>
        </w:tc>
      </w:tr>
      <w:tr w:rsidR="004403D5" w:rsidRPr="00AF2A95" w14:paraId="7A3B4EC9" w14:textId="77777777" w:rsidTr="004403D5">
        <w:trPr>
          <w:trHeight w:val="70"/>
        </w:trPr>
        <w:tc>
          <w:tcPr>
            <w:tcW w:w="1066" w:type="dxa"/>
            <w:vMerge w:val="restart"/>
            <w:tcBorders>
              <w:top w:val="nil"/>
              <w:left w:val="nil"/>
              <w:bottom w:val="single" w:sz="4" w:space="0" w:color="auto"/>
              <w:right w:val="single" w:sz="4" w:space="0" w:color="auto"/>
            </w:tcBorders>
            <w:shd w:val="clear" w:color="auto" w:fill="auto"/>
            <w:vAlign w:val="center"/>
            <w:hideMark/>
          </w:tcPr>
          <w:p w14:paraId="37D486EE" w14:textId="77777777" w:rsidR="004403D5" w:rsidRPr="00AF2A95" w:rsidRDefault="004403D5" w:rsidP="004403D5">
            <w:r w:rsidRPr="00AF2A95">
              <w:t>Aplicação em Saúde</w:t>
            </w:r>
          </w:p>
        </w:tc>
        <w:tc>
          <w:tcPr>
            <w:tcW w:w="2087" w:type="dxa"/>
            <w:tcBorders>
              <w:top w:val="nil"/>
              <w:left w:val="nil"/>
              <w:bottom w:val="nil"/>
              <w:right w:val="single" w:sz="4" w:space="0" w:color="auto"/>
            </w:tcBorders>
            <w:shd w:val="clear" w:color="auto" w:fill="auto"/>
            <w:noWrap/>
            <w:vAlign w:val="center"/>
            <w:hideMark/>
          </w:tcPr>
          <w:p w14:paraId="6F491FA4" w14:textId="77777777" w:rsidR="004403D5" w:rsidRPr="00AF2A95" w:rsidRDefault="004403D5" w:rsidP="004403D5">
            <w:r w:rsidRPr="00AF2A95">
              <w:t>TCE/SC</w:t>
            </w:r>
          </w:p>
        </w:tc>
        <w:tc>
          <w:tcPr>
            <w:tcW w:w="1530" w:type="dxa"/>
            <w:tcBorders>
              <w:top w:val="nil"/>
              <w:left w:val="nil"/>
              <w:bottom w:val="nil"/>
              <w:right w:val="single" w:sz="4" w:space="0" w:color="auto"/>
            </w:tcBorders>
            <w:shd w:val="clear" w:color="auto" w:fill="auto"/>
            <w:noWrap/>
            <w:vAlign w:val="center"/>
            <w:hideMark/>
          </w:tcPr>
          <w:p w14:paraId="634FC5D8" w14:textId="77777777" w:rsidR="004403D5" w:rsidRPr="00AF2A95" w:rsidRDefault="004403D5" w:rsidP="004403D5">
            <w:pPr>
              <w:jc w:val="center"/>
            </w:pPr>
            <w:r w:rsidRPr="00AF2A95">
              <w:t>10,60%</w:t>
            </w:r>
          </w:p>
        </w:tc>
        <w:tc>
          <w:tcPr>
            <w:tcW w:w="1499" w:type="dxa"/>
            <w:tcBorders>
              <w:top w:val="nil"/>
              <w:left w:val="nil"/>
              <w:bottom w:val="nil"/>
              <w:right w:val="single" w:sz="4" w:space="0" w:color="auto"/>
            </w:tcBorders>
            <w:shd w:val="clear" w:color="auto" w:fill="auto"/>
            <w:noWrap/>
            <w:vAlign w:val="center"/>
            <w:hideMark/>
          </w:tcPr>
          <w:p w14:paraId="0665E5A2" w14:textId="77777777" w:rsidR="004403D5" w:rsidRPr="00AF2A95" w:rsidRDefault="004403D5" w:rsidP="004403D5">
            <w:pPr>
              <w:jc w:val="center"/>
            </w:pPr>
            <w:r w:rsidRPr="00AF2A95">
              <w:t>12,02%</w:t>
            </w:r>
          </w:p>
        </w:tc>
        <w:tc>
          <w:tcPr>
            <w:tcW w:w="1437" w:type="dxa"/>
            <w:tcBorders>
              <w:top w:val="nil"/>
              <w:left w:val="nil"/>
              <w:bottom w:val="nil"/>
              <w:right w:val="single" w:sz="4" w:space="0" w:color="auto"/>
            </w:tcBorders>
            <w:shd w:val="clear" w:color="auto" w:fill="auto"/>
            <w:noWrap/>
            <w:vAlign w:val="center"/>
            <w:hideMark/>
          </w:tcPr>
          <w:p w14:paraId="0E273C7D" w14:textId="77777777" w:rsidR="004403D5" w:rsidRPr="00AF2A95" w:rsidRDefault="004403D5" w:rsidP="004403D5">
            <w:pPr>
              <w:jc w:val="center"/>
            </w:pPr>
            <w:r w:rsidRPr="00AF2A95">
              <w:t>12,11%</w:t>
            </w:r>
          </w:p>
        </w:tc>
        <w:tc>
          <w:tcPr>
            <w:tcW w:w="1453" w:type="dxa"/>
            <w:tcBorders>
              <w:top w:val="nil"/>
              <w:left w:val="nil"/>
              <w:bottom w:val="nil"/>
              <w:right w:val="nil"/>
            </w:tcBorders>
            <w:shd w:val="clear" w:color="auto" w:fill="auto"/>
            <w:noWrap/>
            <w:vAlign w:val="center"/>
            <w:hideMark/>
          </w:tcPr>
          <w:p w14:paraId="12484993" w14:textId="77777777" w:rsidR="004403D5" w:rsidRPr="00AF2A95" w:rsidRDefault="004403D5" w:rsidP="004403D5">
            <w:pPr>
              <w:jc w:val="center"/>
            </w:pPr>
            <w:r w:rsidRPr="00AF2A95">
              <w:t>12,30%</w:t>
            </w:r>
          </w:p>
        </w:tc>
      </w:tr>
      <w:tr w:rsidR="004403D5" w:rsidRPr="00AF2A95" w14:paraId="44988878" w14:textId="77777777" w:rsidTr="004403D5">
        <w:trPr>
          <w:trHeight w:val="70"/>
        </w:trPr>
        <w:tc>
          <w:tcPr>
            <w:tcW w:w="1066" w:type="dxa"/>
            <w:vMerge/>
            <w:tcBorders>
              <w:top w:val="nil"/>
              <w:left w:val="nil"/>
              <w:bottom w:val="single" w:sz="4" w:space="0" w:color="auto"/>
              <w:right w:val="single" w:sz="4" w:space="0" w:color="auto"/>
            </w:tcBorders>
            <w:vAlign w:val="center"/>
            <w:hideMark/>
          </w:tcPr>
          <w:p w14:paraId="504A72AC" w14:textId="77777777" w:rsidR="004403D5" w:rsidRPr="00AF2A95" w:rsidRDefault="004403D5" w:rsidP="004403D5"/>
        </w:tc>
        <w:tc>
          <w:tcPr>
            <w:tcW w:w="2087" w:type="dxa"/>
            <w:tcBorders>
              <w:top w:val="nil"/>
              <w:left w:val="nil"/>
              <w:bottom w:val="single" w:sz="4" w:space="0" w:color="auto"/>
              <w:right w:val="single" w:sz="4" w:space="0" w:color="auto"/>
            </w:tcBorders>
            <w:shd w:val="clear" w:color="auto" w:fill="auto"/>
            <w:noWrap/>
            <w:vAlign w:val="center"/>
            <w:hideMark/>
          </w:tcPr>
          <w:p w14:paraId="531E21DA" w14:textId="77777777" w:rsidR="004403D5" w:rsidRPr="00AF2A95" w:rsidRDefault="004403D5" w:rsidP="004403D5">
            <w:r w:rsidRPr="00AF2A95">
              <w:t>SEF/SC</w:t>
            </w:r>
          </w:p>
        </w:tc>
        <w:tc>
          <w:tcPr>
            <w:tcW w:w="1530" w:type="dxa"/>
            <w:tcBorders>
              <w:top w:val="nil"/>
              <w:left w:val="nil"/>
              <w:bottom w:val="single" w:sz="4" w:space="0" w:color="auto"/>
              <w:right w:val="single" w:sz="4" w:space="0" w:color="auto"/>
            </w:tcBorders>
            <w:shd w:val="clear" w:color="auto" w:fill="auto"/>
            <w:noWrap/>
            <w:vAlign w:val="center"/>
            <w:hideMark/>
          </w:tcPr>
          <w:p w14:paraId="46057B37" w14:textId="77777777" w:rsidR="004403D5" w:rsidRPr="00AF2A95" w:rsidRDefault="004403D5" w:rsidP="004403D5">
            <w:pPr>
              <w:jc w:val="center"/>
            </w:pPr>
            <w:r w:rsidRPr="00AF2A95">
              <w:t>12,14%</w:t>
            </w:r>
          </w:p>
        </w:tc>
        <w:tc>
          <w:tcPr>
            <w:tcW w:w="1499" w:type="dxa"/>
            <w:tcBorders>
              <w:top w:val="nil"/>
              <w:left w:val="nil"/>
              <w:bottom w:val="single" w:sz="4" w:space="0" w:color="auto"/>
              <w:right w:val="single" w:sz="4" w:space="0" w:color="auto"/>
            </w:tcBorders>
            <w:shd w:val="clear" w:color="auto" w:fill="auto"/>
            <w:noWrap/>
            <w:vAlign w:val="center"/>
            <w:hideMark/>
          </w:tcPr>
          <w:p w14:paraId="5B54D0B5" w14:textId="77777777" w:rsidR="004403D5" w:rsidRPr="00AF2A95" w:rsidRDefault="004403D5" w:rsidP="004403D5">
            <w:pPr>
              <w:jc w:val="center"/>
            </w:pPr>
            <w:r w:rsidRPr="00AF2A95">
              <w:t>12,02%</w:t>
            </w:r>
          </w:p>
        </w:tc>
        <w:tc>
          <w:tcPr>
            <w:tcW w:w="1437" w:type="dxa"/>
            <w:tcBorders>
              <w:top w:val="nil"/>
              <w:left w:val="nil"/>
              <w:bottom w:val="single" w:sz="4" w:space="0" w:color="auto"/>
              <w:right w:val="single" w:sz="4" w:space="0" w:color="auto"/>
            </w:tcBorders>
            <w:shd w:val="clear" w:color="auto" w:fill="auto"/>
            <w:noWrap/>
            <w:vAlign w:val="center"/>
            <w:hideMark/>
          </w:tcPr>
          <w:p w14:paraId="5FD7A6E3" w14:textId="77777777" w:rsidR="004403D5" w:rsidRPr="00AF2A95" w:rsidRDefault="004403D5" w:rsidP="004403D5">
            <w:pPr>
              <w:jc w:val="center"/>
            </w:pPr>
            <w:r w:rsidRPr="00AF2A95">
              <w:t>12,11%</w:t>
            </w:r>
          </w:p>
        </w:tc>
        <w:tc>
          <w:tcPr>
            <w:tcW w:w="1453" w:type="dxa"/>
            <w:tcBorders>
              <w:top w:val="nil"/>
              <w:left w:val="nil"/>
              <w:bottom w:val="single" w:sz="4" w:space="0" w:color="auto"/>
              <w:right w:val="nil"/>
            </w:tcBorders>
            <w:shd w:val="clear" w:color="auto" w:fill="auto"/>
            <w:noWrap/>
            <w:vAlign w:val="center"/>
            <w:hideMark/>
          </w:tcPr>
          <w:p w14:paraId="6F2A4B52" w14:textId="77777777" w:rsidR="004403D5" w:rsidRPr="00AF2A95" w:rsidRDefault="004403D5" w:rsidP="004403D5">
            <w:pPr>
              <w:jc w:val="center"/>
            </w:pPr>
            <w:r w:rsidRPr="00AF2A95">
              <w:t>12,86%</w:t>
            </w:r>
          </w:p>
        </w:tc>
      </w:tr>
      <w:tr w:rsidR="004403D5" w:rsidRPr="00AF2A95" w14:paraId="72B1F1DB" w14:textId="77777777" w:rsidTr="004403D5">
        <w:trPr>
          <w:trHeight w:val="70"/>
        </w:trPr>
        <w:tc>
          <w:tcPr>
            <w:tcW w:w="3153" w:type="dxa"/>
            <w:gridSpan w:val="2"/>
            <w:tcBorders>
              <w:top w:val="single" w:sz="4" w:space="0" w:color="auto"/>
              <w:left w:val="nil"/>
              <w:bottom w:val="single" w:sz="4" w:space="0" w:color="auto"/>
              <w:right w:val="single" w:sz="4" w:space="0" w:color="000000"/>
            </w:tcBorders>
            <w:shd w:val="clear" w:color="auto" w:fill="auto"/>
            <w:vAlign w:val="center"/>
            <w:hideMark/>
          </w:tcPr>
          <w:p w14:paraId="2AB82ADA" w14:textId="77777777" w:rsidR="004403D5" w:rsidRPr="00AF2A95" w:rsidRDefault="004403D5" w:rsidP="004403D5">
            <w:r w:rsidRPr="00AF2A95">
              <w:t>Aplicação Mínima (LC n.º 141/2012)</w:t>
            </w:r>
          </w:p>
        </w:tc>
        <w:tc>
          <w:tcPr>
            <w:tcW w:w="1530" w:type="dxa"/>
            <w:tcBorders>
              <w:top w:val="nil"/>
              <w:left w:val="nil"/>
              <w:bottom w:val="single" w:sz="4" w:space="0" w:color="auto"/>
              <w:right w:val="single" w:sz="4" w:space="0" w:color="auto"/>
            </w:tcBorders>
            <w:shd w:val="clear" w:color="auto" w:fill="auto"/>
            <w:noWrap/>
            <w:vAlign w:val="center"/>
            <w:hideMark/>
          </w:tcPr>
          <w:p w14:paraId="7650BD11" w14:textId="77777777" w:rsidR="004403D5" w:rsidRPr="00AF2A95" w:rsidRDefault="004403D5" w:rsidP="004403D5">
            <w:pPr>
              <w:jc w:val="center"/>
            </w:pPr>
            <w:r w:rsidRPr="00AF2A95">
              <w:t>12,00%</w:t>
            </w:r>
          </w:p>
        </w:tc>
        <w:tc>
          <w:tcPr>
            <w:tcW w:w="1499" w:type="dxa"/>
            <w:tcBorders>
              <w:top w:val="nil"/>
              <w:left w:val="nil"/>
              <w:bottom w:val="single" w:sz="4" w:space="0" w:color="auto"/>
              <w:right w:val="single" w:sz="4" w:space="0" w:color="auto"/>
            </w:tcBorders>
            <w:shd w:val="clear" w:color="auto" w:fill="auto"/>
            <w:noWrap/>
            <w:vAlign w:val="center"/>
            <w:hideMark/>
          </w:tcPr>
          <w:p w14:paraId="12722725" w14:textId="77777777" w:rsidR="004403D5" w:rsidRPr="00AF2A95" w:rsidRDefault="004403D5" w:rsidP="004403D5">
            <w:pPr>
              <w:jc w:val="center"/>
            </w:pPr>
            <w:r w:rsidRPr="00AF2A95">
              <w:t>12,00%</w:t>
            </w:r>
          </w:p>
        </w:tc>
        <w:tc>
          <w:tcPr>
            <w:tcW w:w="1437" w:type="dxa"/>
            <w:tcBorders>
              <w:top w:val="nil"/>
              <w:left w:val="nil"/>
              <w:bottom w:val="single" w:sz="4" w:space="0" w:color="auto"/>
              <w:right w:val="single" w:sz="4" w:space="0" w:color="auto"/>
            </w:tcBorders>
            <w:shd w:val="clear" w:color="auto" w:fill="auto"/>
            <w:noWrap/>
            <w:vAlign w:val="center"/>
            <w:hideMark/>
          </w:tcPr>
          <w:p w14:paraId="4054748F" w14:textId="77777777" w:rsidR="004403D5" w:rsidRPr="00AF2A95" w:rsidRDefault="004403D5" w:rsidP="004403D5">
            <w:pPr>
              <w:jc w:val="center"/>
            </w:pPr>
            <w:r w:rsidRPr="00AF2A95">
              <w:t>12,00%</w:t>
            </w:r>
          </w:p>
        </w:tc>
        <w:tc>
          <w:tcPr>
            <w:tcW w:w="1453" w:type="dxa"/>
            <w:tcBorders>
              <w:top w:val="nil"/>
              <w:left w:val="nil"/>
              <w:bottom w:val="single" w:sz="4" w:space="0" w:color="auto"/>
              <w:right w:val="nil"/>
            </w:tcBorders>
            <w:shd w:val="clear" w:color="auto" w:fill="auto"/>
            <w:noWrap/>
            <w:vAlign w:val="center"/>
            <w:hideMark/>
          </w:tcPr>
          <w:p w14:paraId="03085BAF" w14:textId="77777777" w:rsidR="004403D5" w:rsidRPr="00AF2A95" w:rsidRDefault="004403D5" w:rsidP="004403D5">
            <w:pPr>
              <w:jc w:val="center"/>
            </w:pPr>
            <w:r w:rsidRPr="00AF2A95">
              <w:t>12,00%</w:t>
            </w:r>
          </w:p>
        </w:tc>
      </w:tr>
    </w:tbl>
    <w:p w14:paraId="2F9861FD" w14:textId="47366469" w:rsidR="004403D5" w:rsidRPr="00AF2A95" w:rsidRDefault="004403D5" w:rsidP="004403D5">
      <w:pPr>
        <w:pBdr>
          <w:bottom w:val="single" w:sz="6" w:space="1" w:color="auto"/>
        </w:pBdr>
        <w:jc w:val="both"/>
      </w:pPr>
      <w:r w:rsidRPr="00AF2A95">
        <w:t>Siglas: TCE/SC = Tribunal de Contas do Estado de Santa Catarina; SEF/SC = Secretaria de Estado da Fazenda de Santa Catarina; REC = Receita para Efeito de Cálculo; DEC =</w:t>
      </w:r>
      <w:r w:rsidR="00E02444" w:rsidRPr="00AF2A95">
        <w:t xml:space="preserve"> Despesa para Efeito de Cálculo</w:t>
      </w:r>
      <w:r w:rsidRPr="00AF2A95">
        <w:t>; LC = Lei Complementar.</w:t>
      </w:r>
    </w:p>
    <w:p w14:paraId="03F3E208" w14:textId="77777777" w:rsidR="004403D5" w:rsidRPr="00AF2A95" w:rsidRDefault="004403D5" w:rsidP="004403D5">
      <w:pPr>
        <w:jc w:val="both"/>
        <w:rPr>
          <w:sz w:val="2"/>
          <w:szCs w:val="2"/>
        </w:rPr>
      </w:pPr>
    </w:p>
    <w:p w14:paraId="3E330C72" w14:textId="77777777" w:rsidR="004403D5" w:rsidRPr="00AF2A95" w:rsidRDefault="004403D5" w:rsidP="004403D5">
      <w:pPr>
        <w:pBdr>
          <w:bottom w:val="single" w:sz="6" w:space="1" w:color="auto"/>
        </w:pBdr>
        <w:jc w:val="both"/>
      </w:pPr>
      <w:r w:rsidRPr="00AF2A95">
        <w:t>Notas: [1] Os valores da aplicação em ASPS pelo Governo do Estado dos anos de 2000 e 2001 não estão disponíveis em virtude dos fatos relatados no capítulo de Metodologia.</w:t>
      </w:r>
    </w:p>
    <w:p w14:paraId="47714C74" w14:textId="2CC84054" w:rsidR="004403D5" w:rsidRPr="00AF2A95" w:rsidRDefault="004403D5" w:rsidP="004403D5">
      <w:pPr>
        <w:jc w:val="center"/>
      </w:pPr>
      <w:r w:rsidRPr="00AF2A95">
        <w:t xml:space="preserve">Fonte: Elaborado pelos autores com base no Demonstrativo da Receita Líquida de Impostos e das Despesas Próprias com Saúde do Anexo XVI do RREO </w:t>
      </w:r>
      <w:r w:rsidR="00B105CA" w:rsidRPr="00AF2A95">
        <w:t>(Secretaria de Fazenda do Estado de Santa Catarina [SEF/SC]</w:t>
      </w:r>
      <w:r w:rsidRPr="00AF2A95">
        <w:t>, 2002 a 2015) e nos Pareceres Prévios sobre as Contas do Governo do Estado de Santa Catarina (</w:t>
      </w:r>
      <w:r w:rsidR="00B105CA" w:rsidRPr="00AF2A95">
        <w:t>Tribunal de Contas do Estado de Santa Catarina [TCE/SC]</w:t>
      </w:r>
      <w:r w:rsidRPr="00AF2A95">
        <w:t>, 2000 a 2015).</w:t>
      </w:r>
    </w:p>
    <w:p w14:paraId="608ECC37" w14:textId="77777777" w:rsidR="004403D5" w:rsidRPr="00AF2A95" w:rsidRDefault="004403D5" w:rsidP="004403D5">
      <w:pPr>
        <w:jc w:val="both"/>
        <w:rPr>
          <w:sz w:val="10"/>
          <w:szCs w:val="10"/>
        </w:rPr>
      </w:pPr>
    </w:p>
    <w:p w14:paraId="613D3E28" w14:textId="77777777" w:rsidR="004403D5" w:rsidRPr="00AF2A95" w:rsidRDefault="004403D5" w:rsidP="004403D5">
      <w:pPr>
        <w:ind w:firstLine="709"/>
        <w:jc w:val="both"/>
        <w:rPr>
          <w:sz w:val="24"/>
          <w:szCs w:val="24"/>
        </w:rPr>
      </w:pPr>
      <w:r w:rsidRPr="00AF2A95">
        <w:rPr>
          <w:sz w:val="24"/>
          <w:szCs w:val="24"/>
        </w:rPr>
        <w:lastRenderedPageBreak/>
        <w:t>Observa-se que os dados de 2001 e 2002 da SEF/SC não se encontravam disponíveis, conforme fatos relatados no capítulo de metodologia. Entre os dezesseis anos analisados, em onze deles o percentual mínimo de aplicação em ASPS não foi cumprido, segundo dados do TCE/SC. Porém, segundo os cálculos efetuados pela SEF/SC, dos quatorze anos em que os dados estavam disponíveis, em um deles o Estado descumpriu a determinação constitucional. Considerando os dados disponíveis, a média da aplicação em ASPS foi de 10,59%, segundo o TCE/SC, e de 12,33%, conforme a SEF/SC.</w:t>
      </w:r>
    </w:p>
    <w:p w14:paraId="05867F1E" w14:textId="77777777" w:rsidR="004403D5" w:rsidRPr="00AF2A95" w:rsidRDefault="004403D5" w:rsidP="004403D5">
      <w:pPr>
        <w:ind w:firstLine="709"/>
        <w:jc w:val="both"/>
        <w:rPr>
          <w:sz w:val="24"/>
          <w:szCs w:val="24"/>
        </w:rPr>
      </w:pPr>
      <w:r w:rsidRPr="00AF2A95">
        <w:rPr>
          <w:sz w:val="24"/>
          <w:szCs w:val="24"/>
        </w:rPr>
        <w:t>No período de vigência da Lei Complementar (LC) n.º 141/2012, de 2012 a 2015, houve o descumprimento da aplicação mínima em ASPS uma vez em quatro anos, segundo o TCE/SC. Por outro lado, os dados da SEF/SC não evidenciam descumprimento do percentual mínimo no período. Antes da vigência da LC n.º 141/2012, a média de aplicação em ASPS foi de 10,20%, segundo o TCE/SC, e 12,35%, conforme a SEF/SC. Durante sua vigência, de 2012 a 2015, as médias foram de 11,76% e 12,28%, segundo o TCE/SC e a SEF/SC, respectivamente.</w:t>
      </w:r>
    </w:p>
    <w:p w14:paraId="13C75BAC" w14:textId="77777777" w:rsidR="004403D5" w:rsidRPr="00AF2A95" w:rsidRDefault="004403D5" w:rsidP="004403D5">
      <w:pPr>
        <w:ind w:firstLine="709"/>
        <w:jc w:val="both"/>
        <w:rPr>
          <w:sz w:val="24"/>
          <w:szCs w:val="24"/>
        </w:rPr>
      </w:pPr>
      <w:r w:rsidRPr="00AF2A95">
        <w:rPr>
          <w:sz w:val="24"/>
          <w:szCs w:val="24"/>
        </w:rPr>
        <w:t>No comparativo entre as REC, são observadas divergências significativas (maiores que 10%), entre os valores divulgados pela SEF/SC, em relação aos valores dos pareceres do TCE/SC, em 2002 e de 2005 a 2007. No que se refere às DEC, as diferenças foram significativas em 2005, 2006 e 2012. Na média, as divergências de valores entre as REC da SEF/SC, em confronto com as do TCE/SC, durante toda a série histórica, foram de -4,31% e das DEC, também confrontadas, de 5,89%.</w:t>
      </w:r>
    </w:p>
    <w:p w14:paraId="62148AAF" w14:textId="77777777" w:rsidR="004403D5" w:rsidRPr="00AF2A95" w:rsidRDefault="004403D5" w:rsidP="004403D5">
      <w:pPr>
        <w:ind w:firstLine="709"/>
        <w:jc w:val="both"/>
        <w:rPr>
          <w:sz w:val="24"/>
          <w:szCs w:val="24"/>
        </w:rPr>
      </w:pPr>
      <w:r w:rsidRPr="00AF2A95">
        <w:rPr>
          <w:sz w:val="24"/>
          <w:szCs w:val="24"/>
        </w:rPr>
        <w:t>Antes da vigência da LC n.º 141/2012, as divergências de valores entre as REC da SEF/SC em confronto com as do TCE/SC foram de -5,50% e das DEC 6,91%, em média. Durante a vigência, as médias das divergências das REC e DEC foram de -1,34% e 3,33%, respectivamente.</w:t>
      </w:r>
    </w:p>
    <w:p w14:paraId="49193410" w14:textId="77777777" w:rsidR="004403D5" w:rsidRPr="00AF2A95" w:rsidRDefault="004403D5" w:rsidP="004403D5">
      <w:pPr>
        <w:ind w:firstLine="709"/>
        <w:jc w:val="both"/>
        <w:rPr>
          <w:sz w:val="24"/>
          <w:szCs w:val="24"/>
        </w:rPr>
      </w:pPr>
      <w:r w:rsidRPr="00AF2A95">
        <w:rPr>
          <w:sz w:val="24"/>
          <w:szCs w:val="24"/>
        </w:rPr>
        <w:t>Considerando os dados do TCE/SC, ajustados monetariamente, a variação das REC e das DEC, no período de 2002 a 2015, foi de 101,53% e 198,17%, respectivamente, com variação média anual de 7,81% no que se refere às primeiras e de 15,24% no que se refere às segundas. No intervalo de 2000 a 2015, a variação das REC foi de 183,27%, enquanto as DEC variaram 460,30%, numa variação anual de 12,22% e 30,69%, em média. Tais dados foram atualizados monetariamente pelo Índice Nacional de Preços ao Consumidos Amplo (IPCA), até 31 de dezembro de 2016.</w:t>
      </w:r>
    </w:p>
    <w:p w14:paraId="66EF3781" w14:textId="77777777" w:rsidR="004403D5" w:rsidRPr="00AF2A95" w:rsidRDefault="004403D5" w:rsidP="004403D5">
      <w:pPr>
        <w:ind w:firstLine="709"/>
        <w:jc w:val="both"/>
        <w:rPr>
          <w:sz w:val="24"/>
          <w:szCs w:val="24"/>
        </w:rPr>
      </w:pPr>
      <w:r w:rsidRPr="00AF2A95">
        <w:rPr>
          <w:sz w:val="24"/>
          <w:szCs w:val="24"/>
        </w:rPr>
        <w:t>Segundo os dados da SEF/SC, ajustados monetariamente, a variação das REC e das DEC, no período de 2002 a 2015, foi de 121,46% e 217,76%, respectivamente, com variação média anual de 9,34% no que se refere às primeiras e 16,75% no que se refere às segundas.</w:t>
      </w:r>
    </w:p>
    <w:p w14:paraId="6AEBF053" w14:textId="708017A5" w:rsidR="00BD5220" w:rsidRPr="00AF2A95" w:rsidRDefault="00BD5220" w:rsidP="00BD5220">
      <w:pPr>
        <w:ind w:firstLine="720"/>
        <w:jc w:val="both"/>
        <w:rPr>
          <w:color w:val="008000"/>
        </w:rPr>
      </w:pPr>
      <w:r w:rsidRPr="00AF2A95">
        <w:rPr>
          <w:sz w:val="24"/>
          <w:szCs w:val="24"/>
        </w:rPr>
        <w:t>No</w:t>
      </w:r>
      <w:r w:rsidR="00E02444" w:rsidRPr="00AF2A95">
        <w:rPr>
          <w:sz w:val="24"/>
          <w:szCs w:val="24"/>
        </w:rPr>
        <w:t xml:space="preserve"> Gráfico 1, no que se refere ao período de transição</w:t>
      </w:r>
      <w:r w:rsidRPr="00AF2A95">
        <w:rPr>
          <w:sz w:val="24"/>
          <w:szCs w:val="24"/>
        </w:rPr>
        <w:t>, consta o entendimento do Conselho Nacional de Saúde, por meio das Resoluções n.</w:t>
      </w:r>
      <w:r w:rsidRPr="00AF2A95">
        <w:rPr>
          <w:sz w:val="24"/>
          <w:szCs w:val="24"/>
          <w:vertAlign w:val="superscript"/>
        </w:rPr>
        <w:t>os</w:t>
      </w:r>
      <w:r w:rsidRPr="00AF2A95">
        <w:rPr>
          <w:sz w:val="24"/>
          <w:szCs w:val="24"/>
        </w:rPr>
        <w:t xml:space="preserve"> 316/2002 e 322/2003, e do Ministério da Saúde, por meio da Portaria n.º 2.047/2002. </w:t>
      </w:r>
      <w:r w:rsidR="00D06890" w:rsidRPr="00AF2A95">
        <w:rPr>
          <w:sz w:val="24"/>
          <w:szCs w:val="24"/>
        </w:rPr>
        <w:t>Neste período</w:t>
      </w:r>
      <w:r w:rsidRPr="00AF2A95">
        <w:rPr>
          <w:sz w:val="24"/>
          <w:szCs w:val="24"/>
        </w:rPr>
        <w:t>, a aplicação mínima em ASPS foi descumprida em três de quatro anos, segundo o TCE/SC e, segundo a SEF/SC, dentre os dois anos de transição disponíveis, uma vez. No período de vigência do limite de 12%, de 2004 a 2015, o percentual mínimo foi descumprido em oito dos doze anos da série, segundo o TCE/SC e, segundo a SEF/SC, nenhuma vez.</w:t>
      </w:r>
      <w:r w:rsidRPr="00AF2A95">
        <w:rPr>
          <w:color w:val="008000"/>
        </w:rPr>
        <w:t xml:space="preserve"> </w:t>
      </w:r>
    </w:p>
    <w:p w14:paraId="02314D13" w14:textId="46C0BBA8" w:rsidR="004403D5" w:rsidRPr="00AF2A95" w:rsidRDefault="004403D5" w:rsidP="004403D5">
      <w:pPr>
        <w:ind w:firstLine="709"/>
        <w:jc w:val="both"/>
        <w:rPr>
          <w:sz w:val="24"/>
          <w:szCs w:val="24"/>
        </w:rPr>
      </w:pPr>
      <w:r w:rsidRPr="00AF2A95">
        <w:rPr>
          <w:sz w:val="24"/>
          <w:szCs w:val="24"/>
        </w:rPr>
        <w:t>O Gráfico 1 compara os percentuais anuais de aplicação em ASPS conforme as duas fontes de dados, em confronto à aplicação mínima constitucional.</w:t>
      </w:r>
    </w:p>
    <w:p w14:paraId="32DDC40F" w14:textId="77777777" w:rsidR="00BD5220" w:rsidRPr="00AF2A95" w:rsidRDefault="00BD5220" w:rsidP="004403D5">
      <w:pPr>
        <w:jc w:val="center"/>
        <w:rPr>
          <w:b/>
        </w:rPr>
      </w:pPr>
    </w:p>
    <w:p w14:paraId="138FDC62" w14:textId="77777777" w:rsidR="00BD5220" w:rsidRPr="00AF2A95" w:rsidRDefault="00BD5220" w:rsidP="004403D5">
      <w:pPr>
        <w:jc w:val="center"/>
        <w:rPr>
          <w:b/>
        </w:rPr>
      </w:pPr>
    </w:p>
    <w:p w14:paraId="0A923EF2" w14:textId="29766380" w:rsidR="00BD5220" w:rsidRPr="00AF2A95" w:rsidRDefault="00BD5220" w:rsidP="00BD5220">
      <w:pPr>
        <w:rPr>
          <w:b/>
        </w:rPr>
      </w:pPr>
    </w:p>
    <w:p w14:paraId="63C4AC11" w14:textId="77777777" w:rsidR="00712ACD" w:rsidRPr="00AF2A95" w:rsidRDefault="00712ACD" w:rsidP="004403D5">
      <w:pPr>
        <w:jc w:val="center"/>
        <w:rPr>
          <w:b/>
        </w:rPr>
      </w:pPr>
    </w:p>
    <w:p w14:paraId="70893E81" w14:textId="2B44FEE9" w:rsidR="00712ACD" w:rsidRPr="00AF2A95" w:rsidRDefault="00712ACD" w:rsidP="00D06890">
      <w:pPr>
        <w:rPr>
          <w:b/>
        </w:rPr>
      </w:pPr>
    </w:p>
    <w:p w14:paraId="331520F1" w14:textId="77777777" w:rsidR="00ED6433" w:rsidRDefault="00ED6433" w:rsidP="004403D5">
      <w:pPr>
        <w:jc w:val="center"/>
        <w:rPr>
          <w:b/>
        </w:rPr>
      </w:pPr>
    </w:p>
    <w:p w14:paraId="647460F5" w14:textId="77777777" w:rsidR="00ED6433" w:rsidRDefault="00ED6433" w:rsidP="004403D5">
      <w:pPr>
        <w:jc w:val="center"/>
        <w:rPr>
          <w:b/>
        </w:rPr>
      </w:pPr>
    </w:p>
    <w:p w14:paraId="1BE2F78B" w14:textId="77777777" w:rsidR="00ED6433" w:rsidRDefault="00ED6433" w:rsidP="004403D5">
      <w:pPr>
        <w:jc w:val="center"/>
        <w:rPr>
          <w:b/>
        </w:rPr>
      </w:pPr>
    </w:p>
    <w:p w14:paraId="38667305" w14:textId="249FA754" w:rsidR="004403D5" w:rsidRPr="00AF2A95" w:rsidRDefault="004403D5" w:rsidP="004403D5">
      <w:pPr>
        <w:jc w:val="center"/>
        <w:rPr>
          <w:b/>
        </w:rPr>
      </w:pPr>
      <w:r w:rsidRPr="00AF2A95">
        <w:rPr>
          <w:b/>
        </w:rPr>
        <w:lastRenderedPageBreak/>
        <w:t>Gráfico 1 – Comparação dos percentuais de aplicação em ASPS segundo o Governo de SC e o TCE/SC em relação ao mínimo constitucional</w:t>
      </w:r>
    </w:p>
    <w:p w14:paraId="4D576B99" w14:textId="54795901" w:rsidR="004403D5" w:rsidRPr="00AF2A95" w:rsidRDefault="00E02444" w:rsidP="004403D5">
      <w:pPr>
        <w:jc w:val="center"/>
      </w:pPr>
      <w:r w:rsidRPr="00AF2A95">
        <w:rPr>
          <w:noProof/>
        </w:rPr>
        <w:drawing>
          <wp:inline distT="0" distB="0" distL="0" distR="0" wp14:anchorId="4E5868FC" wp14:editId="1A557E8E">
            <wp:extent cx="5760000" cy="2160000"/>
            <wp:effectExtent l="0" t="0" r="12700" b="12065"/>
            <wp:docPr id="1" name="Gráfico 1">
              <a:extLst xmlns:a="http://schemas.openxmlformats.org/drawingml/2006/main">
                <a:ext uri="{FF2B5EF4-FFF2-40B4-BE49-F238E27FC236}">
                  <a16:creationId xmlns:a16="http://schemas.microsoft.com/office/drawing/2014/main" id="{40042477-4EE9-48DF-8D8E-146FD0AF7ED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tbl>
      <w:tblPr>
        <w:tblW w:w="5000" w:type="pct"/>
        <w:tblCellMar>
          <w:left w:w="70" w:type="dxa"/>
          <w:right w:w="70" w:type="dxa"/>
        </w:tblCellMar>
        <w:tblLook w:val="04A0" w:firstRow="1" w:lastRow="0" w:firstColumn="1" w:lastColumn="0" w:noHBand="0" w:noVBand="1"/>
      </w:tblPr>
      <w:tblGrid>
        <w:gridCol w:w="9065"/>
      </w:tblGrid>
      <w:tr w:rsidR="004403D5" w:rsidRPr="00AF2A95" w14:paraId="5EBE551D" w14:textId="77777777" w:rsidTr="004403D5">
        <w:trPr>
          <w:trHeight w:val="300"/>
        </w:trPr>
        <w:tc>
          <w:tcPr>
            <w:tcW w:w="5000" w:type="pct"/>
            <w:tcBorders>
              <w:top w:val="nil"/>
              <w:left w:val="nil"/>
              <w:bottom w:val="nil"/>
              <w:right w:val="nil"/>
            </w:tcBorders>
            <w:shd w:val="clear" w:color="auto" w:fill="auto"/>
            <w:vAlign w:val="bottom"/>
            <w:hideMark/>
          </w:tcPr>
          <w:p w14:paraId="2DC7A2D3" w14:textId="0F36B295" w:rsidR="004403D5" w:rsidRPr="00AF2A95" w:rsidRDefault="004403D5" w:rsidP="009C36D5">
            <w:pPr>
              <w:jc w:val="both"/>
            </w:pPr>
            <w:r w:rsidRPr="00AF2A95">
              <w:t>Siglas: ASPS = Ações e Serviços Públicos de Saúde; TCE/SC = Tribunal de Contas do Estado de Santa Catarina; EC = Emenda Constitucional; REC = Receita para Efeito de Cálculo</w:t>
            </w:r>
            <w:r w:rsidR="009C36D5" w:rsidRPr="00AF2A95">
              <w:t>;</w:t>
            </w:r>
            <w:r w:rsidRPr="00AF2A95">
              <w:t xml:space="preserve"> SEF/SC = Secretaria de Estado da Fazenda de Santa Catarina</w:t>
            </w:r>
          </w:p>
        </w:tc>
      </w:tr>
      <w:tr w:rsidR="004403D5" w:rsidRPr="00AF2A95" w14:paraId="51CCD1FA" w14:textId="77777777" w:rsidTr="004403D5">
        <w:trPr>
          <w:trHeight w:val="300"/>
        </w:trPr>
        <w:tc>
          <w:tcPr>
            <w:tcW w:w="5000" w:type="pct"/>
            <w:tcBorders>
              <w:top w:val="single" w:sz="4" w:space="0" w:color="auto"/>
              <w:left w:val="nil"/>
              <w:bottom w:val="single" w:sz="4" w:space="0" w:color="auto"/>
              <w:right w:val="nil"/>
            </w:tcBorders>
            <w:shd w:val="clear" w:color="auto" w:fill="auto"/>
            <w:vAlign w:val="bottom"/>
            <w:hideMark/>
          </w:tcPr>
          <w:p w14:paraId="46D418EB" w14:textId="77777777" w:rsidR="004403D5" w:rsidRPr="00AF2A95" w:rsidRDefault="004403D5" w:rsidP="004403D5">
            <w:pPr>
              <w:jc w:val="both"/>
            </w:pPr>
            <w:r w:rsidRPr="00AF2A95">
              <w:t>Notas: Os valores da aplicação em ASPS, calculados pela SEF/SC, nos anos de 2000 e 2001 não estão disponíveis em virtude dos fatos relatados no capítulo de Metodologia.</w:t>
            </w:r>
          </w:p>
        </w:tc>
      </w:tr>
    </w:tbl>
    <w:p w14:paraId="39A03F29" w14:textId="77777777" w:rsidR="004403D5" w:rsidRPr="00AF2A95" w:rsidRDefault="004403D5" w:rsidP="004403D5">
      <w:pPr>
        <w:jc w:val="center"/>
      </w:pPr>
      <w:r w:rsidRPr="00AF2A95">
        <w:t>Fonte: Tabela 1.</w:t>
      </w:r>
    </w:p>
    <w:p w14:paraId="53A3CB7B" w14:textId="77777777" w:rsidR="004403D5" w:rsidRPr="00AF2A95" w:rsidRDefault="004403D5" w:rsidP="004403D5">
      <w:pPr>
        <w:jc w:val="center"/>
        <w:rPr>
          <w:sz w:val="10"/>
          <w:szCs w:val="10"/>
        </w:rPr>
      </w:pPr>
    </w:p>
    <w:p w14:paraId="26BBBBF5" w14:textId="6A1647BF" w:rsidR="004403D5" w:rsidRPr="00AF2A95" w:rsidRDefault="004403D5" w:rsidP="004403D5">
      <w:pPr>
        <w:ind w:firstLine="720"/>
        <w:jc w:val="both"/>
        <w:rPr>
          <w:sz w:val="24"/>
          <w:szCs w:val="24"/>
        </w:rPr>
      </w:pPr>
      <w:r w:rsidRPr="00AF2A95">
        <w:rPr>
          <w:sz w:val="24"/>
          <w:szCs w:val="24"/>
        </w:rPr>
        <w:t xml:space="preserve">O Gráfico 2 evidencia os saldos anuais de aplicação em ASPS segundo dados do TCE/SC e da SEF/SC, em relação às </w:t>
      </w:r>
      <w:r w:rsidR="009C36D5" w:rsidRPr="00AF2A95">
        <w:rPr>
          <w:sz w:val="24"/>
          <w:szCs w:val="24"/>
        </w:rPr>
        <w:t xml:space="preserve">aplicações mínimas constitucionais baseadas nas </w:t>
      </w:r>
      <w:r w:rsidRPr="00AF2A95">
        <w:rPr>
          <w:sz w:val="24"/>
          <w:szCs w:val="24"/>
        </w:rPr>
        <w:t>REC apuradas pelos respectivos órgãos.</w:t>
      </w:r>
    </w:p>
    <w:p w14:paraId="0B26780E" w14:textId="77777777" w:rsidR="004403D5" w:rsidRPr="00AF2A95" w:rsidRDefault="004403D5" w:rsidP="004403D5">
      <w:pPr>
        <w:jc w:val="center"/>
        <w:rPr>
          <w:b/>
        </w:rPr>
      </w:pPr>
      <w:r w:rsidRPr="00AF2A95">
        <w:rPr>
          <w:b/>
        </w:rPr>
        <w:t>Gráfico 2 – Saldos anuais da aplicação em ASPS em relação às aplicações mínimas constitucionais conforme o TCE/SC e a SEF/SC</w:t>
      </w:r>
    </w:p>
    <w:p w14:paraId="5DD86097" w14:textId="77777777" w:rsidR="004403D5" w:rsidRPr="00AF2A95" w:rsidRDefault="004403D5" w:rsidP="004403D5">
      <w:pPr>
        <w:spacing w:after="40"/>
        <w:jc w:val="both"/>
      </w:pPr>
      <w:r w:rsidRPr="00AF2A95">
        <w:rPr>
          <w:noProof/>
        </w:rPr>
        <w:drawing>
          <wp:inline distT="0" distB="0" distL="0" distR="0" wp14:anchorId="41D1D432" wp14:editId="07E7F847">
            <wp:extent cx="5760000" cy="1710000"/>
            <wp:effectExtent l="0" t="0" r="12700" b="5080"/>
            <wp:docPr id="3" name="Gráfico 3">
              <a:extLst xmlns:a="http://schemas.openxmlformats.org/drawingml/2006/main">
                <a:ext uri="{FF2B5EF4-FFF2-40B4-BE49-F238E27FC236}">
                  <a16:creationId xmlns:a16="http://schemas.microsoft.com/office/drawing/2014/main" id="{3979C73B-9A7A-4A0F-BCB3-095CC4EA6CB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50FE60D7" w14:textId="77777777" w:rsidR="004403D5" w:rsidRPr="00AF2A95" w:rsidRDefault="004403D5" w:rsidP="004403D5">
      <w:pPr>
        <w:jc w:val="both"/>
        <w:rPr>
          <w:sz w:val="24"/>
          <w:szCs w:val="24"/>
        </w:rPr>
      </w:pPr>
      <w:r w:rsidRPr="00AF2A95">
        <w:rPr>
          <w:noProof/>
        </w:rPr>
        <w:drawing>
          <wp:inline distT="0" distB="0" distL="0" distR="0" wp14:anchorId="3AA1BA14" wp14:editId="33EA21E2">
            <wp:extent cx="5760000" cy="1710000"/>
            <wp:effectExtent l="0" t="0" r="12700" b="5080"/>
            <wp:docPr id="4" name="Gráfico 4">
              <a:extLst xmlns:a="http://schemas.openxmlformats.org/drawingml/2006/main">
                <a:ext uri="{FF2B5EF4-FFF2-40B4-BE49-F238E27FC236}">
                  <a16:creationId xmlns:a16="http://schemas.microsoft.com/office/drawing/2014/main" id="{3979C73B-9A7A-4A0F-BCB3-095CC4EA6CB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tbl>
      <w:tblPr>
        <w:tblW w:w="5000" w:type="pct"/>
        <w:tblCellMar>
          <w:left w:w="70" w:type="dxa"/>
          <w:right w:w="70" w:type="dxa"/>
        </w:tblCellMar>
        <w:tblLook w:val="04A0" w:firstRow="1" w:lastRow="0" w:firstColumn="1" w:lastColumn="0" w:noHBand="0" w:noVBand="1"/>
      </w:tblPr>
      <w:tblGrid>
        <w:gridCol w:w="9065"/>
      </w:tblGrid>
      <w:tr w:rsidR="004403D5" w:rsidRPr="00AF2A95" w14:paraId="2DDB17AB" w14:textId="77777777" w:rsidTr="004403D5">
        <w:trPr>
          <w:trHeight w:val="300"/>
        </w:trPr>
        <w:tc>
          <w:tcPr>
            <w:tcW w:w="5000" w:type="pct"/>
            <w:tcBorders>
              <w:top w:val="nil"/>
              <w:left w:val="nil"/>
              <w:bottom w:val="nil"/>
              <w:right w:val="nil"/>
            </w:tcBorders>
            <w:shd w:val="clear" w:color="auto" w:fill="auto"/>
            <w:vAlign w:val="bottom"/>
            <w:hideMark/>
          </w:tcPr>
          <w:p w14:paraId="49D5E5BB" w14:textId="77777777" w:rsidR="004403D5" w:rsidRPr="00AF2A95" w:rsidRDefault="004403D5" w:rsidP="004403D5">
            <w:pPr>
              <w:jc w:val="both"/>
            </w:pPr>
            <w:r w:rsidRPr="00AF2A95">
              <w:t>Siglas: ASPS = Ações e Serviços Públicos de Saúde; REC = Receita para Efeito de Cálculo; ND = Dado não disponível; SEF/SC = Secretaria de Estado da Fazenda de Santa Catarina. TCE/SC = Tribunal de Contas do Estado de Santa Catarina.</w:t>
            </w:r>
          </w:p>
        </w:tc>
      </w:tr>
      <w:tr w:rsidR="004403D5" w:rsidRPr="00AF2A95" w14:paraId="153EF447" w14:textId="77777777" w:rsidTr="004403D5">
        <w:trPr>
          <w:trHeight w:val="300"/>
        </w:trPr>
        <w:tc>
          <w:tcPr>
            <w:tcW w:w="5000" w:type="pct"/>
            <w:tcBorders>
              <w:top w:val="single" w:sz="4" w:space="0" w:color="auto"/>
              <w:left w:val="nil"/>
              <w:bottom w:val="single" w:sz="4" w:space="0" w:color="auto"/>
              <w:right w:val="nil"/>
            </w:tcBorders>
            <w:shd w:val="clear" w:color="auto" w:fill="auto"/>
            <w:noWrap/>
            <w:vAlign w:val="bottom"/>
            <w:hideMark/>
          </w:tcPr>
          <w:p w14:paraId="4927C1B4" w14:textId="5FEE0A8B" w:rsidR="004403D5" w:rsidRPr="00AF2A95" w:rsidRDefault="004403D5" w:rsidP="00BD5220">
            <w:pPr>
              <w:jc w:val="both"/>
            </w:pPr>
            <w:r w:rsidRPr="00AF2A95">
              <w:t>Notas: Valores resultantes da</w:t>
            </w:r>
            <w:r w:rsidR="00BD5220" w:rsidRPr="00AF2A95">
              <w:t>s</w:t>
            </w:r>
            <w:r w:rsidRPr="00AF2A95">
              <w:t xml:space="preserve"> diferença</w:t>
            </w:r>
            <w:r w:rsidR="00BD5220" w:rsidRPr="00AF2A95">
              <w:t>s entre</w:t>
            </w:r>
            <w:r w:rsidRPr="00AF2A95">
              <w:t xml:space="preserve"> a</w:t>
            </w:r>
            <w:r w:rsidR="00BD5220" w:rsidRPr="00AF2A95">
              <w:t xml:space="preserve"> aplicação</w:t>
            </w:r>
            <w:r w:rsidRPr="00AF2A95">
              <w:t xml:space="preserve"> mínima constitucio</w:t>
            </w:r>
            <w:r w:rsidR="00BD5220" w:rsidRPr="00AF2A95">
              <w:t>nal, baseada na REC apurada pelo TCE/SC e pela</w:t>
            </w:r>
            <w:r w:rsidRPr="00AF2A95">
              <w:t xml:space="preserve"> SEF/SC, e o valor efetivamente aplicado segundo o</w:t>
            </w:r>
            <w:r w:rsidR="00BD5220" w:rsidRPr="00AF2A95">
              <w:t>s</w:t>
            </w:r>
            <w:r w:rsidRPr="00AF2A95">
              <w:t xml:space="preserve"> mesmo</w:t>
            </w:r>
            <w:r w:rsidR="00BD5220" w:rsidRPr="00AF2A95">
              <w:t>s órgãos</w:t>
            </w:r>
            <w:r w:rsidRPr="00AF2A95">
              <w:t>.</w:t>
            </w:r>
          </w:p>
        </w:tc>
      </w:tr>
      <w:tr w:rsidR="004403D5" w:rsidRPr="00AF2A95" w14:paraId="217A104C" w14:textId="77777777" w:rsidTr="00780AB3">
        <w:trPr>
          <w:trHeight w:val="58"/>
        </w:trPr>
        <w:tc>
          <w:tcPr>
            <w:tcW w:w="5000" w:type="pct"/>
            <w:tcBorders>
              <w:top w:val="nil"/>
              <w:left w:val="nil"/>
              <w:bottom w:val="nil"/>
              <w:right w:val="nil"/>
            </w:tcBorders>
            <w:shd w:val="clear" w:color="auto" w:fill="auto"/>
            <w:vAlign w:val="bottom"/>
            <w:hideMark/>
          </w:tcPr>
          <w:p w14:paraId="2B2E1220" w14:textId="6EA0F7B3" w:rsidR="004403D5" w:rsidRPr="00AF2A95" w:rsidRDefault="004403D5" w:rsidP="004403D5">
            <w:pPr>
              <w:jc w:val="center"/>
            </w:pPr>
            <w:r w:rsidRPr="00AF2A95">
              <w:t xml:space="preserve">Fonte: Elaborado pelos autores com base </w:t>
            </w:r>
            <w:r w:rsidR="00780AB3" w:rsidRPr="00AF2A95">
              <w:t>nos dados da pesquisa</w:t>
            </w:r>
            <w:r w:rsidRPr="00AF2A95">
              <w:t>.</w:t>
            </w:r>
          </w:p>
        </w:tc>
      </w:tr>
    </w:tbl>
    <w:p w14:paraId="62CFEFB3" w14:textId="77777777" w:rsidR="004403D5" w:rsidRPr="00AF2A95" w:rsidRDefault="004403D5" w:rsidP="004403D5">
      <w:pPr>
        <w:ind w:firstLine="720"/>
        <w:jc w:val="both"/>
        <w:rPr>
          <w:sz w:val="10"/>
          <w:szCs w:val="10"/>
        </w:rPr>
      </w:pPr>
    </w:p>
    <w:p w14:paraId="5E2B99CA" w14:textId="5E256CDF" w:rsidR="004403D5" w:rsidRPr="00AF2A95" w:rsidRDefault="00EB72AE" w:rsidP="004403D5">
      <w:pPr>
        <w:ind w:firstLine="720"/>
        <w:jc w:val="both"/>
        <w:rPr>
          <w:sz w:val="24"/>
          <w:szCs w:val="24"/>
        </w:rPr>
      </w:pPr>
      <w:r w:rsidRPr="00AF2A95">
        <w:rPr>
          <w:sz w:val="24"/>
          <w:szCs w:val="24"/>
        </w:rPr>
        <w:lastRenderedPageBreak/>
        <w:t xml:space="preserve">Conforme </w:t>
      </w:r>
      <w:r w:rsidR="004403D5" w:rsidRPr="00AF2A95">
        <w:rPr>
          <w:sz w:val="24"/>
          <w:szCs w:val="24"/>
        </w:rPr>
        <w:t>os dados do TCE/SC, entre 2000 e 2015, o saldo entre os valores aplicados em ASPS pelo Governo de SC, em relação ao que deveria ser aplicado (limite mínimo), apresentou um déficit de R$ 968 milhões, atualizado monetariamente pelo IPCA até 31 de dezembro de 2016. Em termos percentuais, o déficit representou 4,13% da despesa que deveria ser aplicada em ASPS. No período pós LC n.º 141/2012, de 2012 a 2015, o déficit foi de R$ 154 milhões, que representa 1,81% do limite.</w:t>
      </w:r>
    </w:p>
    <w:p w14:paraId="49B7CC93" w14:textId="622B10CA" w:rsidR="004403D5" w:rsidRPr="00AF2A95" w:rsidRDefault="004403D5" w:rsidP="004403D5">
      <w:pPr>
        <w:ind w:firstLine="720"/>
        <w:jc w:val="both"/>
        <w:rPr>
          <w:sz w:val="24"/>
          <w:szCs w:val="24"/>
        </w:rPr>
      </w:pPr>
      <w:r w:rsidRPr="00AF2A95">
        <w:rPr>
          <w:sz w:val="24"/>
          <w:szCs w:val="24"/>
        </w:rPr>
        <w:t xml:space="preserve">Conforme dados da SEF/SC, entre 2002 e 2015, o saldo entre os valores aplicados em ASPS pelo Governo de SC, em relação ao que deveria ser aplicado, apresentou um superávit de R$ 1,0 bilhão, atualizado monetariamente. Em termos percentuais, o superávit representou 4,84% da despesa que deveria ser aplicada em ASPS. No período pós LC n.º 141/2012, de 2012 a 2015, o superávit foi de R$ 200 milhões, valor que representa 2,38% </w:t>
      </w:r>
      <w:r w:rsidR="009C36D5" w:rsidRPr="00AF2A95">
        <w:rPr>
          <w:sz w:val="24"/>
          <w:szCs w:val="24"/>
        </w:rPr>
        <w:t>do limite</w:t>
      </w:r>
      <w:r w:rsidRPr="00AF2A95">
        <w:rPr>
          <w:sz w:val="24"/>
          <w:szCs w:val="24"/>
        </w:rPr>
        <w:t>.</w:t>
      </w:r>
    </w:p>
    <w:p w14:paraId="40A00A75" w14:textId="77777777" w:rsidR="004403D5" w:rsidRPr="00AF2A95" w:rsidRDefault="004403D5" w:rsidP="004403D5">
      <w:pPr>
        <w:rPr>
          <w:sz w:val="24"/>
          <w:szCs w:val="24"/>
        </w:rPr>
      </w:pPr>
    </w:p>
    <w:p w14:paraId="6A0A9117" w14:textId="2CE0A17D" w:rsidR="004403D5" w:rsidRPr="00AF2A95" w:rsidRDefault="004403D5" w:rsidP="004403D5">
      <w:pPr>
        <w:rPr>
          <w:sz w:val="24"/>
          <w:szCs w:val="24"/>
        </w:rPr>
      </w:pPr>
      <w:r w:rsidRPr="00AF2A95">
        <w:rPr>
          <w:b/>
          <w:sz w:val="24"/>
          <w:szCs w:val="24"/>
        </w:rPr>
        <w:t>4.2 Análise dos resultados</w:t>
      </w:r>
    </w:p>
    <w:p w14:paraId="326D1A9D" w14:textId="77777777" w:rsidR="004403D5" w:rsidRPr="00AF2A95" w:rsidRDefault="004403D5" w:rsidP="004403D5">
      <w:pPr>
        <w:ind w:firstLine="709"/>
        <w:jc w:val="both"/>
        <w:rPr>
          <w:sz w:val="24"/>
          <w:szCs w:val="24"/>
        </w:rPr>
      </w:pPr>
      <w:r w:rsidRPr="00AF2A95">
        <w:rPr>
          <w:sz w:val="24"/>
          <w:szCs w:val="24"/>
        </w:rPr>
        <w:t>Nesta seção são comparados os resultados do presente artigo com os resultados de algumas das pesquisas elencadas na seção 2.3, com o intuito de apontar possíveis relações e contribuições deste estudo com as mesmas.</w:t>
      </w:r>
    </w:p>
    <w:p w14:paraId="1EA2CB29" w14:textId="77777777" w:rsidR="004403D5" w:rsidRPr="00AF2A95" w:rsidRDefault="004403D5" w:rsidP="004403D5">
      <w:pPr>
        <w:ind w:firstLine="709"/>
        <w:jc w:val="both"/>
        <w:rPr>
          <w:sz w:val="24"/>
          <w:szCs w:val="24"/>
        </w:rPr>
      </w:pPr>
      <w:r w:rsidRPr="00AF2A95">
        <w:rPr>
          <w:sz w:val="24"/>
          <w:szCs w:val="24"/>
        </w:rPr>
        <w:t>Bittencourt e Platt Neto (2016) apresentaram a análise de Município de Florianópolis tendo o mesmo objetivo e abordagem da presente pesquisa, apesar desta analisar um estado e àquela um município. Certas adaptações metodológicas foram necessárias, como, por exemplo, a alteração dos percentuais mínimos de aplicação em ASPS, a qual difere conforme o ente. A maior parte da abordagem do artigo citado foi semelhante. A pesquisa também confrontou os dados elaborados pelo órgão responsável no Poder Executivo com os do Tribunal de Contas.</w:t>
      </w:r>
    </w:p>
    <w:p w14:paraId="66589A5E" w14:textId="77777777" w:rsidR="004403D5" w:rsidRPr="00AF2A95" w:rsidRDefault="004403D5" w:rsidP="004403D5">
      <w:pPr>
        <w:ind w:firstLine="709"/>
        <w:jc w:val="both"/>
        <w:rPr>
          <w:sz w:val="24"/>
          <w:szCs w:val="24"/>
        </w:rPr>
      </w:pPr>
      <w:r w:rsidRPr="00AF2A95">
        <w:rPr>
          <w:sz w:val="24"/>
          <w:szCs w:val="24"/>
        </w:rPr>
        <w:t>Outras pesquisas que analisaram municípios foram as de Ferreira e Platt Neto (2014) e de Rezende (2009), com a primeira também analisando a aplicação mínima constitucional em educação e a última objetivando analisar a configuração da despesa com a função de saúde em Florianópolis e não só o cumprimento da aplicação mínima em ASPS. Tais semelhanças demonstram a aplicabilidade da abordagem em diferentes entes públicos.</w:t>
      </w:r>
    </w:p>
    <w:p w14:paraId="7026E402" w14:textId="77777777" w:rsidR="004403D5" w:rsidRPr="00AF2A95" w:rsidRDefault="004403D5" w:rsidP="004403D5">
      <w:pPr>
        <w:ind w:firstLine="709"/>
        <w:jc w:val="both"/>
        <w:rPr>
          <w:sz w:val="24"/>
          <w:szCs w:val="24"/>
        </w:rPr>
      </w:pPr>
      <w:r w:rsidRPr="00AF2A95">
        <w:rPr>
          <w:sz w:val="24"/>
          <w:szCs w:val="24"/>
        </w:rPr>
        <w:t>As pesquisas de Campelli e Calvo (2007) e de Silva e Sarti (2011) analisaram os estados brasileiros e, no que se refere ao Estado de Santa Catarina, apresentaram resultados diferentes dos aqui evidenciados. Tal fato deve-se à utilização de metodologias diferentes. A presente pesquisa utilizou dados do Poder Executivo e do Tribunal de Contas. Por sua vez, as duas pesquisas citadas utilizaram dados do Sistema de Informações sobre Orçamentos Públicos em Saúde (SIOPS).</w:t>
      </w:r>
    </w:p>
    <w:p w14:paraId="1F061518" w14:textId="77777777" w:rsidR="004403D5" w:rsidRPr="00AF2A95" w:rsidRDefault="004403D5" w:rsidP="004403D5">
      <w:pPr>
        <w:jc w:val="both"/>
        <w:rPr>
          <w:sz w:val="24"/>
          <w:szCs w:val="24"/>
        </w:rPr>
      </w:pPr>
    </w:p>
    <w:p w14:paraId="4763F0A4" w14:textId="77777777" w:rsidR="004403D5" w:rsidRPr="00AF2A95" w:rsidRDefault="004403D5" w:rsidP="004403D5">
      <w:pPr>
        <w:rPr>
          <w:b/>
          <w:sz w:val="24"/>
          <w:szCs w:val="24"/>
        </w:rPr>
      </w:pPr>
      <w:r w:rsidRPr="00AF2A95">
        <w:rPr>
          <w:b/>
          <w:sz w:val="24"/>
          <w:szCs w:val="24"/>
        </w:rPr>
        <w:t>5 CONCLUSÕES</w:t>
      </w:r>
    </w:p>
    <w:p w14:paraId="6013A2E3" w14:textId="77777777" w:rsidR="004403D5" w:rsidRPr="00AF2A95" w:rsidRDefault="004403D5" w:rsidP="004403D5">
      <w:pPr>
        <w:rPr>
          <w:b/>
          <w:sz w:val="24"/>
          <w:szCs w:val="24"/>
        </w:rPr>
      </w:pPr>
    </w:p>
    <w:p w14:paraId="6C5CBA1A" w14:textId="77777777" w:rsidR="004403D5" w:rsidRPr="00AF2A95" w:rsidRDefault="004403D5" w:rsidP="004403D5">
      <w:pPr>
        <w:ind w:firstLine="709"/>
        <w:jc w:val="both"/>
        <w:rPr>
          <w:sz w:val="24"/>
          <w:szCs w:val="24"/>
        </w:rPr>
      </w:pPr>
      <w:r w:rsidRPr="00AF2A95">
        <w:rPr>
          <w:sz w:val="24"/>
          <w:szCs w:val="24"/>
        </w:rPr>
        <w:t>O objetivo definido para este artigo foi “evidenciar o desempenho do Estado de Santa Catarina em relação ao cumprimento da aplicação mínima constitucional em saúde no período de 2000 a 2015”. Por meio das análises dos dados, foi possível observar o cumprimento ou descumprimento da disposição constitucional ao longo da série histórica e assim atingir tal objetivo.</w:t>
      </w:r>
    </w:p>
    <w:p w14:paraId="3C5C56E8" w14:textId="77777777" w:rsidR="004403D5" w:rsidRPr="00AF2A95" w:rsidRDefault="004403D5" w:rsidP="004403D5">
      <w:pPr>
        <w:ind w:firstLine="709"/>
        <w:jc w:val="both"/>
        <w:rPr>
          <w:sz w:val="24"/>
          <w:szCs w:val="24"/>
        </w:rPr>
      </w:pPr>
      <w:r w:rsidRPr="00AF2A95">
        <w:rPr>
          <w:sz w:val="24"/>
          <w:szCs w:val="24"/>
        </w:rPr>
        <w:t>O Governo de Santa Catarina, ao longo dos anos em que os dados estavam disponíveis, não cumpriu o limite mínimo de aplicação em Ações e Serviços Públicos de Saúde (ASPS) em onze anos, com base nos dados do TCE/SC, e em um ano, segundo os dados da SEF/SC. A diferença entre o montante que deveria ser aplicado no período e o que efetivamente foi é de R$ 968 milhões, valor que representa um déficit de 4,13% do que deveria ser aplicado em ASPS no período, conforme dados do TCE/SC. Segundo dados da SEF/SC, houve superávit (aplicação a maior) de R$ 1,0 bilhão ou 4,84% da aplicação mínima exigida.</w:t>
      </w:r>
    </w:p>
    <w:p w14:paraId="3D7EC5A4" w14:textId="77777777" w:rsidR="004403D5" w:rsidRPr="00AF2A95" w:rsidRDefault="004403D5" w:rsidP="004403D5">
      <w:pPr>
        <w:ind w:firstLine="709"/>
        <w:jc w:val="both"/>
        <w:rPr>
          <w:sz w:val="24"/>
          <w:szCs w:val="24"/>
        </w:rPr>
      </w:pPr>
      <w:r w:rsidRPr="00AF2A95">
        <w:rPr>
          <w:sz w:val="24"/>
          <w:szCs w:val="24"/>
        </w:rPr>
        <w:t xml:space="preserve">Segundo dados do TCE/SC, ajustados monetariamente, a Receita para Efeito de Cálculo (REC) da aplicação mínima em ASPS em 2000 era de cerca de R$ 6,5 bilhões, e em 2015 </w:t>
      </w:r>
      <w:r w:rsidRPr="00AF2A95">
        <w:rPr>
          <w:sz w:val="24"/>
          <w:szCs w:val="24"/>
        </w:rPr>
        <w:lastRenderedPageBreak/>
        <w:t>alcançou R$ 18,4 bilhões, o que representa uma variação de 183,27%. Ainda com dados do TCE/SC, as Despesas para Efeito de Cálculo (DEC) em 2000, também ajustadas pela inflação, foram de R$ 404,5 milhões, e em 2015 atingiram R$ 2,3 bilhões, o que representa um crescimento de 460,30%. Tais dados foram atualizados monetariamente pelo Índice Nacional de Preços ao Consumidos Amplo (IPCA), até 31 de dezembro de 2016.</w:t>
      </w:r>
    </w:p>
    <w:p w14:paraId="437109BB" w14:textId="77777777" w:rsidR="004403D5" w:rsidRPr="00AF2A95" w:rsidRDefault="004403D5" w:rsidP="004403D5">
      <w:pPr>
        <w:ind w:firstLine="709"/>
        <w:jc w:val="both"/>
        <w:rPr>
          <w:sz w:val="24"/>
          <w:szCs w:val="24"/>
        </w:rPr>
      </w:pPr>
      <w:r w:rsidRPr="00AF2A95">
        <w:rPr>
          <w:sz w:val="24"/>
          <w:szCs w:val="24"/>
        </w:rPr>
        <w:t>De acordo com os dados da SEF/SC, também ajustados monetariamente, a variação da REC, no período de 2002 a 2015, foi de 121,46%, passando de R$ 8,0 bilhões para R$ 17,8 bilhões. Por sua vez, a DEC aumentou 217,76%, passando de R$ 718 milhões para R$ 2,3 bilhões. No mesmo período, com base nos dados do TCE/SC ajustados, a variação da REC foi de 101,53%, passando de R$ 9,1 bilhões para R$ 18,4 bilhões, e de 198,17% no que se refere à DEC, partindo de R$ 760 milhões em 2002 para R$ 2,3 bilhões em 2015.</w:t>
      </w:r>
    </w:p>
    <w:p w14:paraId="628F2D03" w14:textId="77777777" w:rsidR="004403D5" w:rsidRPr="00AF2A95" w:rsidRDefault="004403D5" w:rsidP="004403D5">
      <w:pPr>
        <w:ind w:firstLine="709"/>
        <w:jc w:val="both"/>
        <w:rPr>
          <w:sz w:val="24"/>
          <w:szCs w:val="24"/>
        </w:rPr>
      </w:pPr>
      <w:r w:rsidRPr="00AF2A95">
        <w:rPr>
          <w:sz w:val="24"/>
          <w:szCs w:val="24"/>
        </w:rPr>
        <w:t>Destaca-se que nesta pesquisa foi pressuposta a veracidade ideológica das bases documentais das fontes citadas. Assim, pode eventualmente haver divergências entre os dados aqui apresentados e os de outras fontes. Tendo em vista que a pesquisa apresenta uma dimensão qualitativa, outros pesquisadores poderiam ter chegado a resultados diferentes, em virtude de divergências nas escolhas dos dados ou de percepção nas análises.</w:t>
      </w:r>
    </w:p>
    <w:p w14:paraId="29BEC361" w14:textId="77777777" w:rsidR="004403D5" w:rsidRPr="00AF2A95" w:rsidRDefault="004403D5" w:rsidP="004403D5">
      <w:pPr>
        <w:ind w:firstLine="709"/>
        <w:jc w:val="both"/>
        <w:rPr>
          <w:sz w:val="24"/>
          <w:szCs w:val="24"/>
        </w:rPr>
      </w:pPr>
      <w:r w:rsidRPr="00AF2A95">
        <w:rPr>
          <w:sz w:val="24"/>
          <w:szCs w:val="24"/>
        </w:rPr>
        <w:t>Para pesquisas futuras, é sugerida a investigação das diferenças entre as REC e as DEC, calculadas pelo TCE/SC e SEF/SC para se averiguar a natureza destas e, consequentemente, as diferenças no entendimento dos dois órgãos sobre as respectivas bases de cálculo consideradas na verificação do cumprimento da aplicação mínima em ASPS durante a série histórica.</w:t>
      </w:r>
    </w:p>
    <w:p w14:paraId="165A1A50" w14:textId="77777777" w:rsidR="004403D5" w:rsidRPr="00AF2A95" w:rsidRDefault="004403D5" w:rsidP="004403D5">
      <w:pPr>
        <w:rPr>
          <w:b/>
          <w:sz w:val="24"/>
          <w:szCs w:val="24"/>
        </w:rPr>
      </w:pPr>
    </w:p>
    <w:p w14:paraId="19B019C6" w14:textId="77777777" w:rsidR="004403D5" w:rsidRPr="00AF2A95" w:rsidRDefault="004403D5" w:rsidP="004403D5">
      <w:pPr>
        <w:rPr>
          <w:b/>
          <w:sz w:val="24"/>
          <w:szCs w:val="24"/>
        </w:rPr>
      </w:pPr>
      <w:r w:rsidRPr="00AF2A95">
        <w:rPr>
          <w:b/>
          <w:sz w:val="24"/>
          <w:szCs w:val="24"/>
        </w:rPr>
        <w:t>REFERÊNCIAS</w:t>
      </w:r>
    </w:p>
    <w:p w14:paraId="13D988F0" w14:textId="77777777" w:rsidR="004403D5" w:rsidRPr="00AF2A95" w:rsidRDefault="004403D5" w:rsidP="004403D5">
      <w:pPr>
        <w:rPr>
          <w:b/>
          <w:sz w:val="24"/>
          <w:szCs w:val="24"/>
        </w:rPr>
      </w:pPr>
    </w:p>
    <w:p w14:paraId="1B672805" w14:textId="2282759E" w:rsidR="004403D5" w:rsidRPr="00AF2A95" w:rsidRDefault="004403D5" w:rsidP="004403D5">
      <w:pPr>
        <w:spacing w:after="120"/>
        <w:rPr>
          <w:sz w:val="24"/>
          <w:szCs w:val="24"/>
        </w:rPr>
      </w:pPr>
      <w:r w:rsidRPr="00AF2A95">
        <w:rPr>
          <w:sz w:val="24"/>
          <w:szCs w:val="24"/>
        </w:rPr>
        <w:t>B</w:t>
      </w:r>
      <w:r w:rsidR="00E06DBA" w:rsidRPr="00AF2A95">
        <w:rPr>
          <w:sz w:val="24"/>
          <w:szCs w:val="24"/>
        </w:rPr>
        <w:t>euren, I. M, Longaray, A. A., Raupp, F. M., Sousa, M. A. B., Colauto, R. D., &amp; Porton, R. A. B</w:t>
      </w:r>
      <w:r w:rsidRPr="00AF2A95">
        <w:rPr>
          <w:sz w:val="24"/>
          <w:szCs w:val="24"/>
        </w:rPr>
        <w:t xml:space="preserve">. </w:t>
      </w:r>
      <w:r w:rsidR="00E06DBA" w:rsidRPr="00AF2A95">
        <w:rPr>
          <w:sz w:val="24"/>
          <w:szCs w:val="24"/>
        </w:rPr>
        <w:t xml:space="preserve">(2013). </w:t>
      </w:r>
      <w:r w:rsidRPr="00AF2A95">
        <w:rPr>
          <w:i/>
          <w:sz w:val="24"/>
          <w:szCs w:val="24"/>
        </w:rPr>
        <w:t>Como elaborar trabalhos monográficos em Contabilidade: Teoria e Prática</w:t>
      </w:r>
      <w:r w:rsidR="00554833" w:rsidRPr="00AF2A95">
        <w:rPr>
          <w:sz w:val="24"/>
          <w:szCs w:val="24"/>
        </w:rPr>
        <w:t xml:space="preserve"> (3a ed.).</w:t>
      </w:r>
      <w:r w:rsidRPr="00AF2A95">
        <w:rPr>
          <w:sz w:val="24"/>
          <w:szCs w:val="24"/>
        </w:rPr>
        <w:t xml:space="preserve"> São Paulo: Atlas</w:t>
      </w:r>
      <w:r w:rsidR="00E06DBA" w:rsidRPr="00AF2A95">
        <w:rPr>
          <w:sz w:val="24"/>
          <w:szCs w:val="24"/>
        </w:rPr>
        <w:t>.</w:t>
      </w:r>
    </w:p>
    <w:p w14:paraId="5F771092" w14:textId="4BC11025" w:rsidR="004403D5" w:rsidRPr="00AF2A95" w:rsidRDefault="00DB23DC" w:rsidP="004403D5">
      <w:pPr>
        <w:spacing w:after="120"/>
        <w:rPr>
          <w:sz w:val="24"/>
          <w:szCs w:val="24"/>
        </w:rPr>
      </w:pPr>
      <w:r w:rsidRPr="00AF2A95">
        <w:rPr>
          <w:sz w:val="24"/>
          <w:szCs w:val="24"/>
        </w:rPr>
        <w:t>Bittencourt</w:t>
      </w:r>
      <w:r w:rsidR="00997AF3" w:rsidRPr="00AF2A95">
        <w:rPr>
          <w:sz w:val="24"/>
          <w:szCs w:val="24"/>
        </w:rPr>
        <w:t>, P., &amp; Platt,</w:t>
      </w:r>
      <w:r w:rsidR="004403D5" w:rsidRPr="00AF2A95">
        <w:rPr>
          <w:sz w:val="24"/>
          <w:szCs w:val="24"/>
        </w:rPr>
        <w:t xml:space="preserve"> O. A.</w:t>
      </w:r>
      <w:r w:rsidR="00997AF3" w:rsidRPr="00AF2A95">
        <w:rPr>
          <w:sz w:val="24"/>
          <w:szCs w:val="24"/>
        </w:rPr>
        <w:t>, Neto</w:t>
      </w:r>
      <w:r w:rsidR="004403D5" w:rsidRPr="00AF2A95">
        <w:rPr>
          <w:sz w:val="24"/>
          <w:szCs w:val="24"/>
        </w:rPr>
        <w:t>.</w:t>
      </w:r>
      <w:r w:rsidR="00997AF3" w:rsidRPr="00AF2A95">
        <w:rPr>
          <w:sz w:val="24"/>
          <w:szCs w:val="24"/>
        </w:rPr>
        <w:t xml:space="preserve"> (2016).</w:t>
      </w:r>
      <w:r w:rsidR="004403D5" w:rsidRPr="00AF2A95">
        <w:rPr>
          <w:sz w:val="24"/>
          <w:szCs w:val="24"/>
        </w:rPr>
        <w:t xml:space="preserve"> </w:t>
      </w:r>
      <w:r w:rsidR="004403D5" w:rsidRPr="00AF2A95">
        <w:rPr>
          <w:i/>
          <w:sz w:val="24"/>
          <w:szCs w:val="24"/>
        </w:rPr>
        <w:t>O desempenho do município de Florianópolis – SC em relação ao cumprimento da aplicação mínima constitucional em saúde no período de 2000 a 2015</w:t>
      </w:r>
      <w:r w:rsidR="00464693" w:rsidRPr="00AF2A95">
        <w:rPr>
          <w:b/>
          <w:sz w:val="24"/>
          <w:szCs w:val="24"/>
        </w:rPr>
        <w:t xml:space="preserve"> (</w:t>
      </w:r>
      <w:r w:rsidR="004403D5" w:rsidRPr="00AF2A95">
        <w:rPr>
          <w:sz w:val="24"/>
          <w:szCs w:val="24"/>
        </w:rPr>
        <w:t>Artigo de Graduação</w:t>
      </w:r>
      <w:r w:rsidR="00464693" w:rsidRPr="00AF2A95">
        <w:rPr>
          <w:sz w:val="24"/>
          <w:szCs w:val="24"/>
        </w:rPr>
        <w:t>). Departamento de Ciências Contábeis</w:t>
      </w:r>
      <w:r w:rsidR="004403D5" w:rsidRPr="00AF2A95">
        <w:rPr>
          <w:sz w:val="24"/>
          <w:szCs w:val="24"/>
        </w:rPr>
        <w:t xml:space="preserve"> da Universi</w:t>
      </w:r>
      <w:r w:rsidR="00464693" w:rsidRPr="00AF2A95">
        <w:rPr>
          <w:sz w:val="24"/>
          <w:szCs w:val="24"/>
        </w:rPr>
        <w:t xml:space="preserve">dade Federal de Santa Catarina. </w:t>
      </w:r>
      <w:r w:rsidR="004403D5" w:rsidRPr="00AF2A95">
        <w:rPr>
          <w:sz w:val="24"/>
          <w:szCs w:val="24"/>
        </w:rPr>
        <w:t>Florianópolis</w:t>
      </w:r>
      <w:r w:rsidR="00464693" w:rsidRPr="00AF2A95">
        <w:rPr>
          <w:sz w:val="24"/>
          <w:szCs w:val="24"/>
        </w:rPr>
        <w:t>, Santa Catarina, Brasil</w:t>
      </w:r>
      <w:r w:rsidR="004403D5" w:rsidRPr="00AF2A95">
        <w:rPr>
          <w:sz w:val="24"/>
          <w:szCs w:val="24"/>
        </w:rPr>
        <w:t>.</w:t>
      </w:r>
    </w:p>
    <w:p w14:paraId="7CA02A49" w14:textId="77777777" w:rsidR="009C36D5" w:rsidRPr="00AF2A95" w:rsidRDefault="009C36D5" w:rsidP="009C36D5">
      <w:pPr>
        <w:spacing w:after="120"/>
        <w:rPr>
          <w:sz w:val="24"/>
          <w:szCs w:val="24"/>
        </w:rPr>
      </w:pPr>
      <w:r w:rsidRPr="00AF2A95">
        <w:rPr>
          <w:sz w:val="24"/>
          <w:szCs w:val="24"/>
        </w:rPr>
        <w:t xml:space="preserve">Campelli, M. G. R., &amp; Calvo, M. C. M. (2007). O cumprimento da Emenda Constitucional no. 29 no Brasil. </w:t>
      </w:r>
      <w:r w:rsidRPr="00AF2A95">
        <w:rPr>
          <w:i/>
          <w:sz w:val="24"/>
          <w:szCs w:val="24"/>
        </w:rPr>
        <w:t>Caderno Saúde Pública</w:t>
      </w:r>
      <w:r w:rsidRPr="00AF2A95">
        <w:rPr>
          <w:sz w:val="24"/>
          <w:szCs w:val="24"/>
        </w:rPr>
        <w:t>, 23(7), 1613-1623.</w:t>
      </w:r>
    </w:p>
    <w:p w14:paraId="2EF55490" w14:textId="76B2E121" w:rsidR="009C36D5" w:rsidRPr="00AF2A95" w:rsidRDefault="009C36D5" w:rsidP="004403D5">
      <w:pPr>
        <w:spacing w:after="120"/>
        <w:rPr>
          <w:sz w:val="24"/>
          <w:szCs w:val="24"/>
        </w:rPr>
      </w:pPr>
      <w:r w:rsidRPr="00AF2A95">
        <w:rPr>
          <w:i/>
          <w:sz w:val="24"/>
          <w:szCs w:val="24"/>
        </w:rPr>
        <w:t xml:space="preserve">Constituição da República Federativa do Brasil de 1988. </w:t>
      </w:r>
      <w:r w:rsidRPr="00AF2A95">
        <w:rPr>
          <w:sz w:val="24"/>
          <w:szCs w:val="24"/>
        </w:rPr>
        <w:t>(1988). Atualizada até a Emenda Constitucional n.º 93. Presidência da República. Casa Civil. Recuperado em 10 dezembro, 2016 de: http://www.planalto.gov.br/ccivil_03 /constituicao/constituicaocompilado.htm.</w:t>
      </w:r>
    </w:p>
    <w:p w14:paraId="75C39930" w14:textId="5226A0D8" w:rsidR="004403D5" w:rsidRPr="00AF2A95" w:rsidRDefault="009C36D5" w:rsidP="004403D5">
      <w:pPr>
        <w:spacing w:after="120"/>
        <w:rPr>
          <w:sz w:val="24"/>
          <w:szCs w:val="24"/>
        </w:rPr>
      </w:pPr>
      <w:r w:rsidRPr="00AF2A95">
        <w:rPr>
          <w:sz w:val="24"/>
          <w:szCs w:val="24"/>
        </w:rPr>
        <w:t xml:space="preserve">Cruz, F. da. </w:t>
      </w:r>
      <w:r w:rsidRPr="00AF2A95">
        <w:rPr>
          <w:i/>
          <w:sz w:val="24"/>
          <w:szCs w:val="24"/>
        </w:rPr>
        <w:t>Contabilidade e movimentação patrimonial do setor público</w:t>
      </w:r>
      <w:r w:rsidRPr="00AF2A95">
        <w:rPr>
          <w:sz w:val="24"/>
          <w:szCs w:val="24"/>
        </w:rPr>
        <w:t xml:space="preserve"> (Ed. do Autor). (1988). Rio de Janeiro.</w:t>
      </w:r>
    </w:p>
    <w:p w14:paraId="6BD8B2B5" w14:textId="55AFAEA5" w:rsidR="004403D5" w:rsidRPr="00AF2A95" w:rsidRDefault="004403D5" w:rsidP="004403D5">
      <w:pPr>
        <w:spacing w:after="120"/>
        <w:rPr>
          <w:sz w:val="24"/>
          <w:szCs w:val="24"/>
        </w:rPr>
      </w:pPr>
      <w:r w:rsidRPr="00AF2A95">
        <w:rPr>
          <w:i/>
          <w:sz w:val="24"/>
          <w:szCs w:val="24"/>
        </w:rPr>
        <w:t>Emenda Constitucional n.º 29, de 13 de setembro de 2000</w:t>
      </w:r>
      <w:r w:rsidRPr="00AF2A95">
        <w:rPr>
          <w:sz w:val="24"/>
          <w:szCs w:val="24"/>
        </w:rPr>
        <w:t xml:space="preserve">. </w:t>
      </w:r>
      <w:r w:rsidR="00E56D0C" w:rsidRPr="00AF2A95">
        <w:rPr>
          <w:sz w:val="24"/>
          <w:szCs w:val="24"/>
        </w:rPr>
        <w:t xml:space="preserve">(2000). </w:t>
      </w:r>
      <w:r w:rsidRPr="00AF2A95">
        <w:rPr>
          <w:sz w:val="24"/>
          <w:szCs w:val="24"/>
        </w:rPr>
        <w:t xml:space="preserve">Altera os arts. 34, 35, 156, 160, 167 e 198 da Constituição Federal e acrescenta artigo ao Ato das Disposições Constitucionais Transitórias, para assegurar os recursos mínimos para o financiamento das ações e serviços públicos de saúde. </w:t>
      </w:r>
      <w:r w:rsidR="00D77374" w:rsidRPr="00AF2A95">
        <w:rPr>
          <w:sz w:val="24"/>
          <w:szCs w:val="24"/>
        </w:rPr>
        <w:t xml:space="preserve">Recuperado </w:t>
      </w:r>
      <w:r w:rsidR="007D5A96" w:rsidRPr="00AF2A95">
        <w:rPr>
          <w:sz w:val="24"/>
          <w:szCs w:val="24"/>
        </w:rPr>
        <w:t xml:space="preserve">em 10 abril, 2017 </w:t>
      </w:r>
      <w:r w:rsidR="00D77374" w:rsidRPr="00AF2A95">
        <w:rPr>
          <w:sz w:val="24"/>
          <w:szCs w:val="24"/>
        </w:rPr>
        <w:t>de</w:t>
      </w:r>
      <w:r w:rsidRPr="00AF2A95">
        <w:rPr>
          <w:sz w:val="24"/>
          <w:szCs w:val="24"/>
        </w:rPr>
        <w:t xml:space="preserve">: </w:t>
      </w:r>
      <w:r w:rsidR="007D5A96" w:rsidRPr="00AF2A95">
        <w:rPr>
          <w:sz w:val="24"/>
          <w:szCs w:val="24"/>
        </w:rPr>
        <w:t xml:space="preserve">https://www.planalto </w:t>
      </w:r>
      <w:r w:rsidRPr="00AF2A95">
        <w:rPr>
          <w:sz w:val="24"/>
          <w:szCs w:val="24"/>
        </w:rPr>
        <w:t>.gov.br/ccivil_03/ Co</w:t>
      </w:r>
      <w:r w:rsidR="00E56D0C" w:rsidRPr="00AF2A95">
        <w:rPr>
          <w:sz w:val="24"/>
          <w:szCs w:val="24"/>
        </w:rPr>
        <w:t>nstituicao/Emendas/Emc/emc29.htm</w:t>
      </w:r>
      <w:r w:rsidRPr="00AF2A95">
        <w:rPr>
          <w:sz w:val="24"/>
          <w:szCs w:val="24"/>
        </w:rPr>
        <w:t xml:space="preserve">. </w:t>
      </w:r>
    </w:p>
    <w:p w14:paraId="734CB5B9" w14:textId="7B149C7A" w:rsidR="004403D5" w:rsidRPr="00AF2A95" w:rsidRDefault="004403D5" w:rsidP="004403D5">
      <w:pPr>
        <w:spacing w:after="120"/>
        <w:rPr>
          <w:sz w:val="24"/>
          <w:szCs w:val="24"/>
        </w:rPr>
      </w:pPr>
      <w:r w:rsidRPr="00AF2A95">
        <w:rPr>
          <w:i/>
          <w:sz w:val="24"/>
          <w:szCs w:val="24"/>
        </w:rPr>
        <w:t>Emenda Constitucional n.º 95, de 15 de dezembro de 2016</w:t>
      </w:r>
      <w:r w:rsidRPr="00AF2A95">
        <w:rPr>
          <w:sz w:val="24"/>
          <w:szCs w:val="24"/>
        </w:rPr>
        <w:t>.</w:t>
      </w:r>
      <w:r w:rsidR="00E56D0C" w:rsidRPr="00AF2A95">
        <w:rPr>
          <w:sz w:val="24"/>
          <w:szCs w:val="24"/>
        </w:rPr>
        <w:t xml:space="preserve"> (2016).</w:t>
      </w:r>
      <w:r w:rsidRPr="00AF2A95">
        <w:rPr>
          <w:sz w:val="24"/>
          <w:szCs w:val="24"/>
        </w:rPr>
        <w:t xml:space="preserve"> Altera o Ato das Disposições Constitucionais Transitórias, para instituir o Novo Regime Fiscal, e dá outras providências. </w:t>
      </w:r>
      <w:r w:rsidR="00D77374" w:rsidRPr="00AF2A95">
        <w:rPr>
          <w:sz w:val="24"/>
          <w:szCs w:val="24"/>
        </w:rPr>
        <w:t>Recuperado</w:t>
      </w:r>
      <w:r w:rsidR="007D5A96" w:rsidRPr="00AF2A95">
        <w:rPr>
          <w:sz w:val="24"/>
          <w:szCs w:val="24"/>
        </w:rPr>
        <w:t xml:space="preserve"> em 10 abril, 2017</w:t>
      </w:r>
      <w:r w:rsidRPr="00AF2A95">
        <w:rPr>
          <w:sz w:val="24"/>
          <w:szCs w:val="24"/>
        </w:rPr>
        <w:t xml:space="preserve"> </w:t>
      </w:r>
      <w:r w:rsidR="00D77374" w:rsidRPr="00AF2A95">
        <w:rPr>
          <w:sz w:val="24"/>
          <w:szCs w:val="24"/>
        </w:rPr>
        <w:t>de</w:t>
      </w:r>
      <w:r w:rsidR="00E56D0C" w:rsidRPr="00AF2A95">
        <w:rPr>
          <w:sz w:val="24"/>
          <w:szCs w:val="24"/>
        </w:rPr>
        <w:t xml:space="preserve">: </w:t>
      </w:r>
      <w:r w:rsidR="009C36D5" w:rsidRPr="00AF2A95">
        <w:rPr>
          <w:sz w:val="24"/>
          <w:szCs w:val="24"/>
        </w:rPr>
        <w:t>http://www.planalto.gov.br/ccivil_03 /constituicao/emendas/ emc/emc95.htm</w:t>
      </w:r>
      <w:r w:rsidR="00D77374" w:rsidRPr="00AF2A95">
        <w:rPr>
          <w:sz w:val="24"/>
          <w:szCs w:val="24"/>
        </w:rPr>
        <w:t>.</w:t>
      </w:r>
    </w:p>
    <w:p w14:paraId="1DE6B16A" w14:textId="33526FE4" w:rsidR="009C36D5" w:rsidRPr="00AF2A95" w:rsidRDefault="009C36D5" w:rsidP="004403D5">
      <w:pPr>
        <w:spacing w:after="120"/>
        <w:rPr>
          <w:sz w:val="24"/>
          <w:szCs w:val="24"/>
        </w:rPr>
      </w:pPr>
      <w:r w:rsidRPr="00AF2A95">
        <w:rPr>
          <w:sz w:val="24"/>
          <w:szCs w:val="24"/>
        </w:rPr>
        <w:lastRenderedPageBreak/>
        <w:t xml:space="preserve">Ferreira, A. G., &amp; Platt, O. A, Neto. (2014). O desempenho do Município de Moreira Sales – PR em relação ao cumprimento dos limites constitucionais de aplicações mínimas em educação e saúde no período de 2004 a 2012. </w:t>
      </w:r>
      <w:r w:rsidRPr="00AF2A95">
        <w:rPr>
          <w:i/>
          <w:sz w:val="24"/>
          <w:szCs w:val="24"/>
        </w:rPr>
        <w:t>5º Congresso UFSC de Controladoria e Finanças e do 5º Congresso UFSC de Iniciação Científica em Contabilidade</w:t>
      </w:r>
      <w:r w:rsidRPr="00AF2A95">
        <w:rPr>
          <w:sz w:val="24"/>
          <w:szCs w:val="24"/>
        </w:rPr>
        <w:t>. Florianópolis, Santa Catarina, Brasil.</w:t>
      </w:r>
    </w:p>
    <w:p w14:paraId="7C9B5A96" w14:textId="0F829A42" w:rsidR="009C36D5" w:rsidRPr="00AF2A95" w:rsidRDefault="009C36D5" w:rsidP="004403D5">
      <w:pPr>
        <w:spacing w:after="120"/>
        <w:rPr>
          <w:sz w:val="24"/>
          <w:szCs w:val="24"/>
        </w:rPr>
      </w:pPr>
      <w:r w:rsidRPr="00AF2A95">
        <w:rPr>
          <w:sz w:val="24"/>
          <w:szCs w:val="24"/>
        </w:rPr>
        <w:t xml:space="preserve">Godoy, E. A., Platt, O. A., Neto, &amp; Cruz, F. da. (2009). O desempenho do Município de Selbach – RS em relação aos limites constitucionais de aplicações mínimas em ensino e saúde, no período de 2000 a 2008. </w:t>
      </w:r>
      <w:r w:rsidRPr="00AF2A95">
        <w:rPr>
          <w:i/>
          <w:sz w:val="24"/>
          <w:szCs w:val="24"/>
        </w:rPr>
        <w:t>3º Congresso UFSC de Controladoria e Finanças e do 3º Congresso UFSC de Iniciação Científica em Contabilidade</w:t>
      </w:r>
      <w:r w:rsidRPr="00AF2A95">
        <w:rPr>
          <w:sz w:val="24"/>
          <w:szCs w:val="24"/>
        </w:rPr>
        <w:t>. Florianópolis, Santa Catarina, Brasil.</w:t>
      </w:r>
    </w:p>
    <w:p w14:paraId="4C7E943E" w14:textId="77777777" w:rsidR="009C36D5" w:rsidRPr="00AF2A95" w:rsidRDefault="009C36D5" w:rsidP="009C36D5">
      <w:pPr>
        <w:spacing w:after="120"/>
        <w:rPr>
          <w:sz w:val="24"/>
          <w:szCs w:val="24"/>
        </w:rPr>
      </w:pPr>
      <w:r w:rsidRPr="00AF2A95">
        <w:rPr>
          <w:sz w:val="24"/>
          <w:szCs w:val="24"/>
        </w:rPr>
        <w:t xml:space="preserve">Instituto Brasileiro de Geografia e Estatística. (2017). </w:t>
      </w:r>
      <w:r w:rsidRPr="00AF2A95">
        <w:rPr>
          <w:i/>
          <w:sz w:val="24"/>
          <w:szCs w:val="24"/>
        </w:rPr>
        <w:t xml:space="preserve">Índice Nacional de Preços ao Consumidor Amplo – IPCA e Índice Nacional de Preços ao Consumidor – INPC. </w:t>
      </w:r>
      <w:r w:rsidRPr="00AF2A95">
        <w:rPr>
          <w:sz w:val="24"/>
          <w:szCs w:val="24"/>
        </w:rPr>
        <w:t>Recuperado em 29 maio, 2017 de: http://www.ibge.gov.br/home/estatistica/indicadores/precos/inpc_ipca/ defaultinpc.shtm .</w:t>
      </w:r>
    </w:p>
    <w:p w14:paraId="20648F60" w14:textId="78A136EA" w:rsidR="009C36D5" w:rsidRPr="00AF2A95" w:rsidRDefault="009C36D5" w:rsidP="004403D5">
      <w:pPr>
        <w:spacing w:after="120"/>
        <w:rPr>
          <w:sz w:val="24"/>
          <w:szCs w:val="24"/>
        </w:rPr>
      </w:pPr>
      <w:r w:rsidRPr="00AF2A95">
        <w:rPr>
          <w:sz w:val="24"/>
          <w:szCs w:val="24"/>
        </w:rPr>
        <w:t xml:space="preserve">Kohama, H. (2016). </w:t>
      </w:r>
      <w:r w:rsidRPr="00AF2A95">
        <w:rPr>
          <w:i/>
          <w:sz w:val="24"/>
          <w:szCs w:val="24"/>
        </w:rPr>
        <w:t xml:space="preserve">Contabilidade Pública: Teoria e Prática </w:t>
      </w:r>
      <w:r w:rsidRPr="00AF2A95">
        <w:rPr>
          <w:sz w:val="24"/>
          <w:szCs w:val="24"/>
        </w:rPr>
        <w:t>(15. ed.). São Paulo: Atlas.</w:t>
      </w:r>
    </w:p>
    <w:p w14:paraId="60E470AB" w14:textId="2D819223" w:rsidR="004403D5" w:rsidRPr="00AF2A95" w:rsidRDefault="007944D8" w:rsidP="004403D5">
      <w:pPr>
        <w:spacing w:after="120"/>
        <w:rPr>
          <w:sz w:val="24"/>
          <w:szCs w:val="24"/>
        </w:rPr>
      </w:pPr>
      <w:r w:rsidRPr="00AF2A95">
        <w:rPr>
          <w:i/>
          <w:sz w:val="24"/>
          <w:szCs w:val="24"/>
        </w:rPr>
        <w:t>L</w:t>
      </w:r>
      <w:r w:rsidR="004403D5" w:rsidRPr="00AF2A95">
        <w:rPr>
          <w:i/>
          <w:sz w:val="24"/>
          <w:szCs w:val="24"/>
        </w:rPr>
        <w:t>ei Complementar n.º 101, de 4 de maio de 2000</w:t>
      </w:r>
      <w:r w:rsidR="004403D5" w:rsidRPr="00AF2A95">
        <w:rPr>
          <w:sz w:val="24"/>
          <w:szCs w:val="24"/>
        </w:rPr>
        <w:t>.</w:t>
      </w:r>
      <w:r w:rsidR="00E56D0C" w:rsidRPr="00AF2A95">
        <w:rPr>
          <w:sz w:val="24"/>
          <w:szCs w:val="24"/>
        </w:rPr>
        <w:t xml:space="preserve"> (2000).</w:t>
      </w:r>
      <w:r w:rsidR="004403D5" w:rsidRPr="00AF2A95">
        <w:rPr>
          <w:sz w:val="24"/>
          <w:szCs w:val="24"/>
        </w:rPr>
        <w:t xml:space="preserve"> Estabelece normas de finanças públicas voltadas para a responsabilidade na gestão fiscal e dá outras providências. </w:t>
      </w:r>
      <w:r w:rsidR="00D77374" w:rsidRPr="00AF2A95">
        <w:rPr>
          <w:sz w:val="24"/>
          <w:szCs w:val="24"/>
        </w:rPr>
        <w:t>Recuperado</w:t>
      </w:r>
      <w:r w:rsidR="007D5A96" w:rsidRPr="00AF2A95">
        <w:rPr>
          <w:sz w:val="24"/>
          <w:szCs w:val="24"/>
        </w:rPr>
        <w:t xml:space="preserve"> em 12 dezembro, 2016</w:t>
      </w:r>
      <w:r w:rsidR="00D77374" w:rsidRPr="00AF2A95">
        <w:rPr>
          <w:sz w:val="24"/>
          <w:szCs w:val="24"/>
        </w:rPr>
        <w:t xml:space="preserve"> de</w:t>
      </w:r>
      <w:r w:rsidR="00E56D0C" w:rsidRPr="00AF2A95">
        <w:rPr>
          <w:sz w:val="24"/>
          <w:szCs w:val="24"/>
        </w:rPr>
        <w:t xml:space="preserve">: </w:t>
      </w:r>
      <w:r w:rsidR="004403D5" w:rsidRPr="00AF2A95">
        <w:rPr>
          <w:sz w:val="24"/>
          <w:szCs w:val="24"/>
        </w:rPr>
        <w:t>http://www.planalto.gov.br/c</w:t>
      </w:r>
      <w:r w:rsidR="00E56D0C" w:rsidRPr="00AF2A95">
        <w:rPr>
          <w:sz w:val="24"/>
          <w:szCs w:val="24"/>
        </w:rPr>
        <w:t>civil_03/leis/ LCP/Lcp101.htm.</w:t>
      </w:r>
    </w:p>
    <w:p w14:paraId="36C330B4" w14:textId="509CCC99" w:rsidR="004403D5" w:rsidRPr="00AF2A95" w:rsidRDefault="004403D5" w:rsidP="004403D5">
      <w:pPr>
        <w:spacing w:after="120"/>
        <w:rPr>
          <w:sz w:val="24"/>
          <w:szCs w:val="24"/>
        </w:rPr>
      </w:pPr>
      <w:r w:rsidRPr="00AF2A95">
        <w:rPr>
          <w:i/>
          <w:sz w:val="24"/>
          <w:szCs w:val="24"/>
        </w:rPr>
        <w:t>Lei Complementar n.º 141, de 13 de janeiro de 2012</w:t>
      </w:r>
      <w:r w:rsidRPr="00AF2A95">
        <w:rPr>
          <w:sz w:val="24"/>
          <w:szCs w:val="24"/>
        </w:rPr>
        <w:t>.</w:t>
      </w:r>
      <w:r w:rsidR="00E56D0C" w:rsidRPr="00AF2A95">
        <w:rPr>
          <w:sz w:val="24"/>
          <w:szCs w:val="24"/>
        </w:rPr>
        <w:t xml:space="preserve"> (2012)</w:t>
      </w:r>
      <w:r w:rsidRPr="00AF2A95">
        <w:rPr>
          <w:sz w:val="24"/>
          <w:szCs w:val="24"/>
        </w:rPr>
        <w:t xml:space="preserve"> Regulamenta o § 3º do art. 198 da Constituição Federal para dispor sobre os valores mínimos a serem aplicados anualmente pela União, Estados, Distrito Federal e Municípios em ações e serviços públicos de saúde; estabelece o critério de rateio dos recursos de transferências para a saúde e as normas de fiscalização, avaliação e controle das despesas com saúde nas 3 (três) esferas de governo; revoga dispositivos das Leis n</w:t>
      </w:r>
      <w:r w:rsidRPr="00AF2A95">
        <w:rPr>
          <w:sz w:val="24"/>
          <w:szCs w:val="24"/>
          <w:vertAlign w:val="superscript"/>
        </w:rPr>
        <w:t>os</w:t>
      </w:r>
      <w:r w:rsidRPr="00AF2A95">
        <w:rPr>
          <w:sz w:val="24"/>
          <w:szCs w:val="24"/>
        </w:rPr>
        <w:t xml:space="preserve"> 8.080, de 19 de setembro de 1990, e 8.689, de 27 de julho de 1993; e dá outras providências. </w:t>
      </w:r>
      <w:r w:rsidR="007A145C" w:rsidRPr="00AF2A95">
        <w:rPr>
          <w:sz w:val="24"/>
          <w:szCs w:val="24"/>
        </w:rPr>
        <w:t xml:space="preserve">Recuperado </w:t>
      </w:r>
      <w:r w:rsidR="007D5A96" w:rsidRPr="00AF2A95">
        <w:rPr>
          <w:sz w:val="24"/>
          <w:szCs w:val="24"/>
        </w:rPr>
        <w:t xml:space="preserve">em 12 dezembro, 2016 </w:t>
      </w:r>
      <w:r w:rsidR="007A145C" w:rsidRPr="00AF2A95">
        <w:rPr>
          <w:sz w:val="24"/>
          <w:szCs w:val="24"/>
        </w:rPr>
        <w:t>de</w:t>
      </w:r>
      <w:r w:rsidR="00E56D0C" w:rsidRPr="00AF2A95">
        <w:rPr>
          <w:sz w:val="24"/>
          <w:szCs w:val="24"/>
        </w:rPr>
        <w:t xml:space="preserve">: </w:t>
      </w:r>
      <w:r w:rsidR="007D5A96" w:rsidRPr="00AF2A95">
        <w:rPr>
          <w:sz w:val="24"/>
          <w:szCs w:val="24"/>
        </w:rPr>
        <w:t>http://www.planalto</w:t>
      </w:r>
      <w:r w:rsidRPr="00AF2A95">
        <w:rPr>
          <w:sz w:val="24"/>
          <w:szCs w:val="24"/>
        </w:rPr>
        <w:t>.</w:t>
      </w:r>
      <w:r w:rsidR="007D5A96" w:rsidRPr="00AF2A95">
        <w:rPr>
          <w:sz w:val="24"/>
          <w:szCs w:val="24"/>
        </w:rPr>
        <w:t xml:space="preserve"> </w:t>
      </w:r>
      <w:r w:rsidRPr="00AF2A95">
        <w:rPr>
          <w:sz w:val="24"/>
          <w:szCs w:val="24"/>
        </w:rPr>
        <w:t>gov.br/c</w:t>
      </w:r>
      <w:r w:rsidR="00E56D0C" w:rsidRPr="00AF2A95">
        <w:rPr>
          <w:sz w:val="24"/>
          <w:szCs w:val="24"/>
        </w:rPr>
        <w:t>civil_ 03/leis/LCP/Lcp141.htm</w:t>
      </w:r>
      <w:r w:rsidR="007A145C" w:rsidRPr="00AF2A95">
        <w:rPr>
          <w:sz w:val="24"/>
          <w:szCs w:val="24"/>
        </w:rPr>
        <w:t>.</w:t>
      </w:r>
    </w:p>
    <w:p w14:paraId="275B6FBB" w14:textId="3F7D06F7" w:rsidR="004403D5" w:rsidRPr="00AF2A95" w:rsidRDefault="004403D5" w:rsidP="004403D5">
      <w:pPr>
        <w:spacing w:after="120"/>
        <w:rPr>
          <w:sz w:val="24"/>
          <w:szCs w:val="24"/>
        </w:rPr>
      </w:pPr>
      <w:r w:rsidRPr="00AF2A95">
        <w:rPr>
          <w:i/>
          <w:sz w:val="24"/>
          <w:szCs w:val="24"/>
        </w:rPr>
        <w:t>Lei n.º 4.320, de 17 de março de 1964</w:t>
      </w:r>
      <w:r w:rsidRPr="00AF2A95">
        <w:rPr>
          <w:sz w:val="24"/>
          <w:szCs w:val="24"/>
        </w:rPr>
        <w:t xml:space="preserve">. </w:t>
      </w:r>
      <w:r w:rsidR="00E56D0C" w:rsidRPr="00AF2A95">
        <w:rPr>
          <w:sz w:val="24"/>
          <w:szCs w:val="24"/>
        </w:rPr>
        <w:t xml:space="preserve">(1964). </w:t>
      </w:r>
      <w:r w:rsidRPr="00AF2A95">
        <w:rPr>
          <w:sz w:val="24"/>
          <w:szCs w:val="24"/>
        </w:rPr>
        <w:t xml:space="preserve">Estatui normas gerais de direito financeiro para elaboração e controle dos orçamentos e balanços da União, dos Estados, dos Municípios e do Distrito Federal. </w:t>
      </w:r>
      <w:r w:rsidR="007A145C" w:rsidRPr="00AF2A95">
        <w:rPr>
          <w:sz w:val="24"/>
          <w:szCs w:val="24"/>
        </w:rPr>
        <w:t xml:space="preserve">Recuperado </w:t>
      </w:r>
      <w:r w:rsidR="000D77B7" w:rsidRPr="00AF2A95">
        <w:rPr>
          <w:sz w:val="24"/>
          <w:szCs w:val="24"/>
        </w:rPr>
        <w:t xml:space="preserve">em 15 fevereiro, 2017 </w:t>
      </w:r>
      <w:r w:rsidR="007A145C" w:rsidRPr="00AF2A95">
        <w:rPr>
          <w:sz w:val="24"/>
          <w:szCs w:val="24"/>
        </w:rPr>
        <w:t>de</w:t>
      </w:r>
      <w:r w:rsidRPr="00AF2A95">
        <w:rPr>
          <w:sz w:val="24"/>
          <w:szCs w:val="24"/>
        </w:rPr>
        <w:t xml:space="preserve">: </w:t>
      </w:r>
      <w:r w:rsidR="007D5A96" w:rsidRPr="00AF2A95">
        <w:rPr>
          <w:sz w:val="24"/>
          <w:szCs w:val="24"/>
        </w:rPr>
        <w:t xml:space="preserve">http://www.planalto.gov.br/ </w:t>
      </w:r>
      <w:r w:rsidR="00E56D0C" w:rsidRPr="00AF2A95">
        <w:rPr>
          <w:sz w:val="24"/>
          <w:szCs w:val="24"/>
        </w:rPr>
        <w:t>ccivil_03/leis</w:t>
      </w:r>
      <w:r w:rsidR="000D77B7" w:rsidRPr="00AF2A95">
        <w:rPr>
          <w:sz w:val="24"/>
          <w:szCs w:val="24"/>
        </w:rPr>
        <w:t xml:space="preserve"> </w:t>
      </w:r>
      <w:r w:rsidR="00E56D0C" w:rsidRPr="00AF2A95">
        <w:rPr>
          <w:sz w:val="24"/>
          <w:szCs w:val="24"/>
        </w:rPr>
        <w:t>L4320.htm.</w:t>
      </w:r>
    </w:p>
    <w:p w14:paraId="720CD4EF" w14:textId="7D80DDCE" w:rsidR="004403D5" w:rsidRPr="00AF2A95" w:rsidRDefault="00554833" w:rsidP="004403D5">
      <w:pPr>
        <w:spacing w:after="120"/>
        <w:rPr>
          <w:sz w:val="24"/>
          <w:szCs w:val="24"/>
        </w:rPr>
      </w:pPr>
      <w:r w:rsidRPr="00AF2A95">
        <w:rPr>
          <w:sz w:val="24"/>
          <w:szCs w:val="24"/>
        </w:rPr>
        <w:t>Pfitscher, E. D., Costa, R., &amp; Uhlmann</w:t>
      </w:r>
      <w:r w:rsidR="004403D5" w:rsidRPr="00AF2A95">
        <w:rPr>
          <w:sz w:val="24"/>
          <w:szCs w:val="24"/>
        </w:rPr>
        <w:t>, V. O.</w:t>
      </w:r>
      <w:r w:rsidRPr="00AF2A95">
        <w:rPr>
          <w:sz w:val="24"/>
          <w:szCs w:val="24"/>
        </w:rPr>
        <w:t xml:space="preserve"> (2014)</w:t>
      </w:r>
      <w:r w:rsidR="004403D5" w:rsidRPr="00AF2A95">
        <w:rPr>
          <w:sz w:val="24"/>
          <w:szCs w:val="24"/>
        </w:rPr>
        <w:t xml:space="preserve">. Gastos Públicos em Educação, Saúde e Pessoal: estudo nos municípios catarinenses no Período de 2008 a 2010. </w:t>
      </w:r>
      <w:r w:rsidR="004403D5" w:rsidRPr="00AF2A95">
        <w:rPr>
          <w:i/>
          <w:sz w:val="24"/>
          <w:szCs w:val="24"/>
        </w:rPr>
        <w:t>Gestão Pública: Prática e Desafios</w:t>
      </w:r>
      <w:r w:rsidRPr="00AF2A95">
        <w:rPr>
          <w:sz w:val="24"/>
          <w:szCs w:val="24"/>
        </w:rPr>
        <w:t xml:space="preserve">, </w:t>
      </w:r>
      <w:r w:rsidR="004403D5" w:rsidRPr="00AF2A95">
        <w:rPr>
          <w:sz w:val="24"/>
          <w:szCs w:val="24"/>
        </w:rPr>
        <w:t>6</w:t>
      </w:r>
      <w:r w:rsidRPr="00AF2A95">
        <w:rPr>
          <w:sz w:val="24"/>
          <w:szCs w:val="24"/>
        </w:rPr>
        <w:t>(</w:t>
      </w:r>
      <w:r w:rsidR="004403D5" w:rsidRPr="00AF2A95">
        <w:rPr>
          <w:sz w:val="24"/>
          <w:szCs w:val="24"/>
        </w:rPr>
        <w:t>2</w:t>
      </w:r>
      <w:r w:rsidRPr="00AF2A95">
        <w:rPr>
          <w:sz w:val="24"/>
          <w:szCs w:val="24"/>
        </w:rPr>
        <w:t>)</w:t>
      </w:r>
      <w:r w:rsidR="004403D5" w:rsidRPr="00AF2A95">
        <w:rPr>
          <w:sz w:val="24"/>
          <w:szCs w:val="24"/>
        </w:rPr>
        <w:t>, 59-82</w:t>
      </w:r>
      <w:r w:rsidRPr="00AF2A95">
        <w:rPr>
          <w:sz w:val="24"/>
          <w:szCs w:val="24"/>
        </w:rPr>
        <w:t>.</w:t>
      </w:r>
    </w:p>
    <w:p w14:paraId="53CA1BC0" w14:textId="26F21EA3" w:rsidR="009C36D5" w:rsidRPr="00AF2A95" w:rsidRDefault="009C36D5" w:rsidP="004403D5">
      <w:pPr>
        <w:spacing w:after="120"/>
        <w:rPr>
          <w:sz w:val="24"/>
          <w:szCs w:val="24"/>
        </w:rPr>
      </w:pPr>
      <w:r w:rsidRPr="00AF2A95">
        <w:rPr>
          <w:i/>
          <w:sz w:val="24"/>
          <w:szCs w:val="24"/>
        </w:rPr>
        <w:t>Portaria do Ministério da Saúde n.º 2047, de 05 de novembro de 2002</w:t>
      </w:r>
      <w:r w:rsidRPr="00AF2A95">
        <w:rPr>
          <w:sz w:val="24"/>
          <w:szCs w:val="24"/>
        </w:rPr>
        <w:t>. (2002)</w:t>
      </w:r>
      <w:r w:rsidRPr="00AF2A95">
        <w:rPr>
          <w:i/>
          <w:sz w:val="24"/>
          <w:szCs w:val="24"/>
        </w:rPr>
        <w:t xml:space="preserve">. </w:t>
      </w:r>
      <w:r w:rsidRPr="00AF2A95">
        <w:rPr>
          <w:sz w:val="24"/>
          <w:szCs w:val="24"/>
        </w:rPr>
        <w:t xml:space="preserve">Recuperado em 11 maio, 2017 de: http://bvsms.saude.gov.br/bvs/saudelegis/gm/2002/prt2047_05_11_ 2002 .html. </w:t>
      </w:r>
    </w:p>
    <w:p w14:paraId="7151D194" w14:textId="01A6AD0D" w:rsidR="004403D5" w:rsidRPr="00AF2A95" w:rsidRDefault="005D111B" w:rsidP="004403D5">
      <w:pPr>
        <w:spacing w:after="120"/>
        <w:rPr>
          <w:sz w:val="24"/>
          <w:szCs w:val="24"/>
        </w:rPr>
      </w:pPr>
      <w:r w:rsidRPr="00AF2A95">
        <w:rPr>
          <w:sz w:val="24"/>
          <w:szCs w:val="24"/>
        </w:rPr>
        <w:t>Rezende</w:t>
      </w:r>
      <w:r w:rsidR="004403D5" w:rsidRPr="00AF2A95">
        <w:rPr>
          <w:sz w:val="24"/>
          <w:szCs w:val="24"/>
        </w:rPr>
        <w:t>, C. S.</w:t>
      </w:r>
      <w:r w:rsidRPr="00AF2A95">
        <w:rPr>
          <w:sz w:val="24"/>
          <w:szCs w:val="24"/>
        </w:rPr>
        <w:t xml:space="preserve"> (2009)</w:t>
      </w:r>
      <w:r w:rsidR="004403D5" w:rsidRPr="00AF2A95">
        <w:rPr>
          <w:sz w:val="24"/>
          <w:szCs w:val="24"/>
        </w:rPr>
        <w:t>.</w:t>
      </w:r>
      <w:r w:rsidR="004403D5" w:rsidRPr="00AF2A95">
        <w:t xml:space="preserve"> </w:t>
      </w:r>
      <w:r w:rsidR="00D87A31" w:rsidRPr="00AF2A95">
        <w:rPr>
          <w:i/>
          <w:sz w:val="24"/>
          <w:szCs w:val="24"/>
        </w:rPr>
        <w:t>Despesas com a função saú</w:t>
      </w:r>
      <w:r w:rsidR="004403D5" w:rsidRPr="00AF2A95">
        <w:rPr>
          <w:i/>
          <w:sz w:val="24"/>
          <w:szCs w:val="24"/>
        </w:rPr>
        <w:t>de no Município de Florianópolis, no período de 2004 a 2008</w:t>
      </w:r>
      <w:r w:rsidRPr="00AF2A95">
        <w:rPr>
          <w:sz w:val="24"/>
          <w:szCs w:val="24"/>
        </w:rPr>
        <w:t>. (Monografia</w:t>
      </w:r>
      <w:r w:rsidR="00352188" w:rsidRPr="00AF2A95">
        <w:rPr>
          <w:sz w:val="24"/>
          <w:szCs w:val="24"/>
        </w:rPr>
        <w:t>).</w:t>
      </w:r>
      <w:r w:rsidRPr="00AF2A95">
        <w:rPr>
          <w:sz w:val="24"/>
          <w:szCs w:val="24"/>
        </w:rPr>
        <w:t xml:space="preserve"> </w:t>
      </w:r>
      <w:r w:rsidR="004403D5" w:rsidRPr="00AF2A95">
        <w:rPr>
          <w:sz w:val="24"/>
          <w:szCs w:val="24"/>
        </w:rPr>
        <w:t>Departamento de Ciências Contábeis, Univers</w:t>
      </w:r>
      <w:r w:rsidRPr="00AF2A95">
        <w:rPr>
          <w:sz w:val="24"/>
          <w:szCs w:val="24"/>
        </w:rPr>
        <w:t>idade Federal de Santa Catarina.</w:t>
      </w:r>
      <w:r w:rsidR="004403D5" w:rsidRPr="00AF2A95">
        <w:rPr>
          <w:sz w:val="24"/>
          <w:szCs w:val="24"/>
        </w:rPr>
        <w:t xml:space="preserve"> Florianópolis,</w:t>
      </w:r>
      <w:r w:rsidRPr="00AF2A95">
        <w:rPr>
          <w:sz w:val="24"/>
          <w:szCs w:val="24"/>
        </w:rPr>
        <w:t xml:space="preserve"> Santa Catarina, Brasil.</w:t>
      </w:r>
    </w:p>
    <w:p w14:paraId="7BEFD357" w14:textId="5360B908" w:rsidR="004403D5" w:rsidRPr="00AF2A95" w:rsidRDefault="005D111B" w:rsidP="004403D5">
      <w:pPr>
        <w:spacing w:after="120"/>
        <w:rPr>
          <w:sz w:val="24"/>
          <w:szCs w:val="24"/>
        </w:rPr>
      </w:pPr>
      <w:r w:rsidRPr="00AF2A95">
        <w:rPr>
          <w:sz w:val="24"/>
          <w:szCs w:val="24"/>
        </w:rPr>
        <w:t>Santana</w:t>
      </w:r>
      <w:r w:rsidR="004403D5" w:rsidRPr="00AF2A95">
        <w:rPr>
          <w:sz w:val="24"/>
          <w:szCs w:val="24"/>
        </w:rPr>
        <w:t>, G. S. C.</w:t>
      </w:r>
      <w:r w:rsidRPr="00AF2A95">
        <w:rPr>
          <w:sz w:val="24"/>
          <w:szCs w:val="24"/>
        </w:rPr>
        <w:t>, &amp;</w:t>
      </w:r>
      <w:r w:rsidR="004403D5" w:rsidRPr="00AF2A95">
        <w:rPr>
          <w:sz w:val="24"/>
          <w:szCs w:val="24"/>
        </w:rPr>
        <w:t xml:space="preserve"> O</w:t>
      </w:r>
      <w:r w:rsidRPr="00AF2A95">
        <w:rPr>
          <w:sz w:val="24"/>
          <w:szCs w:val="24"/>
        </w:rPr>
        <w:t>liveira,</w:t>
      </w:r>
      <w:r w:rsidR="004403D5" w:rsidRPr="00AF2A95">
        <w:rPr>
          <w:sz w:val="24"/>
          <w:szCs w:val="24"/>
        </w:rPr>
        <w:t xml:space="preserve"> J. J. de.</w:t>
      </w:r>
      <w:r w:rsidRPr="00AF2A95">
        <w:rPr>
          <w:sz w:val="24"/>
          <w:szCs w:val="24"/>
        </w:rPr>
        <w:t xml:space="preserve"> (2011).</w:t>
      </w:r>
      <w:r w:rsidR="004403D5" w:rsidRPr="00AF2A95">
        <w:rPr>
          <w:sz w:val="24"/>
          <w:szCs w:val="24"/>
        </w:rPr>
        <w:t xml:space="preserve"> </w:t>
      </w:r>
      <w:r w:rsidR="004403D5" w:rsidRPr="00AF2A95">
        <w:rPr>
          <w:i/>
          <w:sz w:val="24"/>
          <w:szCs w:val="24"/>
        </w:rPr>
        <w:t>A fiscalização exercida pelo TCM quanto à aplicação do percentual mínimo constitucional na saúde</w:t>
      </w:r>
      <w:r w:rsidR="004403D5" w:rsidRPr="00AF2A95">
        <w:rPr>
          <w:sz w:val="24"/>
          <w:szCs w:val="24"/>
        </w:rPr>
        <w:t xml:space="preserve">. </w:t>
      </w:r>
      <w:r w:rsidR="00352188" w:rsidRPr="00AF2A95">
        <w:rPr>
          <w:sz w:val="24"/>
          <w:szCs w:val="24"/>
        </w:rPr>
        <w:t xml:space="preserve">(Monografia). </w:t>
      </w:r>
      <w:r w:rsidR="004403D5" w:rsidRPr="00AF2A95">
        <w:rPr>
          <w:sz w:val="24"/>
          <w:szCs w:val="24"/>
        </w:rPr>
        <w:t>Faculdade de Administração, Ciências Contábeis e Ciências Econômicas,</w:t>
      </w:r>
      <w:r w:rsidR="00352188" w:rsidRPr="00AF2A95">
        <w:rPr>
          <w:sz w:val="24"/>
          <w:szCs w:val="24"/>
        </w:rPr>
        <w:t xml:space="preserve"> Universidade Federal de Goiás. Go</w:t>
      </w:r>
      <w:r w:rsidR="004403D5" w:rsidRPr="00AF2A95">
        <w:rPr>
          <w:sz w:val="24"/>
          <w:szCs w:val="24"/>
        </w:rPr>
        <w:t>iânia,</w:t>
      </w:r>
      <w:r w:rsidR="00352188" w:rsidRPr="00AF2A95">
        <w:rPr>
          <w:sz w:val="24"/>
          <w:szCs w:val="24"/>
        </w:rPr>
        <w:t xml:space="preserve"> Goiás, Brasil</w:t>
      </w:r>
      <w:r w:rsidR="004403D5" w:rsidRPr="00AF2A95">
        <w:rPr>
          <w:sz w:val="24"/>
          <w:szCs w:val="24"/>
        </w:rPr>
        <w:t>.</w:t>
      </w:r>
    </w:p>
    <w:p w14:paraId="3A8BBD3F" w14:textId="5B67904D" w:rsidR="004403D5" w:rsidRPr="00AF2A95" w:rsidRDefault="004403D5" w:rsidP="004403D5">
      <w:pPr>
        <w:spacing w:after="120"/>
        <w:rPr>
          <w:sz w:val="24"/>
          <w:szCs w:val="24"/>
        </w:rPr>
      </w:pPr>
      <w:r w:rsidRPr="00AF2A95">
        <w:rPr>
          <w:sz w:val="24"/>
          <w:szCs w:val="24"/>
        </w:rPr>
        <w:lastRenderedPageBreak/>
        <w:t>S</w:t>
      </w:r>
      <w:r w:rsidR="00352188" w:rsidRPr="00AF2A95">
        <w:rPr>
          <w:sz w:val="24"/>
          <w:szCs w:val="24"/>
        </w:rPr>
        <w:t>antos, G. S. dos, &amp;</w:t>
      </w:r>
      <w:r w:rsidRPr="00AF2A95">
        <w:rPr>
          <w:sz w:val="24"/>
          <w:szCs w:val="24"/>
        </w:rPr>
        <w:t xml:space="preserve"> C</w:t>
      </w:r>
      <w:r w:rsidR="00352188" w:rsidRPr="00AF2A95">
        <w:rPr>
          <w:sz w:val="24"/>
          <w:szCs w:val="24"/>
        </w:rPr>
        <w:t>ruz</w:t>
      </w:r>
      <w:r w:rsidRPr="00AF2A95">
        <w:rPr>
          <w:sz w:val="24"/>
          <w:szCs w:val="24"/>
        </w:rPr>
        <w:t>, F. da.</w:t>
      </w:r>
      <w:r w:rsidR="00352188" w:rsidRPr="00AF2A95">
        <w:rPr>
          <w:sz w:val="24"/>
          <w:szCs w:val="24"/>
        </w:rPr>
        <w:t xml:space="preserve"> (2011).</w:t>
      </w:r>
      <w:r w:rsidRPr="00AF2A95">
        <w:rPr>
          <w:sz w:val="24"/>
          <w:szCs w:val="24"/>
        </w:rPr>
        <w:t xml:space="preserve"> Investigação da função Saúde no Município de São José (SC), no período de 2004 a 2008. </w:t>
      </w:r>
      <w:r w:rsidRPr="00AF2A95">
        <w:rPr>
          <w:i/>
          <w:sz w:val="24"/>
          <w:szCs w:val="24"/>
        </w:rPr>
        <w:t>4º Congresso UFSC de Controladoria e Finanças e do 4º Congresso UFSC de Iniciação Científica em Contabilidade</w:t>
      </w:r>
      <w:r w:rsidRPr="00AF2A95">
        <w:rPr>
          <w:sz w:val="24"/>
          <w:szCs w:val="24"/>
        </w:rPr>
        <w:t>. Florianópolis,</w:t>
      </w:r>
      <w:r w:rsidR="00352188" w:rsidRPr="00AF2A95">
        <w:rPr>
          <w:sz w:val="24"/>
          <w:szCs w:val="24"/>
        </w:rPr>
        <w:t xml:space="preserve"> Santa Catarina, Brasil.</w:t>
      </w:r>
    </w:p>
    <w:p w14:paraId="2F17B589" w14:textId="388C919C" w:rsidR="009C36D5" w:rsidRPr="00AF2A95" w:rsidRDefault="009C36D5" w:rsidP="004403D5">
      <w:pPr>
        <w:spacing w:after="120"/>
        <w:rPr>
          <w:sz w:val="24"/>
          <w:szCs w:val="24"/>
        </w:rPr>
      </w:pPr>
      <w:r w:rsidRPr="00AF2A95">
        <w:rPr>
          <w:sz w:val="24"/>
          <w:szCs w:val="24"/>
        </w:rPr>
        <w:t>Secretaria de Estado da Fazenda</w:t>
      </w:r>
      <w:r w:rsidRPr="00AF2A95">
        <w:rPr>
          <w:i/>
          <w:sz w:val="24"/>
          <w:szCs w:val="24"/>
        </w:rPr>
        <w:t xml:space="preserve"> </w:t>
      </w:r>
      <w:r w:rsidRPr="00AF2A95">
        <w:rPr>
          <w:sz w:val="24"/>
          <w:szCs w:val="24"/>
        </w:rPr>
        <w:t>de Santa Catarina</w:t>
      </w:r>
      <w:r w:rsidRPr="00AF2A95">
        <w:rPr>
          <w:i/>
          <w:sz w:val="24"/>
          <w:szCs w:val="24"/>
        </w:rPr>
        <w:t xml:space="preserve">. </w:t>
      </w:r>
      <w:r w:rsidRPr="00AF2A95">
        <w:rPr>
          <w:sz w:val="24"/>
          <w:szCs w:val="24"/>
        </w:rPr>
        <w:t xml:space="preserve">(2002-2016). </w:t>
      </w:r>
      <w:r w:rsidRPr="00AF2A95">
        <w:rPr>
          <w:i/>
          <w:sz w:val="24"/>
          <w:szCs w:val="24"/>
        </w:rPr>
        <w:t>Demonstrativo das Receitas e Despesas com Ações e Serviços Públicos de Saúde: Anexos 12 do Relatório Resumido de Execução Orçamentária referentes aos 6</w:t>
      </w:r>
      <w:r w:rsidRPr="00AF2A95">
        <w:rPr>
          <w:i/>
          <w:sz w:val="24"/>
          <w:szCs w:val="24"/>
          <w:vertAlign w:val="superscript"/>
        </w:rPr>
        <w:t>os</w:t>
      </w:r>
      <w:r w:rsidRPr="00AF2A95">
        <w:rPr>
          <w:i/>
          <w:sz w:val="24"/>
          <w:szCs w:val="24"/>
        </w:rPr>
        <w:t xml:space="preserve"> bimestres dos anos de 2002 a 2015</w:t>
      </w:r>
      <w:r w:rsidRPr="00AF2A95">
        <w:rPr>
          <w:sz w:val="24"/>
          <w:szCs w:val="24"/>
        </w:rPr>
        <w:t xml:space="preserve">., Recuperado em 27 outubro, 2016 de: http://www.sef.sc.gov.br/relatorios/dcog/relatório-resumido-de-execução-orçamentária. </w:t>
      </w:r>
    </w:p>
    <w:p w14:paraId="03BAE857" w14:textId="6C0066F0" w:rsidR="009C36D5" w:rsidRPr="00AF2A95" w:rsidRDefault="009C36D5" w:rsidP="004403D5">
      <w:pPr>
        <w:spacing w:after="120"/>
        <w:rPr>
          <w:sz w:val="24"/>
          <w:szCs w:val="24"/>
        </w:rPr>
      </w:pPr>
      <w:r w:rsidRPr="00AF2A95">
        <w:rPr>
          <w:sz w:val="24"/>
          <w:szCs w:val="24"/>
        </w:rPr>
        <w:t xml:space="preserve">Secretaria do Tesouro Nacional do Ministério da Fazenda &amp; Secretaria de Orçamento Federal do Ministério do Planejamento. (2016). </w:t>
      </w:r>
      <w:r w:rsidRPr="00AF2A95">
        <w:rPr>
          <w:i/>
          <w:sz w:val="24"/>
          <w:szCs w:val="24"/>
        </w:rPr>
        <w:t>Manual de Contabilidade Aplicada ao Setor Público</w:t>
      </w:r>
      <w:r w:rsidRPr="00AF2A95">
        <w:rPr>
          <w:sz w:val="24"/>
          <w:szCs w:val="24"/>
        </w:rPr>
        <w:t xml:space="preserve"> (7a ed.). Aprovado pela Portaria Conjunta STN/SOF n.º 02, de 22 de dezembro de 2016. Recuperado em 15 fevereiro, 2017 de: http://www.tesouro. fazenda.gov.br/documents /10180/456785/MCASP+7% C2%AA%20edi% C3%A7 %C3%A3 o+Vers%C3%A3o+Final .pdf/6e874adb-44d7-490c-8967-b0acd3923f6d.</w:t>
      </w:r>
    </w:p>
    <w:p w14:paraId="6679E731" w14:textId="28121128" w:rsidR="0099095E" w:rsidRPr="00AF2A95" w:rsidRDefault="0099095E" w:rsidP="004403D5">
      <w:pPr>
        <w:spacing w:after="120"/>
        <w:rPr>
          <w:sz w:val="24"/>
          <w:szCs w:val="24"/>
        </w:rPr>
      </w:pPr>
      <w:r w:rsidRPr="00AF2A95">
        <w:rPr>
          <w:sz w:val="24"/>
          <w:szCs w:val="24"/>
        </w:rPr>
        <w:t>Secretaria do Tesouro Nacional do Ministério da Fazenda &amp; Secretaria de Orçamento Federal do Ministério do Planejamento.</w:t>
      </w:r>
      <w:r w:rsidRPr="00AF2A95">
        <w:rPr>
          <w:i/>
          <w:sz w:val="24"/>
          <w:szCs w:val="24"/>
        </w:rPr>
        <w:t xml:space="preserve"> Portaria Interministerial n.º 5, de 25 de agosto de 2015. </w:t>
      </w:r>
      <w:r w:rsidRPr="00AF2A95">
        <w:rPr>
          <w:sz w:val="24"/>
          <w:szCs w:val="24"/>
        </w:rPr>
        <w:t xml:space="preserve">(2015). Altera o Anexo I e os arts. 2º e 4º da Portaria Interministerial STN/SOF nº 163, de 4 de maio de 2001. Recuperado em 15 fevereiro, 2017 de: http://www.tesouro.fazenda.gov.br/documents/10180/36610/CPU_Portaria_ I/nterminis terial_+05_2015_GAB_STN/97e0d17a-604f-4e4c-8ef4-cef34a971d2b. </w:t>
      </w:r>
    </w:p>
    <w:p w14:paraId="5828ED18" w14:textId="5B43938B" w:rsidR="0099095E" w:rsidRPr="00AF2A95" w:rsidRDefault="0099095E" w:rsidP="004403D5">
      <w:pPr>
        <w:spacing w:after="120"/>
        <w:rPr>
          <w:sz w:val="24"/>
          <w:szCs w:val="24"/>
        </w:rPr>
      </w:pPr>
      <w:r w:rsidRPr="00AF2A95">
        <w:rPr>
          <w:sz w:val="24"/>
          <w:szCs w:val="24"/>
        </w:rPr>
        <w:t>Secretaria do Tesouro Nacional do Ministério da Fazenda &amp; Secretaria de Orçamento Federal do Ministério do Planejamento</w:t>
      </w:r>
      <w:r w:rsidRPr="00AF2A95">
        <w:rPr>
          <w:i/>
          <w:sz w:val="24"/>
          <w:szCs w:val="24"/>
        </w:rPr>
        <w:t>. Portaria Interministerial n.º 163, de 04 de maio de 2001</w:t>
      </w:r>
      <w:r w:rsidRPr="00AF2A95">
        <w:rPr>
          <w:sz w:val="24"/>
          <w:szCs w:val="24"/>
        </w:rPr>
        <w:t>. (2001). Dispõe sobre normas gerais de consolidação das Contas Públicas no âmbito da União, Estados, Distrito Federal e Municípios, e dá outras providências. Recuperado em 15 fevereiro, 2017: http://www.orcamentofederal.gov.br/ legislacao/portaria-interm-163_2001_atualizada  _2015_04jul2016_ultima-alteracao-2016.docx.</w:t>
      </w:r>
    </w:p>
    <w:p w14:paraId="26D9AB36" w14:textId="58A82071" w:rsidR="0099095E" w:rsidRPr="00AF2A95" w:rsidRDefault="0099095E" w:rsidP="004403D5">
      <w:pPr>
        <w:spacing w:after="120"/>
        <w:rPr>
          <w:sz w:val="24"/>
          <w:szCs w:val="24"/>
        </w:rPr>
      </w:pPr>
      <w:r w:rsidRPr="00AF2A95">
        <w:rPr>
          <w:sz w:val="24"/>
          <w:szCs w:val="24"/>
        </w:rPr>
        <w:t xml:space="preserve">Secretaria do Tesouro Nacional do Ministério da Fazenda. (2001). </w:t>
      </w:r>
      <w:r w:rsidRPr="00AF2A95">
        <w:rPr>
          <w:i/>
          <w:sz w:val="24"/>
          <w:szCs w:val="24"/>
        </w:rPr>
        <w:t>Relatório Resumido de Execução Orçamentária: Manual de Elaboração</w:t>
      </w:r>
      <w:r w:rsidRPr="00AF2A95">
        <w:rPr>
          <w:sz w:val="24"/>
          <w:szCs w:val="24"/>
        </w:rPr>
        <w:t>. Aprovado pela Portaria STN n.º 560/2001. Ministério da Fazenda. Recuperado em 30 março, 2017: https://www.sefaz.mt.gov.br/portal /Financeiro/ContGovernamental/RelRespFiscal/RelatorioResumido/2002/ManualRREO_560.pdf.</w:t>
      </w:r>
    </w:p>
    <w:p w14:paraId="44F164C5" w14:textId="539CE0D3" w:rsidR="0099095E" w:rsidRPr="00AF2A95" w:rsidRDefault="0099095E" w:rsidP="004403D5">
      <w:pPr>
        <w:spacing w:after="120"/>
        <w:rPr>
          <w:sz w:val="24"/>
          <w:szCs w:val="24"/>
        </w:rPr>
      </w:pPr>
      <w:r w:rsidRPr="00AF2A95">
        <w:rPr>
          <w:sz w:val="24"/>
          <w:szCs w:val="24"/>
        </w:rPr>
        <w:t xml:space="preserve">Secretaria do Tesouro Nacional do Ministério da Fazenda. (2002). </w:t>
      </w:r>
      <w:r w:rsidRPr="00AF2A95">
        <w:rPr>
          <w:i/>
          <w:sz w:val="24"/>
          <w:szCs w:val="24"/>
        </w:rPr>
        <w:t xml:space="preserve">Relatório Resumido de Execução Orçamentária: Manual de Elaboração </w:t>
      </w:r>
      <w:r w:rsidRPr="00AF2A95">
        <w:rPr>
          <w:sz w:val="24"/>
          <w:szCs w:val="24"/>
        </w:rPr>
        <w:t>(2a ed.). Aprovado pela Portaria STN n.º 517/2002. Ministério da Fazenda. Recuperado em 30 março, 2017 de: https://www.sefaz.mt .gov.br/portal/Financeiro/ContGovernamental/ RelRespFiscal /RelatorioResumido/2003/ ManualRREO_517.pdf.</w:t>
      </w:r>
    </w:p>
    <w:p w14:paraId="1DE7F17B" w14:textId="273753A1" w:rsidR="004403D5" w:rsidRPr="00AF2A95" w:rsidRDefault="004403D5" w:rsidP="004403D5">
      <w:pPr>
        <w:spacing w:after="120"/>
        <w:rPr>
          <w:sz w:val="24"/>
          <w:szCs w:val="24"/>
        </w:rPr>
      </w:pPr>
      <w:r w:rsidRPr="00AF2A95">
        <w:rPr>
          <w:sz w:val="24"/>
          <w:szCs w:val="24"/>
        </w:rPr>
        <w:t>S</w:t>
      </w:r>
      <w:r w:rsidR="00352188" w:rsidRPr="00AF2A95">
        <w:rPr>
          <w:sz w:val="24"/>
          <w:szCs w:val="24"/>
        </w:rPr>
        <w:t>ilva</w:t>
      </w:r>
      <w:r w:rsidRPr="00AF2A95">
        <w:rPr>
          <w:sz w:val="24"/>
          <w:szCs w:val="24"/>
        </w:rPr>
        <w:t>, J. G. da</w:t>
      </w:r>
      <w:r w:rsidR="00352188" w:rsidRPr="00AF2A95">
        <w:rPr>
          <w:sz w:val="24"/>
          <w:szCs w:val="24"/>
        </w:rPr>
        <w:t>,</w:t>
      </w:r>
      <w:r w:rsidRPr="00AF2A95">
        <w:rPr>
          <w:sz w:val="24"/>
          <w:szCs w:val="24"/>
        </w:rPr>
        <w:t xml:space="preserve"> </w:t>
      </w:r>
      <w:r w:rsidR="00352188" w:rsidRPr="00AF2A95">
        <w:rPr>
          <w:sz w:val="24"/>
          <w:szCs w:val="24"/>
        </w:rPr>
        <w:t xml:space="preserve">&amp; </w:t>
      </w:r>
      <w:r w:rsidRPr="00AF2A95">
        <w:rPr>
          <w:sz w:val="24"/>
          <w:szCs w:val="24"/>
        </w:rPr>
        <w:t>S</w:t>
      </w:r>
      <w:r w:rsidR="00352188" w:rsidRPr="00AF2A95">
        <w:rPr>
          <w:sz w:val="24"/>
          <w:szCs w:val="24"/>
        </w:rPr>
        <w:t>arti</w:t>
      </w:r>
      <w:r w:rsidRPr="00AF2A95">
        <w:rPr>
          <w:sz w:val="24"/>
          <w:szCs w:val="24"/>
        </w:rPr>
        <w:t>, F. M.</w:t>
      </w:r>
      <w:r w:rsidR="00352188" w:rsidRPr="00AF2A95">
        <w:rPr>
          <w:sz w:val="24"/>
          <w:szCs w:val="24"/>
        </w:rPr>
        <w:t xml:space="preserve"> (2011)</w:t>
      </w:r>
      <w:r w:rsidRPr="00AF2A95">
        <w:rPr>
          <w:sz w:val="24"/>
          <w:szCs w:val="24"/>
        </w:rPr>
        <w:t xml:space="preserve">. </w:t>
      </w:r>
      <w:r w:rsidRPr="00AF2A95">
        <w:rPr>
          <w:i/>
          <w:sz w:val="24"/>
          <w:szCs w:val="24"/>
        </w:rPr>
        <w:t>Orçamento público em saúde: Uma análise do cumprimento da Emenda Constitucional 29/2000 nos estados brasileiros</w:t>
      </w:r>
      <w:r w:rsidRPr="00AF2A95">
        <w:rPr>
          <w:sz w:val="24"/>
          <w:szCs w:val="24"/>
        </w:rPr>
        <w:t>. (Graduação) - Curso de Gestão de Políticas Públicas, Escola de Artes, Ciências e Humanidades, Universidade de São Paulo, São Paulo, 2011.</w:t>
      </w:r>
    </w:p>
    <w:p w14:paraId="4A855902" w14:textId="4EC10930" w:rsidR="004403D5" w:rsidRPr="00AF2A95" w:rsidRDefault="00073488" w:rsidP="004403D5">
      <w:pPr>
        <w:spacing w:after="120"/>
        <w:rPr>
          <w:sz w:val="24"/>
          <w:szCs w:val="24"/>
        </w:rPr>
      </w:pPr>
      <w:r w:rsidRPr="00AF2A95">
        <w:rPr>
          <w:sz w:val="24"/>
          <w:szCs w:val="24"/>
        </w:rPr>
        <w:t>Silva</w:t>
      </w:r>
      <w:r w:rsidR="004403D5" w:rsidRPr="00AF2A95">
        <w:rPr>
          <w:sz w:val="24"/>
          <w:szCs w:val="24"/>
        </w:rPr>
        <w:t>, L. M. da.</w:t>
      </w:r>
      <w:r w:rsidRPr="00AF2A95">
        <w:rPr>
          <w:sz w:val="24"/>
          <w:szCs w:val="24"/>
        </w:rPr>
        <w:t xml:space="preserve"> (2011)</w:t>
      </w:r>
      <w:r w:rsidR="004403D5" w:rsidRPr="00AF2A95">
        <w:rPr>
          <w:sz w:val="24"/>
          <w:szCs w:val="24"/>
        </w:rPr>
        <w:t xml:space="preserve"> </w:t>
      </w:r>
      <w:r w:rsidR="004403D5" w:rsidRPr="00AF2A95">
        <w:rPr>
          <w:i/>
          <w:sz w:val="24"/>
          <w:szCs w:val="24"/>
        </w:rPr>
        <w:t>Contabilidade Governamental: um enfoque administrativo da nova contabilidade pública</w:t>
      </w:r>
      <w:r w:rsidRPr="00AF2A95">
        <w:rPr>
          <w:sz w:val="24"/>
          <w:szCs w:val="24"/>
        </w:rPr>
        <w:t xml:space="preserve"> (</w:t>
      </w:r>
      <w:r w:rsidR="004403D5" w:rsidRPr="00AF2A95">
        <w:rPr>
          <w:sz w:val="24"/>
          <w:szCs w:val="24"/>
        </w:rPr>
        <w:t>9. ed.</w:t>
      </w:r>
      <w:r w:rsidRPr="00AF2A95">
        <w:rPr>
          <w:sz w:val="24"/>
          <w:szCs w:val="24"/>
        </w:rPr>
        <w:t>). São Paulo: Atlas.</w:t>
      </w:r>
    </w:p>
    <w:p w14:paraId="3D574DF9" w14:textId="61DDFF2F" w:rsidR="004403D5" w:rsidRPr="00AF2A95" w:rsidRDefault="004403D5" w:rsidP="004403D5">
      <w:pPr>
        <w:spacing w:after="120"/>
        <w:rPr>
          <w:sz w:val="24"/>
          <w:szCs w:val="24"/>
        </w:rPr>
      </w:pPr>
      <w:r w:rsidRPr="00AF2A95">
        <w:rPr>
          <w:sz w:val="24"/>
          <w:szCs w:val="24"/>
        </w:rPr>
        <w:t>Tribunal de Contas do Estado de Santa Catarina.</w:t>
      </w:r>
      <w:r w:rsidR="00A86653" w:rsidRPr="00AF2A95">
        <w:rPr>
          <w:sz w:val="24"/>
          <w:szCs w:val="24"/>
        </w:rPr>
        <w:t xml:space="preserve"> (2000-2015).</w:t>
      </w:r>
      <w:r w:rsidRPr="00AF2A95">
        <w:rPr>
          <w:b/>
          <w:sz w:val="24"/>
          <w:szCs w:val="24"/>
        </w:rPr>
        <w:t xml:space="preserve"> </w:t>
      </w:r>
      <w:r w:rsidRPr="00AF2A95">
        <w:rPr>
          <w:i/>
          <w:sz w:val="24"/>
          <w:szCs w:val="24"/>
        </w:rPr>
        <w:t xml:space="preserve">Pareceres </w:t>
      </w:r>
      <w:r w:rsidR="00A86653" w:rsidRPr="00AF2A95">
        <w:rPr>
          <w:i/>
          <w:sz w:val="24"/>
          <w:szCs w:val="24"/>
        </w:rPr>
        <w:t>Prévios</w:t>
      </w:r>
      <w:r w:rsidRPr="00AF2A95">
        <w:rPr>
          <w:i/>
          <w:sz w:val="24"/>
          <w:szCs w:val="24"/>
        </w:rPr>
        <w:t xml:space="preserve"> sobre as Contas do Governo do Estado referentes aos anos de 2000 a 2015</w:t>
      </w:r>
      <w:r w:rsidRPr="00AF2A95">
        <w:rPr>
          <w:sz w:val="24"/>
          <w:szCs w:val="24"/>
        </w:rPr>
        <w:t xml:space="preserve">. </w:t>
      </w:r>
      <w:r w:rsidR="00A86653" w:rsidRPr="00AF2A95">
        <w:rPr>
          <w:sz w:val="24"/>
          <w:szCs w:val="24"/>
        </w:rPr>
        <w:t>Recuperado</w:t>
      </w:r>
      <w:r w:rsidRPr="00AF2A95">
        <w:rPr>
          <w:sz w:val="24"/>
          <w:szCs w:val="24"/>
        </w:rPr>
        <w:t xml:space="preserve"> em</w:t>
      </w:r>
      <w:r w:rsidR="00A86653" w:rsidRPr="00AF2A95">
        <w:rPr>
          <w:sz w:val="24"/>
          <w:szCs w:val="24"/>
        </w:rPr>
        <w:t xml:space="preserve"> 30 outubro, 2016 de</w:t>
      </w:r>
      <w:r w:rsidRPr="00AF2A95">
        <w:rPr>
          <w:sz w:val="24"/>
          <w:szCs w:val="24"/>
        </w:rPr>
        <w:t>: http://www.tce.sc.gov.br/contas/estado.</w:t>
      </w:r>
    </w:p>
    <w:p w14:paraId="0B26F9FD" w14:textId="18BDB7B6" w:rsidR="00E6136F" w:rsidRPr="0099095E" w:rsidRDefault="004403D5" w:rsidP="00672ABE">
      <w:pPr>
        <w:spacing w:after="120"/>
        <w:rPr>
          <w:sz w:val="24"/>
          <w:szCs w:val="24"/>
        </w:rPr>
      </w:pPr>
      <w:r w:rsidRPr="00AF2A95">
        <w:rPr>
          <w:sz w:val="24"/>
          <w:szCs w:val="24"/>
        </w:rPr>
        <w:lastRenderedPageBreak/>
        <w:t>Z</w:t>
      </w:r>
      <w:r w:rsidR="00A86653" w:rsidRPr="00AF2A95">
        <w:rPr>
          <w:sz w:val="24"/>
          <w:szCs w:val="24"/>
        </w:rPr>
        <w:t>anella</w:t>
      </w:r>
      <w:r w:rsidRPr="00AF2A95">
        <w:rPr>
          <w:sz w:val="24"/>
          <w:szCs w:val="24"/>
        </w:rPr>
        <w:t>, L. C. H.</w:t>
      </w:r>
      <w:r w:rsidR="00A86653" w:rsidRPr="00AF2A95">
        <w:rPr>
          <w:sz w:val="24"/>
          <w:szCs w:val="24"/>
        </w:rPr>
        <w:t xml:space="preserve"> (2009)</w:t>
      </w:r>
      <w:r w:rsidRPr="00AF2A95">
        <w:rPr>
          <w:sz w:val="24"/>
          <w:szCs w:val="24"/>
        </w:rPr>
        <w:t xml:space="preserve">. </w:t>
      </w:r>
      <w:r w:rsidRPr="00AF2A95">
        <w:rPr>
          <w:i/>
          <w:sz w:val="24"/>
          <w:szCs w:val="24"/>
        </w:rPr>
        <w:t>Metodologia de estudo e de pesquisa em administração</w:t>
      </w:r>
      <w:r w:rsidRPr="00AF2A95">
        <w:rPr>
          <w:b/>
          <w:sz w:val="24"/>
          <w:szCs w:val="24"/>
        </w:rPr>
        <w:t>.</w:t>
      </w:r>
      <w:r w:rsidRPr="00AF2A95">
        <w:rPr>
          <w:sz w:val="24"/>
          <w:szCs w:val="24"/>
        </w:rPr>
        <w:t xml:space="preserve"> Florianópolis: Capes</w:t>
      </w:r>
      <w:r w:rsidR="00A86653" w:rsidRPr="00AF2A95">
        <w:rPr>
          <w:sz w:val="24"/>
          <w:szCs w:val="24"/>
        </w:rPr>
        <w:t>.</w:t>
      </w:r>
    </w:p>
    <w:sectPr w:rsidR="00E6136F" w:rsidRPr="0099095E" w:rsidSect="005D3C9C">
      <w:headerReference w:type="default" r:id="rId11"/>
      <w:footerReference w:type="default" r:id="rId12"/>
      <w:headerReference w:type="first" r:id="rId13"/>
      <w:type w:val="continuous"/>
      <w:pgSz w:w="11900" w:h="16840"/>
      <w:pgMar w:top="1701" w:right="1134" w:bottom="1134" w:left="1701" w:header="372"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A54BF1" w14:textId="77777777" w:rsidR="0040613B" w:rsidRDefault="0040613B" w:rsidP="008A5824">
      <w:r>
        <w:separator/>
      </w:r>
    </w:p>
  </w:endnote>
  <w:endnote w:type="continuationSeparator" w:id="0">
    <w:p w14:paraId="3580257A" w14:textId="77777777" w:rsidR="0040613B" w:rsidRDefault="0040613B" w:rsidP="008A58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8545661"/>
      <w:docPartObj>
        <w:docPartGallery w:val="Page Numbers (Bottom of Page)"/>
        <w:docPartUnique/>
      </w:docPartObj>
    </w:sdtPr>
    <w:sdtEndPr>
      <w:rPr>
        <w:rFonts w:ascii="Times New Roman" w:hAnsi="Times New Roman" w:cs="Times New Roman"/>
        <w:sz w:val="20"/>
        <w:szCs w:val="20"/>
      </w:rPr>
    </w:sdtEndPr>
    <w:sdtContent>
      <w:p w14:paraId="4E3D5D6B" w14:textId="0EFE97C0" w:rsidR="009C36D5" w:rsidRPr="00712ACD" w:rsidRDefault="009C36D5">
        <w:pPr>
          <w:pStyle w:val="Rodap"/>
          <w:jc w:val="right"/>
          <w:rPr>
            <w:rFonts w:ascii="Times New Roman" w:hAnsi="Times New Roman" w:cs="Times New Roman"/>
            <w:sz w:val="20"/>
            <w:szCs w:val="20"/>
          </w:rPr>
        </w:pPr>
        <w:r w:rsidRPr="00712ACD">
          <w:rPr>
            <w:rFonts w:ascii="Times New Roman" w:hAnsi="Times New Roman" w:cs="Times New Roman"/>
            <w:sz w:val="20"/>
            <w:szCs w:val="20"/>
          </w:rPr>
          <w:fldChar w:fldCharType="begin"/>
        </w:r>
        <w:r w:rsidRPr="00712ACD">
          <w:rPr>
            <w:rFonts w:ascii="Times New Roman" w:hAnsi="Times New Roman" w:cs="Times New Roman"/>
            <w:sz w:val="20"/>
            <w:szCs w:val="20"/>
          </w:rPr>
          <w:instrText>PAGE   \* MERGEFORMAT</w:instrText>
        </w:r>
        <w:r w:rsidRPr="00712ACD">
          <w:rPr>
            <w:rFonts w:ascii="Times New Roman" w:hAnsi="Times New Roman" w:cs="Times New Roman"/>
            <w:sz w:val="20"/>
            <w:szCs w:val="20"/>
          </w:rPr>
          <w:fldChar w:fldCharType="separate"/>
        </w:r>
        <w:r w:rsidR="002E45E4">
          <w:rPr>
            <w:rFonts w:ascii="Times New Roman" w:hAnsi="Times New Roman" w:cs="Times New Roman"/>
            <w:noProof/>
            <w:sz w:val="20"/>
            <w:szCs w:val="20"/>
          </w:rPr>
          <w:t>7</w:t>
        </w:r>
        <w:r w:rsidRPr="00712ACD">
          <w:rPr>
            <w:rFonts w:ascii="Times New Roman" w:hAnsi="Times New Roman" w:cs="Times New Roman"/>
            <w:sz w:val="20"/>
            <w:szCs w:val="20"/>
          </w:rPr>
          <w:fldChar w:fldCharType="end"/>
        </w:r>
      </w:p>
    </w:sdtContent>
  </w:sdt>
  <w:p w14:paraId="6CA241AD" w14:textId="77777777" w:rsidR="009C36D5" w:rsidRDefault="009C36D5">
    <w:pPr>
      <w:pStyle w:val="Rodap"/>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5502F6" w14:textId="77777777" w:rsidR="0040613B" w:rsidRDefault="0040613B" w:rsidP="008A5824">
      <w:r>
        <w:separator/>
      </w:r>
    </w:p>
  </w:footnote>
  <w:footnote w:type="continuationSeparator" w:id="0">
    <w:p w14:paraId="4332C5A3" w14:textId="77777777" w:rsidR="0040613B" w:rsidRDefault="0040613B" w:rsidP="008A582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8EC0DF" w14:textId="78FBC2A4" w:rsidR="009C36D5" w:rsidRPr="00B32719" w:rsidRDefault="009C36D5" w:rsidP="0036377D">
    <w:pPr>
      <w:pStyle w:val="Cabealho"/>
      <w:tabs>
        <w:tab w:val="clear" w:pos="4419"/>
        <w:tab w:val="center" w:pos="4395"/>
      </w:tabs>
      <w:rPr>
        <w:rFonts w:ascii="Arial Narrow" w:hAnsi="Arial Narrow"/>
        <w:b/>
        <w:bCs/>
        <w:color w:val="2F5496" w:themeColor="accent1" w:themeShade="BF"/>
        <w:sz w:val="32"/>
        <w14:textOutline w14:w="0" w14:cap="flat" w14:cmpd="sng" w14:algn="ctr">
          <w14:noFill/>
          <w14:prstDash w14:val="solid"/>
          <w14:round/>
        </w14:textOutline>
        <w14:props3d w14:extrusionH="57150" w14:contourW="0" w14:prstMaterial="softEdge">
          <w14:bevelT w14:w="25400" w14:h="38100" w14:prst="circle"/>
        </w14:props3d>
      </w:rPr>
    </w:pPr>
    <w:r w:rsidRPr="00B32719">
      <w:rPr>
        <w:rFonts w:ascii="Arial Narrow" w:hAnsi="Arial Narrow"/>
        <w:b/>
        <w:bCs/>
        <w:noProof/>
        <w:sz w:val="28"/>
        <w:lang w:eastAsia="pt-BR"/>
      </w:rPr>
      <w:drawing>
        <wp:anchor distT="0" distB="0" distL="114300" distR="114300" simplePos="0" relativeHeight="251658240" behindDoc="1" locked="0" layoutInCell="1" allowOverlap="1" wp14:anchorId="7CF21A66" wp14:editId="6EEBC0B9">
          <wp:simplePos x="0" y="0"/>
          <wp:positionH relativeFrom="column">
            <wp:posOffset>-570865</wp:posOffset>
          </wp:positionH>
          <wp:positionV relativeFrom="paragraph">
            <wp:posOffset>-118877</wp:posOffset>
          </wp:positionV>
          <wp:extent cx="1037041" cy="901657"/>
          <wp:effectExtent l="0" t="0" r="4445" b="0"/>
          <wp:wrapNone/>
          <wp:docPr id="2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037041" cy="901657"/>
                  </a:xfrm>
                  <a:prstGeom prst="rect">
                    <a:avLst/>
                  </a:prstGeom>
                </pic:spPr>
              </pic:pic>
            </a:graphicData>
          </a:graphic>
          <wp14:sizeRelH relativeFrom="page">
            <wp14:pctWidth>0</wp14:pctWidth>
          </wp14:sizeRelH>
          <wp14:sizeRelV relativeFrom="page">
            <wp14:pctHeight>0</wp14:pctHeight>
          </wp14:sizeRelV>
        </wp:anchor>
      </w:drawing>
    </w:r>
    <w:r w:rsidRPr="00B32719">
      <w:rPr>
        <w:rFonts w:ascii="Arial Narrow" w:hAnsi="Arial Narrow"/>
        <w:b/>
        <w:bCs/>
        <w:noProof/>
        <w:color w:val="5B9BD5" w:themeColor="accent5"/>
        <w:lang w:eastAsia="pt-BR"/>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drawing>
        <wp:anchor distT="0" distB="0" distL="114300" distR="114300" simplePos="0" relativeHeight="251657215" behindDoc="1" locked="0" layoutInCell="1" allowOverlap="1" wp14:anchorId="5D36D06F" wp14:editId="1AE72471">
          <wp:simplePos x="0" y="0"/>
          <wp:positionH relativeFrom="column">
            <wp:posOffset>4916758</wp:posOffset>
          </wp:positionH>
          <wp:positionV relativeFrom="paragraph">
            <wp:posOffset>-118414</wp:posOffset>
          </wp:positionV>
          <wp:extent cx="1369742" cy="913130"/>
          <wp:effectExtent l="50800" t="50800" r="52705" b="52070"/>
          <wp:wrapNone/>
          <wp:docPr id="2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pic:cNvPicPr>
                    <a:picLocks noChangeAspect="1"/>
                  </pic:cNvPicPr>
                </pic:nvPicPr>
                <pic:blipFill>
                  <a:blip r:embed="rId2">
                    <a:alphaModFix/>
                    <a:extLst>
                      <a:ext uri="{BEBA8EAE-BF5A-486C-A8C5-ECC9F3942E4B}">
                        <a14:imgProps xmlns:a14="http://schemas.microsoft.com/office/drawing/2010/main">
                          <a14:imgLayer r:embed="rId3">
                            <a14:imgEffect>
                              <a14:saturation sat="400000"/>
                            </a14:imgEffect>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1370080" cy="913355"/>
                  </a:xfrm>
                  <a:prstGeom prst="rect">
                    <a:avLst/>
                  </a:prstGeom>
                  <a:ln>
                    <a:noFill/>
                  </a:ln>
                  <a:effectLst>
                    <a:outerShdw blurRad="190500" algn="tl" rotWithShape="0">
                      <a:srgbClr val="000000">
                        <a:alpha val="0"/>
                      </a:srgbClr>
                    </a:outerShdw>
                  </a:effectLst>
                </pic:spPr>
              </pic:pic>
            </a:graphicData>
          </a:graphic>
          <wp14:sizeRelH relativeFrom="page">
            <wp14:pctWidth>0</wp14:pctWidth>
          </wp14:sizeRelH>
          <wp14:sizeRelV relativeFrom="page">
            <wp14:pctHeight>0</wp14:pctHeight>
          </wp14:sizeRelV>
        </wp:anchor>
      </w:drawing>
    </w:r>
    <w:r>
      <w:rPr>
        <w:rFonts w:ascii="Arial Narrow" w:hAnsi="Arial Narrow"/>
        <w:b/>
        <w:bCs/>
        <w:color w:val="2F5496" w:themeColor="accent1" w:themeShade="BF"/>
        <w:sz w:val="28"/>
        <w14:textOutline w14:w="0" w14:cap="flat" w14:cmpd="sng" w14:algn="ctr">
          <w14:noFill/>
          <w14:prstDash w14:val="solid"/>
          <w14:round/>
        </w14:textOutline>
        <w14:props3d w14:extrusionH="57150" w14:contourW="0" w14:prstMaterial="softEdge">
          <w14:bevelT w14:w="25400" w14:h="38100" w14:prst="circle"/>
        </w14:props3d>
      </w:rPr>
      <w:tab/>
      <w:t>7</w:t>
    </w:r>
    <w:r w:rsidRPr="00B32719">
      <w:rPr>
        <w:rFonts w:ascii="Arial Narrow" w:hAnsi="Arial Narrow"/>
        <w:b/>
        <w:bCs/>
        <w:color w:val="2F5496" w:themeColor="accent1" w:themeShade="BF"/>
        <w:sz w:val="28"/>
        <w14:textOutline w14:w="0" w14:cap="flat" w14:cmpd="sng" w14:algn="ctr">
          <w14:noFill/>
          <w14:prstDash w14:val="solid"/>
          <w14:round/>
        </w14:textOutline>
        <w14:props3d w14:extrusionH="57150" w14:contourW="0" w14:prstMaterial="softEdge">
          <w14:bevelT w14:w="25400" w14:h="38100" w14:prst="circle"/>
        </w14:props3d>
      </w:rPr>
      <w:t>º CONGRESSO UFSC DE CONTROLADORIA E FINANÇAS</w:t>
    </w:r>
  </w:p>
  <w:p w14:paraId="3F89F1C8" w14:textId="6D671891" w:rsidR="009C36D5" w:rsidRPr="00B32719" w:rsidRDefault="009C36D5" w:rsidP="0036377D">
    <w:pPr>
      <w:pStyle w:val="Cabealho"/>
      <w:rPr>
        <w:rFonts w:ascii="Arial Narrow" w:hAnsi="Arial Narrow"/>
        <w:b/>
        <w:bCs/>
        <w:sz w:val="20"/>
      </w:rPr>
    </w:pPr>
    <w:r>
      <w:rPr>
        <w:rFonts w:ascii="Arial Narrow" w:hAnsi="Arial Narrow"/>
        <w:b/>
        <w:bCs/>
        <w:color w:val="2F5496" w:themeColor="accent1" w:themeShade="BF"/>
        <w:sz w:val="22"/>
        <w14:textOutline w14:w="0" w14:cap="flat" w14:cmpd="sng" w14:algn="ctr">
          <w14:noFill/>
          <w14:prstDash w14:val="solid"/>
          <w14:round/>
        </w14:textOutline>
        <w14:props3d w14:extrusionH="57150" w14:contourW="0" w14:prstMaterial="softEdge">
          <w14:bevelT w14:w="25400" w14:h="38100" w14:prst="circle"/>
        </w14:props3d>
      </w:rPr>
      <w:tab/>
    </w:r>
    <w:r w:rsidRPr="00B32719">
      <w:rPr>
        <w:rFonts w:ascii="Arial Narrow" w:hAnsi="Arial Narrow"/>
        <w:b/>
        <w:bCs/>
        <w:color w:val="2F5496" w:themeColor="accent1" w:themeShade="BF"/>
        <w:sz w:val="22"/>
        <w14:textOutline w14:w="0" w14:cap="flat" w14:cmpd="sng" w14:algn="ctr">
          <w14:noFill/>
          <w14:prstDash w14:val="solid"/>
          <w14:round/>
        </w14:textOutline>
        <w14:props3d w14:extrusionH="57150" w14:contourW="0" w14:prstMaterial="softEdge">
          <w14:bevelT w14:w="25400" w14:h="38100" w14:prst="circle"/>
        </w14:props3d>
      </w:rPr>
      <w:t>7º CONGRESSO UFSC DE INICIAÇÃO CIENTÍFICA EM CONTABILIDADE</w:t>
    </w:r>
  </w:p>
  <w:p w14:paraId="2A0D61D2" w14:textId="272670C8" w:rsidR="009C36D5" w:rsidRPr="00B32719" w:rsidRDefault="009C36D5" w:rsidP="0036377D">
    <w:pPr>
      <w:pStyle w:val="Cabealho"/>
      <w:spacing w:after="120"/>
      <w:rPr>
        <w:rFonts w:ascii="Arial Narrow" w:hAnsi="Arial Narrow"/>
        <w:b/>
        <w:color w:val="2F5496" w:themeColor="accent1" w:themeShade="BF"/>
        <w:sz w:val="32"/>
        <w14:shadow w14:blurRad="0" w14:dist="38100" w14:dir="2700000" w14:sx="100000" w14:sy="100000" w14:kx="0" w14:ky="0" w14:algn="tl">
          <w14:schemeClr w14:val="accent1">
            <w14:lumMod w14:val="60000"/>
            <w14:lumOff w14:val="40000"/>
          </w14:schemeClr>
        </w14:shadow>
        <w14:textOutline w14:w="6604" w14:cap="flat" w14:cmpd="sng" w14:algn="ctr">
          <w14:solidFill>
            <w14:schemeClr w14:val="tx1"/>
          </w14:solidFill>
          <w14:prstDash w14:val="solid"/>
          <w14:round/>
        </w14:textOutline>
      </w:rPr>
    </w:pPr>
    <w:r>
      <w:rPr>
        <w:rFonts w:ascii="Arial Narrow" w:hAnsi="Arial Narrow"/>
        <w:b/>
        <w:bCs/>
        <w:color w:val="2F5496" w:themeColor="accent1" w:themeShade="BF"/>
        <w:sz w:val="36"/>
        <w14:shadow w14:blurRad="0" w14:dist="38100" w14:dir="2700000" w14:sx="100000" w14:sy="100000" w14:kx="0" w14:ky="0" w14:algn="tl">
          <w14:schemeClr w14:val="accent1">
            <w14:lumMod w14:val="60000"/>
            <w14:lumOff w14:val="40000"/>
          </w14:schemeClr>
        </w14:shadow>
        <w14:textOutline w14:w="6604" w14:cap="flat" w14:cmpd="sng" w14:algn="ctr">
          <w14:solidFill>
            <w14:schemeClr w14:val="tx1"/>
          </w14:solidFill>
          <w14:prstDash w14:val="solid"/>
          <w14:round/>
        </w14:textOutline>
      </w:rPr>
      <w:tab/>
    </w:r>
    <w:r w:rsidRPr="00B32719">
      <w:rPr>
        <w:rFonts w:ascii="Arial Narrow" w:hAnsi="Arial Narrow"/>
        <w:b/>
        <w:bCs/>
        <w:color w:val="2F5496" w:themeColor="accent1" w:themeShade="BF"/>
        <w:sz w:val="36"/>
        <w14:shadow w14:blurRad="0" w14:dist="38100" w14:dir="2700000" w14:sx="100000" w14:sy="100000" w14:kx="0" w14:ky="0" w14:algn="tl">
          <w14:schemeClr w14:val="accent1">
            <w14:lumMod w14:val="60000"/>
            <w14:lumOff w14:val="40000"/>
          </w14:schemeClr>
        </w14:shadow>
        <w14:textOutline w14:w="6604" w14:cap="flat" w14:cmpd="sng" w14:algn="ctr">
          <w14:solidFill>
            <w14:schemeClr w14:val="tx1"/>
          </w14:solidFill>
          <w14:prstDash w14:val="solid"/>
          <w14:round/>
        </w14:textOutline>
      </w:rPr>
      <w:t>TRANSPARÊNCIA, CORRUPÇÃO E FRAUDES</w:t>
    </w:r>
  </w:p>
  <w:p w14:paraId="5E6E78CC" w14:textId="710DE635" w:rsidR="009C36D5" w:rsidRPr="00B32719" w:rsidRDefault="009C36D5" w:rsidP="00CA25AA">
    <w:pPr>
      <w:pStyle w:val="Cabealho"/>
      <w:ind w:right="-1000"/>
      <w:jc w:val="center"/>
      <w:rPr>
        <w:rFonts w:ascii="Arial Narrow" w:hAnsi="Arial Narrow"/>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32719">
      <w:rPr>
        <w:rFonts w:ascii="Arial Narrow" w:hAnsi="Arial Narrow"/>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Florianópolis, 10 a 12 de Setembro de 2017</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7451A1" w14:textId="77777777" w:rsidR="009C36D5" w:rsidRPr="00B32719" w:rsidRDefault="009C36D5" w:rsidP="000750E6">
    <w:pPr>
      <w:pStyle w:val="Cabealho"/>
      <w:tabs>
        <w:tab w:val="clear" w:pos="4419"/>
        <w:tab w:val="center" w:pos="4395"/>
      </w:tabs>
      <w:rPr>
        <w:rFonts w:ascii="Arial Narrow" w:hAnsi="Arial Narrow"/>
        <w:b/>
        <w:bCs/>
        <w:color w:val="2F5496" w:themeColor="accent1" w:themeShade="BF"/>
        <w:sz w:val="32"/>
        <w14:textOutline w14:w="0" w14:cap="flat" w14:cmpd="sng" w14:algn="ctr">
          <w14:noFill/>
          <w14:prstDash w14:val="solid"/>
          <w14:round/>
        </w14:textOutline>
        <w14:props3d w14:extrusionH="57150" w14:contourW="0" w14:prstMaterial="softEdge">
          <w14:bevelT w14:w="25400" w14:h="38100" w14:prst="circle"/>
        </w14:props3d>
      </w:rPr>
    </w:pPr>
    <w:r w:rsidRPr="00B32719">
      <w:rPr>
        <w:rFonts w:ascii="Arial Narrow" w:hAnsi="Arial Narrow"/>
        <w:b/>
        <w:bCs/>
        <w:noProof/>
        <w:sz w:val="28"/>
        <w:lang w:eastAsia="pt-BR"/>
      </w:rPr>
      <w:drawing>
        <wp:anchor distT="0" distB="0" distL="114300" distR="114300" simplePos="0" relativeHeight="251661312" behindDoc="1" locked="0" layoutInCell="1" allowOverlap="1" wp14:anchorId="3680EAE1" wp14:editId="0ABF8439">
          <wp:simplePos x="0" y="0"/>
          <wp:positionH relativeFrom="column">
            <wp:posOffset>-570865</wp:posOffset>
          </wp:positionH>
          <wp:positionV relativeFrom="paragraph">
            <wp:posOffset>-118877</wp:posOffset>
          </wp:positionV>
          <wp:extent cx="1037041" cy="901657"/>
          <wp:effectExtent l="0" t="0" r="4445" b="0"/>
          <wp:wrapNone/>
          <wp:docPr id="3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037041" cy="901657"/>
                  </a:xfrm>
                  <a:prstGeom prst="rect">
                    <a:avLst/>
                  </a:prstGeom>
                </pic:spPr>
              </pic:pic>
            </a:graphicData>
          </a:graphic>
          <wp14:sizeRelH relativeFrom="page">
            <wp14:pctWidth>0</wp14:pctWidth>
          </wp14:sizeRelH>
          <wp14:sizeRelV relativeFrom="page">
            <wp14:pctHeight>0</wp14:pctHeight>
          </wp14:sizeRelV>
        </wp:anchor>
      </w:drawing>
    </w:r>
    <w:r w:rsidRPr="00B32719">
      <w:rPr>
        <w:rFonts w:ascii="Arial Narrow" w:hAnsi="Arial Narrow"/>
        <w:b/>
        <w:bCs/>
        <w:noProof/>
        <w:color w:val="5B9BD5" w:themeColor="accent5"/>
        <w:lang w:eastAsia="pt-BR"/>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drawing>
        <wp:anchor distT="0" distB="0" distL="114300" distR="114300" simplePos="0" relativeHeight="251660288" behindDoc="1" locked="0" layoutInCell="1" allowOverlap="1" wp14:anchorId="70402C69" wp14:editId="68F4B0B4">
          <wp:simplePos x="0" y="0"/>
          <wp:positionH relativeFrom="column">
            <wp:posOffset>4916758</wp:posOffset>
          </wp:positionH>
          <wp:positionV relativeFrom="paragraph">
            <wp:posOffset>-118414</wp:posOffset>
          </wp:positionV>
          <wp:extent cx="1369742" cy="913130"/>
          <wp:effectExtent l="50800" t="50800" r="52705" b="52070"/>
          <wp:wrapNone/>
          <wp:docPr id="3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pic:cNvPicPr>
                    <a:picLocks noChangeAspect="1"/>
                  </pic:cNvPicPr>
                </pic:nvPicPr>
                <pic:blipFill>
                  <a:blip r:embed="rId2">
                    <a:alphaModFix/>
                    <a:extLst>
                      <a:ext uri="{BEBA8EAE-BF5A-486C-A8C5-ECC9F3942E4B}">
                        <a14:imgProps xmlns:a14="http://schemas.microsoft.com/office/drawing/2010/main">
                          <a14:imgLayer r:embed="rId3">
                            <a14:imgEffect>
                              <a14:saturation sat="400000"/>
                            </a14:imgEffect>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1370080" cy="913355"/>
                  </a:xfrm>
                  <a:prstGeom prst="rect">
                    <a:avLst/>
                  </a:prstGeom>
                  <a:ln>
                    <a:noFill/>
                  </a:ln>
                  <a:effectLst>
                    <a:outerShdw blurRad="190500" algn="tl" rotWithShape="0">
                      <a:srgbClr val="000000">
                        <a:alpha val="0"/>
                      </a:srgbClr>
                    </a:outerShdw>
                  </a:effectLst>
                </pic:spPr>
              </pic:pic>
            </a:graphicData>
          </a:graphic>
          <wp14:sizeRelH relativeFrom="page">
            <wp14:pctWidth>0</wp14:pctWidth>
          </wp14:sizeRelH>
          <wp14:sizeRelV relativeFrom="page">
            <wp14:pctHeight>0</wp14:pctHeight>
          </wp14:sizeRelV>
        </wp:anchor>
      </w:drawing>
    </w:r>
    <w:r>
      <w:rPr>
        <w:rFonts w:ascii="Arial Narrow" w:hAnsi="Arial Narrow"/>
        <w:b/>
        <w:bCs/>
        <w:color w:val="2F5496" w:themeColor="accent1" w:themeShade="BF"/>
        <w:sz w:val="28"/>
        <w14:textOutline w14:w="0" w14:cap="flat" w14:cmpd="sng" w14:algn="ctr">
          <w14:noFill/>
          <w14:prstDash w14:val="solid"/>
          <w14:round/>
        </w14:textOutline>
        <w14:props3d w14:extrusionH="57150" w14:contourW="0" w14:prstMaterial="softEdge">
          <w14:bevelT w14:w="25400" w14:h="38100" w14:prst="circle"/>
        </w14:props3d>
      </w:rPr>
      <w:tab/>
      <w:t>7</w:t>
    </w:r>
    <w:r w:rsidRPr="00B32719">
      <w:rPr>
        <w:rFonts w:ascii="Arial Narrow" w:hAnsi="Arial Narrow"/>
        <w:b/>
        <w:bCs/>
        <w:color w:val="2F5496" w:themeColor="accent1" w:themeShade="BF"/>
        <w:sz w:val="28"/>
        <w14:textOutline w14:w="0" w14:cap="flat" w14:cmpd="sng" w14:algn="ctr">
          <w14:noFill/>
          <w14:prstDash w14:val="solid"/>
          <w14:round/>
        </w14:textOutline>
        <w14:props3d w14:extrusionH="57150" w14:contourW="0" w14:prstMaterial="softEdge">
          <w14:bevelT w14:w="25400" w14:h="38100" w14:prst="circle"/>
        </w14:props3d>
      </w:rPr>
      <w:t>º CONGRESSO UFSC DE CONTROLADORIA E FINANÇAS</w:t>
    </w:r>
  </w:p>
  <w:p w14:paraId="5D6C88D2" w14:textId="77777777" w:rsidR="009C36D5" w:rsidRPr="00B32719" w:rsidRDefault="009C36D5" w:rsidP="000750E6">
    <w:pPr>
      <w:pStyle w:val="Cabealho"/>
      <w:rPr>
        <w:rFonts w:ascii="Arial Narrow" w:hAnsi="Arial Narrow"/>
        <w:b/>
        <w:bCs/>
        <w:sz w:val="20"/>
      </w:rPr>
    </w:pPr>
    <w:r>
      <w:rPr>
        <w:rFonts w:ascii="Arial Narrow" w:hAnsi="Arial Narrow"/>
        <w:b/>
        <w:bCs/>
        <w:color w:val="2F5496" w:themeColor="accent1" w:themeShade="BF"/>
        <w:sz w:val="22"/>
        <w14:textOutline w14:w="0" w14:cap="flat" w14:cmpd="sng" w14:algn="ctr">
          <w14:noFill/>
          <w14:prstDash w14:val="solid"/>
          <w14:round/>
        </w14:textOutline>
        <w14:props3d w14:extrusionH="57150" w14:contourW="0" w14:prstMaterial="softEdge">
          <w14:bevelT w14:w="25400" w14:h="38100" w14:prst="circle"/>
        </w14:props3d>
      </w:rPr>
      <w:tab/>
    </w:r>
    <w:r w:rsidRPr="00B32719">
      <w:rPr>
        <w:rFonts w:ascii="Arial Narrow" w:hAnsi="Arial Narrow"/>
        <w:b/>
        <w:bCs/>
        <w:color w:val="2F5496" w:themeColor="accent1" w:themeShade="BF"/>
        <w:sz w:val="22"/>
        <w14:textOutline w14:w="0" w14:cap="flat" w14:cmpd="sng" w14:algn="ctr">
          <w14:noFill/>
          <w14:prstDash w14:val="solid"/>
          <w14:round/>
        </w14:textOutline>
        <w14:props3d w14:extrusionH="57150" w14:contourW="0" w14:prstMaterial="softEdge">
          <w14:bevelT w14:w="25400" w14:h="38100" w14:prst="circle"/>
        </w14:props3d>
      </w:rPr>
      <w:t>7º CONGRESSO UFSC DE INICIAÇÃO CIENTÍFICA EM CONTABILIDADE</w:t>
    </w:r>
  </w:p>
  <w:p w14:paraId="27C9B961" w14:textId="77777777" w:rsidR="009C36D5" w:rsidRPr="00B32719" w:rsidRDefault="009C36D5" w:rsidP="000750E6">
    <w:pPr>
      <w:pStyle w:val="Cabealho"/>
      <w:spacing w:after="120"/>
      <w:rPr>
        <w:rFonts w:ascii="Arial Narrow" w:hAnsi="Arial Narrow"/>
        <w:b/>
        <w:color w:val="2F5496" w:themeColor="accent1" w:themeShade="BF"/>
        <w:sz w:val="32"/>
        <w14:shadow w14:blurRad="0" w14:dist="38100" w14:dir="2700000" w14:sx="100000" w14:sy="100000" w14:kx="0" w14:ky="0" w14:algn="tl">
          <w14:schemeClr w14:val="accent1">
            <w14:lumMod w14:val="60000"/>
            <w14:lumOff w14:val="40000"/>
          </w14:schemeClr>
        </w14:shadow>
        <w14:textOutline w14:w="6604" w14:cap="flat" w14:cmpd="sng" w14:algn="ctr">
          <w14:solidFill>
            <w14:schemeClr w14:val="tx1"/>
          </w14:solidFill>
          <w14:prstDash w14:val="solid"/>
          <w14:round/>
        </w14:textOutline>
      </w:rPr>
    </w:pPr>
    <w:r>
      <w:rPr>
        <w:rFonts w:ascii="Arial Narrow" w:hAnsi="Arial Narrow"/>
        <w:b/>
        <w:bCs/>
        <w:color w:val="2F5496" w:themeColor="accent1" w:themeShade="BF"/>
        <w:sz w:val="36"/>
        <w14:shadow w14:blurRad="0" w14:dist="38100" w14:dir="2700000" w14:sx="100000" w14:sy="100000" w14:kx="0" w14:ky="0" w14:algn="tl">
          <w14:schemeClr w14:val="accent1">
            <w14:lumMod w14:val="60000"/>
            <w14:lumOff w14:val="40000"/>
          </w14:schemeClr>
        </w14:shadow>
        <w14:textOutline w14:w="6604" w14:cap="flat" w14:cmpd="sng" w14:algn="ctr">
          <w14:solidFill>
            <w14:schemeClr w14:val="tx1"/>
          </w14:solidFill>
          <w14:prstDash w14:val="solid"/>
          <w14:round/>
        </w14:textOutline>
      </w:rPr>
      <w:tab/>
    </w:r>
    <w:r w:rsidRPr="00B32719">
      <w:rPr>
        <w:rFonts w:ascii="Arial Narrow" w:hAnsi="Arial Narrow"/>
        <w:b/>
        <w:bCs/>
        <w:color w:val="2F5496" w:themeColor="accent1" w:themeShade="BF"/>
        <w:sz w:val="36"/>
        <w14:shadow w14:blurRad="0" w14:dist="38100" w14:dir="2700000" w14:sx="100000" w14:sy="100000" w14:kx="0" w14:ky="0" w14:algn="tl">
          <w14:schemeClr w14:val="accent1">
            <w14:lumMod w14:val="60000"/>
            <w14:lumOff w14:val="40000"/>
          </w14:schemeClr>
        </w14:shadow>
        <w14:textOutline w14:w="6604" w14:cap="flat" w14:cmpd="sng" w14:algn="ctr">
          <w14:solidFill>
            <w14:schemeClr w14:val="tx1"/>
          </w14:solidFill>
          <w14:prstDash w14:val="solid"/>
          <w14:round/>
        </w14:textOutline>
      </w:rPr>
      <w:t>TRANSPARÊNCIA, CORRUPÇÃO E FRAUDES</w:t>
    </w:r>
  </w:p>
  <w:p w14:paraId="4B6288D7" w14:textId="6E77B538" w:rsidR="009C36D5" w:rsidRPr="000750E6" w:rsidRDefault="009C36D5" w:rsidP="000750E6">
    <w:pPr>
      <w:pStyle w:val="Cabealho"/>
      <w:ind w:right="-1000"/>
      <w:jc w:val="center"/>
      <w:rPr>
        <w:rFonts w:ascii="Arial Narrow" w:hAnsi="Arial Narrow"/>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32719">
      <w:rPr>
        <w:rFonts w:ascii="Arial Narrow" w:hAnsi="Arial Narrow"/>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Florianópo</w:t>
    </w:r>
    <w:r>
      <w:rPr>
        <w:rFonts w:ascii="Arial Narrow" w:hAnsi="Arial Narrow"/>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lis, 10 a 12 de Setembro de 2017</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2402EA"/>
    <w:multiLevelType w:val="multilevel"/>
    <w:tmpl w:val="CE40FE44"/>
    <w:lvl w:ilvl="0">
      <w:start w:val="2"/>
      <w:numFmt w:val="decimal"/>
      <w:lvlText w:val="%1"/>
      <w:lvlJc w:val="left"/>
      <w:pPr>
        <w:ind w:left="360" w:firstLine="0"/>
      </w:pPr>
    </w:lvl>
    <w:lvl w:ilvl="1">
      <w:start w:val="1"/>
      <w:numFmt w:val="decimal"/>
      <w:lvlText w:val="%1.%2"/>
      <w:lvlJc w:val="left"/>
      <w:pPr>
        <w:ind w:left="360" w:firstLine="0"/>
      </w:pPr>
    </w:lvl>
    <w:lvl w:ilvl="2">
      <w:start w:val="1"/>
      <w:numFmt w:val="decimal"/>
      <w:lvlText w:val="%1.%2.%3"/>
      <w:lvlJc w:val="left"/>
      <w:pPr>
        <w:ind w:left="720" w:firstLine="0"/>
      </w:pPr>
    </w:lvl>
    <w:lvl w:ilvl="3">
      <w:start w:val="1"/>
      <w:numFmt w:val="decimal"/>
      <w:lvlText w:val="%1.%2.%3.%4"/>
      <w:lvlJc w:val="left"/>
      <w:pPr>
        <w:ind w:left="720" w:firstLine="0"/>
      </w:pPr>
    </w:lvl>
    <w:lvl w:ilvl="4">
      <w:start w:val="1"/>
      <w:numFmt w:val="decimal"/>
      <w:lvlText w:val="%1.%2.%3.%4.%5"/>
      <w:lvlJc w:val="left"/>
      <w:pPr>
        <w:ind w:left="1080" w:firstLine="0"/>
      </w:pPr>
    </w:lvl>
    <w:lvl w:ilvl="5">
      <w:start w:val="1"/>
      <w:numFmt w:val="decimal"/>
      <w:lvlText w:val="%1.%2.%3.%4.%5.%6"/>
      <w:lvlJc w:val="left"/>
      <w:pPr>
        <w:ind w:left="1080" w:firstLine="0"/>
      </w:pPr>
    </w:lvl>
    <w:lvl w:ilvl="6">
      <w:start w:val="1"/>
      <w:numFmt w:val="decimal"/>
      <w:lvlText w:val="%1.%2.%3.%4.%5.%6.%7"/>
      <w:lvlJc w:val="left"/>
      <w:pPr>
        <w:ind w:left="1440" w:firstLine="0"/>
      </w:pPr>
    </w:lvl>
    <w:lvl w:ilvl="7">
      <w:start w:val="1"/>
      <w:numFmt w:val="decimal"/>
      <w:lvlText w:val="%1.%2.%3.%4.%5.%6.%7.%8"/>
      <w:lvlJc w:val="left"/>
      <w:pPr>
        <w:ind w:left="1440" w:firstLine="0"/>
      </w:pPr>
    </w:lvl>
    <w:lvl w:ilvl="8">
      <w:start w:val="1"/>
      <w:numFmt w:val="decimal"/>
      <w:lvlText w:val="%1.%2.%3.%4.%5.%6.%7.%8.%9"/>
      <w:lvlJc w:val="left"/>
      <w:pPr>
        <w:ind w:left="1800" w:firstLine="0"/>
      </w:pPr>
    </w:lvl>
  </w:abstractNum>
  <w:abstractNum w:abstractNumId="1" w15:restartNumberingAfterBreak="0">
    <w:nsid w:val="299735A0"/>
    <w:multiLevelType w:val="hybridMultilevel"/>
    <w:tmpl w:val="550E807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08"/>
  <w:hyphenationZone w:val="425"/>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5824"/>
    <w:rsid w:val="00007E06"/>
    <w:rsid w:val="0003475A"/>
    <w:rsid w:val="000630CD"/>
    <w:rsid w:val="00073488"/>
    <w:rsid w:val="000750E6"/>
    <w:rsid w:val="000B7D4A"/>
    <w:rsid w:val="000D77B7"/>
    <w:rsid w:val="000E4770"/>
    <w:rsid w:val="000F2592"/>
    <w:rsid w:val="00104273"/>
    <w:rsid w:val="00106525"/>
    <w:rsid w:val="0016220D"/>
    <w:rsid w:val="00194BA9"/>
    <w:rsid w:val="001A4423"/>
    <w:rsid w:val="001C328B"/>
    <w:rsid w:val="001E0FD9"/>
    <w:rsid w:val="001F6A6D"/>
    <w:rsid w:val="00285458"/>
    <w:rsid w:val="002B0015"/>
    <w:rsid w:val="002B11BE"/>
    <w:rsid w:val="002B2B78"/>
    <w:rsid w:val="002E279A"/>
    <w:rsid w:val="002E45E4"/>
    <w:rsid w:val="00352188"/>
    <w:rsid w:val="0036377D"/>
    <w:rsid w:val="0038332F"/>
    <w:rsid w:val="0038579D"/>
    <w:rsid w:val="003F5713"/>
    <w:rsid w:val="003F7DFE"/>
    <w:rsid w:val="004020EB"/>
    <w:rsid w:val="0040613B"/>
    <w:rsid w:val="00420232"/>
    <w:rsid w:val="00435F9A"/>
    <w:rsid w:val="004403D5"/>
    <w:rsid w:val="00464693"/>
    <w:rsid w:val="00473887"/>
    <w:rsid w:val="00491708"/>
    <w:rsid w:val="00497CBE"/>
    <w:rsid w:val="004F2333"/>
    <w:rsid w:val="00554833"/>
    <w:rsid w:val="0056577D"/>
    <w:rsid w:val="005773AB"/>
    <w:rsid w:val="005C13A2"/>
    <w:rsid w:val="005D111B"/>
    <w:rsid w:val="005D21D0"/>
    <w:rsid w:val="005D3C9C"/>
    <w:rsid w:val="005F08FA"/>
    <w:rsid w:val="00631DCF"/>
    <w:rsid w:val="006356F9"/>
    <w:rsid w:val="006442F7"/>
    <w:rsid w:val="00653652"/>
    <w:rsid w:val="00672ABE"/>
    <w:rsid w:val="00686527"/>
    <w:rsid w:val="006945D6"/>
    <w:rsid w:val="00697D9A"/>
    <w:rsid w:val="006B2754"/>
    <w:rsid w:val="006F2995"/>
    <w:rsid w:val="00712ACD"/>
    <w:rsid w:val="0072578D"/>
    <w:rsid w:val="00763C88"/>
    <w:rsid w:val="00780AB3"/>
    <w:rsid w:val="00791255"/>
    <w:rsid w:val="007944D8"/>
    <w:rsid w:val="007A145C"/>
    <w:rsid w:val="007B0E4C"/>
    <w:rsid w:val="007D5A96"/>
    <w:rsid w:val="00823421"/>
    <w:rsid w:val="00826CB2"/>
    <w:rsid w:val="00860B20"/>
    <w:rsid w:val="008A5824"/>
    <w:rsid w:val="008D4F05"/>
    <w:rsid w:val="008E2D57"/>
    <w:rsid w:val="0090092C"/>
    <w:rsid w:val="00960875"/>
    <w:rsid w:val="009833D5"/>
    <w:rsid w:val="0099095E"/>
    <w:rsid w:val="00997AF3"/>
    <w:rsid w:val="009C36D5"/>
    <w:rsid w:val="00A273DD"/>
    <w:rsid w:val="00A573C3"/>
    <w:rsid w:val="00A57B0E"/>
    <w:rsid w:val="00A86653"/>
    <w:rsid w:val="00AF2A95"/>
    <w:rsid w:val="00B105CA"/>
    <w:rsid w:val="00B26660"/>
    <w:rsid w:val="00B32719"/>
    <w:rsid w:val="00B41CAF"/>
    <w:rsid w:val="00B62503"/>
    <w:rsid w:val="00BD0F13"/>
    <w:rsid w:val="00BD5220"/>
    <w:rsid w:val="00C30374"/>
    <w:rsid w:val="00C53B1A"/>
    <w:rsid w:val="00CA2367"/>
    <w:rsid w:val="00CA25AA"/>
    <w:rsid w:val="00CD7759"/>
    <w:rsid w:val="00CE5296"/>
    <w:rsid w:val="00D06890"/>
    <w:rsid w:val="00D26983"/>
    <w:rsid w:val="00D77374"/>
    <w:rsid w:val="00D87A31"/>
    <w:rsid w:val="00DB23DC"/>
    <w:rsid w:val="00DF5181"/>
    <w:rsid w:val="00E02444"/>
    <w:rsid w:val="00E04F88"/>
    <w:rsid w:val="00E06DBA"/>
    <w:rsid w:val="00E17C56"/>
    <w:rsid w:val="00E46C35"/>
    <w:rsid w:val="00E56D0C"/>
    <w:rsid w:val="00E6136F"/>
    <w:rsid w:val="00EB72AE"/>
    <w:rsid w:val="00ED6433"/>
    <w:rsid w:val="00EE3736"/>
    <w:rsid w:val="00F704AA"/>
    <w:rsid w:val="00FE1CF2"/>
    <w:rsid w:val="00FF07B7"/>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54D7B35"/>
  <w14:defaultImageDpi w14:val="33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377D"/>
    <w:pPr>
      <w:suppressAutoHyphens/>
    </w:pPr>
    <w:rPr>
      <w:rFonts w:ascii="Times New Roman" w:eastAsia="Times New Roman" w:hAnsi="Times New Roman" w:cs="Times New Roman"/>
      <w:sz w:val="20"/>
      <w:szCs w:val="20"/>
      <w:lang w:eastAsia="pt-BR"/>
    </w:rPr>
  </w:style>
  <w:style w:type="paragraph" w:styleId="Ttulo1">
    <w:name w:val="heading 1"/>
    <w:basedOn w:val="Normal"/>
    <w:next w:val="Normal"/>
    <w:link w:val="Ttulo1Char"/>
    <w:rsid w:val="004403D5"/>
    <w:pPr>
      <w:keepNext/>
      <w:keepLines/>
      <w:widowControl w:val="0"/>
      <w:suppressAutoHyphens w:val="0"/>
      <w:spacing w:before="480" w:line="276" w:lineRule="auto"/>
      <w:outlineLvl w:val="0"/>
    </w:pPr>
    <w:rPr>
      <w:rFonts w:ascii="Cambria" w:eastAsia="Cambria" w:hAnsi="Cambria" w:cs="Cambria"/>
      <w:b/>
      <w:color w:val="366091"/>
      <w:sz w:val="28"/>
      <w:szCs w:val="28"/>
    </w:rPr>
  </w:style>
  <w:style w:type="paragraph" w:styleId="Ttulo2">
    <w:name w:val="heading 2"/>
    <w:basedOn w:val="Normal"/>
    <w:next w:val="Normal"/>
    <w:link w:val="Ttulo2Char"/>
    <w:rsid w:val="004403D5"/>
    <w:pPr>
      <w:keepNext/>
      <w:widowControl w:val="0"/>
      <w:suppressAutoHyphens w:val="0"/>
      <w:spacing w:line="360" w:lineRule="auto"/>
      <w:ind w:firstLine="851"/>
      <w:jc w:val="both"/>
      <w:outlineLvl w:val="1"/>
    </w:pPr>
    <w:rPr>
      <w:b/>
      <w:color w:val="000000"/>
      <w:sz w:val="24"/>
      <w:szCs w:val="24"/>
    </w:rPr>
  </w:style>
  <w:style w:type="paragraph" w:styleId="Ttulo3">
    <w:name w:val="heading 3"/>
    <w:basedOn w:val="Normal"/>
    <w:next w:val="Normal"/>
    <w:link w:val="Ttulo3Char"/>
    <w:rsid w:val="004403D5"/>
    <w:pPr>
      <w:keepNext/>
      <w:keepLines/>
      <w:widowControl w:val="0"/>
      <w:suppressAutoHyphens w:val="0"/>
      <w:spacing w:before="280" w:after="80" w:line="276" w:lineRule="auto"/>
      <w:contextualSpacing/>
      <w:outlineLvl w:val="2"/>
    </w:pPr>
    <w:rPr>
      <w:rFonts w:ascii="Calibri" w:eastAsia="Calibri" w:hAnsi="Calibri" w:cs="Calibri"/>
      <w:b/>
      <w:color w:val="000000"/>
      <w:sz w:val="28"/>
      <w:szCs w:val="28"/>
    </w:rPr>
  </w:style>
  <w:style w:type="paragraph" w:styleId="Ttulo4">
    <w:name w:val="heading 4"/>
    <w:basedOn w:val="Normal"/>
    <w:next w:val="Normal"/>
    <w:link w:val="Ttulo4Char"/>
    <w:rsid w:val="004403D5"/>
    <w:pPr>
      <w:keepNext/>
      <w:keepLines/>
      <w:widowControl w:val="0"/>
      <w:suppressAutoHyphens w:val="0"/>
      <w:spacing w:before="240" w:after="40" w:line="276" w:lineRule="auto"/>
      <w:contextualSpacing/>
      <w:outlineLvl w:val="3"/>
    </w:pPr>
    <w:rPr>
      <w:rFonts w:ascii="Calibri" w:eastAsia="Calibri" w:hAnsi="Calibri" w:cs="Calibri"/>
      <w:b/>
      <w:color w:val="000000"/>
      <w:sz w:val="24"/>
      <w:szCs w:val="24"/>
    </w:rPr>
  </w:style>
  <w:style w:type="paragraph" w:styleId="Ttulo5">
    <w:name w:val="heading 5"/>
    <w:basedOn w:val="Normal"/>
    <w:next w:val="Normal"/>
    <w:link w:val="Ttulo5Char"/>
    <w:rsid w:val="004403D5"/>
    <w:pPr>
      <w:keepNext/>
      <w:keepLines/>
      <w:widowControl w:val="0"/>
      <w:suppressAutoHyphens w:val="0"/>
      <w:spacing w:before="220" w:after="40" w:line="276" w:lineRule="auto"/>
      <w:contextualSpacing/>
      <w:outlineLvl w:val="4"/>
    </w:pPr>
    <w:rPr>
      <w:rFonts w:ascii="Calibri" w:eastAsia="Calibri" w:hAnsi="Calibri" w:cs="Calibri"/>
      <w:b/>
      <w:color w:val="000000"/>
      <w:sz w:val="22"/>
      <w:szCs w:val="22"/>
    </w:rPr>
  </w:style>
  <w:style w:type="paragraph" w:styleId="Ttulo6">
    <w:name w:val="heading 6"/>
    <w:basedOn w:val="Normal"/>
    <w:next w:val="Normal"/>
    <w:link w:val="Ttulo6Char"/>
    <w:rsid w:val="004403D5"/>
    <w:pPr>
      <w:keepNext/>
      <w:keepLines/>
      <w:widowControl w:val="0"/>
      <w:suppressAutoHyphens w:val="0"/>
      <w:spacing w:before="200" w:after="40" w:line="276" w:lineRule="auto"/>
      <w:contextualSpacing/>
      <w:outlineLvl w:val="5"/>
    </w:pPr>
    <w:rPr>
      <w:rFonts w:ascii="Calibri" w:eastAsia="Calibri" w:hAnsi="Calibri" w:cs="Calibri"/>
      <w:b/>
      <w:color w:val="00000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4403D5"/>
    <w:rPr>
      <w:rFonts w:ascii="Cambria" w:eastAsia="Cambria" w:hAnsi="Cambria" w:cs="Cambria"/>
      <w:b/>
      <w:color w:val="366091"/>
      <w:sz w:val="28"/>
      <w:szCs w:val="28"/>
      <w:lang w:eastAsia="pt-BR"/>
    </w:rPr>
  </w:style>
  <w:style w:type="character" w:customStyle="1" w:styleId="Ttulo2Char">
    <w:name w:val="Título 2 Char"/>
    <w:basedOn w:val="Fontepargpadro"/>
    <w:link w:val="Ttulo2"/>
    <w:rsid w:val="004403D5"/>
    <w:rPr>
      <w:rFonts w:ascii="Times New Roman" w:eastAsia="Times New Roman" w:hAnsi="Times New Roman" w:cs="Times New Roman"/>
      <w:b/>
      <w:color w:val="000000"/>
      <w:lang w:eastAsia="pt-BR"/>
    </w:rPr>
  </w:style>
  <w:style w:type="character" w:customStyle="1" w:styleId="Ttulo3Char">
    <w:name w:val="Título 3 Char"/>
    <w:basedOn w:val="Fontepargpadro"/>
    <w:link w:val="Ttulo3"/>
    <w:rsid w:val="004403D5"/>
    <w:rPr>
      <w:rFonts w:ascii="Calibri" w:eastAsia="Calibri" w:hAnsi="Calibri" w:cs="Calibri"/>
      <w:b/>
      <w:color w:val="000000"/>
      <w:sz w:val="28"/>
      <w:szCs w:val="28"/>
      <w:lang w:eastAsia="pt-BR"/>
    </w:rPr>
  </w:style>
  <w:style w:type="character" w:customStyle="1" w:styleId="Ttulo4Char">
    <w:name w:val="Título 4 Char"/>
    <w:basedOn w:val="Fontepargpadro"/>
    <w:link w:val="Ttulo4"/>
    <w:rsid w:val="004403D5"/>
    <w:rPr>
      <w:rFonts w:ascii="Calibri" w:eastAsia="Calibri" w:hAnsi="Calibri" w:cs="Calibri"/>
      <w:b/>
      <w:color w:val="000000"/>
      <w:lang w:eastAsia="pt-BR"/>
    </w:rPr>
  </w:style>
  <w:style w:type="character" w:customStyle="1" w:styleId="Ttulo5Char">
    <w:name w:val="Título 5 Char"/>
    <w:basedOn w:val="Fontepargpadro"/>
    <w:link w:val="Ttulo5"/>
    <w:rsid w:val="004403D5"/>
    <w:rPr>
      <w:rFonts w:ascii="Calibri" w:eastAsia="Calibri" w:hAnsi="Calibri" w:cs="Calibri"/>
      <w:b/>
      <w:color w:val="000000"/>
      <w:sz w:val="22"/>
      <w:szCs w:val="22"/>
      <w:lang w:eastAsia="pt-BR"/>
    </w:rPr>
  </w:style>
  <w:style w:type="character" w:customStyle="1" w:styleId="Ttulo6Char">
    <w:name w:val="Título 6 Char"/>
    <w:basedOn w:val="Fontepargpadro"/>
    <w:link w:val="Ttulo6"/>
    <w:rsid w:val="004403D5"/>
    <w:rPr>
      <w:rFonts w:ascii="Calibri" w:eastAsia="Calibri" w:hAnsi="Calibri" w:cs="Calibri"/>
      <w:b/>
      <w:color w:val="000000"/>
      <w:sz w:val="20"/>
      <w:szCs w:val="20"/>
      <w:lang w:eastAsia="pt-BR"/>
    </w:rPr>
  </w:style>
  <w:style w:type="paragraph" w:styleId="Cabealho">
    <w:name w:val="header"/>
    <w:basedOn w:val="Normal"/>
    <w:link w:val="CabealhoChar"/>
    <w:uiPriority w:val="99"/>
    <w:unhideWhenUsed/>
    <w:rsid w:val="008A5824"/>
    <w:pPr>
      <w:tabs>
        <w:tab w:val="center" w:pos="4419"/>
        <w:tab w:val="right" w:pos="8838"/>
      </w:tabs>
      <w:suppressAutoHyphens w:val="0"/>
    </w:pPr>
    <w:rPr>
      <w:rFonts w:asciiTheme="minorHAnsi" w:eastAsiaTheme="minorHAnsi" w:hAnsiTheme="minorHAnsi" w:cstheme="minorBidi"/>
      <w:sz w:val="24"/>
      <w:szCs w:val="24"/>
      <w:lang w:eastAsia="en-US"/>
    </w:rPr>
  </w:style>
  <w:style w:type="character" w:customStyle="1" w:styleId="CabealhoChar">
    <w:name w:val="Cabeçalho Char"/>
    <w:basedOn w:val="Fontepargpadro"/>
    <w:link w:val="Cabealho"/>
    <w:uiPriority w:val="99"/>
    <w:rsid w:val="008A5824"/>
  </w:style>
  <w:style w:type="paragraph" w:styleId="Rodap">
    <w:name w:val="footer"/>
    <w:basedOn w:val="Normal"/>
    <w:link w:val="RodapChar"/>
    <w:uiPriority w:val="99"/>
    <w:unhideWhenUsed/>
    <w:rsid w:val="008A5824"/>
    <w:pPr>
      <w:tabs>
        <w:tab w:val="center" w:pos="4419"/>
        <w:tab w:val="right" w:pos="8838"/>
      </w:tabs>
      <w:suppressAutoHyphens w:val="0"/>
    </w:pPr>
    <w:rPr>
      <w:rFonts w:asciiTheme="minorHAnsi" w:eastAsiaTheme="minorHAnsi" w:hAnsiTheme="minorHAnsi" w:cstheme="minorBidi"/>
      <w:sz w:val="24"/>
      <w:szCs w:val="24"/>
      <w:lang w:eastAsia="en-US"/>
    </w:rPr>
  </w:style>
  <w:style w:type="character" w:customStyle="1" w:styleId="RodapChar">
    <w:name w:val="Rodapé Char"/>
    <w:basedOn w:val="Fontepargpadro"/>
    <w:link w:val="Rodap"/>
    <w:uiPriority w:val="99"/>
    <w:rsid w:val="008A5824"/>
  </w:style>
  <w:style w:type="paragraph" w:styleId="NormalWeb">
    <w:name w:val="Normal (Web)"/>
    <w:basedOn w:val="Normal"/>
    <w:uiPriority w:val="99"/>
    <w:semiHidden/>
    <w:unhideWhenUsed/>
    <w:rsid w:val="008A5824"/>
    <w:pPr>
      <w:spacing w:before="100" w:beforeAutospacing="1" w:after="100" w:afterAutospacing="1"/>
    </w:pPr>
  </w:style>
  <w:style w:type="paragraph" w:styleId="PargrafodaLista">
    <w:name w:val="List Paragraph"/>
    <w:basedOn w:val="Normal"/>
    <w:uiPriority w:val="34"/>
    <w:qFormat/>
    <w:rsid w:val="001C328B"/>
    <w:pPr>
      <w:ind w:left="720"/>
      <w:contextualSpacing/>
    </w:pPr>
  </w:style>
  <w:style w:type="table" w:customStyle="1" w:styleId="TableNormal">
    <w:name w:val="Table Normal"/>
    <w:rsid w:val="004403D5"/>
    <w:pPr>
      <w:widowControl w:val="0"/>
      <w:spacing w:after="200" w:line="276" w:lineRule="auto"/>
    </w:pPr>
    <w:rPr>
      <w:rFonts w:ascii="Calibri" w:eastAsia="Calibri" w:hAnsi="Calibri" w:cs="Calibri"/>
      <w:color w:val="000000"/>
      <w:sz w:val="22"/>
      <w:szCs w:val="22"/>
      <w:lang w:eastAsia="pt-BR"/>
    </w:rPr>
    <w:tblPr>
      <w:tblCellMar>
        <w:top w:w="0" w:type="dxa"/>
        <w:left w:w="0" w:type="dxa"/>
        <w:bottom w:w="0" w:type="dxa"/>
        <w:right w:w="0" w:type="dxa"/>
      </w:tblCellMar>
    </w:tblPr>
  </w:style>
  <w:style w:type="paragraph" w:styleId="Ttulo">
    <w:name w:val="Title"/>
    <w:basedOn w:val="Normal"/>
    <w:next w:val="Normal"/>
    <w:link w:val="TtuloChar"/>
    <w:rsid w:val="004403D5"/>
    <w:pPr>
      <w:keepNext/>
      <w:keepLines/>
      <w:widowControl w:val="0"/>
      <w:suppressAutoHyphens w:val="0"/>
      <w:spacing w:before="480" w:after="120" w:line="276" w:lineRule="auto"/>
      <w:contextualSpacing/>
    </w:pPr>
    <w:rPr>
      <w:rFonts w:ascii="Calibri" w:eastAsia="Calibri" w:hAnsi="Calibri" w:cs="Calibri"/>
      <w:b/>
      <w:color w:val="000000"/>
      <w:sz w:val="72"/>
      <w:szCs w:val="72"/>
    </w:rPr>
  </w:style>
  <w:style w:type="character" w:customStyle="1" w:styleId="TtuloChar">
    <w:name w:val="Título Char"/>
    <w:basedOn w:val="Fontepargpadro"/>
    <w:link w:val="Ttulo"/>
    <w:rsid w:val="004403D5"/>
    <w:rPr>
      <w:rFonts w:ascii="Calibri" w:eastAsia="Calibri" w:hAnsi="Calibri" w:cs="Calibri"/>
      <w:b/>
      <w:color w:val="000000"/>
      <w:sz w:val="72"/>
      <w:szCs w:val="72"/>
      <w:lang w:eastAsia="pt-BR"/>
    </w:rPr>
  </w:style>
  <w:style w:type="paragraph" w:styleId="Subttulo">
    <w:name w:val="Subtitle"/>
    <w:basedOn w:val="Normal"/>
    <w:next w:val="Normal"/>
    <w:link w:val="SubttuloChar"/>
    <w:rsid w:val="004403D5"/>
    <w:pPr>
      <w:keepNext/>
      <w:keepLines/>
      <w:widowControl w:val="0"/>
      <w:suppressAutoHyphens w:val="0"/>
      <w:spacing w:before="360" w:after="80" w:line="276" w:lineRule="auto"/>
      <w:contextualSpacing/>
    </w:pPr>
    <w:rPr>
      <w:rFonts w:ascii="Georgia" w:eastAsia="Georgia" w:hAnsi="Georgia" w:cs="Georgia"/>
      <w:i/>
      <w:color w:val="666666"/>
      <w:sz w:val="48"/>
      <w:szCs w:val="48"/>
    </w:rPr>
  </w:style>
  <w:style w:type="character" w:customStyle="1" w:styleId="SubttuloChar">
    <w:name w:val="Subtítulo Char"/>
    <w:basedOn w:val="Fontepargpadro"/>
    <w:link w:val="Subttulo"/>
    <w:rsid w:val="004403D5"/>
    <w:rPr>
      <w:rFonts w:ascii="Georgia" w:eastAsia="Georgia" w:hAnsi="Georgia" w:cs="Georgia"/>
      <w:i/>
      <w:color w:val="666666"/>
      <w:sz w:val="48"/>
      <w:szCs w:val="48"/>
      <w:lang w:eastAsia="pt-BR"/>
    </w:rPr>
  </w:style>
  <w:style w:type="table" w:customStyle="1" w:styleId="3">
    <w:name w:val="3"/>
    <w:basedOn w:val="TableNormal"/>
    <w:rsid w:val="004403D5"/>
    <w:tblPr>
      <w:tblStyleRowBandSize w:val="1"/>
      <w:tblStyleColBandSize w:val="1"/>
      <w:tblCellMar>
        <w:left w:w="70" w:type="dxa"/>
        <w:right w:w="70" w:type="dxa"/>
      </w:tblCellMar>
    </w:tblPr>
  </w:style>
  <w:style w:type="paragraph" w:styleId="Textodecomentrio">
    <w:name w:val="annotation text"/>
    <w:basedOn w:val="Normal"/>
    <w:link w:val="TextodecomentrioChar"/>
    <w:uiPriority w:val="99"/>
    <w:unhideWhenUsed/>
    <w:rsid w:val="004403D5"/>
    <w:pPr>
      <w:widowControl w:val="0"/>
      <w:suppressAutoHyphens w:val="0"/>
      <w:spacing w:after="200"/>
    </w:pPr>
    <w:rPr>
      <w:rFonts w:ascii="Calibri" w:eastAsia="Calibri" w:hAnsi="Calibri" w:cs="Calibri"/>
      <w:color w:val="000000"/>
    </w:rPr>
  </w:style>
  <w:style w:type="character" w:customStyle="1" w:styleId="TextodecomentrioChar">
    <w:name w:val="Texto de comentário Char"/>
    <w:basedOn w:val="Fontepargpadro"/>
    <w:link w:val="Textodecomentrio"/>
    <w:uiPriority w:val="99"/>
    <w:rsid w:val="004403D5"/>
    <w:rPr>
      <w:rFonts w:ascii="Calibri" w:eastAsia="Calibri" w:hAnsi="Calibri" w:cs="Calibri"/>
      <w:color w:val="000000"/>
      <w:sz w:val="20"/>
      <w:szCs w:val="20"/>
      <w:lang w:eastAsia="pt-BR"/>
    </w:rPr>
  </w:style>
  <w:style w:type="character" w:customStyle="1" w:styleId="TextodebaloChar">
    <w:name w:val="Texto de balão Char"/>
    <w:basedOn w:val="Fontepargpadro"/>
    <w:link w:val="Textodebalo"/>
    <w:uiPriority w:val="99"/>
    <w:semiHidden/>
    <w:rsid w:val="004403D5"/>
    <w:rPr>
      <w:rFonts w:ascii="Segoe UI" w:eastAsia="Calibri" w:hAnsi="Segoe UI" w:cs="Segoe UI"/>
      <w:color w:val="000000"/>
      <w:sz w:val="18"/>
      <w:szCs w:val="18"/>
      <w:lang w:eastAsia="pt-BR"/>
    </w:rPr>
  </w:style>
  <w:style w:type="paragraph" w:styleId="Textodebalo">
    <w:name w:val="Balloon Text"/>
    <w:basedOn w:val="Normal"/>
    <w:link w:val="TextodebaloChar"/>
    <w:uiPriority w:val="99"/>
    <w:semiHidden/>
    <w:unhideWhenUsed/>
    <w:rsid w:val="004403D5"/>
    <w:pPr>
      <w:widowControl w:val="0"/>
      <w:suppressAutoHyphens w:val="0"/>
    </w:pPr>
    <w:rPr>
      <w:rFonts w:ascii="Segoe UI" w:eastAsia="Calibri" w:hAnsi="Segoe UI" w:cs="Segoe UI"/>
      <w:color w:val="000000"/>
      <w:sz w:val="18"/>
      <w:szCs w:val="18"/>
    </w:rPr>
  </w:style>
  <w:style w:type="character" w:customStyle="1" w:styleId="AssuntodocomentrioChar">
    <w:name w:val="Assunto do comentário Char"/>
    <w:basedOn w:val="TextodecomentrioChar"/>
    <w:link w:val="Assuntodocomentrio"/>
    <w:uiPriority w:val="99"/>
    <w:semiHidden/>
    <w:rsid w:val="004403D5"/>
    <w:rPr>
      <w:rFonts w:ascii="Calibri" w:eastAsia="Calibri" w:hAnsi="Calibri" w:cs="Calibri"/>
      <w:b/>
      <w:bCs/>
      <w:color w:val="000000"/>
      <w:sz w:val="20"/>
      <w:szCs w:val="20"/>
      <w:lang w:eastAsia="pt-BR"/>
    </w:rPr>
  </w:style>
  <w:style w:type="paragraph" w:styleId="Assuntodocomentrio">
    <w:name w:val="annotation subject"/>
    <w:basedOn w:val="Textodecomentrio"/>
    <w:next w:val="Textodecomentrio"/>
    <w:link w:val="AssuntodocomentrioChar"/>
    <w:uiPriority w:val="99"/>
    <w:semiHidden/>
    <w:unhideWhenUsed/>
    <w:rsid w:val="004403D5"/>
    <w:rPr>
      <w:b/>
      <w:bCs/>
    </w:rPr>
  </w:style>
  <w:style w:type="character" w:styleId="Forte">
    <w:name w:val="Strong"/>
    <w:basedOn w:val="Fontepargpadro"/>
    <w:uiPriority w:val="22"/>
    <w:qFormat/>
    <w:rsid w:val="004403D5"/>
    <w:rPr>
      <w:b/>
      <w:bCs/>
    </w:rPr>
  </w:style>
  <w:style w:type="character" w:customStyle="1" w:styleId="apple-converted-space">
    <w:name w:val="apple-converted-space"/>
    <w:basedOn w:val="Fontepargpadro"/>
    <w:rsid w:val="004403D5"/>
  </w:style>
  <w:style w:type="character" w:styleId="Hyperlink">
    <w:name w:val="Hyperlink"/>
    <w:basedOn w:val="Fontepargpadro"/>
    <w:uiPriority w:val="99"/>
    <w:unhideWhenUsed/>
    <w:rsid w:val="004403D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3660556">
      <w:bodyDiv w:val="1"/>
      <w:marLeft w:val="0"/>
      <w:marRight w:val="0"/>
      <w:marTop w:val="0"/>
      <w:marBottom w:val="0"/>
      <w:divBdr>
        <w:top w:val="none" w:sz="0" w:space="0" w:color="auto"/>
        <w:left w:val="none" w:sz="0" w:space="0" w:color="auto"/>
        <w:bottom w:val="none" w:sz="0" w:space="0" w:color="auto"/>
        <w:right w:val="none" w:sz="0" w:space="0" w:color="auto"/>
      </w:divBdr>
    </w:div>
    <w:div w:id="13384597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chart" Target="charts/chart3.xml"/><Relationship Id="rId4" Type="http://schemas.openxmlformats.org/officeDocument/2006/relationships/settings" Target="settings.xml"/><Relationship Id="rId9" Type="http://schemas.openxmlformats.org/officeDocument/2006/relationships/chart" Target="charts/chart2.xm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microsoft.com/office/2007/relationships/hdphoto" Target="media/hdphoto1.wdp"/><Relationship Id="rId2" Type="http://schemas.openxmlformats.org/officeDocument/2006/relationships/image" Target="media/image2.jpeg"/><Relationship Id="rId1" Type="http://schemas.openxmlformats.org/officeDocument/2006/relationships/image" Target="media/image1.tiff"/></Relationships>
</file>

<file path=word/_rels/header2.xml.rels><?xml version="1.0" encoding="UTF-8" standalone="yes"?>
<Relationships xmlns="http://schemas.openxmlformats.org/package/2006/relationships"><Relationship Id="rId3" Type="http://schemas.microsoft.com/office/2007/relationships/hdphoto" Target="media/hdphoto1.wdp"/><Relationship Id="rId2" Type="http://schemas.openxmlformats.org/officeDocument/2006/relationships/image" Target="media/image2.jpeg"/><Relationship Id="rId1" Type="http://schemas.openxmlformats.org/officeDocument/2006/relationships/image" Target="media/image1.tiff"/></Relationships>
</file>

<file path=word/charts/_rels/chart1.xml.rels><?xml version="1.0" encoding="UTF-8" standalone="yes"?>
<Relationships xmlns="http://schemas.openxmlformats.org/package/2006/relationships"><Relationship Id="rId3" Type="http://schemas.openxmlformats.org/officeDocument/2006/relationships/oleObject" Target="file:///C:\Users\F&#225;bio\Google%20Drive\varios\GRADUA&#199;&#195;O\8&#186;%20Semestre\T&#233;cnicas%20de%20Pesquisa%20em%20Contabilidade\Artigo\Dados\Tabula&#231;&#227;o%20dos%20Dados%20-%202000%20a%202015.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F&#225;bio\Google%20Drive\GRADUA&#199;&#195;O\8&#186;%20Semestre\T&#233;cnicas%20de%20Pesquisa%20em%20Contabilidade\Artigo\Dados\Tabula&#231;&#227;o%20dos%20Dados%20-%202000%20a%202015.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F&#225;bio\Google%20Drive\GRADUA&#199;&#195;O\8&#186;%20Semestre\T&#233;cnicas%20de%20Pesquisa%20em%20Contabilidade\Artigo\Dados\Tabula&#231;&#227;o%20dos%20Dados%20-%202000%20a%202015.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495090677061177E-2"/>
          <c:y val="6.851399088300146E-2"/>
          <c:w val="0.89287518773494001"/>
          <c:h val="0.83027257425862466"/>
        </c:manualLayout>
      </c:layout>
      <c:barChart>
        <c:barDir val="col"/>
        <c:grouping val="clustered"/>
        <c:varyColors val="0"/>
        <c:ser>
          <c:idx val="0"/>
          <c:order val="0"/>
          <c:tx>
            <c:v>Aplicação em ASPS segundo a SEF/SC</c:v>
          </c:tx>
          <c:spPr>
            <a:pattFill prst="openDmnd">
              <a:fgClr>
                <a:schemeClr val="tx1"/>
              </a:fgClr>
              <a:bgClr>
                <a:schemeClr val="bg1"/>
              </a:bgClr>
            </a:pattFill>
            <a:ln w="6350">
              <a:solidFill>
                <a:schemeClr val="tx1"/>
              </a:solidFill>
            </a:ln>
            <a:effectLst/>
          </c:spPr>
          <c:invertIfNegative val="0"/>
          <c:cat>
            <c:numRef>
              <c:f>Quadro!$A$38:$A$53</c:f>
              <c:numCache>
                <c:formatCode>General</c:formatCode>
                <c:ptCount val="16"/>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numCache>
            </c:numRef>
          </c:cat>
          <c:val>
            <c:numRef>
              <c:f>Quadro!$B$38:$B$53</c:f>
              <c:numCache>
                <c:formatCode>0.00%</c:formatCode>
                <c:ptCount val="16"/>
                <c:pt idx="0">
                  <c:v>0</c:v>
                </c:pt>
                <c:pt idx="1">
                  <c:v>0</c:v>
                </c:pt>
                <c:pt idx="2">
                  <c:v>8.9599999999999999E-2</c:v>
                </c:pt>
                <c:pt idx="3">
                  <c:v>0.1072</c:v>
                </c:pt>
                <c:pt idx="4">
                  <c:v>0.1205</c:v>
                </c:pt>
                <c:pt idx="5">
                  <c:v>0.13569999999999999</c:v>
                </c:pt>
                <c:pt idx="6">
                  <c:v>0.15090000000000001</c:v>
                </c:pt>
                <c:pt idx="7">
                  <c:v>0.1434</c:v>
                </c:pt>
                <c:pt idx="8">
                  <c:v>0.12470000000000001</c:v>
                </c:pt>
                <c:pt idx="9">
                  <c:v>0.12139999999999999</c:v>
                </c:pt>
                <c:pt idx="10">
                  <c:v>0.12039999999999999</c:v>
                </c:pt>
                <c:pt idx="11">
                  <c:v>0.12089999999999999</c:v>
                </c:pt>
                <c:pt idx="12">
                  <c:v>0.12139999999999999</c:v>
                </c:pt>
                <c:pt idx="13">
                  <c:v>0.1202</c:v>
                </c:pt>
                <c:pt idx="14">
                  <c:v>0.1211</c:v>
                </c:pt>
                <c:pt idx="15">
                  <c:v>0.12859999999999999</c:v>
                </c:pt>
              </c:numCache>
            </c:numRef>
          </c:val>
          <c:extLst>
            <c:ext xmlns:c16="http://schemas.microsoft.com/office/drawing/2014/chart" uri="{C3380CC4-5D6E-409C-BE32-E72D297353CC}">
              <c16:uniqueId val="{00000000-AFCA-4967-A909-1AB21D340294}"/>
            </c:ext>
          </c:extLst>
        </c:ser>
        <c:ser>
          <c:idx val="1"/>
          <c:order val="1"/>
          <c:tx>
            <c:v>Aplicação em ASPS segundo o TCE/SC</c:v>
          </c:tx>
          <c:spPr>
            <a:pattFill prst="pct60">
              <a:fgClr>
                <a:schemeClr val="tx1"/>
              </a:fgClr>
              <a:bgClr>
                <a:schemeClr val="bg1"/>
              </a:bgClr>
            </a:pattFill>
            <a:ln w="6350">
              <a:solidFill>
                <a:schemeClr val="tx1"/>
              </a:solidFill>
            </a:ln>
            <a:effectLst/>
          </c:spPr>
          <c:invertIfNegative val="0"/>
          <c:cat>
            <c:numRef>
              <c:f>Quadro!$A$38:$A$53</c:f>
              <c:numCache>
                <c:formatCode>General</c:formatCode>
                <c:ptCount val="16"/>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numCache>
            </c:numRef>
          </c:cat>
          <c:val>
            <c:numRef>
              <c:f>Quadro!$C$38:$C$53</c:f>
              <c:numCache>
                <c:formatCode>0.00%</c:formatCode>
                <c:ptCount val="16"/>
                <c:pt idx="0">
                  <c:v>6.2167518632730671E-2</c:v>
                </c:pt>
                <c:pt idx="1">
                  <c:v>7.5787974946554301E-2</c:v>
                </c:pt>
                <c:pt idx="2">
                  <c:v>8.3107992059132774E-2</c:v>
                </c:pt>
                <c:pt idx="3">
                  <c:v>0.11143206051187188</c:v>
                </c:pt>
                <c:pt idx="4">
                  <c:v>0.10674384543091689</c:v>
                </c:pt>
                <c:pt idx="5">
                  <c:v>0.10148751723335087</c:v>
                </c:pt>
                <c:pt idx="6">
                  <c:v>0.10697829636364806</c:v>
                </c:pt>
                <c:pt idx="7">
                  <c:v>0.11176339490944798</c:v>
                </c:pt>
                <c:pt idx="8">
                  <c:v>0.11656066258547641</c:v>
                </c:pt>
                <c:pt idx="9">
                  <c:v>0.11431698614999529</c:v>
                </c:pt>
                <c:pt idx="10">
                  <c:v>0.1132110674761294</c:v>
                </c:pt>
                <c:pt idx="11">
                  <c:v>0.12057903335374585</c:v>
                </c:pt>
                <c:pt idx="12">
                  <c:v>0.10601445104434259</c:v>
                </c:pt>
                <c:pt idx="13">
                  <c:v>0.12020494809162054</c:v>
                </c:pt>
                <c:pt idx="14">
                  <c:v>0.12113704547874042</c:v>
                </c:pt>
                <c:pt idx="15">
                  <c:v>0.12296407495134525</c:v>
                </c:pt>
              </c:numCache>
            </c:numRef>
          </c:val>
          <c:extLst>
            <c:ext xmlns:c16="http://schemas.microsoft.com/office/drawing/2014/chart" uri="{C3380CC4-5D6E-409C-BE32-E72D297353CC}">
              <c16:uniqueId val="{00000001-AFCA-4967-A909-1AB21D340294}"/>
            </c:ext>
          </c:extLst>
        </c:ser>
        <c:dLbls>
          <c:showLegendKey val="0"/>
          <c:showVal val="0"/>
          <c:showCatName val="0"/>
          <c:showSerName val="0"/>
          <c:showPercent val="0"/>
          <c:showBubbleSize val="0"/>
        </c:dLbls>
        <c:gapWidth val="150"/>
        <c:axId val="1257102624"/>
        <c:axId val="1172550624"/>
      </c:barChart>
      <c:lineChart>
        <c:grouping val="standard"/>
        <c:varyColors val="0"/>
        <c:ser>
          <c:idx val="2"/>
          <c:order val="2"/>
          <c:tx>
            <c:v>Aplicação mínima ASPS</c:v>
          </c:tx>
          <c:spPr>
            <a:ln w="12700" cap="rnd">
              <a:solidFill>
                <a:sysClr val="windowText" lastClr="000000"/>
              </a:solidFill>
              <a:round/>
            </a:ln>
            <a:effectLst/>
          </c:spPr>
          <c:marker>
            <c:symbol val="circle"/>
            <c:size val="5"/>
            <c:spPr>
              <a:solidFill>
                <a:schemeClr val="tx1"/>
              </a:solidFill>
              <a:ln w="0">
                <a:solidFill>
                  <a:schemeClr val="tx1"/>
                </a:solidFill>
              </a:ln>
              <a:effectLst/>
            </c:spPr>
          </c:marker>
          <c:cat>
            <c:numRef>
              <c:f>Quadro!$A$38:$A$53</c:f>
              <c:numCache>
                <c:formatCode>General</c:formatCode>
                <c:ptCount val="16"/>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numCache>
            </c:numRef>
          </c:cat>
          <c:val>
            <c:numRef>
              <c:f>Quadro!$D$38:$D$53</c:f>
              <c:numCache>
                <c:formatCode>0.00%</c:formatCode>
                <c:ptCount val="16"/>
                <c:pt idx="0">
                  <c:v>7.0000000000000007E-2</c:v>
                </c:pt>
                <c:pt idx="1">
                  <c:v>0.08</c:v>
                </c:pt>
                <c:pt idx="2">
                  <c:v>0.09</c:v>
                </c:pt>
                <c:pt idx="3">
                  <c:v>0.1</c:v>
                </c:pt>
                <c:pt idx="4">
                  <c:v>0.12</c:v>
                </c:pt>
                <c:pt idx="5">
                  <c:v>0.12</c:v>
                </c:pt>
                <c:pt idx="6">
                  <c:v>0.12</c:v>
                </c:pt>
                <c:pt idx="7">
                  <c:v>0.12</c:v>
                </c:pt>
                <c:pt idx="8">
                  <c:v>0.12</c:v>
                </c:pt>
                <c:pt idx="9">
                  <c:v>0.12</c:v>
                </c:pt>
                <c:pt idx="10">
                  <c:v>0.12</c:v>
                </c:pt>
                <c:pt idx="11">
                  <c:v>0.12</c:v>
                </c:pt>
                <c:pt idx="12">
                  <c:v>0.12</c:v>
                </c:pt>
                <c:pt idx="13">
                  <c:v>0.12</c:v>
                </c:pt>
                <c:pt idx="14">
                  <c:v>0.12</c:v>
                </c:pt>
                <c:pt idx="15">
                  <c:v>0.12</c:v>
                </c:pt>
              </c:numCache>
            </c:numRef>
          </c:val>
          <c:smooth val="0"/>
          <c:extLst>
            <c:ext xmlns:c16="http://schemas.microsoft.com/office/drawing/2014/chart" uri="{C3380CC4-5D6E-409C-BE32-E72D297353CC}">
              <c16:uniqueId val="{00000002-AFCA-4967-A909-1AB21D340294}"/>
            </c:ext>
          </c:extLst>
        </c:ser>
        <c:dLbls>
          <c:showLegendKey val="0"/>
          <c:showVal val="0"/>
          <c:showCatName val="0"/>
          <c:showSerName val="0"/>
          <c:showPercent val="0"/>
          <c:showBubbleSize val="0"/>
        </c:dLbls>
        <c:marker val="1"/>
        <c:smooth val="0"/>
        <c:axId val="1257102624"/>
        <c:axId val="1172550624"/>
      </c:lineChart>
      <c:catAx>
        <c:axId val="1257102624"/>
        <c:scaling>
          <c:orientation val="minMax"/>
        </c:scaling>
        <c:delete val="0"/>
        <c:axPos val="b"/>
        <c:majorGridlines>
          <c:spPr>
            <a:ln w="0" cap="flat" cmpd="sng" algn="ctr">
              <a:noFill/>
              <a:round/>
              <a:tailEnd w="med" len="med"/>
            </a:ln>
            <a:effectLst/>
          </c:spPr>
        </c:majorGridlines>
        <c:numFmt formatCode="General" sourceLinked="1"/>
        <c:majorTickMark val="out"/>
        <c:minorTickMark val="none"/>
        <c:tickLblPos val="nextTo"/>
        <c:spPr>
          <a:noFill/>
          <a:ln w="9525" cap="flat" cmpd="sng" algn="ctr">
            <a:solidFill>
              <a:sysClr val="windowText" lastClr="000000"/>
            </a:solidFill>
            <a:round/>
          </a:ln>
          <a:effectLst/>
        </c:spPr>
        <c:txPr>
          <a:bodyPr rot="-6000000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pt-BR"/>
          </a:p>
        </c:txPr>
        <c:crossAx val="1172550624"/>
        <c:crosses val="autoZero"/>
        <c:auto val="0"/>
        <c:lblAlgn val="ctr"/>
        <c:lblOffset val="100"/>
        <c:tickMarkSkip val="1"/>
        <c:noMultiLvlLbl val="0"/>
      </c:catAx>
      <c:valAx>
        <c:axId val="1172550624"/>
        <c:scaling>
          <c:orientation val="minMax"/>
          <c:max val="0.17"/>
          <c:min val="0"/>
        </c:scaling>
        <c:delete val="0"/>
        <c:axPos val="l"/>
        <c:majorGridlines>
          <c:spPr>
            <a:ln w="6350" cap="rnd" cmpd="sng" algn="ctr">
              <a:solidFill>
                <a:schemeClr val="tx1">
                  <a:lumMod val="50000"/>
                  <a:lumOff val="50000"/>
                </a:schemeClr>
              </a:solidFill>
              <a:prstDash val="solid"/>
              <a:round/>
            </a:ln>
            <a:effectLst/>
          </c:spPr>
        </c:majorGridlines>
        <c:title>
          <c:tx>
            <c:rich>
              <a:bodyPr rot="-540000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pt-BR" b="1">
                    <a:solidFill>
                      <a:sysClr val="windowText" lastClr="000000"/>
                    </a:solidFill>
                  </a:rPr>
                  <a:t>% Sobre a REC</a:t>
                </a:r>
              </a:p>
            </c:rich>
          </c:tx>
          <c:layout>
            <c:manualLayout>
              <c:xMode val="edge"/>
              <c:yMode val="edge"/>
              <c:x val="3.472222222222222E-3"/>
              <c:y val="0.35252909345489719"/>
            </c:manualLayout>
          </c:layout>
          <c:overlay val="0"/>
          <c:spPr>
            <a:solidFill>
              <a:sysClr val="window" lastClr="FFFFFF"/>
            </a:solidFill>
            <a:ln>
              <a:noFill/>
            </a:ln>
            <a:effectLst/>
          </c:spPr>
          <c:txPr>
            <a:bodyPr rot="-540000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pt-BR"/>
            </a:p>
          </c:txPr>
        </c:title>
        <c:numFmt formatCode="0%" sourceLinked="0"/>
        <c:majorTickMark val="out"/>
        <c:minorTickMark val="none"/>
        <c:tickLblPos val="nextTo"/>
        <c:spPr>
          <a:noFill/>
          <a:ln w="9525" cap="sq" cmpd="sng" algn="ctr">
            <a:solidFill>
              <a:sysClr val="windowText" lastClr="000000"/>
            </a:solidFill>
            <a:round/>
          </a:ln>
          <a:effectLst/>
        </c:spPr>
        <c:txPr>
          <a:bodyPr rot="-6000000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pt-BR"/>
          </a:p>
        </c:txPr>
        <c:crossAx val="1257102624"/>
        <c:crosses val="autoZero"/>
        <c:crossBetween val="between"/>
        <c:majorUnit val="1.0000000000000002E-2"/>
      </c:valAx>
      <c:spPr>
        <a:noFill/>
        <a:ln>
          <a:noFill/>
        </a:ln>
        <a:effectLst/>
      </c:spPr>
    </c:plotArea>
    <c:legend>
      <c:legendPos val="t"/>
      <c:layout>
        <c:manualLayout>
          <c:xMode val="edge"/>
          <c:yMode val="edge"/>
          <c:x val="0.45424476295479604"/>
          <c:y val="1.4817318667274663E-4"/>
          <c:w val="0.54575523704520401"/>
          <c:h val="0.1786190722043308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pt-BR"/>
        </a:p>
      </c:txPr>
    </c:legend>
    <c:plotVisOnly val="1"/>
    <c:dispBlanksAs val="gap"/>
    <c:showDLblsOverMax val="0"/>
  </c:chart>
  <c:spPr>
    <a:solidFill>
      <a:schemeClr val="bg1"/>
    </a:solidFill>
    <a:ln w="6350" cap="flat" cmpd="sng" algn="ctr">
      <a:solidFill>
        <a:sysClr val="windowText" lastClr="000000"/>
      </a:solidFill>
      <a:round/>
    </a:ln>
    <a:effectLst/>
  </c:spPr>
  <c:txPr>
    <a:bodyPr/>
    <a:lstStyle/>
    <a:p>
      <a:pPr>
        <a:defRPr sz="1000" b="0" i="0">
          <a:latin typeface="Times New Roman" panose="02020603050405020304" pitchFamily="18" charset="0"/>
          <a:cs typeface="Times New Roman" panose="02020603050405020304" pitchFamily="18" charset="0"/>
        </a:defRPr>
      </a:pPr>
      <a:endParaRPr lang="pt-B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041826910555696"/>
          <c:y val="5.0925925925925923E-2"/>
          <c:w val="0.87153599736085907"/>
          <c:h val="0.86060286832746591"/>
        </c:manualLayout>
      </c:layout>
      <c:barChart>
        <c:barDir val="col"/>
        <c:grouping val="clustered"/>
        <c:varyColors val="0"/>
        <c:ser>
          <c:idx val="0"/>
          <c:order val="0"/>
          <c:tx>
            <c:v>Saldo anual do cumprimento da aplicação mínima em ASPS segundo o TCE/SC</c:v>
          </c:tx>
          <c:spPr>
            <a:pattFill prst="pct60">
              <a:fgClr>
                <a:schemeClr val="tx1"/>
              </a:fgClr>
              <a:bgClr>
                <a:schemeClr val="bg1"/>
              </a:bgClr>
            </a:pattFill>
            <a:ln w="6350">
              <a:solidFill>
                <a:sysClr val="windowText" lastClr="000000"/>
              </a:solidFill>
            </a:ln>
            <a:effectLst/>
          </c:spPr>
          <c:invertIfNegative val="0"/>
          <c:dLbls>
            <c:dLbl>
              <c:idx val="0"/>
              <c:layout>
                <c:manualLayout>
                  <c:x val="1.1683754525171654E-2"/>
                  <c:y val="-9.3090053936422876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5237-4CEA-B9C7-01E26BB222F4}"/>
                </c:ext>
              </c:extLst>
            </c:dLbl>
            <c:dLbl>
              <c:idx val="1"/>
              <c:layout>
                <c:manualLayout>
                  <c:x val="0"/>
                  <c:y val="3.6532765796653682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5237-4CEA-B9C7-01E26BB222F4}"/>
                </c:ext>
              </c:extLst>
            </c:dLbl>
            <c:dLbl>
              <c:idx val="2"/>
              <c:layout>
                <c:manualLayout>
                  <c:x val="-1.5466754638029673E-3"/>
                  <c:y val="1.016134127364844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5237-4CEA-B9C7-01E26BB222F4}"/>
                </c:ext>
              </c:extLst>
            </c:dLbl>
            <c:dLbl>
              <c:idx val="3"/>
              <c:layout>
                <c:manualLayout>
                  <c:x val="0"/>
                  <c:y val="-5.8938119362122827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5237-4CEA-B9C7-01E26BB222F4}"/>
                </c:ext>
              </c:extLst>
            </c:dLbl>
            <c:dLbl>
              <c:idx val="4"/>
              <c:layout>
                <c:manualLayout>
                  <c:x val="-1.9296981482606886E-2"/>
                  <c:y val="-1.5037869736995649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5237-4CEA-B9C7-01E26BB222F4}"/>
                </c:ext>
              </c:extLst>
            </c:dLbl>
            <c:dLbl>
              <c:idx val="5"/>
              <c:layout>
                <c:manualLayout>
                  <c:x val="0"/>
                  <c:y val="-2.5044593490739557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5237-4CEA-B9C7-01E26BB222F4}"/>
                </c:ext>
              </c:extLst>
            </c:dLbl>
            <c:dLbl>
              <c:idx val="6"/>
              <c:layout>
                <c:manualLayout>
                  <c:x val="0"/>
                  <c:y val="-7.0000350996244336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5237-4CEA-B9C7-01E26BB222F4}"/>
                </c:ext>
              </c:extLst>
            </c:dLbl>
            <c:dLbl>
              <c:idx val="7"/>
              <c:layout>
                <c:manualLayout>
                  <c:x val="-1.0973270017102328E-4"/>
                  <c:y val="8.0307940705034459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5237-4CEA-B9C7-01E26BB222F4}"/>
                </c:ext>
              </c:extLst>
            </c:dLbl>
            <c:dLbl>
              <c:idx val="8"/>
              <c:layout>
                <c:manualLayout>
                  <c:x val="-2.4245370651711537E-3"/>
                  <c:y val="-0.129965134373062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5237-4CEA-B9C7-01E26BB222F4}"/>
                </c:ext>
              </c:extLst>
            </c:dLbl>
            <c:dLbl>
              <c:idx val="9"/>
              <c:layout>
                <c:manualLayout>
                  <c:x val="0"/>
                  <c:y val="3.565946344374122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5237-4CEA-B9C7-01E26BB222F4}"/>
                </c:ext>
              </c:extLst>
            </c:dLbl>
            <c:dLbl>
              <c:idx val="10"/>
              <c:layout>
                <c:manualLayout>
                  <c:x val="0"/>
                  <c:y val="-1.2407132243684924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5237-4CEA-B9C7-01E26BB222F4}"/>
                </c:ext>
              </c:extLst>
            </c:dLbl>
            <c:dLbl>
              <c:idx val="11"/>
              <c:layout>
                <c:manualLayout>
                  <c:x val="2.2050716648291876E-3"/>
                  <c:y val="-2.6982257069665869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5237-4CEA-B9C7-01E26BB222F4}"/>
                </c:ext>
              </c:extLst>
            </c:dLbl>
            <c:dLbl>
              <c:idx val="12"/>
              <c:layout>
                <c:manualLayout>
                  <c:x val="-1.6170338740947114E-16"/>
                  <c:y val="-1.2999627692974511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5237-4CEA-B9C7-01E26BB222F4}"/>
                </c:ext>
              </c:extLst>
            </c:dLbl>
            <c:dLbl>
              <c:idx val="13"/>
              <c:layout>
                <c:manualLayout>
                  <c:x val="-3.3025722942296456E-3"/>
                  <c:y val="-1.7742860151396381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5237-4CEA-B9C7-01E26BB222F4}"/>
                </c:ext>
              </c:extLst>
            </c:dLbl>
            <c:dLbl>
              <c:idx val="14"/>
              <c:layout>
                <c:manualLayout>
                  <c:x val="2.0953389646580839E-3"/>
                  <c:y val="-8.8461260620474699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E-5237-4CEA-B9C7-01E26BB222F4}"/>
                </c:ext>
              </c:extLst>
            </c:dLbl>
            <c:dLbl>
              <c:idx val="15"/>
              <c:layout>
                <c:manualLayout>
                  <c:x val="-1.6170338740947114E-16"/>
                  <c:y val="5.4410267810133753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F-5237-4CEA-B9C7-01E26BB222F4}"/>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Quadro!$A$37:$A$53</c:f>
              <c:strCache>
                <c:ptCount val="16"/>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strCache>
              <c:extLst/>
            </c:strRef>
          </c:cat>
          <c:val>
            <c:numRef>
              <c:f>Quadro!$K$37:$K$53</c:f>
              <c:numCache>
                <c:formatCode>0.00%</c:formatCode>
                <c:ptCount val="16"/>
                <c:pt idx="0">
                  <c:v>-0.11189259096099054</c:v>
                </c:pt>
                <c:pt idx="1">
                  <c:v>-5.2650313168071311E-2</c:v>
                </c:pt>
                <c:pt idx="2">
                  <c:v>-7.6577866009635842E-2</c:v>
                </c:pt>
                <c:pt idx="3">
                  <c:v>0.1143206051187188</c:v>
                </c:pt>
                <c:pt idx="4">
                  <c:v>-0.11046795474235922</c:v>
                </c:pt>
                <c:pt idx="5">
                  <c:v>-0.15427068972207614</c:v>
                </c:pt>
                <c:pt idx="6">
                  <c:v>-0.10851419696959942</c:v>
                </c:pt>
                <c:pt idx="7">
                  <c:v>-6.8638375754600175E-2</c:v>
                </c:pt>
                <c:pt idx="8">
                  <c:v>-2.8661145121029932E-2</c:v>
                </c:pt>
                <c:pt idx="9">
                  <c:v>-4.7358448750039216E-2</c:v>
                </c:pt>
                <c:pt idx="10">
                  <c:v>-5.6574437698921537E-2</c:v>
                </c:pt>
                <c:pt idx="11">
                  <c:v>4.8252779478821601E-3</c:v>
                </c:pt>
                <c:pt idx="12">
                  <c:v>-0.11654624129714493</c:v>
                </c:pt>
                <c:pt idx="13">
                  <c:v>1.707900763504524E-3</c:v>
                </c:pt>
                <c:pt idx="14">
                  <c:v>9.4753789895035412E-3</c:v>
                </c:pt>
                <c:pt idx="15">
                  <c:v>2.4700624594543766E-2</c:v>
                </c:pt>
              </c:numCache>
              <c:extLst/>
            </c:numRef>
          </c:val>
          <c:extLst>
            <c:ext xmlns:c16="http://schemas.microsoft.com/office/drawing/2014/chart" uri="{C3380CC4-5D6E-409C-BE32-E72D297353CC}">
              <c16:uniqueId val="{00000010-5237-4CEA-B9C7-01E26BB222F4}"/>
            </c:ext>
          </c:extLst>
        </c:ser>
        <c:dLbls>
          <c:showLegendKey val="0"/>
          <c:showVal val="0"/>
          <c:showCatName val="0"/>
          <c:showSerName val="0"/>
          <c:showPercent val="0"/>
          <c:showBubbleSize val="0"/>
        </c:dLbls>
        <c:gapWidth val="219"/>
        <c:overlap val="-27"/>
        <c:axId val="1248239392"/>
        <c:axId val="1246935680"/>
      </c:barChart>
      <c:dateAx>
        <c:axId val="1248239392"/>
        <c:scaling>
          <c:orientation val="minMax"/>
        </c:scaling>
        <c:delete val="0"/>
        <c:axPos val="b"/>
        <c:numFmt formatCode="m/d/yyyy" sourceLinked="0"/>
        <c:majorTickMark val="cross"/>
        <c:minorTickMark val="none"/>
        <c:tickLblPos val="low"/>
        <c:spPr>
          <a:noFill/>
          <a:ln w="9525" cap="flat" cmpd="sng" algn="ctr">
            <a:solidFill>
              <a:sysClr val="windowText" lastClr="000000"/>
            </a:solidFill>
            <a:round/>
          </a:ln>
          <a:effectLst/>
        </c:spPr>
        <c:txPr>
          <a:bodyPr rot="0" spcFirstLastPara="1" vertOverflow="ellipsis" wrap="square" anchor="b" anchorCtr="0"/>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pt-BR"/>
          </a:p>
        </c:txPr>
        <c:crossAx val="1246935680"/>
        <c:crosses val="autoZero"/>
        <c:auto val="0"/>
        <c:lblOffset val="100"/>
        <c:baseTimeUnit val="days"/>
      </c:dateAx>
      <c:valAx>
        <c:axId val="1246935680"/>
        <c:scaling>
          <c:orientation val="minMax"/>
          <c:max val="0.30000000000000004"/>
          <c:min val="-0.30000000000000004"/>
        </c:scaling>
        <c:delete val="0"/>
        <c:axPos val="l"/>
        <c:majorGridlines>
          <c:spPr>
            <a:ln w="6350" cap="flat" cmpd="sng" algn="ctr">
              <a:solidFill>
                <a:schemeClr val="tx1">
                  <a:lumMod val="50000"/>
                  <a:lumOff val="50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pt-BR" b="1">
                    <a:solidFill>
                      <a:schemeClr val="tx1"/>
                    </a:solidFill>
                  </a:rPr>
                  <a:t>% Sobre</a:t>
                </a:r>
                <a:r>
                  <a:rPr lang="pt-BR" b="1" baseline="0">
                    <a:solidFill>
                      <a:schemeClr val="tx1"/>
                    </a:solidFill>
                  </a:rPr>
                  <a:t> a aplicação mínima constitucional</a:t>
                </a:r>
                <a:endParaRPr lang="pt-BR" b="1">
                  <a:solidFill>
                    <a:schemeClr val="tx1"/>
                  </a:solidFill>
                </a:endParaRPr>
              </a:p>
            </c:rich>
          </c:tx>
          <c:overlay val="0"/>
          <c:spPr>
            <a:noFill/>
            <a:ln>
              <a:noFill/>
            </a:ln>
            <a:effectLst/>
          </c:spPr>
          <c:txPr>
            <a:bodyPr rot="-540000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pt-BR"/>
            </a:p>
          </c:txPr>
        </c:title>
        <c:numFmt formatCode="0%" sourceLinked="0"/>
        <c:majorTickMark val="out"/>
        <c:minorTickMark val="none"/>
        <c:tickLblPos val="nextTo"/>
        <c:spPr>
          <a:noFill/>
          <a:ln>
            <a:solidFill>
              <a:sysClr val="windowText" lastClr="000000"/>
            </a:solidFill>
          </a:ln>
          <a:effectLst/>
        </c:spPr>
        <c:txPr>
          <a:bodyPr rot="-6000000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pt-BR"/>
          </a:p>
        </c:txPr>
        <c:crossAx val="1248239392"/>
        <c:crosses val="autoZero"/>
        <c:crossBetween val="between"/>
        <c:majorUnit val="5.000000000000001E-2"/>
      </c:valAx>
      <c:spPr>
        <a:solidFill>
          <a:schemeClr val="bg1"/>
        </a:solidFill>
        <a:ln>
          <a:noFill/>
        </a:ln>
        <a:effectLst/>
      </c:spPr>
    </c:plotArea>
    <c:legend>
      <c:legendPos val="r"/>
      <c:layout>
        <c:manualLayout>
          <c:xMode val="edge"/>
          <c:yMode val="edge"/>
          <c:x val="0.5402501975014975"/>
          <c:y val="0"/>
          <c:w val="0.45677642830478604"/>
          <c:h val="0.212122761295628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pt-BR"/>
        </a:p>
      </c:txPr>
    </c:legend>
    <c:plotVisOnly val="1"/>
    <c:dispBlanksAs val="gap"/>
    <c:showDLblsOverMax val="0"/>
  </c:chart>
  <c:spPr>
    <a:solidFill>
      <a:schemeClr val="bg1"/>
    </a:solidFill>
    <a:ln w="6350" cap="flat" cmpd="sng" algn="ctr">
      <a:solidFill>
        <a:schemeClr val="tx1"/>
      </a:solidFill>
      <a:round/>
    </a:ln>
    <a:effectLst/>
  </c:spPr>
  <c:txPr>
    <a:bodyPr/>
    <a:lstStyle/>
    <a:p>
      <a:pPr>
        <a:defRPr sz="1000" b="0" i="0">
          <a:latin typeface="Times New Roman" panose="02020603050405020304" pitchFamily="18" charset="0"/>
          <a:cs typeface="Times New Roman" panose="02020603050405020304" pitchFamily="18" charset="0"/>
        </a:defRPr>
      </a:pPr>
      <a:endParaRPr lang="pt-B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977515214126348"/>
          <c:y val="5.0925801510306096E-2"/>
          <c:w val="0.87219994964796987"/>
          <c:h val="0.86060286832746591"/>
        </c:manualLayout>
      </c:layout>
      <c:barChart>
        <c:barDir val="col"/>
        <c:grouping val="clustered"/>
        <c:varyColors val="0"/>
        <c:ser>
          <c:idx val="0"/>
          <c:order val="0"/>
          <c:tx>
            <c:v>Saldo anual do cumprimento da aplicação mínima em ASPS segundo a SEF/SC</c:v>
          </c:tx>
          <c:spPr>
            <a:pattFill prst="openDmnd">
              <a:fgClr>
                <a:schemeClr val="tx1"/>
              </a:fgClr>
              <a:bgClr>
                <a:schemeClr val="bg1"/>
              </a:bgClr>
            </a:pattFill>
            <a:ln w="6350">
              <a:solidFill>
                <a:sysClr val="windowText" lastClr="000000"/>
              </a:solidFill>
            </a:ln>
            <a:effectLst/>
          </c:spPr>
          <c:invertIfNegative val="0"/>
          <c:dLbls>
            <c:dLbl>
              <c:idx val="0"/>
              <c:layout>
                <c:manualLayout>
                  <c:x val="2.3148043650001301E-3"/>
                  <c:y val="3.7792497179913204E-2"/>
                </c:manualLayout>
              </c:layout>
              <c:tx>
                <c:rich>
                  <a:bodyPr/>
                  <a:lstStyle/>
                  <a:p>
                    <a:r>
                      <a:rPr lang="en-US"/>
                      <a:t>ND</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5FE5-4C21-8BB6-9026544B4F22}"/>
                </c:ext>
              </c:extLst>
            </c:dLbl>
            <c:dLbl>
              <c:idx val="1"/>
              <c:layout>
                <c:manualLayout>
                  <c:x val="-4.3004106294872108E-3"/>
                  <c:y val="3.5285815102328866E-2"/>
                </c:manualLayout>
              </c:layout>
              <c:tx>
                <c:rich>
                  <a:bodyPr/>
                  <a:lstStyle/>
                  <a:p>
                    <a:r>
                      <a:rPr lang="en-US"/>
                      <a:t>ND</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5FE5-4C21-8BB6-9026544B4F22}"/>
                </c:ext>
              </c:extLst>
            </c:dLbl>
            <c:dLbl>
              <c:idx val="2"/>
              <c:layout>
                <c:manualLayout>
                  <c:x val="-1.1025358324145576E-2"/>
                  <c:y val="-3.179946543379325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5FE5-4C21-8BB6-9026544B4F22}"/>
                </c:ext>
              </c:extLst>
            </c:dLbl>
            <c:dLbl>
              <c:idx val="3"/>
              <c:layout>
                <c:manualLayout>
                  <c:x val="-2.205071664829107E-3"/>
                  <c:y val="-9.0089036047348345E-5"/>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5FE5-4C21-8BB6-9026544B4F22}"/>
                </c:ext>
              </c:extLst>
            </c:dLbl>
            <c:dLbl>
              <c:idx val="4"/>
              <c:layout>
                <c:manualLayout>
                  <c:x val="-2.0953389646580431E-3"/>
                  <c:y val="-2.8690979612022802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5FE5-4C21-8BB6-9026544B4F22}"/>
                </c:ext>
              </c:extLst>
            </c:dLbl>
            <c:dLbl>
              <c:idx val="5"/>
              <c:layout>
                <c:manualLayout>
                  <c:x val="4.6296087300001796E-3"/>
                  <c:y val="8.4554995261550709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5FE5-4C21-8BB6-9026544B4F22}"/>
                </c:ext>
              </c:extLst>
            </c:dLbl>
            <c:dLbl>
              <c:idx val="6"/>
              <c:layout>
                <c:manualLayout>
                  <c:x val="-5.6298084018439262E-2"/>
                  <c:y val="2.7497930084074706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5FE5-4C21-8BB6-9026544B4F22}"/>
                </c:ext>
              </c:extLst>
            </c:dLbl>
            <c:dLbl>
              <c:idx val="7"/>
              <c:layout>
                <c:manualLayout>
                  <c:x val="2.0953389646580839E-3"/>
                  <c:y val="2.7403464122383432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5FE5-4C21-8BB6-9026544B4F22}"/>
                </c:ext>
              </c:extLst>
            </c:dLbl>
            <c:dLbl>
              <c:idx val="8"/>
              <c:layout>
                <c:manualLayout>
                  <c:x val="-8.0851693704735569E-17"/>
                  <c:y val="2.0909207097172134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5FE5-4C21-8BB6-9026544B4F22}"/>
                </c:ext>
              </c:extLst>
            </c:dLbl>
            <c:dLbl>
              <c:idx val="9"/>
              <c:layout>
                <c:manualLayout>
                  <c:x val="-4.410143329658214E-3"/>
                  <c:y val="-8.4776122895485015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5FE5-4C21-8BB6-9026544B4F22}"/>
                </c:ext>
              </c:extLst>
            </c:dLbl>
            <c:dLbl>
              <c:idx val="10"/>
              <c:layout>
                <c:manualLayout>
                  <c:x val="-2.0953389646580839E-3"/>
                  <c:y val="-2.9547285770647757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5FE5-4C21-8BB6-9026544B4F22}"/>
                </c:ext>
              </c:extLst>
            </c:dLbl>
            <c:dLbl>
              <c:idx val="11"/>
              <c:layout>
                <c:manualLayout>
                  <c:x val="-1.9856062644871414E-3"/>
                  <c:y val="-8.6448035006025437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5FE5-4C21-8BB6-9026544B4F22}"/>
                </c:ext>
              </c:extLst>
            </c:dLbl>
            <c:dLbl>
              <c:idx val="12"/>
              <c:layout>
                <c:manualLayout>
                  <c:x val="-2.205071664829107E-3"/>
                  <c:y val="-2.0800622433339997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5FE5-4C21-8BB6-9026544B4F22}"/>
                </c:ext>
              </c:extLst>
            </c:dLbl>
            <c:dLbl>
              <c:idx val="13"/>
              <c:layout>
                <c:manualLayout>
                  <c:x val="-6.9444130950003903E-3"/>
                  <c:y val="-9.8065425699945016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5FE5-4C21-8BB6-9026544B4F22}"/>
                </c:ext>
              </c:extLst>
            </c:dLbl>
            <c:dLbl>
              <c:idx val="14"/>
              <c:layout>
                <c:manualLayout>
                  <c:x val="-8.6008212589743817E-3"/>
                  <c:y val="-1.7497747774098817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E-5FE5-4C21-8BB6-9026544B4F22}"/>
                </c:ext>
              </c:extLst>
            </c:dLbl>
            <c:dLbl>
              <c:idx val="15"/>
              <c:layout>
                <c:manualLayout>
                  <c:x val="6.844403545477433E-4"/>
                  <c:y val="2.5489139192816142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F-5FE5-4C21-8BB6-9026544B4F22}"/>
                </c:ext>
              </c:extLst>
            </c:dLbl>
            <c:dLbl>
              <c:idx val="16"/>
              <c:layout>
                <c:manualLayout>
                  <c:x val="0"/>
                  <c:y val="2.2753128555176295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0-5FE5-4C21-8BB6-9026544B4F22}"/>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Quadro!$A$37:$A$53</c:f>
              <c:strCache>
                <c:ptCount val="16"/>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strCache>
              <c:extLst/>
            </c:strRef>
          </c:cat>
          <c:val>
            <c:numRef>
              <c:f>Quadro!$L$37:$L$53</c:f>
              <c:numCache>
                <c:formatCode>0.00%</c:formatCode>
                <c:ptCount val="16"/>
                <c:pt idx="0">
                  <c:v>0</c:v>
                </c:pt>
                <c:pt idx="1">
                  <c:v>0</c:v>
                </c:pt>
                <c:pt idx="2">
                  <c:v>-4.4334790661256021E-3</c:v>
                </c:pt>
                <c:pt idx="3">
                  <c:v>7.1546467394448587E-2</c:v>
                </c:pt>
                <c:pt idx="4">
                  <c:v>3.9524244745114071E-3</c:v>
                </c:pt>
                <c:pt idx="5">
                  <c:v>0.13089171665146754</c:v>
                </c:pt>
                <c:pt idx="6">
                  <c:v>0.25730029348830291</c:v>
                </c:pt>
                <c:pt idx="7">
                  <c:v>0.19518838136963979</c:v>
                </c:pt>
                <c:pt idx="8">
                  <c:v>3.957043601950487E-2</c:v>
                </c:pt>
                <c:pt idx="9">
                  <c:v>1.1575093469080562E-2</c:v>
                </c:pt>
                <c:pt idx="10">
                  <c:v>3.5640454621558466E-3</c:v>
                </c:pt>
                <c:pt idx="11">
                  <c:v>7.8847467095167576E-3</c:v>
                </c:pt>
                <c:pt idx="12">
                  <c:v>1.2056720225208165E-2</c:v>
                </c:pt>
                <c:pt idx="13">
                  <c:v>1.7079007342266481E-3</c:v>
                </c:pt>
                <c:pt idx="14">
                  <c:v>9.4753789802162359E-3</c:v>
                </c:pt>
                <c:pt idx="15">
                  <c:v>7.1361893193286896E-2</c:v>
                </c:pt>
              </c:numCache>
              <c:extLst/>
            </c:numRef>
          </c:val>
          <c:extLst>
            <c:ext xmlns:c16="http://schemas.microsoft.com/office/drawing/2014/chart" uri="{C3380CC4-5D6E-409C-BE32-E72D297353CC}">
              <c16:uniqueId val="{00000011-5FE5-4C21-8BB6-9026544B4F22}"/>
            </c:ext>
          </c:extLst>
        </c:ser>
        <c:dLbls>
          <c:showLegendKey val="0"/>
          <c:showVal val="0"/>
          <c:showCatName val="0"/>
          <c:showSerName val="0"/>
          <c:showPercent val="0"/>
          <c:showBubbleSize val="0"/>
        </c:dLbls>
        <c:gapWidth val="219"/>
        <c:overlap val="-27"/>
        <c:axId val="1248239392"/>
        <c:axId val="1246935680"/>
      </c:barChart>
      <c:dateAx>
        <c:axId val="1248239392"/>
        <c:scaling>
          <c:orientation val="minMax"/>
        </c:scaling>
        <c:delete val="0"/>
        <c:axPos val="b"/>
        <c:numFmt formatCode="m/d/yyyy" sourceLinked="0"/>
        <c:majorTickMark val="cross"/>
        <c:minorTickMark val="none"/>
        <c:tickLblPos val="low"/>
        <c:spPr>
          <a:noFill/>
          <a:ln w="9525" cap="flat" cmpd="sng" algn="ctr">
            <a:solidFill>
              <a:sysClr val="windowText" lastClr="000000"/>
            </a:solidFill>
            <a:round/>
          </a:ln>
          <a:effectLst/>
        </c:spPr>
        <c:txPr>
          <a:bodyPr rot="0" spcFirstLastPara="1" vertOverflow="ellipsis" wrap="square" anchor="b" anchorCtr="0"/>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pt-BR"/>
          </a:p>
        </c:txPr>
        <c:crossAx val="1246935680"/>
        <c:crosses val="autoZero"/>
        <c:auto val="0"/>
        <c:lblOffset val="100"/>
        <c:baseTimeUnit val="days"/>
      </c:dateAx>
      <c:valAx>
        <c:axId val="1246935680"/>
        <c:scaling>
          <c:orientation val="minMax"/>
          <c:max val="0.30000000000000004"/>
          <c:min val="-0.30000000000000004"/>
        </c:scaling>
        <c:delete val="0"/>
        <c:axPos val="l"/>
        <c:majorGridlines>
          <c:spPr>
            <a:ln w="6350" cap="flat" cmpd="sng" algn="ctr">
              <a:solidFill>
                <a:schemeClr val="tx1">
                  <a:lumMod val="50000"/>
                  <a:lumOff val="50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pt-BR" b="1">
                    <a:solidFill>
                      <a:schemeClr val="tx1"/>
                    </a:solidFill>
                  </a:rPr>
                  <a:t>% Sobre</a:t>
                </a:r>
                <a:r>
                  <a:rPr lang="pt-BR" b="1" baseline="0">
                    <a:solidFill>
                      <a:schemeClr val="tx1"/>
                    </a:solidFill>
                  </a:rPr>
                  <a:t> a aplicação mínima constitucional</a:t>
                </a:r>
                <a:endParaRPr lang="pt-BR" b="1">
                  <a:solidFill>
                    <a:schemeClr val="tx1"/>
                  </a:solidFill>
                </a:endParaRPr>
              </a:p>
            </c:rich>
          </c:tx>
          <c:overlay val="0"/>
          <c:spPr>
            <a:noFill/>
            <a:ln>
              <a:noFill/>
            </a:ln>
            <a:effectLst/>
          </c:spPr>
          <c:txPr>
            <a:bodyPr rot="-540000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pt-BR"/>
            </a:p>
          </c:txPr>
        </c:title>
        <c:numFmt formatCode="0%" sourceLinked="0"/>
        <c:majorTickMark val="out"/>
        <c:minorTickMark val="none"/>
        <c:tickLblPos val="nextTo"/>
        <c:spPr>
          <a:noFill/>
          <a:ln>
            <a:solidFill>
              <a:sysClr val="windowText" lastClr="000000"/>
            </a:solidFill>
          </a:ln>
          <a:effectLst/>
        </c:spPr>
        <c:txPr>
          <a:bodyPr rot="-6000000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pt-BR"/>
          </a:p>
        </c:txPr>
        <c:crossAx val="1248239392"/>
        <c:crosses val="autoZero"/>
        <c:crossBetween val="between"/>
        <c:majorUnit val="5.000000000000001E-2"/>
      </c:valAx>
      <c:spPr>
        <a:solidFill>
          <a:schemeClr val="bg1"/>
        </a:solidFill>
        <a:ln>
          <a:noFill/>
        </a:ln>
        <a:effectLst/>
      </c:spPr>
    </c:plotArea>
    <c:legend>
      <c:legendPos val="r"/>
      <c:layout>
        <c:manualLayout>
          <c:xMode val="edge"/>
          <c:yMode val="edge"/>
          <c:x val="0.55299169191502662"/>
          <c:y val="2.1171489061397319E-2"/>
          <c:w val="0.44529442915556172"/>
          <c:h val="0.1819575569990942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pt-BR"/>
        </a:p>
      </c:txPr>
    </c:legend>
    <c:plotVisOnly val="1"/>
    <c:dispBlanksAs val="gap"/>
    <c:showDLblsOverMax val="0"/>
  </c:chart>
  <c:spPr>
    <a:solidFill>
      <a:schemeClr val="bg1"/>
    </a:solidFill>
    <a:ln w="6350" cap="flat" cmpd="sng" algn="ctr">
      <a:solidFill>
        <a:schemeClr val="tx1"/>
      </a:solidFill>
      <a:round/>
    </a:ln>
    <a:effectLst/>
  </c:spPr>
  <c:txPr>
    <a:bodyPr/>
    <a:lstStyle/>
    <a:p>
      <a:pPr>
        <a:defRPr sz="1000" b="0" i="0">
          <a:latin typeface="Times New Roman" panose="02020603050405020304" pitchFamily="18" charset="0"/>
          <a:cs typeface="Times New Roman" panose="02020603050405020304" pitchFamily="18" charset="0"/>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A6672B-6F25-4A4D-B6CE-DDA790400D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3795</TotalTime>
  <Pages>18</Pages>
  <Words>9347</Words>
  <Characters>50477</Characters>
  <DocSecurity>0</DocSecurity>
  <Lines>420</Lines>
  <Paragraphs>119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Printed>2017-06-22T17:53:00Z</cp:lastPrinted>
  <dcterms:created xsi:type="dcterms:W3CDTF">2017-06-09T11:16:00Z</dcterms:created>
  <dcterms:modified xsi:type="dcterms:W3CDTF">2017-06-26T19:44:00Z</dcterms:modified>
</cp:coreProperties>
</file>