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77D" w:rsidRDefault="0036377D" w:rsidP="0036377D">
      <w:pPr>
        <w:jc w:val="center"/>
        <w:rPr>
          <w:b/>
          <w:sz w:val="24"/>
        </w:rPr>
      </w:pPr>
    </w:p>
    <w:p w:rsidR="00813EF7" w:rsidRPr="0089148F" w:rsidRDefault="0089148F" w:rsidP="00813EF7">
      <w:pPr>
        <w:shd w:val="clear" w:color="auto" w:fill="FFFFFF"/>
        <w:jc w:val="center"/>
        <w:textAlignment w:val="baseline"/>
        <w:rPr>
          <w:b/>
          <w:i/>
          <w:sz w:val="24"/>
          <w:szCs w:val="24"/>
        </w:rPr>
      </w:pPr>
      <w:r w:rsidRPr="0089148F">
        <w:rPr>
          <w:b/>
          <w:bCs/>
          <w:sz w:val="24"/>
          <w:szCs w:val="24"/>
        </w:rPr>
        <w:t>Perspectivas De Gestão De Risco:</w:t>
      </w:r>
      <w:r>
        <w:rPr>
          <w:b/>
          <w:bCs/>
          <w:sz w:val="24"/>
          <w:szCs w:val="24"/>
        </w:rPr>
        <w:t xml:space="preserve"> Disclosure De Informações Sob a</w:t>
      </w:r>
      <w:r w:rsidRPr="0089148F">
        <w:rPr>
          <w:b/>
          <w:bCs/>
          <w:sz w:val="24"/>
          <w:szCs w:val="24"/>
        </w:rPr>
        <w:t xml:space="preserve"> Lógica </w:t>
      </w:r>
      <w:r w:rsidRPr="0089148F">
        <w:rPr>
          <w:b/>
          <w:bCs/>
          <w:i/>
          <w:sz w:val="24"/>
          <w:szCs w:val="24"/>
        </w:rPr>
        <w:t>Fuzzy</w:t>
      </w:r>
    </w:p>
    <w:p w:rsidR="0036377D" w:rsidRDefault="0036377D" w:rsidP="0036377D">
      <w:pPr>
        <w:jc w:val="center"/>
        <w:rPr>
          <w:color w:val="999999"/>
        </w:rPr>
      </w:pPr>
    </w:p>
    <w:p w:rsidR="0036377D" w:rsidRDefault="0036377D" w:rsidP="0036377D">
      <w:pPr>
        <w:jc w:val="center"/>
        <w:rPr>
          <w:color w:val="999999"/>
        </w:rPr>
      </w:pPr>
    </w:p>
    <w:p w:rsidR="0036377D" w:rsidRDefault="0036377D" w:rsidP="00813EF7">
      <w:pPr>
        <w:jc w:val="right"/>
        <w:rPr>
          <w:color w:val="999999"/>
        </w:rPr>
      </w:pPr>
    </w:p>
    <w:p w:rsidR="00813EF7" w:rsidRPr="00813EF7" w:rsidRDefault="00813EF7" w:rsidP="00813EF7">
      <w:pPr>
        <w:jc w:val="right"/>
        <w:rPr>
          <w:b/>
          <w:sz w:val="24"/>
          <w:szCs w:val="24"/>
        </w:rPr>
      </w:pPr>
      <w:r w:rsidRPr="00813EF7">
        <w:rPr>
          <w:rStyle w:val="apple-converted-space"/>
          <w:b/>
          <w:sz w:val="24"/>
          <w:szCs w:val="24"/>
        </w:rPr>
        <w:t>Juçara Haveroth</w:t>
      </w:r>
      <w:r w:rsidRPr="00813EF7">
        <w:rPr>
          <w:b/>
          <w:sz w:val="24"/>
          <w:szCs w:val="24"/>
        </w:rPr>
        <w:t xml:space="preserve"> </w:t>
      </w:r>
    </w:p>
    <w:p w:rsidR="0036377D" w:rsidRDefault="00813EF7" w:rsidP="00813EF7">
      <w:pPr>
        <w:jc w:val="right"/>
        <w:rPr>
          <w:b/>
          <w:i/>
          <w:sz w:val="24"/>
          <w:szCs w:val="24"/>
        </w:rPr>
      </w:pPr>
      <w:r>
        <w:rPr>
          <w:b/>
          <w:sz w:val="24"/>
          <w:szCs w:val="24"/>
        </w:rPr>
        <w:t>Universidade Regional de Blumenau (FURB</w:t>
      </w:r>
      <w:r w:rsidR="0036377D">
        <w:rPr>
          <w:b/>
          <w:sz w:val="24"/>
          <w:szCs w:val="24"/>
        </w:rPr>
        <w:t>)</w:t>
      </w:r>
    </w:p>
    <w:p w:rsidR="0036377D" w:rsidRDefault="00813EF7" w:rsidP="00813EF7">
      <w:pPr>
        <w:jc w:val="right"/>
        <w:rPr>
          <w:b/>
          <w:sz w:val="24"/>
          <w:szCs w:val="24"/>
        </w:rPr>
      </w:pPr>
      <w:r>
        <w:rPr>
          <w:b/>
          <w:i/>
          <w:sz w:val="24"/>
          <w:szCs w:val="24"/>
        </w:rPr>
        <w:t>jucara_haveroth@hotmail.com</w:t>
      </w:r>
    </w:p>
    <w:p w:rsidR="00813EF7" w:rsidRPr="00813EF7" w:rsidRDefault="00813EF7" w:rsidP="00813EF7">
      <w:pPr>
        <w:jc w:val="right"/>
        <w:rPr>
          <w:rStyle w:val="apple-converted-space"/>
          <w:b/>
          <w:sz w:val="24"/>
          <w:szCs w:val="24"/>
        </w:rPr>
      </w:pPr>
    </w:p>
    <w:p w:rsidR="00813EF7" w:rsidRPr="00071F77" w:rsidRDefault="00813EF7" w:rsidP="00813EF7">
      <w:pPr>
        <w:jc w:val="right"/>
        <w:rPr>
          <w:b/>
          <w:sz w:val="24"/>
          <w:szCs w:val="24"/>
        </w:rPr>
      </w:pPr>
      <w:r w:rsidRPr="00071F77">
        <w:rPr>
          <w:b/>
          <w:sz w:val="24"/>
          <w:szCs w:val="24"/>
        </w:rPr>
        <w:t>Leonardo Bernardi Rohenkohl</w:t>
      </w:r>
    </w:p>
    <w:p w:rsidR="00813EF7" w:rsidRPr="00071F77" w:rsidRDefault="00813EF7" w:rsidP="00813EF7">
      <w:pPr>
        <w:jc w:val="right"/>
        <w:rPr>
          <w:b/>
          <w:sz w:val="24"/>
          <w:szCs w:val="24"/>
        </w:rPr>
      </w:pPr>
      <w:r w:rsidRPr="00071F77">
        <w:rPr>
          <w:b/>
          <w:sz w:val="24"/>
          <w:szCs w:val="24"/>
        </w:rPr>
        <w:t>Universidade Regional de Blumenau (FURB)</w:t>
      </w:r>
    </w:p>
    <w:p w:rsidR="0036377D" w:rsidRPr="00071F77" w:rsidRDefault="00AA582C" w:rsidP="00071F77">
      <w:pPr>
        <w:jc w:val="right"/>
        <w:rPr>
          <w:b/>
          <w:i/>
          <w:sz w:val="24"/>
          <w:szCs w:val="24"/>
        </w:rPr>
      </w:pPr>
      <w:hyperlink r:id="rId8" w:history="1">
        <w:r w:rsidR="00813EF7" w:rsidRPr="00071F77">
          <w:rPr>
            <w:b/>
            <w:i/>
            <w:sz w:val="24"/>
            <w:szCs w:val="24"/>
          </w:rPr>
          <w:t>leo_pigos@hotmail.com</w:t>
        </w:r>
      </w:hyperlink>
    </w:p>
    <w:p w:rsidR="00813EF7" w:rsidRPr="00071F77" w:rsidRDefault="00813EF7" w:rsidP="00071F77">
      <w:pPr>
        <w:jc w:val="right"/>
        <w:rPr>
          <w:b/>
          <w:sz w:val="24"/>
          <w:szCs w:val="24"/>
        </w:rPr>
      </w:pPr>
    </w:p>
    <w:p w:rsidR="00071F77" w:rsidRPr="00071F77" w:rsidRDefault="00071F77" w:rsidP="00813EF7">
      <w:pPr>
        <w:jc w:val="right"/>
        <w:rPr>
          <w:b/>
          <w:sz w:val="24"/>
          <w:szCs w:val="24"/>
        </w:rPr>
      </w:pPr>
      <w:r w:rsidRPr="00071F77">
        <w:rPr>
          <w:b/>
          <w:sz w:val="24"/>
          <w:szCs w:val="24"/>
        </w:rPr>
        <w:t>Marcia Zanievicz da Silva</w:t>
      </w:r>
    </w:p>
    <w:p w:rsidR="00813EF7" w:rsidRPr="00071F77" w:rsidRDefault="00813EF7" w:rsidP="00813EF7">
      <w:pPr>
        <w:jc w:val="right"/>
        <w:rPr>
          <w:b/>
          <w:sz w:val="24"/>
          <w:szCs w:val="24"/>
        </w:rPr>
      </w:pPr>
      <w:r>
        <w:rPr>
          <w:b/>
          <w:sz w:val="24"/>
          <w:szCs w:val="24"/>
        </w:rPr>
        <w:t>Universidade Regional de Blumenau (FURB)</w:t>
      </w:r>
    </w:p>
    <w:p w:rsidR="00813EF7" w:rsidRPr="00071F77" w:rsidRDefault="00AA582C" w:rsidP="00813EF7">
      <w:pPr>
        <w:jc w:val="right"/>
        <w:rPr>
          <w:b/>
          <w:i/>
          <w:sz w:val="24"/>
          <w:szCs w:val="24"/>
        </w:rPr>
      </w:pPr>
      <w:hyperlink r:id="rId9" w:history="1">
        <w:r w:rsidR="00813EF7" w:rsidRPr="00071F77">
          <w:rPr>
            <w:b/>
            <w:i/>
            <w:sz w:val="24"/>
            <w:szCs w:val="24"/>
          </w:rPr>
          <w:t>marciaza@gmail.com</w:t>
        </w:r>
      </w:hyperlink>
    </w:p>
    <w:p w:rsidR="00813EF7" w:rsidRPr="00071F77" w:rsidRDefault="00813EF7" w:rsidP="00813EF7">
      <w:pPr>
        <w:jc w:val="right"/>
        <w:rPr>
          <w:b/>
          <w:sz w:val="24"/>
          <w:szCs w:val="24"/>
        </w:rPr>
      </w:pPr>
    </w:p>
    <w:p w:rsidR="00813EF7" w:rsidRDefault="00813EF7" w:rsidP="00813EF7">
      <w:pPr>
        <w:jc w:val="right"/>
        <w:rPr>
          <w:b/>
          <w:sz w:val="24"/>
          <w:szCs w:val="24"/>
        </w:rPr>
      </w:pPr>
      <w:r>
        <w:rPr>
          <w:b/>
          <w:sz w:val="24"/>
          <w:szCs w:val="24"/>
        </w:rPr>
        <w:t>Moacir Manoel Rodrigues Junior</w:t>
      </w:r>
    </w:p>
    <w:p w:rsidR="00813EF7" w:rsidRPr="00071F77" w:rsidRDefault="00813EF7" w:rsidP="00813EF7">
      <w:pPr>
        <w:jc w:val="right"/>
        <w:rPr>
          <w:b/>
          <w:sz w:val="24"/>
          <w:szCs w:val="24"/>
        </w:rPr>
      </w:pPr>
      <w:r>
        <w:rPr>
          <w:b/>
          <w:sz w:val="24"/>
          <w:szCs w:val="24"/>
        </w:rPr>
        <w:t>Universidade Regional de Blumenau (FURB)</w:t>
      </w:r>
    </w:p>
    <w:p w:rsidR="0036377D" w:rsidRPr="00071F77" w:rsidRDefault="00813EF7" w:rsidP="00813EF7">
      <w:pPr>
        <w:jc w:val="right"/>
        <w:rPr>
          <w:b/>
          <w:i/>
          <w:sz w:val="24"/>
          <w:szCs w:val="24"/>
        </w:rPr>
      </w:pPr>
      <w:r w:rsidRPr="00071F77">
        <w:rPr>
          <w:b/>
          <w:sz w:val="24"/>
          <w:szCs w:val="24"/>
        </w:rPr>
        <w:t xml:space="preserve">  </w:t>
      </w:r>
      <w:r w:rsidRPr="00071F77">
        <w:rPr>
          <w:b/>
          <w:sz w:val="24"/>
          <w:szCs w:val="24"/>
        </w:rPr>
        <w:tab/>
      </w:r>
      <w:r w:rsidRPr="00071F77">
        <w:rPr>
          <w:b/>
          <w:sz w:val="24"/>
          <w:szCs w:val="24"/>
        </w:rPr>
        <w:tab/>
      </w:r>
      <w:r w:rsidRPr="00071F77">
        <w:rPr>
          <w:b/>
          <w:sz w:val="24"/>
          <w:szCs w:val="24"/>
        </w:rPr>
        <w:tab/>
      </w:r>
      <w:r w:rsidRPr="00071F77">
        <w:rPr>
          <w:b/>
          <w:sz w:val="24"/>
          <w:szCs w:val="24"/>
        </w:rPr>
        <w:tab/>
      </w:r>
      <w:r w:rsidRPr="00071F77">
        <w:rPr>
          <w:b/>
          <w:sz w:val="24"/>
          <w:szCs w:val="24"/>
        </w:rPr>
        <w:tab/>
      </w:r>
      <w:r w:rsidRPr="00071F77">
        <w:rPr>
          <w:b/>
          <w:sz w:val="24"/>
          <w:szCs w:val="24"/>
        </w:rPr>
        <w:tab/>
      </w:r>
      <w:r w:rsidRPr="00071F77">
        <w:rPr>
          <w:b/>
          <w:sz w:val="24"/>
          <w:szCs w:val="24"/>
        </w:rPr>
        <w:tab/>
      </w:r>
      <w:r w:rsidRPr="00071F77">
        <w:rPr>
          <w:b/>
          <w:sz w:val="24"/>
          <w:szCs w:val="24"/>
        </w:rPr>
        <w:tab/>
      </w:r>
      <w:r w:rsidRPr="00071F77">
        <w:rPr>
          <w:b/>
          <w:sz w:val="24"/>
          <w:szCs w:val="24"/>
        </w:rPr>
        <w:tab/>
      </w:r>
      <w:r w:rsidRPr="00071F77">
        <w:rPr>
          <w:b/>
          <w:i/>
          <w:sz w:val="24"/>
          <w:szCs w:val="24"/>
        </w:rPr>
        <w:t>moacir_ro@hotmail.com</w:t>
      </w:r>
    </w:p>
    <w:p w:rsidR="0036377D" w:rsidRDefault="0036377D" w:rsidP="0036377D">
      <w:pPr>
        <w:jc w:val="center"/>
        <w:rPr>
          <w:b/>
          <w:color w:val="999999"/>
        </w:rPr>
      </w:pPr>
    </w:p>
    <w:p w:rsidR="00071F77" w:rsidRDefault="0036377D" w:rsidP="0036377D">
      <w:pPr>
        <w:jc w:val="both"/>
        <w:rPr>
          <w:b/>
          <w:sz w:val="24"/>
          <w:szCs w:val="24"/>
        </w:rPr>
      </w:pPr>
      <w:r>
        <w:rPr>
          <w:b/>
          <w:sz w:val="24"/>
          <w:szCs w:val="24"/>
        </w:rPr>
        <w:t>Resumo</w:t>
      </w:r>
    </w:p>
    <w:p w:rsidR="00071F77" w:rsidRDefault="00071F77" w:rsidP="0036377D">
      <w:pPr>
        <w:jc w:val="both"/>
        <w:rPr>
          <w:b/>
          <w:sz w:val="24"/>
          <w:szCs w:val="24"/>
        </w:rPr>
      </w:pPr>
    </w:p>
    <w:p w:rsidR="000B148B" w:rsidRPr="000B148B" w:rsidRDefault="000B148B" w:rsidP="000B148B">
      <w:pPr>
        <w:jc w:val="both"/>
        <w:rPr>
          <w:sz w:val="24"/>
          <w:szCs w:val="24"/>
        </w:rPr>
      </w:pPr>
      <w:r w:rsidRPr="000B148B">
        <w:rPr>
          <w:sz w:val="24"/>
          <w:szCs w:val="24"/>
        </w:rPr>
        <w:t xml:space="preserve">Esse estudo teve como objetivo principal apresentar uma metodologia baseada na utilização da lógica </w:t>
      </w:r>
      <w:r w:rsidRPr="000B148B">
        <w:rPr>
          <w:i/>
          <w:sz w:val="24"/>
          <w:szCs w:val="24"/>
        </w:rPr>
        <w:t>Fuzzy</w:t>
      </w:r>
      <w:r w:rsidRPr="000B148B">
        <w:rPr>
          <w:sz w:val="24"/>
          <w:szCs w:val="24"/>
        </w:rPr>
        <w:t xml:space="preserve"> que modele e quantifique a incerteza e a subjetividade do Disclosure de informações</w:t>
      </w:r>
      <w:r w:rsidRPr="000B148B">
        <w:rPr>
          <w:color w:val="FF0000"/>
          <w:sz w:val="24"/>
          <w:szCs w:val="24"/>
        </w:rPr>
        <w:t xml:space="preserve"> </w:t>
      </w:r>
      <w:r w:rsidRPr="000B148B">
        <w:rPr>
          <w:sz w:val="24"/>
          <w:szCs w:val="24"/>
        </w:rPr>
        <w:t xml:space="preserve">de riscos divulgadas nas demonstrações contábeis. Decorrente do perfil de risco gerado pela metodologia, tem-se como objetivo secundário estabelecer, segundo o método </w:t>
      </w:r>
      <w:r w:rsidRPr="000B148B">
        <w:rPr>
          <w:bCs/>
          <w:i/>
          <w:sz w:val="24"/>
          <w:szCs w:val="24"/>
          <w:shd w:val="clear" w:color="auto" w:fill="FFFFFF"/>
        </w:rPr>
        <w:t>Technique for Order of Preference by Similarity to Ideal Solution</w:t>
      </w:r>
      <w:r w:rsidRPr="000B148B">
        <w:rPr>
          <w:sz w:val="24"/>
          <w:szCs w:val="24"/>
        </w:rPr>
        <w:t xml:space="preserve"> (TOPSIS),  um </w:t>
      </w:r>
      <w:r w:rsidRPr="000B148B">
        <w:rPr>
          <w:i/>
          <w:sz w:val="24"/>
          <w:szCs w:val="24"/>
        </w:rPr>
        <w:t>ranking</w:t>
      </w:r>
      <w:r w:rsidRPr="000B148B">
        <w:rPr>
          <w:sz w:val="24"/>
          <w:szCs w:val="24"/>
        </w:rPr>
        <w:t xml:space="preserve"> de divulgação de risco entre as empresas analisadas. Para tanto, realizou-se uma pesquisa descritiva e documental com uma amostra de 47 empresas brasileiras, com dados referentes ao ano de 2015. Por meio de notas explicativas e formulário de referência foram coletadas informações de risco, resultando em 16 categorias de riscos financeiros. Para realização da análise, utilizou-se a lógica </w:t>
      </w:r>
      <w:r w:rsidRPr="000B148B">
        <w:rPr>
          <w:i/>
          <w:sz w:val="24"/>
          <w:szCs w:val="24"/>
        </w:rPr>
        <w:t>Fuzzy</w:t>
      </w:r>
      <w:r w:rsidRPr="000B148B">
        <w:rPr>
          <w:sz w:val="24"/>
          <w:szCs w:val="24"/>
        </w:rPr>
        <w:t xml:space="preserve">, responsável por quantificar dados qualitativos e linguísticos por meio da escala de Chen e Hwang (1992), realizando assim uma classificação dos dados conforme a sua frequência e possibilidade de acontecimento. Nos resultados, os riscos mais recorrentemente relatados foram Riscos cambiais, de crédito, de liquidez, de mercado e de taxas de juros. Considerando os números </w:t>
      </w:r>
      <w:r w:rsidRPr="000B148B">
        <w:rPr>
          <w:i/>
          <w:sz w:val="24"/>
          <w:szCs w:val="24"/>
        </w:rPr>
        <w:t>Fuzzy,</w:t>
      </w:r>
      <w:r w:rsidRPr="000B148B">
        <w:rPr>
          <w:sz w:val="24"/>
          <w:szCs w:val="24"/>
        </w:rPr>
        <w:t xml:space="preserve"> os riscos que obtiveram as maiores pontuações foram risco cambial, de crédito, de juros e de liquidez. Posteriormente, foi estabelecido um </w:t>
      </w:r>
      <w:r w:rsidRPr="000B148B">
        <w:rPr>
          <w:i/>
          <w:sz w:val="24"/>
          <w:szCs w:val="24"/>
        </w:rPr>
        <w:t>ranking</w:t>
      </w:r>
      <w:r w:rsidRPr="000B148B">
        <w:rPr>
          <w:sz w:val="24"/>
          <w:szCs w:val="24"/>
        </w:rPr>
        <w:t xml:space="preserve"> por meio do método TOPSIS evidenciando assim a possibilidade de propensão ao risco das empresas analisadas. Esses resultados demonstram a possibilidade de utilização de dados qualitativos e linguísticos, que ao serem transformados em dados quantitativos pela lógica </w:t>
      </w:r>
      <w:r w:rsidRPr="000B148B">
        <w:rPr>
          <w:i/>
          <w:sz w:val="24"/>
          <w:szCs w:val="24"/>
        </w:rPr>
        <w:t>Fuzzy,</w:t>
      </w:r>
      <w:r w:rsidRPr="000B148B">
        <w:rPr>
          <w:sz w:val="24"/>
          <w:szCs w:val="24"/>
        </w:rPr>
        <w:t xml:space="preserve"> pod</w:t>
      </w:r>
      <w:r w:rsidR="0006733D">
        <w:rPr>
          <w:sz w:val="24"/>
          <w:szCs w:val="24"/>
        </w:rPr>
        <w:t>em contribuir com o</w:t>
      </w:r>
      <w:r w:rsidRPr="000B148B">
        <w:rPr>
          <w:sz w:val="24"/>
          <w:szCs w:val="24"/>
        </w:rPr>
        <w:t xml:space="preserve"> processo de tomada de decisão por parte dos interessados </w:t>
      </w:r>
      <w:r w:rsidR="0006733D">
        <w:rPr>
          <w:sz w:val="24"/>
          <w:szCs w:val="24"/>
        </w:rPr>
        <w:t>das demonstrações</w:t>
      </w:r>
      <w:r w:rsidRPr="000B148B">
        <w:rPr>
          <w:sz w:val="24"/>
          <w:szCs w:val="24"/>
        </w:rPr>
        <w:t>.</w:t>
      </w:r>
    </w:p>
    <w:p w:rsidR="0036377D" w:rsidRDefault="000B148B" w:rsidP="000B148B">
      <w:pPr>
        <w:jc w:val="both"/>
        <w:rPr>
          <w:b/>
          <w:sz w:val="24"/>
          <w:szCs w:val="24"/>
        </w:rPr>
      </w:pPr>
      <w:r>
        <w:rPr>
          <w:b/>
          <w:sz w:val="24"/>
          <w:szCs w:val="24"/>
        </w:rPr>
        <w:t xml:space="preserve"> </w:t>
      </w:r>
    </w:p>
    <w:p w:rsidR="00071F77" w:rsidRPr="00C1639D" w:rsidRDefault="0036377D" w:rsidP="00071F77">
      <w:pPr>
        <w:jc w:val="both"/>
        <w:rPr>
          <w:sz w:val="24"/>
          <w:szCs w:val="24"/>
        </w:rPr>
      </w:pPr>
      <w:r>
        <w:rPr>
          <w:b/>
          <w:sz w:val="24"/>
          <w:szCs w:val="24"/>
        </w:rPr>
        <w:t xml:space="preserve">Palavras-chave: </w:t>
      </w:r>
      <w:r w:rsidR="00071F77" w:rsidRPr="00C1639D">
        <w:rPr>
          <w:sz w:val="24"/>
          <w:szCs w:val="24"/>
        </w:rPr>
        <w:t>GESTÃO DE RISCO; DISCLOSURE; LÓGICA FUZZY.</w:t>
      </w:r>
    </w:p>
    <w:p w:rsidR="0036377D" w:rsidRDefault="0036377D" w:rsidP="0036377D">
      <w:pPr>
        <w:rPr>
          <w:sz w:val="24"/>
          <w:szCs w:val="24"/>
        </w:rPr>
      </w:pPr>
    </w:p>
    <w:p w:rsidR="0036377D" w:rsidRPr="0036377D" w:rsidRDefault="0036377D" w:rsidP="0036377D">
      <w:pPr>
        <w:rPr>
          <w:sz w:val="24"/>
          <w:szCs w:val="24"/>
        </w:rPr>
      </w:pPr>
      <w:r>
        <w:rPr>
          <w:b/>
          <w:sz w:val="24"/>
          <w:szCs w:val="24"/>
        </w:rPr>
        <w:t xml:space="preserve">Linha Temática: </w:t>
      </w:r>
      <w:r w:rsidR="00FE57A3">
        <w:rPr>
          <w:sz w:val="24"/>
          <w:szCs w:val="24"/>
        </w:rPr>
        <w:t>Governança corporativa</w:t>
      </w:r>
      <w:r w:rsidR="008F318A">
        <w:rPr>
          <w:sz w:val="24"/>
          <w:szCs w:val="24"/>
        </w:rPr>
        <w:t xml:space="preserve">, </w:t>
      </w:r>
      <w:r w:rsidR="008F318A" w:rsidRPr="008F318A">
        <w:rPr>
          <w:sz w:val="24"/>
          <w:szCs w:val="24"/>
        </w:rPr>
        <w:t>Empirista</w:t>
      </w:r>
      <w:r w:rsidR="00FE57A3">
        <w:rPr>
          <w:sz w:val="24"/>
          <w:szCs w:val="24"/>
        </w:rPr>
        <w:t>.</w:t>
      </w:r>
    </w:p>
    <w:p w:rsidR="00510B7E" w:rsidRDefault="00510B7E"/>
    <w:p w:rsidR="0036377D" w:rsidRDefault="0036377D"/>
    <w:p w:rsidR="00E6136F" w:rsidRDefault="00E6136F"/>
    <w:p w:rsidR="00E6136F" w:rsidRDefault="00E6136F"/>
    <w:p w:rsidR="000B148B" w:rsidRDefault="000B148B"/>
    <w:p w:rsidR="00E6136F" w:rsidRDefault="00E6136F"/>
    <w:p w:rsidR="000B148B" w:rsidRDefault="000B148B" w:rsidP="000B148B">
      <w:pPr>
        <w:jc w:val="both"/>
        <w:rPr>
          <w:b/>
        </w:rPr>
      </w:pPr>
      <w:r w:rsidRPr="005937CD">
        <w:rPr>
          <w:b/>
        </w:rPr>
        <w:t>1 INTRODUÇÃO</w:t>
      </w:r>
    </w:p>
    <w:p w:rsidR="003E3D24" w:rsidRPr="005937CD" w:rsidRDefault="003E3D24" w:rsidP="000B148B">
      <w:pPr>
        <w:jc w:val="both"/>
        <w:rPr>
          <w:b/>
        </w:rPr>
      </w:pPr>
    </w:p>
    <w:p w:rsidR="000B148B" w:rsidRPr="000B148B" w:rsidRDefault="000B148B" w:rsidP="000B148B">
      <w:pPr>
        <w:ind w:firstLine="709"/>
        <w:jc w:val="both"/>
        <w:rPr>
          <w:sz w:val="24"/>
          <w:szCs w:val="24"/>
        </w:rPr>
      </w:pPr>
      <w:r w:rsidRPr="000B148B">
        <w:rPr>
          <w:sz w:val="24"/>
          <w:szCs w:val="24"/>
        </w:rPr>
        <w:t xml:space="preserve">Considerando que a contabilidade tem como principal objetivo a evidenciação de informações para a tomada de decisão, a informação contábil relevante além de ser a responsável por tal finalidade, contribui para a redução da assimetria informacional existente entre os usuários internos e os externos (Healy &amp; Palepu, 2001). Neste aspecto, tem-se o </w:t>
      </w:r>
      <w:r w:rsidRPr="000B148B">
        <w:rPr>
          <w:i/>
          <w:sz w:val="24"/>
          <w:szCs w:val="24"/>
        </w:rPr>
        <w:t xml:space="preserve">disclosure </w:t>
      </w:r>
      <w:r w:rsidRPr="000B148B">
        <w:rPr>
          <w:sz w:val="24"/>
          <w:szCs w:val="24"/>
        </w:rPr>
        <w:t>corporativo, que é a divulgação de informações contábeis quantitativas ou qualitativas por canais formais ou informais que tem como principal objetivo o fornecimento de informações úteis aos usuários (Gibbins, Richardson e Waterhouse, 1990).</w:t>
      </w:r>
    </w:p>
    <w:p w:rsidR="000B148B" w:rsidRPr="000B148B" w:rsidRDefault="000B148B" w:rsidP="000B148B">
      <w:pPr>
        <w:ind w:firstLine="709"/>
        <w:jc w:val="both"/>
        <w:rPr>
          <w:sz w:val="24"/>
          <w:szCs w:val="24"/>
        </w:rPr>
      </w:pPr>
      <w:r w:rsidRPr="000B148B">
        <w:rPr>
          <w:sz w:val="24"/>
          <w:szCs w:val="24"/>
        </w:rPr>
        <w:t xml:space="preserve">Historicamente, grandes escândalos econômicos envolvendo empresas como a </w:t>
      </w:r>
      <w:r w:rsidRPr="000B148B">
        <w:rPr>
          <w:i/>
          <w:sz w:val="24"/>
          <w:szCs w:val="24"/>
        </w:rPr>
        <w:t>Enron, Adelphia Comunications, Kmart, Wordlcom e Global Crossing</w:t>
      </w:r>
      <w:r w:rsidRPr="000B148B">
        <w:rPr>
          <w:sz w:val="24"/>
          <w:szCs w:val="24"/>
        </w:rPr>
        <w:t xml:space="preserve"> fizeram com que a relação empresa-investidor se abalasse, necessitando de medidas que melhorassem a confiança dos investidores nas demonstrações contábeis. Neste cenário, a evidenciação de informações contábeis relevantes com a maior transparência possível tem ganhado destaque, o que, por sua vez, está diretamente relacionada ao nível de risco atribuído às empresas, visando a redução do nível de incerteza dos acionistas (Carvalho,Trapp e Chan, 2004).</w:t>
      </w:r>
    </w:p>
    <w:p w:rsidR="000B148B" w:rsidRPr="000B148B" w:rsidRDefault="000B148B" w:rsidP="000B148B">
      <w:pPr>
        <w:ind w:firstLine="709"/>
        <w:jc w:val="both"/>
        <w:rPr>
          <w:sz w:val="24"/>
          <w:szCs w:val="24"/>
        </w:rPr>
      </w:pPr>
      <w:r w:rsidRPr="000B148B">
        <w:rPr>
          <w:sz w:val="24"/>
          <w:szCs w:val="24"/>
        </w:rPr>
        <w:t xml:space="preserve">Neste aspecto, o </w:t>
      </w:r>
      <w:r w:rsidRPr="000B148B">
        <w:rPr>
          <w:i/>
          <w:sz w:val="24"/>
          <w:szCs w:val="24"/>
        </w:rPr>
        <w:t xml:space="preserve">Disclosure </w:t>
      </w:r>
      <w:r w:rsidRPr="000B148B">
        <w:rPr>
          <w:sz w:val="24"/>
          <w:szCs w:val="24"/>
        </w:rPr>
        <w:t xml:space="preserve">de Risco (DR) serve para fornecer informações sobre a exposição da empresa aos riscos e evidenciar quais são as práticas adotadas para a gestão dos riscos, permitindo assim que os tomadores de decisão avaliem os efeitos destes na organização, bem como na posição futura da empresa (Woods, Dowd e Humphrey, 2004; Dobler, 2005). Contudo, o estudo de Dia e Zéghal (2008) evidencia que o </w:t>
      </w:r>
      <w:r w:rsidRPr="000B148B">
        <w:rPr>
          <w:i/>
          <w:sz w:val="24"/>
          <w:szCs w:val="24"/>
        </w:rPr>
        <w:t xml:space="preserve">Disclosure </w:t>
      </w:r>
      <w:r w:rsidRPr="000B148B">
        <w:rPr>
          <w:sz w:val="24"/>
          <w:szCs w:val="24"/>
        </w:rPr>
        <w:t xml:space="preserve">de Riscos corporativos é geralmente composto por informações qualitativas, de natureza imprecisa, tornando o uso desse tipo de informação difícil para a tomada de decisão. Desta forma, os autores complementam que adaptar o </w:t>
      </w:r>
      <w:r w:rsidRPr="000B148B">
        <w:rPr>
          <w:i/>
          <w:sz w:val="24"/>
          <w:szCs w:val="24"/>
        </w:rPr>
        <w:t>disclosure</w:t>
      </w:r>
      <w:r w:rsidRPr="000B148B">
        <w:rPr>
          <w:sz w:val="24"/>
          <w:szCs w:val="24"/>
        </w:rPr>
        <w:t xml:space="preserve"> para uma versão mais simples e dinâmica, preferencialmente quantitativa, é importante para o entendimento das medidas e para a usabilidade do mesmo. Neste aspecto, a lógica </w:t>
      </w:r>
      <w:r w:rsidRPr="000B148B">
        <w:rPr>
          <w:i/>
          <w:sz w:val="24"/>
          <w:szCs w:val="24"/>
        </w:rPr>
        <w:t xml:space="preserve">Fuzzy, </w:t>
      </w:r>
      <w:r w:rsidRPr="000B148B">
        <w:rPr>
          <w:sz w:val="24"/>
          <w:szCs w:val="24"/>
        </w:rPr>
        <w:t xml:space="preserve">como um método de quantificação de informações ambíguas, pode ser capaz de contribuir para a interpretação da informação de risco no </w:t>
      </w:r>
      <w:r w:rsidRPr="000B148B">
        <w:rPr>
          <w:i/>
          <w:sz w:val="24"/>
          <w:szCs w:val="24"/>
        </w:rPr>
        <w:t xml:space="preserve">disclosure </w:t>
      </w:r>
      <w:r w:rsidRPr="000B148B">
        <w:rPr>
          <w:sz w:val="24"/>
          <w:szCs w:val="24"/>
        </w:rPr>
        <w:t xml:space="preserve">de informações, bem como servir de apoio a tomadores de decisão (Dia &amp; Zéghal, 2008). </w:t>
      </w:r>
    </w:p>
    <w:p w:rsidR="000B148B" w:rsidRPr="000B148B" w:rsidRDefault="000B148B" w:rsidP="000B148B">
      <w:pPr>
        <w:ind w:firstLine="709"/>
        <w:jc w:val="both"/>
        <w:rPr>
          <w:sz w:val="24"/>
          <w:szCs w:val="24"/>
        </w:rPr>
      </w:pPr>
      <w:r w:rsidRPr="000B148B">
        <w:rPr>
          <w:sz w:val="24"/>
          <w:szCs w:val="24"/>
        </w:rPr>
        <w:t xml:space="preserve">Infere-se que no Brasil, o acesso à informação ou falta dela deve ser mais investigada, pois falhas nos relatórios contábeis apresentados para usuários externos não foram noticiados, no entanto, grandes corporações brasileiras são frequentemente apontadas em escândalos corporativos. Deste modo, destaca-se a necessidade de análise com mais afinco de informações de riscos disponíveis das organizações, para que os investidores não sofram maiores perdas sobre capital investido. </w:t>
      </w:r>
    </w:p>
    <w:p w:rsidR="000B148B" w:rsidRPr="000B148B" w:rsidRDefault="000B148B" w:rsidP="000B148B">
      <w:pPr>
        <w:ind w:firstLine="709"/>
        <w:jc w:val="both"/>
        <w:rPr>
          <w:sz w:val="24"/>
          <w:szCs w:val="24"/>
        </w:rPr>
      </w:pPr>
      <w:r w:rsidRPr="000B148B">
        <w:rPr>
          <w:sz w:val="24"/>
          <w:szCs w:val="24"/>
        </w:rPr>
        <w:t xml:space="preserve">A partir desse contexto, tem-se a pergunta de pesquisa: Qual o comportamento do </w:t>
      </w:r>
      <w:r w:rsidRPr="000B148B">
        <w:rPr>
          <w:i/>
          <w:sz w:val="24"/>
          <w:szCs w:val="24"/>
        </w:rPr>
        <w:t>Disclosure de Risco</w:t>
      </w:r>
      <w:r w:rsidRPr="000B148B">
        <w:rPr>
          <w:sz w:val="24"/>
          <w:szCs w:val="24"/>
        </w:rPr>
        <w:t xml:space="preserve"> divulgadas nas demonstrações contábeis em empresas listadas no IBRx-50 da Bovespa, observadas sob a ótica de lógica </w:t>
      </w:r>
      <w:r w:rsidRPr="000B148B">
        <w:rPr>
          <w:i/>
          <w:sz w:val="24"/>
          <w:szCs w:val="24"/>
        </w:rPr>
        <w:t>Fuzzy</w:t>
      </w:r>
      <w:r w:rsidRPr="000B148B">
        <w:rPr>
          <w:sz w:val="24"/>
          <w:szCs w:val="24"/>
        </w:rPr>
        <w:t>?</w:t>
      </w:r>
    </w:p>
    <w:p w:rsidR="000B148B" w:rsidRPr="000B148B" w:rsidRDefault="000B148B" w:rsidP="000B148B">
      <w:pPr>
        <w:ind w:firstLine="709"/>
        <w:jc w:val="both"/>
        <w:rPr>
          <w:sz w:val="24"/>
          <w:szCs w:val="24"/>
        </w:rPr>
      </w:pPr>
      <w:r w:rsidRPr="000B148B">
        <w:rPr>
          <w:sz w:val="24"/>
          <w:szCs w:val="24"/>
        </w:rPr>
        <w:t xml:space="preserve">  Como objetivo primário, essa pesquisa visa apresentar uma metodologia baseada na utilização da lógica Fuzzy que modele e quantifique a incerteza e a subjetividade do </w:t>
      </w:r>
      <w:r w:rsidRPr="000B148B">
        <w:rPr>
          <w:i/>
          <w:sz w:val="24"/>
          <w:szCs w:val="24"/>
        </w:rPr>
        <w:t>Disclosure</w:t>
      </w:r>
      <w:r w:rsidRPr="000B148B">
        <w:rPr>
          <w:sz w:val="24"/>
          <w:szCs w:val="24"/>
        </w:rPr>
        <w:t xml:space="preserve"> de informações de riscos divulgadas nas demonstrações contábeis. Como objetivo secundário, estabelecer, segundo o método </w:t>
      </w:r>
      <w:r w:rsidRPr="000B148B">
        <w:rPr>
          <w:bCs/>
          <w:i/>
          <w:sz w:val="24"/>
          <w:szCs w:val="24"/>
          <w:shd w:val="clear" w:color="auto" w:fill="FFFFFF"/>
        </w:rPr>
        <w:t>Technique for Order of Preference by Similarity to Ideal Solution</w:t>
      </w:r>
      <w:r w:rsidRPr="000B148B">
        <w:rPr>
          <w:sz w:val="24"/>
          <w:szCs w:val="24"/>
        </w:rPr>
        <w:t xml:space="preserve"> (TOPSIS), um </w:t>
      </w:r>
      <w:r w:rsidRPr="000B148B">
        <w:rPr>
          <w:i/>
          <w:sz w:val="24"/>
          <w:szCs w:val="24"/>
        </w:rPr>
        <w:t>ranking</w:t>
      </w:r>
      <w:r w:rsidRPr="000B148B">
        <w:rPr>
          <w:sz w:val="24"/>
          <w:szCs w:val="24"/>
        </w:rPr>
        <w:t xml:space="preserve"> de divulgação de risco entre as empresas do IBRx-50 analisadas.</w:t>
      </w:r>
    </w:p>
    <w:p w:rsidR="000B148B" w:rsidRPr="000B148B" w:rsidRDefault="000B148B" w:rsidP="000B148B">
      <w:pPr>
        <w:ind w:firstLine="709"/>
        <w:jc w:val="both"/>
        <w:rPr>
          <w:rStyle w:val="apple-converted-space"/>
          <w:bCs/>
          <w:sz w:val="24"/>
          <w:szCs w:val="24"/>
        </w:rPr>
      </w:pPr>
      <w:r w:rsidRPr="000B148B">
        <w:rPr>
          <w:rStyle w:val="apple-converted-space"/>
          <w:bCs/>
          <w:sz w:val="24"/>
          <w:szCs w:val="24"/>
        </w:rPr>
        <w:t xml:space="preserve">Essa pesquisa se justifica pela incipiência de estudos no cenário brasileiro que visam realizar a conversão de DR em informações quantitativas importantes e de fácil uso em um processo de decisão, visto que Dia e Zéghal (2008) evidenciam a importância desses dados no gerenciamento empresarial. Desta maneira, a pesquisa com embasamento na metodologia proposta por Dia e Zéghal (2008), sendo efetuada com empresas brasileiras se faz necessário, tomando como exemplificação o caso da empresa Samarco, em 2014, que desencadeou uma necessidade maior das empresas de comunicarem riscos aos seus investidores, garantindo assim uma maior fidedignidade de informações. </w:t>
      </w:r>
    </w:p>
    <w:p w:rsidR="000B148B" w:rsidRPr="000B148B" w:rsidRDefault="000B148B" w:rsidP="000B148B">
      <w:pPr>
        <w:ind w:firstLine="709"/>
        <w:jc w:val="both"/>
        <w:rPr>
          <w:rStyle w:val="apple-converted-space"/>
          <w:bCs/>
          <w:sz w:val="24"/>
          <w:szCs w:val="24"/>
        </w:rPr>
      </w:pPr>
      <w:r w:rsidRPr="000B148B">
        <w:rPr>
          <w:rStyle w:val="apple-converted-space"/>
          <w:bCs/>
          <w:sz w:val="24"/>
          <w:szCs w:val="24"/>
        </w:rPr>
        <w:t xml:space="preserve">Assim, metodologias que indiquem como a gestão dos riscos se insere no processo decisório são necessárias, visto que a tomada decisão se torna difícil quando se tem base somente dados qualitativos. Com esse estudo, busca-se o fomento de pesquisas sobre o DR, bem como o da utilização da lógica </w:t>
      </w:r>
      <w:r w:rsidRPr="000B148B">
        <w:rPr>
          <w:rStyle w:val="apple-converted-space"/>
          <w:bCs/>
          <w:i/>
          <w:sz w:val="24"/>
          <w:szCs w:val="24"/>
        </w:rPr>
        <w:t xml:space="preserve">Fuzzy </w:t>
      </w:r>
      <w:r w:rsidRPr="000B148B">
        <w:rPr>
          <w:rStyle w:val="apple-converted-space"/>
          <w:bCs/>
          <w:sz w:val="24"/>
          <w:szCs w:val="24"/>
        </w:rPr>
        <w:t xml:space="preserve">em temas qualitativos contábeis, para que informações linguísticas possam ser transformadas em métricas quantitativas que contribuam para o processo de decisão. </w:t>
      </w:r>
    </w:p>
    <w:p w:rsidR="00E6136F" w:rsidRDefault="00E6136F"/>
    <w:p w:rsidR="00E6136F" w:rsidRDefault="00E6136F">
      <w:bookmarkStart w:id="0" w:name="_GoBack"/>
      <w:bookmarkEnd w:id="0"/>
    </w:p>
    <w:p w:rsidR="000B148B" w:rsidRDefault="000B148B" w:rsidP="000B148B">
      <w:pPr>
        <w:jc w:val="both"/>
        <w:rPr>
          <w:rStyle w:val="apple-converted-space"/>
          <w:b/>
        </w:rPr>
      </w:pPr>
      <w:r w:rsidRPr="005937CD">
        <w:rPr>
          <w:rStyle w:val="apple-converted-space"/>
          <w:b/>
        </w:rPr>
        <w:t xml:space="preserve">2 REFERENCIAL TEÓRICO </w:t>
      </w:r>
    </w:p>
    <w:p w:rsidR="008F318A" w:rsidRPr="005937CD" w:rsidRDefault="008F318A" w:rsidP="000B148B">
      <w:pPr>
        <w:jc w:val="both"/>
        <w:rPr>
          <w:rStyle w:val="apple-converted-space"/>
          <w:b/>
        </w:rPr>
      </w:pPr>
    </w:p>
    <w:p w:rsidR="000B148B" w:rsidRPr="000B148B" w:rsidRDefault="000B148B" w:rsidP="000B148B">
      <w:pPr>
        <w:ind w:firstLine="709"/>
        <w:jc w:val="both"/>
        <w:rPr>
          <w:rStyle w:val="apple-converted-space"/>
          <w:sz w:val="24"/>
          <w:szCs w:val="24"/>
        </w:rPr>
      </w:pPr>
      <w:r w:rsidRPr="000B148B">
        <w:rPr>
          <w:rStyle w:val="apple-converted-space"/>
          <w:sz w:val="24"/>
          <w:szCs w:val="24"/>
        </w:rPr>
        <w:t xml:space="preserve">O </w:t>
      </w:r>
      <w:r w:rsidRPr="000B148B">
        <w:rPr>
          <w:rStyle w:val="apple-converted-space"/>
          <w:i/>
          <w:sz w:val="24"/>
          <w:szCs w:val="24"/>
        </w:rPr>
        <w:t>disclosure</w:t>
      </w:r>
      <w:r w:rsidRPr="000B148B">
        <w:rPr>
          <w:rStyle w:val="apple-converted-space"/>
          <w:sz w:val="24"/>
          <w:szCs w:val="24"/>
        </w:rPr>
        <w:t>, ou a evidenciação de informações, pode ser caracterizado como uma grande disponibilidade de relevantes e confiáveis informações sobre o desempenho, situação financeira, oportunidades de investimento, governança, valor e risco das organizações de capital aberto (Trotman &amp; Bradley, 1981). Quanto à relevância do conteúdo destas evidenciações, Medeiros e Quinteiro (2005) sugerem que cada empresa deve entender das suas particularidades para divulgar as informações com a maior pertinência possível, tornando-as fatores que minimizem a distância informacional entre a organização e seus investidores.</w:t>
      </w:r>
    </w:p>
    <w:p w:rsidR="000B148B" w:rsidRPr="000B148B" w:rsidRDefault="000B148B" w:rsidP="000B148B">
      <w:pPr>
        <w:ind w:firstLine="709"/>
        <w:jc w:val="both"/>
        <w:rPr>
          <w:rStyle w:val="apple-converted-space"/>
          <w:sz w:val="24"/>
          <w:szCs w:val="24"/>
        </w:rPr>
      </w:pPr>
      <w:r w:rsidRPr="000B148B">
        <w:rPr>
          <w:rStyle w:val="apple-converted-space"/>
          <w:sz w:val="24"/>
          <w:szCs w:val="24"/>
        </w:rPr>
        <w:t xml:space="preserve">Tendo o mercado de capitais como plano de fundo, o </w:t>
      </w:r>
      <w:r w:rsidRPr="000B148B">
        <w:rPr>
          <w:rStyle w:val="apple-converted-space"/>
          <w:i/>
          <w:sz w:val="24"/>
          <w:szCs w:val="24"/>
        </w:rPr>
        <w:t xml:space="preserve">Disclosure </w:t>
      </w:r>
      <w:r w:rsidRPr="000B148B">
        <w:rPr>
          <w:rStyle w:val="apple-converted-space"/>
          <w:sz w:val="24"/>
          <w:szCs w:val="24"/>
        </w:rPr>
        <w:t xml:space="preserve">está inserido em uma realidade onde a quantidade de empresas e investidores são crescentes, tornando-o um importante subsídio de elo entre eles para a diminuição da assimetria informacional. Sobre essa perspectiva, Lang e </w:t>
      </w:r>
      <w:hyperlink r:id="rId10" w:history="1">
        <w:r w:rsidRPr="000B148B">
          <w:rPr>
            <w:rStyle w:val="Hyperlink"/>
            <w:color w:val="auto"/>
            <w:sz w:val="24"/>
            <w:szCs w:val="24"/>
            <w:u w:val="none"/>
            <w:shd w:val="clear" w:color="auto" w:fill="FFFFFF"/>
          </w:rPr>
          <w:t>Lundholm</w:t>
        </w:r>
      </w:hyperlink>
      <w:r w:rsidRPr="000B148B">
        <w:rPr>
          <w:sz w:val="24"/>
          <w:szCs w:val="24"/>
        </w:rPr>
        <w:t xml:space="preserve"> (1996)</w:t>
      </w:r>
      <w:r w:rsidRPr="000B148B">
        <w:rPr>
          <w:rStyle w:val="apple-converted-space"/>
          <w:sz w:val="24"/>
          <w:szCs w:val="24"/>
        </w:rPr>
        <w:t xml:space="preserve"> argumentam que a assimetria informacional surge quando a companhia possui uma grande quantidade de relevantes informações em termos de valor que ainda não foram divulgadas, mas que podem ser obtidas de uma forma privada, tendo em políticas de alto nível de evidenciação contábil como uma forma de mitigação desse fator. Diante disso, vários estudos evidenciaram o </w:t>
      </w:r>
      <w:r w:rsidRPr="000B148B">
        <w:rPr>
          <w:rStyle w:val="apple-converted-space"/>
          <w:i/>
          <w:sz w:val="24"/>
          <w:szCs w:val="24"/>
        </w:rPr>
        <w:t xml:space="preserve">Disclosure </w:t>
      </w:r>
      <w:r w:rsidRPr="000B148B">
        <w:rPr>
          <w:rStyle w:val="apple-converted-space"/>
          <w:sz w:val="24"/>
          <w:szCs w:val="24"/>
        </w:rPr>
        <w:t>como objetivo de pesquisa, como relatado a seguir.</w:t>
      </w:r>
    </w:p>
    <w:p w:rsidR="000B148B" w:rsidRPr="000B148B" w:rsidRDefault="000B148B" w:rsidP="000B148B">
      <w:pPr>
        <w:ind w:firstLine="709"/>
        <w:jc w:val="both"/>
        <w:rPr>
          <w:rStyle w:val="apple-converted-space"/>
          <w:sz w:val="24"/>
          <w:szCs w:val="24"/>
        </w:rPr>
      </w:pPr>
      <w:r w:rsidRPr="000B148B">
        <w:rPr>
          <w:rStyle w:val="apple-converted-space"/>
          <w:sz w:val="24"/>
          <w:szCs w:val="24"/>
        </w:rPr>
        <w:t>Quanto aos níveis de transparência e evidenciação de mercados de capitais em países emergentes, estudos como o de Patel, Balic e Bwakira (2002) avaliaram as diferenças entre 19 países, e concluíram que países asiáticos e da África do Sul possuem uma maior transparência na sua evidenciação comparativamente aos países latino-americanos, sendo que nos três anos analisados essa diferença aumentou. O estudo também concluiu que no Brasil, as empresas com maior evidenciação contábil não têm uma melhora na sua avaliação pelo mercado.</w:t>
      </w:r>
    </w:p>
    <w:p w:rsidR="000B148B" w:rsidRPr="000B148B" w:rsidRDefault="000B148B" w:rsidP="000B148B">
      <w:pPr>
        <w:ind w:firstLine="709"/>
        <w:jc w:val="both"/>
        <w:rPr>
          <w:rStyle w:val="apple-converted-space"/>
        </w:rPr>
      </w:pPr>
      <w:r w:rsidRPr="000B148B">
        <w:rPr>
          <w:rStyle w:val="apple-converted-space"/>
          <w:sz w:val="24"/>
          <w:szCs w:val="24"/>
        </w:rPr>
        <w:t xml:space="preserve">Quanto ao Disclosure voluntário de informações financeiras e sociais, o estudo de Murcia e Santos (2009) evidenciou que no Brasil as informações que são evidenciadas por um maior número de empresas são: exposição cambial, identificação dos riscos do negócio, discussão do setor, demonstração do fluxo de caixa e EBITDA (earnings before interest, taxes, depreciation and amortization). Quanto à setorização, os autores afirmam que três empresas do setor elétrico (Eletrobrás, Light e Coelce), duas empresas do setor de telecomunicações (Brasil Telecom e Amazônia Celular) e duas empresas do setor de siderurgia e metalurgia (CSN e Usiminas) compõem o ranking das empresas com melhores práticas de Disclosure. Ainda segundo os autores Murcia e Santos (2009), os setores de auto indústria e transporte possuem, em média, as melhores práticas de Disclosure. </w:t>
      </w:r>
    </w:p>
    <w:p w:rsidR="000B148B" w:rsidRPr="000B148B" w:rsidRDefault="000B148B" w:rsidP="000B148B">
      <w:pPr>
        <w:ind w:firstLine="709"/>
        <w:jc w:val="both"/>
        <w:rPr>
          <w:rStyle w:val="apple-converted-space"/>
          <w:sz w:val="24"/>
          <w:szCs w:val="24"/>
        </w:rPr>
      </w:pPr>
      <w:r w:rsidRPr="000B148B">
        <w:rPr>
          <w:rStyle w:val="apple-converted-space"/>
          <w:sz w:val="24"/>
          <w:szCs w:val="24"/>
        </w:rPr>
        <w:t>O estudo de Mapurunga, Ponte e Holanda (2014) teve como objetivo verificar a existência de associação entre o Disclosure acerca de instrumentos financeiros derivativos e características econômicas de sociedades brasileiras de capital aberto. No que tange aos resultados obtidos, verificaram que os atributos ‘Tamanho’ e ‘Lucro’ estão, positivamente, associados ao Disclosure de instrumentos financeiros derivativos, não se verificando associação significante entre os atributos ‘Endividamento’ e ‘Rentabilidade’, com a divulgação de informações sobre instrumentos financeiros derivativos.</w:t>
      </w:r>
    </w:p>
    <w:p w:rsidR="000B148B" w:rsidRPr="000B148B" w:rsidRDefault="000B148B" w:rsidP="000B148B">
      <w:pPr>
        <w:ind w:firstLine="709"/>
        <w:jc w:val="both"/>
        <w:rPr>
          <w:rStyle w:val="apple-converted-space"/>
          <w:sz w:val="24"/>
          <w:szCs w:val="24"/>
        </w:rPr>
      </w:pPr>
      <w:r w:rsidRPr="000B148B">
        <w:rPr>
          <w:rStyle w:val="apple-converted-space"/>
          <w:sz w:val="24"/>
          <w:szCs w:val="24"/>
        </w:rPr>
        <w:t>A partir dos estudos supra referenciados, é possível afirmar que o disclosure contábil tem um alto grau de importância no mercado de capitais, sob a premissa de servir como suporte para a diminuição da assimetria de informação entre os agentes, bem como contribuir com a comunicação de informações geradas pela contabilidade. Neste aspecto informacional, informações sobre os riscos previstos ou enfrentados pela empresa estarão presentes nos relatórios contábeis, já que o ato de assumir riscos é inerente aos processos de uma organização (Torres &amp; Galdi, 2013).</w:t>
      </w:r>
    </w:p>
    <w:p w:rsidR="000B148B" w:rsidRPr="000B148B" w:rsidRDefault="000B148B" w:rsidP="000B148B">
      <w:pPr>
        <w:ind w:firstLine="709"/>
        <w:jc w:val="both"/>
        <w:rPr>
          <w:rStyle w:val="apple-converted-space"/>
          <w:sz w:val="24"/>
          <w:szCs w:val="24"/>
        </w:rPr>
      </w:pPr>
      <w:r w:rsidRPr="000B148B">
        <w:rPr>
          <w:rStyle w:val="apple-converted-space"/>
          <w:sz w:val="24"/>
          <w:szCs w:val="24"/>
        </w:rPr>
        <w:t>Para se gerenciar os riscos organizacionais de uma forma integrada, segundo Berkowitz (2001), é necessário identificar quais são os riscos críticos, fazendo assim uma mensuração do impacto desses riscos nos objetivos financeiros, estratégicos e operacionais, desenvolvendo e integrando estratégias de gestão de risco para maximização o valor do empreendimento. Para Drew, Kelley e Kendrick (2006) o conceito de gestão de risco não pode ser feito de forma simples, pois deve ser levada em consideração que a gestão de risco é dividida em dimensões, como a apuração do risco, a área da decisão envolvida e a operação eficaz.</w:t>
      </w:r>
    </w:p>
    <w:p w:rsidR="000B148B" w:rsidRPr="000B148B" w:rsidRDefault="000B148B" w:rsidP="000B148B">
      <w:pPr>
        <w:ind w:firstLine="709"/>
        <w:jc w:val="both"/>
        <w:rPr>
          <w:rStyle w:val="apple-converted-space"/>
          <w:sz w:val="24"/>
          <w:szCs w:val="24"/>
        </w:rPr>
      </w:pPr>
      <w:r w:rsidRPr="000B148B">
        <w:rPr>
          <w:rStyle w:val="apple-converted-space"/>
          <w:sz w:val="24"/>
          <w:szCs w:val="24"/>
        </w:rPr>
        <w:t>Se todas as empresas listadas comunicassem todas as informações disponíveis sobre seus riscos e incertezas existentes, a capacidade dos acionistas e gestores de lidar efetivamente com a diversificação de risco na gestão de suas carteiras de investimentos e também no gerenciamento teriam mudanças positivas e significativas (Dickinson, 2001). Em um oposto, uma comunicação inadequada pode levar a uma falta de confiança dos investidores para com a empresa. No entanto, estudos como o de Beretta e Bozzolan (2004) demonstram que a regulamentação de relatórios de risco possui uma abordagem fragmentada, focada predominantemente no risco de mercado.</w:t>
      </w:r>
    </w:p>
    <w:p w:rsidR="000B148B" w:rsidRPr="000B148B" w:rsidRDefault="000B148B" w:rsidP="000B148B">
      <w:pPr>
        <w:ind w:firstLine="709"/>
        <w:jc w:val="both"/>
        <w:rPr>
          <w:rStyle w:val="apple-converted-space"/>
          <w:sz w:val="24"/>
          <w:szCs w:val="24"/>
        </w:rPr>
      </w:pPr>
      <w:r w:rsidRPr="000B148B">
        <w:rPr>
          <w:rStyle w:val="apple-converted-space"/>
          <w:sz w:val="24"/>
          <w:szCs w:val="24"/>
        </w:rPr>
        <w:t>Especificamente sobre pesquisas dedicadas a investigar o disclosure sobre práticas de gerenciamento de risco, tem-se o estudo de Carvalho et al. (2004) que teve como objetivo analisar o Disclosure do risco operacional de empresas do Brasil, e fazer um comparativo com empresas Europeias e Norte Americanas. Como resultados, embora a proporção das instituições que tiveram a iniciativa de evidenciar informação acerca dos riscos operacionais possa ser considerada similar entre os países, o grau de evidenciação das empresas brasileiras não satisfaz os parâmetros básicos recomendados pelo Comitê da Basiléia sobre Fiscalização Bancária, nem acompanham a antecipação da Europa à vigência do Novo Acordo.</w:t>
      </w:r>
    </w:p>
    <w:p w:rsidR="000B148B" w:rsidRPr="000B148B" w:rsidRDefault="000B148B" w:rsidP="000B148B">
      <w:pPr>
        <w:ind w:firstLine="709"/>
        <w:jc w:val="both"/>
        <w:rPr>
          <w:rStyle w:val="apple-converted-space"/>
          <w:sz w:val="24"/>
          <w:szCs w:val="24"/>
        </w:rPr>
      </w:pPr>
      <w:r w:rsidRPr="000B148B">
        <w:rPr>
          <w:rStyle w:val="apple-converted-space"/>
          <w:sz w:val="24"/>
          <w:szCs w:val="24"/>
        </w:rPr>
        <w:t xml:space="preserve">No estudo de Zadeh et al. (2016), que buscou discutir o desenvolvimento da política de divulgação de riscos na Malásia após a crise financeira de 1997 e também fornecer evidências sobre a importância da divulgação de risco, as conclusões mostram tendência positiva de desenvolvimento de práticas de divulgação de risco em empresas Malasianas durante o período de 2001-2011. Adicionalmente, os autores afirmam que é necessário revisitar os regulamentos e padrões atuais de disclosure para melhorar as práticas de divulgação de riscos e para seguir as normas contábeis internacionais. </w:t>
      </w:r>
    </w:p>
    <w:p w:rsidR="000B148B" w:rsidRPr="000B148B" w:rsidRDefault="000B148B" w:rsidP="000B148B">
      <w:pPr>
        <w:ind w:firstLine="709"/>
        <w:jc w:val="both"/>
        <w:rPr>
          <w:rStyle w:val="apple-converted-space"/>
          <w:sz w:val="24"/>
          <w:szCs w:val="24"/>
        </w:rPr>
      </w:pPr>
      <w:r w:rsidRPr="000B148B">
        <w:rPr>
          <w:rStyle w:val="apple-converted-space"/>
          <w:sz w:val="24"/>
          <w:szCs w:val="24"/>
        </w:rPr>
        <w:t>Como forma de validar o uso do DR de uma forma quantitativa e eficiente no processo de decisão, o estudo de Dia e Zéghal (2008) enfatiza que as medidas de risco mais comuns têm sido tradicionalmente baseadas em informações quantitativas financeiras e contábeis, sendo que novas informações sobre a gestão de riscos, divulgadas nos relatórios anuais das empresas são geralmente qualitativas ou linguísticas. Desta forma, segundo os autores, o uso de tais informações pelos tomadores de decisão torna-se complicado pela falta de praticidade. Para contornar o problema, os autores utilizam a lógica Fuzzy para analisar a informação de risco divulgada por 217 empresas listadas na Bolsa de Valores de Toronto. Os resultados fornecem evidências de que as medidas Fuzzy são proxies razoáveis para serem utilizadas informações qualitativas financeiro-contábeis tradicionais, quantificando aspectos linguísticos qualitativos. Dessa forma, os autores concluem que o DR empresarial é de suma importância para o mercado, já que sinalizam para os investidores quais são as ações e projeções da empresa para possíveis acontecimentos, e que a lógica Fuzzy é eficiente para a conversão desses fatores em números, para servir de apoio ao processo de decisão.</w:t>
      </w:r>
    </w:p>
    <w:p w:rsidR="000B148B" w:rsidRPr="005937CD" w:rsidRDefault="000B148B" w:rsidP="000B148B">
      <w:pPr>
        <w:ind w:firstLine="709"/>
        <w:jc w:val="both"/>
        <w:rPr>
          <w:rStyle w:val="apple-converted-space"/>
        </w:rPr>
      </w:pPr>
    </w:p>
    <w:p w:rsidR="000B148B" w:rsidRDefault="000B148B" w:rsidP="000B148B">
      <w:pPr>
        <w:jc w:val="both"/>
        <w:rPr>
          <w:b/>
        </w:rPr>
      </w:pPr>
      <w:r w:rsidRPr="005937CD">
        <w:rPr>
          <w:b/>
        </w:rPr>
        <w:t>3 PROCEDIMENTOS METODOLÓGICOS</w:t>
      </w:r>
    </w:p>
    <w:p w:rsidR="008F318A" w:rsidRPr="005937CD" w:rsidRDefault="008F318A" w:rsidP="000B148B">
      <w:pPr>
        <w:jc w:val="both"/>
        <w:rPr>
          <w:rStyle w:val="apple-converted-space"/>
          <w:b/>
        </w:rPr>
      </w:pPr>
    </w:p>
    <w:p w:rsidR="000B148B" w:rsidRPr="000B148B" w:rsidRDefault="000B148B" w:rsidP="008F318A">
      <w:pPr>
        <w:ind w:firstLine="709"/>
        <w:jc w:val="both"/>
        <w:rPr>
          <w:rStyle w:val="apple-converted-space"/>
          <w:sz w:val="24"/>
          <w:szCs w:val="24"/>
        </w:rPr>
      </w:pPr>
      <w:r w:rsidRPr="000B148B">
        <w:rPr>
          <w:rStyle w:val="apple-converted-space"/>
          <w:sz w:val="24"/>
          <w:szCs w:val="24"/>
        </w:rPr>
        <w:t>A metodologia de toda pesquisa é definida com base no problema formulado (Beuren &amp; Raupp, 2003). Com o intuito de atender o objetivo primário da pesquisa de apresentar uma metodologia baseada na utilização da lógica Fuzzy que modele e quantifique a incerteza e a subjetividade do disclosure de informações de riscos divulgadas nas demonstrações contábeis, realizou-se uma pesquisa descritiva, documental, baseados em procedimentos tanto quantitativos como qualitativos</w:t>
      </w:r>
    </w:p>
    <w:p w:rsidR="000B148B" w:rsidRPr="000B148B" w:rsidRDefault="000B148B" w:rsidP="008F318A">
      <w:pPr>
        <w:ind w:firstLine="709"/>
        <w:jc w:val="both"/>
        <w:rPr>
          <w:rStyle w:val="apple-converted-space"/>
          <w:sz w:val="24"/>
          <w:szCs w:val="24"/>
        </w:rPr>
      </w:pPr>
      <w:r w:rsidRPr="000B148B">
        <w:rPr>
          <w:rStyle w:val="apple-converted-space"/>
          <w:sz w:val="24"/>
          <w:szCs w:val="24"/>
        </w:rPr>
        <w:t>De acordo com Beuren (2006) a pesquisa descritiva visa selecionar, tratar e interpretar a informação bruta, buscando extrair dela algum sentido e introduzir-lhe algum valor, a pesquisa documental, é pautada em documentos que não receberam tratamentos analíticos e a abordagem quantitativa caracteriza-se pelo emprego de instrumentos estatísticos, tanto na financeiros e riscos.</w:t>
      </w:r>
    </w:p>
    <w:p w:rsidR="000B148B" w:rsidRPr="000B148B" w:rsidRDefault="000B148B" w:rsidP="008F318A">
      <w:pPr>
        <w:ind w:firstLine="709"/>
        <w:jc w:val="both"/>
        <w:rPr>
          <w:rStyle w:val="apple-converted-space"/>
          <w:sz w:val="24"/>
          <w:szCs w:val="24"/>
        </w:rPr>
      </w:pPr>
      <w:r w:rsidRPr="000B148B">
        <w:rPr>
          <w:rStyle w:val="apple-converted-space"/>
          <w:sz w:val="24"/>
          <w:szCs w:val="24"/>
        </w:rPr>
        <w:t xml:space="preserve">Pós-coleta dos dados, nos relatórios baixados foram buscados quais os riscos presentes nas empresas do IBRX-50, se risco cambial, de crédito, de liquidez, de mercado, risco de taxa de juros ou outros e quais seriam estes, chegando a um denominador de todas as empresas. Como procedimento de análise dos dados, adotou-se a análise de conteúdo, que de acordo com Bardin (2009), pode ser dividida por etapas como pré-análise, a exploração do material e, o tratamento dos resultados por meio de inferência e interpretação, além da lógica fuzzy e do método TOPSIS de análise multicritério. </w:t>
      </w:r>
    </w:p>
    <w:p w:rsidR="000B148B" w:rsidRPr="000B148B" w:rsidRDefault="000B148B" w:rsidP="008F318A">
      <w:pPr>
        <w:ind w:firstLine="709"/>
        <w:jc w:val="both"/>
        <w:rPr>
          <w:rStyle w:val="apple-converted-space"/>
          <w:sz w:val="24"/>
          <w:szCs w:val="24"/>
        </w:rPr>
      </w:pPr>
      <w:r w:rsidRPr="000B148B">
        <w:rPr>
          <w:rStyle w:val="apple-converted-space"/>
          <w:sz w:val="24"/>
          <w:szCs w:val="24"/>
        </w:rPr>
        <w:t>Quanto à lógica fuzzy, esta é utilizada na determinação de valor a cada número fuzzy e transformação para valores determinísticos. Estudos como o de Zadeh (1965), têm apresentado definições da lógica fuzzy, sendo que consiste na proposição de que um determinado elemento não será necessariamente verdadeiro ou falso, pertencente a um grupo ou outro. Em resumo, na lógica fuzzy a pertinência em um conjunto não é disjunta, sendo a proposta que exista um grau de pertinência (</w:t>
      </w:r>
      <m:oMath>
        <m:r>
          <m:rPr>
            <m:sty m:val="p"/>
          </m:rPr>
          <w:rPr>
            <w:rStyle w:val="apple-converted-space"/>
            <w:sz w:val="24"/>
            <w:szCs w:val="24"/>
          </w:rPr>
          <m:t>μ</m:t>
        </m:r>
      </m:oMath>
      <w:r w:rsidRPr="000B148B">
        <w:rPr>
          <w:rStyle w:val="apple-converted-space"/>
          <w:sz w:val="24"/>
          <w:szCs w:val="24"/>
        </w:rPr>
        <w:t xml:space="preserve">) de um elemento </w:t>
      </w:r>
      <m:oMath>
        <m:r>
          <m:rPr>
            <m:sty m:val="p"/>
          </m:rPr>
          <w:rPr>
            <w:rStyle w:val="apple-converted-space"/>
            <w:sz w:val="24"/>
            <w:szCs w:val="24"/>
          </w:rPr>
          <m:t>A</m:t>
        </m:r>
      </m:oMath>
      <w:r w:rsidRPr="000B148B">
        <w:rPr>
          <w:rStyle w:val="apple-converted-space"/>
          <w:sz w:val="24"/>
          <w:szCs w:val="24"/>
        </w:rPr>
        <w:t xml:space="preserve"> em um conjunto </w:t>
      </w:r>
      <m:oMath>
        <m:r>
          <m:rPr>
            <m:sty m:val="p"/>
          </m:rPr>
          <w:rPr>
            <w:rStyle w:val="apple-converted-space"/>
            <w:sz w:val="24"/>
            <w:szCs w:val="24"/>
          </w:rPr>
          <m:t>U</m:t>
        </m:r>
      </m:oMath>
      <w:r w:rsidRPr="000B148B">
        <w:rPr>
          <w:rStyle w:val="apple-converted-space"/>
          <w:sz w:val="24"/>
          <w:szCs w:val="24"/>
        </w:rPr>
        <w:t xml:space="preserve">. </w:t>
      </w:r>
    </w:p>
    <w:p w:rsidR="000B148B" w:rsidRPr="000B148B" w:rsidRDefault="000B148B" w:rsidP="008F318A">
      <w:pPr>
        <w:ind w:firstLine="709"/>
        <w:jc w:val="both"/>
        <w:rPr>
          <w:rStyle w:val="apple-converted-space"/>
          <w:sz w:val="24"/>
          <w:szCs w:val="24"/>
        </w:rPr>
      </w:pPr>
      <w:r w:rsidRPr="000B148B">
        <w:rPr>
          <w:rStyle w:val="apple-converted-space"/>
          <w:sz w:val="24"/>
          <w:szCs w:val="24"/>
        </w:rPr>
        <w:t>Seguindo a definição de Zadeh (1965), o conjunto fuzzy é estabelecido da seguinte forma:</w:t>
      </w:r>
    </w:p>
    <w:p w:rsidR="000B148B" w:rsidRPr="000B148B" w:rsidRDefault="000B148B" w:rsidP="008F318A">
      <w:pPr>
        <w:ind w:firstLine="709"/>
        <w:jc w:val="center"/>
        <w:rPr>
          <w:rStyle w:val="apple-converted-space"/>
          <w:sz w:val="24"/>
          <w:szCs w:val="24"/>
        </w:rPr>
      </w:pPr>
      <w:r w:rsidRPr="000B148B">
        <w:rPr>
          <w:rStyle w:val="apple-converted-space"/>
          <w:sz w:val="24"/>
          <w:szCs w:val="24"/>
        </w:rPr>
        <w:t>U = {x} e A = {(x), μ (x)}, ∀ x ∈ U                        (1)</w:t>
      </w:r>
    </w:p>
    <w:p w:rsidR="000B148B" w:rsidRPr="000B148B" w:rsidRDefault="000B148B" w:rsidP="008F318A">
      <w:pPr>
        <w:ind w:firstLine="709"/>
        <w:jc w:val="center"/>
        <w:rPr>
          <w:rStyle w:val="apple-converted-space"/>
          <w:sz w:val="24"/>
          <w:szCs w:val="24"/>
        </w:rPr>
      </w:pPr>
    </w:p>
    <w:p w:rsidR="000B148B" w:rsidRPr="000B148B" w:rsidRDefault="000B148B" w:rsidP="008F318A">
      <w:pPr>
        <w:ind w:firstLine="709"/>
        <w:jc w:val="both"/>
        <w:rPr>
          <w:rStyle w:val="apple-converted-space"/>
          <w:sz w:val="24"/>
          <w:szCs w:val="24"/>
        </w:rPr>
      </w:pPr>
      <w:r w:rsidRPr="000B148B">
        <w:rPr>
          <w:rStyle w:val="apple-converted-space"/>
          <w:sz w:val="24"/>
          <w:szCs w:val="24"/>
        </w:rPr>
        <w:t>Em que: A = subconjunto; X= Um Objeto;  μ_A (X) é o grau de pertinência de X em A.</w:t>
      </w:r>
    </w:p>
    <w:p w:rsidR="000B148B" w:rsidRPr="000B148B" w:rsidRDefault="000B148B" w:rsidP="008F318A">
      <w:pPr>
        <w:ind w:firstLine="709"/>
        <w:jc w:val="both"/>
        <w:rPr>
          <w:rStyle w:val="apple-converted-space"/>
          <w:sz w:val="24"/>
          <w:szCs w:val="24"/>
        </w:rPr>
      </w:pPr>
      <w:r w:rsidRPr="000B148B">
        <w:rPr>
          <w:rStyle w:val="apple-converted-space"/>
          <w:sz w:val="24"/>
          <w:szCs w:val="24"/>
        </w:rPr>
        <w:t xml:space="preserve">Desta forma, Zadeh (1965), </w:t>
      </w:r>
      <m:oMath>
        <m:r>
          <m:rPr>
            <m:sty m:val="p"/>
          </m:rPr>
          <w:rPr>
            <w:rStyle w:val="apple-converted-space"/>
            <w:sz w:val="24"/>
            <w:szCs w:val="24"/>
          </w:rPr>
          <m:t>(</m:t>
        </m:r>
      </m:oMath>
      <w:r w:rsidRPr="000B148B">
        <w:rPr>
          <w:rStyle w:val="apple-converted-space"/>
          <w:sz w:val="24"/>
          <w:szCs w:val="24"/>
        </w:rPr>
        <w:t xml:space="preserve">x) é o grau de associação de x em A tomando valores no intervalo [0, 1]. Se m (x) = 0, x não é um elemento do conjunto A, enquanto que se m (x) = 1, x é inteiramente um elemento de A. Sendo assim 1 é o grau de pertinência máximo. O que ocorre é que não existe um valor preciso para </w:t>
      </w:r>
      <m:oMath>
        <m:r>
          <m:rPr>
            <m:sty m:val="p"/>
          </m:rPr>
          <w:rPr>
            <w:rStyle w:val="apple-converted-space"/>
            <w:sz w:val="24"/>
            <w:szCs w:val="24"/>
          </w:rPr>
          <m:t>μ</m:t>
        </m:r>
      </m:oMath>
      <w:r w:rsidRPr="000B148B">
        <w:rPr>
          <w:rStyle w:val="apple-converted-space"/>
          <w:sz w:val="24"/>
          <w:szCs w:val="24"/>
        </w:rPr>
        <w:t>, de modo que este pode ser atribuído subjetivamente por pessoas.</w:t>
      </w:r>
    </w:p>
    <w:p w:rsidR="000B148B" w:rsidRPr="000B148B" w:rsidRDefault="000B148B" w:rsidP="008F318A">
      <w:pPr>
        <w:shd w:val="clear" w:color="auto" w:fill="FFFFFF"/>
        <w:ind w:firstLine="709"/>
        <w:jc w:val="both"/>
        <w:textAlignment w:val="baseline"/>
        <w:rPr>
          <w:rStyle w:val="apple-converted-space"/>
          <w:sz w:val="24"/>
          <w:szCs w:val="24"/>
        </w:rPr>
      </w:pPr>
      <w:r w:rsidRPr="000B148B">
        <w:rPr>
          <w:rStyle w:val="apple-converted-space"/>
          <w:sz w:val="24"/>
          <w:szCs w:val="24"/>
        </w:rPr>
        <w:t xml:space="preserve">A análise fuzzy tal qual desenhada para a realização deste artigo foi desenvolvida com base no artigo de Dia e Zéghal (2008), sendo que neste caso os autores se preocuparam em apresentar uma definição do que é a lógica Fuzzy, metodologia fuzzy, ou mesmo metodologia nebulosa, como também é conhecida esta técnica. Assim, segundo os autores lógica fuzzy é </w:t>
      </w:r>
    </w:p>
    <w:p w:rsidR="000B148B" w:rsidRPr="000B148B" w:rsidRDefault="000B148B" w:rsidP="008F318A">
      <w:pPr>
        <w:shd w:val="clear" w:color="auto" w:fill="FFFFFF"/>
        <w:ind w:firstLine="709"/>
        <w:jc w:val="both"/>
        <w:textAlignment w:val="baseline"/>
        <w:rPr>
          <w:rStyle w:val="apple-converted-space"/>
          <w:sz w:val="24"/>
          <w:szCs w:val="24"/>
        </w:rPr>
      </w:pPr>
      <w:r w:rsidRPr="000B148B">
        <w:rPr>
          <w:rStyle w:val="apple-converted-space"/>
          <w:sz w:val="24"/>
          <w:szCs w:val="24"/>
        </w:rPr>
        <w:t>Igualmente ao estudo de Dia e Zéghal (2008) a intenção deste artigo foi fazer uma análise por meio dos conceitos de risco encontrados nas demonstrações contábeis (nota explicativa e relatório de referência) e transformar em números fuzzy por meio da escala desenvolvida por Chen e Hwang (1992), realizando os scores de frequência com que os descritos linguísticos são utilizados, permitindo determinar a probabilidade de ocorrência dos riscos definidos como possível, certo, provável, improvável e raro. Os escores foram classificados pelos autores por meio da análise de conteúdo detalhada.</w:t>
      </w:r>
    </w:p>
    <w:p w:rsidR="000B148B" w:rsidRPr="000B148B" w:rsidRDefault="000B148B" w:rsidP="008F318A">
      <w:pPr>
        <w:shd w:val="clear" w:color="auto" w:fill="FFFFFF"/>
        <w:ind w:firstLine="709"/>
        <w:jc w:val="both"/>
        <w:textAlignment w:val="baseline"/>
        <w:rPr>
          <w:rStyle w:val="apple-converted-space"/>
          <w:sz w:val="24"/>
          <w:szCs w:val="24"/>
        </w:rPr>
      </w:pPr>
      <w:r w:rsidRPr="000B148B">
        <w:rPr>
          <w:rStyle w:val="apple-converted-space"/>
          <w:sz w:val="24"/>
          <w:szCs w:val="24"/>
        </w:rPr>
        <w:t>As classes usadas para descrever as probabilidades representadas pelos scores de riscos também foram inspiradas no artigo base que utilizou o conceito de  risco, desenvolvido pelo AICPA em 1999. A forma de transformação considerou a construção de números fuzzy com base na distribuição triangular dos graus de pertinência, apresentados na tabela 1.</w:t>
      </w:r>
    </w:p>
    <w:p w:rsidR="000B148B" w:rsidRPr="000B148B" w:rsidRDefault="000B148B" w:rsidP="000B148B">
      <w:pPr>
        <w:shd w:val="clear" w:color="auto" w:fill="FFFFFF"/>
        <w:ind w:firstLine="360"/>
        <w:jc w:val="both"/>
        <w:textAlignment w:val="baseline"/>
        <w:rPr>
          <w:rStyle w:val="apple-converted-space"/>
          <w:sz w:val="24"/>
          <w:szCs w:val="24"/>
        </w:rPr>
      </w:pPr>
    </w:p>
    <w:p w:rsidR="000B148B" w:rsidRPr="00712E84" w:rsidRDefault="000B148B" w:rsidP="000B148B">
      <w:pPr>
        <w:shd w:val="clear" w:color="auto" w:fill="FFFFFF"/>
        <w:jc w:val="both"/>
        <w:textAlignment w:val="baseline"/>
        <w:rPr>
          <w:rStyle w:val="apple-converted-space"/>
          <w:b/>
          <w:sz w:val="24"/>
          <w:szCs w:val="24"/>
        </w:rPr>
      </w:pPr>
      <w:r w:rsidRPr="00712E84">
        <w:rPr>
          <w:rStyle w:val="apple-converted-space"/>
          <w:b/>
          <w:sz w:val="24"/>
          <w:szCs w:val="24"/>
        </w:rPr>
        <w:t>Tabela 1 - Transformação de números fuzzy em valores determinísticos por Chen e Hwang (1992)</w:t>
      </w:r>
    </w:p>
    <w:tbl>
      <w:tblPr>
        <w:tblW w:w="5056" w:type="pct"/>
        <w:tblCellMar>
          <w:left w:w="70" w:type="dxa"/>
          <w:right w:w="70" w:type="dxa"/>
        </w:tblCellMar>
        <w:tblLook w:val="04A0"/>
      </w:tblPr>
      <w:tblGrid>
        <w:gridCol w:w="1630"/>
        <w:gridCol w:w="652"/>
        <w:gridCol w:w="95"/>
        <w:gridCol w:w="631"/>
        <w:gridCol w:w="117"/>
        <w:gridCol w:w="657"/>
        <w:gridCol w:w="95"/>
        <w:gridCol w:w="655"/>
        <w:gridCol w:w="95"/>
        <w:gridCol w:w="640"/>
        <w:gridCol w:w="112"/>
        <w:gridCol w:w="657"/>
        <w:gridCol w:w="89"/>
        <w:gridCol w:w="750"/>
        <w:gridCol w:w="43"/>
        <w:gridCol w:w="707"/>
        <w:gridCol w:w="32"/>
        <w:gridCol w:w="1532"/>
        <w:gridCol w:w="24"/>
        <w:gridCol w:w="95"/>
      </w:tblGrid>
      <w:tr w:rsidR="000B148B" w:rsidRPr="00712E84" w:rsidTr="00510B7E">
        <w:trPr>
          <w:gridAfter w:val="1"/>
          <w:wAfter w:w="50" w:type="pct"/>
          <w:trHeight w:val="80"/>
        </w:trPr>
        <w:tc>
          <w:tcPr>
            <w:tcW w:w="875" w:type="pct"/>
            <w:tcBorders>
              <w:top w:val="nil"/>
              <w:bottom w:val="nil"/>
              <w:right w:val="nil"/>
            </w:tcBorders>
            <w:shd w:val="clear" w:color="auto" w:fill="auto"/>
            <w:noWrap/>
            <w:vAlign w:val="bottom"/>
            <w:hideMark/>
          </w:tcPr>
          <w:p w:rsidR="000B148B" w:rsidRPr="00712E84" w:rsidRDefault="000B148B" w:rsidP="00510B7E">
            <w:pPr>
              <w:rPr>
                <w:rStyle w:val="apple-converted-space"/>
              </w:rPr>
            </w:pPr>
            <w:r w:rsidRPr="00712E84">
              <w:rPr>
                <w:rStyle w:val="apple-converted-space"/>
              </w:rPr>
              <w:t xml:space="preserve">                       </w:t>
            </w:r>
          </w:p>
        </w:tc>
        <w:tc>
          <w:tcPr>
            <w:tcW w:w="350" w:type="pct"/>
            <w:tcBorders>
              <w:top w:val="nil"/>
              <w:left w:val="nil"/>
              <w:bottom w:val="nil"/>
              <w:right w:val="nil"/>
            </w:tcBorders>
            <w:shd w:val="clear" w:color="auto" w:fill="auto"/>
            <w:noWrap/>
            <w:vAlign w:val="bottom"/>
            <w:hideMark/>
          </w:tcPr>
          <w:p w:rsidR="000B148B" w:rsidRPr="00712E84" w:rsidRDefault="000B148B" w:rsidP="00510B7E">
            <w:pPr>
              <w:rPr>
                <w:rStyle w:val="apple-converted-space"/>
              </w:rPr>
            </w:pPr>
          </w:p>
        </w:tc>
        <w:tc>
          <w:tcPr>
            <w:tcW w:w="390" w:type="pct"/>
            <w:gridSpan w:val="2"/>
            <w:tcBorders>
              <w:top w:val="nil"/>
              <w:left w:val="nil"/>
              <w:bottom w:val="nil"/>
              <w:right w:val="nil"/>
            </w:tcBorders>
            <w:shd w:val="clear" w:color="auto" w:fill="auto"/>
            <w:noWrap/>
            <w:vAlign w:val="bottom"/>
            <w:hideMark/>
          </w:tcPr>
          <w:p w:rsidR="000B148B" w:rsidRPr="00712E84" w:rsidRDefault="000B148B" w:rsidP="00510B7E">
            <w:pPr>
              <w:rPr>
                <w:rStyle w:val="apple-converted-space"/>
              </w:rPr>
            </w:pPr>
          </w:p>
        </w:tc>
        <w:tc>
          <w:tcPr>
            <w:tcW w:w="416" w:type="pct"/>
            <w:gridSpan w:val="2"/>
            <w:tcBorders>
              <w:top w:val="nil"/>
              <w:left w:val="nil"/>
              <w:bottom w:val="nil"/>
              <w:right w:val="nil"/>
            </w:tcBorders>
            <w:shd w:val="clear" w:color="auto" w:fill="auto"/>
            <w:noWrap/>
            <w:vAlign w:val="bottom"/>
            <w:hideMark/>
          </w:tcPr>
          <w:p w:rsidR="000B148B" w:rsidRPr="00712E84" w:rsidRDefault="000B148B" w:rsidP="00510B7E">
            <w:pPr>
              <w:rPr>
                <w:rStyle w:val="apple-converted-space"/>
              </w:rPr>
            </w:pPr>
          </w:p>
        </w:tc>
        <w:tc>
          <w:tcPr>
            <w:tcW w:w="403" w:type="pct"/>
            <w:gridSpan w:val="2"/>
            <w:tcBorders>
              <w:top w:val="nil"/>
              <w:left w:val="nil"/>
              <w:bottom w:val="nil"/>
              <w:right w:val="nil"/>
            </w:tcBorders>
            <w:shd w:val="clear" w:color="auto" w:fill="auto"/>
            <w:noWrap/>
            <w:vAlign w:val="bottom"/>
            <w:hideMark/>
          </w:tcPr>
          <w:p w:rsidR="000B148B" w:rsidRPr="00712E84" w:rsidRDefault="000B148B" w:rsidP="00510B7E">
            <w:pPr>
              <w:rPr>
                <w:rStyle w:val="apple-converted-space"/>
              </w:rPr>
            </w:pPr>
          </w:p>
        </w:tc>
        <w:tc>
          <w:tcPr>
            <w:tcW w:w="395" w:type="pct"/>
            <w:gridSpan w:val="2"/>
            <w:tcBorders>
              <w:top w:val="nil"/>
              <w:left w:val="nil"/>
              <w:bottom w:val="nil"/>
              <w:right w:val="nil"/>
            </w:tcBorders>
            <w:shd w:val="clear" w:color="auto" w:fill="auto"/>
            <w:noWrap/>
            <w:vAlign w:val="bottom"/>
            <w:hideMark/>
          </w:tcPr>
          <w:p w:rsidR="000B148B" w:rsidRPr="00712E84" w:rsidRDefault="000B148B" w:rsidP="00510B7E">
            <w:pPr>
              <w:rPr>
                <w:rStyle w:val="apple-converted-space"/>
              </w:rPr>
            </w:pPr>
          </w:p>
        </w:tc>
        <w:tc>
          <w:tcPr>
            <w:tcW w:w="413" w:type="pct"/>
            <w:gridSpan w:val="2"/>
            <w:tcBorders>
              <w:top w:val="nil"/>
              <w:left w:val="nil"/>
              <w:bottom w:val="nil"/>
              <w:right w:val="nil"/>
            </w:tcBorders>
            <w:shd w:val="clear" w:color="auto" w:fill="auto"/>
            <w:noWrap/>
            <w:vAlign w:val="bottom"/>
            <w:hideMark/>
          </w:tcPr>
          <w:p w:rsidR="000B148B" w:rsidRPr="00712E84" w:rsidRDefault="000B148B" w:rsidP="00510B7E">
            <w:pPr>
              <w:rPr>
                <w:rStyle w:val="apple-converted-space"/>
              </w:rPr>
            </w:pPr>
          </w:p>
        </w:tc>
        <w:tc>
          <w:tcPr>
            <w:tcW w:w="474" w:type="pct"/>
            <w:gridSpan w:val="3"/>
            <w:tcBorders>
              <w:top w:val="nil"/>
              <w:left w:val="nil"/>
              <w:bottom w:val="nil"/>
              <w:right w:val="nil"/>
            </w:tcBorders>
            <w:shd w:val="clear" w:color="auto" w:fill="auto"/>
            <w:noWrap/>
            <w:vAlign w:val="bottom"/>
            <w:hideMark/>
          </w:tcPr>
          <w:p w:rsidR="000B148B" w:rsidRPr="00712E84" w:rsidRDefault="000B148B" w:rsidP="00510B7E">
            <w:pPr>
              <w:rPr>
                <w:rStyle w:val="apple-converted-space"/>
              </w:rPr>
            </w:pPr>
          </w:p>
        </w:tc>
        <w:tc>
          <w:tcPr>
            <w:tcW w:w="397" w:type="pct"/>
            <w:gridSpan w:val="2"/>
            <w:tcBorders>
              <w:top w:val="nil"/>
              <w:left w:val="nil"/>
              <w:bottom w:val="nil"/>
              <w:right w:val="nil"/>
            </w:tcBorders>
            <w:shd w:val="clear" w:color="auto" w:fill="auto"/>
            <w:noWrap/>
            <w:vAlign w:val="bottom"/>
            <w:hideMark/>
          </w:tcPr>
          <w:p w:rsidR="000B148B" w:rsidRPr="00712E84" w:rsidRDefault="000B148B" w:rsidP="00510B7E">
            <w:pPr>
              <w:rPr>
                <w:rStyle w:val="apple-converted-space"/>
              </w:rPr>
            </w:pPr>
          </w:p>
        </w:tc>
        <w:tc>
          <w:tcPr>
            <w:tcW w:w="836" w:type="pct"/>
            <w:gridSpan w:val="2"/>
            <w:tcBorders>
              <w:top w:val="nil"/>
              <w:left w:val="nil"/>
              <w:bottom w:val="nil"/>
            </w:tcBorders>
            <w:shd w:val="clear" w:color="auto" w:fill="auto"/>
            <w:noWrap/>
            <w:vAlign w:val="bottom"/>
            <w:hideMark/>
          </w:tcPr>
          <w:p w:rsidR="000B148B" w:rsidRPr="00712E84" w:rsidRDefault="000B148B" w:rsidP="00510B7E">
            <w:pPr>
              <w:rPr>
                <w:rStyle w:val="apple-converted-space"/>
              </w:rPr>
            </w:pPr>
          </w:p>
        </w:tc>
      </w:tr>
      <w:tr w:rsidR="000B148B" w:rsidRPr="00712E84" w:rsidTr="00510B7E">
        <w:trPr>
          <w:trHeight w:val="223"/>
        </w:trPr>
        <w:tc>
          <w:tcPr>
            <w:tcW w:w="2080" w:type="pct"/>
            <w:gridSpan w:val="7"/>
            <w:tcBorders>
              <w:top w:val="single" w:sz="4" w:space="0" w:color="auto"/>
              <w:bottom w:val="single" w:sz="4" w:space="0" w:color="auto"/>
              <w:right w:val="single" w:sz="4" w:space="0" w:color="auto"/>
            </w:tcBorders>
            <w:shd w:val="clear" w:color="auto" w:fill="auto"/>
            <w:noWrap/>
            <w:hideMark/>
          </w:tcPr>
          <w:p w:rsidR="000B148B" w:rsidRPr="00712E84" w:rsidRDefault="000B148B" w:rsidP="00510B7E">
            <w:pPr>
              <w:jc w:val="center"/>
              <w:rPr>
                <w:rStyle w:val="apple-converted-space"/>
              </w:rPr>
            </w:pPr>
            <w:r w:rsidRPr="00712E84">
              <w:rPr>
                <w:rStyle w:val="apple-converted-space"/>
              </w:rPr>
              <w:t>Valores fuzzy de descritivos</w:t>
            </w:r>
          </w:p>
        </w:tc>
        <w:tc>
          <w:tcPr>
            <w:tcW w:w="2920" w:type="pct"/>
            <w:gridSpan w:val="13"/>
            <w:tcBorders>
              <w:top w:val="single" w:sz="4" w:space="0" w:color="auto"/>
              <w:left w:val="single" w:sz="4" w:space="0" w:color="auto"/>
              <w:bottom w:val="single" w:sz="4" w:space="0" w:color="auto"/>
            </w:tcBorders>
            <w:shd w:val="clear" w:color="auto" w:fill="auto"/>
            <w:hideMark/>
          </w:tcPr>
          <w:p w:rsidR="000B148B" w:rsidRPr="00712E84" w:rsidRDefault="000B148B" w:rsidP="00510B7E">
            <w:pPr>
              <w:jc w:val="center"/>
              <w:rPr>
                <w:rStyle w:val="apple-converted-space"/>
              </w:rPr>
            </w:pPr>
            <w:r w:rsidRPr="00712E84">
              <w:rPr>
                <w:rStyle w:val="apple-converted-space"/>
              </w:rPr>
              <w:t>Processo de transformação para valores determinísticos</w:t>
            </w:r>
          </w:p>
        </w:tc>
      </w:tr>
      <w:tr w:rsidR="000B148B" w:rsidRPr="00712E84" w:rsidTr="00510B7E">
        <w:trPr>
          <w:gridAfter w:val="2"/>
          <w:wAfter w:w="68" w:type="pct"/>
          <w:trHeight w:val="427"/>
        </w:trPr>
        <w:tc>
          <w:tcPr>
            <w:tcW w:w="875" w:type="pct"/>
            <w:tcBorders>
              <w:top w:val="nil"/>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 </w:t>
            </w:r>
          </w:p>
        </w:tc>
        <w:tc>
          <w:tcPr>
            <w:tcW w:w="1206" w:type="pct"/>
            <w:gridSpan w:val="6"/>
            <w:tcBorders>
              <w:top w:val="nil"/>
              <w:left w:val="single" w:sz="4" w:space="0" w:color="auto"/>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 xml:space="preserve">Números </w:t>
            </w:r>
          </w:p>
          <w:p w:rsidR="000B148B" w:rsidRPr="00712E84" w:rsidRDefault="000B148B" w:rsidP="00510B7E">
            <w:pPr>
              <w:jc w:val="center"/>
              <w:rPr>
                <w:rStyle w:val="apple-converted-space"/>
              </w:rPr>
            </w:pPr>
            <w:r w:rsidRPr="00712E84">
              <w:rPr>
                <w:rStyle w:val="apple-converted-space"/>
              </w:rPr>
              <w:t>Fuzzy</w:t>
            </w:r>
          </w:p>
        </w:tc>
        <w:tc>
          <w:tcPr>
            <w:tcW w:w="807" w:type="pct"/>
            <w:gridSpan w:val="4"/>
            <w:tcBorders>
              <w:top w:val="nil"/>
              <w:left w:val="single" w:sz="4" w:space="0" w:color="auto"/>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Interseção</w:t>
            </w:r>
          </w:p>
        </w:tc>
        <w:tc>
          <w:tcPr>
            <w:tcW w:w="1207" w:type="pct"/>
            <w:gridSpan w:val="5"/>
            <w:tcBorders>
              <w:top w:val="nil"/>
              <w:left w:val="single" w:sz="4" w:space="0" w:color="auto"/>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 xml:space="preserve">Grau de </w:t>
            </w:r>
          </w:p>
          <w:p w:rsidR="000B148B" w:rsidRPr="00712E84" w:rsidRDefault="000B148B" w:rsidP="00510B7E">
            <w:pPr>
              <w:jc w:val="center"/>
              <w:rPr>
                <w:rStyle w:val="apple-converted-space"/>
              </w:rPr>
            </w:pPr>
            <w:r w:rsidRPr="00712E84">
              <w:rPr>
                <w:rStyle w:val="apple-converted-space"/>
              </w:rPr>
              <w:t xml:space="preserve">pertencimento   </w:t>
            </w:r>
          </w:p>
        </w:tc>
        <w:tc>
          <w:tcPr>
            <w:tcW w:w="836" w:type="pct"/>
            <w:gridSpan w:val="2"/>
            <w:tcBorders>
              <w:top w:val="nil"/>
              <w:left w:val="single" w:sz="4" w:space="0" w:color="auto"/>
              <w:bottom w:val="single" w:sz="4" w:space="0" w:color="auto"/>
            </w:tcBorders>
            <w:shd w:val="clear" w:color="auto" w:fill="auto"/>
            <w:hideMark/>
          </w:tcPr>
          <w:p w:rsidR="000B148B" w:rsidRPr="00712E84" w:rsidRDefault="000B148B" w:rsidP="00510B7E">
            <w:pPr>
              <w:jc w:val="center"/>
              <w:rPr>
                <w:rStyle w:val="apple-converted-space"/>
              </w:rPr>
            </w:pPr>
            <w:r w:rsidRPr="00712E84">
              <w:rPr>
                <w:rStyle w:val="apple-converted-space"/>
              </w:rPr>
              <w:t>Valores Determinísticos</w:t>
            </w:r>
          </w:p>
        </w:tc>
      </w:tr>
      <w:tr w:rsidR="000B148B" w:rsidRPr="00712E84" w:rsidTr="00510B7E">
        <w:trPr>
          <w:gridAfter w:val="2"/>
          <w:wAfter w:w="65" w:type="pct"/>
          <w:trHeight w:val="503"/>
        </w:trPr>
        <w:tc>
          <w:tcPr>
            <w:tcW w:w="875" w:type="pct"/>
            <w:tcBorders>
              <w:top w:val="nil"/>
              <w:bottom w:val="single" w:sz="4" w:space="0" w:color="auto"/>
              <w:right w:val="single" w:sz="4" w:space="0" w:color="auto"/>
            </w:tcBorders>
            <w:shd w:val="clear" w:color="auto" w:fill="auto"/>
            <w:vAlign w:val="center"/>
            <w:hideMark/>
          </w:tcPr>
          <w:p w:rsidR="000B148B" w:rsidRPr="00712E84" w:rsidRDefault="000B148B" w:rsidP="00510B7E">
            <w:pPr>
              <w:jc w:val="center"/>
              <w:rPr>
                <w:rStyle w:val="apple-converted-space"/>
              </w:rPr>
            </w:pPr>
            <w:r w:rsidRPr="00712E84">
              <w:rPr>
                <w:rStyle w:val="apple-converted-space"/>
              </w:rPr>
              <w:t>Probabilidade de ocorrência</w:t>
            </w:r>
          </w:p>
        </w:tc>
        <w:tc>
          <w:tcPr>
            <w:tcW w:w="401" w:type="pct"/>
            <w:gridSpan w:val="2"/>
            <w:tcBorders>
              <w:top w:val="nil"/>
              <w:left w:val="nil"/>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B</w:t>
            </w:r>
          </w:p>
        </w:tc>
        <w:tc>
          <w:tcPr>
            <w:tcW w:w="402" w:type="pct"/>
            <w:gridSpan w:val="2"/>
            <w:tcBorders>
              <w:top w:val="nil"/>
              <w:left w:val="nil"/>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M</w:t>
            </w:r>
          </w:p>
        </w:tc>
        <w:tc>
          <w:tcPr>
            <w:tcW w:w="404" w:type="pct"/>
            <w:gridSpan w:val="2"/>
            <w:tcBorders>
              <w:top w:val="nil"/>
              <w:left w:val="nil"/>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A</w:t>
            </w:r>
          </w:p>
        </w:tc>
        <w:tc>
          <w:tcPr>
            <w:tcW w:w="403" w:type="pct"/>
            <w:gridSpan w:val="2"/>
            <w:tcBorders>
              <w:top w:val="nil"/>
              <w:left w:val="single" w:sz="4" w:space="0" w:color="auto"/>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x_l</w:t>
            </w:r>
          </w:p>
        </w:tc>
        <w:tc>
          <w:tcPr>
            <w:tcW w:w="403" w:type="pct"/>
            <w:gridSpan w:val="2"/>
            <w:tcBorders>
              <w:top w:val="nil"/>
              <w:left w:val="nil"/>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x_r</w:t>
            </w:r>
          </w:p>
        </w:tc>
        <w:tc>
          <w:tcPr>
            <w:tcW w:w="401" w:type="pct"/>
            <w:gridSpan w:val="2"/>
            <w:tcBorders>
              <w:top w:val="nil"/>
              <w:left w:val="single" w:sz="4" w:space="0" w:color="auto"/>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μ_L</w:t>
            </w:r>
          </w:p>
        </w:tc>
        <w:tc>
          <w:tcPr>
            <w:tcW w:w="403" w:type="pct"/>
            <w:tcBorders>
              <w:top w:val="nil"/>
              <w:left w:val="nil"/>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μ_R</w:t>
            </w:r>
          </w:p>
        </w:tc>
        <w:tc>
          <w:tcPr>
            <w:tcW w:w="403" w:type="pct"/>
            <w:gridSpan w:val="2"/>
            <w:tcBorders>
              <w:top w:val="nil"/>
              <w:left w:val="nil"/>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μ_t</w:t>
            </w:r>
          </w:p>
        </w:tc>
        <w:tc>
          <w:tcPr>
            <w:tcW w:w="840" w:type="pct"/>
            <w:gridSpan w:val="2"/>
            <w:tcBorders>
              <w:top w:val="nil"/>
              <w:left w:val="nil"/>
              <w:bottom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X_ij</w:t>
            </w:r>
          </w:p>
        </w:tc>
      </w:tr>
      <w:tr w:rsidR="000B148B" w:rsidRPr="00712E84" w:rsidTr="00510B7E">
        <w:trPr>
          <w:gridAfter w:val="2"/>
          <w:wAfter w:w="65" w:type="pct"/>
          <w:trHeight w:val="315"/>
        </w:trPr>
        <w:tc>
          <w:tcPr>
            <w:tcW w:w="875" w:type="pct"/>
            <w:tcBorders>
              <w:top w:val="nil"/>
              <w:bottom w:val="nil"/>
              <w:right w:val="single" w:sz="4" w:space="0" w:color="auto"/>
            </w:tcBorders>
            <w:shd w:val="clear" w:color="auto" w:fill="auto"/>
            <w:noWrap/>
            <w:vAlign w:val="bottom"/>
            <w:hideMark/>
          </w:tcPr>
          <w:p w:rsidR="000B148B" w:rsidRPr="00712E84" w:rsidRDefault="000B148B" w:rsidP="00510B7E">
            <w:pPr>
              <w:jc w:val="center"/>
              <w:rPr>
                <w:rStyle w:val="apple-converted-space"/>
              </w:rPr>
            </w:pPr>
            <w:r w:rsidRPr="00712E84">
              <w:rPr>
                <w:rStyle w:val="apple-converted-space"/>
              </w:rPr>
              <w:t>Certo</w:t>
            </w:r>
          </w:p>
        </w:tc>
        <w:tc>
          <w:tcPr>
            <w:tcW w:w="401" w:type="pct"/>
            <w:gridSpan w:val="2"/>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0,70</w:t>
            </w:r>
          </w:p>
        </w:tc>
        <w:tc>
          <w:tcPr>
            <w:tcW w:w="402" w:type="pct"/>
            <w:gridSpan w:val="2"/>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1,00</w:t>
            </w:r>
          </w:p>
        </w:tc>
        <w:tc>
          <w:tcPr>
            <w:tcW w:w="404"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1,00</w:t>
            </w:r>
          </w:p>
        </w:tc>
        <w:tc>
          <w:tcPr>
            <w:tcW w:w="403" w:type="pct"/>
            <w:gridSpan w:val="2"/>
            <w:tcBorders>
              <w:top w:val="nil"/>
              <w:left w:val="single" w:sz="4" w:space="0" w:color="auto"/>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0,77</w:t>
            </w:r>
          </w:p>
        </w:tc>
        <w:tc>
          <w:tcPr>
            <w:tcW w:w="403"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1,00</w:t>
            </w:r>
          </w:p>
        </w:tc>
        <w:tc>
          <w:tcPr>
            <w:tcW w:w="401" w:type="pct"/>
            <w:gridSpan w:val="2"/>
            <w:tcBorders>
              <w:top w:val="nil"/>
              <w:left w:val="single" w:sz="4" w:space="0" w:color="auto"/>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0,23</w:t>
            </w:r>
          </w:p>
        </w:tc>
        <w:tc>
          <w:tcPr>
            <w:tcW w:w="403" w:type="pct"/>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1,00</w:t>
            </w:r>
          </w:p>
        </w:tc>
        <w:tc>
          <w:tcPr>
            <w:tcW w:w="403"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0,88</w:t>
            </w:r>
          </w:p>
        </w:tc>
        <w:tc>
          <w:tcPr>
            <w:tcW w:w="840" w:type="pct"/>
            <w:gridSpan w:val="2"/>
            <w:tcBorders>
              <w:top w:val="nil"/>
              <w:left w:val="nil"/>
              <w:bottom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0,88</w:t>
            </w:r>
          </w:p>
        </w:tc>
      </w:tr>
      <w:tr w:rsidR="000B148B" w:rsidRPr="00712E84" w:rsidTr="00510B7E">
        <w:trPr>
          <w:gridAfter w:val="2"/>
          <w:wAfter w:w="65" w:type="pct"/>
          <w:trHeight w:val="315"/>
        </w:trPr>
        <w:tc>
          <w:tcPr>
            <w:tcW w:w="875" w:type="pct"/>
            <w:tcBorders>
              <w:top w:val="nil"/>
              <w:bottom w:val="nil"/>
              <w:right w:val="single" w:sz="4" w:space="0" w:color="auto"/>
            </w:tcBorders>
            <w:shd w:val="clear" w:color="auto" w:fill="auto"/>
            <w:noWrap/>
            <w:vAlign w:val="bottom"/>
            <w:hideMark/>
          </w:tcPr>
          <w:p w:rsidR="000B148B" w:rsidRPr="00712E84" w:rsidRDefault="000B148B" w:rsidP="00510B7E">
            <w:pPr>
              <w:jc w:val="center"/>
              <w:rPr>
                <w:rStyle w:val="apple-converted-space"/>
              </w:rPr>
            </w:pPr>
            <w:r w:rsidRPr="00712E84">
              <w:rPr>
                <w:rStyle w:val="apple-converted-space"/>
              </w:rPr>
              <w:t>Provável</w:t>
            </w:r>
          </w:p>
        </w:tc>
        <w:tc>
          <w:tcPr>
            <w:tcW w:w="401" w:type="pct"/>
            <w:gridSpan w:val="2"/>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0,50</w:t>
            </w:r>
          </w:p>
        </w:tc>
        <w:tc>
          <w:tcPr>
            <w:tcW w:w="402" w:type="pct"/>
            <w:gridSpan w:val="2"/>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0,70</w:t>
            </w:r>
          </w:p>
        </w:tc>
        <w:tc>
          <w:tcPr>
            <w:tcW w:w="404"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1,00</w:t>
            </w:r>
          </w:p>
        </w:tc>
        <w:tc>
          <w:tcPr>
            <w:tcW w:w="403" w:type="pct"/>
            <w:gridSpan w:val="2"/>
            <w:tcBorders>
              <w:top w:val="nil"/>
              <w:left w:val="single" w:sz="4" w:space="0" w:color="auto"/>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0,58</w:t>
            </w:r>
          </w:p>
        </w:tc>
        <w:tc>
          <w:tcPr>
            <w:tcW w:w="403"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0,77</w:t>
            </w:r>
          </w:p>
        </w:tc>
        <w:tc>
          <w:tcPr>
            <w:tcW w:w="401" w:type="pct"/>
            <w:gridSpan w:val="2"/>
            <w:tcBorders>
              <w:top w:val="nil"/>
              <w:left w:val="single" w:sz="4" w:space="0" w:color="auto"/>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0,42</w:t>
            </w:r>
          </w:p>
        </w:tc>
        <w:tc>
          <w:tcPr>
            <w:tcW w:w="403" w:type="pct"/>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0,77</w:t>
            </w:r>
          </w:p>
        </w:tc>
        <w:tc>
          <w:tcPr>
            <w:tcW w:w="403"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0,68</w:t>
            </w:r>
          </w:p>
        </w:tc>
        <w:tc>
          <w:tcPr>
            <w:tcW w:w="840" w:type="pct"/>
            <w:gridSpan w:val="2"/>
            <w:tcBorders>
              <w:top w:val="nil"/>
              <w:left w:val="nil"/>
              <w:bottom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0,68</w:t>
            </w:r>
          </w:p>
        </w:tc>
      </w:tr>
      <w:tr w:rsidR="000B148B" w:rsidRPr="00712E84" w:rsidTr="00510B7E">
        <w:trPr>
          <w:gridAfter w:val="2"/>
          <w:wAfter w:w="65" w:type="pct"/>
          <w:trHeight w:val="315"/>
        </w:trPr>
        <w:tc>
          <w:tcPr>
            <w:tcW w:w="875" w:type="pct"/>
            <w:tcBorders>
              <w:top w:val="nil"/>
              <w:bottom w:val="nil"/>
              <w:right w:val="single" w:sz="4" w:space="0" w:color="auto"/>
            </w:tcBorders>
            <w:shd w:val="clear" w:color="auto" w:fill="auto"/>
            <w:noWrap/>
            <w:vAlign w:val="bottom"/>
            <w:hideMark/>
          </w:tcPr>
          <w:p w:rsidR="000B148B" w:rsidRPr="00712E84" w:rsidRDefault="000B148B" w:rsidP="00510B7E">
            <w:pPr>
              <w:jc w:val="center"/>
              <w:rPr>
                <w:rStyle w:val="apple-converted-space"/>
              </w:rPr>
            </w:pPr>
            <w:r w:rsidRPr="00712E84">
              <w:rPr>
                <w:rStyle w:val="apple-converted-space"/>
              </w:rPr>
              <w:t>Possível</w:t>
            </w:r>
          </w:p>
        </w:tc>
        <w:tc>
          <w:tcPr>
            <w:tcW w:w="401" w:type="pct"/>
            <w:gridSpan w:val="2"/>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0,30</w:t>
            </w:r>
          </w:p>
        </w:tc>
        <w:tc>
          <w:tcPr>
            <w:tcW w:w="402" w:type="pct"/>
            <w:gridSpan w:val="2"/>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0,50</w:t>
            </w:r>
          </w:p>
        </w:tc>
        <w:tc>
          <w:tcPr>
            <w:tcW w:w="404"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0,70</w:t>
            </w:r>
          </w:p>
        </w:tc>
        <w:tc>
          <w:tcPr>
            <w:tcW w:w="403" w:type="pct"/>
            <w:gridSpan w:val="2"/>
            <w:tcBorders>
              <w:top w:val="nil"/>
              <w:left w:val="single" w:sz="4" w:space="0" w:color="auto"/>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0,42</w:t>
            </w:r>
          </w:p>
        </w:tc>
        <w:tc>
          <w:tcPr>
            <w:tcW w:w="403"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0,58</w:t>
            </w:r>
          </w:p>
        </w:tc>
        <w:tc>
          <w:tcPr>
            <w:tcW w:w="401" w:type="pct"/>
            <w:gridSpan w:val="2"/>
            <w:tcBorders>
              <w:top w:val="nil"/>
              <w:left w:val="single" w:sz="4" w:space="0" w:color="auto"/>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0,58</w:t>
            </w:r>
          </w:p>
        </w:tc>
        <w:tc>
          <w:tcPr>
            <w:tcW w:w="403" w:type="pct"/>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0,58</w:t>
            </w:r>
          </w:p>
        </w:tc>
        <w:tc>
          <w:tcPr>
            <w:tcW w:w="403"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0,50</w:t>
            </w:r>
          </w:p>
        </w:tc>
        <w:tc>
          <w:tcPr>
            <w:tcW w:w="840" w:type="pct"/>
            <w:gridSpan w:val="2"/>
            <w:tcBorders>
              <w:top w:val="nil"/>
              <w:left w:val="nil"/>
              <w:bottom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0,50</w:t>
            </w:r>
          </w:p>
        </w:tc>
      </w:tr>
      <w:tr w:rsidR="000B148B" w:rsidRPr="00712E84" w:rsidTr="00510B7E">
        <w:trPr>
          <w:gridAfter w:val="2"/>
          <w:wAfter w:w="65" w:type="pct"/>
          <w:trHeight w:val="315"/>
        </w:trPr>
        <w:tc>
          <w:tcPr>
            <w:tcW w:w="875" w:type="pct"/>
            <w:tcBorders>
              <w:top w:val="nil"/>
              <w:bottom w:val="nil"/>
              <w:right w:val="single" w:sz="4" w:space="0" w:color="auto"/>
            </w:tcBorders>
            <w:shd w:val="clear" w:color="auto" w:fill="auto"/>
            <w:noWrap/>
            <w:vAlign w:val="bottom"/>
            <w:hideMark/>
          </w:tcPr>
          <w:p w:rsidR="000B148B" w:rsidRPr="00712E84" w:rsidRDefault="000B148B" w:rsidP="00510B7E">
            <w:pPr>
              <w:jc w:val="center"/>
              <w:rPr>
                <w:rStyle w:val="apple-converted-space"/>
              </w:rPr>
            </w:pPr>
            <w:r w:rsidRPr="00712E84">
              <w:rPr>
                <w:rStyle w:val="apple-converted-space"/>
              </w:rPr>
              <w:t>Improvável</w:t>
            </w:r>
          </w:p>
        </w:tc>
        <w:tc>
          <w:tcPr>
            <w:tcW w:w="401" w:type="pct"/>
            <w:gridSpan w:val="2"/>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0,00</w:t>
            </w:r>
          </w:p>
        </w:tc>
        <w:tc>
          <w:tcPr>
            <w:tcW w:w="402" w:type="pct"/>
            <w:gridSpan w:val="2"/>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0,25</w:t>
            </w:r>
          </w:p>
        </w:tc>
        <w:tc>
          <w:tcPr>
            <w:tcW w:w="404"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0,50</w:t>
            </w:r>
          </w:p>
        </w:tc>
        <w:tc>
          <w:tcPr>
            <w:tcW w:w="403" w:type="pct"/>
            <w:gridSpan w:val="2"/>
            <w:tcBorders>
              <w:top w:val="nil"/>
              <w:left w:val="single" w:sz="4" w:space="0" w:color="auto"/>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0,20</w:t>
            </w:r>
          </w:p>
        </w:tc>
        <w:tc>
          <w:tcPr>
            <w:tcW w:w="403"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0,40</w:t>
            </w:r>
          </w:p>
        </w:tc>
        <w:tc>
          <w:tcPr>
            <w:tcW w:w="401" w:type="pct"/>
            <w:gridSpan w:val="2"/>
            <w:tcBorders>
              <w:top w:val="nil"/>
              <w:left w:val="single" w:sz="4" w:space="0" w:color="auto"/>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0,80</w:t>
            </w:r>
          </w:p>
        </w:tc>
        <w:tc>
          <w:tcPr>
            <w:tcW w:w="403" w:type="pct"/>
            <w:tcBorders>
              <w:top w:val="nil"/>
              <w:left w:val="nil"/>
              <w:bottom w:val="nil"/>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0,40</w:t>
            </w:r>
          </w:p>
        </w:tc>
        <w:tc>
          <w:tcPr>
            <w:tcW w:w="403" w:type="pct"/>
            <w:gridSpan w:val="2"/>
            <w:tcBorders>
              <w:top w:val="nil"/>
              <w:left w:val="nil"/>
              <w:bottom w:val="nil"/>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0,30</w:t>
            </w:r>
          </w:p>
        </w:tc>
        <w:tc>
          <w:tcPr>
            <w:tcW w:w="840" w:type="pct"/>
            <w:gridSpan w:val="2"/>
            <w:tcBorders>
              <w:top w:val="nil"/>
              <w:left w:val="nil"/>
              <w:bottom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0,30</w:t>
            </w:r>
          </w:p>
        </w:tc>
      </w:tr>
      <w:tr w:rsidR="000B148B" w:rsidRPr="00712E84" w:rsidTr="00510B7E">
        <w:trPr>
          <w:gridAfter w:val="2"/>
          <w:wAfter w:w="65" w:type="pct"/>
          <w:trHeight w:val="315"/>
        </w:trPr>
        <w:tc>
          <w:tcPr>
            <w:tcW w:w="875" w:type="pct"/>
            <w:tcBorders>
              <w:top w:val="nil"/>
              <w:bottom w:val="single" w:sz="4" w:space="0" w:color="auto"/>
              <w:right w:val="single" w:sz="4" w:space="0" w:color="auto"/>
            </w:tcBorders>
            <w:shd w:val="clear" w:color="auto" w:fill="auto"/>
            <w:noWrap/>
            <w:vAlign w:val="bottom"/>
            <w:hideMark/>
          </w:tcPr>
          <w:p w:rsidR="000B148B" w:rsidRPr="00712E84" w:rsidRDefault="000B148B" w:rsidP="00510B7E">
            <w:pPr>
              <w:jc w:val="center"/>
              <w:rPr>
                <w:rStyle w:val="apple-converted-space"/>
              </w:rPr>
            </w:pPr>
            <w:r w:rsidRPr="00712E84">
              <w:rPr>
                <w:rStyle w:val="apple-converted-space"/>
              </w:rPr>
              <w:t>Raro</w:t>
            </w:r>
          </w:p>
        </w:tc>
        <w:tc>
          <w:tcPr>
            <w:tcW w:w="401" w:type="pct"/>
            <w:gridSpan w:val="2"/>
            <w:tcBorders>
              <w:top w:val="nil"/>
              <w:left w:val="nil"/>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0,00</w:t>
            </w:r>
          </w:p>
        </w:tc>
        <w:tc>
          <w:tcPr>
            <w:tcW w:w="402" w:type="pct"/>
            <w:gridSpan w:val="2"/>
            <w:tcBorders>
              <w:top w:val="nil"/>
              <w:left w:val="nil"/>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0,00</w:t>
            </w:r>
          </w:p>
        </w:tc>
        <w:tc>
          <w:tcPr>
            <w:tcW w:w="404" w:type="pct"/>
            <w:gridSpan w:val="2"/>
            <w:tcBorders>
              <w:top w:val="nil"/>
              <w:left w:val="nil"/>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0,30</w:t>
            </w:r>
          </w:p>
        </w:tc>
        <w:tc>
          <w:tcPr>
            <w:tcW w:w="403" w:type="pct"/>
            <w:gridSpan w:val="2"/>
            <w:tcBorders>
              <w:top w:val="nil"/>
              <w:left w:val="single" w:sz="4" w:space="0" w:color="auto"/>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0,00</w:t>
            </w:r>
          </w:p>
        </w:tc>
        <w:tc>
          <w:tcPr>
            <w:tcW w:w="403" w:type="pct"/>
            <w:gridSpan w:val="2"/>
            <w:tcBorders>
              <w:top w:val="nil"/>
              <w:left w:val="nil"/>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0,23</w:t>
            </w:r>
          </w:p>
        </w:tc>
        <w:tc>
          <w:tcPr>
            <w:tcW w:w="401" w:type="pct"/>
            <w:gridSpan w:val="2"/>
            <w:tcBorders>
              <w:top w:val="nil"/>
              <w:left w:val="single" w:sz="4" w:space="0" w:color="auto"/>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1,00</w:t>
            </w:r>
          </w:p>
        </w:tc>
        <w:tc>
          <w:tcPr>
            <w:tcW w:w="403" w:type="pct"/>
            <w:tcBorders>
              <w:top w:val="nil"/>
              <w:left w:val="nil"/>
              <w:bottom w:val="single" w:sz="4" w:space="0" w:color="auto"/>
              <w:right w:val="nil"/>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0,23</w:t>
            </w:r>
          </w:p>
        </w:tc>
        <w:tc>
          <w:tcPr>
            <w:tcW w:w="403" w:type="pct"/>
            <w:gridSpan w:val="2"/>
            <w:tcBorders>
              <w:top w:val="nil"/>
              <w:left w:val="nil"/>
              <w:bottom w:val="single" w:sz="4" w:space="0" w:color="auto"/>
              <w:right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0,12</w:t>
            </w:r>
          </w:p>
        </w:tc>
        <w:tc>
          <w:tcPr>
            <w:tcW w:w="840" w:type="pct"/>
            <w:gridSpan w:val="2"/>
            <w:tcBorders>
              <w:top w:val="nil"/>
              <w:left w:val="nil"/>
              <w:bottom w:val="single" w:sz="4" w:space="0" w:color="auto"/>
            </w:tcBorders>
            <w:shd w:val="clear" w:color="auto" w:fill="auto"/>
            <w:noWrap/>
            <w:vAlign w:val="center"/>
            <w:hideMark/>
          </w:tcPr>
          <w:p w:rsidR="000B148B" w:rsidRPr="00712E84" w:rsidRDefault="000B148B" w:rsidP="00510B7E">
            <w:pPr>
              <w:jc w:val="center"/>
              <w:rPr>
                <w:rStyle w:val="apple-converted-space"/>
              </w:rPr>
            </w:pPr>
            <w:r w:rsidRPr="00712E84">
              <w:rPr>
                <w:rStyle w:val="apple-converted-space"/>
              </w:rPr>
              <w:t>0,12</w:t>
            </w:r>
          </w:p>
        </w:tc>
      </w:tr>
    </w:tbl>
    <w:p w:rsidR="000B148B" w:rsidRPr="000B148B" w:rsidRDefault="000B148B" w:rsidP="000B148B">
      <w:pPr>
        <w:shd w:val="clear" w:color="auto" w:fill="FFFFFF"/>
        <w:jc w:val="both"/>
        <w:textAlignment w:val="baseline"/>
        <w:rPr>
          <w:rStyle w:val="apple-converted-space"/>
          <w:sz w:val="24"/>
          <w:szCs w:val="24"/>
        </w:rPr>
      </w:pPr>
      <w:r w:rsidRPr="000B148B">
        <w:rPr>
          <w:rStyle w:val="apple-converted-space"/>
          <w:sz w:val="24"/>
          <w:szCs w:val="24"/>
        </w:rPr>
        <w:t>Fonte: Adaptado de Dia e Zéghal (2008).</w:t>
      </w:r>
    </w:p>
    <w:p w:rsidR="000B148B" w:rsidRPr="000B148B" w:rsidRDefault="000B148B" w:rsidP="000B148B">
      <w:pPr>
        <w:shd w:val="clear" w:color="auto" w:fill="FFFFFF"/>
        <w:jc w:val="both"/>
        <w:textAlignment w:val="baseline"/>
        <w:rPr>
          <w:rStyle w:val="apple-converted-space"/>
          <w:sz w:val="24"/>
          <w:szCs w:val="24"/>
        </w:rPr>
      </w:pPr>
    </w:p>
    <w:p w:rsidR="000B148B" w:rsidRPr="000B148B" w:rsidRDefault="000B148B" w:rsidP="000B148B">
      <w:pPr>
        <w:shd w:val="clear" w:color="auto" w:fill="FFFFFF"/>
        <w:ind w:firstLine="709"/>
        <w:jc w:val="both"/>
        <w:textAlignment w:val="baseline"/>
        <w:rPr>
          <w:rStyle w:val="apple-converted-space"/>
          <w:sz w:val="24"/>
          <w:szCs w:val="24"/>
        </w:rPr>
      </w:pPr>
      <w:r w:rsidRPr="000B148B">
        <w:rPr>
          <w:rStyle w:val="apple-converted-space"/>
          <w:sz w:val="24"/>
          <w:szCs w:val="24"/>
        </w:rPr>
        <w:t>Deste modo, a transformação é determinada com base nas escalas de proposta por Chen e Hwang (1992) e baseado no julgamento pessoal dos autores do artigo. Neste estudo, foi utilizada a mesma escala desenvolvida pelos autores Dia e Zéghal (2008), com algumas adaptações. Para determinação dos valores determinísticos na tabela 2 demonstra que para a probabilidade de ocorrência de números fuzzy triangulares tem-se que:</w:t>
      </w:r>
    </w:p>
    <w:p w:rsidR="000B148B" w:rsidRPr="000B148B" w:rsidRDefault="000B148B" w:rsidP="000B148B">
      <w:pPr>
        <w:shd w:val="clear" w:color="auto" w:fill="FFFFFF"/>
        <w:ind w:firstLine="709"/>
        <w:jc w:val="both"/>
        <w:textAlignment w:val="baseline"/>
        <w:rPr>
          <w:rStyle w:val="apple-converted-space"/>
          <w:sz w:val="24"/>
          <w:szCs w:val="24"/>
        </w:rPr>
      </w:pPr>
    </w:p>
    <w:p w:rsidR="000B148B" w:rsidRPr="000B148B" w:rsidRDefault="000B148B" w:rsidP="000B148B">
      <w:pPr>
        <w:shd w:val="clear" w:color="auto" w:fill="FFFFFF"/>
        <w:jc w:val="center"/>
        <w:textAlignment w:val="baseline"/>
        <w:rPr>
          <w:rStyle w:val="apple-converted-space"/>
          <w:sz w:val="24"/>
          <w:szCs w:val="24"/>
        </w:rPr>
      </w:pPr>
      <w:r w:rsidRPr="000B148B">
        <w:rPr>
          <w:rStyle w:val="apple-converted-space"/>
          <w:sz w:val="24"/>
          <w:szCs w:val="24"/>
        </w:rPr>
        <w:t xml:space="preserve">xL = m / (b + m - l) e xR = a / (1 + a – </w:t>
      </w:r>
      <m:oMath>
        <m:r>
          <m:rPr>
            <m:sty m:val="p"/>
          </m:rPr>
          <w:rPr>
            <w:rStyle w:val="apple-converted-space"/>
            <w:sz w:val="24"/>
            <w:szCs w:val="24"/>
          </w:rPr>
          <m:t>μ</m:t>
        </m:r>
      </m:oMath>
      <w:r w:rsidRPr="000B148B">
        <w:rPr>
          <w:rStyle w:val="apple-converted-space"/>
          <w:sz w:val="24"/>
          <w:szCs w:val="24"/>
        </w:rPr>
        <w:t>)            (2)</w:t>
      </w:r>
    </w:p>
    <w:p w:rsidR="000B148B" w:rsidRPr="000B148B" w:rsidRDefault="000B148B" w:rsidP="000B148B">
      <w:pPr>
        <w:shd w:val="clear" w:color="auto" w:fill="FFFFFF"/>
        <w:ind w:firstLine="709"/>
        <w:jc w:val="center"/>
        <w:textAlignment w:val="baseline"/>
        <w:rPr>
          <w:rStyle w:val="apple-converted-space"/>
          <w:sz w:val="24"/>
          <w:szCs w:val="24"/>
        </w:rPr>
      </w:pPr>
    </w:p>
    <w:p w:rsidR="000B148B" w:rsidRPr="000B148B" w:rsidRDefault="000B148B" w:rsidP="00FE57A3">
      <w:pPr>
        <w:shd w:val="clear" w:color="auto" w:fill="FFFFFF"/>
        <w:ind w:firstLine="709"/>
        <w:jc w:val="both"/>
        <w:textAlignment w:val="baseline"/>
        <w:rPr>
          <w:rStyle w:val="apple-converted-space"/>
          <w:sz w:val="24"/>
          <w:szCs w:val="24"/>
        </w:rPr>
      </w:pPr>
      <w:r w:rsidRPr="000B148B">
        <w:rPr>
          <w:rStyle w:val="apple-converted-space"/>
          <w:sz w:val="24"/>
          <w:szCs w:val="24"/>
        </w:rPr>
        <w:t>Para probabilidade de ocorrência números fuzzy triangulares:</w:t>
      </w:r>
    </w:p>
    <w:p w:rsidR="000B148B" w:rsidRPr="000B148B" w:rsidRDefault="000B148B" w:rsidP="000B148B">
      <w:pPr>
        <w:shd w:val="clear" w:color="auto" w:fill="FFFFFF"/>
        <w:jc w:val="center"/>
        <w:textAlignment w:val="baseline"/>
        <w:rPr>
          <w:rStyle w:val="apple-converted-space"/>
          <w:sz w:val="24"/>
          <w:szCs w:val="24"/>
        </w:rPr>
      </w:pPr>
      <w:r w:rsidRPr="000B148B">
        <w:rPr>
          <w:rStyle w:val="apple-converted-space"/>
          <w:sz w:val="24"/>
          <w:szCs w:val="24"/>
        </w:rPr>
        <w:t>mL = (xL - l) / (</w:t>
      </w:r>
      <m:oMath>
        <m:r>
          <m:rPr>
            <m:sty m:val="p"/>
          </m:rPr>
          <w:rPr>
            <w:rStyle w:val="apple-converted-space"/>
            <w:sz w:val="24"/>
            <w:szCs w:val="24"/>
          </w:rPr>
          <m:t>μ</m:t>
        </m:r>
      </m:oMath>
      <w:r w:rsidRPr="000B148B">
        <w:rPr>
          <w:rStyle w:val="apple-converted-space"/>
          <w:sz w:val="24"/>
          <w:szCs w:val="24"/>
        </w:rPr>
        <w:t xml:space="preserve"> - l), mR = (u - xR) / (u -</w:t>
      </w:r>
      <m:oMath>
        <m:r>
          <m:rPr>
            <m:sty m:val="p"/>
          </m:rPr>
          <w:rPr>
            <w:rStyle w:val="apple-converted-space"/>
            <w:sz w:val="24"/>
            <w:szCs w:val="24"/>
          </w:rPr>
          <m:t>μ</m:t>
        </m:r>
      </m:oMath>
      <w:r w:rsidRPr="000B148B">
        <w:rPr>
          <w:rStyle w:val="apple-converted-space"/>
          <w:sz w:val="24"/>
          <w:szCs w:val="24"/>
        </w:rPr>
        <w:t>)       (3)</w:t>
      </w:r>
    </w:p>
    <w:p w:rsidR="000B148B" w:rsidRPr="000B148B" w:rsidRDefault="000B148B" w:rsidP="000B148B">
      <w:pPr>
        <w:shd w:val="clear" w:color="auto" w:fill="FFFFFF"/>
        <w:ind w:firstLine="709"/>
        <w:jc w:val="center"/>
        <w:textAlignment w:val="baseline"/>
        <w:rPr>
          <w:rStyle w:val="apple-converted-space"/>
          <w:sz w:val="24"/>
          <w:szCs w:val="24"/>
        </w:rPr>
      </w:pPr>
    </w:p>
    <w:p w:rsidR="000B148B" w:rsidRPr="000B148B" w:rsidRDefault="000B148B" w:rsidP="000B148B">
      <w:pPr>
        <w:shd w:val="clear" w:color="auto" w:fill="FFFFFF"/>
        <w:ind w:firstLine="709"/>
        <w:jc w:val="both"/>
        <w:textAlignment w:val="baseline"/>
        <w:rPr>
          <w:rStyle w:val="apple-converted-space"/>
          <w:sz w:val="24"/>
          <w:szCs w:val="24"/>
        </w:rPr>
      </w:pPr>
      <w:r w:rsidRPr="000B148B">
        <w:rPr>
          <w:rStyle w:val="apple-converted-space"/>
          <w:sz w:val="24"/>
          <w:szCs w:val="24"/>
        </w:rPr>
        <w:t xml:space="preserve">Sendo o mTotal = (mR + 1 mL) / 2                                   </w:t>
      </w:r>
      <w:r w:rsidR="00FE57A3">
        <w:rPr>
          <w:rStyle w:val="apple-converted-space"/>
          <w:sz w:val="24"/>
          <w:szCs w:val="24"/>
        </w:rPr>
        <w:t xml:space="preserve">   </w:t>
      </w:r>
      <w:r w:rsidRPr="000B148B">
        <w:rPr>
          <w:rStyle w:val="apple-converted-space"/>
          <w:sz w:val="24"/>
          <w:szCs w:val="24"/>
        </w:rPr>
        <w:t xml:space="preserve">      (4)</w:t>
      </w:r>
    </w:p>
    <w:p w:rsidR="000B148B" w:rsidRPr="000B148B" w:rsidRDefault="000B148B" w:rsidP="000B148B">
      <w:pPr>
        <w:shd w:val="clear" w:color="auto" w:fill="FFFFFF"/>
        <w:ind w:firstLine="709"/>
        <w:jc w:val="both"/>
        <w:textAlignment w:val="baseline"/>
        <w:rPr>
          <w:rStyle w:val="apple-converted-space"/>
          <w:sz w:val="24"/>
          <w:szCs w:val="24"/>
        </w:rPr>
      </w:pPr>
    </w:p>
    <w:p w:rsidR="000B148B" w:rsidRPr="000B148B" w:rsidRDefault="000B148B" w:rsidP="000B148B">
      <w:pPr>
        <w:ind w:firstLine="708"/>
        <w:jc w:val="both"/>
        <w:rPr>
          <w:rStyle w:val="apple-converted-space"/>
          <w:sz w:val="24"/>
          <w:szCs w:val="24"/>
        </w:rPr>
      </w:pPr>
      <w:r w:rsidRPr="000B148B">
        <w:rPr>
          <w:rStyle w:val="apple-converted-space"/>
          <w:sz w:val="24"/>
          <w:szCs w:val="24"/>
        </w:rPr>
        <w:t>Ou seja, o Xij = mTotal, e os valores utilizados como os determinísticos e para determinar a probabilidade de ocorrência em cada caso são estes: Certo (0,88), Provável (0,68), Possível (0,50), Improvável (0,30) e Raro (0,12), mais uma vez, que foram adaptados de Dia e Zéghal (2008). Estes valores foram substituídos para cada caso em que os riscos das empresas analisadas se encaixavam desde que correspondesse a alguma modalidade das probabilidades e se observados nos relatórios contábeis.</w:t>
      </w:r>
    </w:p>
    <w:p w:rsidR="000B148B" w:rsidRPr="000B148B" w:rsidRDefault="000B148B" w:rsidP="000B148B">
      <w:pPr>
        <w:ind w:firstLine="708"/>
        <w:jc w:val="both"/>
        <w:rPr>
          <w:rStyle w:val="apple-converted-space"/>
          <w:sz w:val="24"/>
          <w:szCs w:val="24"/>
        </w:rPr>
      </w:pPr>
      <w:r w:rsidRPr="000B148B">
        <w:rPr>
          <w:rStyle w:val="apple-converted-space"/>
          <w:sz w:val="24"/>
          <w:szCs w:val="24"/>
        </w:rPr>
        <w:t>As categorias de risco descritas em todo o trabalho são as que foram encontradas nas demonstrações destas 47 empresas estudadas, sendo que algumas apareceram com mais frequência que outras, bem como algumas são específicas de determinada atividade ou setor, no entanto todas as categorias foram relacionadas e apresentas nesta pesquisa. Assim desenvolveu-se um apêndice de forma complementar que apresenta as definições nominais do que cada risco representa que pode ser encontrado no final deste artigo.</w:t>
      </w:r>
    </w:p>
    <w:p w:rsidR="000B148B" w:rsidRPr="000B148B" w:rsidRDefault="000B148B" w:rsidP="000B148B">
      <w:pPr>
        <w:ind w:firstLine="709"/>
        <w:jc w:val="both"/>
        <w:rPr>
          <w:rStyle w:val="apple-converted-space"/>
          <w:sz w:val="24"/>
          <w:szCs w:val="24"/>
        </w:rPr>
      </w:pPr>
      <w:r w:rsidRPr="000B148B">
        <w:rPr>
          <w:rStyle w:val="apple-converted-space"/>
          <w:sz w:val="24"/>
          <w:szCs w:val="24"/>
        </w:rPr>
        <w:t xml:space="preserve">Por fim, para solucionar o objetivo secundário de usar o perfil de risco gerado pela metodologia apresentada e realizar um ranqueamento das empresas que mais divulgam seus riscos, procedeu-se a análise multicritério por meio do método TOPSIS (Technique for Order of Preference by Similarity to Ideal Solution), que parte do conceito de solução de compromisso para escolher a alternativa melhor e mais próxima para a solução ideal positiva e a mais distante da solução ideal negativa (Bulgurcu, 2012).  Posterior à classificação realizada por meio do TOPSIS é possível visualizar uma relação das empresas dispostas em ordem de mais ou menos expostas aos riscos conforme suas demonstrações.  </w:t>
      </w:r>
    </w:p>
    <w:p w:rsidR="000B148B" w:rsidRPr="000B148B" w:rsidRDefault="000B148B" w:rsidP="000B148B">
      <w:pPr>
        <w:ind w:firstLine="709"/>
        <w:jc w:val="both"/>
        <w:rPr>
          <w:rStyle w:val="apple-converted-space"/>
          <w:sz w:val="24"/>
          <w:szCs w:val="24"/>
        </w:rPr>
      </w:pPr>
      <w:r w:rsidRPr="000B148B">
        <w:rPr>
          <w:rStyle w:val="apple-converted-space"/>
          <w:sz w:val="24"/>
          <w:szCs w:val="24"/>
        </w:rPr>
        <w:t>Deste modo, o TOPSIS nesta pesquisa foi responsável por determinar um ranking das 47 empresas, das quais haviam divulgado maior ou menor quantidade de riscos, possibilitando a descrição dos seus perfis, e consequentemente, por meio da classificação de probabilidade identificar quais as empresas estão mais expostas a riscos, ou seja, mais expostas a uma quantidade maior de riscos de forma geral.</w:t>
      </w:r>
    </w:p>
    <w:p w:rsidR="00E6136F" w:rsidRPr="000B148B" w:rsidRDefault="00E6136F">
      <w:pPr>
        <w:rPr>
          <w:rStyle w:val="apple-converted-space"/>
          <w:sz w:val="24"/>
          <w:szCs w:val="24"/>
        </w:rPr>
      </w:pPr>
    </w:p>
    <w:p w:rsidR="00E6136F" w:rsidRDefault="00E6136F"/>
    <w:p w:rsidR="000B148B" w:rsidRPr="005937CD" w:rsidRDefault="000B148B" w:rsidP="000B148B">
      <w:pPr>
        <w:jc w:val="both"/>
        <w:rPr>
          <w:b/>
        </w:rPr>
      </w:pPr>
      <w:r w:rsidRPr="005937CD">
        <w:rPr>
          <w:b/>
        </w:rPr>
        <w:t>4 DESCRIÇÃO E ANÁLISE DOS DADOS</w:t>
      </w:r>
    </w:p>
    <w:p w:rsidR="000B148B" w:rsidRPr="005937CD" w:rsidRDefault="000B148B" w:rsidP="000B148B">
      <w:pPr>
        <w:jc w:val="both"/>
        <w:rPr>
          <w:b/>
        </w:rPr>
      </w:pPr>
    </w:p>
    <w:p w:rsidR="000B148B" w:rsidRPr="000B148B" w:rsidRDefault="000B148B" w:rsidP="000B148B">
      <w:pPr>
        <w:ind w:firstLine="709"/>
        <w:jc w:val="both"/>
        <w:rPr>
          <w:rStyle w:val="apple-converted-space"/>
          <w:sz w:val="24"/>
          <w:szCs w:val="24"/>
        </w:rPr>
      </w:pPr>
      <w:r w:rsidRPr="000B148B">
        <w:rPr>
          <w:rStyle w:val="apple-converted-space"/>
          <w:sz w:val="24"/>
          <w:szCs w:val="24"/>
        </w:rPr>
        <w:t>Esta seção apresenta a análise do disclosure e a análise de conteúdo proposta na metodologia bem como a estruturação da lógica Fuzzy para criação de dados quantitativos com base nos dados qualitativos apresentados nos relatórios. Após, evidencia-se a análise da técnica TOPSIS, usada para efetuar o ranqueamento das empresas demonstrando qual a ordem de forma crescente das que estão mais expostas aos riscos analisados.</w:t>
      </w:r>
    </w:p>
    <w:p w:rsidR="000B148B" w:rsidRPr="000B148B" w:rsidRDefault="000B148B" w:rsidP="000B148B">
      <w:pPr>
        <w:ind w:firstLine="709"/>
        <w:jc w:val="both"/>
        <w:rPr>
          <w:rStyle w:val="apple-converted-space"/>
          <w:sz w:val="24"/>
          <w:szCs w:val="24"/>
        </w:rPr>
      </w:pPr>
    </w:p>
    <w:p w:rsidR="000B148B" w:rsidRPr="000B148B" w:rsidRDefault="000B148B" w:rsidP="000B148B">
      <w:pPr>
        <w:jc w:val="both"/>
        <w:rPr>
          <w:rStyle w:val="apple-converted-space"/>
          <w:sz w:val="24"/>
          <w:szCs w:val="24"/>
        </w:rPr>
      </w:pPr>
      <w:r w:rsidRPr="000B148B">
        <w:rPr>
          <w:rStyle w:val="apple-converted-space"/>
          <w:sz w:val="24"/>
          <w:szCs w:val="24"/>
        </w:rPr>
        <w:t xml:space="preserve">4.1 Análise dos riscos </w:t>
      </w:r>
    </w:p>
    <w:p w:rsidR="000B148B" w:rsidRPr="000B148B" w:rsidRDefault="000B148B" w:rsidP="000B148B">
      <w:pPr>
        <w:jc w:val="both"/>
        <w:rPr>
          <w:rStyle w:val="apple-converted-space"/>
          <w:sz w:val="24"/>
          <w:szCs w:val="24"/>
        </w:rPr>
      </w:pPr>
    </w:p>
    <w:p w:rsidR="000B148B" w:rsidRPr="000B148B" w:rsidRDefault="000B148B" w:rsidP="000B148B">
      <w:pPr>
        <w:ind w:firstLine="709"/>
        <w:jc w:val="both"/>
        <w:rPr>
          <w:rStyle w:val="apple-converted-space"/>
          <w:sz w:val="24"/>
          <w:szCs w:val="24"/>
        </w:rPr>
      </w:pPr>
      <w:r w:rsidRPr="000B148B">
        <w:rPr>
          <w:rStyle w:val="apple-converted-space"/>
          <w:sz w:val="24"/>
          <w:szCs w:val="24"/>
        </w:rPr>
        <w:t>A primeira etapa da pesquisa foi a de analisar os relatórios contábeis, sendo estes as notas explicativas e os relatórios de referência do ano de 2015 das 47 empresas da amostra, destes relatórios as notas explicativas foram utilizadas para a coleta dos riscos que estas empresas estavam divulgando conforme Tabela 2, e os relatórios de referência para complementar a coleta para casos que apresentassem observações relevantes para a pesquisa.</w:t>
      </w:r>
    </w:p>
    <w:p w:rsidR="000B148B" w:rsidRPr="000B148B" w:rsidRDefault="000B148B" w:rsidP="000B148B">
      <w:pPr>
        <w:jc w:val="both"/>
        <w:rPr>
          <w:rStyle w:val="apple-converted-space"/>
          <w:sz w:val="24"/>
          <w:szCs w:val="24"/>
        </w:rPr>
      </w:pPr>
    </w:p>
    <w:p w:rsidR="000B148B" w:rsidRPr="00712E84" w:rsidRDefault="000B148B" w:rsidP="000B148B">
      <w:pPr>
        <w:jc w:val="both"/>
        <w:rPr>
          <w:rStyle w:val="apple-converted-space"/>
          <w:b/>
          <w:sz w:val="24"/>
          <w:szCs w:val="24"/>
        </w:rPr>
      </w:pPr>
      <w:r w:rsidRPr="00712E84">
        <w:rPr>
          <w:rStyle w:val="apple-converted-space"/>
          <w:b/>
          <w:sz w:val="24"/>
          <w:szCs w:val="24"/>
        </w:rPr>
        <w:t xml:space="preserve">Tabela 2 – Relação dos riscos divulgados e determinação da frequência </w:t>
      </w:r>
    </w:p>
    <w:tbl>
      <w:tblPr>
        <w:tblStyle w:val="Tabelacomgrade"/>
        <w:tblW w:w="5000" w:type="pct"/>
        <w:tblBorders>
          <w:top w:val="single" w:sz="18" w:space="0" w:color="auto"/>
          <w:left w:val="none" w:sz="0" w:space="0" w:color="auto"/>
          <w:right w:val="none" w:sz="0" w:space="0" w:color="auto"/>
        </w:tblBorders>
        <w:tblLook w:val="04A0"/>
      </w:tblPr>
      <w:tblGrid>
        <w:gridCol w:w="3224"/>
        <w:gridCol w:w="2020"/>
        <w:gridCol w:w="2175"/>
        <w:gridCol w:w="1862"/>
      </w:tblGrid>
      <w:tr w:rsidR="000B148B" w:rsidRPr="00712E84" w:rsidTr="00510B7E">
        <w:trPr>
          <w:trHeight w:val="307"/>
        </w:trPr>
        <w:tc>
          <w:tcPr>
            <w:tcW w:w="1737" w:type="pct"/>
            <w:tcBorders>
              <w:top w:val="single" w:sz="18" w:space="0" w:color="auto"/>
              <w:bottom w:val="single" w:sz="4" w:space="0" w:color="auto"/>
            </w:tcBorders>
            <w:shd w:val="clear" w:color="auto" w:fill="F2F2F2" w:themeFill="background1" w:themeFillShade="F2"/>
            <w:vAlign w:val="center"/>
          </w:tcPr>
          <w:p w:rsidR="000B148B" w:rsidRPr="00712E84" w:rsidRDefault="000B148B" w:rsidP="00510B7E">
            <w:pPr>
              <w:jc w:val="center"/>
              <w:rPr>
                <w:rStyle w:val="apple-converted-space"/>
              </w:rPr>
            </w:pPr>
            <w:r w:rsidRPr="00712E84">
              <w:rPr>
                <w:rStyle w:val="apple-converted-space"/>
              </w:rPr>
              <w:t>Categoria de risco</w:t>
            </w:r>
          </w:p>
        </w:tc>
        <w:tc>
          <w:tcPr>
            <w:tcW w:w="1088" w:type="pct"/>
            <w:tcBorders>
              <w:top w:val="single" w:sz="18" w:space="0" w:color="auto"/>
              <w:bottom w:val="single" w:sz="4" w:space="0" w:color="auto"/>
            </w:tcBorders>
            <w:shd w:val="clear" w:color="auto" w:fill="F2F2F2" w:themeFill="background1" w:themeFillShade="F2"/>
            <w:vAlign w:val="center"/>
          </w:tcPr>
          <w:p w:rsidR="000B148B" w:rsidRPr="00712E84" w:rsidRDefault="000B148B" w:rsidP="00510B7E">
            <w:pPr>
              <w:jc w:val="center"/>
              <w:rPr>
                <w:rStyle w:val="apple-converted-space"/>
              </w:rPr>
            </w:pPr>
            <w:r w:rsidRPr="00712E84">
              <w:rPr>
                <w:rStyle w:val="apple-converted-space"/>
              </w:rPr>
              <w:t>Quantidade de demonstrações</w:t>
            </w:r>
          </w:p>
        </w:tc>
        <w:tc>
          <w:tcPr>
            <w:tcW w:w="1172" w:type="pct"/>
            <w:tcBorders>
              <w:top w:val="single" w:sz="18" w:space="0" w:color="auto"/>
              <w:bottom w:val="single" w:sz="4" w:space="0" w:color="auto"/>
            </w:tcBorders>
            <w:shd w:val="clear" w:color="auto" w:fill="F2F2F2" w:themeFill="background1" w:themeFillShade="F2"/>
            <w:vAlign w:val="center"/>
          </w:tcPr>
          <w:p w:rsidR="000B148B" w:rsidRPr="00712E84" w:rsidRDefault="000B148B" w:rsidP="00510B7E">
            <w:pPr>
              <w:jc w:val="center"/>
              <w:rPr>
                <w:rStyle w:val="apple-converted-space"/>
              </w:rPr>
            </w:pPr>
            <w:r w:rsidRPr="00712E84">
              <w:rPr>
                <w:rStyle w:val="apple-converted-space"/>
              </w:rPr>
              <w:t>Frequência de casos</w:t>
            </w:r>
          </w:p>
          <w:p w:rsidR="000B148B" w:rsidRPr="00712E84" w:rsidRDefault="000B148B" w:rsidP="00510B7E">
            <w:pPr>
              <w:jc w:val="center"/>
              <w:rPr>
                <w:rStyle w:val="apple-converted-space"/>
              </w:rPr>
            </w:pPr>
            <w:r w:rsidRPr="00712E84">
              <w:rPr>
                <w:rStyle w:val="apple-converted-space"/>
              </w:rPr>
              <w:t>em relação ao todo</w:t>
            </w:r>
          </w:p>
        </w:tc>
        <w:tc>
          <w:tcPr>
            <w:tcW w:w="1003" w:type="pct"/>
            <w:tcBorders>
              <w:top w:val="single" w:sz="18" w:space="0" w:color="auto"/>
              <w:bottom w:val="single" w:sz="4" w:space="0" w:color="auto"/>
            </w:tcBorders>
            <w:shd w:val="clear" w:color="auto" w:fill="F2F2F2" w:themeFill="background1" w:themeFillShade="F2"/>
            <w:vAlign w:val="center"/>
          </w:tcPr>
          <w:p w:rsidR="000B148B" w:rsidRPr="00712E84" w:rsidRDefault="000B148B" w:rsidP="00510B7E">
            <w:pPr>
              <w:jc w:val="center"/>
              <w:rPr>
                <w:rStyle w:val="apple-converted-space"/>
              </w:rPr>
            </w:pPr>
            <w:r w:rsidRPr="00712E84">
              <w:rPr>
                <w:rStyle w:val="apple-converted-space"/>
              </w:rPr>
              <w:t>Frequência de aparecimento</w:t>
            </w:r>
          </w:p>
        </w:tc>
      </w:tr>
      <w:tr w:rsidR="000B148B" w:rsidRPr="00712E84" w:rsidTr="00510B7E">
        <w:tc>
          <w:tcPr>
            <w:tcW w:w="1737" w:type="pct"/>
            <w:tcBorders>
              <w:top w:val="single" w:sz="4" w:space="0" w:color="auto"/>
            </w:tcBorders>
            <w:vAlign w:val="center"/>
          </w:tcPr>
          <w:p w:rsidR="000B148B" w:rsidRPr="00712E84" w:rsidRDefault="000B148B" w:rsidP="00510B7E">
            <w:pPr>
              <w:jc w:val="center"/>
              <w:rPr>
                <w:rStyle w:val="apple-converted-space"/>
              </w:rPr>
            </w:pPr>
            <w:r w:rsidRPr="00712E84">
              <w:rPr>
                <w:rStyle w:val="apple-converted-space"/>
              </w:rPr>
              <w:t>Risco Cambial</w:t>
            </w:r>
          </w:p>
        </w:tc>
        <w:tc>
          <w:tcPr>
            <w:tcW w:w="1088" w:type="pct"/>
            <w:tcBorders>
              <w:top w:val="single" w:sz="4" w:space="0" w:color="auto"/>
            </w:tcBorders>
            <w:vAlign w:val="center"/>
          </w:tcPr>
          <w:p w:rsidR="000B148B" w:rsidRPr="00712E84" w:rsidRDefault="000B148B" w:rsidP="00510B7E">
            <w:pPr>
              <w:jc w:val="center"/>
              <w:rPr>
                <w:rStyle w:val="apple-converted-space"/>
              </w:rPr>
            </w:pPr>
            <w:r w:rsidRPr="00712E84">
              <w:rPr>
                <w:rStyle w:val="apple-converted-space"/>
              </w:rPr>
              <w:t>43</w:t>
            </w:r>
          </w:p>
        </w:tc>
        <w:tc>
          <w:tcPr>
            <w:tcW w:w="1172" w:type="pct"/>
            <w:tcBorders>
              <w:top w:val="single" w:sz="4" w:space="0" w:color="auto"/>
            </w:tcBorders>
            <w:vAlign w:val="center"/>
          </w:tcPr>
          <w:p w:rsidR="000B148B" w:rsidRPr="00712E84" w:rsidRDefault="000B148B" w:rsidP="00510B7E">
            <w:pPr>
              <w:jc w:val="center"/>
              <w:rPr>
                <w:rStyle w:val="apple-converted-space"/>
              </w:rPr>
            </w:pPr>
            <w:r w:rsidRPr="00712E84">
              <w:rPr>
                <w:rStyle w:val="apple-converted-space"/>
              </w:rPr>
              <w:t>89,58%</w:t>
            </w:r>
          </w:p>
        </w:tc>
        <w:tc>
          <w:tcPr>
            <w:tcW w:w="1003" w:type="pct"/>
            <w:tcBorders>
              <w:top w:val="single" w:sz="4" w:space="0" w:color="auto"/>
            </w:tcBorders>
            <w:vAlign w:val="center"/>
          </w:tcPr>
          <w:p w:rsidR="000B148B" w:rsidRPr="00712E84" w:rsidRDefault="000B148B" w:rsidP="00510B7E">
            <w:pPr>
              <w:jc w:val="center"/>
              <w:rPr>
                <w:rStyle w:val="apple-converted-space"/>
              </w:rPr>
            </w:pPr>
            <w:r w:rsidRPr="00712E84">
              <w:rPr>
                <w:rStyle w:val="apple-converted-space"/>
              </w:rPr>
              <w:t>17,47%</w:t>
            </w:r>
          </w:p>
        </w:tc>
      </w:tr>
      <w:tr w:rsidR="000B148B" w:rsidRPr="00712E84" w:rsidTr="00510B7E">
        <w:trPr>
          <w:trHeight w:val="191"/>
        </w:trPr>
        <w:tc>
          <w:tcPr>
            <w:tcW w:w="1737" w:type="pct"/>
            <w:vAlign w:val="center"/>
          </w:tcPr>
          <w:p w:rsidR="000B148B" w:rsidRPr="00712E84" w:rsidRDefault="000B148B" w:rsidP="00510B7E">
            <w:pPr>
              <w:jc w:val="center"/>
              <w:rPr>
                <w:rStyle w:val="apple-converted-space"/>
              </w:rPr>
            </w:pPr>
            <w:r w:rsidRPr="00712E84">
              <w:rPr>
                <w:rStyle w:val="apple-converted-space"/>
              </w:rPr>
              <w:t>Risco de capital</w:t>
            </w:r>
          </w:p>
        </w:tc>
        <w:tc>
          <w:tcPr>
            <w:tcW w:w="1088" w:type="pct"/>
            <w:vAlign w:val="center"/>
          </w:tcPr>
          <w:p w:rsidR="000B148B" w:rsidRPr="00712E84" w:rsidRDefault="000B148B" w:rsidP="00510B7E">
            <w:pPr>
              <w:jc w:val="center"/>
              <w:rPr>
                <w:rStyle w:val="apple-converted-space"/>
              </w:rPr>
            </w:pPr>
            <w:r w:rsidRPr="00712E84">
              <w:rPr>
                <w:rStyle w:val="apple-converted-space"/>
              </w:rPr>
              <w:t>8</w:t>
            </w:r>
          </w:p>
        </w:tc>
        <w:tc>
          <w:tcPr>
            <w:tcW w:w="1172" w:type="pct"/>
            <w:vAlign w:val="center"/>
          </w:tcPr>
          <w:p w:rsidR="000B148B" w:rsidRPr="00712E84" w:rsidRDefault="000B148B" w:rsidP="00510B7E">
            <w:pPr>
              <w:jc w:val="center"/>
              <w:rPr>
                <w:rStyle w:val="apple-converted-space"/>
              </w:rPr>
            </w:pPr>
            <w:r w:rsidRPr="00712E84">
              <w:rPr>
                <w:rStyle w:val="apple-converted-space"/>
              </w:rPr>
              <w:t>16,66%</w:t>
            </w:r>
          </w:p>
        </w:tc>
        <w:tc>
          <w:tcPr>
            <w:tcW w:w="1003" w:type="pct"/>
            <w:vAlign w:val="center"/>
          </w:tcPr>
          <w:p w:rsidR="000B148B" w:rsidRPr="00712E84" w:rsidRDefault="000B148B" w:rsidP="00510B7E">
            <w:pPr>
              <w:jc w:val="center"/>
              <w:rPr>
                <w:rStyle w:val="apple-converted-space"/>
              </w:rPr>
            </w:pPr>
            <w:r w:rsidRPr="00712E84">
              <w:rPr>
                <w:rStyle w:val="apple-converted-space"/>
              </w:rPr>
              <w:t>3,25%</w:t>
            </w:r>
          </w:p>
        </w:tc>
      </w:tr>
      <w:tr w:rsidR="000B148B" w:rsidRPr="00712E84" w:rsidTr="00510B7E">
        <w:trPr>
          <w:trHeight w:val="173"/>
        </w:trPr>
        <w:tc>
          <w:tcPr>
            <w:tcW w:w="1737" w:type="pct"/>
            <w:vAlign w:val="center"/>
          </w:tcPr>
          <w:p w:rsidR="000B148B" w:rsidRPr="00712E84" w:rsidRDefault="000B148B" w:rsidP="00510B7E">
            <w:pPr>
              <w:jc w:val="center"/>
              <w:rPr>
                <w:rStyle w:val="apple-converted-space"/>
              </w:rPr>
            </w:pPr>
            <w:r w:rsidRPr="00712E84">
              <w:rPr>
                <w:rStyle w:val="apple-converted-space"/>
              </w:rPr>
              <w:t>Risco de contraparte</w:t>
            </w:r>
          </w:p>
        </w:tc>
        <w:tc>
          <w:tcPr>
            <w:tcW w:w="1088" w:type="pct"/>
            <w:vAlign w:val="center"/>
          </w:tcPr>
          <w:p w:rsidR="000B148B" w:rsidRPr="00712E84" w:rsidRDefault="000B148B" w:rsidP="00510B7E">
            <w:pPr>
              <w:jc w:val="center"/>
              <w:rPr>
                <w:rStyle w:val="apple-converted-space"/>
              </w:rPr>
            </w:pPr>
            <w:r w:rsidRPr="00712E84">
              <w:rPr>
                <w:rStyle w:val="apple-converted-space"/>
              </w:rPr>
              <w:t>4</w:t>
            </w:r>
          </w:p>
        </w:tc>
        <w:tc>
          <w:tcPr>
            <w:tcW w:w="1172" w:type="pct"/>
            <w:vAlign w:val="center"/>
          </w:tcPr>
          <w:p w:rsidR="000B148B" w:rsidRPr="00712E84" w:rsidRDefault="000B148B" w:rsidP="00510B7E">
            <w:pPr>
              <w:jc w:val="center"/>
              <w:rPr>
                <w:rStyle w:val="apple-converted-space"/>
              </w:rPr>
            </w:pPr>
            <w:r w:rsidRPr="00712E84">
              <w:rPr>
                <w:rStyle w:val="apple-converted-space"/>
              </w:rPr>
              <w:t>8,33%</w:t>
            </w:r>
          </w:p>
        </w:tc>
        <w:tc>
          <w:tcPr>
            <w:tcW w:w="1003" w:type="pct"/>
            <w:vAlign w:val="center"/>
          </w:tcPr>
          <w:p w:rsidR="000B148B" w:rsidRPr="00712E84" w:rsidRDefault="000B148B" w:rsidP="00510B7E">
            <w:pPr>
              <w:jc w:val="center"/>
              <w:rPr>
                <w:rStyle w:val="apple-converted-space"/>
              </w:rPr>
            </w:pPr>
            <w:r w:rsidRPr="00712E84">
              <w:rPr>
                <w:rStyle w:val="apple-converted-space"/>
              </w:rPr>
              <w:t>1,62%</w:t>
            </w:r>
          </w:p>
        </w:tc>
      </w:tr>
      <w:tr w:rsidR="000B148B" w:rsidRPr="00712E84" w:rsidTr="00510B7E">
        <w:trPr>
          <w:trHeight w:val="265"/>
        </w:trPr>
        <w:tc>
          <w:tcPr>
            <w:tcW w:w="1737" w:type="pct"/>
            <w:vAlign w:val="center"/>
          </w:tcPr>
          <w:p w:rsidR="000B148B" w:rsidRPr="00712E84" w:rsidRDefault="000B148B" w:rsidP="00510B7E">
            <w:pPr>
              <w:jc w:val="center"/>
              <w:rPr>
                <w:rStyle w:val="apple-converted-space"/>
              </w:rPr>
            </w:pPr>
            <w:r w:rsidRPr="00712E84">
              <w:rPr>
                <w:rStyle w:val="apple-converted-space"/>
              </w:rPr>
              <w:t>Risco de crédito</w:t>
            </w:r>
          </w:p>
        </w:tc>
        <w:tc>
          <w:tcPr>
            <w:tcW w:w="1088" w:type="pct"/>
            <w:vAlign w:val="center"/>
          </w:tcPr>
          <w:p w:rsidR="000B148B" w:rsidRPr="00712E84" w:rsidRDefault="000B148B" w:rsidP="00510B7E">
            <w:pPr>
              <w:jc w:val="center"/>
              <w:rPr>
                <w:rStyle w:val="apple-converted-space"/>
              </w:rPr>
            </w:pPr>
            <w:r w:rsidRPr="00712E84">
              <w:rPr>
                <w:rStyle w:val="apple-converted-space"/>
              </w:rPr>
              <w:t>46</w:t>
            </w:r>
          </w:p>
        </w:tc>
        <w:tc>
          <w:tcPr>
            <w:tcW w:w="1172" w:type="pct"/>
            <w:vAlign w:val="center"/>
          </w:tcPr>
          <w:p w:rsidR="000B148B" w:rsidRPr="00712E84" w:rsidRDefault="000B148B" w:rsidP="00510B7E">
            <w:pPr>
              <w:jc w:val="center"/>
              <w:rPr>
                <w:rStyle w:val="apple-converted-space"/>
              </w:rPr>
            </w:pPr>
            <w:r w:rsidRPr="00712E84">
              <w:rPr>
                <w:rStyle w:val="apple-converted-space"/>
              </w:rPr>
              <w:t>95,83%</w:t>
            </w:r>
          </w:p>
        </w:tc>
        <w:tc>
          <w:tcPr>
            <w:tcW w:w="1003" w:type="pct"/>
            <w:vAlign w:val="center"/>
          </w:tcPr>
          <w:p w:rsidR="000B148B" w:rsidRPr="00712E84" w:rsidRDefault="000B148B" w:rsidP="00510B7E">
            <w:pPr>
              <w:jc w:val="center"/>
              <w:rPr>
                <w:rStyle w:val="apple-converted-space"/>
              </w:rPr>
            </w:pPr>
            <w:r w:rsidRPr="00712E84">
              <w:rPr>
                <w:rStyle w:val="apple-converted-space"/>
              </w:rPr>
              <w:t>18,69%</w:t>
            </w:r>
          </w:p>
        </w:tc>
      </w:tr>
      <w:tr w:rsidR="000B148B" w:rsidRPr="00712E84" w:rsidTr="00510B7E">
        <w:tc>
          <w:tcPr>
            <w:tcW w:w="1737" w:type="pct"/>
            <w:vAlign w:val="center"/>
          </w:tcPr>
          <w:p w:rsidR="000B148B" w:rsidRPr="00712E84" w:rsidRDefault="000B148B" w:rsidP="00510B7E">
            <w:pPr>
              <w:jc w:val="center"/>
              <w:rPr>
                <w:rStyle w:val="apple-converted-space"/>
              </w:rPr>
            </w:pPr>
            <w:r w:rsidRPr="00712E84">
              <w:rPr>
                <w:rStyle w:val="apple-converted-space"/>
              </w:rPr>
              <w:t>Risco de elevação da inflação</w:t>
            </w:r>
          </w:p>
        </w:tc>
        <w:tc>
          <w:tcPr>
            <w:tcW w:w="1088" w:type="pct"/>
            <w:vAlign w:val="center"/>
          </w:tcPr>
          <w:p w:rsidR="000B148B" w:rsidRPr="00712E84" w:rsidRDefault="000B148B" w:rsidP="00510B7E">
            <w:pPr>
              <w:jc w:val="center"/>
              <w:rPr>
                <w:rStyle w:val="apple-converted-space"/>
              </w:rPr>
            </w:pPr>
            <w:r w:rsidRPr="00712E84">
              <w:rPr>
                <w:rStyle w:val="apple-converted-space"/>
              </w:rPr>
              <w:t>2</w:t>
            </w:r>
          </w:p>
        </w:tc>
        <w:tc>
          <w:tcPr>
            <w:tcW w:w="1172" w:type="pct"/>
            <w:vAlign w:val="center"/>
          </w:tcPr>
          <w:p w:rsidR="000B148B" w:rsidRPr="00712E84" w:rsidRDefault="000B148B" w:rsidP="00510B7E">
            <w:pPr>
              <w:jc w:val="center"/>
              <w:rPr>
                <w:rStyle w:val="apple-converted-space"/>
              </w:rPr>
            </w:pPr>
            <w:r w:rsidRPr="00712E84">
              <w:rPr>
                <w:rStyle w:val="apple-converted-space"/>
              </w:rPr>
              <w:t>4,16%</w:t>
            </w:r>
          </w:p>
        </w:tc>
        <w:tc>
          <w:tcPr>
            <w:tcW w:w="1003" w:type="pct"/>
            <w:vAlign w:val="center"/>
          </w:tcPr>
          <w:p w:rsidR="000B148B" w:rsidRPr="00712E84" w:rsidRDefault="000B148B" w:rsidP="00510B7E">
            <w:pPr>
              <w:jc w:val="center"/>
              <w:rPr>
                <w:rStyle w:val="apple-converted-space"/>
              </w:rPr>
            </w:pPr>
            <w:r w:rsidRPr="00712E84">
              <w:rPr>
                <w:rStyle w:val="apple-converted-space"/>
              </w:rPr>
              <w:t>0,81%</w:t>
            </w:r>
          </w:p>
        </w:tc>
      </w:tr>
      <w:tr w:rsidR="000B148B" w:rsidRPr="00712E84" w:rsidTr="00510B7E">
        <w:trPr>
          <w:trHeight w:val="180"/>
        </w:trPr>
        <w:tc>
          <w:tcPr>
            <w:tcW w:w="1737" w:type="pct"/>
            <w:vAlign w:val="center"/>
          </w:tcPr>
          <w:p w:rsidR="000B148B" w:rsidRPr="00712E84" w:rsidRDefault="000B148B" w:rsidP="00510B7E">
            <w:pPr>
              <w:jc w:val="center"/>
              <w:rPr>
                <w:rStyle w:val="apple-converted-space"/>
              </w:rPr>
            </w:pPr>
            <w:r w:rsidRPr="00712E84">
              <w:rPr>
                <w:rStyle w:val="apple-converted-space"/>
              </w:rPr>
              <w:t>Risco de encargo de divida</w:t>
            </w:r>
          </w:p>
        </w:tc>
        <w:tc>
          <w:tcPr>
            <w:tcW w:w="1088" w:type="pct"/>
            <w:vAlign w:val="center"/>
          </w:tcPr>
          <w:p w:rsidR="000B148B" w:rsidRPr="00712E84" w:rsidRDefault="000B148B" w:rsidP="00510B7E">
            <w:pPr>
              <w:jc w:val="center"/>
              <w:rPr>
                <w:rStyle w:val="apple-converted-space"/>
              </w:rPr>
            </w:pPr>
            <w:r w:rsidRPr="00712E84">
              <w:rPr>
                <w:rStyle w:val="apple-converted-space"/>
              </w:rPr>
              <w:t>3</w:t>
            </w:r>
          </w:p>
        </w:tc>
        <w:tc>
          <w:tcPr>
            <w:tcW w:w="1172" w:type="pct"/>
            <w:vAlign w:val="center"/>
          </w:tcPr>
          <w:p w:rsidR="000B148B" w:rsidRPr="00712E84" w:rsidRDefault="000B148B" w:rsidP="00510B7E">
            <w:pPr>
              <w:jc w:val="center"/>
              <w:rPr>
                <w:rStyle w:val="apple-converted-space"/>
              </w:rPr>
            </w:pPr>
            <w:r w:rsidRPr="00712E84">
              <w:rPr>
                <w:rStyle w:val="apple-converted-space"/>
              </w:rPr>
              <w:t>6,25%</w:t>
            </w:r>
          </w:p>
        </w:tc>
        <w:tc>
          <w:tcPr>
            <w:tcW w:w="1003" w:type="pct"/>
            <w:vAlign w:val="center"/>
          </w:tcPr>
          <w:p w:rsidR="000B148B" w:rsidRPr="00712E84" w:rsidRDefault="000B148B" w:rsidP="00510B7E">
            <w:pPr>
              <w:jc w:val="center"/>
              <w:rPr>
                <w:rStyle w:val="apple-converted-space"/>
              </w:rPr>
            </w:pPr>
            <w:r w:rsidRPr="00712E84">
              <w:rPr>
                <w:rStyle w:val="apple-converted-space"/>
              </w:rPr>
              <w:t>1,21%</w:t>
            </w:r>
          </w:p>
        </w:tc>
      </w:tr>
      <w:tr w:rsidR="000B148B" w:rsidRPr="00712E84" w:rsidTr="00510B7E">
        <w:trPr>
          <w:trHeight w:val="272"/>
        </w:trPr>
        <w:tc>
          <w:tcPr>
            <w:tcW w:w="1737" w:type="pct"/>
            <w:vAlign w:val="center"/>
          </w:tcPr>
          <w:p w:rsidR="000B148B" w:rsidRPr="00712E84" w:rsidRDefault="000B148B" w:rsidP="00510B7E">
            <w:pPr>
              <w:jc w:val="center"/>
              <w:rPr>
                <w:rStyle w:val="apple-converted-space"/>
              </w:rPr>
            </w:pPr>
            <w:r w:rsidRPr="00712E84">
              <w:rPr>
                <w:rStyle w:val="apple-converted-space"/>
              </w:rPr>
              <w:t>Risco de escassez de energia</w:t>
            </w:r>
          </w:p>
        </w:tc>
        <w:tc>
          <w:tcPr>
            <w:tcW w:w="1088" w:type="pct"/>
            <w:vAlign w:val="center"/>
          </w:tcPr>
          <w:p w:rsidR="000B148B" w:rsidRPr="00712E84" w:rsidRDefault="000B148B" w:rsidP="00510B7E">
            <w:pPr>
              <w:jc w:val="center"/>
              <w:rPr>
                <w:rStyle w:val="apple-converted-space"/>
              </w:rPr>
            </w:pPr>
            <w:r w:rsidRPr="00712E84">
              <w:rPr>
                <w:rStyle w:val="apple-converted-space"/>
              </w:rPr>
              <w:t>2</w:t>
            </w:r>
          </w:p>
        </w:tc>
        <w:tc>
          <w:tcPr>
            <w:tcW w:w="1172" w:type="pct"/>
            <w:vAlign w:val="center"/>
          </w:tcPr>
          <w:p w:rsidR="000B148B" w:rsidRPr="00712E84" w:rsidRDefault="000B148B" w:rsidP="00510B7E">
            <w:pPr>
              <w:jc w:val="center"/>
              <w:rPr>
                <w:rStyle w:val="apple-converted-space"/>
              </w:rPr>
            </w:pPr>
            <w:r w:rsidRPr="00712E84">
              <w:rPr>
                <w:rStyle w:val="apple-converted-space"/>
              </w:rPr>
              <w:t>4,16%</w:t>
            </w:r>
          </w:p>
        </w:tc>
        <w:tc>
          <w:tcPr>
            <w:tcW w:w="1003" w:type="pct"/>
            <w:vAlign w:val="center"/>
          </w:tcPr>
          <w:p w:rsidR="000B148B" w:rsidRPr="00712E84" w:rsidRDefault="000B148B" w:rsidP="00510B7E">
            <w:pPr>
              <w:jc w:val="center"/>
              <w:rPr>
                <w:rStyle w:val="apple-converted-space"/>
              </w:rPr>
            </w:pPr>
            <w:r w:rsidRPr="00712E84">
              <w:rPr>
                <w:rStyle w:val="apple-converted-space"/>
              </w:rPr>
              <w:t>0,81%</w:t>
            </w:r>
          </w:p>
        </w:tc>
      </w:tr>
      <w:tr w:rsidR="000B148B" w:rsidRPr="00712E84" w:rsidTr="00510B7E">
        <w:tc>
          <w:tcPr>
            <w:tcW w:w="1737" w:type="pct"/>
            <w:vAlign w:val="center"/>
          </w:tcPr>
          <w:p w:rsidR="000B148B" w:rsidRPr="00712E84" w:rsidRDefault="000B148B" w:rsidP="00510B7E">
            <w:pPr>
              <w:jc w:val="center"/>
              <w:rPr>
                <w:rStyle w:val="apple-converted-space"/>
              </w:rPr>
            </w:pPr>
            <w:r w:rsidRPr="00712E84">
              <w:rPr>
                <w:rStyle w:val="apple-converted-space"/>
              </w:rPr>
              <w:t>Risco de fraude</w:t>
            </w:r>
          </w:p>
        </w:tc>
        <w:tc>
          <w:tcPr>
            <w:tcW w:w="1088" w:type="pct"/>
            <w:vAlign w:val="center"/>
          </w:tcPr>
          <w:p w:rsidR="000B148B" w:rsidRPr="00712E84" w:rsidRDefault="000B148B" w:rsidP="00510B7E">
            <w:pPr>
              <w:jc w:val="center"/>
              <w:rPr>
                <w:rStyle w:val="apple-converted-space"/>
              </w:rPr>
            </w:pPr>
            <w:r w:rsidRPr="00712E84">
              <w:rPr>
                <w:rStyle w:val="apple-converted-space"/>
              </w:rPr>
              <w:t>1</w:t>
            </w:r>
          </w:p>
        </w:tc>
        <w:tc>
          <w:tcPr>
            <w:tcW w:w="1172" w:type="pct"/>
            <w:vAlign w:val="center"/>
          </w:tcPr>
          <w:p w:rsidR="000B148B" w:rsidRPr="00712E84" w:rsidRDefault="000B148B" w:rsidP="00510B7E">
            <w:pPr>
              <w:jc w:val="center"/>
              <w:rPr>
                <w:rStyle w:val="apple-converted-space"/>
              </w:rPr>
            </w:pPr>
            <w:r w:rsidRPr="00712E84">
              <w:rPr>
                <w:rStyle w:val="apple-converted-space"/>
              </w:rPr>
              <w:t>2,08%</w:t>
            </w:r>
          </w:p>
        </w:tc>
        <w:tc>
          <w:tcPr>
            <w:tcW w:w="1003" w:type="pct"/>
            <w:vAlign w:val="center"/>
          </w:tcPr>
          <w:p w:rsidR="000B148B" w:rsidRPr="00712E84" w:rsidRDefault="000B148B" w:rsidP="00510B7E">
            <w:pPr>
              <w:jc w:val="center"/>
              <w:rPr>
                <w:rStyle w:val="apple-converted-space"/>
              </w:rPr>
            </w:pPr>
            <w:r w:rsidRPr="00712E84">
              <w:rPr>
                <w:rStyle w:val="apple-converted-space"/>
              </w:rPr>
              <w:t>0,40%</w:t>
            </w:r>
          </w:p>
        </w:tc>
      </w:tr>
      <w:tr w:rsidR="000B148B" w:rsidRPr="00712E84" w:rsidTr="00510B7E">
        <w:trPr>
          <w:trHeight w:val="70"/>
        </w:trPr>
        <w:tc>
          <w:tcPr>
            <w:tcW w:w="1737" w:type="pct"/>
            <w:vAlign w:val="center"/>
          </w:tcPr>
          <w:p w:rsidR="000B148B" w:rsidRPr="00712E84" w:rsidRDefault="000B148B" w:rsidP="00510B7E">
            <w:pPr>
              <w:jc w:val="center"/>
              <w:rPr>
                <w:rStyle w:val="apple-converted-space"/>
              </w:rPr>
            </w:pPr>
            <w:r w:rsidRPr="00712E84">
              <w:rPr>
                <w:rStyle w:val="apple-converted-space"/>
              </w:rPr>
              <w:t>Risco de liquidez</w:t>
            </w:r>
          </w:p>
        </w:tc>
        <w:tc>
          <w:tcPr>
            <w:tcW w:w="1088" w:type="pct"/>
            <w:vAlign w:val="center"/>
          </w:tcPr>
          <w:p w:rsidR="000B148B" w:rsidRPr="00712E84" w:rsidRDefault="000B148B" w:rsidP="00510B7E">
            <w:pPr>
              <w:jc w:val="center"/>
              <w:rPr>
                <w:rStyle w:val="apple-converted-space"/>
              </w:rPr>
            </w:pPr>
            <w:r w:rsidRPr="00712E84">
              <w:rPr>
                <w:rStyle w:val="apple-converted-space"/>
              </w:rPr>
              <w:t>44</w:t>
            </w:r>
          </w:p>
        </w:tc>
        <w:tc>
          <w:tcPr>
            <w:tcW w:w="1172" w:type="pct"/>
            <w:vAlign w:val="center"/>
          </w:tcPr>
          <w:p w:rsidR="000B148B" w:rsidRPr="00712E84" w:rsidRDefault="000B148B" w:rsidP="00510B7E">
            <w:pPr>
              <w:jc w:val="center"/>
              <w:rPr>
                <w:rStyle w:val="apple-converted-space"/>
              </w:rPr>
            </w:pPr>
            <w:r w:rsidRPr="00712E84">
              <w:rPr>
                <w:rStyle w:val="apple-converted-space"/>
              </w:rPr>
              <w:t>91,66%</w:t>
            </w:r>
          </w:p>
        </w:tc>
        <w:tc>
          <w:tcPr>
            <w:tcW w:w="1003" w:type="pct"/>
            <w:vAlign w:val="center"/>
          </w:tcPr>
          <w:p w:rsidR="000B148B" w:rsidRPr="00712E84" w:rsidRDefault="000B148B" w:rsidP="00510B7E">
            <w:pPr>
              <w:jc w:val="center"/>
              <w:rPr>
                <w:rStyle w:val="apple-converted-space"/>
              </w:rPr>
            </w:pPr>
            <w:r w:rsidRPr="00712E84">
              <w:rPr>
                <w:rStyle w:val="apple-converted-space"/>
              </w:rPr>
              <w:t>17,88%</w:t>
            </w:r>
          </w:p>
        </w:tc>
      </w:tr>
      <w:tr w:rsidR="000B148B" w:rsidRPr="00712E84" w:rsidTr="00510B7E">
        <w:tc>
          <w:tcPr>
            <w:tcW w:w="1737" w:type="pct"/>
            <w:vAlign w:val="center"/>
          </w:tcPr>
          <w:p w:rsidR="000B148B" w:rsidRPr="00712E84" w:rsidRDefault="000B148B" w:rsidP="00510B7E">
            <w:pPr>
              <w:jc w:val="center"/>
              <w:rPr>
                <w:rStyle w:val="apple-converted-space"/>
              </w:rPr>
            </w:pPr>
            <w:r w:rsidRPr="00712E84">
              <w:rPr>
                <w:rStyle w:val="apple-converted-space"/>
              </w:rPr>
              <w:t>Risco de subscrição</w:t>
            </w:r>
          </w:p>
        </w:tc>
        <w:tc>
          <w:tcPr>
            <w:tcW w:w="1088" w:type="pct"/>
            <w:vAlign w:val="center"/>
          </w:tcPr>
          <w:p w:rsidR="000B148B" w:rsidRPr="00712E84" w:rsidRDefault="000B148B" w:rsidP="00510B7E">
            <w:pPr>
              <w:jc w:val="center"/>
              <w:rPr>
                <w:rStyle w:val="apple-converted-space"/>
              </w:rPr>
            </w:pPr>
            <w:r w:rsidRPr="00712E84">
              <w:rPr>
                <w:rStyle w:val="apple-converted-space"/>
              </w:rPr>
              <w:t>1</w:t>
            </w:r>
          </w:p>
        </w:tc>
        <w:tc>
          <w:tcPr>
            <w:tcW w:w="1172" w:type="pct"/>
            <w:vAlign w:val="center"/>
          </w:tcPr>
          <w:p w:rsidR="000B148B" w:rsidRPr="00712E84" w:rsidRDefault="000B148B" w:rsidP="00510B7E">
            <w:pPr>
              <w:jc w:val="center"/>
              <w:rPr>
                <w:rStyle w:val="apple-converted-space"/>
              </w:rPr>
            </w:pPr>
            <w:r w:rsidRPr="00712E84">
              <w:rPr>
                <w:rStyle w:val="apple-converted-space"/>
              </w:rPr>
              <w:t>2,08%</w:t>
            </w:r>
          </w:p>
        </w:tc>
        <w:tc>
          <w:tcPr>
            <w:tcW w:w="1003" w:type="pct"/>
            <w:vAlign w:val="center"/>
          </w:tcPr>
          <w:p w:rsidR="000B148B" w:rsidRPr="00712E84" w:rsidRDefault="000B148B" w:rsidP="00510B7E">
            <w:pPr>
              <w:jc w:val="center"/>
              <w:rPr>
                <w:rStyle w:val="apple-converted-space"/>
              </w:rPr>
            </w:pPr>
            <w:r w:rsidRPr="00712E84">
              <w:rPr>
                <w:rStyle w:val="apple-converted-space"/>
              </w:rPr>
              <w:t>0,40%</w:t>
            </w:r>
          </w:p>
        </w:tc>
      </w:tr>
      <w:tr w:rsidR="000B148B" w:rsidRPr="00712E84" w:rsidTr="00510B7E">
        <w:trPr>
          <w:trHeight w:val="185"/>
        </w:trPr>
        <w:tc>
          <w:tcPr>
            <w:tcW w:w="1737" w:type="pct"/>
            <w:vAlign w:val="center"/>
          </w:tcPr>
          <w:p w:rsidR="000B148B" w:rsidRPr="00712E84" w:rsidRDefault="000B148B" w:rsidP="00510B7E">
            <w:pPr>
              <w:jc w:val="center"/>
              <w:rPr>
                <w:rStyle w:val="apple-converted-space"/>
              </w:rPr>
            </w:pPr>
            <w:r w:rsidRPr="00712E84">
              <w:rPr>
                <w:rStyle w:val="apple-converted-space"/>
              </w:rPr>
              <w:t>Risco de Taxa de Juros</w:t>
            </w:r>
          </w:p>
        </w:tc>
        <w:tc>
          <w:tcPr>
            <w:tcW w:w="1088" w:type="pct"/>
            <w:vAlign w:val="center"/>
          </w:tcPr>
          <w:p w:rsidR="000B148B" w:rsidRPr="00712E84" w:rsidRDefault="000B148B" w:rsidP="00510B7E">
            <w:pPr>
              <w:jc w:val="center"/>
              <w:rPr>
                <w:rStyle w:val="apple-converted-space"/>
              </w:rPr>
            </w:pPr>
            <w:r w:rsidRPr="00712E84">
              <w:rPr>
                <w:rStyle w:val="apple-converted-space"/>
              </w:rPr>
              <w:t>43</w:t>
            </w:r>
          </w:p>
        </w:tc>
        <w:tc>
          <w:tcPr>
            <w:tcW w:w="1172" w:type="pct"/>
            <w:vAlign w:val="center"/>
          </w:tcPr>
          <w:p w:rsidR="000B148B" w:rsidRPr="00712E84" w:rsidRDefault="000B148B" w:rsidP="00510B7E">
            <w:pPr>
              <w:jc w:val="center"/>
              <w:rPr>
                <w:rStyle w:val="apple-converted-space"/>
              </w:rPr>
            </w:pPr>
            <w:r w:rsidRPr="00712E84">
              <w:rPr>
                <w:rStyle w:val="apple-converted-space"/>
              </w:rPr>
              <w:t>89,58%</w:t>
            </w:r>
          </w:p>
        </w:tc>
        <w:tc>
          <w:tcPr>
            <w:tcW w:w="1003" w:type="pct"/>
            <w:vAlign w:val="center"/>
          </w:tcPr>
          <w:p w:rsidR="000B148B" w:rsidRPr="00712E84" w:rsidRDefault="000B148B" w:rsidP="00510B7E">
            <w:pPr>
              <w:jc w:val="center"/>
              <w:rPr>
                <w:rStyle w:val="apple-converted-space"/>
              </w:rPr>
            </w:pPr>
            <w:r w:rsidRPr="00712E84">
              <w:rPr>
                <w:rStyle w:val="apple-converted-space"/>
              </w:rPr>
              <w:t>17,47%</w:t>
            </w:r>
          </w:p>
        </w:tc>
      </w:tr>
      <w:tr w:rsidR="000B148B" w:rsidRPr="00712E84" w:rsidTr="00510B7E">
        <w:tc>
          <w:tcPr>
            <w:tcW w:w="1737" w:type="pct"/>
            <w:vAlign w:val="center"/>
          </w:tcPr>
          <w:p w:rsidR="000B148B" w:rsidRPr="00712E84" w:rsidRDefault="000B148B" w:rsidP="00510B7E">
            <w:pPr>
              <w:jc w:val="center"/>
              <w:rPr>
                <w:rStyle w:val="apple-converted-space"/>
              </w:rPr>
            </w:pPr>
            <w:r w:rsidRPr="00712E84">
              <w:rPr>
                <w:rStyle w:val="apple-converted-space"/>
              </w:rPr>
              <w:t>Risco do preço da ação</w:t>
            </w:r>
          </w:p>
        </w:tc>
        <w:tc>
          <w:tcPr>
            <w:tcW w:w="1088" w:type="pct"/>
            <w:vAlign w:val="center"/>
          </w:tcPr>
          <w:p w:rsidR="000B148B" w:rsidRPr="00712E84" w:rsidRDefault="000B148B" w:rsidP="00510B7E">
            <w:pPr>
              <w:jc w:val="center"/>
              <w:rPr>
                <w:rStyle w:val="apple-converted-space"/>
              </w:rPr>
            </w:pPr>
            <w:r w:rsidRPr="00712E84">
              <w:rPr>
                <w:rStyle w:val="apple-converted-space"/>
              </w:rPr>
              <w:t>9</w:t>
            </w:r>
          </w:p>
        </w:tc>
        <w:tc>
          <w:tcPr>
            <w:tcW w:w="1172" w:type="pct"/>
            <w:vAlign w:val="center"/>
          </w:tcPr>
          <w:p w:rsidR="000B148B" w:rsidRPr="00712E84" w:rsidRDefault="000B148B" w:rsidP="00510B7E">
            <w:pPr>
              <w:jc w:val="center"/>
              <w:rPr>
                <w:rStyle w:val="apple-converted-space"/>
              </w:rPr>
            </w:pPr>
            <w:r w:rsidRPr="00712E84">
              <w:rPr>
                <w:rStyle w:val="apple-converted-space"/>
              </w:rPr>
              <w:t>18,75%</w:t>
            </w:r>
          </w:p>
        </w:tc>
        <w:tc>
          <w:tcPr>
            <w:tcW w:w="1003" w:type="pct"/>
            <w:vAlign w:val="center"/>
          </w:tcPr>
          <w:p w:rsidR="000B148B" w:rsidRPr="00712E84" w:rsidRDefault="000B148B" w:rsidP="00510B7E">
            <w:pPr>
              <w:jc w:val="center"/>
              <w:rPr>
                <w:rStyle w:val="apple-converted-space"/>
              </w:rPr>
            </w:pPr>
            <w:r w:rsidRPr="00712E84">
              <w:rPr>
                <w:rStyle w:val="apple-converted-space"/>
              </w:rPr>
              <w:t>3,65%</w:t>
            </w:r>
          </w:p>
        </w:tc>
      </w:tr>
      <w:tr w:rsidR="000B148B" w:rsidRPr="00712E84" w:rsidTr="00510B7E">
        <w:tc>
          <w:tcPr>
            <w:tcW w:w="1737" w:type="pct"/>
            <w:vAlign w:val="center"/>
          </w:tcPr>
          <w:p w:rsidR="000B148B" w:rsidRPr="00712E84" w:rsidRDefault="000B148B" w:rsidP="00510B7E">
            <w:pPr>
              <w:jc w:val="center"/>
              <w:rPr>
                <w:rStyle w:val="apple-converted-space"/>
              </w:rPr>
            </w:pPr>
            <w:r w:rsidRPr="00712E84">
              <w:rPr>
                <w:rStyle w:val="apple-converted-space"/>
              </w:rPr>
              <w:t>Risco legal</w:t>
            </w:r>
          </w:p>
        </w:tc>
        <w:tc>
          <w:tcPr>
            <w:tcW w:w="1088" w:type="pct"/>
            <w:vAlign w:val="center"/>
          </w:tcPr>
          <w:p w:rsidR="000B148B" w:rsidRPr="00712E84" w:rsidRDefault="000B148B" w:rsidP="00510B7E">
            <w:pPr>
              <w:jc w:val="center"/>
              <w:rPr>
                <w:rStyle w:val="apple-converted-space"/>
              </w:rPr>
            </w:pPr>
            <w:r w:rsidRPr="00712E84">
              <w:rPr>
                <w:rStyle w:val="apple-converted-space"/>
              </w:rPr>
              <w:t>2</w:t>
            </w:r>
          </w:p>
        </w:tc>
        <w:tc>
          <w:tcPr>
            <w:tcW w:w="1172" w:type="pct"/>
            <w:vAlign w:val="center"/>
          </w:tcPr>
          <w:p w:rsidR="000B148B" w:rsidRPr="00712E84" w:rsidRDefault="000B148B" w:rsidP="00510B7E">
            <w:pPr>
              <w:jc w:val="center"/>
              <w:rPr>
                <w:rStyle w:val="apple-converted-space"/>
              </w:rPr>
            </w:pPr>
            <w:r w:rsidRPr="00712E84">
              <w:rPr>
                <w:rStyle w:val="apple-converted-space"/>
              </w:rPr>
              <w:t>4,16%</w:t>
            </w:r>
          </w:p>
        </w:tc>
        <w:tc>
          <w:tcPr>
            <w:tcW w:w="1003" w:type="pct"/>
            <w:vAlign w:val="center"/>
          </w:tcPr>
          <w:p w:rsidR="000B148B" w:rsidRPr="00712E84" w:rsidRDefault="000B148B" w:rsidP="00510B7E">
            <w:pPr>
              <w:jc w:val="center"/>
              <w:rPr>
                <w:rStyle w:val="apple-converted-space"/>
              </w:rPr>
            </w:pPr>
            <w:r w:rsidRPr="00712E84">
              <w:rPr>
                <w:rStyle w:val="apple-converted-space"/>
              </w:rPr>
              <w:t>0,81%</w:t>
            </w:r>
          </w:p>
        </w:tc>
      </w:tr>
      <w:tr w:rsidR="000B148B" w:rsidRPr="00712E84" w:rsidTr="00510B7E">
        <w:trPr>
          <w:trHeight w:val="97"/>
        </w:trPr>
        <w:tc>
          <w:tcPr>
            <w:tcW w:w="1737" w:type="pct"/>
            <w:vAlign w:val="center"/>
          </w:tcPr>
          <w:p w:rsidR="000B148B" w:rsidRPr="00712E84" w:rsidRDefault="000B148B" w:rsidP="00510B7E">
            <w:pPr>
              <w:jc w:val="center"/>
              <w:rPr>
                <w:rStyle w:val="apple-converted-space"/>
              </w:rPr>
            </w:pPr>
            <w:r w:rsidRPr="00712E84">
              <w:rPr>
                <w:rStyle w:val="apple-converted-space"/>
              </w:rPr>
              <w:t>Risco operacional</w:t>
            </w:r>
          </w:p>
        </w:tc>
        <w:tc>
          <w:tcPr>
            <w:tcW w:w="1088" w:type="pct"/>
            <w:vAlign w:val="center"/>
          </w:tcPr>
          <w:p w:rsidR="000B148B" w:rsidRPr="00712E84" w:rsidRDefault="000B148B" w:rsidP="00510B7E">
            <w:pPr>
              <w:jc w:val="center"/>
              <w:rPr>
                <w:rStyle w:val="apple-converted-space"/>
              </w:rPr>
            </w:pPr>
            <w:r w:rsidRPr="00712E84">
              <w:rPr>
                <w:rStyle w:val="apple-converted-space"/>
              </w:rPr>
              <w:t>5</w:t>
            </w:r>
          </w:p>
        </w:tc>
        <w:tc>
          <w:tcPr>
            <w:tcW w:w="1172" w:type="pct"/>
            <w:vAlign w:val="center"/>
          </w:tcPr>
          <w:p w:rsidR="000B148B" w:rsidRPr="00712E84" w:rsidRDefault="000B148B" w:rsidP="00510B7E">
            <w:pPr>
              <w:jc w:val="center"/>
              <w:rPr>
                <w:rStyle w:val="apple-converted-space"/>
              </w:rPr>
            </w:pPr>
            <w:r w:rsidRPr="00712E84">
              <w:rPr>
                <w:rStyle w:val="apple-converted-space"/>
              </w:rPr>
              <w:t>10,41%</w:t>
            </w:r>
          </w:p>
        </w:tc>
        <w:tc>
          <w:tcPr>
            <w:tcW w:w="1003" w:type="pct"/>
            <w:vAlign w:val="center"/>
          </w:tcPr>
          <w:p w:rsidR="000B148B" w:rsidRPr="00712E84" w:rsidRDefault="000B148B" w:rsidP="00510B7E">
            <w:pPr>
              <w:jc w:val="center"/>
              <w:rPr>
                <w:rStyle w:val="apple-converted-space"/>
              </w:rPr>
            </w:pPr>
            <w:r w:rsidRPr="00712E84">
              <w:rPr>
                <w:rStyle w:val="apple-converted-space"/>
              </w:rPr>
              <w:t>2,03%</w:t>
            </w:r>
          </w:p>
        </w:tc>
      </w:tr>
      <w:tr w:rsidR="000B148B" w:rsidRPr="00712E84" w:rsidTr="00510B7E">
        <w:tc>
          <w:tcPr>
            <w:tcW w:w="1737" w:type="pct"/>
            <w:vAlign w:val="center"/>
          </w:tcPr>
          <w:p w:rsidR="000B148B" w:rsidRPr="00712E84" w:rsidRDefault="000B148B" w:rsidP="00510B7E">
            <w:pPr>
              <w:jc w:val="center"/>
              <w:rPr>
                <w:rStyle w:val="apple-converted-space"/>
              </w:rPr>
            </w:pPr>
            <w:r w:rsidRPr="00712E84">
              <w:rPr>
                <w:rStyle w:val="apple-converted-space"/>
              </w:rPr>
              <w:t>Risco regulatório</w:t>
            </w:r>
          </w:p>
        </w:tc>
        <w:tc>
          <w:tcPr>
            <w:tcW w:w="1088" w:type="pct"/>
            <w:vAlign w:val="center"/>
          </w:tcPr>
          <w:p w:rsidR="000B148B" w:rsidRPr="00712E84" w:rsidRDefault="000B148B" w:rsidP="00510B7E">
            <w:pPr>
              <w:jc w:val="center"/>
              <w:rPr>
                <w:rStyle w:val="apple-converted-space"/>
              </w:rPr>
            </w:pPr>
            <w:r w:rsidRPr="00712E84">
              <w:rPr>
                <w:rStyle w:val="apple-converted-space"/>
              </w:rPr>
              <w:t>1</w:t>
            </w:r>
          </w:p>
        </w:tc>
        <w:tc>
          <w:tcPr>
            <w:tcW w:w="1172" w:type="pct"/>
            <w:vAlign w:val="center"/>
          </w:tcPr>
          <w:p w:rsidR="000B148B" w:rsidRPr="00712E84" w:rsidRDefault="000B148B" w:rsidP="00510B7E">
            <w:pPr>
              <w:jc w:val="center"/>
              <w:rPr>
                <w:rStyle w:val="apple-converted-space"/>
              </w:rPr>
            </w:pPr>
            <w:r w:rsidRPr="00712E84">
              <w:rPr>
                <w:rStyle w:val="apple-converted-space"/>
              </w:rPr>
              <w:t>2,08%</w:t>
            </w:r>
          </w:p>
        </w:tc>
        <w:tc>
          <w:tcPr>
            <w:tcW w:w="1003" w:type="pct"/>
            <w:vAlign w:val="center"/>
          </w:tcPr>
          <w:p w:rsidR="000B148B" w:rsidRPr="00712E84" w:rsidRDefault="000B148B" w:rsidP="00510B7E">
            <w:pPr>
              <w:jc w:val="center"/>
              <w:rPr>
                <w:rStyle w:val="apple-converted-space"/>
              </w:rPr>
            </w:pPr>
            <w:r w:rsidRPr="00712E84">
              <w:rPr>
                <w:rStyle w:val="apple-converted-space"/>
              </w:rPr>
              <w:t>0,40%</w:t>
            </w:r>
          </w:p>
        </w:tc>
      </w:tr>
      <w:tr w:rsidR="000B148B" w:rsidRPr="00712E84" w:rsidTr="00510B7E">
        <w:trPr>
          <w:trHeight w:val="222"/>
        </w:trPr>
        <w:tc>
          <w:tcPr>
            <w:tcW w:w="1737" w:type="pct"/>
            <w:tcBorders>
              <w:bottom w:val="single" w:sz="18" w:space="0" w:color="auto"/>
            </w:tcBorders>
            <w:vAlign w:val="center"/>
          </w:tcPr>
          <w:p w:rsidR="000B148B" w:rsidRPr="00712E84" w:rsidRDefault="000B148B" w:rsidP="00510B7E">
            <w:pPr>
              <w:jc w:val="center"/>
              <w:rPr>
                <w:rStyle w:val="apple-converted-space"/>
              </w:rPr>
            </w:pPr>
            <w:r w:rsidRPr="00712E84">
              <w:rPr>
                <w:rStyle w:val="apple-converted-space"/>
              </w:rPr>
              <w:t>Riscos de mercado</w:t>
            </w:r>
          </w:p>
        </w:tc>
        <w:tc>
          <w:tcPr>
            <w:tcW w:w="1088" w:type="pct"/>
            <w:tcBorders>
              <w:bottom w:val="single" w:sz="18" w:space="0" w:color="auto"/>
            </w:tcBorders>
            <w:vAlign w:val="center"/>
          </w:tcPr>
          <w:p w:rsidR="000B148B" w:rsidRPr="00712E84" w:rsidRDefault="000B148B" w:rsidP="00510B7E">
            <w:pPr>
              <w:jc w:val="center"/>
              <w:rPr>
                <w:rStyle w:val="apple-converted-space"/>
              </w:rPr>
            </w:pPr>
            <w:r w:rsidRPr="00712E84">
              <w:rPr>
                <w:rStyle w:val="apple-converted-space"/>
              </w:rPr>
              <w:t>32</w:t>
            </w:r>
          </w:p>
        </w:tc>
        <w:tc>
          <w:tcPr>
            <w:tcW w:w="1172" w:type="pct"/>
            <w:tcBorders>
              <w:bottom w:val="single" w:sz="18" w:space="0" w:color="auto"/>
            </w:tcBorders>
            <w:vAlign w:val="center"/>
          </w:tcPr>
          <w:p w:rsidR="000B148B" w:rsidRPr="00712E84" w:rsidRDefault="000B148B" w:rsidP="00510B7E">
            <w:pPr>
              <w:jc w:val="center"/>
              <w:rPr>
                <w:rStyle w:val="apple-converted-space"/>
              </w:rPr>
            </w:pPr>
            <w:r w:rsidRPr="00712E84">
              <w:rPr>
                <w:rStyle w:val="apple-converted-space"/>
              </w:rPr>
              <w:t>66,66%</w:t>
            </w:r>
          </w:p>
        </w:tc>
        <w:tc>
          <w:tcPr>
            <w:tcW w:w="1003" w:type="pct"/>
            <w:tcBorders>
              <w:bottom w:val="single" w:sz="18" w:space="0" w:color="auto"/>
            </w:tcBorders>
            <w:vAlign w:val="center"/>
          </w:tcPr>
          <w:p w:rsidR="000B148B" w:rsidRPr="00712E84" w:rsidRDefault="000B148B" w:rsidP="00510B7E">
            <w:pPr>
              <w:jc w:val="center"/>
              <w:rPr>
                <w:rStyle w:val="apple-converted-space"/>
              </w:rPr>
            </w:pPr>
            <w:r w:rsidRPr="00712E84">
              <w:rPr>
                <w:rStyle w:val="apple-converted-space"/>
              </w:rPr>
              <w:t>13,00%</w:t>
            </w:r>
          </w:p>
        </w:tc>
      </w:tr>
      <w:tr w:rsidR="000B148B" w:rsidRPr="00712E84" w:rsidTr="00510B7E">
        <w:tc>
          <w:tcPr>
            <w:tcW w:w="1737" w:type="pct"/>
            <w:tcBorders>
              <w:top w:val="single" w:sz="18" w:space="0" w:color="auto"/>
              <w:bottom w:val="single" w:sz="18" w:space="0" w:color="auto"/>
            </w:tcBorders>
          </w:tcPr>
          <w:p w:rsidR="000B148B" w:rsidRPr="00712E84" w:rsidRDefault="000B148B" w:rsidP="00510B7E">
            <w:pPr>
              <w:jc w:val="center"/>
              <w:rPr>
                <w:rStyle w:val="apple-converted-space"/>
              </w:rPr>
            </w:pPr>
            <w:r w:rsidRPr="00712E84">
              <w:rPr>
                <w:rStyle w:val="apple-converted-space"/>
              </w:rPr>
              <w:t>Totais</w:t>
            </w:r>
          </w:p>
        </w:tc>
        <w:tc>
          <w:tcPr>
            <w:tcW w:w="1088" w:type="pct"/>
            <w:tcBorders>
              <w:top w:val="single" w:sz="18" w:space="0" w:color="auto"/>
              <w:bottom w:val="single" w:sz="18" w:space="0" w:color="auto"/>
            </w:tcBorders>
          </w:tcPr>
          <w:p w:rsidR="000B148B" w:rsidRPr="00712E84" w:rsidRDefault="000B148B" w:rsidP="00510B7E">
            <w:pPr>
              <w:ind w:right="763"/>
              <w:jc w:val="right"/>
              <w:rPr>
                <w:rStyle w:val="apple-converted-space"/>
              </w:rPr>
            </w:pPr>
            <w:r w:rsidRPr="00712E84">
              <w:rPr>
                <w:rStyle w:val="apple-converted-space"/>
              </w:rPr>
              <w:t>246</w:t>
            </w:r>
          </w:p>
        </w:tc>
        <w:tc>
          <w:tcPr>
            <w:tcW w:w="1172" w:type="pct"/>
            <w:tcBorders>
              <w:top w:val="single" w:sz="18" w:space="0" w:color="auto"/>
              <w:bottom w:val="single" w:sz="18" w:space="0" w:color="auto"/>
            </w:tcBorders>
          </w:tcPr>
          <w:p w:rsidR="000B148B" w:rsidRPr="00712E84" w:rsidRDefault="000B148B" w:rsidP="00510B7E">
            <w:pPr>
              <w:ind w:right="463"/>
              <w:jc w:val="right"/>
              <w:rPr>
                <w:rStyle w:val="apple-converted-space"/>
              </w:rPr>
            </w:pPr>
            <w:r w:rsidRPr="00712E84">
              <w:rPr>
                <w:rStyle w:val="apple-converted-space"/>
              </w:rPr>
              <w:t>-</w:t>
            </w:r>
          </w:p>
        </w:tc>
        <w:tc>
          <w:tcPr>
            <w:tcW w:w="1003" w:type="pct"/>
            <w:tcBorders>
              <w:top w:val="single" w:sz="18" w:space="0" w:color="auto"/>
              <w:bottom w:val="single" w:sz="18" w:space="0" w:color="auto"/>
            </w:tcBorders>
          </w:tcPr>
          <w:p w:rsidR="000B148B" w:rsidRPr="00712E84" w:rsidRDefault="000B148B" w:rsidP="00510B7E">
            <w:pPr>
              <w:ind w:right="463"/>
              <w:jc w:val="right"/>
              <w:rPr>
                <w:rStyle w:val="apple-converted-space"/>
              </w:rPr>
            </w:pPr>
            <w:r w:rsidRPr="00712E84">
              <w:rPr>
                <w:rStyle w:val="apple-converted-space"/>
              </w:rPr>
              <w:t>100%</w:t>
            </w:r>
          </w:p>
        </w:tc>
      </w:tr>
    </w:tbl>
    <w:p w:rsidR="000B148B" w:rsidRPr="000B148B" w:rsidRDefault="000B148B" w:rsidP="000B148B">
      <w:pPr>
        <w:jc w:val="both"/>
        <w:rPr>
          <w:rStyle w:val="apple-converted-space"/>
          <w:sz w:val="24"/>
          <w:szCs w:val="24"/>
        </w:rPr>
      </w:pPr>
      <w:r w:rsidRPr="000B148B">
        <w:rPr>
          <w:rStyle w:val="apple-converted-space"/>
          <w:sz w:val="24"/>
          <w:szCs w:val="24"/>
        </w:rPr>
        <w:t>Fonte: desenvolvido pelos autores</w:t>
      </w:r>
    </w:p>
    <w:p w:rsidR="000B148B" w:rsidRPr="000B148B" w:rsidRDefault="000B148B" w:rsidP="000B148B">
      <w:pPr>
        <w:jc w:val="both"/>
        <w:rPr>
          <w:rStyle w:val="apple-converted-space"/>
          <w:sz w:val="24"/>
          <w:szCs w:val="24"/>
        </w:rPr>
      </w:pPr>
    </w:p>
    <w:p w:rsidR="000B148B" w:rsidRPr="000B148B" w:rsidRDefault="000B148B" w:rsidP="000B148B">
      <w:pPr>
        <w:ind w:firstLine="708"/>
        <w:jc w:val="both"/>
        <w:rPr>
          <w:rStyle w:val="apple-converted-space"/>
          <w:sz w:val="24"/>
          <w:szCs w:val="24"/>
        </w:rPr>
      </w:pPr>
      <w:r w:rsidRPr="000B148B">
        <w:rPr>
          <w:rStyle w:val="apple-converted-space"/>
          <w:sz w:val="24"/>
          <w:szCs w:val="24"/>
        </w:rPr>
        <w:t xml:space="preserve">Nessa etapa, buscou-se identificar as categorias de riscos que foram relatadas especialmente nas notas explicativas das empresas investigadas, bem como determinar a frequência de citação nos relatórios. Conforme apresentado pela tabela 2, primeiro ocorreu à apresentação de quantas vezes determinado risco apareceu nas demonstrações, seguido da frequência que o risco relacionado a cada categoria apareceu em relação ao todo, depois a frequência da representação em relação ao total dos 246 termos de risco encontrados. </w:t>
      </w:r>
    </w:p>
    <w:p w:rsidR="000B148B" w:rsidRPr="000B148B" w:rsidRDefault="000B148B" w:rsidP="000B148B">
      <w:pPr>
        <w:ind w:firstLine="708"/>
        <w:jc w:val="both"/>
        <w:rPr>
          <w:rStyle w:val="apple-converted-space"/>
          <w:sz w:val="24"/>
          <w:szCs w:val="24"/>
        </w:rPr>
      </w:pPr>
      <w:r w:rsidRPr="000B148B">
        <w:rPr>
          <w:rStyle w:val="apple-converted-space"/>
          <w:sz w:val="24"/>
          <w:szCs w:val="24"/>
        </w:rPr>
        <w:t>No apêndice A estão apresentadas as definições constitutivas para cada uma das categorias de risco que foram encontradas nas notas explicativas, estas foram relacionados por ordem alfabética no documento gerado pelos autores. Os dados das definições foram extraídos de livros que puderam dar embasamento necessário para compreender o que cada risco representa para as instituições. Na sequência, baseado na lógica fuzzy, conforme estabelecido na metodologia, foram realizadas análises linguísticas para determinar a possibilidade de os riscos de fato ocorrerem, com base nas informações dos relatórios contábeis já mencionados, e classificados pelos autores de acordo com o representado pela Tabela 3.</w:t>
      </w:r>
    </w:p>
    <w:p w:rsidR="000B148B" w:rsidRPr="000B148B" w:rsidRDefault="000B148B" w:rsidP="000B148B">
      <w:pPr>
        <w:ind w:firstLine="709"/>
        <w:jc w:val="both"/>
        <w:rPr>
          <w:rStyle w:val="apple-converted-space"/>
          <w:sz w:val="24"/>
          <w:szCs w:val="24"/>
        </w:rPr>
      </w:pPr>
      <w:r w:rsidRPr="000B148B">
        <w:rPr>
          <w:rStyle w:val="apple-converted-space"/>
          <w:sz w:val="24"/>
          <w:szCs w:val="24"/>
        </w:rPr>
        <w:t>Considerando os tipos de riscos analisados e a escala em que eles foram classificados, pode ser observado que os riscos classificados com maior probabilidade de ocorrência são os relacionados com a taxa de juros, riscos de mercado e os riscos cambiais. Possivelmente essa classificação se deu, pois os riscos de mercado, segundo as notas explicativas analisadas, são influenciados diretamente pelos riscos com as taxas de juros e os riscos cambiais, inferindo assim que as empresas que estão no IBRx-50 apresentam grande internacionalização, com investimentos e transações internacionais, e que ao mesmo tempo apresentam baixa evidenciação de métodos que poderiam ser usados para a mitigação desses riscos, ou quando evidenciados apresentam baixa clareza.</w:t>
      </w:r>
    </w:p>
    <w:p w:rsidR="000B148B" w:rsidRPr="000B148B" w:rsidRDefault="000B148B" w:rsidP="000B148B">
      <w:pPr>
        <w:ind w:firstLine="709"/>
        <w:jc w:val="both"/>
        <w:rPr>
          <w:rStyle w:val="apple-converted-space"/>
          <w:sz w:val="24"/>
          <w:szCs w:val="24"/>
        </w:rPr>
      </w:pPr>
      <w:r w:rsidRPr="000B148B">
        <w:rPr>
          <w:rStyle w:val="apple-converted-space"/>
          <w:sz w:val="24"/>
          <w:szCs w:val="24"/>
        </w:rPr>
        <w:t>Na Tabela 3 tem-se a frequência que cada tipo de evidenciação de risco constatado nas notas explicativas e relatórios de referência. Para realizar essa análise, classificaram-se as informações de acordo com a escala linguística proposta por Milne e Adler (1999) e por Dia e Zéghal (2008) que classificaram os riscos em cinco graus linguísticos – certo, provável, possível, improvável, ou raro de acontecerem.</w:t>
      </w:r>
    </w:p>
    <w:p w:rsidR="000B148B" w:rsidRPr="005937CD" w:rsidRDefault="000B148B" w:rsidP="000B148B">
      <w:pPr>
        <w:ind w:firstLine="709"/>
        <w:jc w:val="both"/>
      </w:pPr>
    </w:p>
    <w:p w:rsidR="00E6136F" w:rsidRPr="000A5BFA" w:rsidRDefault="00E6136F" w:rsidP="000A5BFA">
      <w:pPr>
        <w:jc w:val="both"/>
      </w:pPr>
    </w:p>
    <w:p w:rsidR="00E6136F" w:rsidRPr="000A5BFA" w:rsidRDefault="00E6136F" w:rsidP="000A5BFA">
      <w:pPr>
        <w:jc w:val="both"/>
      </w:pPr>
    </w:p>
    <w:p w:rsidR="00E6136F" w:rsidRDefault="00E6136F"/>
    <w:p w:rsidR="00E6136F" w:rsidRDefault="00E6136F"/>
    <w:p w:rsidR="00E6136F" w:rsidRDefault="00E6136F"/>
    <w:p w:rsidR="00E6136F" w:rsidRDefault="00E6136F"/>
    <w:p w:rsidR="00E6136F" w:rsidRDefault="00E6136F"/>
    <w:p w:rsidR="00E6136F" w:rsidRDefault="00E6136F"/>
    <w:p w:rsidR="00E6136F" w:rsidRDefault="00E6136F"/>
    <w:p w:rsidR="00E6136F" w:rsidRDefault="00E6136F"/>
    <w:p w:rsidR="000B148B" w:rsidRDefault="000B148B"/>
    <w:p w:rsidR="000B148B" w:rsidRDefault="000B148B"/>
    <w:p w:rsidR="000B148B" w:rsidRDefault="000B148B"/>
    <w:p w:rsidR="000B148B" w:rsidRDefault="000B148B"/>
    <w:p w:rsidR="000B148B" w:rsidRDefault="000B148B"/>
    <w:p w:rsidR="000B148B" w:rsidRDefault="000B148B"/>
    <w:p w:rsidR="00510B7E" w:rsidRDefault="00510B7E">
      <w:pPr>
        <w:suppressAutoHyphens w:val="0"/>
        <w:sectPr w:rsidR="00510B7E" w:rsidSect="008F318A">
          <w:headerReference w:type="default" r:id="rId11"/>
          <w:footerReference w:type="default" r:id="rId12"/>
          <w:pgSz w:w="11900" w:h="16840"/>
          <w:pgMar w:top="1701" w:right="1701" w:bottom="1134" w:left="1134" w:header="372" w:footer="708" w:gutter="0"/>
          <w:cols w:space="708"/>
          <w:docGrid w:linePitch="360"/>
        </w:sectPr>
      </w:pPr>
    </w:p>
    <w:p w:rsidR="00510B7E" w:rsidRPr="005937CD" w:rsidRDefault="00510B7E" w:rsidP="00510B7E">
      <w:pPr>
        <w:jc w:val="both"/>
        <w:rPr>
          <w:b/>
        </w:rPr>
      </w:pPr>
      <w:r w:rsidRPr="005937CD">
        <w:rPr>
          <w:b/>
        </w:rPr>
        <w:t>Tabela 3 – Frequências do</w:t>
      </w:r>
      <w:r w:rsidRPr="005937CD">
        <w:rPr>
          <w:b/>
          <w:i/>
        </w:rPr>
        <w:t xml:space="preserve"> </w:t>
      </w:r>
      <w:r w:rsidRPr="00F01A43">
        <w:rPr>
          <w:b/>
          <w:i/>
        </w:rPr>
        <w:t>disclosure</w:t>
      </w:r>
      <w:r w:rsidRPr="00F01A43">
        <w:rPr>
          <w:b/>
        </w:rPr>
        <w:t xml:space="preserve"> </w:t>
      </w:r>
      <w:r w:rsidRPr="005937CD">
        <w:rPr>
          <w:b/>
        </w:rPr>
        <w:t xml:space="preserve">de risco com base em análises linguísticas, em ordem de frequência. </w:t>
      </w:r>
    </w:p>
    <w:tbl>
      <w:tblPr>
        <w:tblW w:w="5000" w:type="pct"/>
        <w:tblCellMar>
          <w:left w:w="70" w:type="dxa"/>
          <w:right w:w="70" w:type="dxa"/>
        </w:tblCellMar>
        <w:tblLook w:val="04A0"/>
      </w:tblPr>
      <w:tblGrid>
        <w:gridCol w:w="1660"/>
        <w:gridCol w:w="667"/>
        <w:gridCol w:w="667"/>
        <w:gridCol w:w="667"/>
        <w:gridCol w:w="667"/>
        <w:gridCol w:w="667"/>
        <w:gridCol w:w="668"/>
        <w:gridCol w:w="668"/>
        <w:gridCol w:w="668"/>
        <w:gridCol w:w="668"/>
        <w:gridCol w:w="668"/>
        <w:gridCol w:w="668"/>
        <w:gridCol w:w="668"/>
        <w:gridCol w:w="668"/>
        <w:gridCol w:w="668"/>
        <w:gridCol w:w="670"/>
        <w:gridCol w:w="668"/>
        <w:gridCol w:w="668"/>
        <w:gridCol w:w="1126"/>
        <w:gridCol w:w="6"/>
      </w:tblGrid>
      <w:tr w:rsidR="00510B7E" w:rsidRPr="00712E84" w:rsidTr="00510B7E">
        <w:trPr>
          <w:gridAfter w:val="1"/>
          <w:wAfter w:w="2" w:type="pct"/>
          <w:cantSplit/>
          <w:trHeight w:val="1417"/>
        </w:trPr>
        <w:tc>
          <w:tcPr>
            <w:tcW w:w="587" w:type="pct"/>
            <w:tcBorders>
              <w:top w:val="single" w:sz="18" w:space="0" w:color="auto"/>
              <w:bottom w:val="single" w:sz="18" w:space="0" w:color="auto"/>
              <w:right w:val="single" w:sz="4" w:space="0" w:color="auto"/>
            </w:tcBorders>
            <w:shd w:val="clear" w:color="auto" w:fill="auto"/>
            <w:vAlign w:val="center"/>
            <w:hideMark/>
          </w:tcPr>
          <w:p w:rsidR="00510B7E" w:rsidRPr="00712E84" w:rsidRDefault="00510B7E" w:rsidP="00510B7E">
            <w:pPr>
              <w:jc w:val="center"/>
              <w:rPr>
                <w:b/>
                <w:bCs/>
              </w:rPr>
            </w:pPr>
            <w:r w:rsidRPr="00712E84">
              <w:rPr>
                <w:b/>
                <w:bCs/>
              </w:rPr>
              <w:t>Riscos</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Mercado</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Crédito</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Liquidez</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Legal</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Operacional</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Preço da ação</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Taxa de Juros</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Cambial</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Contraparte</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Encargo de divida</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Capital</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Escassez de energia</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Regulatório</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Elevação da inflação</w:t>
            </w:r>
          </w:p>
        </w:tc>
        <w:tc>
          <w:tcPr>
            <w:tcW w:w="237"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Fraude</w:t>
            </w:r>
          </w:p>
        </w:tc>
        <w:tc>
          <w:tcPr>
            <w:tcW w:w="236" w:type="pct"/>
            <w:tcBorders>
              <w:top w:val="single" w:sz="18" w:space="0" w:color="auto"/>
              <w:left w:val="nil"/>
              <w:bottom w:val="single" w:sz="18" w:space="0" w:color="auto"/>
              <w:right w:val="single" w:sz="4" w:space="0" w:color="auto"/>
            </w:tcBorders>
            <w:shd w:val="clear" w:color="auto" w:fill="auto"/>
            <w:textDirection w:val="btLr"/>
            <w:vAlign w:val="center"/>
            <w:hideMark/>
          </w:tcPr>
          <w:p w:rsidR="00510B7E" w:rsidRPr="00712E84" w:rsidRDefault="00510B7E" w:rsidP="00510B7E">
            <w:pPr>
              <w:rPr>
                <w:b/>
                <w:bCs/>
              </w:rPr>
            </w:pPr>
            <w:r w:rsidRPr="00712E84">
              <w:rPr>
                <w:b/>
                <w:bCs/>
              </w:rPr>
              <w:t>Subscrição</w:t>
            </w:r>
          </w:p>
        </w:tc>
        <w:tc>
          <w:tcPr>
            <w:tcW w:w="236" w:type="pct"/>
            <w:tcBorders>
              <w:top w:val="single" w:sz="18" w:space="0" w:color="auto"/>
              <w:left w:val="nil"/>
              <w:bottom w:val="single" w:sz="18" w:space="0" w:color="auto"/>
              <w:right w:val="single" w:sz="4" w:space="0" w:color="auto"/>
            </w:tcBorders>
            <w:shd w:val="clear" w:color="auto" w:fill="auto"/>
            <w:noWrap/>
            <w:textDirection w:val="btLr"/>
            <w:vAlign w:val="center"/>
            <w:hideMark/>
          </w:tcPr>
          <w:p w:rsidR="00510B7E" w:rsidRPr="00712E84" w:rsidRDefault="00510B7E" w:rsidP="00510B7E">
            <w:pPr>
              <w:rPr>
                <w:b/>
                <w:bCs/>
              </w:rPr>
            </w:pPr>
            <w:r w:rsidRPr="00712E84">
              <w:rPr>
                <w:b/>
                <w:bCs/>
              </w:rPr>
              <w:t>Total</w:t>
            </w:r>
          </w:p>
        </w:tc>
        <w:tc>
          <w:tcPr>
            <w:tcW w:w="398" w:type="pct"/>
            <w:tcBorders>
              <w:top w:val="single" w:sz="18" w:space="0" w:color="auto"/>
              <w:left w:val="nil"/>
              <w:bottom w:val="single" w:sz="18" w:space="0" w:color="auto"/>
            </w:tcBorders>
            <w:shd w:val="clear" w:color="auto" w:fill="auto"/>
            <w:noWrap/>
            <w:textDirection w:val="btLr"/>
            <w:vAlign w:val="center"/>
            <w:hideMark/>
          </w:tcPr>
          <w:p w:rsidR="00510B7E" w:rsidRPr="00712E84" w:rsidRDefault="00510B7E" w:rsidP="00510B7E">
            <w:pPr>
              <w:rPr>
                <w:b/>
                <w:bCs/>
              </w:rPr>
            </w:pPr>
            <w:r w:rsidRPr="00712E84">
              <w:rPr>
                <w:b/>
                <w:bCs/>
              </w:rPr>
              <w:t>Frequência</w:t>
            </w:r>
          </w:p>
        </w:tc>
      </w:tr>
      <w:tr w:rsidR="00510B7E" w:rsidRPr="00712E84" w:rsidTr="00510B7E">
        <w:trPr>
          <w:gridAfter w:val="1"/>
          <w:wAfter w:w="2" w:type="pct"/>
          <w:trHeight w:val="397"/>
        </w:trPr>
        <w:tc>
          <w:tcPr>
            <w:tcW w:w="587" w:type="pct"/>
            <w:tcBorders>
              <w:top w:val="single" w:sz="18" w:space="0" w:color="auto"/>
              <w:bottom w:val="single" w:sz="4" w:space="0" w:color="auto"/>
              <w:right w:val="single" w:sz="4" w:space="0" w:color="auto"/>
            </w:tcBorders>
            <w:shd w:val="clear" w:color="auto" w:fill="auto"/>
            <w:noWrap/>
            <w:vAlign w:val="bottom"/>
            <w:hideMark/>
          </w:tcPr>
          <w:p w:rsidR="00510B7E" w:rsidRPr="00712E84" w:rsidRDefault="00510B7E" w:rsidP="00510B7E">
            <w:pPr>
              <w:rPr>
                <w:b/>
                <w:bCs/>
              </w:rPr>
            </w:pPr>
            <w:r w:rsidRPr="00712E84">
              <w:rPr>
                <w:b/>
                <w:bCs/>
              </w:rPr>
              <w:t>Certo</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11</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5</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4</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11</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7</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3</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w:t>
            </w:r>
          </w:p>
        </w:tc>
        <w:tc>
          <w:tcPr>
            <w:tcW w:w="237"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single" w:sz="18" w:space="0" w:color="auto"/>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50</w:t>
            </w:r>
          </w:p>
        </w:tc>
        <w:tc>
          <w:tcPr>
            <w:tcW w:w="398" w:type="pct"/>
            <w:tcBorders>
              <w:top w:val="single" w:sz="18" w:space="0" w:color="auto"/>
              <w:left w:val="nil"/>
              <w:bottom w:val="single" w:sz="4" w:space="0" w:color="auto"/>
            </w:tcBorders>
            <w:shd w:val="clear" w:color="auto" w:fill="auto"/>
            <w:noWrap/>
            <w:vAlign w:val="center"/>
            <w:hideMark/>
          </w:tcPr>
          <w:p w:rsidR="00510B7E" w:rsidRPr="00712E84" w:rsidRDefault="00510B7E" w:rsidP="00510B7E">
            <w:pPr>
              <w:jc w:val="center"/>
            </w:pPr>
            <w:r w:rsidRPr="00712E84">
              <w:t>20,3%</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vAlign w:val="bottom"/>
            <w:hideMark/>
          </w:tcPr>
          <w:p w:rsidR="00510B7E" w:rsidRPr="00712E84" w:rsidRDefault="00510B7E" w:rsidP="00510B7E">
            <w:pPr>
              <w:rPr>
                <w:b/>
                <w:bCs/>
              </w:rPr>
            </w:pPr>
            <w:r w:rsidRPr="00712E84">
              <w:rPr>
                <w:b/>
                <w:bCs/>
              </w:rPr>
              <w:t>Provável</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3</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49</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pPr>
            <w:r w:rsidRPr="00712E84">
              <w:t>19,9%</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vAlign w:val="bottom"/>
            <w:hideMark/>
          </w:tcPr>
          <w:p w:rsidR="00510B7E" w:rsidRPr="00712E84" w:rsidRDefault="00510B7E" w:rsidP="00510B7E">
            <w:pPr>
              <w:rPr>
                <w:b/>
                <w:bCs/>
              </w:rPr>
            </w:pPr>
            <w:r w:rsidRPr="00712E84">
              <w:rPr>
                <w:b/>
                <w:bCs/>
              </w:rPr>
              <w:t>Possível</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13</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17</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16</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88</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pPr>
            <w:r w:rsidRPr="00712E84">
              <w:t>35,8%</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vAlign w:val="bottom"/>
            <w:hideMark/>
          </w:tcPr>
          <w:p w:rsidR="00510B7E" w:rsidRPr="00712E84" w:rsidRDefault="00510B7E" w:rsidP="00510B7E">
            <w:pPr>
              <w:rPr>
                <w:b/>
                <w:bCs/>
              </w:rPr>
            </w:pPr>
            <w:r w:rsidRPr="00712E84">
              <w:rPr>
                <w:b/>
                <w:bCs/>
              </w:rPr>
              <w:t>Improvável</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7</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3</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4</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3</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41</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pPr>
            <w:r w:rsidRPr="00712E84">
              <w:t>16,7%</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vAlign w:val="bottom"/>
            <w:hideMark/>
          </w:tcPr>
          <w:p w:rsidR="00510B7E" w:rsidRPr="00712E84" w:rsidRDefault="00510B7E" w:rsidP="00510B7E">
            <w:pPr>
              <w:rPr>
                <w:b/>
                <w:bCs/>
              </w:rPr>
            </w:pPr>
            <w:r w:rsidRPr="00712E84">
              <w:rPr>
                <w:b/>
                <w:bCs/>
              </w:rPr>
              <w:t>Raro</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7</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7</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18</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pPr>
            <w:r w:rsidRPr="00712E84">
              <w:t>7,3%</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vAlign w:val="bottom"/>
            <w:hideMark/>
          </w:tcPr>
          <w:p w:rsidR="00510B7E" w:rsidRPr="00712E84" w:rsidRDefault="00510B7E" w:rsidP="00510B7E">
            <w:pPr>
              <w:rPr>
                <w:b/>
                <w:bCs/>
              </w:rPr>
            </w:pPr>
            <w:r w:rsidRPr="00712E84">
              <w:rPr>
                <w:b/>
                <w:bCs/>
              </w:rPr>
              <w:t>Total</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32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46</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44</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9</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43</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43</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4</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3</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2</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246</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rPr>
                <w:b/>
                <w:bCs/>
              </w:rPr>
            </w:pPr>
            <w:r w:rsidRPr="00712E84">
              <w:rPr>
                <w:b/>
                <w:bCs/>
              </w:rPr>
              <w:t>100,0%</w:t>
            </w:r>
          </w:p>
        </w:tc>
      </w:tr>
      <w:tr w:rsidR="00510B7E" w:rsidRPr="00712E84" w:rsidTr="00510B7E">
        <w:trPr>
          <w:trHeight w:val="397"/>
        </w:trPr>
        <w:tc>
          <w:tcPr>
            <w:tcW w:w="5000" w:type="pct"/>
            <w:gridSpan w:val="20"/>
            <w:tcBorders>
              <w:top w:val="single" w:sz="4" w:space="0" w:color="auto"/>
              <w:bottom w:val="single" w:sz="4" w:space="0" w:color="auto"/>
            </w:tcBorders>
            <w:shd w:val="clear" w:color="auto" w:fill="auto"/>
            <w:noWrap/>
            <w:vAlign w:val="center"/>
            <w:hideMark/>
          </w:tcPr>
          <w:p w:rsidR="00510B7E" w:rsidRPr="00712E84" w:rsidRDefault="00510B7E" w:rsidP="00510B7E">
            <w:pPr>
              <w:jc w:val="center"/>
              <w:rPr>
                <w:b/>
              </w:rPr>
            </w:pPr>
            <w:r w:rsidRPr="00712E84">
              <w:rPr>
                <w:b/>
              </w:rPr>
              <w:t xml:space="preserve">Frequência </w:t>
            </w:r>
            <w:r w:rsidRPr="00712E84">
              <w:rPr>
                <w:b/>
                <w:i/>
              </w:rPr>
              <w:t>Fuzzy</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noWrap/>
            <w:vAlign w:val="center"/>
            <w:hideMark/>
          </w:tcPr>
          <w:p w:rsidR="00510B7E" w:rsidRPr="00712E84" w:rsidRDefault="00510B7E" w:rsidP="00510B7E">
            <w:pPr>
              <w:rPr>
                <w:b/>
                <w:bCs/>
              </w:rPr>
            </w:pPr>
            <w:r w:rsidRPr="00712E84">
              <w:rPr>
                <w:b/>
                <w:bCs/>
              </w:rPr>
              <w:t>Certo</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8,8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4,0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3,2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8,8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5,6</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2,4</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1,6</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1,6</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40,0</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pPr>
            <w:r w:rsidRPr="00712E84">
              <w:t>30,3%</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vAlign w:val="center"/>
            <w:hideMark/>
          </w:tcPr>
          <w:p w:rsidR="00510B7E" w:rsidRPr="00712E84" w:rsidRDefault="00510B7E" w:rsidP="00510B7E">
            <w:pPr>
              <w:rPr>
                <w:b/>
                <w:bCs/>
              </w:rPr>
            </w:pPr>
            <w:r w:rsidRPr="00712E84">
              <w:rPr>
                <w:b/>
                <w:bCs/>
              </w:rPr>
              <w:t>Provável</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3,4</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7,5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5,4</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0,7</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7,5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5,4</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0,7</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0,7</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33,3</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pPr>
            <w:r w:rsidRPr="00712E84">
              <w:t>25,3%</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vAlign w:val="center"/>
            <w:hideMark/>
          </w:tcPr>
          <w:p w:rsidR="00510B7E" w:rsidRPr="00712E84" w:rsidRDefault="00510B7E" w:rsidP="00510B7E">
            <w:pPr>
              <w:rPr>
                <w:b/>
                <w:bCs/>
              </w:rPr>
            </w:pPr>
            <w:r w:rsidRPr="00712E84">
              <w:rPr>
                <w:b/>
                <w:bCs/>
              </w:rPr>
              <w:t>Possível</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6,5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6,0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9,0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8,5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8,0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0,5</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44,0</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pPr>
            <w:r w:rsidRPr="00712E84">
              <w:t>33,5%</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vAlign w:val="center"/>
            <w:hideMark/>
          </w:tcPr>
          <w:p w:rsidR="00510B7E" w:rsidRPr="00712E84" w:rsidRDefault="00510B7E" w:rsidP="00510B7E">
            <w:pPr>
              <w:rPr>
                <w:b/>
                <w:bCs/>
              </w:rPr>
            </w:pPr>
            <w:r w:rsidRPr="00712E84">
              <w:rPr>
                <w:b/>
                <w:bCs/>
              </w:rPr>
              <w:t>Improvável</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0,6</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3,3</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0,9</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3,0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0,3</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0,9</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12,3</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pPr>
            <w:r w:rsidRPr="00712E84">
              <w:t>9,3%</w:t>
            </w:r>
          </w:p>
        </w:tc>
      </w:tr>
      <w:tr w:rsidR="00510B7E" w:rsidRPr="00712E84" w:rsidTr="00510B7E">
        <w:trPr>
          <w:gridAfter w:val="1"/>
          <w:wAfter w:w="2" w:type="pct"/>
          <w:trHeight w:val="397"/>
        </w:trPr>
        <w:tc>
          <w:tcPr>
            <w:tcW w:w="587" w:type="pct"/>
            <w:tcBorders>
              <w:top w:val="nil"/>
              <w:bottom w:val="single" w:sz="4" w:space="0" w:color="auto"/>
              <w:right w:val="single" w:sz="4" w:space="0" w:color="auto"/>
            </w:tcBorders>
            <w:shd w:val="clear" w:color="auto" w:fill="auto"/>
            <w:vAlign w:val="center"/>
            <w:hideMark/>
          </w:tcPr>
          <w:p w:rsidR="00510B7E" w:rsidRPr="00712E84" w:rsidRDefault="00510B7E" w:rsidP="00510B7E">
            <w:pPr>
              <w:rPr>
                <w:b/>
                <w:bCs/>
              </w:rPr>
            </w:pPr>
            <w:r w:rsidRPr="00712E84">
              <w:rPr>
                <w:b/>
                <w:bCs/>
              </w:rPr>
              <w:t>Raro</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0,8</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0,1</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0,2</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7"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0,0</w:t>
            </w:r>
          </w:p>
        </w:tc>
        <w:tc>
          <w:tcPr>
            <w:tcW w:w="236" w:type="pct"/>
            <w:tcBorders>
              <w:top w:val="nil"/>
              <w:left w:val="nil"/>
              <w:bottom w:val="single" w:sz="4" w:space="0" w:color="auto"/>
              <w:right w:val="single" w:sz="4" w:space="0" w:color="auto"/>
            </w:tcBorders>
            <w:shd w:val="clear" w:color="auto" w:fill="auto"/>
            <w:noWrap/>
            <w:vAlign w:val="center"/>
            <w:hideMark/>
          </w:tcPr>
          <w:p w:rsidR="00510B7E" w:rsidRPr="00712E84" w:rsidRDefault="00510B7E" w:rsidP="00510B7E">
            <w:pPr>
              <w:jc w:val="center"/>
            </w:pPr>
            <w:r w:rsidRPr="00712E84">
              <w:t>2,2</w:t>
            </w:r>
          </w:p>
        </w:tc>
        <w:tc>
          <w:tcPr>
            <w:tcW w:w="398" w:type="pct"/>
            <w:tcBorders>
              <w:top w:val="nil"/>
              <w:left w:val="nil"/>
              <w:bottom w:val="single" w:sz="4" w:space="0" w:color="auto"/>
            </w:tcBorders>
            <w:shd w:val="clear" w:color="auto" w:fill="auto"/>
            <w:noWrap/>
            <w:vAlign w:val="center"/>
            <w:hideMark/>
          </w:tcPr>
          <w:p w:rsidR="00510B7E" w:rsidRPr="00712E84" w:rsidRDefault="00510B7E" w:rsidP="00510B7E">
            <w:pPr>
              <w:jc w:val="center"/>
            </w:pPr>
            <w:r w:rsidRPr="00712E84">
              <w:t>1,6%</w:t>
            </w:r>
          </w:p>
        </w:tc>
      </w:tr>
      <w:tr w:rsidR="00510B7E" w:rsidRPr="00712E84" w:rsidTr="00510B7E">
        <w:trPr>
          <w:gridAfter w:val="1"/>
          <w:wAfter w:w="2" w:type="pct"/>
          <w:trHeight w:val="397"/>
        </w:trPr>
        <w:tc>
          <w:tcPr>
            <w:tcW w:w="587" w:type="pct"/>
            <w:tcBorders>
              <w:top w:val="nil"/>
              <w:bottom w:val="single" w:sz="18" w:space="0" w:color="auto"/>
              <w:right w:val="single" w:sz="4" w:space="0" w:color="auto"/>
            </w:tcBorders>
            <w:shd w:val="clear" w:color="auto" w:fill="auto"/>
            <w:vAlign w:val="center"/>
            <w:hideMark/>
          </w:tcPr>
          <w:p w:rsidR="00510B7E" w:rsidRPr="00712E84" w:rsidRDefault="00510B7E" w:rsidP="00510B7E">
            <w:pPr>
              <w:rPr>
                <w:b/>
                <w:bCs/>
              </w:rPr>
            </w:pPr>
            <w:r w:rsidRPr="00712E84">
              <w:rPr>
                <w:b/>
                <w:bCs/>
              </w:rPr>
              <w:t>Total</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19,4</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21,6</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20,6</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0,9</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2,1</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5,3</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26,0</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22,3</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2,1</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2,0</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4,3</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1,6</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0,8</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1,6</w:t>
            </w:r>
          </w:p>
        </w:tc>
        <w:tc>
          <w:tcPr>
            <w:tcW w:w="237"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0,5</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0,7</w:t>
            </w:r>
          </w:p>
        </w:tc>
        <w:tc>
          <w:tcPr>
            <w:tcW w:w="236" w:type="pct"/>
            <w:tcBorders>
              <w:top w:val="nil"/>
              <w:left w:val="nil"/>
              <w:bottom w:val="single" w:sz="18" w:space="0" w:color="auto"/>
              <w:right w:val="single" w:sz="4" w:space="0" w:color="auto"/>
            </w:tcBorders>
            <w:shd w:val="clear" w:color="auto" w:fill="auto"/>
            <w:noWrap/>
            <w:vAlign w:val="center"/>
            <w:hideMark/>
          </w:tcPr>
          <w:p w:rsidR="00510B7E" w:rsidRPr="00712E84" w:rsidRDefault="00510B7E" w:rsidP="00510B7E">
            <w:pPr>
              <w:jc w:val="center"/>
              <w:rPr>
                <w:b/>
              </w:rPr>
            </w:pPr>
            <w:r w:rsidRPr="00712E84">
              <w:rPr>
                <w:b/>
              </w:rPr>
              <w:t>131,8</w:t>
            </w:r>
          </w:p>
        </w:tc>
        <w:tc>
          <w:tcPr>
            <w:tcW w:w="398" w:type="pct"/>
            <w:tcBorders>
              <w:top w:val="nil"/>
              <w:left w:val="nil"/>
              <w:bottom w:val="single" w:sz="18" w:space="0" w:color="auto"/>
            </w:tcBorders>
            <w:shd w:val="clear" w:color="auto" w:fill="auto"/>
            <w:noWrap/>
            <w:vAlign w:val="center"/>
            <w:hideMark/>
          </w:tcPr>
          <w:p w:rsidR="00510B7E" w:rsidRPr="00712E84" w:rsidRDefault="00510B7E" w:rsidP="00510B7E">
            <w:pPr>
              <w:jc w:val="center"/>
              <w:rPr>
                <w:b/>
              </w:rPr>
            </w:pPr>
            <w:r w:rsidRPr="00712E84">
              <w:rPr>
                <w:b/>
              </w:rPr>
              <w:t>100,0%</w:t>
            </w:r>
          </w:p>
        </w:tc>
      </w:tr>
    </w:tbl>
    <w:p w:rsidR="00510B7E" w:rsidRPr="005937CD" w:rsidRDefault="00510B7E" w:rsidP="00510B7E">
      <w:pPr>
        <w:jc w:val="both"/>
      </w:pPr>
      <w:r w:rsidRPr="005937CD">
        <w:t>Fonte: Dados da pesquisa.</w:t>
      </w:r>
    </w:p>
    <w:p w:rsidR="00510B7E" w:rsidRDefault="00510B7E">
      <w:pPr>
        <w:suppressAutoHyphens w:val="0"/>
        <w:sectPr w:rsidR="00510B7E" w:rsidSect="00510B7E">
          <w:pgSz w:w="16840" w:h="11900" w:orient="landscape"/>
          <w:pgMar w:top="1701" w:right="1701" w:bottom="1134" w:left="1134" w:header="374" w:footer="709" w:gutter="0"/>
          <w:cols w:space="708"/>
          <w:docGrid w:linePitch="360"/>
        </w:sectPr>
      </w:pPr>
    </w:p>
    <w:p w:rsidR="00510B7E" w:rsidRDefault="00510B7E">
      <w:pPr>
        <w:suppressAutoHyphens w:val="0"/>
      </w:pPr>
    </w:p>
    <w:p w:rsidR="00EC7963" w:rsidRPr="00EC7963" w:rsidRDefault="00EC7963" w:rsidP="00EC7963">
      <w:pPr>
        <w:ind w:firstLine="709"/>
        <w:jc w:val="both"/>
        <w:rPr>
          <w:sz w:val="24"/>
          <w:szCs w:val="24"/>
        </w:rPr>
      </w:pPr>
      <w:r w:rsidRPr="00EC7963">
        <w:rPr>
          <w:sz w:val="24"/>
          <w:szCs w:val="24"/>
        </w:rPr>
        <w:t xml:space="preserve">Considerando a métrica proposta, e após análise de todas as notas explicativas e relatórios de referência quando necessário evidenciaram-se que 33,5% dos riscos contidos no </w:t>
      </w:r>
      <w:r w:rsidRPr="00EC7963">
        <w:rPr>
          <w:i/>
          <w:sz w:val="24"/>
          <w:szCs w:val="24"/>
        </w:rPr>
        <w:t>disclosure</w:t>
      </w:r>
      <w:r w:rsidRPr="00EC7963">
        <w:rPr>
          <w:sz w:val="24"/>
          <w:szCs w:val="24"/>
        </w:rPr>
        <w:t xml:space="preserve"> das empresas investigadas são possíveis de acontecer. Esse julgamento foi possível pela análise das informações que a empresa gerou sobre a natureza do risco, bem como as medidas cabíveis que a mesma estabelece para possíveis mitigações, sendo que nessa categoria, as evidencias indicam algumas informações estão incompletas ou com medidas fracas impossibilitando a classificação dos riscos como provável de acontecerem. Já os riscos certos de acontecerem, são aqueles que a própria empresa considera chance nula de mitigação, ou são aqueles em que não constam nos relatórios medidas de mitigação contemplam 30,3%, ficando à frente dos riscos prováveis de acontecerem, com 25,3% de ocorrência, dos riscos improváveis, que resultaram em 9,3% dos casos e dos riscos raros de acontecerem, com 1,6%.</w:t>
      </w:r>
    </w:p>
    <w:p w:rsidR="00EC7963" w:rsidRPr="00EC7963" w:rsidRDefault="00EC7963" w:rsidP="00EC7963">
      <w:pPr>
        <w:ind w:firstLine="709"/>
        <w:jc w:val="both"/>
        <w:rPr>
          <w:sz w:val="24"/>
          <w:szCs w:val="24"/>
        </w:rPr>
      </w:pPr>
      <w:r w:rsidRPr="00EC7963">
        <w:rPr>
          <w:sz w:val="24"/>
          <w:szCs w:val="24"/>
        </w:rPr>
        <w:t>Considerando os tipos de riscos analisados e a escala em que eles foram classificados, pode ser observado que os riscos classificados com maior probabilidade de ocorrência são os relacionados com a taxa de juros, riscos de mercado e os riscos cambiais. Possivelmente essa classificação se deu, pois os riscos de mercado, segundo as notas explicativas analisadas, são influenciados diretamente pelos riscos com as taxas de juros e os riscos cambiais, inferindo assim que as empresas que estão no IBRx-50 apresentam grande internacionalização, com investimentos e transações internacionais, e que ao mesmo tempo apresentam baixa evidenciação de métodos que poderiam ser usados para a mitigação desses riscos, ou quando evidenciados apresentam baixa clareza.</w:t>
      </w:r>
    </w:p>
    <w:p w:rsidR="00EC7963" w:rsidRPr="00EC7963" w:rsidRDefault="00EC7963" w:rsidP="00EC7963">
      <w:pPr>
        <w:ind w:firstLine="709"/>
        <w:jc w:val="both"/>
        <w:rPr>
          <w:sz w:val="24"/>
          <w:szCs w:val="24"/>
        </w:rPr>
      </w:pPr>
      <w:r w:rsidRPr="00EC7963">
        <w:rPr>
          <w:sz w:val="24"/>
          <w:szCs w:val="24"/>
        </w:rPr>
        <w:t>Quanto aos riscos classificados como Raros de acontecerem, o risco de crédito e o risco de liquidez se destacam. Esses dados podem estar refletindo o interesse das empresas especialmente por serem componentes do IBRX-50, que segundo</w:t>
      </w:r>
      <w:r w:rsidRPr="00EC7963">
        <w:rPr>
          <w:sz w:val="24"/>
          <w:szCs w:val="24"/>
          <w:shd w:val="clear" w:color="auto" w:fill="FFFFFF"/>
        </w:rPr>
        <w:t xml:space="preserve"> a BM&amp;FBOVESPA (2017) </w:t>
      </w:r>
      <w:r w:rsidRPr="00EC7963">
        <w:rPr>
          <w:sz w:val="24"/>
          <w:szCs w:val="24"/>
        </w:rPr>
        <w:t xml:space="preserve">representam os </w:t>
      </w:r>
      <w:r w:rsidRPr="00EC7963">
        <w:rPr>
          <w:sz w:val="24"/>
          <w:szCs w:val="24"/>
          <w:shd w:val="clear" w:color="auto" w:fill="FFFFFF"/>
        </w:rPr>
        <w:t>ativos de maior negociabilidade e representatividade do mercado de ações brasileiro, assim tem um interesse particular em</w:t>
      </w:r>
      <w:r w:rsidRPr="00EC7963">
        <w:rPr>
          <w:sz w:val="24"/>
          <w:szCs w:val="24"/>
        </w:rPr>
        <w:t xml:space="preserve"> evidenciarem suas informações financeiras quanto à saúde futura de seu fluxo de caixa e de sua continuidade, visto a presente crise econômica que pode fazer possíveis investidores se retraírem. Desta forma, as empresas evidenciam suas obrigações em longo prazo, bem como o rendimento de rendimentos futuros e as projeções de faturamento, passando assim maior segurança ao investidor, podendo mostrar mais transparência quanto a sua continuidade.</w:t>
      </w:r>
    </w:p>
    <w:p w:rsidR="00EC7963" w:rsidRPr="00EC7963" w:rsidRDefault="00EC7963" w:rsidP="00EC7963">
      <w:pPr>
        <w:ind w:firstLine="709"/>
        <w:jc w:val="both"/>
        <w:rPr>
          <w:sz w:val="24"/>
          <w:szCs w:val="24"/>
        </w:rPr>
      </w:pPr>
      <w:r w:rsidRPr="00EC7963">
        <w:rPr>
          <w:sz w:val="24"/>
          <w:szCs w:val="24"/>
        </w:rPr>
        <w:t xml:space="preserve">Quanto à frequência geral de ocorrência dos riscos na amostra, os riscos de crédito, de liquidez, taxa de juros, e cambial foram os mais evidenciados pelas empresas, sendo que praticamente em todas as demonstrações eles foram evidenciados. Desta forma, pode-se inferir que as empresas brasileiras analisadas realizam o </w:t>
      </w:r>
      <w:r w:rsidRPr="00EC7963">
        <w:rPr>
          <w:i/>
          <w:sz w:val="24"/>
          <w:szCs w:val="24"/>
        </w:rPr>
        <w:t xml:space="preserve">disclosure </w:t>
      </w:r>
      <w:r w:rsidRPr="00EC7963">
        <w:rPr>
          <w:sz w:val="24"/>
          <w:szCs w:val="24"/>
        </w:rPr>
        <w:t>de risco considerando os fatores monetários que mais impactam a escolha dos investidores, segundo Zadeh et al. (2016). Os achados também corroboram com o estudo de Dia e Zéghal (2008), onde riscos de mercado, de cambial, crédito e juros também foram os com maiores frequências, e também com altos níveis de se realizarem.</w:t>
      </w:r>
    </w:p>
    <w:p w:rsidR="00EC7963" w:rsidRPr="00EC7963" w:rsidRDefault="00EC7963" w:rsidP="00EC7963">
      <w:pPr>
        <w:ind w:firstLine="709"/>
        <w:jc w:val="both"/>
        <w:rPr>
          <w:sz w:val="24"/>
          <w:szCs w:val="24"/>
        </w:rPr>
      </w:pPr>
      <w:r w:rsidRPr="00EC7963">
        <w:rPr>
          <w:sz w:val="24"/>
          <w:szCs w:val="24"/>
        </w:rPr>
        <w:t xml:space="preserve">Quanto à transformação da frequência para a lógica </w:t>
      </w:r>
      <w:r w:rsidRPr="00EC7963">
        <w:rPr>
          <w:i/>
          <w:sz w:val="24"/>
          <w:szCs w:val="24"/>
        </w:rPr>
        <w:t>Fuzzy</w:t>
      </w:r>
      <w:r w:rsidRPr="00EC7963">
        <w:rPr>
          <w:sz w:val="24"/>
          <w:szCs w:val="24"/>
        </w:rPr>
        <w:t>, utilizando os valores propostos na metodologia, pode ser observado que a ordem de classificação dos tipos de risco se altera em relação à frequência. Sob essa lógica, os maiores números Fuzzy pertencem a taxa de juros, risco cambial, riscos de crédito, riscos de liquidez e riscos de mercado, em ordem. Assim, pode-se inferir que considerando a amostra estudada, a taxa de juros e o risco cambial seriam os fatores com a maior consideração de frequência e risco da amostra, agravando assim a sua necessidade de gerenciamento pelas empresas, bem como atenção de possíveis investidores na amostra.</w:t>
      </w:r>
    </w:p>
    <w:p w:rsidR="00EC7963" w:rsidRDefault="00EC7963" w:rsidP="00EC7963">
      <w:pPr>
        <w:jc w:val="both"/>
        <w:rPr>
          <w:b/>
          <w:sz w:val="24"/>
          <w:szCs w:val="24"/>
        </w:rPr>
      </w:pPr>
    </w:p>
    <w:p w:rsidR="00712E84" w:rsidRPr="00EC7963" w:rsidRDefault="00712E84" w:rsidP="00EC7963">
      <w:pPr>
        <w:jc w:val="both"/>
        <w:rPr>
          <w:b/>
          <w:sz w:val="24"/>
          <w:szCs w:val="24"/>
        </w:rPr>
      </w:pPr>
    </w:p>
    <w:p w:rsidR="00EC7963" w:rsidRPr="00EC7963" w:rsidRDefault="00EC7963" w:rsidP="00EC7963">
      <w:pPr>
        <w:jc w:val="both"/>
        <w:rPr>
          <w:b/>
          <w:sz w:val="24"/>
          <w:szCs w:val="24"/>
        </w:rPr>
      </w:pPr>
      <w:r w:rsidRPr="00EC7963">
        <w:rPr>
          <w:b/>
          <w:sz w:val="24"/>
          <w:szCs w:val="24"/>
        </w:rPr>
        <w:t>4.2 Análise de perfil de risco</w:t>
      </w:r>
    </w:p>
    <w:p w:rsidR="00EC7963" w:rsidRPr="00EC7963" w:rsidRDefault="00EC7963" w:rsidP="00EC7963">
      <w:pPr>
        <w:ind w:firstLine="708"/>
        <w:jc w:val="both"/>
        <w:rPr>
          <w:sz w:val="24"/>
          <w:szCs w:val="24"/>
        </w:rPr>
      </w:pPr>
      <w:r w:rsidRPr="00EC7963">
        <w:rPr>
          <w:sz w:val="24"/>
          <w:szCs w:val="24"/>
        </w:rPr>
        <w:tab/>
      </w:r>
    </w:p>
    <w:p w:rsidR="00EC7963" w:rsidRPr="00EC7963" w:rsidRDefault="00EC7963" w:rsidP="00EC7963">
      <w:pPr>
        <w:ind w:firstLine="709"/>
        <w:jc w:val="both"/>
        <w:rPr>
          <w:sz w:val="24"/>
          <w:szCs w:val="24"/>
        </w:rPr>
      </w:pPr>
      <w:r w:rsidRPr="00EC7963">
        <w:rPr>
          <w:sz w:val="24"/>
          <w:szCs w:val="24"/>
        </w:rPr>
        <w:t xml:space="preserve">Como descrito na metodologia, utilizou-se do método TOPSIS para ranquear as empresas com o intuito de determinar os perfis de risco referente à sua divulgação, ou seja, a observação realizada </w:t>
      </w:r>
      <w:r w:rsidRPr="00EC7963">
        <w:rPr>
          <w:i/>
          <w:sz w:val="24"/>
          <w:szCs w:val="24"/>
        </w:rPr>
        <w:t>disclosure</w:t>
      </w:r>
      <w:r w:rsidRPr="00EC7963">
        <w:rPr>
          <w:sz w:val="24"/>
          <w:szCs w:val="24"/>
        </w:rPr>
        <w:t xml:space="preserve"> de risco destas 47 empresas pode ser analisada também de acordo com a tabela 5.</w:t>
      </w:r>
    </w:p>
    <w:p w:rsidR="00EC7963" w:rsidRPr="00EC7963" w:rsidRDefault="00EC7963" w:rsidP="00EC7963">
      <w:pPr>
        <w:ind w:firstLine="709"/>
        <w:jc w:val="both"/>
        <w:rPr>
          <w:sz w:val="24"/>
          <w:szCs w:val="24"/>
        </w:rPr>
      </w:pPr>
    </w:p>
    <w:p w:rsidR="00EC7963" w:rsidRPr="00EC7963" w:rsidRDefault="00EC7963" w:rsidP="00EC7963">
      <w:pPr>
        <w:ind w:left="1134" w:hanging="1134"/>
        <w:jc w:val="both"/>
        <w:rPr>
          <w:b/>
          <w:sz w:val="24"/>
          <w:szCs w:val="24"/>
        </w:rPr>
      </w:pPr>
      <w:r w:rsidRPr="00EC7963">
        <w:rPr>
          <w:b/>
          <w:sz w:val="24"/>
          <w:szCs w:val="24"/>
        </w:rPr>
        <w:t xml:space="preserve">Tabela 4 – </w:t>
      </w:r>
      <w:r w:rsidRPr="00EC7963">
        <w:rPr>
          <w:b/>
          <w:i/>
          <w:sz w:val="24"/>
          <w:szCs w:val="24"/>
        </w:rPr>
        <w:t>Ranking</w:t>
      </w:r>
      <w:r w:rsidRPr="00EC7963">
        <w:rPr>
          <w:b/>
          <w:sz w:val="24"/>
          <w:szCs w:val="24"/>
        </w:rPr>
        <w:t xml:space="preserve"> dos perfis das empresas através do método TOPSIS, por ordem de classificação</w:t>
      </w:r>
    </w:p>
    <w:tbl>
      <w:tblPr>
        <w:tblW w:w="5000" w:type="pct"/>
        <w:tblBorders>
          <w:insideH w:val="single" w:sz="4" w:space="0" w:color="auto"/>
          <w:insideV w:val="single" w:sz="4" w:space="0" w:color="auto"/>
        </w:tblBorders>
        <w:tblCellMar>
          <w:left w:w="0" w:type="dxa"/>
          <w:right w:w="0" w:type="dxa"/>
        </w:tblCellMar>
        <w:tblLook w:val="0000"/>
      </w:tblPr>
      <w:tblGrid>
        <w:gridCol w:w="2970"/>
        <w:gridCol w:w="783"/>
        <w:gridCol w:w="783"/>
        <w:gridCol w:w="2966"/>
        <w:gridCol w:w="573"/>
        <w:gridCol w:w="990"/>
      </w:tblGrid>
      <w:tr w:rsidR="00EC7963" w:rsidRPr="00712E84" w:rsidTr="0057699F">
        <w:trPr>
          <w:cantSplit/>
          <w:trHeight w:val="230"/>
        </w:trPr>
        <w:tc>
          <w:tcPr>
            <w:tcW w:w="1638" w:type="pct"/>
            <w:tcBorders>
              <w:top w:val="single" w:sz="18" w:space="0" w:color="auto"/>
              <w:bottom w:val="single" w:sz="12" w:space="0" w:color="auto"/>
            </w:tcBorders>
            <w:shd w:val="clear" w:color="auto" w:fill="auto"/>
            <w:vAlign w:val="center"/>
          </w:tcPr>
          <w:p w:rsidR="00EC7963" w:rsidRPr="00712E84" w:rsidRDefault="00EC7963" w:rsidP="0057699F">
            <w:pPr>
              <w:pStyle w:val="Tabela"/>
              <w:rPr>
                <w:color w:val="auto"/>
              </w:rPr>
            </w:pPr>
            <w:r w:rsidRPr="00712E84">
              <w:rPr>
                <w:b/>
                <w:color w:val="auto"/>
              </w:rPr>
              <w:t>Empresas</w:t>
            </w:r>
          </w:p>
        </w:tc>
        <w:tc>
          <w:tcPr>
            <w:tcW w:w="432" w:type="pct"/>
            <w:tcBorders>
              <w:top w:val="single" w:sz="18" w:space="0" w:color="auto"/>
              <w:bottom w:val="single" w:sz="12" w:space="0" w:color="auto"/>
            </w:tcBorders>
            <w:shd w:val="clear" w:color="auto" w:fill="auto"/>
            <w:vAlign w:val="center"/>
          </w:tcPr>
          <w:p w:rsidR="00EC7963" w:rsidRPr="00712E84" w:rsidRDefault="00EC7963" w:rsidP="0057699F">
            <w:pPr>
              <w:pStyle w:val="Tabela"/>
              <w:rPr>
                <w:b/>
                <w:i/>
                <w:color w:val="auto"/>
              </w:rPr>
            </w:pPr>
            <w:r w:rsidRPr="00712E84">
              <w:rPr>
                <w:b/>
                <w:i/>
                <w:color w:val="auto"/>
              </w:rPr>
              <w:t>Score</w:t>
            </w:r>
          </w:p>
        </w:tc>
        <w:tc>
          <w:tcPr>
            <w:tcW w:w="432" w:type="pct"/>
            <w:tcBorders>
              <w:top w:val="single" w:sz="18" w:space="0" w:color="auto"/>
              <w:bottom w:val="single" w:sz="12" w:space="0" w:color="auto"/>
            </w:tcBorders>
            <w:shd w:val="clear" w:color="auto" w:fill="auto"/>
            <w:vAlign w:val="center"/>
          </w:tcPr>
          <w:p w:rsidR="00EC7963" w:rsidRPr="00712E84" w:rsidRDefault="00EC7963" w:rsidP="0057699F">
            <w:pPr>
              <w:pStyle w:val="Tabela"/>
              <w:rPr>
                <w:b/>
                <w:color w:val="auto"/>
              </w:rPr>
            </w:pPr>
            <w:r w:rsidRPr="00712E84">
              <w:rPr>
                <w:b/>
                <w:color w:val="auto"/>
              </w:rPr>
              <w:t>Posição</w:t>
            </w:r>
          </w:p>
        </w:tc>
        <w:tc>
          <w:tcPr>
            <w:tcW w:w="1636" w:type="pct"/>
            <w:tcBorders>
              <w:top w:val="single" w:sz="18" w:space="0" w:color="auto"/>
              <w:bottom w:val="single" w:sz="12" w:space="0" w:color="auto"/>
            </w:tcBorders>
          </w:tcPr>
          <w:p w:rsidR="00EC7963" w:rsidRPr="00712E84" w:rsidRDefault="00EC7963" w:rsidP="0057699F">
            <w:pPr>
              <w:pStyle w:val="Tabela"/>
              <w:rPr>
                <w:b/>
                <w:color w:val="auto"/>
              </w:rPr>
            </w:pPr>
            <w:r w:rsidRPr="00712E84">
              <w:rPr>
                <w:b/>
                <w:color w:val="auto"/>
              </w:rPr>
              <w:t>Empresas</w:t>
            </w:r>
          </w:p>
        </w:tc>
        <w:tc>
          <w:tcPr>
            <w:tcW w:w="316" w:type="pct"/>
            <w:tcBorders>
              <w:top w:val="single" w:sz="18" w:space="0" w:color="auto"/>
              <w:bottom w:val="single" w:sz="12" w:space="0" w:color="auto"/>
            </w:tcBorders>
            <w:shd w:val="clear" w:color="auto" w:fill="auto"/>
            <w:vAlign w:val="center"/>
          </w:tcPr>
          <w:p w:rsidR="00EC7963" w:rsidRPr="00712E84" w:rsidRDefault="00EC7963" w:rsidP="0057699F">
            <w:pPr>
              <w:pStyle w:val="Tabela"/>
              <w:rPr>
                <w:b/>
                <w:i/>
                <w:color w:val="auto"/>
              </w:rPr>
            </w:pPr>
            <w:r w:rsidRPr="00712E84">
              <w:rPr>
                <w:b/>
                <w:i/>
                <w:color w:val="auto"/>
              </w:rPr>
              <w:t>Score</w:t>
            </w:r>
          </w:p>
        </w:tc>
        <w:tc>
          <w:tcPr>
            <w:tcW w:w="546" w:type="pct"/>
            <w:tcBorders>
              <w:top w:val="single" w:sz="18" w:space="0" w:color="auto"/>
              <w:bottom w:val="single" w:sz="12" w:space="0" w:color="auto"/>
            </w:tcBorders>
            <w:vAlign w:val="center"/>
          </w:tcPr>
          <w:p w:rsidR="00EC7963" w:rsidRPr="00712E84" w:rsidRDefault="00EC7963" w:rsidP="0057699F">
            <w:pPr>
              <w:pStyle w:val="Tabela"/>
              <w:rPr>
                <w:color w:val="auto"/>
              </w:rPr>
            </w:pPr>
            <w:r w:rsidRPr="00712E84">
              <w:rPr>
                <w:b/>
                <w:color w:val="auto"/>
              </w:rPr>
              <w:t>Posição</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CPFL ENERGIA</w:t>
            </w:r>
          </w:p>
        </w:tc>
        <w:tc>
          <w:tcPr>
            <w:tcW w:w="432" w:type="pct"/>
            <w:shd w:val="clear" w:color="auto" w:fill="auto"/>
            <w:vAlign w:val="bottom"/>
          </w:tcPr>
          <w:p w:rsidR="00EC7963" w:rsidRPr="00712E84" w:rsidRDefault="00EC7963" w:rsidP="0057699F">
            <w:pPr>
              <w:jc w:val="center"/>
            </w:pPr>
            <w:r w:rsidRPr="00712E84">
              <w:t>0,4751</w:t>
            </w:r>
          </w:p>
        </w:tc>
        <w:tc>
          <w:tcPr>
            <w:tcW w:w="432" w:type="pct"/>
            <w:shd w:val="clear" w:color="auto" w:fill="auto"/>
            <w:vAlign w:val="bottom"/>
          </w:tcPr>
          <w:p w:rsidR="00EC7963" w:rsidRPr="00712E84" w:rsidRDefault="00EC7963" w:rsidP="0057699F">
            <w:pPr>
              <w:jc w:val="center"/>
            </w:pPr>
            <w:r w:rsidRPr="00712E84">
              <w:t>1</w:t>
            </w:r>
          </w:p>
        </w:tc>
        <w:tc>
          <w:tcPr>
            <w:tcW w:w="1636" w:type="pct"/>
            <w:vAlign w:val="bottom"/>
          </w:tcPr>
          <w:p w:rsidR="00EC7963" w:rsidRPr="00712E84" w:rsidRDefault="00EC7963" w:rsidP="0057699F">
            <w:r w:rsidRPr="00712E84">
              <w:t>BRASKEM</w:t>
            </w:r>
          </w:p>
        </w:tc>
        <w:tc>
          <w:tcPr>
            <w:tcW w:w="316" w:type="pct"/>
            <w:shd w:val="clear" w:color="auto" w:fill="auto"/>
            <w:vAlign w:val="bottom"/>
          </w:tcPr>
          <w:p w:rsidR="00EC7963" w:rsidRPr="00712E84" w:rsidRDefault="00EC7963" w:rsidP="0057699F">
            <w:pPr>
              <w:jc w:val="center"/>
            </w:pPr>
            <w:r w:rsidRPr="00712E84">
              <w:t>0,3220</w:t>
            </w:r>
          </w:p>
        </w:tc>
        <w:tc>
          <w:tcPr>
            <w:tcW w:w="546" w:type="pct"/>
            <w:vAlign w:val="bottom"/>
          </w:tcPr>
          <w:p w:rsidR="00EC7963" w:rsidRPr="00712E84" w:rsidRDefault="00EC7963" w:rsidP="0057699F">
            <w:pPr>
              <w:jc w:val="center"/>
            </w:pPr>
            <w:r w:rsidRPr="00712E84">
              <w:t>25</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EMBRAER</w:t>
            </w:r>
          </w:p>
        </w:tc>
        <w:tc>
          <w:tcPr>
            <w:tcW w:w="432" w:type="pct"/>
            <w:shd w:val="clear" w:color="auto" w:fill="F2F2F2" w:themeFill="background1" w:themeFillShade="F2"/>
            <w:vAlign w:val="bottom"/>
          </w:tcPr>
          <w:p w:rsidR="00EC7963" w:rsidRPr="00712E84" w:rsidRDefault="00EC7963" w:rsidP="0057699F">
            <w:pPr>
              <w:jc w:val="center"/>
            </w:pPr>
            <w:r w:rsidRPr="00712E84">
              <w:t>0,4342</w:t>
            </w:r>
          </w:p>
        </w:tc>
        <w:tc>
          <w:tcPr>
            <w:tcW w:w="432" w:type="pct"/>
            <w:shd w:val="clear" w:color="auto" w:fill="F2F2F2" w:themeFill="background1" w:themeFillShade="F2"/>
            <w:vAlign w:val="bottom"/>
          </w:tcPr>
          <w:p w:rsidR="00EC7963" w:rsidRPr="00712E84" w:rsidRDefault="00EC7963" w:rsidP="0057699F">
            <w:pPr>
              <w:jc w:val="center"/>
            </w:pPr>
            <w:r w:rsidRPr="00712E84">
              <w:t>2</w:t>
            </w:r>
          </w:p>
        </w:tc>
        <w:tc>
          <w:tcPr>
            <w:tcW w:w="1636" w:type="pct"/>
            <w:shd w:val="clear" w:color="auto" w:fill="F2F2F2" w:themeFill="background1" w:themeFillShade="F2"/>
            <w:vAlign w:val="bottom"/>
          </w:tcPr>
          <w:p w:rsidR="00EC7963" w:rsidRPr="00712E84" w:rsidRDefault="00EC7963" w:rsidP="0057699F">
            <w:r w:rsidRPr="00712E84">
              <w:t>KROTON</w:t>
            </w:r>
          </w:p>
        </w:tc>
        <w:tc>
          <w:tcPr>
            <w:tcW w:w="316" w:type="pct"/>
            <w:shd w:val="clear" w:color="auto" w:fill="F2F2F2" w:themeFill="background1" w:themeFillShade="F2"/>
            <w:vAlign w:val="bottom"/>
          </w:tcPr>
          <w:p w:rsidR="00EC7963" w:rsidRPr="00712E84" w:rsidRDefault="00EC7963" w:rsidP="0057699F">
            <w:pPr>
              <w:jc w:val="center"/>
            </w:pPr>
            <w:r w:rsidRPr="00712E84">
              <w:t>0,3220</w:t>
            </w:r>
          </w:p>
        </w:tc>
        <w:tc>
          <w:tcPr>
            <w:tcW w:w="546" w:type="pct"/>
            <w:shd w:val="clear" w:color="auto" w:fill="F2F2F2" w:themeFill="background1" w:themeFillShade="F2"/>
            <w:vAlign w:val="bottom"/>
          </w:tcPr>
          <w:p w:rsidR="00EC7963" w:rsidRPr="00712E84" w:rsidRDefault="00EC7963" w:rsidP="0057699F">
            <w:pPr>
              <w:jc w:val="center"/>
            </w:pPr>
            <w:r w:rsidRPr="00712E84">
              <w:t>25</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FIBRIA</w:t>
            </w:r>
          </w:p>
        </w:tc>
        <w:tc>
          <w:tcPr>
            <w:tcW w:w="432" w:type="pct"/>
            <w:shd w:val="clear" w:color="auto" w:fill="auto"/>
            <w:vAlign w:val="bottom"/>
          </w:tcPr>
          <w:p w:rsidR="00EC7963" w:rsidRPr="00712E84" w:rsidRDefault="00EC7963" w:rsidP="0057699F">
            <w:pPr>
              <w:jc w:val="center"/>
            </w:pPr>
            <w:r w:rsidRPr="00712E84">
              <w:t>0,4094</w:t>
            </w:r>
          </w:p>
        </w:tc>
        <w:tc>
          <w:tcPr>
            <w:tcW w:w="432" w:type="pct"/>
            <w:shd w:val="clear" w:color="auto" w:fill="auto"/>
            <w:vAlign w:val="bottom"/>
          </w:tcPr>
          <w:p w:rsidR="00EC7963" w:rsidRPr="00712E84" w:rsidRDefault="00EC7963" w:rsidP="0057699F">
            <w:pPr>
              <w:jc w:val="center"/>
            </w:pPr>
            <w:r w:rsidRPr="00712E84">
              <w:t>3</w:t>
            </w:r>
          </w:p>
        </w:tc>
        <w:tc>
          <w:tcPr>
            <w:tcW w:w="1636" w:type="pct"/>
            <w:vAlign w:val="bottom"/>
          </w:tcPr>
          <w:p w:rsidR="00EC7963" w:rsidRPr="00712E84" w:rsidRDefault="00EC7963" w:rsidP="0057699F">
            <w:r w:rsidRPr="00712E84">
              <w:t>WEG</w:t>
            </w:r>
          </w:p>
        </w:tc>
        <w:tc>
          <w:tcPr>
            <w:tcW w:w="316" w:type="pct"/>
            <w:shd w:val="clear" w:color="auto" w:fill="auto"/>
            <w:vAlign w:val="bottom"/>
          </w:tcPr>
          <w:p w:rsidR="00EC7963" w:rsidRPr="00712E84" w:rsidRDefault="00EC7963" w:rsidP="0057699F">
            <w:pPr>
              <w:jc w:val="center"/>
            </w:pPr>
            <w:r w:rsidRPr="00712E84">
              <w:t>0,3203</w:t>
            </w:r>
          </w:p>
        </w:tc>
        <w:tc>
          <w:tcPr>
            <w:tcW w:w="546" w:type="pct"/>
            <w:vAlign w:val="bottom"/>
          </w:tcPr>
          <w:p w:rsidR="00EC7963" w:rsidRPr="00712E84" w:rsidRDefault="00EC7963" w:rsidP="0057699F">
            <w:pPr>
              <w:jc w:val="center"/>
            </w:pPr>
            <w:r w:rsidRPr="00712E84">
              <w:t>27</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KLABIN S/A</w:t>
            </w:r>
          </w:p>
        </w:tc>
        <w:tc>
          <w:tcPr>
            <w:tcW w:w="432" w:type="pct"/>
            <w:shd w:val="clear" w:color="auto" w:fill="F2F2F2" w:themeFill="background1" w:themeFillShade="F2"/>
            <w:vAlign w:val="bottom"/>
          </w:tcPr>
          <w:p w:rsidR="00EC7963" w:rsidRPr="00712E84" w:rsidRDefault="00EC7963" w:rsidP="0057699F">
            <w:pPr>
              <w:jc w:val="center"/>
            </w:pPr>
            <w:r w:rsidRPr="00712E84">
              <w:t>0,4020</w:t>
            </w:r>
          </w:p>
        </w:tc>
        <w:tc>
          <w:tcPr>
            <w:tcW w:w="432" w:type="pct"/>
            <w:shd w:val="clear" w:color="auto" w:fill="F2F2F2" w:themeFill="background1" w:themeFillShade="F2"/>
            <w:vAlign w:val="bottom"/>
          </w:tcPr>
          <w:p w:rsidR="00EC7963" w:rsidRPr="00712E84" w:rsidRDefault="00EC7963" w:rsidP="0057699F">
            <w:pPr>
              <w:jc w:val="center"/>
            </w:pPr>
            <w:r w:rsidRPr="00712E84">
              <w:t>4</w:t>
            </w:r>
          </w:p>
        </w:tc>
        <w:tc>
          <w:tcPr>
            <w:tcW w:w="1636" w:type="pct"/>
            <w:shd w:val="clear" w:color="auto" w:fill="F2F2F2" w:themeFill="background1" w:themeFillShade="F2"/>
            <w:vAlign w:val="bottom"/>
          </w:tcPr>
          <w:p w:rsidR="00EC7963" w:rsidRPr="00712E84" w:rsidRDefault="00EC7963" w:rsidP="0057699F">
            <w:r w:rsidRPr="00712E84">
              <w:t>AMBEV S/A</w:t>
            </w:r>
          </w:p>
        </w:tc>
        <w:tc>
          <w:tcPr>
            <w:tcW w:w="316" w:type="pct"/>
            <w:shd w:val="clear" w:color="auto" w:fill="F2F2F2" w:themeFill="background1" w:themeFillShade="F2"/>
            <w:vAlign w:val="bottom"/>
          </w:tcPr>
          <w:p w:rsidR="00EC7963" w:rsidRPr="00712E84" w:rsidRDefault="00EC7963" w:rsidP="0057699F">
            <w:pPr>
              <w:jc w:val="center"/>
            </w:pPr>
            <w:r w:rsidRPr="00712E84">
              <w:t>0,3189</w:t>
            </w:r>
          </w:p>
        </w:tc>
        <w:tc>
          <w:tcPr>
            <w:tcW w:w="546" w:type="pct"/>
            <w:shd w:val="clear" w:color="auto" w:fill="F2F2F2" w:themeFill="background1" w:themeFillShade="F2"/>
            <w:vAlign w:val="bottom"/>
          </w:tcPr>
          <w:p w:rsidR="00EC7963" w:rsidRPr="00712E84" w:rsidRDefault="00EC7963" w:rsidP="0057699F">
            <w:pPr>
              <w:jc w:val="center"/>
            </w:pPr>
            <w:r w:rsidRPr="00712E84">
              <w:t>28</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BR MALLS PAR</w:t>
            </w:r>
          </w:p>
        </w:tc>
        <w:tc>
          <w:tcPr>
            <w:tcW w:w="432" w:type="pct"/>
            <w:shd w:val="clear" w:color="auto" w:fill="auto"/>
            <w:vAlign w:val="bottom"/>
          </w:tcPr>
          <w:p w:rsidR="00EC7963" w:rsidRPr="00712E84" w:rsidRDefault="00EC7963" w:rsidP="0057699F">
            <w:pPr>
              <w:jc w:val="center"/>
            </w:pPr>
            <w:r w:rsidRPr="00712E84">
              <w:t>0,3877</w:t>
            </w:r>
          </w:p>
        </w:tc>
        <w:tc>
          <w:tcPr>
            <w:tcW w:w="432" w:type="pct"/>
            <w:shd w:val="clear" w:color="auto" w:fill="auto"/>
            <w:vAlign w:val="bottom"/>
          </w:tcPr>
          <w:p w:rsidR="00EC7963" w:rsidRPr="00712E84" w:rsidRDefault="00EC7963" w:rsidP="0057699F">
            <w:pPr>
              <w:jc w:val="center"/>
            </w:pPr>
            <w:r w:rsidRPr="00712E84">
              <w:t>5</w:t>
            </w:r>
          </w:p>
        </w:tc>
        <w:tc>
          <w:tcPr>
            <w:tcW w:w="1636" w:type="pct"/>
            <w:vAlign w:val="bottom"/>
          </w:tcPr>
          <w:p w:rsidR="00EC7963" w:rsidRPr="00712E84" w:rsidRDefault="00EC7963" w:rsidP="0057699F">
            <w:r w:rsidRPr="00712E84">
              <w:t>RUMO LOG</w:t>
            </w:r>
          </w:p>
        </w:tc>
        <w:tc>
          <w:tcPr>
            <w:tcW w:w="316" w:type="pct"/>
            <w:shd w:val="clear" w:color="auto" w:fill="auto"/>
            <w:vAlign w:val="bottom"/>
          </w:tcPr>
          <w:p w:rsidR="00EC7963" w:rsidRPr="00712E84" w:rsidRDefault="00EC7963" w:rsidP="0057699F">
            <w:pPr>
              <w:jc w:val="center"/>
            </w:pPr>
            <w:r w:rsidRPr="00712E84">
              <w:t>0,3105</w:t>
            </w:r>
          </w:p>
        </w:tc>
        <w:tc>
          <w:tcPr>
            <w:tcW w:w="546" w:type="pct"/>
            <w:vAlign w:val="bottom"/>
          </w:tcPr>
          <w:p w:rsidR="00EC7963" w:rsidRPr="00712E84" w:rsidRDefault="00EC7963" w:rsidP="0057699F">
            <w:pPr>
              <w:jc w:val="center"/>
            </w:pPr>
            <w:r w:rsidRPr="00712E84">
              <w:t>29</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EQUATORIAL</w:t>
            </w:r>
          </w:p>
        </w:tc>
        <w:tc>
          <w:tcPr>
            <w:tcW w:w="432" w:type="pct"/>
            <w:shd w:val="clear" w:color="auto" w:fill="F2F2F2" w:themeFill="background1" w:themeFillShade="F2"/>
            <w:vAlign w:val="bottom"/>
          </w:tcPr>
          <w:p w:rsidR="00EC7963" w:rsidRPr="00712E84" w:rsidRDefault="00EC7963" w:rsidP="0057699F">
            <w:pPr>
              <w:jc w:val="center"/>
            </w:pPr>
            <w:r w:rsidRPr="00712E84">
              <w:t>0,3834</w:t>
            </w:r>
          </w:p>
        </w:tc>
        <w:tc>
          <w:tcPr>
            <w:tcW w:w="432" w:type="pct"/>
            <w:shd w:val="clear" w:color="auto" w:fill="F2F2F2" w:themeFill="background1" w:themeFillShade="F2"/>
            <w:vAlign w:val="bottom"/>
          </w:tcPr>
          <w:p w:rsidR="00EC7963" w:rsidRPr="00712E84" w:rsidRDefault="00EC7963" w:rsidP="0057699F">
            <w:pPr>
              <w:jc w:val="center"/>
            </w:pPr>
            <w:r w:rsidRPr="00712E84">
              <w:t>6</w:t>
            </w:r>
          </w:p>
        </w:tc>
        <w:tc>
          <w:tcPr>
            <w:tcW w:w="1636" w:type="pct"/>
            <w:shd w:val="clear" w:color="auto" w:fill="F2F2F2" w:themeFill="background1" w:themeFillShade="F2"/>
            <w:vAlign w:val="bottom"/>
          </w:tcPr>
          <w:p w:rsidR="00EC7963" w:rsidRPr="00712E84" w:rsidRDefault="00EC7963" w:rsidP="0057699F">
            <w:r w:rsidRPr="00712E84">
              <w:t>PETROBRAS</w:t>
            </w:r>
          </w:p>
        </w:tc>
        <w:tc>
          <w:tcPr>
            <w:tcW w:w="316" w:type="pct"/>
            <w:shd w:val="clear" w:color="auto" w:fill="F2F2F2" w:themeFill="background1" w:themeFillShade="F2"/>
            <w:vAlign w:val="bottom"/>
          </w:tcPr>
          <w:p w:rsidR="00EC7963" w:rsidRPr="00712E84" w:rsidRDefault="00EC7963" w:rsidP="0057699F">
            <w:pPr>
              <w:jc w:val="center"/>
            </w:pPr>
            <w:r w:rsidRPr="00712E84">
              <w:t>0,3102</w:t>
            </w:r>
          </w:p>
        </w:tc>
        <w:tc>
          <w:tcPr>
            <w:tcW w:w="546" w:type="pct"/>
            <w:shd w:val="clear" w:color="auto" w:fill="F2F2F2" w:themeFill="background1" w:themeFillShade="F2"/>
            <w:vAlign w:val="bottom"/>
          </w:tcPr>
          <w:p w:rsidR="00EC7963" w:rsidRPr="00712E84" w:rsidRDefault="00EC7963" w:rsidP="0057699F">
            <w:pPr>
              <w:jc w:val="center"/>
            </w:pPr>
            <w:r w:rsidRPr="00712E84">
              <w:t>30</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GERDAU</w:t>
            </w:r>
          </w:p>
        </w:tc>
        <w:tc>
          <w:tcPr>
            <w:tcW w:w="432" w:type="pct"/>
            <w:shd w:val="clear" w:color="auto" w:fill="auto"/>
            <w:vAlign w:val="bottom"/>
          </w:tcPr>
          <w:p w:rsidR="00EC7963" w:rsidRPr="00712E84" w:rsidRDefault="00EC7963" w:rsidP="0057699F">
            <w:pPr>
              <w:jc w:val="center"/>
            </w:pPr>
            <w:r w:rsidRPr="00712E84">
              <w:t>0,3834</w:t>
            </w:r>
          </w:p>
        </w:tc>
        <w:tc>
          <w:tcPr>
            <w:tcW w:w="432" w:type="pct"/>
            <w:shd w:val="clear" w:color="auto" w:fill="auto"/>
            <w:vAlign w:val="bottom"/>
          </w:tcPr>
          <w:p w:rsidR="00EC7963" w:rsidRPr="00712E84" w:rsidRDefault="00EC7963" w:rsidP="0057699F">
            <w:pPr>
              <w:jc w:val="center"/>
            </w:pPr>
            <w:r w:rsidRPr="00712E84">
              <w:t>7</w:t>
            </w:r>
          </w:p>
        </w:tc>
        <w:tc>
          <w:tcPr>
            <w:tcW w:w="1636" w:type="pct"/>
            <w:vAlign w:val="bottom"/>
          </w:tcPr>
          <w:p w:rsidR="00EC7963" w:rsidRPr="00712E84" w:rsidRDefault="00EC7963" w:rsidP="0057699F">
            <w:r w:rsidRPr="00712E84">
              <w:t>ITAUUNIBANCO</w:t>
            </w:r>
          </w:p>
        </w:tc>
        <w:tc>
          <w:tcPr>
            <w:tcW w:w="316" w:type="pct"/>
            <w:shd w:val="clear" w:color="auto" w:fill="auto"/>
            <w:vAlign w:val="bottom"/>
          </w:tcPr>
          <w:p w:rsidR="00EC7963" w:rsidRPr="00712E84" w:rsidRDefault="00EC7963" w:rsidP="0057699F">
            <w:pPr>
              <w:jc w:val="center"/>
            </w:pPr>
            <w:r w:rsidRPr="00712E84">
              <w:t>0,2976</w:t>
            </w:r>
          </w:p>
        </w:tc>
        <w:tc>
          <w:tcPr>
            <w:tcW w:w="546" w:type="pct"/>
            <w:vAlign w:val="bottom"/>
          </w:tcPr>
          <w:p w:rsidR="00EC7963" w:rsidRPr="00712E84" w:rsidRDefault="00EC7963" w:rsidP="0057699F">
            <w:pPr>
              <w:jc w:val="center"/>
            </w:pPr>
            <w:r w:rsidRPr="00712E84">
              <w:t>31</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GERDAU MET</w:t>
            </w:r>
          </w:p>
        </w:tc>
        <w:tc>
          <w:tcPr>
            <w:tcW w:w="432" w:type="pct"/>
            <w:shd w:val="clear" w:color="auto" w:fill="F2F2F2" w:themeFill="background1" w:themeFillShade="F2"/>
            <w:vAlign w:val="bottom"/>
          </w:tcPr>
          <w:p w:rsidR="00EC7963" w:rsidRPr="00712E84" w:rsidRDefault="00EC7963" w:rsidP="0057699F">
            <w:pPr>
              <w:jc w:val="center"/>
            </w:pPr>
            <w:r w:rsidRPr="00712E84">
              <w:t>0,3834</w:t>
            </w:r>
          </w:p>
        </w:tc>
        <w:tc>
          <w:tcPr>
            <w:tcW w:w="432" w:type="pct"/>
            <w:shd w:val="clear" w:color="auto" w:fill="F2F2F2" w:themeFill="background1" w:themeFillShade="F2"/>
            <w:vAlign w:val="bottom"/>
          </w:tcPr>
          <w:p w:rsidR="00EC7963" w:rsidRPr="00712E84" w:rsidRDefault="00EC7963" w:rsidP="0057699F">
            <w:pPr>
              <w:jc w:val="center"/>
            </w:pPr>
            <w:r w:rsidRPr="00712E84">
              <w:t>7</w:t>
            </w:r>
          </w:p>
        </w:tc>
        <w:tc>
          <w:tcPr>
            <w:tcW w:w="1636" w:type="pct"/>
            <w:shd w:val="clear" w:color="auto" w:fill="F2F2F2" w:themeFill="background1" w:themeFillShade="F2"/>
            <w:vAlign w:val="bottom"/>
          </w:tcPr>
          <w:p w:rsidR="00EC7963" w:rsidRPr="00712E84" w:rsidRDefault="00EC7963" w:rsidP="0057699F">
            <w:r w:rsidRPr="00712E84">
              <w:t>NATURA</w:t>
            </w:r>
          </w:p>
        </w:tc>
        <w:tc>
          <w:tcPr>
            <w:tcW w:w="316" w:type="pct"/>
            <w:shd w:val="clear" w:color="auto" w:fill="F2F2F2" w:themeFill="background1" w:themeFillShade="F2"/>
            <w:vAlign w:val="bottom"/>
          </w:tcPr>
          <w:p w:rsidR="00EC7963" w:rsidRPr="00712E84" w:rsidRDefault="00EC7963" w:rsidP="0057699F">
            <w:pPr>
              <w:jc w:val="center"/>
            </w:pPr>
            <w:r w:rsidRPr="00712E84">
              <w:t>0,2955</w:t>
            </w:r>
          </w:p>
        </w:tc>
        <w:tc>
          <w:tcPr>
            <w:tcW w:w="546" w:type="pct"/>
            <w:shd w:val="clear" w:color="auto" w:fill="F2F2F2" w:themeFill="background1" w:themeFillShade="F2"/>
            <w:vAlign w:val="bottom"/>
          </w:tcPr>
          <w:p w:rsidR="00EC7963" w:rsidRPr="00712E84" w:rsidRDefault="00EC7963" w:rsidP="0057699F">
            <w:pPr>
              <w:jc w:val="center"/>
            </w:pPr>
            <w:r w:rsidRPr="00712E84">
              <w:t>32</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CETIP</w:t>
            </w:r>
          </w:p>
        </w:tc>
        <w:tc>
          <w:tcPr>
            <w:tcW w:w="432" w:type="pct"/>
            <w:shd w:val="clear" w:color="auto" w:fill="auto"/>
            <w:vAlign w:val="bottom"/>
          </w:tcPr>
          <w:p w:rsidR="00EC7963" w:rsidRPr="00712E84" w:rsidRDefault="00EC7963" w:rsidP="0057699F">
            <w:pPr>
              <w:jc w:val="center"/>
            </w:pPr>
            <w:r w:rsidRPr="00712E84">
              <w:t>0,3802</w:t>
            </w:r>
          </w:p>
        </w:tc>
        <w:tc>
          <w:tcPr>
            <w:tcW w:w="432" w:type="pct"/>
            <w:shd w:val="clear" w:color="auto" w:fill="auto"/>
            <w:vAlign w:val="bottom"/>
          </w:tcPr>
          <w:p w:rsidR="00EC7963" w:rsidRPr="00712E84" w:rsidRDefault="00EC7963" w:rsidP="0057699F">
            <w:pPr>
              <w:jc w:val="center"/>
            </w:pPr>
            <w:r w:rsidRPr="00712E84">
              <w:t>9</w:t>
            </w:r>
          </w:p>
        </w:tc>
        <w:tc>
          <w:tcPr>
            <w:tcW w:w="1636" w:type="pct"/>
            <w:vAlign w:val="bottom"/>
          </w:tcPr>
          <w:p w:rsidR="00EC7963" w:rsidRPr="00712E84" w:rsidRDefault="00EC7963" w:rsidP="0057699F">
            <w:r w:rsidRPr="00712E84">
              <w:t>SUZANO PAPEL</w:t>
            </w:r>
          </w:p>
        </w:tc>
        <w:tc>
          <w:tcPr>
            <w:tcW w:w="316" w:type="pct"/>
            <w:shd w:val="clear" w:color="auto" w:fill="auto"/>
            <w:vAlign w:val="bottom"/>
          </w:tcPr>
          <w:p w:rsidR="00EC7963" w:rsidRPr="00712E84" w:rsidRDefault="00EC7963" w:rsidP="0057699F">
            <w:pPr>
              <w:jc w:val="center"/>
            </w:pPr>
            <w:r w:rsidRPr="00712E84">
              <w:t>0,2955</w:t>
            </w:r>
          </w:p>
        </w:tc>
        <w:tc>
          <w:tcPr>
            <w:tcW w:w="546" w:type="pct"/>
            <w:vAlign w:val="bottom"/>
          </w:tcPr>
          <w:p w:rsidR="00EC7963" w:rsidRPr="00712E84" w:rsidRDefault="00EC7963" w:rsidP="0057699F">
            <w:pPr>
              <w:jc w:val="center"/>
            </w:pPr>
            <w:r w:rsidRPr="00712E84">
              <w:t>32</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JBS</w:t>
            </w:r>
          </w:p>
        </w:tc>
        <w:tc>
          <w:tcPr>
            <w:tcW w:w="432" w:type="pct"/>
            <w:shd w:val="clear" w:color="auto" w:fill="F2F2F2" w:themeFill="background1" w:themeFillShade="F2"/>
            <w:vAlign w:val="bottom"/>
          </w:tcPr>
          <w:p w:rsidR="00EC7963" w:rsidRPr="00712E84" w:rsidRDefault="00EC7963" w:rsidP="0057699F">
            <w:pPr>
              <w:jc w:val="center"/>
            </w:pPr>
            <w:r w:rsidRPr="00712E84">
              <w:t>0,3720</w:t>
            </w:r>
          </w:p>
        </w:tc>
        <w:tc>
          <w:tcPr>
            <w:tcW w:w="432" w:type="pct"/>
            <w:shd w:val="clear" w:color="auto" w:fill="F2F2F2" w:themeFill="background1" w:themeFillShade="F2"/>
            <w:vAlign w:val="bottom"/>
          </w:tcPr>
          <w:p w:rsidR="00EC7963" w:rsidRPr="00712E84" w:rsidRDefault="00EC7963" w:rsidP="0057699F">
            <w:pPr>
              <w:jc w:val="center"/>
            </w:pPr>
            <w:r w:rsidRPr="00712E84">
              <w:t>10</w:t>
            </w:r>
          </w:p>
        </w:tc>
        <w:tc>
          <w:tcPr>
            <w:tcW w:w="1636" w:type="pct"/>
            <w:shd w:val="clear" w:color="auto" w:fill="F2F2F2" w:themeFill="background1" w:themeFillShade="F2"/>
            <w:vAlign w:val="bottom"/>
          </w:tcPr>
          <w:p w:rsidR="00EC7963" w:rsidRPr="00712E84" w:rsidRDefault="00EC7963" w:rsidP="0057699F">
            <w:r w:rsidRPr="00712E84">
              <w:t>ESTACIO PART</w:t>
            </w:r>
          </w:p>
        </w:tc>
        <w:tc>
          <w:tcPr>
            <w:tcW w:w="316" w:type="pct"/>
            <w:shd w:val="clear" w:color="auto" w:fill="F2F2F2" w:themeFill="background1" w:themeFillShade="F2"/>
            <w:vAlign w:val="bottom"/>
          </w:tcPr>
          <w:p w:rsidR="00EC7963" w:rsidRPr="00712E84" w:rsidRDefault="00EC7963" w:rsidP="0057699F">
            <w:pPr>
              <w:jc w:val="center"/>
            </w:pPr>
            <w:r w:rsidRPr="00712E84">
              <w:t>0,2822</w:t>
            </w:r>
          </w:p>
        </w:tc>
        <w:tc>
          <w:tcPr>
            <w:tcW w:w="546" w:type="pct"/>
            <w:shd w:val="clear" w:color="auto" w:fill="F2F2F2" w:themeFill="background1" w:themeFillShade="F2"/>
            <w:vAlign w:val="bottom"/>
          </w:tcPr>
          <w:p w:rsidR="00EC7963" w:rsidRPr="00712E84" w:rsidRDefault="00EC7963" w:rsidP="0057699F">
            <w:pPr>
              <w:jc w:val="center"/>
            </w:pPr>
            <w:r w:rsidRPr="00712E84">
              <w:t>34</w:t>
            </w:r>
          </w:p>
        </w:tc>
      </w:tr>
      <w:tr w:rsidR="00EC7963" w:rsidRPr="00712E84" w:rsidTr="0057699F">
        <w:trPr>
          <w:cantSplit/>
          <w:trHeight w:val="210"/>
        </w:trPr>
        <w:tc>
          <w:tcPr>
            <w:tcW w:w="1638" w:type="pct"/>
            <w:shd w:val="clear" w:color="auto" w:fill="FFFFFF" w:themeFill="background1"/>
            <w:vAlign w:val="bottom"/>
          </w:tcPr>
          <w:p w:rsidR="00EC7963" w:rsidRPr="00712E84" w:rsidRDefault="00EC7963" w:rsidP="0057699F">
            <w:r w:rsidRPr="00712E84">
              <w:t>ENGIE BRASIL</w:t>
            </w:r>
          </w:p>
        </w:tc>
        <w:tc>
          <w:tcPr>
            <w:tcW w:w="432" w:type="pct"/>
            <w:shd w:val="clear" w:color="auto" w:fill="FFFFFF" w:themeFill="background1"/>
            <w:vAlign w:val="bottom"/>
          </w:tcPr>
          <w:p w:rsidR="00EC7963" w:rsidRPr="00712E84" w:rsidRDefault="00EC7963" w:rsidP="0057699F">
            <w:pPr>
              <w:jc w:val="center"/>
            </w:pPr>
            <w:r w:rsidRPr="00712E84">
              <w:t>0,3708</w:t>
            </w:r>
          </w:p>
        </w:tc>
        <w:tc>
          <w:tcPr>
            <w:tcW w:w="432" w:type="pct"/>
            <w:shd w:val="clear" w:color="auto" w:fill="FFFFFF" w:themeFill="background1"/>
            <w:vAlign w:val="bottom"/>
          </w:tcPr>
          <w:p w:rsidR="00EC7963" w:rsidRPr="00712E84" w:rsidRDefault="00EC7963" w:rsidP="0057699F">
            <w:pPr>
              <w:jc w:val="center"/>
            </w:pPr>
            <w:r w:rsidRPr="00712E84">
              <w:t>11</w:t>
            </w:r>
          </w:p>
        </w:tc>
        <w:tc>
          <w:tcPr>
            <w:tcW w:w="1636" w:type="pct"/>
            <w:shd w:val="clear" w:color="auto" w:fill="FFFFFF" w:themeFill="background1"/>
            <w:vAlign w:val="bottom"/>
          </w:tcPr>
          <w:p w:rsidR="00EC7963" w:rsidRPr="00712E84" w:rsidRDefault="00EC7963" w:rsidP="0057699F">
            <w:r w:rsidRPr="00712E84">
              <w:t>LOJAS AMERIC</w:t>
            </w:r>
          </w:p>
        </w:tc>
        <w:tc>
          <w:tcPr>
            <w:tcW w:w="316" w:type="pct"/>
            <w:shd w:val="clear" w:color="auto" w:fill="FFFFFF" w:themeFill="background1"/>
            <w:vAlign w:val="bottom"/>
          </w:tcPr>
          <w:p w:rsidR="00EC7963" w:rsidRPr="00712E84" w:rsidRDefault="00EC7963" w:rsidP="0057699F">
            <w:pPr>
              <w:jc w:val="center"/>
            </w:pPr>
            <w:r w:rsidRPr="00712E84">
              <w:t>0,2794</w:t>
            </w:r>
          </w:p>
        </w:tc>
        <w:tc>
          <w:tcPr>
            <w:tcW w:w="546" w:type="pct"/>
            <w:shd w:val="clear" w:color="auto" w:fill="FFFFFF" w:themeFill="background1"/>
            <w:vAlign w:val="bottom"/>
          </w:tcPr>
          <w:p w:rsidR="00EC7963" w:rsidRPr="00712E84" w:rsidRDefault="00EC7963" w:rsidP="0057699F">
            <w:pPr>
              <w:jc w:val="center"/>
            </w:pPr>
            <w:r w:rsidRPr="00712E84">
              <w:t>35</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CCR SA</w:t>
            </w:r>
          </w:p>
        </w:tc>
        <w:tc>
          <w:tcPr>
            <w:tcW w:w="432" w:type="pct"/>
            <w:shd w:val="clear" w:color="auto" w:fill="F2F2F2" w:themeFill="background1" w:themeFillShade="F2"/>
            <w:vAlign w:val="bottom"/>
          </w:tcPr>
          <w:p w:rsidR="00EC7963" w:rsidRPr="00712E84" w:rsidRDefault="00EC7963" w:rsidP="0057699F">
            <w:pPr>
              <w:jc w:val="center"/>
            </w:pPr>
            <w:r w:rsidRPr="00712E84">
              <w:t>0,3698</w:t>
            </w:r>
          </w:p>
        </w:tc>
        <w:tc>
          <w:tcPr>
            <w:tcW w:w="432" w:type="pct"/>
            <w:shd w:val="clear" w:color="auto" w:fill="F2F2F2" w:themeFill="background1" w:themeFillShade="F2"/>
            <w:vAlign w:val="bottom"/>
          </w:tcPr>
          <w:p w:rsidR="00EC7963" w:rsidRPr="00712E84" w:rsidRDefault="00EC7963" w:rsidP="0057699F">
            <w:pPr>
              <w:jc w:val="center"/>
            </w:pPr>
            <w:r w:rsidRPr="00712E84">
              <w:t>12</w:t>
            </w:r>
          </w:p>
        </w:tc>
        <w:tc>
          <w:tcPr>
            <w:tcW w:w="1636" w:type="pct"/>
            <w:shd w:val="clear" w:color="auto" w:fill="F2F2F2" w:themeFill="background1" w:themeFillShade="F2"/>
            <w:vAlign w:val="bottom"/>
          </w:tcPr>
          <w:p w:rsidR="00EC7963" w:rsidRPr="00712E84" w:rsidRDefault="00EC7963" w:rsidP="0057699F">
            <w:r w:rsidRPr="00712E84">
              <w:t>LOJAS RENNER</w:t>
            </w:r>
          </w:p>
        </w:tc>
        <w:tc>
          <w:tcPr>
            <w:tcW w:w="316" w:type="pct"/>
            <w:shd w:val="clear" w:color="auto" w:fill="F2F2F2" w:themeFill="background1" w:themeFillShade="F2"/>
            <w:vAlign w:val="bottom"/>
          </w:tcPr>
          <w:p w:rsidR="00EC7963" w:rsidRPr="00712E84" w:rsidRDefault="00EC7963" w:rsidP="0057699F">
            <w:pPr>
              <w:jc w:val="center"/>
            </w:pPr>
            <w:r w:rsidRPr="00712E84">
              <w:t>0,2794</w:t>
            </w:r>
          </w:p>
        </w:tc>
        <w:tc>
          <w:tcPr>
            <w:tcW w:w="546" w:type="pct"/>
            <w:shd w:val="clear" w:color="auto" w:fill="F2F2F2" w:themeFill="background1" w:themeFillShade="F2"/>
            <w:vAlign w:val="bottom"/>
          </w:tcPr>
          <w:p w:rsidR="00EC7963" w:rsidRPr="00712E84" w:rsidRDefault="00EC7963" w:rsidP="0057699F">
            <w:pPr>
              <w:jc w:val="center"/>
            </w:pPr>
            <w:r w:rsidRPr="00712E84">
              <w:t>35</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HYPERMARCAS</w:t>
            </w:r>
          </w:p>
        </w:tc>
        <w:tc>
          <w:tcPr>
            <w:tcW w:w="432" w:type="pct"/>
            <w:shd w:val="clear" w:color="auto" w:fill="auto"/>
            <w:vAlign w:val="bottom"/>
          </w:tcPr>
          <w:p w:rsidR="00EC7963" w:rsidRPr="00712E84" w:rsidRDefault="00EC7963" w:rsidP="0057699F">
            <w:pPr>
              <w:jc w:val="center"/>
            </w:pPr>
            <w:r w:rsidRPr="00712E84">
              <w:t>0,3679</w:t>
            </w:r>
          </w:p>
        </w:tc>
        <w:tc>
          <w:tcPr>
            <w:tcW w:w="432" w:type="pct"/>
            <w:shd w:val="clear" w:color="auto" w:fill="auto"/>
            <w:vAlign w:val="bottom"/>
          </w:tcPr>
          <w:p w:rsidR="00EC7963" w:rsidRPr="00712E84" w:rsidRDefault="00EC7963" w:rsidP="0057699F">
            <w:pPr>
              <w:jc w:val="center"/>
            </w:pPr>
            <w:r w:rsidRPr="00712E84">
              <w:t>13</w:t>
            </w:r>
          </w:p>
        </w:tc>
        <w:tc>
          <w:tcPr>
            <w:tcW w:w="1636" w:type="pct"/>
            <w:vAlign w:val="bottom"/>
          </w:tcPr>
          <w:p w:rsidR="00EC7963" w:rsidRPr="00712E84" w:rsidRDefault="00EC7963" w:rsidP="0057699F">
            <w:r w:rsidRPr="00712E84">
              <w:t>MRV</w:t>
            </w:r>
          </w:p>
        </w:tc>
        <w:tc>
          <w:tcPr>
            <w:tcW w:w="316" w:type="pct"/>
            <w:shd w:val="clear" w:color="auto" w:fill="auto"/>
            <w:vAlign w:val="bottom"/>
          </w:tcPr>
          <w:p w:rsidR="00EC7963" w:rsidRPr="00712E84" w:rsidRDefault="00EC7963" w:rsidP="0057699F">
            <w:pPr>
              <w:jc w:val="center"/>
            </w:pPr>
            <w:r w:rsidRPr="00712E84">
              <w:t>0,2794</w:t>
            </w:r>
          </w:p>
        </w:tc>
        <w:tc>
          <w:tcPr>
            <w:tcW w:w="546" w:type="pct"/>
            <w:vAlign w:val="bottom"/>
          </w:tcPr>
          <w:p w:rsidR="00EC7963" w:rsidRPr="00712E84" w:rsidRDefault="00EC7963" w:rsidP="0057699F">
            <w:pPr>
              <w:jc w:val="center"/>
            </w:pPr>
            <w:r w:rsidRPr="00712E84">
              <w:t>35</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BBSEGURIDADE</w:t>
            </w:r>
          </w:p>
        </w:tc>
        <w:tc>
          <w:tcPr>
            <w:tcW w:w="432" w:type="pct"/>
            <w:shd w:val="clear" w:color="auto" w:fill="F2F2F2" w:themeFill="background1" w:themeFillShade="F2"/>
            <w:vAlign w:val="bottom"/>
          </w:tcPr>
          <w:p w:rsidR="00EC7963" w:rsidRPr="00712E84" w:rsidRDefault="00EC7963" w:rsidP="0057699F">
            <w:pPr>
              <w:jc w:val="center"/>
            </w:pPr>
            <w:r w:rsidRPr="00712E84">
              <w:t>0,3665</w:t>
            </w:r>
          </w:p>
        </w:tc>
        <w:tc>
          <w:tcPr>
            <w:tcW w:w="432" w:type="pct"/>
            <w:shd w:val="clear" w:color="auto" w:fill="F2F2F2" w:themeFill="background1" w:themeFillShade="F2"/>
            <w:vAlign w:val="bottom"/>
          </w:tcPr>
          <w:p w:rsidR="00EC7963" w:rsidRPr="00712E84" w:rsidRDefault="00EC7963" w:rsidP="0057699F">
            <w:pPr>
              <w:jc w:val="center"/>
            </w:pPr>
            <w:r w:rsidRPr="00712E84">
              <w:t>14</w:t>
            </w:r>
          </w:p>
        </w:tc>
        <w:tc>
          <w:tcPr>
            <w:tcW w:w="1636" w:type="pct"/>
            <w:shd w:val="clear" w:color="auto" w:fill="F2F2F2" w:themeFill="background1" w:themeFillShade="F2"/>
            <w:vAlign w:val="bottom"/>
          </w:tcPr>
          <w:p w:rsidR="00EC7963" w:rsidRPr="00712E84" w:rsidRDefault="00EC7963" w:rsidP="0057699F">
            <w:r w:rsidRPr="00712E84">
              <w:t>CIELO</w:t>
            </w:r>
          </w:p>
        </w:tc>
        <w:tc>
          <w:tcPr>
            <w:tcW w:w="316" w:type="pct"/>
            <w:shd w:val="clear" w:color="auto" w:fill="F2F2F2" w:themeFill="background1" w:themeFillShade="F2"/>
            <w:vAlign w:val="bottom"/>
          </w:tcPr>
          <w:p w:rsidR="00EC7963" w:rsidRPr="00712E84" w:rsidRDefault="00EC7963" w:rsidP="0057699F">
            <w:pPr>
              <w:jc w:val="center"/>
            </w:pPr>
            <w:r w:rsidRPr="00712E84">
              <w:t>0,2789</w:t>
            </w:r>
          </w:p>
        </w:tc>
        <w:tc>
          <w:tcPr>
            <w:tcW w:w="546" w:type="pct"/>
            <w:shd w:val="clear" w:color="auto" w:fill="F2F2F2" w:themeFill="background1" w:themeFillShade="F2"/>
            <w:vAlign w:val="bottom"/>
          </w:tcPr>
          <w:p w:rsidR="00EC7963" w:rsidRPr="00712E84" w:rsidRDefault="00EC7963" w:rsidP="0057699F">
            <w:pPr>
              <w:jc w:val="center"/>
            </w:pPr>
            <w:r w:rsidRPr="00712E84">
              <w:t>38</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BRF SA</w:t>
            </w:r>
          </w:p>
        </w:tc>
        <w:tc>
          <w:tcPr>
            <w:tcW w:w="432" w:type="pct"/>
            <w:shd w:val="clear" w:color="auto" w:fill="auto"/>
            <w:vAlign w:val="bottom"/>
          </w:tcPr>
          <w:p w:rsidR="00EC7963" w:rsidRPr="00712E84" w:rsidRDefault="00EC7963" w:rsidP="0057699F">
            <w:pPr>
              <w:jc w:val="center"/>
            </w:pPr>
            <w:r w:rsidRPr="00712E84">
              <w:t>0,3656</w:t>
            </w:r>
          </w:p>
        </w:tc>
        <w:tc>
          <w:tcPr>
            <w:tcW w:w="432" w:type="pct"/>
            <w:shd w:val="clear" w:color="auto" w:fill="auto"/>
            <w:vAlign w:val="bottom"/>
          </w:tcPr>
          <w:p w:rsidR="00EC7963" w:rsidRPr="00712E84" w:rsidRDefault="00EC7963" w:rsidP="0057699F">
            <w:pPr>
              <w:jc w:val="center"/>
            </w:pPr>
            <w:r w:rsidRPr="00712E84">
              <w:t>15</w:t>
            </w:r>
          </w:p>
        </w:tc>
        <w:tc>
          <w:tcPr>
            <w:tcW w:w="1636" w:type="pct"/>
            <w:vAlign w:val="bottom"/>
          </w:tcPr>
          <w:p w:rsidR="00EC7963" w:rsidRPr="00712E84" w:rsidRDefault="00EC7963" w:rsidP="0057699F">
            <w:r w:rsidRPr="00712E84">
              <w:t>ULTRAPAR</w:t>
            </w:r>
          </w:p>
        </w:tc>
        <w:tc>
          <w:tcPr>
            <w:tcW w:w="316" w:type="pct"/>
            <w:shd w:val="clear" w:color="auto" w:fill="auto"/>
            <w:vAlign w:val="bottom"/>
          </w:tcPr>
          <w:p w:rsidR="00EC7963" w:rsidRPr="00712E84" w:rsidRDefault="00EC7963" w:rsidP="0057699F">
            <w:pPr>
              <w:jc w:val="center"/>
            </w:pPr>
            <w:r w:rsidRPr="00712E84">
              <w:t>0,2657</w:t>
            </w:r>
          </w:p>
        </w:tc>
        <w:tc>
          <w:tcPr>
            <w:tcW w:w="546" w:type="pct"/>
            <w:vAlign w:val="bottom"/>
          </w:tcPr>
          <w:p w:rsidR="00EC7963" w:rsidRPr="00712E84" w:rsidRDefault="00EC7963" w:rsidP="0057699F">
            <w:pPr>
              <w:jc w:val="center"/>
            </w:pPr>
            <w:r w:rsidRPr="00712E84">
              <w:t>39</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BRASIL</w:t>
            </w:r>
          </w:p>
        </w:tc>
        <w:tc>
          <w:tcPr>
            <w:tcW w:w="432" w:type="pct"/>
            <w:shd w:val="clear" w:color="auto" w:fill="F2F2F2" w:themeFill="background1" w:themeFillShade="F2"/>
            <w:vAlign w:val="bottom"/>
          </w:tcPr>
          <w:p w:rsidR="00EC7963" w:rsidRPr="00712E84" w:rsidRDefault="00EC7963" w:rsidP="0057699F">
            <w:pPr>
              <w:jc w:val="center"/>
            </w:pPr>
            <w:r w:rsidRPr="00712E84">
              <w:t>0,3541</w:t>
            </w:r>
          </w:p>
        </w:tc>
        <w:tc>
          <w:tcPr>
            <w:tcW w:w="432" w:type="pct"/>
            <w:shd w:val="clear" w:color="auto" w:fill="F2F2F2" w:themeFill="background1" w:themeFillShade="F2"/>
            <w:vAlign w:val="bottom"/>
          </w:tcPr>
          <w:p w:rsidR="00EC7963" w:rsidRPr="00712E84" w:rsidRDefault="00EC7963" w:rsidP="0057699F">
            <w:pPr>
              <w:jc w:val="center"/>
            </w:pPr>
            <w:r w:rsidRPr="00712E84">
              <w:t>16</w:t>
            </w:r>
          </w:p>
        </w:tc>
        <w:tc>
          <w:tcPr>
            <w:tcW w:w="1636" w:type="pct"/>
            <w:shd w:val="clear" w:color="auto" w:fill="F2F2F2" w:themeFill="background1" w:themeFillShade="F2"/>
            <w:vAlign w:val="bottom"/>
          </w:tcPr>
          <w:p w:rsidR="00EC7963" w:rsidRPr="00712E84" w:rsidRDefault="00EC7963" w:rsidP="0057699F">
            <w:r w:rsidRPr="00712E84">
              <w:t>USIMINAS</w:t>
            </w:r>
          </w:p>
        </w:tc>
        <w:tc>
          <w:tcPr>
            <w:tcW w:w="316" w:type="pct"/>
            <w:shd w:val="clear" w:color="auto" w:fill="F2F2F2" w:themeFill="background1" w:themeFillShade="F2"/>
            <w:vAlign w:val="bottom"/>
          </w:tcPr>
          <w:p w:rsidR="00EC7963" w:rsidRPr="00712E84" w:rsidRDefault="00EC7963" w:rsidP="0057699F">
            <w:pPr>
              <w:jc w:val="center"/>
            </w:pPr>
            <w:r w:rsidRPr="00712E84">
              <w:t>0,2621</w:t>
            </w:r>
          </w:p>
        </w:tc>
        <w:tc>
          <w:tcPr>
            <w:tcW w:w="546" w:type="pct"/>
            <w:shd w:val="clear" w:color="auto" w:fill="F2F2F2" w:themeFill="background1" w:themeFillShade="F2"/>
            <w:vAlign w:val="bottom"/>
          </w:tcPr>
          <w:p w:rsidR="00EC7963" w:rsidRPr="00712E84" w:rsidRDefault="00EC7963" w:rsidP="0057699F">
            <w:pPr>
              <w:jc w:val="center"/>
            </w:pPr>
            <w:r w:rsidRPr="00712E84">
              <w:t>40</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SID NACIONAL</w:t>
            </w:r>
          </w:p>
        </w:tc>
        <w:tc>
          <w:tcPr>
            <w:tcW w:w="432" w:type="pct"/>
            <w:shd w:val="clear" w:color="auto" w:fill="auto"/>
            <w:vAlign w:val="bottom"/>
          </w:tcPr>
          <w:p w:rsidR="00EC7963" w:rsidRPr="00712E84" w:rsidRDefault="00EC7963" w:rsidP="0057699F">
            <w:pPr>
              <w:jc w:val="center"/>
            </w:pPr>
            <w:r w:rsidRPr="00712E84">
              <w:t>0,3481</w:t>
            </w:r>
          </w:p>
        </w:tc>
        <w:tc>
          <w:tcPr>
            <w:tcW w:w="432" w:type="pct"/>
            <w:shd w:val="clear" w:color="auto" w:fill="auto"/>
            <w:vAlign w:val="bottom"/>
          </w:tcPr>
          <w:p w:rsidR="00EC7963" w:rsidRPr="00712E84" w:rsidRDefault="00EC7963" w:rsidP="0057699F">
            <w:pPr>
              <w:jc w:val="center"/>
            </w:pPr>
            <w:r w:rsidRPr="00712E84">
              <w:t>17</w:t>
            </w:r>
          </w:p>
        </w:tc>
        <w:tc>
          <w:tcPr>
            <w:tcW w:w="1636" w:type="pct"/>
            <w:vAlign w:val="bottom"/>
          </w:tcPr>
          <w:p w:rsidR="00EC7963" w:rsidRPr="00712E84" w:rsidRDefault="00EC7963" w:rsidP="0057699F">
            <w:r w:rsidRPr="00712E84">
              <w:t>TELEF BRASIL</w:t>
            </w:r>
          </w:p>
        </w:tc>
        <w:tc>
          <w:tcPr>
            <w:tcW w:w="316" w:type="pct"/>
            <w:shd w:val="clear" w:color="auto" w:fill="auto"/>
            <w:vAlign w:val="bottom"/>
          </w:tcPr>
          <w:p w:rsidR="00EC7963" w:rsidRPr="00712E84" w:rsidRDefault="00EC7963" w:rsidP="0057699F">
            <w:pPr>
              <w:jc w:val="center"/>
            </w:pPr>
            <w:r w:rsidRPr="00712E84">
              <w:t>0,2609</w:t>
            </w:r>
          </w:p>
        </w:tc>
        <w:tc>
          <w:tcPr>
            <w:tcW w:w="546" w:type="pct"/>
            <w:vAlign w:val="bottom"/>
          </w:tcPr>
          <w:p w:rsidR="00EC7963" w:rsidRPr="00712E84" w:rsidRDefault="00EC7963" w:rsidP="0057699F">
            <w:pPr>
              <w:jc w:val="center"/>
            </w:pPr>
            <w:r w:rsidRPr="00712E84">
              <w:t>41</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ENERG0,5AS BR</w:t>
            </w:r>
          </w:p>
        </w:tc>
        <w:tc>
          <w:tcPr>
            <w:tcW w:w="432" w:type="pct"/>
            <w:shd w:val="clear" w:color="auto" w:fill="F2F2F2" w:themeFill="background1" w:themeFillShade="F2"/>
            <w:vAlign w:val="bottom"/>
          </w:tcPr>
          <w:p w:rsidR="00EC7963" w:rsidRPr="00712E84" w:rsidRDefault="00EC7963" w:rsidP="0057699F">
            <w:pPr>
              <w:jc w:val="center"/>
            </w:pPr>
            <w:r w:rsidRPr="00712E84">
              <w:t>0,3465</w:t>
            </w:r>
          </w:p>
        </w:tc>
        <w:tc>
          <w:tcPr>
            <w:tcW w:w="432" w:type="pct"/>
            <w:shd w:val="clear" w:color="auto" w:fill="F2F2F2" w:themeFill="background1" w:themeFillShade="F2"/>
            <w:vAlign w:val="bottom"/>
          </w:tcPr>
          <w:p w:rsidR="00EC7963" w:rsidRPr="00712E84" w:rsidRDefault="00EC7963" w:rsidP="0057699F">
            <w:pPr>
              <w:jc w:val="center"/>
            </w:pPr>
            <w:r w:rsidRPr="00712E84">
              <w:t>18</w:t>
            </w:r>
          </w:p>
        </w:tc>
        <w:tc>
          <w:tcPr>
            <w:tcW w:w="1636" w:type="pct"/>
            <w:shd w:val="clear" w:color="auto" w:fill="F2F2F2" w:themeFill="background1" w:themeFillShade="F2"/>
            <w:vAlign w:val="bottom"/>
          </w:tcPr>
          <w:p w:rsidR="00EC7963" w:rsidRPr="00712E84" w:rsidRDefault="00EC7963" w:rsidP="0057699F">
            <w:r w:rsidRPr="00712E84">
              <w:t>MULTIPLAN</w:t>
            </w:r>
          </w:p>
        </w:tc>
        <w:tc>
          <w:tcPr>
            <w:tcW w:w="316" w:type="pct"/>
            <w:shd w:val="clear" w:color="auto" w:fill="F2F2F2" w:themeFill="background1" w:themeFillShade="F2"/>
            <w:vAlign w:val="bottom"/>
          </w:tcPr>
          <w:p w:rsidR="00EC7963" w:rsidRPr="00712E84" w:rsidRDefault="00EC7963" w:rsidP="0057699F">
            <w:pPr>
              <w:jc w:val="center"/>
            </w:pPr>
            <w:r w:rsidRPr="00712E84">
              <w:t>0,2515</w:t>
            </w:r>
          </w:p>
        </w:tc>
        <w:tc>
          <w:tcPr>
            <w:tcW w:w="546" w:type="pct"/>
            <w:shd w:val="clear" w:color="auto" w:fill="F2F2F2" w:themeFill="background1" w:themeFillShade="F2"/>
            <w:vAlign w:val="bottom"/>
          </w:tcPr>
          <w:p w:rsidR="00EC7963" w:rsidRPr="00712E84" w:rsidRDefault="00EC7963" w:rsidP="0057699F">
            <w:pPr>
              <w:jc w:val="center"/>
            </w:pPr>
            <w:r w:rsidRPr="00712E84">
              <w:t>42</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VALE</w:t>
            </w:r>
          </w:p>
        </w:tc>
        <w:tc>
          <w:tcPr>
            <w:tcW w:w="432" w:type="pct"/>
            <w:shd w:val="clear" w:color="auto" w:fill="auto"/>
            <w:vAlign w:val="bottom"/>
          </w:tcPr>
          <w:p w:rsidR="00EC7963" w:rsidRPr="00712E84" w:rsidRDefault="00EC7963" w:rsidP="0057699F">
            <w:pPr>
              <w:jc w:val="center"/>
            </w:pPr>
            <w:r w:rsidRPr="00712E84">
              <w:t>0,3465</w:t>
            </w:r>
          </w:p>
        </w:tc>
        <w:tc>
          <w:tcPr>
            <w:tcW w:w="432" w:type="pct"/>
            <w:shd w:val="clear" w:color="auto" w:fill="auto"/>
            <w:vAlign w:val="bottom"/>
          </w:tcPr>
          <w:p w:rsidR="00EC7963" w:rsidRPr="00712E84" w:rsidRDefault="00EC7963" w:rsidP="0057699F">
            <w:pPr>
              <w:jc w:val="center"/>
            </w:pPr>
            <w:r w:rsidRPr="00712E84">
              <w:t>18</w:t>
            </w:r>
          </w:p>
        </w:tc>
        <w:tc>
          <w:tcPr>
            <w:tcW w:w="1636" w:type="pct"/>
            <w:vAlign w:val="bottom"/>
          </w:tcPr>
          <w:p w:rsidR="00EC7963" w:rsidRPr="00712E84" w:rsidRDefault="00EC7963" w:rsidP="0057699F">
            <w:r w:rsidRPr="00712E84">
              <w:t>QUALICORP</w:t>
            </w:r>
          </w:p>
        </w:tc>
        <w:tc>
          <w:tcPr>
            <w:tcW w:w="316" w:type="pct"/>
            <w:shd w:val="clear" w:color="auto" w:fill="auto"/>
            <w:vAlign w:val="bottom"/>
          </w:tcPr>
          <w:p w:rsidR="00EC7963" w:rsidRPr="00712E84" w:rsidRDefault="00EC7963" w:rsidP="0057699F">
            <w:pPr>
              <w:jc w:val="center"/>
            </w:pPr>
            <w:r w:rsidRPr="00712E84">
              <w:t>0,2478</w:t>
            </w:r>
          </w:p>
        </w:tc>
        <w:tc>
          <w:tcPr>
            <w:tcW w:w="546" w:type="pct"/>
            <w:vAlign w:val="bottom"/>
          </w:tcPr>
          <w:p w:rsidR="00EC7963" w:rsidRPr="00712E84" w:rsidRDefault="00EC7963" w:rsidP="0057699F">
            <w:pPr>
              <w:jc w:val="center"/>
            </w:pPr>
            <w:r w:rsidRPr="00712E84">
              <w:t>43</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BRADESCO</w:t>
            </w:r>
          </w:p>
        </w:tc>
        <w:tc>
          <w:tcPr>
            <w:tcW w:w="432" w:type="pct"/>
            <w:shd w:val="clear" w:color="auto" w:fill="F2F2F2" w:themeFill="background1" w:themeFillShade="F2"/>
            <w:vAlign w:val="bottom"/>
          </w:tcPr>
          <w:p w:rsidR="00EC7963" w:rsidRPr="00712E84" w:rsidRDefault="00EC7963" w:rsidP="0057699F">
            <w:pPr>
              <w:jc w:val="center"/>
            </w:pPr>
            <w:r w:rsidRPr="00712E84">
              <w:t>0,3418</w:t>
            </w:r>
          </w:p>
        </w:tc>
        <w:tc>
          <w:tcPr>
            <w:tcW w:w="432" w:type="pct"/>
            <w:shd w:val="clear" w:color="auto" w:fill="F2F2F2" w:themeFill="background1" w:themeFillShade="F2"/>
            <w:vAlign w:val="bottom"/>
          </w:tcPr>
          <w:p w:rsidR="00EC7963" w:rsidRPr="00712E84" w:rsidRDefault="00EC7963" w:rsidP="0057699F">
            <w:pPr>
              <w:jc w:val="center"/>
            </w:pPr>
            <w:r w:rsidRPr="00712E84">
              <w:t>20</w:t>
            </w:r>
          </w:p>
        </w:tc>
        <w:tc>
          <w:tcPr>
            <w:tcW w:w="1636" w:type="pct"/>
            <w:shd w:val="clear" w:color="auto" w:fill="F2F2F2" w:themeFill="background1" w:themeFillShade="F2"/>
            <w:vAlign w:val="bottom"/>
          </w:tcPr>
          <w:p w:rsidR="00EC7963" w:rsidRPr="00712E84" w:rsidRDefault="00EC7963" w:rsidP="0057699F">
            <w:r w:rsidRPr="00712E84">
              <w:t>P.ACUCAR-CBD</w:t>
            </w:r>
          </w:p>
        </w:tc>
        <w:tc>
          <w:tcPr>
            <w:tcW w:w="316" w:type="pct"/>
            <w:shd w:val="clear" w:color="auto" w:fill="F2F2F2" w:themeFill="background1" w:themeFillShade="F2"/>
            <w:vAlign w:val="bottom"/>
          </w:tcPr>
          <w:p w:rsidR="00EC7963" w:rsidRPr="00712E84" w:rsidRDefault="00EC7963" w:rsidP="0057699F">
            <w:pPr>
              <w:jc w:val="center"/>
            </w:pPr>
            <w:r w:rsidRPr="00712E84">
              <w:t>0,2407</w:t>
            </w:r>
          </w:p>
        </w:tc>
        <w:tc>
          <w:tcPr>
            <w:tcW w:w="546" w:type="pct"/>
            <w:shd w:val="clear" w:color="auto" w:fill="F2F2F2" w:themeFill="background1" w:themeFillShade="F2"/>
            <w:vAlign w:val="bottom"/>
          </w:tcPr>
          <w:p w:rsidR="00EC7963" w:rsidRPr="00712E84" w:rsidRDefault="00EC7963" w:rsidP="0057699F">
            <w:pPr>
              <w:jc w:val="center"/>
            </w:pPr>
            <w:r w:rsidRPr="00712E84">
              <w:t>44</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SMILES</w:t>
            </w:r>
          </w:p>
        </w:tc>
        <w:tc>
          <w:tcPr>
            <w:tcW w:w="432" w:type="pct"/>
            <w:shd w:val="clear" w:color="auto" w:fill="auto"/>
            <w:vAlign w:val="bottom"/>
          </w:tcPr>
          <w:p w:rsidR="00EC7963" w:rsidRPr="00712E84" w:rsidRDefault="00EC7963" w:rsidP="0057699F">
            <w:pPr>
              <w:jc w:val="center"/>
            </w:pPr>
            <w:r w:rsidRPr="00712E84">
              <w:t>0,3407</w:t>
            </w:r>
          </w:p>
        </w:tc>
        <w:tc>
          <w:tcPr>
            <w:tcW w:w="432" w:type="pct"/>
            <w:shd w:val="clear" w:color="auto" w:fill="auto"/>
            <w:vAlign w:val="bottom"/>
          </w:tcPr>
          <w:p w:rsidR="00EC7963" w:rsidRPr="00712E84" w:rsidRDefault="00EC7963" w:rsidP="0057699F">
            <w:pPr>
              <w:jc w:val="center"/>
            </w:pPr>
            <w:r w:rsidRPr="00712E84">
              <w:t>21</w:t>
            </w:r>
          </w:p>
        </w:tc>
        <w:tc>
          <w:tcPr>
            <w:tcW w:w="1636" w:type="pct"/>
            <w:vAlign w:val="bottom"/>
          </w:tcPr>
          <w:p w:rsidR="00EC7963" w:rsidRPr="00712E84" w:rsidRDefault="00EC7963" w:rsidP="0057699F">
            <w:r w:rsidRPr="00712E84">
              <w:t>ITAUSA</w:t>
            </w:r>
          </w:p>
        </w:tc>
        <w:tc>
          <w:tcPr>
            <w:tcW w:w="316" w:type="pct"/>
            <w:shd w:val="clear" w:color="auto" w:fill="auto"/>
            <w:vAlign w:val="bottom"/>
          </w:tcPr>
          <w:p w:rsidR="00EC7963" w:rsidRPr="00712E84" w:rsidRDefault="00EC7963" w:rsidP="0057699F">
            <w:pPr>
              <w:jc w:val="center"/>
            </w:pPr>
            <w:r w:rsidRPr="00712E84">
              <w:t>0,2358</w:t>
            </w:r>
          </w:p>
        </w:tc>
        <w:tc>
          <w:tcPr>
            <w:tcW w:w="546" w:type="pct"/>
            <w:vAlign w:val="bottom"/>
          </w:tcPr>
          <w:p w:rsidR="00EC7963" w:rsidRPr="00712E84" w:rsidRDefault="00EC7963" w:rsidP="0057699F">
            <w:pPr>
              <w:jc w:val="center"/>
            </w:pPr>
            <w:r w:rsidRPr="00712E84">
              <w:t>45</w:t>
            </w:r>
          </w:p>
        </w:tc>
      </w:tr>
      <w:tr w:rsidR="00EC7963" w:rsidRPr="00712E84" w:rsidTr="0057699F">
        <w:trPr>
          <w:cantSplit/>
          <w:trHeight w:val="210"/>
        </w:trPr>
        <w:tc>
          <w:tcPr>
            <w:tcW w:w="1638" w:type="pct"/>
            <w:shd w:val="clear" w:color="auto" w:fill="F2F2F2" w:themeFill="background1" w:themeFillShade="F2"/>
            <w:vAlign w:val="bottom"/>
          </w:tcPr>
          <w:p w:rsidR="00EC7963" w:rsidRPr="00712E84" w:rsidRDefault="00EC7963" w:rsidP="0057699F">
            <w:r w:rsidRPr="00712E84">
              <w:t>COSAN</w:t>
            </w:r>
          </w:p>
        </w:tc>
        <w:tc>
          <w:tcPr>
            <w:tcW w:w="432" w:type="pct"/>
            <w:shd w:val="clear" w:color="auto" w:fill="F2F2F2" w:themeFill="background1" w:themeFillShade="F2"/>
            <w:vAlign w:val="bottom"/>
          </w:tcPr>
          <w:p w:rsidR="00EC7963" w:rsidRPr="00712E84" w:rsidRDefault="00EC7963" w:rsidP="0057699F">
            <w:pPr>
              <w:jc w:val="center"/>
            </w:pPr>
            <w:r w:rsidRPr="00712E84">
              <w:t>0,3340</w:t>
            </w:r>
          </w:p>
        </w:tc>
        <w:tc>
          <w:tcPr>
            <w:tcW w:w="432" w:type="pct"/>
            <w:shd w:val="clear" w:color="auto" w:fill="F2F2F2" w:themeFill="background1" w:themeFillShade="F2"/>
            <w:vAlign w:val="bottom"/>
          </w:tcPr>
          <w:p w:rsidR="00EC7963" w:rsidRPr="00712E84" w:rsidRDefault="00EC7963" w:rsidP="0057699F">
            <w:pPr>
              <w:jc w:val="center"/>
            </w:pPr>
            <w:r w:rsidRPr="00712E84">
              <w:t>22</w:t>
            </w:r>
          </w:p>
        </w:tc>
        <w:tc>
          <w:tcPr>
            <w:tcW w:w="1636" w:type="pct"/>
            <w:shd w:val="clear" w:color="auto" w:fill="F2F2F2" w:themeFill="background1" w:themeFillShade="F2"/>
            <w:vAlign w:val="bottom"/>
          </w:tcPr>
          <w:p w:rsidR="00EC7963" w:rsidRPr="00712E84" w:rsidRDefault="00EC7963" w:rsidP="0057699F">
            <w:r w:rsidRPr="00712E84">
              <w:t>RAIADROGASIL</w:t>
            </w:r>
          </w:p>
        </w:tc>
        <w:tc>
          <w:tcPr>
            <w:tcW w:w="316" w:type="pct"/>
            <w:shd w:val="clear" w:color="auto" w:fill="F2F2F2" w:themeFill="background1" w:themeFillShade="F2"/>
            <w:vAlign w:val="bottom"/>
          </w:tcPr>
          <w:p w:rsidR="00EC7963" w:rsidRPr="00712E84" w:rsidRDefault="00EC7963" w:rsidP="0057699F">
            <w:pPr>
              <w:jc w:val="center"/>
            </w:pPr>
            <w:r w:rsidRPr="00712E84">
              <w:t>0,2316</w:t>
            </w:r>
          </w:p>
        </w:tc>
        <w:tc>
          <w:tcPr>
            <w:tcW w:w="546" w:type="pct"/>
            <w:shd w:val="clear" w:color="auto" w:fill="F2F2F2" w:themeFill="background1" w:themeFillShade="F2"/>
            <w:vAlign w:val="bottom"/>
          </w:tcPr>
          <w:p w:rsidR="00EC7963" w:rsidRPr="00712E84" w:rsidRDefault="00EC7963" w:rsidP="0057699F">
            <w:pPr>
              <w:jc w:val="center"/>
            </w:pPr>
            <w:r w:rsidRPr="00712E84">
              <w:t>46</w:t>
            </w:r>
          </w:p>
        </w:tc>
      </w:tr>
      <w:tr w:rsidR="00EC7963" w:rsidRPr="00712E84" w:rsidTr="0057699F">
        <w:trPr>
          <w:cantSplit/>
          <w:trHeight w:val="210"/>
        </w:trPr>
        <w:tc>
          <w:tcPr>
            <w:tcW w:w="1638" w:type="pct"/>
            <w:shd w:val="clear" w:color="auto" w:fill="auto"/>
            <w:vAlign w:val="bottom"/>
          </w:tcPr>
          <w:p w:rsidR="00EC7963" w:rsidRPr="00712E84" w:rsidRDefault="00EC7963" w:rsidP="0057699F">
            <w:r w:rsidRPr="00712E84">
              <w:t>SABESP</w:t>
            </w:r>
          </w:p>
        </w:tc>
        <w:tc>
          <w:tcPr>
            <w:tcW w:w="432" w:type="pct"/>
            <w:shd w:val="clear" w:color="auto" w:fill="auto"/>
            <w:vAlign w:val="bottom"/>
          </w:tcPr>
          <w:p w:rsidR="00EC7963" w:rsidRPr="00712E84" w:rsidRDefault="00EC7963" w:rsidP="0057699F">
            <w:pPr>
              <w:jc w:val="center"/>
            </w:pPr>
            <w:r w:rsidRPr="00712E84">
              <w:t>0,3288</w:t>
            </w:r>
          </w:p>
        </w:tc>
        <w:tc>
          <w:tcPr>
            <w:tcW w:w="432" w:type="pct"/>
            <w:shd w:val="clear" w:color="auto" w:fill="auto"/>
            <w:vAlign w:val="bottom"/>
          </w:tcPr>
          <w:p w:rsidR="00EC7963" w:rsidRPr="00712E84" w:rsidRDefault="00EC7963" w:rsidP="0057699F">
            <w:pPr>
              <w:jc w:val="center"/>
            </w:pPr>
            <w:r w:rsidRPr="00712E84">
              <w:t>23</w:t>
            </w:r>
          </w:p>
        </w:tc>
        <w:tc>
          <w:tcPr>
            <w:tcW w:w="1636" w:type="pct"/>
            <w:vAlign w:val="bottom"/>
          </w:tcPr>
          <w:p w:rsidR="00EC7963" w:rsidRPr="00712E84" w:rsidRDefault="00EC7963" w:rsidP="0057699F">
            <w:r w:rsidRPr="00712E84">
              <w:t>BMFBOVESPA</w:t>
            </w:r>
          </w:p>
        </w:tc>
        <w:tc>
          <w:tcPr>
            <w:tcW w:w="316" w:type="pct"/>
            <w:shd w:val="clear" w:color="auto" w:fill="auto"/>
            <w:vAlign w:val="bottom"/>
          </w:tcPr>
          <w:p w:rsidR="00EC7963" w:rsidRPr="00712E84" w:rsidRDefault="00EC7963" w:rsidP="0057699F">
            <w:pPr>
              <w:jc w:val="center"/>
            </w:pPr>
            <w:r w:rsidRPr="00712E84">
              <w:t>0,1838</w:t>
            </w:r>
          </w:p>
        </w:tc>
        <w:tc>
          <w:tcPr>
            <w:tcW w:w="546" w:type="pct"/>
            <w:vAlign w:val="bottom"/>
          </w:tcPr>
          <w:p w:rsidR="00EC7963" w:rsidRPr="00712E84" w:rsidRDefault="00EC7963" w:rsidP="0057699F">
            <w:pPr>
              <w:jc w:val="center"/>
            </w:pPr>
            <w:r w:rsidRPr="00712E84">
              <w:t>47</w:t>
            </w:r>
          </w:p>
        </w:tc>
      </w:tr>
      <w:tr w:rsidR="00EC7963" w:rsidRPr="00712E84" w:rsidTr="0057699F">
        <w:trPr>
          <w:cantSplit/>
          <w:trHeight w:val="210"/>
        </w:trPr>
        <w:tc>
          <w:tcPr>
            <w:tcW w:w="1638" w:type="pct"/>
            <w:tcBorders>
              <w:top w:val="single" w:sz="4" w:space="0" w:color="auto"/>
              <w:bottom w:val="single" w:sz="18" w:space="0" w:color="auto"/>
            </w:tcBorders>
            <w:shd w:val="clear" w:color="auto" w:fill="F2F2F2" w:themeFill="background1" w:themeFillShade="F2"/>
            <w:vAlign w:val="bottom"/>
          </w:tcPr>
          <w:p w:rsidR="00EC7963" w:rsidRPr="00712E84" w:rsidRDefault="00EC7963" w:rsidP="0057699F">
            <w:r w:rsidRPr="00712E84">
              <w:t>CEMIG</w:t>
            </w:r>
          </w:p>
        </w:tc>
        <w:tc>
          <w:tcPr>
            <w:tcW w:w="432" w:type="pct"/>
            <w:tcBorders>
              <w:top w:val="single" w:sz="4" w:space="0" w:color="auto"/>
              <w:bottom w:val="single" w:sz="18" w:space="0" w:color="auto"/>
            </w:tcBorders>
            <w:shd w:val="clear" w:color="auto" w:fill="F2F2F2" w:themeFill="background1" w:themeFillShade="F2"/>
            <w:vAlign w:val="bottom"/>
          </w:tcPr>
          <w:p w:rsidR="00EC7963" w:rsidRPr="00712E84" w:rsidRDefault="00EC7963" w:rsidP="0057699F">
            <w:pPr>
              <w:jc w:val="center"/>
            </w:pPr>
            <w:r w:rsidRPr="00712E84">
              <w:t>0,3268</w:t>
            </w:r>
          </w:p>
        </w:tc>
        <w:tc>
          <w:tcPr>
            <w:tcW w:w="432" w:type="pct"/>
            <w:tcBorders>
              <w:top w:val="single" w:sz="4" w:space="0" w:color="auto"/>
              <w:bottom w:val="single" w:sz="18" w:space="0" w:color="auto"/>
            </w:tcBorders>
            <w:shd w:val="clear" w:color="auto" w:fill="F2F2F2" w:themeFill="background1" w:themeFillShade="F2"/>
            <w:vAlign w:val="bottom"/>
          </w:tcPr>
          <w:p w:rsidR="00EC7963" w:rsidRPr="00712E84" w:rsidRDefault="00EC7963" w:rsidP="0057699F">
            <w:pPr>
              <w:jc w:val="center"/>
            </w:pPr>
            <w:r w:rsidRPr="00712E84">
              <w:t>24</w:t>
            </w:r>
          </w:p>
        </w:tc>
        <w:tc>
          <w:tcPr>
            <w:tcW w:w="1636" w:type="pct"/>
            <w:tcBorders>
              <w:top w:val="single" w:sz="4" w:space="0" w:color="auto"/>
              <w:bottom w:val="single" w:sz="18" w:space="0" w:color="auto"/>
            </w:tcBorders>
            <w:shd w:val="clear" w:color="auto" w:fill="F2F2F2" w:themeFill="background1" w:themeFillShade="F2"/>
          </w:tcPr>
          <w:p w:rsidR="00EC7963" w:rsidRPr="00712E84" w:rsidRDefault="00EC7963" w:rsidP="0057699F">
            <w:pPr>
              <w:jc w:val="center"/>
            </w:pPr>
          </w:p>
        </w:tc>
        <w:tc>
          <w:tcPr>
            <w:tcW w:w="316" w:type="pct"/>
            <w:tcBorders>
              <w:top w:val="single" w:sz="4" w:space="0" w:color="auto"/>
              <w:bottom w:val="single" w:sz="18" w:space="0" w:color="auto"/>
            </w:tcBorders>
            <w:shd w:val="clear" w:color="auto" w:fill="F2F2F2" w:themeFill="background1" w:themeFillShade="F2"/>
            <w:vAlign w:val="center"/>
          </w:tcPr>
          <w:p w:rsidR="00EC7963" w:rsidRPr="00712E84" w:rsidRDefault="00EC7963" w:rsidP="0057699F">
            <w:pPr>
              <w:jc w:val="center"/>
            </w:pPr>
          </w:p>
        </w:tc>
        <w:tc>
          <w:tcPr>
            <w:tcW w:w="546" w:type="pct"/>
            <w:tcBorders>
              <w:top w:val="single" w:sz="4" w:space="0" w:color="auto"/>
              <w:bottom w:val="single" w:sz="18" w:space="0" w:color="auto"/>
            </w:tcBorders>
            <w:shd w:val="clear" w:color="auto" w:fill="F2F2F2" w:themeFill="background1" w:themeFillShade="F2"/>
            <w:vAlign w:val="center"/>
          </w:tcPr>
          <w:p w:rsidR="00EC7963" w:rsidRPr="00712E84" w:rsidRDefault="00EC7963" w:rsidP="0057699F">
            <w:pPr>
              <w:jc w:val="center"/>
            </w:pPr>
          </w:p>
        </w:tc>
      </w:tr>
    </w:tbl>
    <w:p w:rsidR="00EC7963" w:rsidRPr="00EC7963" w:rsidRDefault="00EC7963" w:rsidP="00EC7963">
      <w:pPr>
        <w:rPr>
          <w:sz w:val="24"/>
          <w:szCs w:val="24"/>
        </w:rPr>
      </w:pPr>
      <w:r w:rsidRPr="00EC7963">
        <w:rPr>
          <w:sz w:val="24"/>
          <w:szCs w:val="24"/>
        </w:rPr>
        <w:t>Fonte: Dados da pesquisa.</w:t>
      </w:r>
    </w:p>
    <w:p w:rsidR="00EC7963" w:rsidRPr="00EC7963" w:rsidRDefault="00EC7963" w:rsidP="00EC7963">
      <w:pPr>
        <w:jc w:val="both"/>
        <w:rPr>
          <w:sz w:val="24"/>
          <w:szCs w:val="24"/>
        </w:rPr>
      </w:pPr>
    </w:p>
    <w:p w:rsidR="00EC7963" w:rsidRPr="00EC7963" w:rsidRDefault="00EC7963" w:rsidP="00EC7963">
      <w:pPr>
        <w:ind w:firstLine="708"/>
        <w:jc w:val="both"/>
        <w:rPr>
          <w:sz w:val="24"/>
          <w:szCs w:val="24"/>
        </w:rPr>
      </w:pPr>
      <w:r w:rsidRPr="00EC7963">
        <w:rPr>
          <w:sz w:val="24"/>
          <w:szCs w:val="24"/>
        </w:rPr>
        <w:t xml:space="preserve">Uma definição de perfil deve ser introduzida antes das discussões deste tópico. O perfil, no contexto do presente estudo, se referente às empresas que divulgaram maior quantidade de categorias de riscos em suas notas explicativas e relatório de referência, ou seja, podendo estas categorias apresentar maiores ou menores explicações de mitigação de seus riscos, possibilitando uma identificação quanto a possibilidade dos riscos de fato afetarem a empresa. Deste modo, os dados apresentados na tabela 4, são referentes aos cálculos gerados pelo TOPSIS, com base em todos os valores de raro a certo para cada empresa (conforme descrito na Tabela 3).  </w:t>
      </w:r>
    </w:p>
    <w:p w:rsidR="00EC7963" w:rsidRPr="00EC7963" w:rsidRDefault="00EC7963" w:rsidP="00EC7963">
      <w:pPr>
        <w:ind w:firstLine="708"/>
        <w:jc w:val="both"/>
        <w:rPr>
          <w:sz w:val="24"/>
          <w:szCs w:val="24"/>
        </w:rPr>
      </w:pPr>
      <w:r w:rsidRPr="00EC7963">
        <w:rPr>
          <w:sz w:val="24"/>
          <w:szCs w:val="24"/>
        </w:rPr>
        <w:t xml:space="preserve"> De acordo com o TOPSIS, para o ano de 2015, a CPFL Energia, Embraer, Fibria e Klabin, foram as primeiras do </w:t>
      </w:r>
      <w:r w:rsidRPr="00EC7963">
        <w:rPr>
          <w:i/>
          <w:sz w:val="24"/>
          <w:szCs w:val="24"/>
        </w:rPr>
        <w:t>Ranking</w:t>
      </w:r>
      <w:r w:rsidRPr="00EC7963">
        <w:rPr>
          <w:sz w:val="24"/>
          <w:szCs w:val="24"/>
        </w:rPr>
        <w:t xml:space="preserve">, indicando que estas empresas são as que mais relatam informações sobre os riscos e são as que possuem os riscos mais altos, de acordo com a escala Fuzzy, ou seja, possivelmente são as que mais estarão expostas aos riscos como os discutidos neste artigo (Crédito, liquidez, mercado...). Em um oposto, as empresas P.Acucar-cbd, Itausa, Raiadrogasil, BMFBovespa aparecem com os menores índices, indo da posição 44 a 47 no </w:t>
      </w:r>
      <w:r w:rsidRPr="00EC7963">
        <w:rPr>
          <w:i/>
          <w:sz w:val="24"/>
          <w:szCs w:val="24"/>
        </w:rPr>
        <w:t>ranking</w:t>
      </w:r>
      <w:r w:rsidRPr="00EC7963">
        <w:rPr>
          <w:sz w:val="24"/>
          <w:szCs w:val="24"/>
        </w:rPr>
        <w:t>, o que indica menor probabilidade de sofrer as consequências dos riscos ao qual evidenciam estarem expostas ou ainda, representando as empresas que evidenciaram uma quantidade menor de riscos a qual acreditam estarem expostas. Isso se deve, possivelmente, as políticas de gerenciamento de risco declaradas, com apresentação de previsões que sinalizam quando uma situação mais crítica se aproxima da condição ideal de controles gerenciais, conforme observado em algumas demonstrações.</w:t>
      </w:r>
    </w:p>
    <w:p w:rsidR="00EC7963" w:rsidRPr="00EC7963" w:rsidRDefault="00EC7963" w:rsidP="00EC7963">
      <w:pPr>
        <w:ind w:firstLine="708"/>
        <w:jc w:val="both"/>
        <w:rPr>
          <w:sz w:val="24"/>
          <w:szCs w:val="24"/>
        </w:rPr>
      </w:pPr>
      <w:r w:rsidRPr="00EC7963">
        <w:rPr>
          <w:sz w:val="24"/>
          <w:szCs w:val="24"/>
        </w:rPr>
        <w:t xml:space="preserve">Em relação ao </w:t>
      </w:r>
      <w:r w:rsidRPr="00EC7963">
        <w:rPr>
          <w:i/>
          <w:sz w:val="24"/>
          <w:szCs w:val="24"/>
        </w:rPr>
        <w:t>ranking</w:t>
      </w:r>
      <w:r w:rsidRPr="00EC7963">
        <w:rPr>
          <w:sz w:val="24"/>
          <w:szCs w:val="24"/>
        </w:rPr>
        <w:t xml:space="preserve"> geral, os resultados demonstram que existe variação, entre as empresas, quanto ao número de categorias de risco evidenciadas, detalhamento dos aspectos relacionados aos riscos e indicação de suscetibilidade de sofrerem consequências em relação aos mesmos. Estas informações são importantes para os usuários das informações contábeis, externos e internos, de modo que possam reavaliar seus controles, e pensar possibilidades de gerenciamento de risco para garantir a continuidade e a menor incidência de perdas para a entidade.</w:t>
      </w:r>
    </w:p>
    <w:p w:rsidR="00EC7963" w:rsidRPr="00EC7963" w:rsidRDefault="00EC7963" w:rsidP="00EC7963">
      <w:pPr>
        <w:ind w:firstLine="708"/>
        <w:jc w:val="both"/>
        <w:rPr>
          <w:sz w:val="24"/>
          <w:szCs w:val="24"/>
        </w:rPr>
      </w:pPr>
      <w:r w:rsidRPr="00EC7963">
        <w:rPr>
          <w:sz w:val="24"/>
          <w:szCs w:val="24"/>
        </w:rPr>
        <w:t xml:space="preserve">Observa-se na tabela 5, que algumas empresas apresentaram o mesmo </w:t>
      </w:r>
      <w:r w:rsidRPr="00EC7963">
        <w:rPr>
          <w:i/>
          <w:sz w:val="24"/>
          <w:szCs w:val="24"/>
        </w:rPr>
        <w:t>score</w:t>
      </w:r>
      <w:r w:rsidRPr="00EC7963">
        <w:rPr>
          <w:sz w:val="24"/>
          <w:szCs w:val="24"/>
        </w:rPr>
        <w:t xml:space="preserve">, a exemplo da Gerdau com a Gerdau Met e da Braskem com a Kroton. Os empates são possíveis uma vez que o TOPSIS realiza somas numéricas, para determinação dos </w:t>
      </w:r>
      <w:r w:rsidRPr="00EC7963">
        <w:rPr>
          <w:i/>
          <w:sz w:val="24"/>
          <w:szCs w:val="24"/>
        </w:rPr>
        <w:t>scores</w:t>
      </w:r>
      <w:r w:rsidRPr="00EC7963">
        <w:rPr>
          <w:sz w:val="24"/>
          <w:szCs w:val="24"/>
        </w:rPr>
        <w:t>, no entanto, há possibilidade dos riscos analisados possuírem semelhanças nestas empresas. Uma sugestão seria proceder a uma análise especificamente para os empates. Observando características como políticas de gerenciamento de riscos semelhantes, setor econômico, tamanho, fatores que podem conter as razões de situações de risco semelhantes, como podem ser os casos da Gerdau e Gerdau Met e; Energ0,5AS BR e Vale, por exemplo.</w:t>
      </w:r>
    </w:p>
    <w:p w:rsidR="00EC7963" w:rsidRPr="00EC7963" w:rsidRDefault="00EC7963" w:rsidP="00EC7963">
      <w:pPr>
        <w:autoSpaceDE w:val="0"/>
        <w:autoSpaceDN w:val="0"/>
        <w:adjustRightInd w:val="0"/>
        <w:ind w:firstLine="708"/>
        <w:rPr>
          <w:sz w:val="24"/>
          <w:szCs w:val="24"/>
        </w:rPr>
      </w:pPr>
      <w:r w:rsidRPr="00EC7963">
        <w:rPr>
          <w:sz w:val="24"/>
          <w:szCs w:val="24"/>
        </w:rPr>
        <w:tab/>
      </w:r>
    </w:p>
    <w:p w:rsidR="00EC7963" w:rsidRPr="00EC7963" w:rsidRDefault="00EC7963" w:rsidP="00EC7963">
      <w:pPr>
        <w:autoSpaceDE w:val="0"/>
        <w:autoSpaceDN w:val="0"/>
        <w:adjustRightInd w:val="0"/>
        <w:rPr>
          <w:sz w:val="24"/>
          <w:szCs w:val="24"/>
        </w:rPr>
      </w:pPr>
      <w:r w:rsidRPr="00EC7963">
        <w:rPr>
          <w:b/>
          <w:sz w:val="24"/>
          <w:szCs w:val="24"/>
        </w:rPr>
        <w:t>4.3</w:t>
      </w:r>
      <w:r w:rsidRPr="00EC7963">
        <w:rPr>
          <w:sz w:val="24"/>
          <w:szCs w:val="24"/>
        </w:rPr>
        <w:t xml:space="preserve"> D</w:t>
      </w:r>
      <w:r w:rsidRPr="00EC7963">
        <w:rPr>
          <w:b/>
          <w:sz w:val="24"/>
          <w:szCs w:val="24"/>
        </w:rPr>
        <w:t>iscussões dos resultados</w:t>
      </w:r>
      <w:r w:rsidRPr="00EC7963">
        <w:rPr>
          <w:sz w:val="24"/>
          <w:szCs w:val="24"/>
        </w:rPr>
        <w:t xml:space="preserve"> </w:t>
      </w:r>
    </w:p>
    <w:p w:rsidR="00EC7963" w:rsidRPr="00EC7963" w:rsidRDefault="00EC7963" w:rsidP="00EC7963">
      <w:pPr>
        <w:ind w:firstLine="708"/>
        <w:jc w:val="both"/>
        <w:rPr>
          <w:sz w:val="24"/>
          <w:szCs w:val="24"/>
        </w:rPr>
      </w:pPr>
    </w:p>
    <w:p w:rsidR="00EC7963" w:rsidRPr="00EC7963" w:rsidRDefault="00EC7963" w:rsidP="00EC7963">
      <w:pPr>
        <w:autoSpaceDE w:val="0"/>
        <w:autoSpaceDN w:val="0"/>
        <w:adjustRightInd w:val="0"/>
        <w:jc w:val="both"/>
        <w:rPr>
          <w:sz w:val="24"/>
          <w:szCs w:val="24"/>
        </w:rPr>
      </w:pPr>
      <w:r w:rsidRPr="00EC7963">
        <w:rPr>
          <w:sz w:val="24"/>
          <w:szCs w:val="24"/>
        </w:rPr>
        <w:tab/>
        <w:t xml:space="preserve">Os resultados encontrados neste estudo são de grande valia tanto para a área acadêmica, como para os usuários da informação destas empresas, por motivos como: a falta de pesquisas que estudem os relatórios qualitativos e a importância de percepção dos riscos que se assumem ao fazer investimentos. A comunidade científica tem apresentando, por meio de pesquisas, a dificuldade de analisar aspectos qualitativos das demonstrações contábeis, nesse aspecto, a metodologia utilizada nessa pesquisa apresenta-se como uma alternativa à tal limitação. </w:t>
      </w:r>
    </w:p>
    <w:p w:rsidR="00EC7963" w:rsidRPr="00EC7963" w:rsidRDefault="00EC7963" w:rsidP="00EC7963">
      <w:pPr>
        <w:autoSpaceDE w:val="0"/>
        <w:autoSpaceDN w:val="0"/>
        <w:adjustRightInd w:val="0"/>
        <w:ind w:firstLine="708"/>
        <w:jc w:val="both"/>
        <w:rPr>
          <w:sz w:val="24"/>
          <w:szCs w:val="24"/>
        </w:rPr>
      </w:pPr>
      <w:r w:rsidRPr="00EC7963">
        <w:rPr>
          <w:sz w:val="24"/>
          <w:szCs w:val="24"/>
        </w:rPr>
        <w:t>Um exemplo que pode ser ressaltado, e foi constado durante esta pesquisa, foi de que das empresas listadas no IBrX-50, apenas uma incluiu em suas demonstrações os riscos de fraude, indicador importante para uma vida útil financeira de toda organização. Por serem as de maior representatividade deveriam possuir mais medidas contra esse tipo de ação, especialmente por não ser um tema banal, e sim amplamente discutido desde os escândalos da Enron em 2002. Existem inúmeras outras possibilidades de análises por meio da análise de conteúdo.</w:t>
      </w:r>
    </w:p>
    <w:p w:rsidR="00EC7963" w:rsidRPr="00EC7963" w:rsidRDefault="00EC7963" w:rsidP="00EC7963">
      <w:pPr>
        <w:ind w:firstLine="708"/>
        <w:jc w:val="both"/>
        <w:rPr>
          <w:sz w:val="24"/>
          <w:szCs w:val="24"/>
        </w:rPr>
      </w:pPr>
      <w:r w:rsidRPr="00EC7963">
        <w:rPr>
          <w:sz w:val="24"/>
          <w:szCs w:val="24"/>
        </w:rPr>
        <w:t>No que tange ainda a divulgação de riscos, os resultados indicaram que as empresas analisadas divulgaram risco no ano de 2015, no entanto, algumas com mais ênfase em riscos específicos da sua atividade, outras de forma mais superficial, impossibilitando deste modo, comparações mais robustas entre empresas. Outro critério observado nas divulgações foi que foram mais riscos prováveis, como apresentado na tabela 3.</w:t>
      </w:r>
    </w:p>
    <w:p w:rsidR="00EC7963" w:rsidRPr="00EC7963" w:rsidRDefault="00EC7963" w:rsidP="00EC7963">
      <w:pPr>
        <w:ind w:firstLine="708"/>
        <w:jc w:val="both"/>
        <w:rPr>
          <w:sz w:val="24"/>
          <w:szCs w:val="24"/>
        </w:rPr>
      </w:pPr>
      <w:r w:rsidRPr="00EC7963">
        <w:rPr>
          <w:sz w:val="24"/>
          <w:szCs w:val="24"/>
        </w:rPr>
        <w:t xml:space="preserve">A Tabela 4 por sua vez possibilitou uma comparação entre as empresas e níveis de risco encontradas do IBRX-50, demonstrando as que evidenciam estarem suscetíveis a uma quantidade maior de riscos e de sofrerem consequências em relação aos mesmos. Ao mesmo tempo, algumas empresas que possuem mais riscos demonstrados, podem ser as que mais têm se preocupado em deixar claros seus riscos aos usuários, não necessariamente as mais suscetíveis a sofrer riscos, mas sim, tentando ser mais cabendo assim novas pesquisas linguísticas e qualitativas.  </w:t>
      </w:r>
    </w:p>
    <w:p w:rsidR="00EC7963" w:rsidRDefault="00EC7963" w:rsidP="00EC7963">
      <w:pPr>
        <w:ind w:firstLine="708"/>
        <w:jc w:val="both"/>
        <w:rPr>
          <w:sz w:val="24"/>
          <w:szCs w:val="24"/>
        </w:rPr>
      </w:pPr>
    </w:p>
    <w:p w:rsidR="00EE1E19" w:rsidRDefault="00EE1E19" w:rsidP="00EC7963">
      <w:pPr>
        <w:ind w:firstLine="708"/>
        <w:jc w:val="both"/>
        <w:rPr>
          <w:sz w:val="24"/>
          <w:szCs w:val="24"/>
        </w:rPr>
      </w:pPr>
    </w:p>
    <w:p w:rsidR="00EE1E19" w:rsidRPr="00EC7963" w:rsidRDefault="00EE1E19" w:rsidP="00EC7963">
      <w:pPr>
        <w:ind w:firstLine="708"/>
        <w:jc w:val="both"/>
        <w:rPr>
          <w:sz w:val="24"/>
          <w:szCs w:val="24"/>
        </w:rPr>
      </w:pPr>
    </w:p>
    <w:p w:rsidR="00EC7963" w:rsidRPr="00EC7963" w:rsidRDefault="00EC7963" w:rsidP="00EC7963">
      <w:pPr>
        <w:jc w:val="both"/>
        <w:rPr>
          <w:rStyle w:val="apple-converted-space"/>
          <w:b/>
          <w:sz w:val="24"/>
          <w:szCs w:val="24"/>
        </w:rPr>
      </w:pPr>
      <w:r w:rsidRPr="00EC7963">
        <w:rPr>
          <w:rStyle w:val="apple-converted-space"/>
          <w:b/>
          <w:sz w:val="24"/>
          <w:szCs w:val="24"/>
        </w:rPr>
        <w:t xml:space="preserve">5 CONSIDERAÇÕES FINAIS </w:t>
      </w:r>
    </w:p>
    <w:p w:rsidR="00EC7963" w:rsidRPr="00EC7963" w:rsidRDefault="00EC7963" w:rsidP="00EC7963">
      <w:pPr>
        <w:jc w:val="both"/>
        <w:rPr>
          <w:rStyle w:val="apple-converted-space"/>
          <w:b/>
          <w:sz w:val="24"/>
          <w:szCs w:val="24"/>
        </w:rPr>
      </w:pPr>
    </w:p>
    <w:p w:rsidR="00EC7963" w:rsidRPr="00EC7963" w:rsidRDefault="00EC7963" w:rsidP="00EC7963">
      <w:pPr>
        <w:ind w:firstLine="709"/>
        <w:jc w:val="both"/>
        <w:rPr>
          <w:sz w:val="24"/>
          <w:szCs w:val="24"/>
        </w:rPr>
      </w:pPr>
      <w:r w:rsidRPr="00EC7963">
        <w:rPr>
          <w:sz w:val="24"/>
          <w:szCs w:val="24"/>
        </w:rPr>
        <w:t>De modo a responder os objetivos primário e secundário deste estudo, realizou-se uma pesquisa descritiva, documental e com uma abordagem quanti-quali dos dados. A população compreendeu todas as empresas pertencentes ao IBrX-50 listadas na BM&amp;F Bovespa, no período de 2015, e a amostra foi composta pelas 47 empresas pertencentes a esse índice.</w:t>
      </w:r>
    </w:p>
    <w:p w:rsidR="00EC7963" w:rsidRPr="00EC7963" w:rsidRDefault="00EC7963" w:rsidP="00EC7963">
      <w:pPr>
        <w:ind w:firstLine="709"/>
        <w:jc w:val="both"/>
        <w:rPr>
          <w:sz w:val="24"/>
          <w:szCs w:val="24"/>
        </w:rPr>
      </w:pPr>
      <w:r w:rsidRPr="00EC7963">
        <w:rPr>
          <w:sz w:val="24"/>
          <w:szCs w:val="24"/>
        </w:rPr>
        <w:t xml:space="preserve">Para a realização da análise foram verificados as notas explicativas e os relatórios de referência, se nestes houve a divulgação dos riscos em que estavam expostas as empresas, tendo em vista a análise dos dados linguísticos por quais os relatórios são compostos e transforma-los primeiramente em números </w:t>
      </w:r>
      <w:r w:rsidRPr="00EC7963">
        <w:rPr>
          <w:i/>
          <w:sz w:val="24"/>
          <w:szCs w:val="24"/>
        </w:rPr>
        <w:t>fuzzy</w:t>
      </w:r>
      <w:r w:rsidRPr="00EC7963">
        <w:rPr>
          <w:sz w:val="24"/>
          <w:szCs w:val="24"/>
        </w:rPr>
        <w:t>. A partir da transformação foi utilizada a escala de</w:t>
      </w:r>
      <w:r w:rsidRPr="00EC7963">
        <w:rPr>
          <w:b/>
          <w:sz w:val="24"/>
          <w:szCs w:val="24"/>
        </w:rPr>
        <w:t xml:space="preserve"> </w:t>
      </w:r>
      <w:r w:rsidRPr="00EC7963">
        <w:rPr>
          <w:sz w:val="24"/>
          <w:szCs w:val="24"/>
        </w:rPr>
        <w:t>Chen e Hwang (1992)</w:t>
      </w:r>
      <w:r w:rsidRPr="00EC7963">
        <w:rPr>
          <w:b/>
          <w:sz w:val="24"/>
          <w:szCs w:val="24"/>
        </w:rPr>
        <w:t xml:space="preserve"> </w:t>
      </w:r>
      <w:r w:rsidRPr="00EC7963">
        <w:rPr>
          <w:sz w:val="24"/>
          <w:szCs w:val="24"/>
        </w:rPr>
        <w:t xml:space="preserve">para determinar as probabilidades de ocorrência e posteriormente classificar os perfis destas empresas por meio da metodologia Fuzzy. Após, estabelecido um </w:t>
      </w:r>
      <w:r w:rsidRPr="00EC7963">
        <w:rPr>
          <w:i/>
          <w:sz w:val="24"/>
          <w:szCs w:val="24"/>
        </w:rPr>
        <w:t xml:space="preserve">ranking </w:t>
      </w:r>
      <w:r w:rsidRPr="00EC7963">
        <w:rPr>
          <w:sz w:val="24"/>
          <w:szCs w:val="24"/>
        </w:rPr>
        <w:t xml:space="preserve">para estas empresas, pela metodologia TOPSIS. </w:t>
      </w:r>
    </w:p>
    <w:p w:rsidR="00EC7963" w:rsidRPr="00EC7963" w:rsidRDefault="00EC7963" w:rsidP="00EC7963">
      <w:pPr>
        <w:ind w:firstLine="709"/>
        <w:jc w:val="both"/>
        <w:rPr>
          <w:sz w:val="24"/>
          <w:szCs w:val="24"/>
        </w:rPr>
      </w:pPr>
      <w:r w:rsidRPr="00EC7963">
        <w:rPr>
          <w:sz w:val="24"/>
          <w:szCs w:val="24"/>
        </w:rPr>
        <w:t>Os resultados evidenciaram que de uma relação de 16 categorias de risco encontradas nas empresas listadas no IBRX-50, os riscos mais frequentemente evidenciados foram riscos de mercado (66,7%), riscos de crédito (95,8%), risco de liquidez (91,7%), risco cambial (89,6%) e o risco de taxa de juros (89,6%). Em outra análise, foi determinada a frequência do</w:t>
      </w:r>
      <w:r w:rsidRPr="00EC7963">
        <w:rPr>
          <w:i/>
          <w:sz w:val="24"/>
          <w:szCs w:val="24"/>
        </w:rPr>
        <w:t xml:space="preserve"> disclosure</w:t>
      </w:r>
      <w:r w:rsidRPr="00EC7963">
        <w:rPr>
          <w:sz w:val="24"/>
          <w:szCs w:val="24"/>
        </w:rPr>
        <w:t xml:space="preserve"> de risco, com base em análises linguísticas, constatando-se que os riscos são compreendidos, pelas empresas analisadas como </w:t>
      </w:r>
      <w:r w:rsidRPr="00EC7963">
        <w:rPr>
          <w:bCs/>
          <w:sz w:val="24"/>
          <w:szCs w:val="24"/>
        </w:rPr>
        <w:t>certo (</w:t>
      </w:r>
      <w:r w:rsidRPr="00EC7963">
        <w:rPr>
          <w:sz w:val="24"/>
          <w:szCs w:val="24"/>
        </w:rPr>
        <w:t>20,3%)</w:t>
      </w:r>
      <w:r w:rsidRPr="00EC7963">
        <w:rPr>
          <w:bCs/>
          <w:sz w:val="24"/>
          <w:szCs w:val="24"/>
        </w:rPr>
        <w:t>, provável (</w:t>
      </w:r>
      <w:r w:rsidRPr="00EC7963">
        <w:rPr>
          <w:sz w:val="24"/>
          <w:szCs w:val="24"/>
        </w:rPr>
        <w:t>19,9%</w:t>
      </w:r>
      <w:r w:rsidRPr="00EC7963">
        <w:rPr>
          <w:bCs/>
          <w:sz w:val="24"/>
          <w:szCs w:val="24"/>
        </w:rPr>
        <w:t>), possível (</w:t>
      </w:r>
      <w:r w:rsidRPr="00EC7963">
        <w:rPr>
          <w:sz w:val="24"/>
          <w:szCs w:val="24"/>
        </w:rPr>
        <w:t xml:space="preserve">35,8%), </w:t>
      </w:r>
      <w:r w:rsidRPr="00EC7963">
        <w:rPr>
          <w:bCs/>
          <w:sz w:val="24"/>
          <w:szCs w:val="24"/>
        </w:rPr>
        <w:t>improvável (</w:t>
      </w:r>
      <w:r w:rsidRPr="00EC7963">
        <w:rPr>
          <w:sz w:val="24"/>
          <w:szCs w:val="24"/>
        </w:rPr>
        <w:t>16,6%) e</w:t>
      </w:r>
      <w:r w:rsidRPr="00EC7963">
        <w:rPr>
          <w:bCs/>
          <w:sz w:val="24"/>
          <w:szCs w:val="24"/>
        </w:rPr>
        <w:t xml:space="preserve"> raro (</w:t>
      </w:r>
      <w:r w:rsidRPr="00EC7963">
        <w:rPr>
          <w:sz w:val="24"/>
          <w:szCs w:val="24"/>
        </w:rPr>
        <w:t xml:space="preserve">7,3%). </w:t>
      </w:r>
    </w:p>
    <w:p w:rsidR="00EC7963" w:rsidRPr="00EC7963" w:rsidRDefault="00EC7963" w:rsidP="00EC7963">
      <w:pPr>
        <w:ind w:firstLine="709"/>
        <w:jc w:val="both"/>
        <w:rPr>
          <w:sz w:val="24"/>
          <w:szCs w:val="24"/>
        </w:rPr>
      </w:pPr>
      <w:r w:rsidRPr="00EC7963">
        <w:rPr>
          <w:sz w:val="24"/>
          <w:szCs w:val="24"/>
        </w:rPr>
        <w:t xml:space="preserve">Por fim, foi realizada análise de perfil de risco das empresas que mais divulgam e estão mais expostas aos riscos encontrando, sendo que, as que se destacam pela qualidade do </w:t>
      </w:r>
      <w:r w:rsidRPr="00EC7963">
        <w:rPr>
          <w:i/>
          <w:sz w:val="24"/>
          <w:szCs w:val="24"/>
        </w:rPr>
        <w:t>disclosure</w:t>
      </w:r>
      <w:r w:rsidRPr="00EC7963">
        <w:rPr>
          <w:sz w:val="24"/>
          <w:szCs w:val="24"/>
        </w:rPr>
        <w:t>, são as mais bem classificadas pelo método TOPSIS, são: CPFL Energia, Embraer, Fibria e Klabin, e nas últimas colocações como as empresas que indicaram uma quantidade menor de riscos a qual acreditam estarem expostas: P.Acucar-cbd, Itausa, Raiadrogasil, BMFBOVESPA.</w:t>
      </w:r>
    </w:p>
    <w:p w:rsidR="00EC7963" w:rsidRPr="00EC7963" w:rsidRDefault="00EC7963" w:rsidP="00EC7963">
      <w:pPr>
        <w:ind w:firstLine="709"/>
        <w:jc w:val="both"/>
        <w:rPr>
          <w:rStyle w:val="apple-converted-space"/>
          <w:sz w:val="24"/>
          <w:szCs w:val="24"/>
        </w:rPr>
      </w:pPr>
      <w:r w:rsidRPr="00EC7963">
        <w:rPr>
          <w:rStyle w:val="apple-converted-space"/>
          <w:sz w:val="24"/>
          <w:szCs w:val="24"/>
        </w:rPr>
        <w:t>As contribuições do estudo são relacionadas a forma de analisar os relatórios contábeis, a utilização de uma métrica em que não foram encontrados estudos brasileiros que a utilizassem como um modo de quantificação de informações qualitativas e linguísticas, e ensejar possibilidades de novas pesquisas.</w:t>
      </w:r>
      <w:r w:rsidRPr="00EC7963">
        <w:rPr>
          <w:sz w:val="24"/>
          <w:szCs w:val="24"/>
        </w:rPr>
        <w:t xml:space="preserve"> O estudo contribui por apresentar a possibilidade de utilização da lógica </w:t>
      </w:r>
      <w:r w:rsidRPr="00EC7963">
        <w:rPr>
          <w:i/>
          <w:sz w:val="24"/>
          <w:szCs w:val="24"/>
        </w:rPr>
        <w:t xml:space="preserve">fuzzy </w:t>
      </w:r>
      <w:r w:rsidRPr="00EC7963">
        <w:rPr>
          <w:sz w:val="24"/>
          <w:szCs w:val="24"/>
        </w:rPr>
        <w:t>conjuntamente com outras metodologias como no caso o TOPSIS, para a análise de dados qualitativos e linguísticos que foram transformados em dados quantitativos, que pode ser utilizado no processo decisório.</w:t>
      </w:r>
    </w:p>
    <w:p w:rsidR="00EC7963" w:rsidRPr="00EC7963" w:rsidRDefault="00EC7963" w:rsidP="00EC7963">
      <w:pPr>
        <w:ind w:firstLine="709"/>
        <w:jc w:val="both"/>
        <w:rPr>
          <w:rStyle w:val="apple-converted-space"/>
          <w:sz w:val="24"/>
          <w:szCs w:val="24"/>
        </w:rPr>
      </w:pPr>
      <w:r w:rsidRPr="00EC7963">
        <w:rPr>
          <w:rStyle w:val="apple-converted-space"/>
          <w:sz w:val="24"/>
          <w:szCs w:val="24"/>
        </w:rPr>
        <w:t xml:space="preserve">As limitações podem estar relacionadas com a amostra, e também com o viés dado pela subjetividade com que a classificação de ocorrência dos riscos é feita nesse tipo de abordagem. Como possibilidade de novas pesquisas, sugere-se o uso dessa lógica em outros estudos de </w:t>
      </w:r>
      <w:r w:rsidRPr="00EC7963">
        <w:rPr>
          <w:rStyle w:val="apple-converted-space"/>
          <w:i/>
          <w:sz w:val="24"/>
          <w:szCs w:val="24"/>
        </w:rPr>
        <w:t>disclosure</w:t>
      </w:r>
      <w:r w:rsidRPr="00EC7963">
        <w:rPr>
          <w:rStyle w:val="apple-converted-space"/>
          <w:sz w:val="24"/>
          <w:szCs w:val="24"/>
        </w:rPr>
        <w:t>, bem como para a classificação de outros tipos de informações qualitativas que possam servir de base para a tomada de decisão.</w:t>
      </w:r>
    </w:p>
    <w:p w:rsidR="00EC7963" w:rsidRDefault="00EC7963" w:rsidP="00EC7963">
      <w:pPr>
        <w:spacing w:before="120" w:after="120"/>
        <w:jc w:val="both"/>
        <w:rPr>
          <w:rStyle w:val="apple-converted-space"/>
          <w:b/>
          <w:sz w:val="24"/>
          <w:szCs w:val="24"/>
        </w:rPr>
      </w:pPr>
    </w:p>
    <w:p w:rsidR="00712E84" w:rsidRDefault="00712E84" w:rsidP="00EC7963">
      <w:pPr>
        <w:spacing w:before="120" w:after="120"/>
        <w:jc w:val="both"/>
        <w:rPr>
          <w:rStyle w:val="apple-converted-space"/>
          <w:b/>
          <w:sz w:val="24"/>
          <w:szCs w:val="24"/>
        </w:rPr>
      </w:pPr>
    </w:p>
    <w:p w:rsidR="00712E84" w:rsidRDefault="00712E84" w:rsidP="00EC7963">
      <w:pPr>
        <w:spacing w:before="120" w:after="120"/>
        <w:jc w:val="both"/>
        <w:rPr>
          <w:rStyle w:val="apple-converted-space"/>
          <w:b/>
          <w:sz w:val="24"/>
          <w:szCs w:val="24"/>
        </w:rPr>
      </w:pPr>
    </w:p>
    <w:p w:rsidR="00712E84" w:rsidRDefault="00712E84" w:rsidP="00EC7963">
      <w:pPr>
        <w:spacing w:before="120" w:after="120"/>
        <w:jc w:val="both"/>
        <w:rPr>
          <w:rStyle w:val="apple-converted-space"/>
          <w:b/>
          <w:sz w:val="24"/>
          <w:szCs w:val="24"/>
        </w:rPr>
      </w:pPr>
    </w:p>
    <w:p w:rsidR="00712E84" w:rsidRDefault="00712E84" w:rsidP="00EC7963">
      <w:pPr>
        <w:spacing w:before="120" w:after="120"/>
        <w:jc w:val="both"/>
        <w:rPr>
          <w:rStyle w:val="apple-converted-space"/>
          <w:b/>
          <w:sz w:val="24"/>
          <w:szCs w:val="24"/>
        </w:rPr>
      </w:pPr>
    </w:p>
    <w:p w:rsidR="00712E84" w:rsidRDefault="00712E84" w:rsidP="00EC7963">
      <w:pPr>
        <w:spacing w:before="120" w:after="120"/>
        <w:jc w:val="both"/>
        <w:rPr>
          <w:rStyle w:val="apple-converted-space"/>
          <w:b/>
          <w:sz w:val="24"/>
          <w:szCs w:val="24"/>
        </w:rPr>
      </w:pPr>
    </w:p>
    <w:p w:rsidR="00712E84" w:rsidRDefault="00712E84" w:rsidP="00EC7963">
      <w:pPr>
        <w:spacing w:before="120" w:after="120"/>
        <w:jc w:val="both"/>
        <w:rPr>
          <w:rStyle w:val="apple-converted-space"/>
          <w:b/>
          <w:sz w:val="24"/>
          <w:szCs w:val="24"/>
        </w:rPr>
      </w:pPr>
    </w:p>
    <w:p w:rsidR="00712E84" w:rsidRDefault="00712E84" w:rsidP="00EC7963">
      <w:pPr>
        <w:spacing w:before="120" w:after="120"/>
        <w:jc w:val="both"/>
        <w:rPr>
          <w:rStyle w:val="apple-converted-space"/>
          <w:b/>
          <w:sz w:val="24"/>
          <w:szCs w:val="24"/>
        </w:rPr>
      </w:pPr>
    </w:p>
    <w:p w:rsidR="00712E84" w:rsidRDefault="00712E84" w:rsidP="00EC7963">
      <w:pPr>
        <w:spacing w:before="120" w:after="120"/>
        <w:jc w:val="both"/>
        <w:rPr>
          <w:rStyle w:val="apple-converted-space"/>
          <w:b/>
          <w:sz w:val="24"/>
          <w:szCs w:val="24"/>
        </w:rPr>
      </w:pPr>
    </w:p>
    <w:p w:rsidR="00712E84" w:rsidRPr="00EC7963" w:rsidRDefault="00712E84" w:rsidP="00EC7963">
      <w:pPr>
        <w:spacing w:before="120" w:after="120"/>
        <w:jc w:val="both"/>
        <w:rPr>
          <w:rStyle w:val="apple-converted-space"/>
          <w:b/>
          <w:sz w:val="24"/>
          <w:szCs w:val="24"/>
        </w:rPr>
      </w:pPr>
    </w:p>
    <w:p w:rsidR="00EC7963" w:rsidRPr="00EC7963" w:rsidRDefault="00EC7963" w:rsidP="00EC7963">
      <w:pPr>
        <w:spacing w:before="120" w:after="120"/>
        <w:jc w:val="both"/>
        <w:rPr>
          <w:b/>
          <w:sz w:val="24"/>
          <w:szCs w:val="24"/>
        </w:rPr>
      </w:pPr>
      <w:r w:rsidRPr="00EC7963">
        <w:rPr>
          <w:rStyle w:val="apple-converted-space"/>
          <w:b/>
          <w:sz w:val="24"/>
          <w:szCs w:val="24"/>
        </w:rPr>
        <w:t xml:space="preserve">REFERÊNCIAS </w:t>
      </w:r>
    </w:p>
    <w:p w:rsidR="00EC7963" w:rsidRPr="00EC7963" w:rsidRDefault="00EC7963" w:rsidP="00EC7963">
      <w:pPr>
        <w:autoSpaceDE w:val="0"/>
        <w:autoSpaceDN w:val="0"/>
        <w:adjustRightInd w:val="0"/>
        <w:jc w:val="both"/>
        <w:rPr>
          <w:sz w:val="24"/>
          <w:szCs w:val="24"/>
          <w:shd w:val="clear" w:color="auto" w:fill="FFFFFF"/>
        </w:rPr>
      </w:pPr>
      <w:r w:rsidRPr="00EC7963">
        <w:rPr>
          <w:sz w:val="24"/>
          <w:szCs w:val="24"/>
          <w:shd w:val="clear" w:color="auto" w:fill="FFFFFF"/>
        </w:rPr>
        <w:t>Bardin, L. (2009). Análise de conteúdo (7a ed.). Lisboa: Editora 70</w:t>
      </w:r>
    </w:p>
    <w:p w:rsidR="00EC7963" w:rsidRPr="00EC7963" w:rsidRDefault="00EC7963" w:rsidP="00EC7963">
      <w:pPr>
        <w:autoSpaceDE w:val="0"/>
        <w:autoSpaceDN w:val="0"/>
        <w:adjustRightInd w:val="0"/>
        <w:jc w:val="both"/>
        <w:rPr>
          <w:sz w:val="24"/>
          <w:szCs w:val="24"/>
          <w:shd w:val="clear" w:color="auto" w:fill="FFFFFF"/>
        </w:rPr>
      </w:pP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Beretta, S., Bozzolan, S (2004). A framework for the analysis of firm risk communication. </w:t>
      </w:r>
      <w:r w:rsidRPr="00EC7963">
        <w:rPr>
          <w:bCs/>
          <w:i/>
          <w:sz w:val="24"/>
          <w:szCs w:val="24"/>
          <w:shd w:val="clear" w:color="auto" w:fill="FFFFFF"/>
        </w:rPr>
        <w:t>The International Journal of Accounting</w:t>
      </w:r>
      <w:r w:rsidRPr="00EC7963">
        <w:rPr>
          <w:sz w:val="24"/>
          <w:szCs w:val="24"/>
          <w:shd w:val="clear" w:color="auto" w:fill="FFFFFF"/>
        </w:rPr>
        <w:t>, 39(3), 265-288.</w:t>
      </w:r>
    </w:p>
    <w:p w:rsidR="00EC7963" w:rsidRPr="00EC7963" w:rsidRDefault="00EC7963" w:rsidP="00EC7963">
      <w:pPr>
        <w:autoSpaceDE w:val="0"/>
        <w:autoSpaceDN w:val="0"/>
        <w:adjustRightInd w:val="0"/>
        <w:spacing w:after="120"/>
        <w:jc w:val="both"/>
        <w:rPr>
          <w:sz w:val="24"/>
          <w:szCs w:val="24"/>
          <w:shd w:val="clear" w:color="auto" w:fill="FFFFFF"/>
        </w:rPr>
      </w:pPr>
      <w:r w:rsidRPr="00EC7963">
        <w:rPr>
          <w:sz w:val="24"/>
          <w:szCs w:val="24"/>
          <w:shd w:val="clear" w:color="auto" w:fill="FFFFFF"/>
        </w:rPr>
        <w:t>Berkowitz, S. L. (2001). Enterprise risk management and the healthcare risk manager.</w:t>
      </w:r>
      <w:r w:rsidRPr="00EC7963">
        <w:rPr>
          <w:rStyle w:val="apple-converted-space"/>
          <w:sz w:val="24"/>
          <w:szCs w:val="24"/>
          <w:shd w:val="clear" w:color="auto" w:fill="FFFFFF"/>
        </w:rPr>
        <w:t> </w:t>
      </w:r>
      <w:r w:rsidRPr="00EC7963">
        <w:rPr>
          <w:bCs/>
          <w:i/>
          <w:sz w:val="24"/>
          <w:szCs w:val="24"/>
          <w:shd w:val="clear" w:color="auto" w:fill="FFFFFF"/>
        </w:rPr>
        <w:t>Journal of healthcare risk management</w:t>
      </w:r>
      <w:r w:rsidRPr="00EC7963">
        <w:rPr>
          <w:sz w:val="24"/>
          <w:szCs w:val="24"/>
          <w:shd w:val="clear" w:color="auto" w:fill="FFFFFF"/>
        </w:rPr>
        <w:t>, 21(1), 29-38.</w:t>
      </w:r>
    </w:p>
    <w:p w:rsidR="00EC7963" w:rsidRPr="00EC7963" w:rsidRDefault="00EC7963" w:rsidP="00EC7963">
      <w:pPr>
        <w:spacing w:before="120" w:after="120"/>
        <w:jc w:val="both"/>
        <w:rPr>
          <w:sz w:val="24"/>
          <w:szCs w:val="24"/>
        </w:rPr>
      </w:pPr>
      <w:r w:rsidRPr="00EC7963">
        <w:rPr>
          <w:bCs/>
          <w:sz w:val="24"/>
          <w:szCs w:val="24"/>
          <w:shd w:val="clear" w:color="auto" w:fill="FFFFFF"/>
        </w:rPr>
        <w:t xml:space="preserve">Beuren, I. M. (2006). Como Elaborar </w:t>
      </w:r>
      <w:r w:rsidRPr="00EC7963">
        <w:rPr>
          <w:bCs/>
          <w:i/>
          <w:sz w:val="24"/>
          <w:szCs w:val="24"/>
          <w:shd w:val="clear" w:color="auto" w:fill="FFFFFF"/>
        </w:rPr>
        <w:t>Trabalhos Monográficos em Contabilidade: Teoria e Prática</w:t>
      </w:r>
      <w:r w:rsidRPr="00EC7963">
        <w:rPr>
          <w:bCs/>
          <w:sz w:val="24"/>
          <w:szCs w:val="24"/>
          <w:shd w:val="clear" w:color="auto" w:fill="FFFFFF"/>
        </w:rPr>
        <w:t>.</w:t>
      </w:r>
      <w:r w:rsidRPr="00EC7963">
        <w:rPr>
          <w:b/>
          <w:bCs/>
          <w:sz w:val="24"/>
          <w:szCs w:val="24"/>
          <w:shd w:val="clear" w:color="auto" w:fill="FFFFFF"/>
        </w:rPr>
        <w:t xml:space="preserve"> (</w:t>
      </w:r>
      <w:r w:rsidRPr="00EC7963">
        <w:rPr>
          <w:bCs/>
          <w:sz w:val="24"/>
          <w:szCs w:val="24"/>
          <w:shd w:val="clear" w:color="auto" w:fill="FFFFFF"/>
        </w:rPr>
        <w:t>3a ed.). São Paulo: Atlas</w:t>
      </w:r>
      <w:r w:rsidRPr="00EC7963">
        <w:rPr>
          <w:sz w:val="24"/>
          <w:szCs w:val="24"/>
          <w:shd w:val="clear" w:color="auto" w:fill="FFFFFF"/>
        </w:rPr>
        <w:t xml:space="preserve">. </w:t>
      </w:r>
    </w:p>
    <w:p w:rsidR="00EC7963" w:rsidRPr="00EC7963" w:rsidRDefault="00EC7963" w:rsidP="00EC7963">
      <w:pPr>
        <w:spacing w:before="120" w:after="120"/>
        <w:jc w:val="both"/>
        <w:rPr>
          <w:sz w:val="24"/>
          <w:szCs w:val="24"/>
        </w:rPr>
      </w:pPr>
      <w:r w:rsidRPr="00EC7963">
        <w:rPr>
          <w:sz w:val="24"/>
          <w:szCs w:val="24"/>
        </w:rPr>
        <w:t xml:space="preserve">BMF&amp;BOVESPA. Índice Brasil 50 (IBrX 50). </w:t>
      </w:r>
      <w:r w:rsidRPr="00EC7963">
        <w:rPr>
          <w:rFonts w:eastAsiaTheme="minorHAnsi"/>
          <w:sz w:val="24"/>
          <w:szCs w:val="24"/>
        </w:rPr>
        <w:t xml:space="preserve">Recuperado em </w:t>
      </w:r>
      <w:r w:rsidRPr="00EC7963">
        <w:rPr>
          <w:sz w:val="24"/>
          <w:szCs w:val="24"/>
        </w:rPr>
        <w:t>06 de fevereiro,2017, de http://www.bmfbovespa.com .br/pt_br/produtos/indices/indices-amplos/indice-brasil-50-ibrx-50.h tm.</w:t>
      </w:r>
    </w:p>
    <w:p w:rsidR="00EC7963" w:rsidRPr="00EC7963" w:rsidRDefault="00EC7963" w:rsidP="00EC7963">
      <w:pPr>
        <w:spacing w:before="120" w:after="120"/>
        <w:jc w:val="both"/>
        <w:rPr>
          <w:sz w:val="24"/>
          <w:szCs w:val="24"/>
        </w:rPr>
      </w:pPr>
      <w:r w:rsidRPr="00EC7963">
        <w:rPr>
          <w:sz w:val="24"/>
          <w:szCs w:val="24"/>
          <w:shd w:val="clear" w:color="auto" w:fill="FFFFFF"/>
        </w:rPr>
        <w:t xml:space="preserve">Brown, S., Finn, M., Hillegeist, S.A (2001). Disclosure Quality and the Probability of Informed Trade. </w:t>
      </w:r>
      <w:r w:rsidRPr="00EC7963">
        <w:rPr>
          <w:i/>
          <w:sz w:val="24"/>
          <w:szCs w:val="24"/>
          <w:shd w:val="clear" w:color="auto" w:fill="FFFFFF"/>
        </w:rPr>
        <w:t>Working Paper, Emory University and Northwestern University</w:t>
      </w:r>
      <w:r w:rsidRPr="00EC7963">
        <w:rPr>
          <w:sz w:val="24"/>
          <w:szCs w:val="24"/>
          <w:shd w:val="clear" w:color="auto" w:fill="FFFFFF"/>
        </w:rPr>
        <w:t>.</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Carvalho, L.,  Nelson, G.; Trapp, A.C.G, Chan, B.L. (2004). Disclosure e risco operacional: uma abordagem comparativa em instituições financeiras que atuam no Brasil, na Europa e nos Estados Unidos. </w:t>
      </w:r>
      <w:r w:rsidRPr="00EC7963">
        <w:rPr>
          <w:bCs/>
          <w:i/>
          <w:sz w:val="24"/>
          <w:szCs w:val="24"/>
          <w:shd w:val="clear" w:color="auto" w:fill="FFFFFF"/>
        </w:rPr>
        <w:t>Revista de Administração</w:t>
      </w:r>
      <w:r w:rsidRPr="00EC7963">
        <w:rPr>
          <w:sz w:val="24"/>
          <w:szCs w:val="24"/>
          <w:shd w:val="clear" w:color="auto" w:fill="FFFFFF"/>
        </w:rPr>
        <w:t>, 39(3), 264-273.</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Chen, S. J., Hwang, C. L. (1992). Fuzzy Ranking Methods. In Fuzzy multiple attribute decision making (pp. 101-288). Springer Berlin Heidelberg.</w:t>
      </w:r>
    </w:p>
    <w:p w:rsidR="00EC7963" w:rsidRPr="00EC7963" w:rsidRDefault="00EC7963" w:rsidP="00EC7963">
      <w:pPr>
        <w:autoSpaceDE w:val="0"/>
        <w:autoSpaceDN w:val="0"/>
        <w:adjustRightInd w:val="0"/>
        <w:spacing w:after="120"/>
        <w:jc w:val="both"/>
        <w:rPr>
          <w:sz w:val="24"/>
          <w:szCs w:val="24"/>
          <w:shd w:val="clear" w:color="auto" w:fill="FFFFFF"/>
        </w:rPr>
      </w:pPr>
      <w:r w:rsidRPr="00EC7963">
        <w:rPr>
          <w:sz w:val="24"/>
          <w:szCs w:val="24"/>
          <w:shd w:val="clear" w:color="auto" w:fill="FFFFFF"/>
        </w:rPr>
        <w:t>Damary, R.(1976). A survey of the practice of risk management in West Europe companies.</w:t>
      </w:r>
      <w:r w:rsidRPr="00EC7963">
        <w:rPr>
          <w:rStyle w:val="apple-converted-space"/>
          <w:sz w:val="24"/>
          <w:szCs w:val="24"/>
          <w:shd w:val="clear" w:color="auto" w:fill="FFFFFF"/>
        </w:rPr>
        <w:t> </w:t>
      </w:r>
      <w:r w:rsidRPr="00EC7963">
        <w:rPr>
          <w:bCs/>
          <w:i/>
          <w:sz w:val="24"/>
          <w:szCs w:val="24"/>
          <w:shd w:val="clear" w:color="auto" w:fill="FFFFFF"/>
        </w:rPr>
        <w:t>The Geneva Risk and Insurance Review</w:t>
      </w:r>
      <w:r w:rsidRPr="00EC7963">
        <w:rPr>
          <w:sz w:val="24"/>
          <w:szCs w:val="24"/>
          <w:shd w:val="clear" w:color="auto" w:fill="FFFFFF"/>
        </w:rPr>
        <w:t>, 1(2), 27-55.</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Dia, M., Zéghal, D.(2008). Fuzzy evaluation of risk management profiles disclosed in corporate annual reports. </w:t>
      </w:r>
      <w:r w:rsidRPr="00EC7963">
        <w:rPr>
          <w:bCs/>
          <w:i/>
          <w:sz w:val="24"/>
          <w:szCs w:val="24"/>
          <w:shd w:val="clear" w:color="auto" w:fill="FFFFFF"/>
        </w:rPr>
        <w:t>Canadian Journal of Administrative Sciences/Revue Canadienne des Sciences de l'Administration</w:t>
      </w:r>
      <w:r w:rsidRPr="00EC7963">
        <w:rPr>
          <w:sz w:val="24"/>
          <w:szCs w:val="24"/>
          <w:shd w:val="clear" w:color="auto" w:fill="FFFFFF"/>
        </w:rPr>
        <w:t>, 25(3), 237-254.</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Dickinson, G. (2001). Enterprise risk management: Its origins and conceptual foundation. </w:t>
      </w:r>
      <w:r w:rsidRPr="00EC7963">
        <w:rPr>
          <w:bCs/>
          <w:i/>
          <w:sz w:val="24"/>
          <w:szCs w:val="24"/>
          <w:shd w:val="clear" w:color="auto" w:fill="FFFFFF"/>
        </w:rPr>
        <w:t>The Geneva Papers on Risk and Insurance. Issues and Practice</w:t>
      </w:r>
      <w:r w:rsidRPr="00EC7963">
        <w:rPr>
          <w:sz w:val="24"/>
          <w:szCs w:val="24"/>
          <w:shd w:val="clear" w:color="auto" w:fill="FFFFFF"/>
        </w:rPr>
        <w:t>, 26(3), 360-366.</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Dobler, M.(2005) National and international developments in risk reporting: May the German Accounting Standard 5 lead the way internationally. </w:t>
      </w:r>
      <w:r w:rsidRPr="00EC7963">
        <w:rPr>
          <w:bCs/>
          <w:i/>
          <w:sz w:val="24"/>
          <w:szCs w:val="24"/>
          <w:shd w:val="clear" w:color="auto" w:fill="FFFFFF"/>
        </w:rPr>
        <w:t>German LJ</w:t>
      </w:r>
      <w:r w:rsidRPr="00EC7963">
        <w:rPr>
          <w:sz w:val="24"/>
          <w:szCs w:val="24"/>
          <w:shd w:val="clear" w:color="auto" w:fill="FFFFFF"/>
        </w:rPr>
        <w:t>, 6(1191).</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Drew, S.A., Kelley, P.C., Kendrick, Terry. CLASS: Five elements of corporate governance to manage strategic risk. </w:t>
      </w:r>
      <w:r w:rsidRPr="00EC7963">
        <w:rPr>
          <w:bCs/>
          <w:i/>
          <w:sz w:val="24"/>
          <w:szCs w:val="24"/>
          <w:shd w:val="clear" w:color="auto" w:fill="FFFFFF"/>
        </w:rPr>
        <w:t>Business Horizons</w:t>
      </w:r>
      <w:r w:rsidRPr="00EC7963">
        <w:rPr>
          <w:sz w:val="24"/>
          <w:szCs w:val="24"/>
          <w:shd w:val="clear" w:color="auto" w:fill="FFFFFF"/>
        </w:rPr>
        <w:t>, v. 49, n. 2, p. 127-138, 2006.</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Gibbins, M., Richardson, A., Waterhouse, J.(1990). The management of corporate financial disclosure: opportunism, ritualism, policies, and processes. </w:t>
      </w:r>
      <w:r w:rsidRPr="00EC7963">
        <w:rPr>
          <w:bCs/>
          <w:i/>
          <w:sz w:val="24"/>
          <w:szCs w:val="24"/>
          <w:shd w:val="clear" w:color="auto" w:fill="FFFFFF"/>
        </w:rPr>
        <w:t>Journal of accounting research</w:t>
      </w:r>
      <w:r w:rsidRPr="00EC7963">
        <w:rPr>
          <w:sz w:val="24"/>
          <w:szCs w:val="24"/>
          <w:shd w:val="clear" w:color="auto" w:fill="FFFFFF"/>
        </w:rPr>
        <w:t>, 121-143.</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Healy, P. M., Palepu, K.G. (2001). Information asymmetry, corporate disclosure, and the capital markets: A review of the empirical disclosure literature. </w:t>
      </w:r>
      <w:r w:rsidRPr="00EC7963">
        <w:rPr>
          <w:bCs/>
          <w:i/>
          <w:sz w:val="24"/>
          <w:szCs w:val="24"/>
          <w:shd w:val="clear" w:color="auto" w:fill="FFFFFF"/>
        </w:rPr>
        <w:t>Journal of accounting and economics</w:t>
      </w:r>
      <w:r w:rsidRPr="00EC7963">
        <w:rPr>
          <w:sz w:val="24"/>
          <w:szCs w:val="24"/>
          <w:shd w:val="clear" w:color="auto" w:fill="FFFFFF"/>
        </w:rPr>
        <w:t>, 31 (1), 405-440.</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 xml:space="preserve">Lang, M. H., &amp; Lundholm, R. J. (1996). Corporate disclosure policy and analyst behavior. </w:t>
      </w:r>
      <w:r w:rsidRPr="00EC7963">
        <w:rPr>
          <w:i/>
          <w:sz w:val="24"/>
          <w:szCs w:val="24"/>
          <w:shd w:val="clear" w:color="auto" w:fill="FFFFFF"/>
        </w:rPr>
        <w:t>Accounting review</w:t>
      </w:r>
      <w:r w:rsidRPr="00EC7963">
        <w:rPr>
          <w:sz w:val="24"/>
          <w:szCs w:val="24"/>
          <w:shd w:val="clear" w:color="auto" w:fill="FFFFFF"/>
        </w:rPr>
        <w:t>, 467-492.</w:t>
      </w:r>
    </w:p>
    <w:p w:rsidR="00EC7963" w:rsidRPr="00EC7963" w:rsidRDefault="00EC7963" w:rsidP="00EC7963">
      <w:pPr>
        <w:spacing w:after="120"/>
        <w:jc w:val="both"/>
        <w:rPr>
          <w:sz w:val="24"/>
          <w:szCs w:val="24"/>
        </w:rPr>
      </w:pPr>
      <w:r w:rsidRPr="00EC7963">
        <w:rPr>
          <w:sz w:val="24"/>
          <w:szCs w:val="24"/>
        </w:rPr>
        <w:t>Lopes, A. B., Martins, E. (2005). Teoria da Contabilidade: uma nova abordagem, São Paulo: Atlas.</w:t>
      </w:r>
    </w:p>
    <w:p w:rsidR="00EC7963" w:rsidRPr="00EC7963" w:rsidRDefault="00EC7963" w:rsidP="00EC7963">
      <w:pPr>
        <w:spacing w:after="120"/>
        <w:jc w:val="both"/>
        <w:rPr>
          <w:sz w:val="24"/>
          <w:szCs w:val="24"/>
        </w:rPr>
      </w:pPr>
      <w:r w:rsidRPr="00EC7963">
        <w:rPr>
          <w:sz w:val="24"/>
          <w:szCs w:val="24"/>
          <w:shd w:val="clear" w:color="auto" w:fill="FFFFFF"/>
        </w:rPr>
        <w:t>Mapurunga, P. V. R., PONTE, V. M. R., Holanda, A. P. (2014). Fatores explicativos da aderência das firmas brasileiras ao disclosure relativo às informações por segmento. </w:t>
      </w:r>
      <w:r w:rsidRPr="00EC7963">
        <w:rPr>
          <w:bCs/>
          <w:i/>
          <w:sz w:val="24"/>
          <w:szCs w:val="24"/>
          <w:shd w:val="clear" w:color="auto" w:fill="FFFFFF"/>
        </w:rPr>
        <w:t>Enfoque: Reflexão Contábil</w:t>
      </w:r>
      <w:r w:rsidRPr="00EC7963">
        <w:rPr>
          <w:sz w:val="24"/>
          <w:szCs w:val="24"/>
          <w:shd w:val="clear" w:color="auto" w:fill="FFFFFF"/>
        </w:rPr>
        <w:t>, 33(1), 53-69.</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 xml:space="preserve">Medeiros, O. R., Quinteiro, L.(2005). Disclosure of accounting information and stock return volatility in Brazil. </w:t>
      </w:r>
      <w:r w:rsidRPr="00EC7963">
        <w:rPr>
          <w:bCs/>
          <w:i/>
          <w:sz w:val="24"/>
          <w:szCs w:val="24"/>
          <w:shd w:val="clear" w:color="auto" w:fill="FFFFFF"/>
        </w:rPr>
        <w:t>SSRN</w:t>
      </w:r>
      <w:r w:rsidRPr="00EC7963">
        <w:rPr>
          <w:sz w:val="24"/>
          <w:szCs w:val="24"/>
          <w:shd w:val="clear" w:color="auto" w:fill="FFFFFF"/>
        </w:rPr>
        <w:t>.</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Murcia, F. D., Santos, A. D. (2009). Principais práticas de disclosure voluntário das 100 maiores empresas listadas na Bolsa de Valores de São Paulo. In Congresso USP de Controladoria e Contabilidade (Vol. 9)</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Patel, S. A., Balic, A., Bwakira, L. (2002). Measuring transparency and disclosure at firm-level in emerging markets. Emerging Markets Review, 3(4), 325-337.</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 xml:space="preserve">Piotroski, J. (1999). The impact of reported segment information on market expectations and stock prices. </w:t>
      </w:r>
      <w:r w:rsidRPr="00EC7963">
        <w:rPr>
          <w:i/>
          <w:sz w:val="24"/>
          <w:szCs w:val="24"/>
          <w:shd w:val="clear" w:color="auto" w:fill="FFFFFF"/>
        </w:rPr>
        <w:t>Working Paper, University of Chicago</w:t>
      </w:r>
      <w:r w:rsidRPr="00EC7963">
        <w:rPr>
          <w:sz w:val="24"/>
          <w:szCs w:val="24"/>
          <w:shd w:val="clear" w:color="auto" w:fill="FFFFFF"/>
        </w:rPr>
        <w:t>.</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 xml:space="preserve">Saunders, A. (2000). </w:t>
      </w:r>
      <w:r w:rsidRPr="00EC7963">
        <w:rPr>
          <w:i/>
          <w:sz w:val="24"/>
          <w:szCs w:val="24"/>
          <w:shd w:val="clear" w:color="auto" w:fill="FFFFFF"/>
        </w:rPr>
        <w:t>Administração de instituições financeiras.</w:t>
      </w:r>
      <w:r w:rsidRPr="00EC7963">
        <w:rPr>
          <w:b/>
          <w:sz w:val="24"/>
          <w:szCs w:val="24"/>
          <w:shd w:val="clear" w:color="auto" w:fill="FFFFFF"/>
        </w:rPr>
        <w:t xml:space="preserve"> </w:t>
      </w:r>
      <w:r w:rsidRPr="00EC7963">
        <w:rPr>
          <w:sz w:val="24"/>
          <w:szCs w:val="24"/>
          <w:shd w:val="clear" w:color="auto" w:fill="FFFFFF"/>
        </w:rPr>
        <w:t>São Paulo: Atlas.</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Silva, J. P. Gestão e análise de risco de crédito</w:t>
      </w:r>
      <w:r w:rsidRPr="00EC7963">
        <w:rPr>
          <w:b/>
          <w:sz w:val="24"/>
          <w:szCs w:val="24"/>
          <w:shd w:val="clear" w:color="auto" w:fill="FFFFFF"/>
        </w:rPr>
        <w:t>.</w:t>
      </w:r>
      <w:r w:rsidRPr="00EC7963">
        <w:rPr>
          <w:sz w:val="24"/>
          <w:szCs w:val="24"/>
          <w:shd w:val="clear" w:color="auto" w:fill="FFFFFF"/>
        </w:rPr>
        <w:t xml:space="preserve"> 2ed. - São Paulo: Atlas,1998.</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 xml:space="preserve">Torres, M. C., Galdi, F. C.(2013). Análise da aderência do disclosure da gestão de riscos pelas instituições financeiras à circular Bacen 3.477. </w:t>
      </w:r>
      <w:r w:rsidRPr="00EC7963">
        <w:rPr>
          <w:i/>
          <w:sz w:val="24"/>
          <w:szCs w:val="24"/>
          <w:shd w:val="clear" w:color="auto" w:fill="FFFFFF"/>
        </w:rPr>
        <w:t>Revista Contemporânea de Contabilidade</w:t>
      </w:r>
      <w:r w:rsidRPr="00EC7963">
        <w:rPr>
          <w:sz w:val="24"/>
          <w:szCs w:val="24"/>
          <w:shd w:val="clear" w:color="auto" w:fill="FFFFFF"/>
        </w:rPr>
        <w:t>, 10(21), 137-158.</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Trotman, K. T., Bradley, G.W.(1981). Associations between social responsibility disclosure and characteristics of companies. </w:t>
      </w:r>
      <w:r w:rsidRPr="00EC7963">
        <w:rPr>
          <w:bCs/>
          <w:i/>
          <w:sz w:val="24"/>
          <w:szCs w:val="24"/>
          <w:shd w:val="clear" w:color="auto" w:fill="FFFFFF"/>
        </w:rPr>
        <w:t>Accounting, organizations and society</w:t>
      </w:r>
      <w:r w:rsidRPr="00EC7963">
        <w:rPr>
          <w:sz w:val="24"/>
          <w:szCs w:val="24"/>
          <w:shd w:val="clear" w:color="auto" w:fill="FFFFFF"/>
        </w:rPr>
        <w:t>, 6(4), 355-362.</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Woods, M., Dowd, K., Humphrey, C. G.(2004). Credibility at risk? The accounting profession, risk reporting and the rise of VaR. </w:t>
      </w:r>
      <w:r w:rsidRPr="00EC7963">
        <w:rPr>
          <w:bCs/>
          <w:i/>
          <w:sz w:val="24"/>
          <w:szCs w:val="24"/>
          <w:shd w:val="clear" w:color="auto" w:fill="FFFFFF"/>
        </w:rPr>
        <w:t>CRIS Discussion Paper Series</w:t>
      </w:r>
      <w:r w:rsidRPr="00EC7963">
        <w:rPr>
          <w:i/>
          <w:sz w:val="24"/>
          <w:szCs w:val="24"/>
          <w:shd w:val="clear" w:color="auto" w:fill="FFFFFF"/>
        </w:rPr>
        <w:t>,</w:t>
      </w:r>
      <w:r w:rsidRPr="00EC7963">
        <w:rPr>
          <w:sz w:val="24"/>
          <w:szCs w:val="24"/>
          <w:shd w:val="clear" w:color="auto" w:fill="FFFFFF"/>
        </w:rPr>
        <w:t xml:space="preserve"> 3, 1-24.</w:t>
      </w:r>
    </w:p>
    <w:p w:rsidR="00EC7963" w:rsidRPr="00EC7963" w:rsidRDefault="00EC7963" w:rsidP="00EC7963">
      <w:pPr>
        <w:spacing w:after="120"/>
        <w:jc w:val="both"/>
        <w:rPr>
          <w:sz w:val="24"/>
          <w:szCs w:val="24"/>
          <w:shd w:val="clear" w:color="auto" w:fill="FFFFFF"/>
        </w:rPr>
      </w:pPr>
      <w:r w:rsidRPr="00EC7963">
        <w:rPr>
          <w:sz w:val="24"/>
          <w:szCs w:val="24"/>
          <w:shd w:val="clear" w:color="auto" w:fill="FFFFFF"/>
        </w:rPr>
        <w:t>Zadeh, F. O., Rasid, S. Z. A., Basiruddin, R., Zamil, N. A. M.; Vaklibashi, A. (2016).   Risk Disclosure Practices among Malaysian Listed Firms. </w:t>
      </w:r>
      <w:r w:rsidRPr="00EC7963">
        <w:rPr>
          <w:bCs/>
          <w:i/>
          <w:sz w:val="24"/>
          <w:szCs w:val="24"/>
          <w:shd w:val="clear" w:color="auto" w:fill="FFFFFF"/>
        </w:rPr>
        <w:t>International Journal of Economics and Financial Issues</w:t>
      </w:r>
      <w:r w:rsidRPr="00EC7963">
        <w:rPr>
          <w:sz w:val="24"/>
          <w:szCs w:val="24"/>
          <w:shd w:val="clear" w:color="auto" w:fill="FFFFFF"/>
        </w:rPr>
        <w:t>, 6(3).</w:t>
      </w:r>
    </w:p>
    <w:p w:rsidR="00EC7963" w:rsidRDefault="00EC7963"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Default="00712E84" w:rsidP="00EC7963">
      <w:pPr>
        <w:spacing w:before="120" w:after="120"/>
        <w:rPr>
          <w:sz w:val="24"/>
          <w:szCs w:val="24"/>
        </w:rPr>
      </w:pPr>
    </w:p>
    <w:p w:rsidR="00712E84" w:rsidRPr="00EC7963" w:rsidRDefault="00712E84" w:rsidP="00EC7963">
      <w:pPr>
        <w:spacing w:before="120" w:after="120"/>
        <w:rPr>
          <w:sz w:val="24"/>
          <w:szCs w:val="24"/>
        </w:rPr>
      </w:pPr>
    </w:p>
    <w:p w:rsidR="00EC7963" w:rsidRPr="00EC7963" w:rsidRDefault="00EC7963" w:rsidP="00EC7963">
      <w:pPr>
        <w:spacing w:before="120" w:after="120"/>
        <w:rPr>
          <w:sz w:val="24"/>
          <w:szCs w:val="24"/>
        </w:rPr>
      </w:pPr>
    </w:p>
    <w:p w:rsidR="00EC7963" w:rsidRPr="00EC7963" w:rsidRDefault="00EC7963" w:rsidP="00EC7963">
      <w:pPr>
        <w:spacing w:before="120" w:after="120"/>
        <w:jc w:val="center"/>
        <w:rPr>
          <w:sz w:val="24"/>
          <w:szCs w:val="24"/>
        </w:rPr>
      </w:pPr>
    </w:p>
    <w:p w:rsidR="00EC7963" w:rsidRPr="00EC7963" w:rsidRDefault="00EC7963" w:rsidP="00EC7963">
      <w:pPr>
        <w:spacing w:before="120" w:after="120"/>
        <w:jc w:val="center"/>
        <w:rPr>
          <w:sz w:val="24"/>
          <w:szCs w:val="24"/>
        </w:rPr>
      </w:pPr>
      <w:r w:rsidRPr="00EC7963">
        <w:rPr>
          <w:sz w:val="24"/>
          <w:szCs w:val="24"/>
        </w:rPr>
        <w:t>APÊNDICE A</w:t>
      </w:r>
    </w:p>
    <w:tbl>
      <w:tblPr>
        <w:tblStyle w:val="Tabelacomgrade"/>
        <w:tblW w:w="5000" w:type="pct"/>
        <w:tblLook w:val="04A0"/>
      </w:tblPr>
      <w:tblGrid>
        <w:gridCol w:w="2105"/>
        <w:gridCol w:w="5474"/>
        <w:gridCol w:w="1702"/>
      </w:tblGrid>
      <w:tr w:rsidR="00EC7963" w:rsidRPr="00EC7963" w:rsidTr="0057699F">
        <w:trPr>
          <w:trHeight w:val="340"/>
        </w:trPr>
        <w:tc>
          <w:tcPr>
            <w:tcW w:w="1134" w:type="pct"/>
            <w:shd w:val="clear" w:color="auto" w:fill="D9D9D9" w:themeFill="background1" w:themeFillShade="D9"/>
            <w:vAlign w:val="center"/>
          </w:tcPr>
          <w:p w:rsidR="00EC7963" w:rsidRPr="00EC7963" w:rsidRDefault="00EC7963" w:rsidP="0057699F">
            <w:pPr>
              <w:jc w:val="center"/>
              <w:rPr>
                <w:b/>
                <w:bCs/>
                <w:sz w:val="24"/>
                <w:szCs w:val="24"/>
              </w:rPr>
            </w:pPr>
            <w:r w:rsidRPr="00EC7963">
              <w:rPr>
                <w:b/>
                <w:bCs/>
                <w:sz w:val="24"/>
                <w:szCs w:val="24"/>
              </w:rPr>
              <w:t>Categoria de risco</w:t>
            </w:r>
          </w:p>
        </w:tc>
        <w:tc>
          <w:tcPr>
            <w:tcW w:w="2949" w:type="pct"/>
            <w:shd w:val="clear" w:color="auto" w:fill="D9D9D9" w:themeFill="background1" w:themeFillShade="D9"/>
            <w:vAlign w:val="center"/>
          </w:tcPr>
          <w:p w:rsidR="00EC7963" w:rsidRPr="00EC7963" w:rsidRDefault="00EC7963" w:rsidP="0057699F">
            <w:pPr>
              <w:jc w:val="center"/>
              <w:rPr>
                <w:b/>
                <w:sz w:val="24"/>
                <w:szCs w:val="24"/>
              </w:rPr>
            </w:pPr>
            <w:r w:rsidRPr="00EC7963">
              <w:rPr>
                <w:b/>
                <w:sz w:val="24"/>
                <w:szCs w:val="24"/>
              </w:rPr>
              <w:t>Definição</w:t>
            </w:r>
          </w:p>
        </w:tc>
        <w:tc>
          <w:tcPr>
            <w:tcW w:w="917" w:type="pct"/>
            <w:shd w:val="clear" w:color="auto" w:fill="D9D9D9" w:themeFill="background1" w:themeFillShade="D9"/>
            <w:vAlign w:val="center"/>
          </w:tcPr>
          <w:p w:rsidR="00EC7963" w:rsidRPr="00EC7963" w:rsidRDefault="00EC7963" w:rsidP="0057699F">
            <w:pPr>
              <w:jc w:val="center"/>
              <w:rPr>
                <w:b/>
                <w:sz w:val="24"/>
                <w:szCs w:val="24"/>
              </w:rPr>
            </w:pPr>
            <w:r w:rsidRPr="00EC7963">
              <w:rPr>
                <w:b/>
                <w:sz w:val="24"/>
                <w:szCs w:val="24"/>
              </w:rPr>
              <w:t>Fonte</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Cambial</w:t>
            </w:r>
          </w:p>
        </w:tc>
        <w:tc>
          <w:tcPr>
            <w:tcW w:w="2949" w:type="pct"/>
          </w:tcPr>
          <w:p w:rsidR="00EC7963" w:rsidRPr="00EC7963" w:rsidRDefault="00EC7963" w:rsidP="0057699F">
            <w:pPr>
              <w:jc w:val="both"/>
              <w:rPr>
                <w:sz w:val="24"/>
                <w:szCs w:val="24"/>
              </w:rPr>
            </w:pPr>
            <w:r w:rsidRPr="00EC7963">
              <w:rPr>
                <w:sz w:val="24"/>
                <w:szCs w:val="24"/>
              </w:rPr>
              <w:t>É o risco proveniente da conversão dos pagamentos de principal e juros de uma moeda para outra, as perdas cambiais podem contrabalancear o valor prometido de pagamento de juros em moeda local, a taxa de câmbio vigente no momento em que o investimento foi efetuado.</w:t>
            </w:r>
          </w:p>
        </w:tc>
        <w:tc>
          <w:tcPr>
            <w:tcW w:w="917" w:type="pct"/>
            <w:vAlign w:val="center"/>
          </w:tcPr>
          <w:p w:rsidR="00EC7963" w:rsidRPr="00EC7963" w:rsidRDefault="00EC7963" w:rsidP="0057699F">
            <w:pPr>
              <w:jc w:val="center"/>
              <w:rPr>
                <w:sz w:val="24"/>
                <w:szCs w:val="24"/>
              </w:rPr>
            </w:pPr>
            <w:r w:rsidRPr="00EC7963">
              <w:rPr>
                <w:sz w:val="24"/>
                <w:szCs w:val="24"/>
              </w:rPr>
              <w:t>Saunders (2000)</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 xml:space="preserve"> Capital</w:t>
            </w:r>
          </w:p>
        </w:tc>
        <w:tc>
          <w:tcPr>
            <w:tcW w:w="2949" w:type="pct"/>
          </w:tcPr>
          <w:p w:rsidR="00EC7963" w:rsidRPr="00EC7963" w:rsidRDefault="00EC7963" w:rsidP="0057699F">
            <w:pPr>
              <w:jc w:val="both"/>
              <w:rPr>
                <w:sz w:val="24"/>
                <w:szCs w:val="24"/>
              </w:rPr>
            </w:pPr>
            <w:r w:rsidRPr="00EC7963">
              <w:rPr>
                <w:sz w:val="24"/>
                <w:szCs w:val="24"/>
              </w:rPr>
              <w:t>Refere-se à alta dependência de capitais de terceiros, que mesmo com lucro operacional positivo, pode ser corroído pelos encargos financeiros.</w:t>
            </w:r>
          </w:p>
        </w:tc>
        <w:tc>
          <w:tcPr>
            <w:tcW w:w="917" w:type="pct"/>
            <w:vAlign w:val="center"/>
          </w:tcPr>
          <w:p w:rsidR="00EC7963" w:rsidRPr="00EC7963" w:rsidRDefault="00EC7963" w:rsidP="0057699F">
            <w:pPr>
              <w:jc w:val="center"/>
              <w:rPr>
                <w:sz w:val="24"/>
                <w:szCs w:val="24"/>
              </w:rPr>
            </w:pPr>
            <w:r w:rsidRPr="00EC7963">
              <w:rPr>
                <w:sz w:val="24"/>
                <w:szCs w:val="24"/>
              </w:rPr>
              <w:t>Silva (1998)</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Contraparte</w:t>
            </w:r>
          </w:p>
        </w:tc>
        <w:tc>
          <w:tcPr>
            <w:tcW w:w="2949" w:type="pct"/>
          </w:tcPr>
          <w:p w:rsidR="00EC7963" w:rsidRPr="00EC7963" w:rsidRDefault="00EC7963" w:rsidP="0057699F">
            <w:pPr>
              <w:jc w:val="both"/>
              <w:rPr>
                <w:sz w:val="24"/>
                <w:szCs w:val="24"/>
              </w:rPr>
            </w:pPr>
            <w:r w:rsidRPr="00EC7963">
              <w:rPr>
                <w:sz w:val="24"/>
                <w:szCs w:val="24"/>
              </w:rPr>
              <w:t>Descrito como contraparte em algumas notas explicativas, no entanto sinônimo de risco de crédito, refere-se ao não recebimento de clientes.</w:t>
            </w:r>
          </w:p>
        </w:tc>
        <w:tc>
          <w:tcPr>
            <w:tcW w:w="917" w:type="pct"/>
            <w:vAlign w:val="center"/>
          </w:tcPr>
          <w:p w:rsidR="00EC7963" w:rsidRPr="00EC7963" w:rsidRDefault="00EC7963" w:rsidP="0057699F">
            <w:pPr>
              <w:jc w:val="center"/>
              <w:rPr>
                <w:sz w:val="24"/>
                <w:szCs w:val="24"/>
              </w:rPr>
            </w:pPr>
            <w:r w:rsidRPr="00EC7963">
              <w:rPr>
                <w:sz w:val="24"/>
                <w:szCs w:val="24"/>
              </w:rPr>
              <w:t>Silva (1998)</w:t>
            </w:r>
          </w:p>
        </w:tc>
      </w:tr>
      <w:tr w:rsidR="00EC7963" w:rsidRPr="00EC7963" w:rsidTr="0057699F">
        <w:trPr>
          <w:trHeight w:val="827"/>
        </w:trPr>
        <w:tc>
          <w:tcPr>
            <w:tcW w:w="1134" w:type="pct"/>
            <w:vAlign w:val="center"/>
          </w:tcPr>
          <w:p w:rsidR="00EC7963" w:rsidRPr="00EC7963" w:rsidRDefault="00EC7963" w:rsidP="0057699F">
            <w:pPr>
              <w:jc w:val="center"/>
              <w:rPr>
                <w:b/>
                <w:bCs/>
                <w:sz w:val="24"/>
                <w:szCs w:val="24"/>
              </w:rPr>
            </w:pPr>
            <w:r w:rsidRPr="00EC7963">
              <w:rPr>
                <w:b/>
                <w:bCs/>
                <w:sz w:val="24"/>
                <w:szCs w:val="24"/>
              </w:rPr>
              <w:t>Crédito</w:t>
            </w:r>
          </w:p>
        </w:tc>
        <w:tc>
          <w:tcPr>
            <w:tcW w:w="2949" w:type="pct"/>
          </w:tcPr>
          <w:p w:rsidR="00EC7963" w:rsidRPr="00EC7963" w:rsidRDefault="00EC7963" w:rsidP="0057699F">
            <w:pPr>
              <w:jc w:val="both"/>
              <w:rPr>
                <w:sz w:val="24"/>
                <w:szCs w:val="24"/>
              </w:rPr>
            </w:pPr>
            <w:r w:rsidRPr="00EC7963">
              <w:rPr>
                <w:sz w:val="24"/>
                <w:szCs w:val="24"/>
              </w:rPr>
              <w:t>É o risco de não recebimento, ou seja, do cliente não honrar a promessa de pagamento.</w:t>
            </w:r>
          </w:p>
        </w:tc>
        <w:tc>
          <w:tcPr>
            <w:tcW w:w="917" w:type="pct"/>
            <w:vAlign w:val="center"/>
          </w:tcPr>
          <w:p w:rsidR="00EC7963" w:rsidRPr="00EC7963" w:rsidRDefault="00EC7963" w:rsidP="0057699F">
            <w:pPr>
              <w:jc w:val="center"/>
              <w:rPr>
                <w:sz w:val="24"/>
                <w:szCs w:val="24"/>
              </w:rPr>
            </w:pPr>
            <w:r w:rsidRPr="00EC7963">
              <w:rPr>
                <w:sz w:val="24"/>
                <w:szCs w:val="24"/>
              </w:rPr>
              <w:t>Silva (1998)</w:t>
            </w:r>
          </w:p>
          <w:p w:rsidR="00EC7963" w:rsidRPr="00EC7963" w:rsidRDefault="00EC7963" w:rsidP="0057699F">
            <w:pPr>
              <w:jc w:val="center"/>
              <w:rPr>
                <w:sz w:val="24"/>
                <w:szCs w:val="24"/>
              </w:rPr>
            </w:pPr>
            <w:r w:rsidRPr="00EC7963">
              <w:rPr>
                <w:sz w:val="24"/>
                <w:szCs w:val="24"/>
              </w:rPr>
              <w:t>Securato (2002)</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Elevação da inflação</w:t>
            </w:r>
          </w:p>
        </w:tc>
        <w:tc>
          <w:tcPr>
            <w:tcW w:w="2949" w:type="pct"/>
          </w:tcPr>
          <w:p w:rsidR="00EC7963" w:rsidRPr="00EC7963" w:rsidRDefault="00EC7963" w:rsidP="0057699F">
            <w:pPr>
              <w:jc w:val="both"/>
              <w:rPr>
                <w:sz w:val="24"/>
                <w:szCs w:val="24"/>
                <w:highlight w:val="yellow"/>
              </w:rPr>
            </w:pPr>
            <w:r w:rsidRPr="00EC7963">
              <w:rPr>
                <w:sz w:val="24"/>
                <w:szCs w:val="24"/>
              </w:rPr>
              <w:t>A inflação é um dos índices utilizados na avaliação dos ativos, o risco relacionado a esta se refere quanto a possibilidade de uma elevação ou diminuição brusca afetar diretamente na mensuração dos ativos.</w:t>
            </w:r>
          </w:p>
        </w:tc>
        <w:tc>
          <w:tcPr>
            <w:tcW w:w="917" w:type="pct"/>
            <w:vAlign w:val="center"/>
          </w:tcPr>
          <w:p w:rsidR="00EC7963" w:rsidRPr="00EC7963" w:rsidRDefault="00EC7963" w:rsidP="0057699F">
            <w:pPr>
              <w:jc w:val="center"/>
              <w:rPr>
                <w:sz w:val="24"/>
                <w:szCs w:val="24"/>
              </w:rPr>
            </w:pPr>
            <w:r w:rsidRPr="00EC7963">
              <w:rPr>
                <w:sz w:val="24"/>
                <w:szCs w:val="24"/>
              </w:rPr>
              <w:t>Notas explicativas Klabin SA (2015)</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 xml:space="preserve">Encargo de dívida </w:t>
            </w:r>
          </w:p>
        </w:tc>
        <w:tc>
          <w:tcPr>
            <w:tcW w:w="2949" w:type="pct"/>
          </w:tcPr>
          <w:p w:rsidR="00EC7963" w:rsidRPr="00EC7963" w:rsidRDefault="00EC7963" w:rsidP="0057699F">
            <w:pPr>
              <w:jc w:val="both"/>
              <w:rPr>
                <w:sz w:val="24"/>
                <w:szCs w:val="24"/>
                <w:highlight w:val="yellow"/>
              </w:rPr>
            </w:pPr>
            <w:r w:rsidRPr="00EC7963">
              <w:rPr>
                <w:sz w:val="24"/>
                <w:szCs w:val="24"/>
              </w:rPr>
              <w:t xml:space="preserve">Refere-se ao não cumprimento de contratos de empréstimos que podem gerar clausulas restritivas para algumas empresas fazendo com que estas criem garantias adicionais, sob a pena de acelerar o vencimento das dividas. </w:t>
            </w:r>
          </w:p>
        </w:tc>
        <w:tc>
          <w:tcPr>
            <w:tcW w:w="917" w:type="pct"/>
            <w:vAlign w:val="center"/>
          </w:tcPr>
          <w:p w:rsidR="00EC7963" w:rsidRPr="00EC7963" w:rsidRDefault="00EC7963" w:rsidP="0057699F">
            <w:pPr>
              <w:jc w:val="center"/>
              <w:rPr>
                <w:sz w:val="24"/>
                <w:szCs w:val="24"/>
              </w:rPr>
            </w:pPr>
            <w:r w:rsidRPr="00EC7963">
              <w:rPr>
                <w:sz w:val="24"/>
                <w:szCs w:val="24"/>
              </w:rPr>
              <w:t>Notas explicativas Cemig (2015), CPFL Energia (2015)  e Weg (2015)</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 xml:space="preserve">Escassez de energia </w:t>
            </w:r>
          </w:p>
        </w:tc>
        <w:tc>
          <w:tcPr>
            <w:tcW w:w="2949" w:type="pct"/>
          </w:tcPr>
          <w:p w:rsidR="00EC7963" w:rsidRPr="00EC7963" w:rsidRDefault="00EC7963" w:rsidP="0057699F">
            <w:pPr>
              <w:jc w:val="both"/>
              <w:rPr>
                <w:sz w:val="24"/>
                <w:szCs w:val="24"/>
              </w:rPr>
            </w:pPr>
            <w:r w:rsidRPr="00EC7963">
              <w:rPr>
                <w:sz w:val="24"/>
                <w:szCs w:val="24"/>
              </w:rPr>
              <w:t>Aspectos ligados a fenômenos naturais poderão refletir e influenciar diretamente na oferta e demanda de produtos relacionados ou dependentes dos mesmos.</w:t>
            </w:r>
          </w:p>
        </w:tc>
        <w:tc>
          <w:tcPr>
            <w:tcW w:w="917" w:type="pct"/>
            <w:vAlign w:val="center"/>
          </w:tcPr>
          <w:p w:rsidR="00EC7963" w:rsidRPr="00EC7963" w:rsidRDefault="00EC7963" w:rsidP="0057699F">
            <w:pPr>
              <w:jc w:val="center"/>
              <w:rPr>
                <w:sz w:val="24"/>
                <w:szCs w:val="24"/>
              </w:rPr>
            </w:pPr>
            <w:r w:rsidRPr="00EC7963">
              <w:rPr>
                <w:sz w:val="24"/>
                <w:szCs w:val="24"/>
              </w:rPr>
              <w:t>Silva (1998)</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 xml:space="preserve">Fraude </w:t>
            </w:r>
          </w:p>
        </w:tc>
        <w:tc>
          <w:tcPr>
            <w:tcW w:w="2949" w:type="pct"/>
          </w:tcPr>
          <w:p w:rsidR="00EC7963" w:rsidRPr="00EC7963" w:rsidRDefault="00EC7963" w:rsidP="0057699F">
            <w:pPr>
              <w:jc w:val="both"/>
              <w:rPr>
                <w:sz w:val="24"/>
                <w:szCs w:val="24"/>
              </w:rPr>
            </w:pPr>
            <w:r w:rsidRPr="00EC7963">
              <w:rPr>
                <w:sz w:val="24"/>
                <w:szCs w:val="24"/>
              </w:rPr>
              <w:t>Refere-se às formas de exposição de fraude de algumas organizações são expostas e que devem ser observadas como meio de minimizar os transtornos que podem ser ocasionados sem a devida proteção.</w:t>
            </w:r>
          </w:p>
        </w:tc>
        <w:tc>
          <w:tcPr>
            <w:tcW w:w="917" w:type="pct"/>
            <w:vAlign w:val="center"/>
          </w:tcPr>
          <w:p w:rsidR="00EC7963" w:rsidRPr="00EC7963" w:rsidRDefault="00EC7963" w:rsidP="0057699F">
            <w:pPr>
              <w:jc w:val="center"/>
              <w:rPr>
                <w:sz w:val="24"/>
                <w:szCs w:val="24"/>
              </w:rPr>
            </w:pPr>
            <w:r w:rsidRPr="00EC7963">
              <w:rPr>
                <w:sz w:val="24"/>
                <w:szCs w:val="24"/>
              </w:rPr>
              <w:t>Notas explicativas</w:t>
            </w:r>
          </w:p>
          <w:p w:rsidR="00EC7963" w:rsidRPr="00EC7963" w:rsidRDefault="00EC7963" w:rsidP="0057699F">
            <w:pPr>
              <w:jc w:val="center"/>
              <w:rPr>
                <w:sz w:val="24"/>
                <w:szCs w:val="24"/>
              </w:rPr>
            </w:pPr>
            <w:r w:rsidRPr="00EC7963">
              <w:rPr>
                <w:sz w:val="24"/>
                <w:szCs w:val="24"/>
              </w:rPr>
              <w:t>Cielo (2015)</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 xml:space="preserve">Legal </w:t>
            </w:r>
          </w:p>
        </w:tc>
        <w:tc>
          <w:tcPr>
            <w:tcW w:w="2949" w:type="pct"/>
          </w:tcPr>
          <w:p w:rsidR="00EC7963" w:rsidRPr="00EC7963" w:rsidRDefault="00EC7963" w:rsidP="0057699F">
            <w:pPr>
              <w:jc w:val="both"/>
              <w:rPr>
                <w:sz w:val="24"/>
                <w:szCs w:val="24"/>
              </w:rPr>
            </w:pPr>
            <w:r w:rsidRPr="00EC7963">
              <w:rPr>
                <w:sz w:val="24"/>
                <w:szCs w:val="24"/>
              </w:rPr>
              <w:t>Descrito como legal em algumas notas explicativas, no entanto sinônimo de risco regulatório, refere-se a mudanças em legislações que possam afetar diretamente a atividade das instituições.</w:t>
            </w:r>
          </w:p>
        </w:tc>
        <w:tc>
          <w:tcPr>
            <w:tcW w:w="917" w:type="pct"/>
            <w:vAlign w:val="center"/>
          </w:tcPr>
          <w:p w:rsidR="00EC7963" w:rsidRPr="00EC7963" w:rsidRDefault="00EC7963" w:rsidP="0057699F">
            <w:pPr>
              <w:jc w:val="center"/>
              <w:rPr>
                <w:sz w:val="24"/>
                <w:szCs w:val="24"/>
              </w:rPr>
            </w:pPr>
            <w:r w:rsidRPr="00EC7963">
              <w:rPr>
                <w:sz w:val="24"/>
                <w:szCs w:val="24"/>
              </w:rPr>
              <w:t>Silva (1998)</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 xml:space="preserve">Liquidez </w:t>
            </w:r>
          </w:p>
        </w:tc>
        <w:tc>
          <w:tcPr>
            <w:tcW w:w="2949" w:type="pct"/>
          </w:tcPr>
          <w:p w:rsidR="00EC7963" w:rsidRPr="00EC7963" w:rsidRDefault="00EC7963" w:rsidP="0057699F">
            <w:pPr>
              <w:jc w:val="both"/>
              <w:rPr>
                <w:sz w:val="24"/>
                <w:szCs w:val="24"/>
              </w:rPr>
            </w:pPr>
            <w:r w:rsidRPr="00EC7963">
              <w:rPr>
                <w:sz w:val="24"/>
                <w:szCs w:val="24"/>
              </w:rPr>
              <w:t>Diz respeito a própria capacidade de solvência, estando diretamente relacionados a capacidade e facilidade da instituição em obter fundos a um custo compatível, para cumprir os compromisso juntos aos seus clientes.</w:t>
            </w:r>
          </w:p>
        </w:tc>
        <w:tc>
          <w:tcPr>
            <w:tcW w:w="917" w:type="pct"/>
            <w:vAlign w:val="center"/>
          </w:tcPr>
          <w:p w:rsidR="00EC7963" w:rsidRPr="00EC7963" w:rsidRDefault="00EC7963" w:rsidP="0057699F">
            <w:pPr>
              <w:jc w:val="center"/>
              <w:rPr>
                <w:sz w:val="24"/>
                <w:szCs w:val="24"/>
              </w:rPr>
            </w:pPr>
            <w:r w:rsidRPr="00EC7963">
              <w:rPr>
                <w:sz w:val="24"/>
                <w:szCs w:val="24"/>
              </w:rPr>
              <w:t>Silva (1998)</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Mercado</w:t>
            </w:r>
          </w:p>
        </w:tc>
        <w:tc>
          <w:tcPr>
            <w:tcW w:w="2949" w:type="pct"/>
          </w:tcPr>
          <w:p w:rsidR="00EC7963" w:rsidRPr="00EC7963" w:rsidRDefault="00EC7963" w:rsidP="0057699F">
            <w:pPr>
              <w:jc w:val="both"/>
              <w:rPr>
                <w:sz w:val="24"/>
                <w:szCs w:val="24"/>
              </w:rPr>
            </w:pPr>
            <w:r w:rsidRPr="00EC7963">
              <w:rPr>
                <w:sz w:val="24"/>
                <w:szCs w:val="24"/>
              </w:rPr>
              <w:t>A incerteza a respeito dos lucros, resultante de mudanças de condições de mercado, tais como preço de um ativo, taxas de juros, volatilidade de mercado e liquidez.</w:t>
            </w:r>
          </w:p>
        </w:tc>
        <w:tc>
          <w:tcPr>
            <w:tcW w:w="917" w:type="pct"/>
            <w:vAlign w:val="center"/>
          </w:tcPr>
          <w:p w:rsidR="00EC7963" w:rsidRPr="00EC7963" w:rsidRDefault="00EC7963" w:rsidP="0057699F">
            <w:pPr>
              <w:jc w:val="center"/>
              <w:rPr>
                <w:sz w:val="24"/>
                <w:szCs w:val="24"/>
              </w:rPr>
            </w:pPr>
            <w:r w:rsidRPr="00EC7963">
              <w:rPr>
                <w:sz w:val="24"/>
                <w:szCs w:val="24"/>
              </w:rPr>
              <w:t>Silva (1998), Saunders (2000)</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 xml:space="preserve">Operacional </w:t>
            </w:r>
          </w:p>
        </w:tc>
        <w:tc>
          <w:tcPr>
            <w:tcW w:w="2949" w:type="pct"/>
          </w:tcPr>
          <w:p w:rsidR="00EC7963" w:rsidRPr="00EC7963" w:rsidRDefault="00EC7963" w:rsidP="0057699F">
            <w:pPr>
              <w:jc w:val="both"/>
              <w:rPr>
                <w:sz w:val="24"/>
                <w:szCs w:val="24"/>
              </w:rPr>
            </w:pPr>
            <w:r w:rsidRPr="00EC7963">
              <w:rPr>
                <w:sz w:val="24"/>
                <w:szCs w:val="24"/>
              </w:rPr>
              <w:t>Pode surgir sempre que a tecnologia para de funcionar ou os sistemas de apoio falham: mão de obra,prestação de serviços, liquidação entre outros. Esse é proveniente do risco na operacionalização das ações.</w:t>
            </w:r>
          </w:p>
        </w:tc>
        <w:tc>
          <w:tcPr>
            <w:tcW w:w="917" w:type="pct"/>
            <w:vAlign w:val="center"/>
          </w:tcPr>
          <w:p w:rsidR="00EC7963" w:rsidRPr="00EC7963" w:rsidRDefault="00EC7963" w:rsidP="0057699F">
            <w:pPr>
              <w:jc w:val="center"/>
              <w:rPr>
                <w:sz w:val="24"/>
                <w:szCs w:val="24"/>
              </w:rPr>
            </w:pPr>
            <w:r w:rsidRPr="00EC7963">
              <w:rPr>
                <w:sz w:val="24"/>
                <w:szCs w:val="24"/>
              </w:rPr>
              <w:t>Saunders (2000)</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Preço da ação</w:t>
            </w:r>
          </w:p>
        </w:tc>
        <w:tc>
          <w:tcPr>
            <w:tcW w:w="2949" w:type="pct"/>
          </w:tcPr>
          <w:p w:rsidR="00EC7963" w:rsidRPr="00EC7963" w:rsidRDefault="00EC7963" w:rsidP="0057699F">
            <w:pPr>
              <w:autoSpaceDE w:val="0"/>
              <w:autoSpaceDN w:val="0"/>
              <w:adjustRightInd w:val="0"/>
              <w:jc w:val="both"/>
              <w:rPr>
                <w:sz w:val="24"/>
                <w:szCs w:val="24"/>
                <w:highlight w:val="yellow"/>
              </w:rPr>
            </w:pPr>
            <w:r w:rsidRPr="00EC7963">
              <w:rPr>
                <w:rFonts w:eastAsiaTheme="minorHAnsi"/>
                <w:sz w:val="24"/>
                <w:szCs w:val="24"/>
              </w:rPr>
              <w:t>É o risco do efeito de flutuações nos preços dos produtos que a Companhia vende ou no preço das matérias-primas e demais insumos utilizados no processo de produção.</w:t>
            </w:r>
          </w:p>
        </w:tc>
        <w:tc>
          <w:tcPr>
            <w:tcW w:w="917" w:type="pct"/>
            <w:vAlign w:val="center"/>
          </w:tcPr>
          <w:p w:rsidR="00EC7963" w:rsidRPr="00EC7963" w:rsidRDefault="00EC7963" w:rsidP="0057699F">
            <w:pPr>
              <w:jc w:val="center"/>
              <w:rPr>
                <w:sz w:val="24"/>
                <w:szCs w:val="24"/>
              </w:rPr>
            </w:pPr>
            <w:r w:rsidRPr="00EC7963">
              <w:rPr>
                <w:sz w:val="24"/>
                <w:szCs w:val="24"/>
              </w:rPr>
              <w:t>Notas explicativas</w:t>
            </w:r>
          </w:p>
          <w:p w:rsidR="00EC7963" w:rsidRPr="00EC7963" w:rsidRDefault="00EC7963" w:rsidP="0057699F">
            <w:pPr>
              <w:jc w:val="center"/>
              <w:rPr>
                <w:sz w:val="24"/>
                <w:szCs w:val="24"/>
              </w:rPr>
            </w:pPr>
            <w:r w:rsidRPr="00EC7963">
              <w:rPr>
                <w:sz w:val="24"/>
                <w:szCs w:val="24"/>
              </w:rPr>
              <w:t>Gerdau (2015), Gerdau Met (2015), Fibria (2015)</w:t>
            </w:r>
          </w:p>
        </w:tc>
      </w:tr>
      <w:tr w:rsidR="00EC7963" w:rsidRPr="00EC7963" w:rsidTr="0057699F">
        <w:tc>
          <w:tcPr>
            <w:tcW w:w="1134" w:type="pct"/>
            <w:vAlign w:val="center"/>
          </w:tcPr>
          <w:p w:rsidR="00EC7963" w:rsidRPr="00EC7963" w:rsidRDefault="00EC7963" w:rsidP="0057699F">
            <w:pPr>
              <w:jc w:val="center"/>
              <w:rPr>
                <w:b/>
                <w:bCs/>
                <w:sz w:val="24"/>
                <w:szCs w:val="24"/>
              </w:rPr>
            </w:pPr>
            <w:r w:rsidRPr="00EC7963">
              <w:rPr>
                <w:b/>
                <w:bCs/>
                <w:sz w:val="24"/>
                <w:szCs w:val="24"/>
              </w:rPr>
              <w:t>Regulatório</w:t>
            </w:r>
          </w:p>
        </w:tc>
        <w:tc>
          <w:tcPr>
            <w:tcW w:w="2949" w:type="pct"/>
          </w:tcPr>
          <w:p w:rsidR="00EC7963" w:rsidRPr="00EC7963" w:rsidRDefault="00EC7963" w:rsidP="0057699F">
            <w:pPr>
              <w:jc w:val="both"/>
              <w:rPr>
                <w:sz w:val="24"/>
                <w:szCs w:val="24"/>
              </w:rPr>
            </w:pPr>
            <w:r w:rsidRPr="00EC7963">
              <w:rPr>
                <w:sz w:val="24"/>
                <w:szCs w:val="24"/>
              </w:rPr>
              <w:t>O risco proveniente da mudança de regulação.Uma vez que a política assume extrema relevância, pois influenciam diretamente na vida econômica do pais, poder de compra, preço de venda, estrutura de custos, lucro, taxa de juros, variação cambial, salários, impostos entre outros fatores que refletem na oferta e demanda e nos preços em geral.</w:t>
            </w:r>
          </w:p>
        </w:tc>
        <w:tc>
          <w:tcPr>
            <w:tcW w:w="917" w:type="pct"/>
            <w:vAlign w:val="center"/>
          </w:tcPr>
          <w:p w:rsidR="00EC7963" w:rsidRPr="00EC7963" w:rsidRDefault="00EC7963" w:rsidP="0057699F">
            <w:pPr>
              <w:jc w:val="center"/>
              <w:rPr>
                <w:sz w:val="24"/>
                <w:szCs w:val="24"/>
              </w:rPr>
            </w:pPr>
            <w:r w:rsidRPr="00EC7963">
              <w:rPr>
                <w:sz w:val="24"/>
                <w:szCs w:val="24"/>
              </w:rPr>
              <w:t>Silva (1998)</w:t>
            </w:r>
          </w:p>
        </w:tc>
      </w:tr>
      <w:tr w:rsidR="00EC7963" w:rsidRPr="00EC7963" w:rsidTr="0057699F">
        <w:trPr>
          <w:trHeight w:val="567"/>
        </w:trPr>
        <w:tc>
          <w:tcPr>
            <w:tcW w:w="1134" w:type="pct"/>
            <w:vAlign w:val="center"/>
          </w:tcPr>
          <w:p w:rsidR="00EC7963" w:rsidRPr="00EC7963" w:rsidRDefault="00EC7963" w:rsidP="0057699F">
            <w:pPr>
              <w:jc w:val="center"/>
              <w:rPr>
                <w:b/>
                <w:bCs/>
                <w:sz w:val="24"/>
                <w:szCs w:val="24"/>
              </w:rPr>
            </w:pPr>
            <w:r w:rsidRPr="00EC7963">
              <w:rPr>
                <w:b/>
                <w:bCs/>
                <w:sz w:val="24"/>
                <w:szCs w:val="24"/>
              </w:rPr>
              <w:t>Taxa de Juros</w:t>
            </w:r>
          </w:p>
        </w:tc>
        <w:tc>
          <w:tcPr>
            <w:tcW w:w="2949" w:type="pct"/>
          </w:tcPr>
          <w:p w:rsidR="00EC7963" w:rsidRPr="00EC7963" w:rsidRDefault="00EC7963" w:rsidP="0057699F">
            <w:pPr>
              <w:jc w:val="both"/>
              <w:rPr>
                <w:sz w:val="24"/>
                <w:szCs w:val="24"/>
              </w:rPr>
            </w:pPr>
            <w:r w:rsidRPr="00EC7963">
              <w:rPr>
                <w:sz w:val="24"/>
                <w:szCs w:val="24"/>
              </w:rPr>
              <w:t>O risco quanto à variação da taxa de juros durante um período.</w:t>
            </w:r>
          </w:p>
        </w:tc>
        <w:tc>
          <w:tcPr>
            <w:tcW w:w="917" w:type="pct"/>
            <w:vAlign w:val="center"/>
          </w:tcPr>
          <w:p w:rsidR="00EC7963" w:rsidRPr="00EC7963" w:rsidRDefault="00EC7963" w:rsidP="0057699F">
            <w:pPr>
              <w:jc w:val="center"/>
              <w:rPr>
                <w:sz w:val="24"/>
                <w:szCs w:val="24"/>
              </w:rPr>
            </w:pPr>
            <w:r w:rsidRPr="00EC7963">
              <w:rPr>
                <w:sz w:val="24"/>
                <w:szCs w:val="24"/>
              </w:rPr>
              <w:t>Silva (1998), Saunders (2000)</w:t>
            </w:r>
          </w:p>
        </w:tc>
      </w:tr>
    </w:tbl>
    <w:p w:rsidR="00EC7963" w:rsidRPr="00EC7963" w:rsidRDefault="00EC7963" w:rsidP="00EC7963">
      <w:pPr>
        <w:rPr>
          <w:sz w:val="24"/>
          <w:szCs w:val="24"/>
        </w:rPr>
      </w:pPr>
    </w:p>
    <w:p w:rsidR="000B148B" w:rsidRDefault="000B148B"/>
    <w:sectPr w:rsidR="000B148B" w:rsidSect="0036377D">
      <w:pgSz w:w="11900" w:h="16840"/>
      <w:pgMar w:top="1701" w:right="1134" w:bottom="1134" w:left="1701" w:header="372"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52A8" w:rsidRDefault="004052A8" w:rsidP="008A5824">
      <w:r>
        <w:separator/>
      </w:r>
    </w:p>
  </w:endnote>
  <w:endnote w:type="continuationSeparator" w:id="0">
    <w:p w:rsidR="004052A8" w:rsidRDefault="004052A8" w:rsidP="008A58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
    <w:altName w:val="MS Gothic"/>
    <w:panose1 w:val="00000000000000000000"/>
    <w:charset w:val="80"/>
    <w:family w:val="auto"/>
    <w:notTrueType/>
    <w:pitch w:val="default"/>
    <w:sig w:usb0="00000000"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4391"/>
      <w:docPartObj>
        <w:docPartGallery w:val="Page Numbers (Bottom of Page)"/>
        <w:docPartUnique/>
      </w:docPartObj>
    </w:sdtPr>
    <w:sdtContent>
      <w:p w:rsidR="00510B7E" w:rsidRDefault="00AA582C">
        <w:pPr>
          <w:pStyle w:val="Rodap"/>
          <w:jc w:val="right"/>
        </w:pPr>
        <w:fldSimple w:instr=" PAGE   \* MERGEFORMAT ">
          <w:r w:rsidR="004052A8">
            <w:rPr>
              <w:noProof/>
            </w:rPr>
            <w:t>1</w:t>
          </w:r>
        </w:fldSimple>
      </w:p>
    </w:sdtContent>
  </w:sdt>
  <w:p w:rsidR="00510B7E" w:rsidRDefault="00510B7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52A8" w:rsidRDefault="004052A8" w:rsidP="008A5824">
      <w:r>
        <w:separator/>
      </w:r>
    </w:p>
  </w:footnote>
  <w:footnote w:type="continuationSeparator" w:id="0">
    <w:p w:rsidR="004052A8" w:rsidRDefault="004052A8" w:rsidP="008A58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0B7E" w:rsidRPr="00B32719" w:rsidRDefault="00510B7E" w:rsidP="0036377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58240" behindDoc="1" locked="0" layoutInCell="1" allowOverlap="1">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57215" behindDoc="1" locked="0" layoutInCell="1" allowOverlap="1">
          <wp:simplePos x="0" y="0"/>
          <wp:positionH relativeFrom="column">
            <wp:posOffset>4916758</wp:posOffset>
          </wp:positionH>
          <wp:positionV relativeFrom="paragraph">
            <wp:posOffset>-118414</wp:posOffset>
          </wp:positionV>
          <wp:extent cx="1369742" cy="913130"/>
          <wp:effectExtent l="38100" t="0" r="20908" b="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69742" cy="913130"/>
                  </a:xfrm>
                  <a:prstGeom prst="rect">
                    <a:avLst/>
                  </a:prstGeom>
                  <a:ln>
                    <a:noFill/>
                  </a:ln>
                  <a:effectLst>
                    <a:outerShdw blurRad="190500" algn="tl" rotWithShape="0">
                      <a:srgbClr val="000000">
                        <a:alpha val="0"/>
                      </a:srgbClr>
                    </a:outerShdw>
                  </a:effectLst>
                </pic:spPr>
              </pic:pic>
            </a:graphicData>
          </a:graphic>
        </wp:anchor>
      </w:drawing>
    </w:r>
    <w:r>
      <w:rPr>
        <w:rFonts w:ascii="Arial Narrow" w:hAnsi="Arial Narrow"/>
        <w:b/>
        <w:bCs/>
        <w:color w:val="2F5496" w:themeColor="accent1" w:themeShade="BF"/>
        <w:sz w:val="28"/>
      </w:rPr>
      <w:tab/>
      <w:t>7</w:t>
    </w:r>
    <w:r w:rsidRPr="00B32719">
      <w:rPr>
        <w:rFonts w:ascii="Arial Narrow" w:hAnsi="Arial Narrow"/>
        <w:b/>
        <w:bCs/>
        <w:color w:val="2F5496" w:themeColor="accent1" w:themeShade="BF"/>
        <w:sz w:val="28"/>
      </w:rPr>
      <w:t>º CONGRESSO UFSC DE CONTROLADORIA E FINANÇAS</w:t>
    </w:r>
  </w:p>
  <w:p w:rsidR="00510B7E" w:rsidRPr="00B32719" w:rsidRDefault="00510B7E" w:rsidP="0036377D">
    <w:pPr>
      <w:pStyle w:val="Cabealho"/>
      <w:rPr>
        <w:rFonts w:ascii="Arial Narrow" w:hAnsi="Arial Narrow"/>
        <w:b/>
        <w:bCs/>
        <w:sz w:val="20"/>
      </w:rPr>
    </w:pPr>
    <w:r>
      <w:rPr>
        <w:rFonts w:ascii="Arial Narrow" w:hAnsi="Arial Narrow"/>
        <w:b/>
        <w:bCs/>
        <w:color w:val="2F5496" w:themeColor="accent1" w:themeShade="BF"/>
        <w:sz w:val="22"/>
      </w:rPr>
      <w:tab/>
    </w:r>
    <w:r w:rsidRPr="00B32719">
      <w:rPr>
        <w:rFonts w:ascii="Arial Narrow" w:hAnsi="Arial Narrow"/>
        <w:b/>
        <w:bCs/>
        <w:color w:val="2F5496" w:themeColor="accent1" w:themeShade="BF"/>
        <w:sz w:val="22"/>
      </w:rPr>
      <w:t>7º CONGRESSO UFSC DE INICIAÇÃO CIENTÍFICA EM CONTABILIDADE</w:t>
    </w:r>
  </w:p>
  <w:p w:rsidR="00510B7E" w:rsidRPr="00B32719" w:rsidRDefault="00510B7E" w:rsidP="0036377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Pr="00B32719">
      <w:rPr>
        <w:rFonts w:ascii="Arial Narrow" w:hAnsi="Arial Narrow"/>
        <w:b/>
        <w:bCs/>
        <w:color w:val="2F5496" w:themeColor="accent1" w:themeShade="BF"/>
        <w:sz w:val="36"/>
      </w:rPr>
      <w:t>TRANSPARÊNCIA, CORRUPÇÃO E FRAUDES</w:t>
    </w:r>
  </w:p>
  <w:p w:rsidR="00510B7E" w:rsidRPr="00B32719" w:rsidRDefault="00510B7E" w:rsidP="00CA25AA">
    <w:pPr>
      <w:pStyle w:val="Cabealho"/>
      <w:ind w:right="-1000"/>
      <w:jc w:val="center"/>
      <w:rPr>
        <w:rFonts w:ascii="Arial Narrow" w:hAnsi="Arial Narrow"/>
        <w:color w:val="000000" w:themeColor="text1"/>
        <w:sz w:val="20"/>
      </w:rPr>
    </w:pPr>
    <w:r>
      <w:rPr>
        <w:color w:val="000000" w:themeColor="text1"/>
        <w:sz w:val="20"/>
      </w:rPr>
      <w:t xml:space="preserve">                                             </w:t>
    </w:r>
    <w:r w:rsidRPr="00B32719">
      <w:rPr>
        <w:rFonts w:ascii="Arial Narrow" w:hAnsi="Arial Narrow"/>
        <w:color w:val="000000" w:themeColor="text1"/>
        <w:sz w:val="20"/>
      </w:rPr>
      <w:t>Florianópolis, 10 a 12 de Setembro de 2017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00"/>
  <w:displayHorizontalDrawingGridEvery w:val="2"/>
  <w:displayVerticalDrawingGridEvery w:val="2"/>
  <w:characterSpacingControl w:val="doNotCompress"/>
  <w:savePreviewPicture/>
  <w:hdrShapeDefaults>
    <o:shapedefaults v:ext="edit" spidmax="20482"/>
  </w:hdrShapeDefaults>
  <w:footnotePr>
    <w:footnote w:id="-1"/>
    <w:footnote w:id="0"/>
  </w:footnotePr>
  <w:endnotePr>
    <w:endnote w:id="-1"/>
    <w:endnote w:id="0"/>
  </w:endnotePr>
  <w:compat/>
  <w:rsids>
    <w:rsidRoot w:val="008A5824"/>
    <w:rsid w:val="000214EA"/>
    <w:rsid w:val="0006733D"/>
    <w:rsid w:val="00071F77"/>
    <w:rsid w:val="000A5065"/>
    <w:rsid w:val="000A5BFA"/>
    <w:rsid w:val="000B148B"/>
    <w:rsid w:val="0016220D"/>
    <w:rsid w:val="00194BA9"/>
    <w:rsid w:val="001A4423"/>
    <w:rsid w:val="001C328B"/>
    <w:rsid w:val="001F6A6D"/>
    <w:rsid w:val="002444DD"/>
    <w:rsid w:val="002B0015"/>
    <w:rsid w:val="002B2B78"/>
    <w:rsid w:val="002B5474"/>
    <w:rsid w:val="0036377D"/>
    <w:rsid w:val="0038579D"/>
    <w:rsid w:val="003E3D24"/>
    <w:rsid w:val="004020EB"/>
    <w:rsid w:val="004052A8"/>
    <w:rsid w:val="00473887"/>
    <w:rsid w:val="00491708"/>
    <w:rsid w:val="00510B7E"/>
    <w:rsid w:val="00631DCF"/>
    <w:rsid w:val="00650165"/>
    <w:rsid w:val="00686527"/>
    <w:rsid w:val="00712E84"/>
    <w:rsid w:val="0072578D"/>
    <w:rsid w:val="00813EF7"/>
    <w:rsid w:val="00831268"/>
    <w:rsid w:val="00860B20"/>
    <w:rsid w:val="0089148F"/>
    <w:rsid w:val="008A5824"/>
    <w:rsid w:val="008D4F05"/>
    <w:rsid w:val="008F318A"/>
    <w:rsid w:val="008F4EE2"/>
    <w:rsid w:val="009833D5"/>
    <w:rsid w:val="00AA582C"/>
    <w:rsid w:val="00B05329"/>
    <w:rsid w:val="00B32719"/>
    <w:rsid w:val="00B41CAF"/>
    <w:rsid w:val="00BD0F13"/>
    <w:rsid w:val="00C1639D"/>
    <w:rsid w:val="00C30374"/>
    <w:rsid w:val="00C836F2"/>
    <w:rsid w:val="00CA2367"/>
    <w:rsid w:val="00CA25AA"/>
    <w:rsid w:val="00CE5296"/>
    <w:rsid w:val="00D56C81"/>
    <w:rsid w:val="00E6136F"/>
    <w:rsid w:val="00EC13E0"/>
    <w:rsid w:val="00EC7963"/>
    <w:rsid w:val="00EE1E19"/>
    <w:rsid w:val="00F74ED4"/>
    <w:rsid w:val="00F75EC7"/>
    <w:rsid w:val="00FC376B"/>
    <w:rsid w:val="00FE1CF2"/>
    <w:rsid w:val="00FE57A3"/>
    <w:rsid w:val="00FF07B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apple-converted-space">
    <w:name w:val="apple-converted-space"/>
    <w:rsid w:val="00813EF7"/>
    <w:rPr>
      <w:lang w:val="it-IT"/>
    </w:rPr>
  </w:style>
  <w:style w:type="character" w:styleId="Hyperlink">
    <w:name w:val="Hyperlink"/>
    <w:basedOn w:val="Fontepargpadro"/>
    <w:uiPriority w:val="99"/>
    <w:unhideWhenUsed/>
    <w:rsid w:val="00813EF7"/>
    <w:rPr>
      <w:color w:val="0563C1" w:themeColor="hyperlink"/>
      <w:u w:val="single"/>
    </w:rPr>
  </w:style>
  <w:style w:type="character" w:customStyle="1" w:styleId="fontstyle01">
    <w:name w:val="fontstyle01"/>
    <w:basedOn w:val="Fontepargpadro"/>
    <w:rsid w:val="000B148B"/>
    <w:rPr>
      <w:rFonts w:ascii="TimesNewRoman" w:hAnsi="TimesNewRoman" w:hint="default"/>
      <w:b w:val="0"/>
      <w:bCs w:val="0"/>
      <w:i w:val="0"/>
      <w:iCs w:val="0"/>
      <w:color w:val="000000"/>
      <w:sz w:val="24"/>
      <w:szCs w:val="24"/>
    </w:rPr>
  </w:style>
  <w:style w:type="paragraph" w:styleId="Textodebalo">
    <w:name w:val="Balloon Text"/>
    <w:basedOn w:val="Normal"/>
    <w:link w:val="TextodebaloChar"/>
    <w:uiPriority w:val="99"/>
    <w:semiHidden/>
    <w:unhideWhenUsed/>
    <w:rsid w:val="000B148B"/>
    <w:rPr>
      <w:rFonts w:ascii="Tahoma" w:hAnsi="Tahoma" w:cs="Tahoma"/>
      <w:sz w:val="16"/>
      <w:szCs w:val="16"/>
    </w:rPr>
  </w:style>
  <w:style w:type="character" w:customStyle="1" w:styleId="TextodebaloChar">
    <w:name w:val="Texto de balão Char"/>
    <w:basedOn w:val="Fontepargpadro"/>
    <w:link w:val="Textodebalo"/>
    <w:uiPriority w:val="99"/>
    <w:semiHidden/>
    <w:rsid w:val="000B148B"/>
    <w:rPr>
      <w:rFonts w:ascii="Tahoma" w:eastAsia="Times New Roman" w:hAnsi="Tahoma" w:cs="Tahoma"/>
      <w:sz w:val="16"/>
      <w:szCs w:val="16"/>
      <w:lang w:eastAsia="pt-BR"/>
    </w:rPr>
  </w:style>
  <w:style w:type="table" w:styleId="Tabelacomgrade">
    <w:name w:val="Table Grid"/>
    <w:basedOn w:val="Tabelanormal"/>
    <w:uiPriority w:val="59"/>
    <w:rsid w:val="000B148B"/>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a">
    <w:name w:val="Tabela"/>
    <w:aliases w:val="Gráficos,Quadros,Tabelas,Figuras"/>
    <w:basedOn w:val="Normal"/>
    <w:link w:val="TabelasChar"/>
    <w:qFormat/>
    <w:rsid w:val="00EC7963"/>
    <w:pPr>
      <w:suppressAutoHyphens w:val="0"/>
      <w:jc w:val="center"/>
    </w:pPr>
    <w:rPr>
      <w:color w:val="000000"/>
    </w:rPr>
  </w:style>
  <w:style w:type="character" w:customStyle="1" w:styleId="TabelasChar">
    <w:name w:val="Tabelas Char"/>
    <w:basedOn w:val="Fontepargpadro"/>
    <w:link w:val="Tabela"/>
    <w:rsid w:val="00EC7963"/>
    <w:rPr>
      <w:rFonts w:ascii="Times New Roman" w:eastAsia="Times New Roman" w:hAnsi="Times New Roman" w:cs="Times New Roman"/>
      <w:color w:val="000000"/>
      <w:sz w:val="20"/>
      <w:szCs w:val="20"/>
      <w:lang w:eastAsia="pt-BR"/>
    </w:rPr>
  </w:style>
</w:styles>
</file>

<file path=word/webSettings.xml><?xml version="1.0" encoding="utf-8"?>
<w:webSettings xmlns:r="http://schemas.openxmlformats.org/officeDocument/2006/relationships" xmlns:w="http://schemas.openxmlformats.org/wordprocessingml/2006/main">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leo_pigos@hot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scholar.google.com.br/citations?user=igcXitsAAAAJ&amp;hl=pt-BR&amp;oi=sra" TargetMode="External"/><Relationship Id="rId4" Type="http://schemas.openxmlformats.org/officeDocument/2006/relationships/settings" Target="settings.xml"/><Relationship Id="rId9" Type="http://schemas.openxmlformats.org/officeDocument/2006/relationships/hyperlink" Target="mailto:marciaza@gmail.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9A6965-6D0C-4E54-AE2F-00A8C8632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TotalTime>
  <Pages>17</Pages>
  <Words>7585</Words>
  <Characters>40960</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cp:lastModifiedBy>
  <cp:revision>13</cp:revision>
  <dcterms:created xsi:type="dcterms:W3CDTF">2017-05-02T14:38:00Z</dcterms:created>
  <dcterms:modified xsi:type="dcterms:W3CDTF">2017-06-26T17:16:00Z</dcterms:modified>
</cp:coreProperties>
</file>