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377D" w:rsidRDefault="0036377D" w:rsidP="00CE5EB2">
      <w:pPr>
        <w:spacing w:before="240" w:after="240"/>
        <w:jc w:val="center"/>
        <w:rPr>
          <w:b/>
          <w:sz w:val="24"/>
        </w:rPr>
      </w:pPr>
    </w:p>
    <w:p w:rsidR="0036377D" w:rsidRPr="00CE5EB2" w:rsidRDefault="00CE5EB2" w:rsidP="00CE5EB2">
      <w:pPr>
        <w:spacing w:before="240" w:after="240"/>
        <w:jc w:val="center"/>
        <w:rPr>
          <w:b/>
          <w:color w:val="000000"/>
          <w:sz w:val="24"/>
          <w:szCs w:val="24"/>
        </w:rPr>
      </w:pPr>
      <w:r w:rsidRPr="003F2F15">
        <w:rPr>
          <w:b/>
          <w:color w:val="000000"/>
          <w:sz w:val="24"/>
          <w:szCs w:val="24"/>
        </w:rPr>
        <w:t>Rentabilidade, liquidez e endividamento dos clubes catarinenses: uma análise econômico-financeira</w:t>
      </w:r>
      <w:r>
        <w:rPr>
          <w:b/>
          <w:color w:val="000000"/>
          <w:sz w:val="24"/>
          <w:szCs w:val="24"/>
        </w:rPr>
        <w:t xml:space="preserve"> das agremiações de futebol do estado</w:t>
      </w:r>
    </w:p>
    <w:p w:rsidR="0036377D" w:rsidRDefault="00CE5EB2" w:rsidP="00CE5EB2">
      <w:pPr>
        <w:spacing w:before="240" w:after="240"/>
        <w:jc w:val="right"/>
        <w:rPr>
          <w:b/>
          <w:sz w:val="24"/>
          <w:szCs w:val="24"/>
        </w:rPr>
      </w:pPr>
      <w:r w:rsidRPr="003F2F15">
        <w:rPr>
          <w:b/>
          <w:sz w:val="24"/>
          <w:szCs w:val="24"/>
        </w:rPr>
        <w:t>Victor Matheus Petry Hoffmann</w:t>
      </w:r>
      <w:r w:rsidRPr="003F2F15">
        <w:rPr>
          <w:b/>
          <w:sz w:val="24"/>
          <w:szCs w:val="24"/>
        </w:rPr>
        <w:br/>
        <w:t xml:space="preserve">Universidade Federal de </w:t>
      </w:r>
      <w:r>
        <w:rPr>
          <w:b/>
          <w:sz w:val="24"/>
          <w:szCs w:val="24"/>
        </w:rPr>
        <w:t>Santa Catarina (</w:t>
      </w:r>
      <w:r w:rsidRPr="003F2F15">
        <w:rPr>
          <w:b/>
          <w:sz w:val="24"/>
          <w:szCs w:val="24"/>
        </w:rPr>
        <w:t>UFSC</w:t>
      </w:r>
      <w:proofErr w:type="gramStart"/>
      <w:r>
        <w:rPr>
          <w:b/>
          <w:sz w:val="24"/>
          <w:szCs w:val="24"/>
        </w:rPr>
        <w:t>)</w:t>
      </w:r>
      <w:proofErr w:type="gramEnd"/>
      <w:r w:rsidRPr="003F2F15">
        <w:rPr>
          <w:b/>
          <w:sz w:val="24"/>
          <w:szCs w:val="24"/>
        </w:rPr>
        <w:br/>
      </w:r>
      <w:r w:rsidRPr="00CE5EB2">
        <w:rPr>
          <w:b/>
          <w:i/>
          <w:sz w:val="24"/>
          <w:szCs w:val="24"/>
        </w:rPr>
        <w:t>victorhoffmann94@gmail.com</w:t>
      </w:r>
    </w:p>
    <w:p w:rsidR="0036377D" w:rsidRPr="00CE5EB2" w:rsidRDefault="00CE5EB2" w:rsidP="00CE5EB2">
      <w:pPr>
        <w:spacing w:before="240" w:after="240"/>
        <w:jc w:val="right"/>
        <w:rPr>
          <w:b/>
          <w:sz w:val="24"/>
          <w:szCs w:val="24"/>
        </w:rPr>
      </w:pPr>
      <w:r w:rsidRPr="003F2F15">
        <w:rPr>
          <w:b/>
          <w:sz w:val="24"/>
          <w:szCs w:val="24"/>
        </w:rPr>
        <w:t xml:space="preserve">Irineu Afonso Frey </w:t>
      </w:r>
      <w:r w:rsidRPr="003F2F15">
        <w:rPr>
          <w:b/>
          <w:sz w:val="24"/>
          <w:szCs w:val="24"/>
        </w:rPr>
        <w:br/>
        <w:t>Universid</w:t>
      </w:r>
      <w:r>
        <w:rPr>
          <w:b/>
          <w:sz w:val="24"/>
          <w:szCs w:val="24"/>
        </w:rPr>
        <w:t>ade Federal de Santa Catarina (</w:t>
      </w:r>
      <w:r w:rsidRPr="003F2F15">
        <w:rPr>
          <w:b/>
          <w:sz w:val="24"/>
          <w:szCs w:val="24"/>
        </w:rPr>
        <w:t>UFSC</w:t>
      </w:r>
      <w:proofErr w:type="gramStart"/>
      <w:r>
        <w:rPr>
          <w:b/>
          <w:sz w:val="24"/>
          <w:szCs w:val="24"/>
        </w:rPr>
        <w:t>)</w:t>
      </w:r>
      <w:proofErr w:type="gramEnd"/>
      <w:r w:rsidRPr="003F2F15">
        <w:rPr>
          <w:b/>
          <w:sz w:val="24"/>
          <w:szCs w:val="24"/>
        </w:rPr>
        <w:br/>
      </w:r>
      <w:r w:rsidRPr="00CE5EB2">
        <w:rPr>
          <w:b/>
          <w:i/>
          <w:sz w:val="24"/>
          <w:szCs w:val="24"/>
        </w:rPr>
        <w:t>irineu.frey@ufsc.br</w:t>
      </w:r>
    </w:p>
    <w:p w:rsidR="00CE5EB2" w:rsidRDefault="00CE5EB2" w:rsidP="00CE5EB2">
      <w:pPr>
        <w:spacing w:before="240" w:after="240"/>
        <w:jc w:val="both"/>
        <w:rPr>
          <w:b/>
          <w:sz w:val="24"/>
          <w:szCs w:val="24"/>
        </w:rPr>
      </w:pPr>
      <w:r>
        <w:rPr>
          <w:b/>
          <w:sz w:val="24"/>
          <w:szCs w:val="24"/>
        </w:rPr>
        <w:t>RESUMO</w:t>
      </w:r>
    </w:p>
    <w:p w:rsidR="0036377D" w:rsidRDefault="00CE5EB2" w:rsidP="00CE5EB2">
      <w:pPr>
        <w:spacing w:before="240" w:after="240"/>
        <w:jc w:val="both"/>
        <w:rPr>
          <w:b/>
          <w:sz w:val="24"/>
          <w:szCs w:val="24"/>
        </w:rPr>
      </w:pPr>
      <w:r w:rsidRPr="000C24AB">
        <w:rPr>
          <w:sz w:val="24"/>
          <w:szCs w:val="24"/>
        </w:rPr>
        <w:t xml:space="preserve">O futebol se transformou numa grande indústria do entretenimento e com isso os clubes profissionais passaram a obter mais receitas na sua atividade. Hoje os clubes brasileiros movimentam milhões de reais e com isso devem prestar informações contábeis aos seus usuários, sejam eles internos ou externos. Este artigo busca, a partir da utilização de índices contábeis, </w:t>
      </w:r>
      <w:proofErr w:type="gramStart"/>
      <w:r w:rsidRPr="000C24AB">
        <w:rPr>
          <w:sz w:val="24"/>
          <w:szCs w:val="24"/>
        </w:rPr>
        <w:t>analisar</w:t>
      </w:r>
      <w:proofErr w:type="gramEnd"/>
      <w:r w:rsidRPr="000C24AB">
        <w:rPr>
          <w:sz w:val="24"/>
          <w:szCs w:val="24"/>
        </w:rPr>
        <w:t xml:space="preserve"> a situação econômico-financeira dos clubes de futebol de Santa Catarina entre os anos de 2012 a 2016. Esta análise visa avaliar a rentabilidade, a capacidade de pagamento das obrigações no curto e longo prazo e, também, a estrutura de capital destas entidades, observando assim o tamanho e a distribuição das suas dívidas. A justificativa para esta pesquisa vem da ascensão dos clubes do estado no cenário futebolístico nacional nos últimos anos. Para a realização do estudo, foram selecionadas as demonstrações contábeis dos oito principais clubes do estado em 2016 - Avaí, Brusque, Chapecoense, Criciúma, Figueirense, Inter de Lages, Joinville e </w:t>
      </w:r>
      <w:proofErr w:type="gramStart"/>
      <w:r w:rsidRPr="000C24AB">
        <w:rPr>
          <w:sz w:val="24"/>
          <w:szCs w:val="24"/>
        </w:rPr>
        <w:t>Metropolitano - e escolhidos</w:t>
      </w:r>
      <w:proofErr w:type="gramEnd"/>
      <w:r w:rsidRPr="000C24AB">
        <w:rPr>
          <w:sz w:val="24"/>
          <w:szCs w:val="24"/>
        </w:rPr>
        <w:t xml:space="preserve"> sete indicadores econômico-financeiros para analisá-las: Rentabilidade do Ativo, Rentabilidade do Patrimônio Líquido, Liquidez Corrent</w:t>
      </w:r>
      <w:r>
        <w:rPr>
          <w:sz w:val="24"/>
          <w:szCs w:val="24"/>
        </w:rPr>
        <w:t>e, Liquidez Geral, Grau de Endiv</w:t>
      </w:r>
      <w:r w:rsidRPr="000C24AB">
        <w:rPr>
          <w:sz w:val="24"/>
          <w:szCs w:val="24"/>
        </w:rPr>
        <w:t>i</w:t>
      </w:r>
      <w:r>
        <w:rPr>
          <w:sz w:val="24"/>
          <w:szCs w:val="24"/>
        </w:rPr>
        <w:t>d</w:t>
      </w:r>
      <w:r w:rsidRPr="000C24AB">
        <w:rPr>
          <w:sz w:val="24"/>
          <w:szCs w:val="24"/>
        </w:rPr>
        <w:t>amento Global, Participação do Capital de Terceiros e Composição do Endividamento. Os resultados apontam</w:t>
      </w:r>
      <w:r>
        <w:rPr>
          <w:sz w:val="24"/>
          <w:szCs w:val="24"/>
        </w:rPr>
        <w:t xml:space="preserve"> que </w:t>
      </w:r>
      <w:proofErr w:type="gramStart"/>
      <w:r>
        <w:rPr>
          <w:sz w:val="24"/>
          <w:szCs w:val="24"/>
        </w:rPr>
        <w:t>a maioria dos clubes possuem</w:t>
      </w:r>
      <w:proofErr w:type="gramEnd"/>
      <w:r w:rsidRPr="000C24AB">
        <w:rPr>
          <w:sz w:val="24"/>
          <w:szCs w:val="24"/>
        </w:rPr>
        <w:t xml:space="preserve"> dificuldade</w:t>
      </w:r>
      <w:r>
        <w:rPr>
          <w:sz w:val="24"/>
          <w:szCs w:val="24"/>
        </w:rPr>
        <w:t>s</w:t>
      </w:r>
      <w:r w:rsidRPr="000C24AB">
        <w:rPr>
          <w:sz w:val="24"/>
          <w:szCs w:val="24"/>
        </w:rPr>
        <w:t xml:space="preserve"> de terem superávit no resultado do exercício, apresentam um alto risco de liquidez e possuem um alto endividamento em relação ao seu Ativo. Ao fim do ano de 2016, apenas Chapecoense e Criciúma apresentaram Patrimônio Líquido com saldo positivo. Todos os demais clubes encerraram o último ano analisado com Passivo a descoberto.</w:t>
      </w:r>
      <w:r w:rsidR="0036377D">
        <w:rPr>
          <w:sz w:val="24"/>
          <w:szCs w:val="24"/>
        </w:rPr>
        <w:t xml:space="preserve"> </w:t>
      </w:r>
    </w:p>
    <w:p w:rsidR="0036377D" w:rsidRDefault="0036377D" w:rsidP="00CE5EB2">
      <w:pPr>
        <w:spacing w:before="240" w:after="240"/>
        <w:rPr>
          <w:sz w:val="24"/>
          <w:szCs w:val="24"/>
        </w:rPr>
      </w:pPr>
      <w:proofErr w:type="spellStart"/>
      <w:r>
        <w:rPr>
          <w:b/>
          <w:sz w:val="24"/>
          <w:szCs w:val="24"/>
        </w:rPr>
        <w:t>Palavras-chave</w:t>
      </w:r>
      <w:proofErr w:type="spellEnd"/>
      <w:r>
        <w:rPr>
          <w:b/>
          <w:sz w:val="24"/>
          <w:szCs w:val="24"/>
        </w:rPr>
        <w:t xml:space="preserve">: </w:t>
      </w:r>
      <w:r w:rsidR="00CE5EB2" w:rsidRPr="000C24AB">
        <w:rPr>
          <w:sz w:val="24"/>
          <w:szCs w:val="24"/>
        </w:rPr>
        <w:t>Aná</w:t>
      </w:r>
      <w:r w:rsidR="00CE5EB2">
        <w:rPr>
          <w:sz w:val="24"/>
          <w:szCs w:val="24"/>
        </w:rPr>
        <w:t>lise de demonstrações contábeis;</w:t>
      </w:r>
      <w:r w:rsidR="00CE5EB2" w:rsidRPr="000C24AB">
        <w:rPr>
          <w:sz w:val="24"/>
          <w:szCs w:val="24"/>
        </w:rPr>
        <w:t xml:space="preserve"> C</w:t>
      </w:r>
      <w:r w:rsidR="00CE5EB2">
        <w:rPr>
          <w:sz w:val="24"/>
          <w:szCs w:val="24"/>
        </w:rPr>
        <w:t>lubes de futebol;</w:t>
      </w:r>
      <w:r w:rsidR="00CE5EB2" w:rsidRPr="000C24AB">
        <w:rPr>
          <w:sz w:val="24"/>
          <w:szCs w:val="24"/>
        </w:rPr>
        <w:t xml:space="preserve"> Índices</w:t>
      </w:r>
      <w:r w:rsidR="00CE5EB2">
        <w:rPr>
          <w:sz w:val="24"/>
          <w:szCs w:val="24"/>
        </w:rPr>
        <w:t xml:space="preserve"> econômico-financeiros</w:t>
      </w:r>
      <w:r>
        <w:rPr>
          <w:sz w:val="24"/>
          <w:szCs w:val="24"/>
        </w:rPr>
        <w:t>.</w:t>
      </w:r>
    </w:p>
    <w:p w:rsidR="00E6136F" w:rsidRPr="00CE5EB2" w:rsidRDefault="0036377D" w:rsidP="00CE5EB2">
      <w:pPr>
        <w:spacing w:before="240" w:after="240"/>
        <w:rPr>
          <w:sz w:val="24"/>
          <w:szCs w:val="24"/>
        </w:rPr>
      </w:pPr>
      <w:r>
        <w:rPr>
          <w:b/>
          <w:sz w:val="24"/>
          <w:szCs w:val="24"/>
        </w:rPr>
        <w:t xml:space="preserve">Linha Temática: </w:t>
      </w:r>
      <w:r w:rsidR="00CE5EB2" w:rsidRPr="00CE5EB2">
        <w:rPr>
          <w:sz w:val="24"/>
          <w:szCs w:val="24"/>
        </w:rPr>
        <w:t>Finanças e Contabilidade Financeira</w:t>
      </w:r>
    </w:p>
    <w:p w:rsidR="00CE5EB2" w:rsidRDefault="00CE5EB2" w:rsidP="00CE5EB2">
      <w:pPr>
        <w:suppressAutoHyphens w:val="0"/>
        <w:spacing w:before="240" w:after="240"/>
        <w:rPr>
          <w:b/>
          <w:sz w:val="24"/>
          <w:szCs w:val="24"/>
        </w:rPr>
      </w:pPr>
      <w:r>
        <w:rPr>
          <w:b/>
          <w:sz w:val="24"/>
          <w:szCs w:val="24"/>
        </w:rPr>
        <w:br w:type="page"/>
      </w:r>
    </w:p>
    <w:p w:rsidR="00CE5EB2" w:rsidRPr="003F2F15" w:rsidRDefault="00CE5EB2" w:rsidP="00CE5EB2">
      <w:pPr>
        <w:spacing w:before="240" w:after="240"/>
        <w:jc w:val="both"/>
        <w:rPr>
          <w:b/>
          <w:sz w:val="24"/>
          <w:szCs w:val="24"/>
        </w:rPr>
      </w:pPr>
      <w:proofErr w:type="gramStart"/>
      <w:r w:rsidRPr="003F2F15">
        <w:rPr>
          <w:b/>
          <w:sz w:val="24"/>
          <w:szCs w:val="24"/>
        </w:rPr>
        <w:lastRenderedPageBreak/>
        <w:t>1</w:t>
      </w:r>
      <w:proofErr w:type="gramEnd"/>
      <w:r w:rsidRPr="003F2F15">
        <w:rPr>
          <w:b/>
          <w:sz w:val="24"/>
          <w:szCs w:val="24"/>
        </w:rPr>
        <w:t xml:space="preserve"> INTRODUÇÃO</w:t>
      </w:r>
    </w:p>
    <w:p w:rsidR="00CE5EB2" w:rsidRPr="003F2F15" w:rsidRDefault="00CE5EB2" w:rsidP="00CE5EB2">
      <w:pPr>
        <w:spacing w:before="240" w:after="240"/>
        <w:ind w:firstLine="709"/>
        <w:jc w:val="both"/>
        <w:rPr>
          <w:sz w:val="24"/>
          <w:szCs w:val="24"/>
        </w:rPr>
      </w:pPr>
      <w:r w:rsidRPr="002B61D7">
        <w:rPr>
          <w:sz w:val="24"/>
          <w:szCs w:val="24"/>
        </w:rPr>
        <w:t xml:space="preserve">Para </w:t>
      </w:r>
      <w:proofErr w:type="spellStart"/>
      <w:r w:rsidRPr="002B61D7">
        <w:rPr>
          <w:sz w:val="24"/>
          <w:szCs w:val="24"/>
        </w:rPr>
        <w:t>Foer</w:t>
      </w:r>
      <w:proofErr w:type="spellEnd"/>
      <w:r w:rsidRPr="002B61D7">
        <w:rPr>
          <w:sz w:val="24"/>
          <w:szCs w:val="24"/>
        </w:rPr>
        <w:t xml:space="preserve"> (2005), o futebol é muito mais que um esporte, com os clubes de futebol espelhando classes sociais e ideologias políticas, inspirando </w:t>
      </w:r>
      <w:proofErr w:type="spellStart"/>
      <w:r w:rsidRPr="002B61D7">
        <w:rPr>
          <w:sz w:val="24"/>
          <w:szCs w:val="24"/>
        </w:rPr>
        <w:t>frequentemente</w:t>
      </w:r>
      <w:proofErr w:type="spellEnd"/>
      <w:r w:rsidRPr="002B61D7">
        <w:rPr>
          <w:sz w:val="24"/>
          <w:szCs w:val="24"/>
        </w:rPr>
        <w:t xml:space="preserve"> uma devoção mais intensa que as religiões.</w:t>
      </w:r>
      <w:r w:rsidRPr="003F2F15">
        <w:rPr>
          <w:sz w:val="24"/>
          <w:szCs w:val="24"/>
        </w:rPr>
        <w:t xml:space="preserve"> </w:t>
      </w:r>
      <w:r w:rsidRPr="0095085C">
        <w:rPr>
          <w:sz w:val="24"/>
          <w:szCs w:val="24"/>
        </w:rPr>
        <w:t xml:space="preserve">Segundo Dantas e </w:t>
      </w:r>
      <w:proofErr w:type="spellStart"/>
      <w:r w:rsidRPr="0095085C">
        <w:rPr>
          <w:sz w:val="24"/>
          <w:szCs w:val="24"/>
        </w:rPr>
        <w:t>Boente</w:t>
      </w:r>
      <w:proofErr w:type="spellEnd"/>
      <w:r w:rsidRPr="0095085C">
        <w:rPr>
          <w:sz w:val="24"/>
          <w:szCs w:val="24"/>
        </w:rPr>
        <w:t xml:space="preserve"> (2011), com a consolidação do capitalismo como sistema econômico hegemônico e a evolução da mídia, o futebol se transformou em uma grande indústria de entretenimento, conseguindo os clubes </w:t>
      </w:r>
      <w:proofErr w:type="gramStart"/>
      <w:r w:rsidRPr="0095085C">
        <w:rPr>
          <w:sz w:val="24"/>
          <w:szCs w:val="24"/>
        </w:rPr>
        <w:t>desta maneira aumentar</w:t>
      </w:r>
      <w:proofErr w:type="gramEnd"/>
      <w:r w:rsidRPr="0095085C">
        <w:rPr>
          <w:sz w:val="24"/>
          <w:szCs w:val="24"/>
        </w:rPr>
        <w:t xml:space="preserve"> suas fontes de receitas, que anteriormente se limitava aos ingressos comprados pelos torcedores.</w:t>
      </w:r>
    </w:p>
    <w:p w:rsidR="00CE5EB2" w:rsidRPr="003F2F15" w:rsidRDefault="00CE5EB2" w:rsidP="00CE5EB2">
      <w:pPr>
        <w:spacing w:before="240" w:after="240"/>
        <w:ind w:firstLine="709"/>
        <w:jc w:val="both"/>
        <w:rPr>
          <w:sz w:val="24"/>
          <w:szCs w:val="24"/>
        </w:rPr>
      </w:pPr>
      <w:r w:rsidRPr="003F2F15">
        <w:rPr>
          <w:sz w:val="24"/>
          <w:szCs w:val="24"/>
        </w:rPr>
        <w:t xml:space="preserve">Diante deste cenário, os clubes profissionais se tornaram importantes entidades na economia brasileira. Bem diferente de quando começaram a surgir, no fim do século XIX, onde a missão era apenas recreativa, nos dias atuais os clubes movimentam muito dinheiro e com isso, assim como </w:t>
      </w:r>
      <w:r>
        <w:rPr>
          <w:sz w:val="24"/>
          <w:szCs w:val="24"/>
        </w:rPr>
        <w:t>qualquer</w:t>
      </w:r>
      <w:r w:rsidRPr="003F2F15">
        <w:rPr>
          <w:sz w:val="24"/>
          <w:szCs w:val="24"/>
        </w:rPr>
        <w:t xml:space="preserve"> empresa, devem prestar obrigações ao fisco, aos seus conselheiros, aos seus clientes (neste caso, seus torcedores) e a todos os demais usuários, sejam eles internos ou externos.</w:t>
      </w:r>
    </w:p>
    <w:p w:rsidR="00CE5EB2" w:rsidRPr="003F2F15" w:rsidRDefault="00CE5EB2" w:rsidP="00CE5EB2">
      <w:pPr>
        <w:spacing w:before="240" w:after="240"/>
        <w:ind w:firstLine="709"/>
        <w:jc w:val="both"/>
        <w:rPr>
          <w:sz w:val="24"/>
          <w:szCs w:val="24"/>
        </w:rPr>
      </w:pPr>
      <w:r w:rsidRPr="003F2F15">
        <w:rPr>
          <w:sz w:val="24"/>
          <w:szCs w:val="24"/>
        </w:rPr>
        <w:t>A partir desse dever de prestar contas, a Lei n.º 9.615, de 24 de março de 1998, a popular Lei Pelé, obrigou os clubes a elaborar as demonstrações contábeis e divulgá-las. Com essa obrigação, o papel do gestor de um clube de futebol passou a ser muito mais visado, pois por meio das demonstrações contábeis, a torcida e a opinião pública possuem mecanismos para avaliar se, por exemplo, os recursos ingressados na entidade estão sendo bem administrados.</w:t>
      </w:r>
    </w:p>
    <w:p w:rsidR="00CE5EB2" w:rsidRPr="003F2F15" w:rsidRDefault="00CE5EB2" w:rsidP="00CE5EB2">
      <w:pPr>
        <w:spacing w:before="240" w:after="240"/>
        <w:ind w:firstLine="709"/>
        <w:jc w:val="both"/>
        <w:rPr>
          <w:sz w:val="24"/>
          <w:szCs w:val="24"/>
        </w:rPr>
      </w:pPr>
      <w:r w:rsidRPr="003F2F15">
        <w:rPr>
          <w:sz w:val="24"/>
          <w:szCs w:val="24"/>
        </w:rPr>
        <w:t xml:space="preserve">Visando crescer de patamar e disputar títulos, os clubes costumam contrair dívidas ao realizar investimentos na atividade esportiva, e como o futebol é um esporte imprevisível, nem sempre o retorno em arrecadação acaba sendo o esperado, o que pode comprometer a situação econômico-financeira da entidade. </w:t>
      </w:r>
      <w:r w:rsidRPr="002E411D">
        <w:rPr>
          <w:sz w:val="24"/>
          <w:szCs w:val="24"/>
        </w:rPr>
        <w:t xml:space="preserve">Por serem </w:t>
      </w:r>
      <w:r>
        <w:rPr>
          <w:sz w:val="24"/>
          <w:szCs w:val="24"/>
        </w:rPr>
        <w:t>entidades</w:t>
      </w:r>
      <w:r w:rsidRPr="002E411D">
        <w:rPr>
          <w:sz w:val="24"/>
          <w:szCs w:val="24"/>
        </w:rPr>
        <w:t xml:space="preserve"> com um grande interesse social no seu funcionamento, pode-se criar uma falsa ilusão de que um clube de futebol jamais encerrará suas atividades. </w:t>
      </w:r>
      <w:r w:rsidRPr="002B61D7">
        <w:rPr>
          <w:sz w:val="24"/>
          <w:szCs w:val="24"/>
        </w:rPr>
        <w:t xml:space="preserve">Porém, no próprio </w:t>
      </w:r>
      <w:r>
        <w:rPr>
          <w:sz w:val="24"/>
          <w:szCs w:val="24"/>
        </w:rPr>
        <w:t>E</w:t>
      </w:r>
      <w:r w:rsidRPr="002B61D7">
        <w:rPr>
          <w:sz w:val="24"/>
          <w:szCs w:val="24"/>
        </w:rPr>
        <w:t>stado de Santa Catarina, o Blumenau Esporte Clube</w:t>
      </w:r>
      <w:r>
        <w:rPr>
          <w:sz w:val="24"/>
          <w:szCs w:val="24"/>
        </w:rPr>
        <w:t xml:space="preserve"> (BEC)</w:t>
      </w:r>
      <w:r w:rsidRPr="002B61D7">
        <w:rPr>
          <w:sz w:val="24"/>
          <w:szCs w:val="24"/>
        </w:rPr>
        <w:t xml:space="preserve"> mostrou que uma grave crise financeira pode decr</w:t>
      </w:r>
      <w:r>
        <w:rPr>
          <w:sz w:val="24"/>
          <w:szCs w:val="24"/>
        </w:rPr>
        <w:t>etar a falência de um clube. O BEC</w:t>
      </w:r>
      <w:r w:rsidRPr="002B61D7">
        <w:rPr>
          <w:sz w:val="24"/>
          <w:szCs w:val="24"/>
        </w:rPr>
        <w:t xml:space="preserve">, que chegou a ser vice-campeão estadual em 1988, teve seu patrimônio penhorado em 1998 por uma ação jurídica do INSS e teve que </w:t>
      </w:r>
      <w:r>
        <w:rPr>
          <w:sz w:val="24"/>
          <w:szCs w:val="24"/>
        </w:rPr>
        <w:t>finalizar</w:t>
      </w:r>
      <w:r w:rsidRPr="002B61D7">
        <w:rPr>
          <w:sz w:val="24"/>
          <w:szCs w:val="24"/>
        </w:rPr>
        <w:t xml:space="preserve"> suas atividades.</w:t>
      </w:r>
    </w:p>
    <w:p w:rsidR="00CE5EB2" w:rsidRPr="003F2F15" w:rsidRDefault="00CE5EB2" w:rsidP="00CE5EB2">
      <w:pPr>
        <w:spacing w:before="240" w:after="240"/>
        <w:ind w:firstLine="709"/>
        <w:jc w:val="both"/>
        <w:rPr>
          <w:sz w:val="24"/>
          <w:szCs w:val="24"/>
        </w:rPr>
      </w:pPr>
      <w:r w:rsidRPr="003F2F15">
        <w:rPr>
          <w:sz w:val="24"/>
          <w:szCs w:val="24"/>
        </w:rPr>
        <w:t xml:space="preserve">Portanto, é importante analisar as contas dos clubes para avaliar sua situação econômico-financeira e, para isso, utilizam-se os indicadores de rentabilidade, liquidez e endividamento. </w:t>
      </w:r>
      <w:r>
        <w:rPr>
          <w:sz w:val="24"/>
          <w:szCs w:val="24"/>
        </w:rPr>
        <w:t>De acordo com</w:t>
      </w:r>
      <w:r w:rsidRPr="003F2F15">
        <w:rPr>
          <w:sz w:val="24"/>
          <w:szCs w:val="24"/>
        </w:rPr>
        <w:t xml:space="preserve"> </w:t>
      </w:r>
      <w:proofErr w:type="spellStart"/>
      <w:r w:rsidRPr="003F2F15">
        <w:rPr>
          <w:sz w:val="24"/>
          <w:szCs w:val="24"/>
        </w:rPr>
        <w:t>Platt</w:t>
      </w:r>
      <w:proofErr w:type="spellEnd"/>
      <w:r w:rsidRPr="003F2F15">
        <w:rPr>
          <w:sz w:val="24"/>
          <w:szCs w:val="24"/>
        </w:rPr>
        <w:t xml:space="preserve"> Neto (2016), os índices de rentabilidade são focados na geração de resultados dos ativos investidos da empresa e dos capitais investidos pelos proprietários da empresa</w:t>
      </w:r>
      <w:r>
        <w:rPr>
          <w:sz w:val="24"/>
          <w:szCs w:val="24"/>
        </w:rPr>
        <w:t>. Por sua vez, o</w:t>
      </w:r>
      <w:r w:rsidRPr="003F2F15">
        <w:rPr>
          <w:sz w:val="24"/>
          <w:szCs w:val="24"/>
        </w:rPr>
        <w:t>s índices de liquidez medem a solidez da base financeira, confrontando os ativos com as dívidas existentes, e</w:t>
      </w:r>
      <w:r>
        <w:rPr>
          <w:sz w:val="24"/>
          <w:szCs w:val="24"/>
        </w:rPr>
        <w:t>nquanto</w:t>
      </w:r>
      <w:r w:rsidRPr="003F2F15">
        <w:rPr>
          <w:sz w:val="24"/>
          <w:szCs w:val="24"/>
        </w:rPr>
        <w:t xml:space="preserve"> os índices de endividamento medem o nível das dívidas das empresas, observando sua estrutura de capital, dependência de capital de terceiros e o prazo das dívidas.</w:t>
      </w:r>
    </w:p>
    <w:p w:rsidR="00CE5EB2" w:rsidRPr="003F2F15" w:rsidRDefault="00CE5EB2" w:rsidP="00CE5EB2">
      <w:pPr>
        <w:spacing w:before="240" w:after="240"/>
        <w:ind w:firstLine="709"/>
        <w:jc w:val="both"/>
        <w:rPr>
          <w:sz w:val="24"/>
          <w:szCs w:val="24"/>
        </w:rPr>
      </w:pPr>
      <w:r w:rsidRPr="003F2F15">
        <w:rPr>
          <w:sz w:val="24"/>
          <w:szCs w:val="24"/>
        </w:rPr>
        <w:t xml:space="preserve">O </w:t>
      </w:r>
      <w:r>
        <w:rPr>
          <w:sz w:val="24"/>
          <w:szCs w:val="24"/>
        </w:rPr>
        <w:t>E</w:t>
      </w:r>
      <w:r w:rsidRPr="003F2F15">
        <w:rPr>
          <w:sz w:val="24"/>
          <w:szCs w:val="24"/>
        </w:rPr>
        <w:t xml:space="preserve">stado de Santa Catarina vem desde o início do século aumentando sua relevância no cenário futebolístico brasileiro, tendo desde 2002 pelo menos um representante na elite do futebol nacional. Com o crescimento dos clubes locais, que em 2015, com quatro equipes, representaram 20% dos clubes participantes da Série A do Campeonato Brasileiro, as gestões destes clubes ganharam um papel importante para a manutenção de tal ascensão. Portanto, este artigo tem como justificativa um interesse nacional em saber qual o segredo do sucesso </w:t>
      </w:r>
      <w:r w:rsidRPr="003F2F15">
        <w:rPr>
          <w:sz w:val="24"/>
          <w:szCs w:val="24"/>
        </w:rPr>
        <w:lastRenderedPageBreak/>
        <w:t>dos catarinenses em campo, e apurar a situação financeira dos clubes pode contribuir na compreensão dessa questão.</w:t>
      </w:r>
    </w:p>
    <w:p w:rsidR="00CE5EB2" w:rsidRPr="003F2F15" w:rsidRDefault="00CE5EB2" w:rsidP="00CE5EB2">
      <w:pPr>
        <w:spacing w:before="240" w:after="240"/>
        <w:ind w:firstLine="709"/>
        <w:jc w:val="both"/>
        <w:rPr>
          <w:sz w:val="24"/>
          <w:szCs w:val="24"/>
        </w:rPr>
      </w:pPr>
      <w:r w:rsidRPr="003F2F15">
        <w:rPr>
          <w:sz w:val="24"/>
          <w:szCs w:val="24"/>
        </w:rPr>
        <w:t xml:space="preserve">O presente estudo busca, assim, responder a seguinte questão de pesquisa: quais os níveis de rentabilidade, liquidez e endividamento dos clubes de futebol do </w:t>
      </w:r>
      <w:r>
        <w:rPr>
          <w:sz w:val="24"/>
          <w:szCs w:val="24"/>
        </w:rPr>
        <w:t>E</w:t>
      </w:r>
      <w:r w:rsidRPr="003F2F15">
        <w:rPr>
          <w:sz w:val="24"/>
          <w:szCs w:val="24"/>
        </w:rPr>
        <w:t>stado de Santa Catarina entre os anos de 2012 a 2016?</w:t>
      </w:r>
    </w:p>
    <w:p w:rsidR="00CE5EB2" w:rsidRPr="003F2F15" w:rsidRDefault="00CE5EB2" w:rsidP="00CE5EB2">
      <w:pPr>
        <w:spacing w:before="240" w:after="240"/>
        <w:ind w:firstLine="709"/>
        <w:jc w:val="both"/>
        <w:rPr>
          <w:b/>
          <w:sz w:val="24"/>
          <w:szCs w:val="24"/>
        </w:rPr>
      </w:pPr>
      <w:r w:rsidRPr="002B61D7">
        <w:rPr>
          <w:sz w:val="24"/>
          <w:szCs w:val="24"/>
        </w:rPr>
        <w:t>O objetivo geral da pesquisa é analisar a situação econômica e financeira em que se encontram as agremiações catarinenses nos últimos anos, verificando se os clubes estão tendo rentabilidade no seu funcionamento, se apresentam riscos na capacidade de liquidar seus passivos, além de conhecer a estrutura de capital das equipes.</w:t>
      </w:r>
    </w:p>
    <w:p w:rsidR="00CE5EB2" w:rsidRPr="003F2F15" w:rsidRDefault="00CE5EB2" w:rsidP="00CE5EB2">
      <w:pPr>
        <w:spacing w:before="240" w:after="240"/>
        <w:ind w:firstLine="709"/>
        <w:jc w:val="both"/>
        <w:rPr>
          <w:sz w:val="24"/>
          <w:szCs w:val="24"/>
        </w:rPr>
      </w:pPr>
      <w:r w:rsidRPr="003F2F15">
        <w:rPr>
          <w:sz w:val="24"/>
          <w:szCs w:val="24"/>
        </w:rPr>
        <w:t>Foram selecionados para a análise os oito clubes catarinenses participantes das quatro divisões do Campeonato Brasileiro no ano de 2016 e 2017. Os dados utilizados para a apuração dos índices foram localizados nas demonstrações contábeis divulgadas pelos clubes entre os anos de 2012 a 2016.</w:t>
      </w:r>
    </w:p>
    <w:p w:rsidR="00CE5EB2" w:rsidRPr="003F2F15" w:rsidRDefault="00CE5EB2" w:rsidP="00CE5EB2">
      <w:pPr>
        <w:spacing w:before="240" w:after="240"/>
        <w:ind w:firstLine="709"/>
        <w:jc w:val="both"/>
        <w:rPr>
          <w:sz w:val="24"/>
          <w:szCs w:val="24"/>
        </w:rPr>
      </w:pPr>
      <w:r w:rsidRPr="002B61D7">
        <w:rPr>
          <w:sz w:val="24"/>
          <w:szCs w:val="24"/>
        </w:rPr>
        <w:t xml:space="preserve">O artigo está estruturado em cinco partes. A introdução apresentou o contexto do assunto pesquisado e os objetivos da pesquisa. A seguir, o referencial teórico </w:t>
      </w:r>
      <w:r>
        <w:rPr>
          <w:sz w:val="24"/>
          <w:szCs w:val="24"/>
        </w:rPr>
        <w:t>apresenta</w:t>
      </w:r>
      <w:r w:rsidRPr="002B61D7">
        <w:rPr>
          <w:sz w:val="24"/>
          <w:szCs w:val="24"/>
        </w:rPr>
        <w:t xml:space="preserve"> o embasamento teórico e a revisão bibliográfica do tema. A terceira parte trata da metodologia utilizada no estudo. Por fim, a</w:t>
      </w:r>
      <w:r>
        <w:rPr>
          <w:sz w:val="24"/>
          <w:szCs w:val="24"/>
        </w:rPr>
        <w:t>s quarta e</w:t>
      </w:r>
      <w:r w:rsidRPr="002B61D7">
        <w:rPr>
          <w:sz w:val="24"/>
          <w:szCs w:val="24"/>
        </w:rPr>
        <w:t xml:space="preserve"> quinta parte</w:t>
      </w:r>
      <w:r>
        <w:rPr>
          <w:sz w:val="24"/>
          <w:szCs w:val="24"/>
        </w:rPr>
        <w:t>s</w:t>
      </w:r>
      <w:r w:rsidRPr="002B61D7">
        <w:rPr>
          <w:sz w:val="24"/>
          <w:szCs w:val="24"/>
        </w:rPr>
        <w:t xml:space="preserve"> trazem, respectivamente, a análise dos dados obtidos e as considerações finais da pesquisa.</w:t>
      </w:r>
    </w:p>
    <w:p w:rsidR="00CE5EB2" w:rsidRPr="003F2F15" w:rsidRDefault="00CE5EB2" w:rsidP="00CE5EB2">
      <w:pPr>
        <w:spacing w:before="240" w:after="240"/>
        <w:jc w:val="both"/>
        <w:rPr>
          <w:b/>
          <w:sz w:val="24"/>
          <w:szCs w:val="24"/>
        </w:rPr>
      </w:pPr>
      <w:proofErr w:type="gramStart"/>
      <w:r w:rsidRPr="003F2F15">
        <w:rPr>
          <w:b/>
          <w:sz w:val="24"/>
          <w:szCs w:val="24"/>
        </w:rPr>
        <w:t>2</w:t>
      </w:r>
      <w:proofErr w:type="gramEnd"/>
      <w:r w:rsidRPr="003F2F15">
        <w:rPr>
          <w:b/>
          <w:sz w:val="24"/>
          <w:szCs w:val="24"/>
        </w:rPr>
        <w:t xml:space="preserve"> REFERENCIAL TEÓRICO</w:t>
      </w:r>
    </w:p>
    <w:p w:rsidR="00CE5EB2" w:rsidRDefault="00CE5EB2" w:rsidP="00CE5EB2">
      <w:pPr>
        <w:spacing w:before="240" w:after="240"/>
        <w:jc w:val="both"/>
        <w:rPr>
          <w:b/>
          <w:sz w:val="24"/>
          <w:szCs w:val="24"/>
        </w:rPr>
      </w:pPr>
      <w:r w:rsidRPr="003F2F15">
        <w:rPr>
          <w:sz w:val="24"/>
          <w:szCs w:val="24"/>
        </w:rPr>
        <w:tab/>
        <w:t>O referencial teórico do presente estudo divide-se em cinco tópicos. O primeiro destaca os conceitos e a importância da análise das demonstrações contábeis, os três seguintes abordam a fundamentação teórica sobre os índices de rentabilidade, liquidez e endividamento, e, por fim, o quinto tópico apresenta estudos anteriores realizados sobre o tema do estudo.</w:t>
      </w:r>
      <w:r w:rsidRPr="00CE5EB2">
        <w:rPr>
          <w:b/>
          <w:sz w:val="24"/>
          <w:szCs w:val="24"/>
        </w:rPr>
        <w:t xml:space="preserve"> </w:t>
      </w:r>
    </w:p>
    <w:p w:rsidR="00CE5EB2" w:rsidRPr="003F2F15" w:rsidRDefault="00CE5EB2" w:rsidP="00CE5EB2">
      <w:pPr>
        <w:spacing w:before="240" w:after="240"/>
        <w:jc w:val="both"/>
        <w:rPr>
          <w:b/>
          <w:sz w:val="24"/>
          <w:szCs w:val="24"/>
        </w:rPr>
      </w:pPr>
      <w:proofErr w:type="gramStart"/>
      <w:r w:rsidRPr="003F2F15">
        <w:rPr>
          <w:b/>
          <w:sz w:val="24"/>
          <w:szCs w:val="24"/>
        </w:rPr>
        <w:t>2.1 Análise</w:t>
      </w:r>
      <w:proofErr w:type="gramEnd"/>
      <w:r w:rsidRPr="003F2F15">
        <w:rPr>
          <w:b/>
          <w:sz w:val="24"/>
          <w:szCs w:val="24"/>
        </w:rPr>
        <w:t xml:space="preserve"> das demonstrações contábeis</w:t>
      </w:r>
    </w:p>
    <w:p w:rsidR="00CE5EB2" w:rsidRPr="003F2F15" w:rsidRDefault="00CE5EB2" w:rsidP="00CE5EB2">
      <w:pPr>
        <w:spacing w:before="240" w:after="240"/>
        <w:ind w:firstLine="709"/>
        <w:jc w:val="both"/>
        <w:rPr>
          <w:sz w:val="24"/>
          <w:szCs w:val="24"/>
        </w:rPr>
      </w:pPr>
      <w:r w:rsidRPr="003F2F15">
        <w:rPr>
          <w:sz w:val="24"/>
          <w:szCs w:val="24"/>
        </w:rPr>
        <w:t xml:space="preserve">Ao realizar a análise das demonstrações contábeis, está-se utilizando uma técnica e, conforme defende </w:t>
      </w:r>
      <w:proofErr w:type="spellStart"/>
      <w:r w:rsidRPr="003F2F15">
        <w:rPr>
          <w:sz w:val="24"/>
          <w:szCs w:val="24"/>
        </w:rPr>
        <w:t>Iudícibus</w:t>
      </w:r>
      <w:proofErr w:type="spellEnd"/>
      <w:r w:rsidRPr="003F2F15">
        <w:rPr>
          <w:sz w:val="24"/>
          <w:szCs w:val="24"/>
        </w:rPr>
        <w:t xml:space="preserve"> (2010), uma arte, já que por meio dos demonstrativos contábeis consegue-se levantar informações úteis para apoio à decisão.</w:t>
      </w:r>
    </w:p>
    <w:p w:rsidR="00CE5EB2" w:rsidRPr="003F2F15" w:rsidRDefault="00CE5EB2" w:rsidP="00CE5EB2">
      <w:pPr>
        <w:spacing w:before="240" w:after="240"/>
        <w:ind w:firstLine="709"/>
        <w:jc w:val="both"/>
        <w:rPr>
          <w:sz w:val="24"/>
          <w:szCs w:val="24"/>
        </w:rPr>
      </w:pPr>
      <w:r w:rsidRPr="003F2F15">
        <w:rPr>
          <w:sz w:val="24"/>
          <w:szCs w:val="24"/>
        </w:rPr>
        <w:t>“A Análise de balanços é o estudo da situação de uma parte, de um sistema de partes ou do todo patrimonial de uma empresa ou de uma instituição sem fins lucrativos, mediante a decomposição de elementos e levantamentos de dados contábeis”</w:t>
      </w:r>
      <w:r>
        <w:rPr>
          <w:sz w:val="24"/>
          <w:szCs w:val="24"/>
        </w:rPr>
        <w:t xml:space="preserve"> (Sá</w:t>
      </w:r>
      <w:r w:rsidRPr="003F2F15">
        <w:rPr>
          <w:sz w:val="24"/>
          <w:szCs w:val="24"/>
        </w:rPr>
        <w:t>, 2008, p. 14). A análise de balanços é importante por ser a única maneira de se evidenciar a situação econômico</w:t>
      </w:r>
      <w:r>
        <w:rPr>
          <w:sz w:val="24"/>
          <w:szCs w:val="24"/>
        </w:rPr>
        <w:t>-financeira da empresa (</w:t>
      </w:r>
      <w:proofErr w:type="spellStart"/>
      <w:r>
        <w:rPr>
          <w:sz w:val="24"/>
          <w:szCs w:val="24"/>
        </w:rPr>
        <w:t>Savytzky</w:t>
      </w:r>
      <w:proofErr w:type="spellEnd"/>
      <w:r w:rsidRPr="003F2F15">
        <w:rPr>
          <w:sz w:val="24"/>
          <w:szCs w:val="24"/>
        </w:rPr>
        <w:t xml:space="preserve">, 2009). </w:t>
      </w:r>
    </w:p>
    <w:p w:rsidR="00CE5EB2" w:rsidRPr="003F2F15" w:rsidRDefault="00CE5EB2" w:rsidP="00CE5EB2">
      <w:pPr>
        <w:spacing w:before="240" w:after="240"/>
        <w:ind w:firstLine="709"/>
        <w:jc w:val="both"/>
        <w:rPr>
          <w:sz w:val="24"/>
          <w:szCs w:val="24"/>
        </w:rPr>
      </w:pPr>
      <w:r w:rsidRPr="003F2F15">
        <w:rPr>
          <w:sz w:val="24"/>
          <w:szCs w:val="24"/>
        </w:rPr>
        <w:t xml:space="preserve">Conforme </w:t>
      </w:r>
      <w:proofErr w:type="spellStart"/>
      <w:r w:rsidRPr="003F2F15">
        <w:rPr>
          <w:sz w:val="24"/>
          <w:szCs w:val="24"/>
        </w:rPr>
        <w:t>Savytzky</w:t>
      </w:r>
      <w:proofErr w:type="spellEnd"/>
      <w:r w:rsidRPr="003F2F15">
        <w:rPr>
          <w:sz w:val="24"/>
          <w:szCs w:val="24"/>
        </w:rPr>
        <w:t xml:space="preserve"> (2009, p.33), “não existe um método padrão de análise”, devendo ela “ser executada com base em índices realmente necessários à finalidade, evitando-se os supérfluos”. Marion (2009) divide a análise de índices em três etapas: o simples cálculo do índice com base numa fórmula, a interpretação do quociente apurado e, por fim, como etapa mais importante, a conceituação do índice calculado, onde se analisa se ele é bom, razoável, ruim etc.</w:t>
      </w:r>
    </w:p>
    <w:p w:rsidR="00CE5EB2" w:rsidRPr="003F2F15" w:rsidRDefault="00CE5EB2" w:rsidP="00CE5EB2">
      <w:pPr>
        <w:spacing w:before="240" w:after="240"/>
        <w:jc w:val="both"/>
        <w:rPr>
          <w:b/>
          <w:sz w:val="24"/>
          <w:szCs w:val="24"/>
        </w:rPr>
      </w:pPr>
      <w:r w:rsidRPr="003F2F15">
        <w:rPr>
          <w:b/>
          <w:sz w:val="24"/>
          <w:szCs w:val="24"/>
        </w:rPr>
        <w:t>2.2 Índices de rentabilidade</w:t>
      </w:r>
    </w:p>
    <w:p w:rsidR="00CE5EB2" w:rsidRPr="002B61D7" w:rsidRDefault="00CE5EB2" w:rsidP="00CE5EB2">
      <w:pPr>
        <w:spacing w:before="240" w:after="240"/>
        <w:ind w:firstLine="708"/>
        <w:jc w:val="both"/>
        <w:rPr>
          <w:sz w:val="24"/>
          <w:szCs w:val="24"/>
        </w:rPr>
      </w:pPr>
      <w:r w:rsidRPr="002B61D7">
        <w:rPr>
          <w:sz w:val="24"/>
          <w:szCs w:val="24"/>
        </w:rPr>
        <w:lastRenderedPageBreak/>
        <w:t>Segundo Marion (2009), os indicadores econômicos são voltados para a rentabilidade da empresa, apurando seu potencial de vendas e habilidade de gerar lucros, por exemplo. O autor destaca que uma empresa pode apresentar um lucro muito maior que outra, porém, isto não refletirá qual das duas apresentou maior retorno, tendo assim importância o cálculo da taxa de lucro.</w:t>
      </w:r>
    </w:p>
    <w:p w:rsidR="00CE5EB2" w:rsidRPr="002B61D7" w:rsidRDefault="00CE5EB2" w:rsidP="00CE5EB2">
      <w:pPr>
        <w:spacing w:before="240" w:after="240"/>
        <w:ind w:firstLine="708"/>
        <w:jc w:val="both"/>
        <w:rPr>
          <w:sz w:val="24"/>
          <w:szCs w:val="24"/>
        </w:rPr>
      </w:pPr>
      <w:r w:rsidRPr="002B61D7">
        <w:rPr>
          <w:sz w:val="24"/>
          <w:szCs w:val="24"/>
        </w:rPr>
        <w:t xml:space="preserve">A Rentabilidade do Ativo, também conhecida como </w:t>
      </w:r>
      <w:proofErr w:type="spellStart"/>
      <w:r w:rsidRPr="002B61D7">
        <w:rPr>
          <w:i/>
          <w:sz w:val="24"/>
          <w:szCs w:val="24"/>
        </w:rPr>
        <w:t>Return</w:t>
      </w:r>
      <w:proofErr w:type="spellEnd"/>
      <w:r w:rsidRPr="002B61D7">
        <w:rPr>
          <w:i/>
          <w:sz w:val="24"/>
          <w:szCs w:val="24"/>
        </w:rPr>
        <w:t xml:space="preserve"> </w:t>
      </w:r>
      <w:proofErr w:type="spellStart"/>
      <w:r w:rsidRPr="002B61D7">
        <w:rPr>
          <w:i/>
          <w:sz w:val="24"/>
          <w:szCs w:val="24"/>
        </w:rPr>
        <w:t>on</w:t>
      </w:r>
      <w:proofErr w:type="spellEnd"/>
      <w:r w:rsidRPr="002B61D7">
        <w:rPr>
          <w:i/>
          <w:sz w:val="24"/>
          <w:szCs w:val="24"/>
        </w:rPr>
        <w:t xml:space="preserve"> </w:t>
      </w:r>
      <w:proofErr w:type="spellStart"/>
      <w:r w:rsidRPr="002B61D7">
        <w:rPr>
          <w:i/>
          <w:sz w:val="24"/>
          <w:szCs w:val="24"/>
        </w:rPr>
        <w:t>Investment</w:t>
      </w:r>
      <w:proofErr w:type="spellEnd"/>
      <w:r w:rsidRPr="002B61D7">
        <w:rPr>
          <w:sz w:val="24"/>
          <w:szCs w:val="24"/>
        </w:rPr>
        <w:t xml:space="preserve"> (ROI), relaciona os lucros ou prejuízos gerados no exercício e os ativos totais disponíveis na empresa, representando assim o poder de ganho da empresa, já que o "ativo" representa o "investimento" da empresa para obter receitas (</w:t>
      </w:r>
      <w:proofErr w:type="spellStart"/>
      <w:r>
        <w:rPr>
          <w:sz w:val="24"/>
          <w:szCs w:val="24"/>
        </w:rPr>
        <w:t>Platt</w:t>
      </w:r>
      <w:proofErr w:type="spellEnd"/>
      <w:r>
        <w:rPr>
          <w:sz w:val="24"/>
          <w:szCs w:val="24"/>
        </w:rPr>
        <w:t xml:space="preserve"> Neto</w:t>
      </w:r>
      <w:r w:rsidRPr="002B61D7">
        <w:rPr>
          <w:sz w:val="24"/>
          <w:szCs w:val="24"/>
        </w:rPr>
        <w:t>, 2016). Para o cálculo do índice, divide-se o Resultado Líquido do Exercício pelo Total do Ativo.</w:t>
      </w:r>
    </w:p>
    <w:p w:rsidR="00CE5EB2" w:rsidRPr="003F2F15" w:rsidRDefault="00CE5EB2" w:rsidP="00CE5EB2">
      <w:pPr>
        <w:spacing w:before="240" w:after="240"/>
        <w:ind w:firstLine="708"/>
        <w:jc w:val="both"/>
        <w:rPr>
          <w:sz w:val="24"/>
          <w:szCs w:val="24"/>
        </w:rPr>
      </w:pPr>
      <w:r w:rsidRPr="002B61D7">
        <w:rPr>
          <w:sz w:val="24"/>
          <w:szCs w:val="24"/>
        </w:rPr>
        <w:t xml:space="preserve">A Rentabilidade do Patrimônio Líquido, ou o </w:t>
      </w:r>
      <w:proofErr w:type="spellStart"/>
      <w:r w:rsidRPr="002B61D7">
        <w:rPr>
          <w:i/>
          <w:sz w:val="24"/>
          <w:szCs w:val="24"/>
        </w:rPr>
        <w:t>Return</w:t>
      </w:r>
      <w:proofErr w:type="spellEnd"/>
      <w:r w:rsidRPr="002B61D7">
        <w:rPr>
          <w:i/>
          <w:sz w:val="24"/>
          <w:szCs w:val="24"/>
        </w:rPr>
        <w:t xml:space="preserve"> </w:t>
      </w:r>
      <w:proofErr w:type="spellStart"/>
      <w:r w:rsidRPr="002B61D7">
        <w:rPr>
          <w:i/>
          <w:sz w:val="24"/>
          <w:szCs w:val="24"/>
        </w:rPr>
        <w:t>on</w:t>
      </w:r>
      <w:proofErr w:type="spellEnd"/>
      <w:r w:rsidRPr="002B61D7">
        <w:rPr>
          <w:i/>
          <w:sz w:val="24"/>
          <w:szCs w:val="24"/>
        </w:rPr>
        <w:t xml:space="preserve"> </w:t>
      </w:r>
      <w:proofErr w:type="spellStart"/>
      <w:r w:rsidRPr="002B61D7">
        <w:rPr>
          <w:i/>
          <w:sz w:val="24"/>
          <w:szCs w:val="24"/>
        </w:rPr>
        <w:t>Equity</w:t>
      </w:r>
      <w:proofErr w:type="spellEnd"/>
      <w:r w:rsidRPr="002B61D7">
        <w:rPr>
          <w:sz w:val="24"/>
          <w:szCs w:val="24"/>
        </w:rPr>
        <w:t xml:space="preserve"> (ROE), representa o poder de ganho dos proprietários, de acordo com Marion (2009), relacionando-se o resultado líquido do exercício com o capital investido pelo empresário. O cálculo do índice é realizado através da divisão entre o Resultado Líquido do Exercício e o Patrimônio Líquido.</w:t>
      </w:r>
    </w:p>
    <w:p w:rsidR="00CE5EB2" w:rsidRPr="003F2F15" w:rsidRDefault="00CE5EB2" w:rsidP="00CE5EB2">
      <w:pPr>
        <w:spacing w:before="240" w:after="240"/>
        <w:jc w:val="both"/>
        <w:rPr>
          <w:b/>
          <w:sz w:val="24"/>
          <w:szCs w:val="24"/>
        </w:rPr>
      </w:pPr>
      <w:r w:rsidRPr="003F2F15">
        <w:rPr>
          <w:b/>
          <w:sz w:val="24"/>
          <w:szCs w:val="24"/>
        </w:rPr>
        <w:t>2.3 Índices de liquidez</w:t>
      </w:r>
    </w:p>
    <w:p w:rsidR="00CE5EB2" w:rsidRPr="003F2F15" w:rsidRDefault="00CE5EB2" w:rsidP="00CE5EB2">
      <w:pPr>
        <w:spacing w:before="240" w:after="240"/>
        <w:ind w:firstLine="709"/>
        <w:jc w:val="both"/>
        <w:rPr>
          <w:sz w:val="24"/>
          <w:szCs w:val="24"/>
        </w:rPr>
      </w:pPr>
      <w:r w:rsidRPr="003F2F15">
        <w:rPr>
          <w:sz w:val="24"/>
          <w:szCs w:val="24"/>
        </w:rPr>
        <w:t>Os índices de liquidez, segundo Assaf Neto (2010), servem para evidenciar a situação financeira de uma empresa diante de seus compromissos. Conforme Sá (2008, p. 108), o quociente de liquidez “indica quantas unidades monetárias ou frações destas existe para liquidar cada unidade de dívida”. Os índices de liquidez são divididos em: Liquidez Corrente, Liquidez Seca, Liquidez Geral e Liquidez Imediata.</w:t>
      </w:r>
    </w:p>
    <w:p w:rsidR="00CE5EB2" w:rsidRPr="003F2F15" w:rsidRDefault="00CE5EB2" w:rsidP="00CE5EB2">
      <w:pPr>
        <w:spacing w:before="240" w:after="240"/>
        <w:ind w:firstLine="709"/>
        <w:jc w:val="both"/>
        <w:rPr>
          <w:sz w:val="24"/>
          <w:szCs w:val="24"/>
        </w:rPr>
      </w:pPr>
      <w:r w:rsidRPr="003F2F15">
        <w:rPr>
          <w:sz w:val="24"/>
          <w:szCs w:val="24"/>
        </w:rPr>
        <w:t xml:space="preserve">A Liquidez Corrente mostra a capacidade de pagamento da empresa </w:t>
      </w:r>
      <w:proofErr w:type="gramStart"/>
      <w:r w:rsidRPr="003F2F15">
        <w:rPr>
          <w:sz w:val="24"/>
          <w:szCs w:val="24"/>
        </w:rPr>
        <w:t>a Curto Prazo</w:t>
      </w:r>
      <w:proofErr w:type="gramEnd"/>
      <w:r w:rsidRPr="003F2F15">
        <w:rPr>
          <w:sz w:val="24"/>
          <w:szCs w:val="24"/>
        </w:rPr>
        <w:t xml:space="preserve"> e seu índice é calculado dividindo o valor do Ativo Circulante pelo Passivo Circulante </w:t>
      </w:r>
      <w:r>
        <w:rPr>
          <w:sz w:val="24"/>
          <w:szCs w:val="24"/>
        </w:rPr>
        <w:t>(Assaf Neto</w:t>
      </w:r>
      <w:r w:rsidRPr="003F2F15">
        <w:rPr>
          <w:sz w:val="24"/>
          <w:szCs w:val="24"/>
        </w:rPr>
        <w:t>, 2010). Este índice, porém, merece atenção em alguns aspectos, pois não revela a qualidade dos itens do Ativo Circulante, a sincronização entre recebimentos e pagamentos e avaliação correta do Estoque (M</w:t>
      </w:r>
      <w:r>
        <w:rPr>
          <w:sz w:val="24"/>
          <w:szCs w:val="24"/>
        </w:rPr>
        <w:t>arion</w:t>
      </w:r>
      <w:r w:rsidRPr="003F2F15">
        <w:rPr>
          <w:sz w:val="24"/>
          <w:szCs w:val="24"/>
        </w:rPr>
        <w:t>, 2009).</w:t>
      </w:r>
    </w:p>
    <w:p w:rsidR="00CE5EB2" w:rsidRPr="003F2F15" w:rsidRDefault="00CE5EB2" w:rsidP="00CE5EB2">
      <w:pPr>
        <w:spacing w:before="240" w:after="240"/>
        <w:ind w:firstLine="709"/>
        <w:jc w:val="both"/>
        <w:rPr>
          <w:sz w:val="24"/>
          <w:szCs w:val="24"/>
        </w:rPr>
      </w:pPr>
      <w:r w:rsidRPr="003F2F15">
        <w:rPr>
          <w:sz w:val="24"/>
          <w:szCs w:val="24"/>
        </w:rPr>
        <w:t xml:space="preserve">A Liquidez Seca, por sua vez, também se trata de um índice que considera o Curto Prazo para sua apuração, diferenciando-se da Liquidez Corrente apenas por excluir o Estoque da fórmula de cálculo. Para Marion (2009), tal índice é bastante conservador e agrada os banqueiros, pois se elimina o item mais manipulável do balanço: o Estoque. </w:t>
      </w:r>
    </w:p>
    <w:p w:rsidR="00CE5EB2" w:rsidRPr="003F2F15" w:rsidRDefault="00CE5EB2" w:rsidP="00CE5EB2">
      <w:pPr>
        <w:spacing w:before="240" w:after="240"/>
        <w:ind w:firstLine="709"/>
        <w:jc w:val="both"/>
        <w:rPr>
          <w:sz w:val="24"/>
          <w:szCs w:val="24"/>
        </w:rPr>
      </w:pPr>
      <w:r w:rsidRPr="003F2F15">
        <w:rPr>
          <w:sz w:val="24"/>
          <w:szCs w:val="24"/>
        </w:rPr>
        <w:t xml:space="preserve">Na Liquidez Geral, a comparação é feita </w:t>
      </w:r>
      <w:r>
        <w:rPr>
          <w:sz w:val="24"/>
          <w:szCs w:val="24"/>
        </w:rPr>
        <w:t>dividindo</w:t>
      </w:r>
      <w:r w:rsidRPr="003F2F15">
        <w:rPr>
          <w:sz w:val="24"/>
          <w:szCs w:val="24"/>
        </w:rPr>
        <w:t xml:space="preserve"> o </w:t>
      </w:r>
      <w:r>
        <w:rPr>
          <w:sz w:val="24"/>
          <w:szCs w:val="24"/>
        </w:rPr>
        <w:t xml:space="preserve">montante do </w:t>
      </w:r>
      <w:r w:rsidRPr="003F2F15">
        <w:rPr>
          <w:sz w:val="24"/>
          <w:szCs w:val="24"/>
        </w:rPr>
        <w:t xml:space="preserve">Ativo Circulante e </w:t>
      </w:r>
      <w:r>
        <w:rPr>
          <w:sz w:val="24"/>
          <w:szCs w:val="24"/>
        </w:rPr>
        <w:t xml:space="preserve">Ativo </w:t>
      </w:r>
      <w:r w:rsidRPr="003F2F15">
        <w:rPr>
          <w:sz w:val="24"/>
          <w:szCs w:val="24"/>
        </w:rPr>
        <w:t xml:space="preserve">Realizável </w:t>
      </w:r>
      <w:proofErr w:type="gramStart"/>
      <w:r w:rsidRPr="003F2F15">
        <w:rPr>
          <w:sz w:val="24"/>
          <w:szCs w:val="24"/>
        </w:rPr>
        <w:t>a Longo Prazo</w:t>
      </w:r>
      <w:proofErr w:type="gramEnd"/>
      <w:r w:rsidRPr="003F2F15">
        <w:rPr>
          <w:sz w:val="24"/>
          <w:szCs w:val="24"/>
        </w:rPr>
        <w:t xml:space="preserve"> </w:t>
      </w:r>
      <w:r>
        <w:rPr>
          <w:sz w:val="24"/>
          <w:szCs w:val="24"/>
        </w:rPr>
        <w:t>pela soma d</w:t>
      </w:r>
      <w:r w:rsidRPr="003F2F15">
        <w:rPr>
          <w:sz w:val="24"/>
          <w:szCs w:val="24"/>
        </w:rPr>
        <w:t xml:space="preserve">o Passivo Circulante e </w:t>
      </w:r>
      <w:r>
        <w:rPr>
          <w:sz w:val="24"/>
          <w:szCs w:val="24"/>
        </w:rPr>
        <w:t>Passivo Não Circulante (</w:t>
      </w:r>
      <w:proofErr w:type="spellStart"/>
      <w:r>
        <w:rPr>
          <w:sz w:val="24"/>
          <w:szCs w:val="24"/>
        </w:rPr>
        <w:t>Savytzky</w:t>
      </w:r>
      <w:proofErr w:type="spellEnd"/>
      <w:r w:rsidRPr="003F2F15">
        <w:rPr>
          <w:sz w:val="24"/>
          <w:szCs w:val="24"/>
        </w:rPr>
        <w:t xml:space="preserve">, 2009). Este índice, de acordo com Assaf Neto (2010, p. 164), é utilizado “como uma medida de segurança financeira da empresa </w:t>
      </w:r>
      <w:proofErr w:type="gramStart"/>
      <w:r w:rsidRPr="003F2F15">
        <w:rPr>
          <w:sz w:val="24"/>
          <w:szCs w:val="24"/>
        </w:rPr>
        <w:t>a longo prazo</w:t>
      </w:r>
      <w:proofErr w:type="gramEnd"/>
      <w:r w:rsidRPr="003F2F15">
        <w:rPr>
          <w:sz w:val="24"/>
          <w:szCs w:val="24"/>
        </w:rPr>
        <w:t xml:space="preserve">, revelando sua capacidade de saldar todos seus compromissos”. </w:t>
      </w:r>
    </w:p>
    <w:p w:rsidR="00CE5EB2" w:rsidRPr="003F2F15" w:rsidRDefault="00CE5EB2" w:rsidP="00CE5EB2">
      <w:pPr>
        <w:spacing w:before="240" w:after="240"/>
        <w:ind w:firstLine="709"/>
        <w:jc w:val="both"/>
        <w:rPr>
          <w:sz w:val="24"/>
          <w:szCs w:val="24"/>
        </w:rPr>
      </w:pPr>
      <w:r w:rsidRPr="003F2F15">
        <w:rPr>
          <w:sz w:val="24"/>
          <w:szCs w:val="24"/>
        </w:rPr>
        <w:t xml:space="preserve">Como índice de capacidade de pagamento em prazo imediato, tem-se a Liquidez Imediata, que mostra o quanto a empresa dispõe imediatamente para saldar as dívidas de Curto Prazo, tendo como fórmula a divisão das Disponibilidades pelo Passivo Circulante. Segundo Assaf Neto (2010), este quociente costuma ser baixo pelo pouco interesse das empresas em manter recursos monetários em caixa, devido a sua reduzida rentabilidade. </w:t>
      </w:r>
    </w:p>
    <w:p w:rsidR="00CE5EB2" w:rsidRPr="003F2F15" w:rsidRDefault="00CE5EB2" w:rsidP="00CE5EB2">
      <w:pPr>
        <w:spacing w:before="240" w:after="240"/>
        <w:jc w:val="both"/>
        <w:rPr>
          <w:b/>
          <w:sz w:val="24"/>
          <w:szCs w:val="24"/>
        </w:rPr>
      </w:pPr>
      <w:r w:rsidRPr="003F2F15">
        <w:rPr>
          <w:b/>
          <w:sz w:val="24"/>
          <w:szCs w:val="24"/>
        </w:rPr>
        <w:t>2.4 Índices de endividamento</w:t>
      </w:r>
    </w:p>
    <w:p w:rsidR="00CE5EB2" w:rsidRPr="003F2F15" w:rsidRDefault="00CE5EB2" w:rsidP="00CE5EB2">
      <w:pPr>
        <w:spacing w:before="240" w:after="240"/>
        <w:ind w:firstLine="709"/>
        <w:jc w:val="both"/>
        <w:rPr>
          <w:sz w:val="24"/>
          <w:szCs w:val="24"/>
        </w:rPr>
      </w:pPr>
      <w:r w:rsidRPr="003F2F15">
        <w:rPr>
          <w:sz w:val="24"/>
          <w:szCs w:val="24"/>
        </w:rPr>
        <w:lastRenderedPageBreak/>
        <w:t>“As empresas servem-se de capital alheio, em menor ou maior escala, para completar as suas necessidades de capital de giro ou para imobilização”</w:t>
      </w:r>
      <w:r>
        <w:rPr>
          <w:sz w:val="24"/>
          <w:szCs w:val="24"/>
        </w:rPr>
        <w:t xml:space="preserve"> (</w:t>
      </w:r>
      <w:proofErr w:type="spellStart"/>
      <w:r>
        <w:rPr>
          <w:sz w:val="24"/>
          <w:szCs w:val="24"/>
        </w:rPr>
        <w:t>Savytzky</w:t>
      </w:r>
      <w:proofErr w:type="spellEnd"/>
      <w:r w:rsidRPr="003F2F15">
        <w:rPr>
          <w:sz w:val="24"/>
          <w:szCs w:val="24"/>
        </w:rPr>
        <w:t xml:space="preserve">, </w:t>
      </w:r>
      <w:r>
        <w:rPr>
          <w:sz w:val="24"/>
          <w:szCs w:val="24"/>
        </w:rPr>
        <w:t xml:space="preserve">2009, </w:t>
      </w:r>
      <w:r w:rsidRPr="003F2F15">
        <w:rPr>
          <w:sz w:val="24"/>
          <w:szCs w:val="24"/>
        </w:rPr>
        <w:t>p. 85). Para Marion (2009), é por meio dos índices de endividamento que se aprecia o nível de endividamento da empresa e se ela se utiliza mais de recursos de terceiros ou de recursos dos proprietários.</w:t>
      </w:r>
    </w:p>
    <w:p w:rsidR="00CE5EB2" w:rsidRPr="003F2F15" w:rsidRDefault="00CE5EB2" w:rsidP="00CE5EB2">
      <w:pPr>
        <w:spacing w:before="240" w:after="240"/>
        <w:ind w:firstLine="709"/>
        <w:jc w:val="both"/>
        <w:rPr>
          <w:sz w:val="24"/>
          <w:szCs w:val="24"/>
        </w:rPr>
      </w:pPr>
      <w:r w:rsidRPr="003F2F15">
        <w:rPr>
          <w:sz w:val="24"/>
          <w:szCs w:val="24"/>
        </w:rPr>
        <w:t>O Grau de Endividamento Global, também chamado de Participação de Capitais de Terceiros sobre Recursos Totais, permite conhecer a estrutura de capital da empresa, verificando o quanto dos ativos da empresa são financiados por dívidas. O cálculo consiste na divisão do Passivo Circulante e Não Circulante pelo total do Ativo (</w:t>
      </w:r>
      <w:proofErr w:type="spellStart"/>
      <w:r>
        <w:rPr>
          <w:sz w:val="24"/>
          <w:szCs w:val="24"/>
        </w:rPr>
        <w:t>Platt</w:t>
      </w:r>
      <w:proofErr w:type="spellEnd"/>
      <w:r>
        <w:rPr>
          <w:sz w:val="24"/>
          <w:szCs w:val="24"/>
        </w:rPr>
        <w:t xml:space="preserve"> Neto</w:t>
      </w:r>
      <w:r w:rsidRPr="003F2F15">
        <w:rPr>
          <w:sz w:val="24"/>
          <w:szCs w:val="24"/>
        </w:rPr>
        <w:t>, 2016).</w:t>
      </w:r>
    </w:p>
    <w:p w:rsidR="00CE5EB2" w:rsidRPr="003F2F15" w:rsidRDefault="00CE5EB2" w:rsidP="00CE5EB2">
      <w:pPr>
        <w:spacing w:before="240" w:after="240"/>
        <w:ind w:firstLine="709"/>
        <w:jc w:val="both"/>
        <w:rPr>
          <w:sz w:val="24"/>
          <w:szCs w:val="24"/>
        </w:rPr>
      </w:pPr>
      <w:r w:rsidRPr="003F2F15">
        <w:rPr>
          <w:sz w:val="24"/>
          <w:szCs w:val="24"/>
        </w:rPr>
        <w:t>A Participação de Capitais de Terceiros também é um indicador de estrutura de capital, indicando o quanto a empresa é financiada por capital de terceiros em relação aos capitais próprios (M</w:t>
      </w:r>
      <w:r>
        <w:rPr>
          <w:sz w:val="24"/>
          <w:szCs w:val="24"/>
        </w:rPr>
        <w:t>atarazzo</w:t>
      </w:r>
      <w:r w:rsidRPr="003F2F15">
        <w:rPr>
          <w:sz w:val="24"/>
          <w:szCs w:val="24"/>
        </w:rPr>
        <w:t>, 2003). Neste indicador, divide-se Passivo Circulante e Não Circulante pelo Patrimônio Líquido.</w:t>
      </w:r>
    </w:p>
    <w:p w:rsidR="00CE5EB2" w:rsidRPr="003F2F15" w:rsidRDefault="00CE5EB2" w:rsidP="00CE5EB2">
      <w:pPr>
        <w:spacing w:before="240" w:after="240"/>
        <w:ind w:firstLine="709"/>
        <w:jc w:val="both"/>
        <w:rPr>
          <w:sz w:val="24"/>
          <w:szCs w:val="24"/>
        </w:rPr>
      </w:pPr>
      <w:r w:rsidRPr="003F2F15">
        <w:rPr>
          <w:sz w:val="24"/>
          <w:szCs w:val="24"/>
        </w:rPr>
        <w:t>Por fim, a Composição de Endividamento verifica a qualidade da dívida, dividindo o Passivo Circulante pelo Exigível Total (M</w:t>
      </w:r>
      <w:r>
        <w:rPr>
          <w:sz w:val="24"/>
          <w:szCs w:val="24"/>
        </w:rPr>
        <w:t>arion</w:t>
      </w:r>
      <w:r w:rsidRPr="003F2F15">
        <w:rPr>
          <w:sz w:val="24"/>
          <w:szCs w:val="24"/>
        </w:rPr>
        <w:t>, 2009). Desta forma, tem-se o percentual de obrigações de curto prazo em relação às obrigações totais (M</w:t>
      </w:r>
      <w:r>
        <w:rPr>
          <w:sz w:val="24"/>
          <w:szCs w:val="24"/>
        </w:rPr>
        <w:t>atarazzo</w:t>
      </w:r>
      <w:r w:rsidRPr="003F2F15">
        <w:rPr>
          <w:sz w:val="24"/>
          <w:szCs w:val="24"/>
        </w:rPr>
        <w:t>, 2003).</w:t>
      </w:r>
    </w:p>
    <w:p w:rsidR="00CE5EB2" w:rsidRPr="003F2F15" w:rsidRDefault="00CE5EB2" w:rsidP="00CE5EB2">
      <w:pPr>
        <w:spacing w:before="240" w:after="240"/>
        <w:jc w:val="both"/>
        <w:rPr>
          <w:b/>
          <w:sz w:val="24"/>
          <w:szCs w:val="24"/>
        </w:rPr>
      </w:pPr>
      <w:r w:rsidRPr="003F2F15">
        <w:rPr>
          <w:b/>
          <w:sz w:val="24"/>
          <w:szCs w:val="24"/>
        </w:rPr>
        <w:t>2.4 Estudos anteriores</w:t>
      </w:r>
    </w:p>
    <w:p w:rsidR="00CE5EB2" w:rsidRDefault="00CE5EB2" w:rsidP="00CE5EB2">
      <w:pPr>
        <w:spacing w:before="240" w:after="240"/>
        <w:ind w:firstLine="709"/>
        <w:jc w:val="both"/>
        <w:rPr>
          <w:sz w:val="24"/>
          <w:szCs w:val="24"/>
        </w:rPr>
      </w:pPr>
      <w:r w:rsidRPr="003F2F15">
        <w:rPr>
          <w:sz w:val="24"/>
          <w:szCs w:val="24"/>
        </w:rPr>
        <w:t xml:space="preserve">Em relação a estudos anteriores sobre o tema abordado nesta pesquisa, destaca-se o estudo de Santos e Silva (2015), que numa amostra nacional, abordou onze índices de liquidez, endividamento e imobilização de nove clubes brasileiros. Os integrantes da amostra foram escolhidos levando em consideração a participação dos mesmos na primeira divisão do Campeonato Brasileiro e foram levantados dados do período entre 2008 e 2013. Os autores apontaram, após os resultados, que os times da amostra apresentavam Liquidez Corrente razoável, isto porque </w:t>
      </w:r>
      <w:proofErr w:type="gramStart"/>
      <w:r w:rsidRPr="003F2F15">
        <w:rPr>
          <w:sz w:val="24"/>
          <w:szCs w:val="24"/>
        </w:rPr>
        <w:t>grande parte das dívidas dos clubes estavam</w:t>
      </w:r>
      <w:proofErr w:type="gramEnd"/>
      <w:r w:rsidRPr="003F2F15">
        <w:rPr>
          <w:sz w:val="24"/>
          <w:szCs w:val="24"/>
        </w:rPr>
        <w:t xml:space="preserve"> concentradas em longo prazo. Quanto ao endividamento, o estudo apontou que naquele momento Flamengo e Fluminense, que possuíam Patrimônio Líquido Descoberto, eram os clubes mais endividados, enquanto o São Paulo apresentava o m</w:t>
      </w:r>
      <w:r>
        <w:rPr>
          <w:sz w:val="24"/>
          <w:szCs w:val="24"/>
        </w:rPr>
        <w:t>enor endividamento total.</w:t>
      </w:r>
    </w:p>
    <w:p w:rsidR="00CE5EB2" w:rsidRPr="00C406B1" w:rsidRDefault="00CE5EB2" w:rsidP="00CE5EB2">
      <w:pPr>
        <w:spacing w:before="240" w:after="240"/>
        <w:ind w:firstLine="709"/>
        <w:jc w:val="both"/>
        <w:rPr>
          <w:sz w:val="24"/>
          <w:szCs w:val="24"/>
        </w:rPr>
      </w:pPr>
      <w:r w:rsidRPr="00C406B1">
        <w:rPr>
          <w:sz w:val="24"/>
          <w:szCs w:val="24"/>
        </w:rPr>
        <w:t xml:space="preserve">Também analisando a situação econômico-financeira de nove dos principais clubes brasileiros, </w:t>
      </w:r>
      <w:r w:rsidRPr="00E62316">
        <w:rPr>
          <w:sz w:val="24"/>
          <w:szCs w:val="24"/>
        </w:rPr>
        <w:t>Pa</w:t>
      </w:r>
      <w:r>
        <w:rPr>
          <w:sz w:val="24"/>
          <w:szCs w:val="24"/>
        </w:rPr>
        <w:t xml:space="preserve">checo, </w:t>
      </w:r>
      <w:proofErr w:type="spellStart"/>
      <w:r>
        <w:rPr>
          <w:sz w:val="24"/>
          <w:szCs w:val="24"/>
        </w:rPr>
        <w:t>Pegorini</w:t>
      </w:r>
      <w:proofErr w:type="spellEnd"/>
      <w:r>
        <w:rPr>
          <w:sz w:val="24"/>
          <w:szCs w:val="24"/>
        </w:rPr>
        <w:t xml:space="preserve">, </w:t>
      </w:r>
      <w:proofErr w:type="spellStart"/>
      <w:r>
        <w:rPr>
          <w:sz w:val="24"/>
          <w:szCs w:val="24"/>
        </w:rPr>
        <w:t>Zelbrasikowoki</w:t>
      </w:r>
      <w:proofErr w:type="spellEnd"/>
      <w:r>
        <w:rPr>
          <w:sz w:val="24"/>
          <w:szCs w:val="24"/>
        </w:rPr>
        <w:t xml:space="preserve"> e</w:t>
      </w:r>
      <w:r w:rsidRPr="00E62316">
        <w:rPr>
          <w:sz w:val="24"/>
          <w:szCs w:val="24"/>
        </w:rPr>
        <w:t xml:space="preserve"> </w:t>
      </w:r>
      <w:proofErr w:type="spellStart"/>
      <w:r w:rsidRPr="00E62316">
        <w:rPr>
          <w:sz w:val="24"/>
          <w:szCs w:val="24"/>
        </w:rPr>
        <w:t>Panosso</w:t>
      </w:r>
      <w:proofErr w:type="spellEnd"/>
      <w:r w:rsidRPr="00E62316">
        <w:rPr>
          <w:sz w:val="24"/>
          <w:szCs w:val="24"/>
        </w:rPr>
        <w:t xml:space="preserve"> </w:t>
      </w:r>
      <w:r w:rsidRPr="00C406B1">
        <w:rPr>
          <w:sz w:val="24"/>
          <w:szCs w:val="24"/>
        </w:rPr>
        <w:t>(2016) iden</w:t>
      </w:r>
      <w:r>
        <w:rPr>
          <w:sz w:val="24"/>
          <w:szCs w:val="24"/>
        </w:rPr>
        <w:t>ti</w:t>
      </w:r>
      <w:r w:rsidRPr="00C406B1">
        <w:rPr>
          <w:sz w:val="24"/>
          <w:szCs w:val="24"/>
        </w:rPr>
        <w:t>ficaram, na maioria dos clubes, resultados deficitários e forte dependência do capital de terceiros. A análise levou em conta os anos 2012, 2013 e 2014. Em 2014, verificou-se que o único clube com liquidez geral acima de 1,00 era o Corinthians, com a maioria dos demais cl</w:t>
      </w:r>
      <w:r>
        <w:rPr>
          <w:sz w:val="24"/>
          <w:szCs w:val="24"/>
        </w:rPr>
        <w:t>ubes tendo índices abaixo 0,20.</w:t>
      </w:r>
    </w:p>
    <w:p w:rsidR="00CE5EB2" w:rsidRDefault="00CE5EB2" w:rsidP="00CE5EB2">
      <w:pPr>
        <w:spacing w:before="240" w:after="240"/>
        <w:ind w:firstLine="709"/>
        <w:jc w:val="both"/>
        <w:rPr>
          <w:sz w:val="24"/>
          <w:szCs w:val="24"/>
        </w:rPr>
      </w:pPr>
      <w:r w:rsidRPr="00C406B1">
        <w:rPr>
          <w:sz w:val="24"/>
          <w:szCs w:val="24"/>
        </w:rPr>
        <w:t>A pesquisa de Barros e Martins (2010) teve como objetivo avaliar e comparar a estrutura financeira, liquidez e rentabilidade de treze clubes brasileiros da primeira divisão entre os anos de 2006 a 2008. Os resultados apontaram um desequilíbrio financeiro na maioria dos clubes, principalmente em relação aos indicadores de rentabilidade e liquidez.</w:t>
      </w:r>
    </w:p>
    <w:p w:rsidR="00CE5EB2" w:rsidRPr="003F2F15" w:rsidRDefault="00CE5EB2" w:rsidP="00CE5EB2">
      <w:pPr>
        <w:spacing w:before="240" w:after="240"/>
        <w:ind w:firstLine="709"/>
        <w:jc w:val="both"/>
        <w:rPr>
          <w:sz w:val="24"/>
          <w:szCs w:val="24"/>
        </w:rPr>
      </w:pPr>
      <w:r>
        <w:rPr>
          <w:sz w:val="24"/>
          <w:szCs w:val="24"/>
        </w:rPr>
        <w:t>O estudo</w:t>
      </w:r>
      <w:r w:rsidRPr="00A91906">
        <w:rPr>
          <w:sz w:val="24"/>
          <w:szCs w:val="24"/>
        </w:rPr>
        <w:t xml:space="preserve"> de Avelar, Santos e Ribeiro (2014) </w:t>
      </w:r>
      <w:proofErr w:type="gramStart"/>
      <w:r w:rsidRPr="00A91906">
        <w:rPr>
          <w:sz w:val="24"/>
          <w:szCs w:val="24"/>
        </w:rPr>
        <w:t>visou</w:t>
      </w:r>
      <w:proofErr w:type="gramEnd"/>
      <w:r w:rsidRPr="00A91906">
        <w:rPr>
          <w:sz w:val="24"/>
          <w:szCs w:val="24"/>
        </w:rPr>
        <w:t xml:space="preserve"> analisar o desempenho econômico-financeiro e a eficiência dos principais clubes brasileiros entre os anos de 2010 e 2011. Ao analisar índices de liquidez, rentabilidade, lucratividade, endividamento e atividades, os autores verificaram resultados deficitários, baixa liquidez e alto nível de endividamento (especialmente no longo prazo).</w:t>
      </w:r>
    </w:p>
    <w:p w:rsidR="00CE5EB2" w:rsidRPr="003F2F15" w:rsidRDefault="00CE5EB2" w:rsidP="00CE5EB2">
      <w:pPr>
        <w:spacing w:before="240" w:after="240"/>
        <w:jc w:val="both"/>
        <w:rPr>
          <w:b/>
          <w:sz w:val="24"/>
          <w:szCs w:val="24"/>
        </w:rPr>
      </w:pPr>
      <w:proofErr w:type="gramStart"/>
      <w:r w:rsidRPr="003F2F15">
        <w:rPr>
          <w:b/>
          <w:sz w:val="24"/>
          <w:szCs w:val="24"/>
        </w:rPr>
        <w:t>3</w:t>
      </w:r>
      <w:proofErr w:type="gramEnd"/>
      <w:r w:rsidRPr="003F2F15">
        <w:rPr>
          <w:b/>
          <w:sz w:val="24"/>
          <w:szCs w:val="24"/>
        </w:rPr>
        <w:t xml:space="preserve"> PROCEDIMENTOS METODOLÓGICOS</w:t>
      </w:r>
    </w:p>
    <w:p w:rsidR="00CE5EB2" w:rsidRPr="003F2F15" w:rsidRDefault="00CE5EB2" w:rsidP="00CE5EB2">
      <w:pPr>
        <w:spacing w:before="240" w:after="240"/>
        <w:ind w:firstLine="709"/>
        <w:jc w:val="both"/>
        <w:rPr>
          <w:sz w:val="24"/>
          <w:szCs w:val="24"/>
        </w:rPr>
      </w:pPr>
      <w:r w:rsidRPr="003F2F15">
        <w:rPr>
          <w:sz w:val="24"/>
          <w:szCs w:val="24"/>
        </w:rPr>
        <w:lastRenderedPageBreak/>
        <w:t xml:space="preserve">Esta pesquisa teve caráter descritivo quanto aos seus objetivos, se classifica como documental para os procedimentos </w:t>
      </w:r>
      <w:r>
        <w:rPr>
          <w:sz w:val="24"/>
          <w:szCs w:val="24"/>
        </w:rPr>
        <w:t xml:space="preserve">e tem </w:t>
      </w:r>
      <w:r w:rsidRPr="003F2F15">
        <w:rPr>
          <w:sz w:val="24"/>
          <w:szCs w:val="24"/>
        </w:rPr>
        <w:t>abordagem quantitativa e qualitativa.</w:t>
      </w:r>
    </w:p>
    <w:p w:rsidR="00CE5EB2" w:rsidRPr="003F2F15" w:rsidRDefault="00CE5EB2" w:rsidP="00CE5EB2">
      <w:pPr>
        <w:spacing w:before="240" w:after="240"/>
        <w:ind w:firstLine="708"/>
        <w:jc w:val="both"/>
        <w:rPr>
          <w:sz w:val="24"/>
          <w:szCs w:val="24"/>
        </w:rPr>
      </w:pPr>
      <w:r w:rsidRPr="002B61D7">
        <w:rPr>
          <w:sz w:val="24"/>
          <w:szCs w:val="24"/>
        </w:rPr>
        <w:t xml:space="preserve">De acordo com </w:t>
      </w:r>
      <w:proofErr w:type="spellStart"/>
      <w:r w:rsidRPr="002B61D7">
        <w:rPr>
          <w:sz w:val="24"/>
          <w:szCs w:val="24"/>
        </w:rPr>
        <w:t>Triviños</w:t>
      </w:r>
      <w:proofErr w:type="spellEnd"/>
      <w:r w:rsidRPr="002B61D7">
        <w:rPr>
          <w:sz w:val="24"/>
          <w:szCs w:val="24"/>
        </w:rPr>
        <w:t xml:space="preserve"> (1987), uma pesquisa descritiva exige do pesquisador uma série de informações a serem pesquisadas, pretendendo descrever fatos e fenômenos de determinada realidade. </w:t>
      </w:r>
    </w:p>
    <w:p w:rsidR="00CE5EB2" w:rsidRPr="002B61D7" w:rsidRDefault="00CE5EB2" w:rsidP="00CE5EB2">
      <w:pPr>
        <w:spacing w:before="240" w:after="240"/>
        <w:ind w:firstLine="709"/>
        <w:jc w:val="both"/>
        <w:rPr>
          <w:sz w:val="24"/>
          <w:szCs w:val="24"/>
        </w:rPr>
      </w:pPr>
      <w:r>
        <w:rPr>
          <w:sz w:val="24"/>
          <w:szCs w:val="24"/>
        </w:rPr>
        <w:t>Conforme Fonseca (2002), a pesquisa</w:t>
      </w:r>
      <w:r w:rsidRPr="003F2F15">
        <w:rPr>
          <w:sz w:val="24"/>
          <w:szCs w:val="24"/>
        </w:rPr>
        <w:t xml:space="preserve"> documental</w:t>
      </w:r>
      <w:r>
        <w:rPr>
          <w:sz w:val="24"/>
          <w:szCs w:val="24"/>
        </w:rPr>
        <w:t xml:space="preserve"> </w:t>
      </w:r>
      <w:r w:rsidRPr="003F2F15">
        <w:rPr>
          <w:sz w:val="24"/>
          <w:szCs w:val="24"/>
        </w:rPr>
        <w:t>recorre a fontes mais diversificadas e dispersas, sem tratamento analítico, tais como: tabelas estatísticas, r</w:t>
      </w:r>
      <w:r>
        <w:rPr>
          <w:sz w:val="24"/>
          <w:szCs w:val="24"/>
        </w:rPr>
        <w:t>elatórios, documentos oficiais</w:t>
      </w:r>
      <w:r w:rsidRPr="003F2F15">
        <w:rPr>
          <w:sz w:val="24"/>
          <w:szCs w:val="24"/>
        </w:rPr>
        <w:t xml:space="preserve">, etc. </w:t>
      </w:r>
    </w:p>
    <w:p w:rsidR="00CE5EB2" w:rsidRPr="003F2F15" w:rsidRDefault="00CE5EB2" w:rsidP="00CE5EB2">
      <w:pPr>
        <w:spacing w:before="240" w:after="240"/>
        <w:ind w:firstLine="708"/>
        <w:jc w:val="both"/>
        <w:rPr>
          <w:sz w:val="24"/>
          <w:szCs w:val="24"/>
        </w:rPr>
      </w:pPr>
      <w:r w:rsidRPr="002B61D7">
        <w:rPr>
          <w:sz w:val="24"/>
          <w:szCs w:val="24"/>
        </w:rPr>
        <w:t xml:space="preserve">A abordagem do estudo é quantitativa quando, segundo Fonseca (2002), recorre à linguagem matemática para descrever as relações entre variáveis, e qualitativa, de acordo com </w:t>
      </w:r>
      <w:proofErr w:type="spellStart"/>
      <w:r w:rsidRPr="002B61D7">
        <w:rPr>
          <w:sz w:val="24"/>
          <w:szCs w:val="24"/>
        </w:rPr>
        <w:t>Gerhardt</w:t>
      </w:r>
      <w:proofErr w:type="spellEnd"/>
      <w:r w:rsidRPr="002B61D7">
        <w:rPr>
          <w:sz w:val="24"/>
          <w:szCs w:val="24"/>
        </w:rPr>
        <w:t xml:space="preserve"> e Silveira (2009), quando busca o aprofundamento da compreensão das organizações, sendo capaz de produzir novas informações.</w:t>
      </w:r>
      <w:r w:rsidRPr="003F2F15">
        <w:rPr>
          <w:sz w:val="24"/>
          <w:szCs w:val="24"/>
        </w:rPr>
        <w:t xml:space="preserve"> </w:t>
      </w:r>
    </w:p>
    <w:p w:rsidR="00CE5EB2" w:rsidRPr="003F2F15" w:rsidRDefault="00CE5EB2" w:rsidP="00CE5EB2">
      <w:pPr>
        <w:spacing w:before="240" w:after="240"/>
        <w:ind w:firstLine="709"/>
        <w:jc w:val="both"/>
        <w:rPr>
          <w:sz w:val="24"/>
          <w:szCs w:val="24"/>
        </w:rPr>
      </w:pPr>
      <w:r>
        <w:rPr>
          <w:sz w:val="24"/>
          <w:szCs w:val="24"/>
        </w:rPr>
        <w:t xml:space="preserve">A pesquisa </w:t>
      </w:r>
      <w:r w:rsidRPr="003F2F15">
        <w:rPr>
          <w:sz w:val="24"/>
          <w:szCs w:val="24"/>
        </w:rPr>
        <w:t>tem como base as demonstrações contábeis dos seguintes clubes de Santa Catarina: Avaí Futebol Clube, Brusque Futebol Clube, Associação Chapecoense de Futebol, Criciúma Esporte Clube, Figueirense Futebol Clube, Esporte Clube Internacional, Joinville Esporte Clube e Clube Atlético Metropolitano. A escolha destes oito clubes se deve a participação dos mesmos em competições nacionais da Confederação Brasileira de Futebol em 2016 e 2017.</w:t>
      </w:r>
    </w:p>
    <w:p w:rsidR="00CE5EB2" w:rsidRPr="003F2F15" w:rsidRDefault="00CE5EB2" w:rsidP="00CE5EB2">
      <w:pPr>
        <w:spacing w:before="240" w:after="240"/>
        <w:ind w:firstLine="709"/>
        <w:jc w:val="both"/>
        <w:rPr>
          <w:sz w:val="24"/>
          <w:szCs w:val="24"/>
        </w:rPr>
      </w:pPr>
      <w:r w:rsidRPr="003F2F15">
        <w:rPr>
          <w:sz w:val="24"/>
          <w:szCs w:val="24"/>
        </w:rPr>
        <w:t>Os dados do estudo foram coletados por meio do site da Federação Catarinense de Futebol, que disponibiliza as demonstrações contábeis de seus clubes filiados desde 2012. No entanto, as demonstrações do Brusque, em 2012, da Chapecoense, em 2012 e 2013, e do Inter de Lages, em 2012, 2013 e 2016, não foram localizadas no site da entidade e nem nos sites oficiais dos clubes. Os clubes também não responderam e-mails enviados solicitando os demonstrativos. Com isso, os índices dos clubes nestes anos não puderam ser calculados.</w:t>
      </w:r>
    </w:p>
    <w:p w:rsidR="00CE5EB2" w:rsidRPr="003F2F15" w:rsidRDefault="00CE5EB2" w:rsidP="00CE5EB2">
      <w:pPr>
        <w:spacing w:before="240" w:after="240"/>
        <w:ind w:firstLine="709"/>
        <w:jc w:val="both"/>
        <w:rPr>
          <w:sz w:val="24"/>
          <w:szCs w:val="24"/>
        </w:rPr>
      </w:pPr>
      <w:r w:rsidRPr="003F2F15">
        <w:rPr>
          <w:sz w:val="24"/>
          <w:szCs w:val="24"/>
        </w:rPr>
        <w:t xml:space="preserve">Após a coleta de dados, </w:t>
      </w:r>
      <w:proofErr w:type="gramStart"/>
      <w:r w:rsidRPr="003F2F15">
        <w:rPr>
          <w:sz w:val="24"/>
          <w:szCs w:val="24"/>
        </w:rPr>
        <w:t>calculou-se</w:t>
      </w:r>
      <w:proofErr w:type="gramEnd"/>
      <w:r w:rsidRPr="003F2F15">
        <w:rPr>
          <w:sz w:val="24"/>
          <w:szCs w:val="24"/>
        </w:rPr>
        <w:t xml:space="preserve"> os seguintes índices de rentabilidade, liquidez e endividamento: Rentabilidade do Ativo, Rentabilidade do Patrimônio Líquido, Liquidez Corrente, Liquidez Geral, Grau de Endividamento Global, Participação de Capitais de Terceiros e Composição do Endividamento. Nos índices de rentabilidade, foram utilizados para o cálculo o Resultado Líquido dos exercícios, além do Ativo Total e Patrimônio Líquido ao fim dos exercícios. </w:t>
      </w:r>
      <w:r w:rsidRPr="002B61D7">
        <w:rPr>
          <w:sz w:val="24"/>
          <w:szCs w:val="24"/>
        </w:rPr>
        <w:t>Nos índices de liquidez, foram excluídas da análise a Liquidez Seca, em virtude da pouca presença de estoque nos clubes, e a Liquidez Imediata, índice considerado irrelevante pelos autores.</w:t>
      </w:r>
    </w:p>
    <w:p w:rsidR="00CE5EB2" w:rsidRPr="003F2F15" w:rsidRDefault="00CE5EB2" w:rsidP="00CE5EB2">
      <w:pPr>
        <w:spacing w:before="240" w:after="240"/>
        <w:ind w:firstLine="709"/>
        <w:jc w:val="both"/>
        <w:rPr>
          <w:sz w:val="24"/>
          <w:szCs w:val="24"/>
        </w:rPr>
      </w:pPr>
      <w:r w:rsidRPr="003F2F15">
        <w:rPr>
          <w:sz w:val="24"/>
          <w:szCs w:val="24"/>
        </w:rPr>
        <w:t>A partir da apuração dos índices, tem-se a avaliação da rentabilidade, liquidez e endividamento das agremiações e a análise conjunta destes índices.</w:t>
      </w:r>
    </w:p>
    <w:p w:rsidR="00CE5EB2" w:rsidRPr="003F2F15" w:rsidRDefault="00CE5EB2" w:rsidP="00CE5EB2">
      <w:pPr>
        <w:spacing w:before="240" w:after="240"/>
        <w:jc w:val="both"/>
        <w:rPr>
          <w:b/>
          <w:sz w:val="24"/>
          <w:szCs w:val="24"/>
        </w:rPr>
      </w:pPr>
      <w:proofErr w:type="gramStart"/>
      <w:r w:rsidRPr="003F2F15">
        <w:rPr>
          <w:b/>
          <w:sz w:val="24"/>
          <w:szCs w:val="24"/>
        </w:rPr>
        <w:t>4</w:t>
      </w:r>
      <w:proofErr w:type="gramEnd"/>
      <w:r w:rsidRPr="003F2F15">
        <w:rPr>
          <w:b/>
          <w:sz w:val="24"/>
          <w:szCs w:val="24"/>
        </w:rPr>
        <w:t xml:space="preserve"> ANÁLISE DOS DADOS</w:t>
      </w:r>
    </w:p>
    <w:p w:rsidR="00CE5EB2" w:rsidRPr="002B61D7" w:rsidRDefault="00CE5EB2" w:rsidP="00CE5EB2">
      <w:pPr>
        <w:spacing w:before="240" w:after="240"/>
        <w:ind w:firstLine="708"/>
        <w:jc w:val="both"/>
        <w:rPr>
          <w:sz w:val="24"/>
          <w:szCs w:val="24"/>
        </w:rPr>
      </w:pPr>
      <w:r w:rsidRPr="002B61D7">
        <w:rPr>
          <w:sz w:val="24"/>
          <w:szCs w:val="24"/>
        </w:rPr>
        <w:t>Na sequência são apresentados os índices apurados a partir dos dados contábeis fornecidos pelos clubes, a avaliação dos indicadores e sua evolução ao longo dos anos analisados.</w:t>
      </w:r>
    </w:p>
    <w:p w:rsidR="00CE5EB2" w:rsidRPr="002B61D7" w:rsidRDefault="00CE5EB2" w:rsidP="00CE5EB2">
      <w:pPr>
        <w:spacing w:before="240" w:after="240"/>
        <w:jc w:val="both"/>
        <w:rPr>
          <w:b/>
          <w:sz w:val="24"/>
          <w:szCs w:val="24"/>
        </w:rPr>
      </w:pPr>
      <w:r w:rsidRPr="002B61D7">
        <w:rPr>
          <w:b/>
          <w:sz w:val="24"/>
          <w:szCs w:val="24"/>
        </w:rPr>
        <w:t>4.1 Índices de Rentabilidade</w:t>
      </w:r>
    </w:p>
    <w:p w:rsidR="00CE5EB2" w:rsidRPr="00943354" w:rsidRDefault="00CE5EB2" w:rsidP="00CE5EB2">
      <w:pPr>
        <w:spacing w:before="240" w:after="240"/>
        <w:jc w:val="both"/>
        <w:rPr>
          <w:sz w:val="24"/>
          <w:szCs w:val="24"/>
        </w:rPr>
      </w:pPr>
      <w:r w:rsidRPr="002B61D7">
        <w:rPr>
          <w:b/>
          <w:sz w:val="24"/>
          <w:szCs w:val="24"/>
        </w:rPr>
        <w:lastRenderedPageBreak/>
        <w:tab/>
      </w:r>
      <w:r w:rsidRPr="002B61D7">
        <w:rPr>
          <w:sz w:val="24"/>
          <w:szCs w:val="24"/>
        </w:rPr>
        <w:t>A análise econômica dos clubes participantes da pesquisa foi realizada por meio dos índices de rentabilidade do Ativo e do Patrimônio Líquido.</w:t>
      </w:r>
      <w:r>
        <w:rPr>
          <w:sz w:val="24"/>
          <w:szCs w:val="24"/>
        </w:rPr>
        <w:t xml:space="preserve"> </w:t>
      </w:r>
      <w:r w:rsidRPr="002E411D">
        <w:rPr>
          <w:sz w:val="24"/>
          <w:szCs w:val="24"/>
        </w:rPr>
        <w:t xml:space="preserve">Na sequência, </w:t>
      </w:r>
      <w:r>
        <w:rPr>
          <w:sz w:val="24"/>
          <w:szCs w:val="24"/>
        </w:rPr>
        <w:t>a tabela</w:t>
      </w:r>
      <w:r w:rsidRPr="002E411D">
        <w:rPr>
          <w:sz w:val="24"/>
          <w:szCs w:val="24"/>
        </w:rPr>
        <w:t xml:space="preserve"> 01 apresenta os índices de rentabilidade do Ativo calculados.</w:t>
      </w:r>
    </w:p>
    <w:p w:rsidR="00CE5EB2" w:rsidRPr="002B75ED" w:rsidRDefault="00CE5EB2" w:rsidP="00CE5EB2">
      <w:pPr>
        <w:spacing w:before="240"/>
        <w:jc w:val="both"/>
      </w:pPr>
      <w:proofErr w:type="gramStart"/>
      <w:r>
        <w:t>Tabela</w:t>
      </w:r>
      <w:r w:rsidRPr="002B75ED">
        <w:t xml:space="preserve"> 01 – </w:t>
      </w:r>
      <w:r>
        <w:t>Índices</w:t>
      </w:r>
      <w:r w:rsidRPr="002B75ED">
        <w:t xml:space="preserve"> da Rentabilidade do Ativo</w:t>
      </w:r>
      <w:proofErr w:type="gramEnd"/>
    </w:p>
    <w:tbl>
      <w:tblPr>
        <w:tblW w:w="5000" w:type="pct"/>
        <w:jc w:val="center"/>
        <w:tblCellMar>
          <w:left w:w="70" w:type="dxa"/>
          <w:right w:w="70" w:type="dxa"/>
        </w:tblCellMar>
        <w:tblLook w:val="04A0"/>
      </w:tblPr>
      <w:tblGrid>
        <w:gridCol w:w="2448"/>
        <w:gridCol w:w="1368"/>
        <w:gridCol w:w="1134"/>
        <w:gridCol w:w="1585"/>
        <w:gridCol w:w="1335"/>
        <w:gridCol w:w="1335"/>
      </w:tblGrid>
      <w:tr w:rsidR="00CE5EB2" w:rsidRPr="002B75ED" w:rsidTr="00816E2D">
        <w:trPr>
          <w:trHeight w:val="305"/>
          <w:jc w:val="center"/>
        </w:trPr>
        <w:tc>
          <w:tcPr>
            <w:tcW w:w="133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EB2" w:rsidRPr="002B75ED" w:rsidRDefault="00CE5EB2" w:rsidP="00CE5EB2">
            <w:pPr>
              <w:rPr>
                <w:b/>
                <w:bCs/>
                <w:color w:val="000000"/>
              </w:rPr>
            </w:pPr>
            <w:r w:rsidRPr="002B75ED">
              <w:rPr>
                <w:b/>
                <w:bCs/>
                <w:color w:val="000000"/>
              </w:rPr>
              <w:t>Clube</w:t>
            </w:r>
          </w:p>
        </w:tc>
        <w:tc>
          <w:tcPr>
            <w:tcW w:w="743" w:type="pct"/>
            <w:tcBorders>
              <w:top w:val="single" w:sz="4" w:space="0" w:color="auto"/>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b/>
                <w:bCs/>
                <w:color w:val="000000"/>
              </w:rPr>
            </w:pPr>
            <w:r w:rsidRPr="002B75ED">
              <w:rPr>
                <w:b/>
                <w:bCs/>
                <w:color w:val="000000"/>
              </w:rPr>
              <w:t>2012</w:t>
            </w:r>
          </w:p>
        </w:tc>
        <w:tc>
          <w:tcPr>
            <w:tcW w:w="616" w:type="pct"/>
            <w:tcBorders>
              <w:top w:val="single" w:sz="4" w:space="0" w:color="auto"/>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b/>
                <w:bCs/>
                <w:color w:val="000000"/>
              </w:rPr>
            </w:pPr>
            <w:r w:rsidRPr="002B75ED">
              <w:rPr>
                <w:b/>
                <w:bCs/>
                <w:color w:val="000000"/>
              </w:rPr>
              <w:t>2013</w:t>
            </w:r>
          </w:p>
        </w:tc>
        <w:tc>
          <w:tcPr>
            <w:tcW w:w="861" w:type="pct"/>
            <w:tcBorders>
              <w:top w:val="single" w:sz="4" w:space="0" w:color="auto"/>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b/>
                <w:bCs/>
                <w:color w:val="000000"/>
              </w:rPr>
            </w:pPr>
            <w:r w:rsidRPr="002B75ED">
              <w:rPr>
                <w:b/>
                <w:bCs/>
                <w:color w:val="000000"/>
              </w:rPr>
              <w:t>2014</w:t>
            </w:r>
          </w:p>
        </w:tc>
        <w:tc>
          <w:tcPr>
            <w:tcW w:w="725" w:type="pct"/>
            <w:tcBorders>
              <w:top w:val="single" w:sz="4" w:space="0" w:color="auto"/>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b/>
                <w:bCs/>
                <w:color w:val="000000"/>
              </w:rPr>
            </w:pPr>
            <w:r w:rsidRPr="002B75ED">
              <w:rPr>
                <w:b/>
                <w:bCs/>
                <w:color w:val="000000"/>
              </w:rPr>
              <w:t>2015</w:t>
            </w:r>
          </w:p>
        </w:tc>
        <w:tc>
          <w:tcPr>
            <w:tcW w:w="725" w:type="pct"/>
            <w:tcBorders>
              <w:top w:val="single" w:sz="4" w:space="0" w:color="auto"/>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b/>
                <w:bCs/>
                <w:color w:val="000000"/>
              </w:rPr>
            </w:pPr>
            <w:r w:rsidRPr="002B75ED">
              <w:rPr>
                <w:b/>
                <w:bCs/>
                <w:color w:val="000000"/>
              </w:rPr>
              <w:t>2016</w:t>
            </w:r>
          </w:p>
        </w:tc>
      </w:tr>
      <w:tr w:rsidR="00CE5EB2" w:rsidRPr="002B75ED" w:rsidTr="00816E2D">
        <w:trPr>
          <w:trHeight w:val="305"/>
          <w:jc w:val="center"/>
        </w:trPr>
        <w:tc>
          <w:tcPr>
            <w:tcW w:w="1330" w:type="pct"/>
            <w:tcBorders>
              <w:top w:val="nil"/>
              <w:left w:val="single" w:sz="4" w:space="0" w:color="auto"/>
              <w:bottom w:val="single" w:sz="4" w:space="0" w:color="auto"/>
              <w:right w:val="single" w:sz="4" w:space="0" w:color="auto"/>
            </w:tcBorders>
            <w:shd w:val="clear" w:color="auto" w:fill="auto"/>
            <w:noWrap/>
            <w:vAlign w:val="bottom"/>
            <w:hideMark/>
          </w:tcPr>
          <w:p w:rsidR="00CE5EB2" w:rsidRPr="002B75ED" w:rsidRDefault="00CE5EB2" w:rsidP="00CE5EB2">
            <w:pPr>
              <w:rPr>
                <w:color w:val="000000"/>
              </w:rPr>
            </w:pPr>
            <w:r w:rsidRPr="002B75ED">
              <w:rPr>
                <w:color w:val="000000"/>
              </w:rPr>
              <w:t>Avaí</w:t>
            </w:r>
          </w:p>
        </w:tc>
        <w:tc>
          <w:tcPr>
            <w:tcW w:w="743"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-11,97%</w:t>
            </w:r>
          </w:p>
        </w:tc>
        <w:tc>
          <w:tcPr>
            <w:tcW w:w="616"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-16,33%</w:t>
            </w:r>
          </w:p>
        </w:tc>
        <w:tc>
          <w:tcPr>
            <w:tcW w:w="861"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0,43%</w:t>
            </w:r>
          </w:p>
        </w:tc>
        <w:tc>
          <w:tcPr>
            <w:tcW w:w="725"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-21,14%</w:t>
            </w:r>
          </w:p>
        </w:tc>
        <w:tc>
          <w:tcPr>
            <w:tcW w:w="725"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-12,67%</w:t>
            </w:r>
          </w:p>
        </w:tc>
      </w:tr>
      <w:tr w:rsidR="00CE5EB2" w:rsidRPr="002B75ED" w:rsidTr="00816E2D">
        <w:trPr>
          <w:trHeight w:val="305"/>
          <w:jc w:val="center"/>
        </w:trPr>
        <w:tc>
          <w:tcPr>
            <w:tcW w:w="1330" w:type="pct"/>
            <w:tcBorders>
              <w:top w:val="nil"/>
              <w:left w:val="single" w:sz="4" w:space="0" w:color="auto"/>
              <w:bottom w:val="single" w:sz="4" w:space="0" w:color="auto"/>
              <w:right w:val="single" w:sz="4" w:space="0" w:color="auto"/>
            </w:tcBorders>
            <w:shd w:val="clear" w:color="auto" w:fill="auto"/>
            <w:noWrap/>
            <w:vAlign w:val="bottom"/>
            <w:hideMark/>
          </w:tcPr>
          <w:p w:rsidR="00CE5EB2" w:rsidRPr="002B75ED" w:rsidRDefault="00CE5EB2" w:rsidP="00CE5EB2">
            <w:pPr>
              <w:rPr>
                <w:color w:val="000000"/>
              </w:rPr>
            </w:pPr>
            <w:r w:rsidRPr="002B75ED">
              <w:rPr>
                <w:color w:val="000000"/>
              </w:rPr>
              <w:t>Brusque</w:t>
            </w:r>
          </w:p>
        </w:tc>
        <w:tc>
          <w:tcPr>
            <w:tcW w:w="743"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p>
        </w:tc>
        <w:tc>
          <w:tcPr>
            <w:tcW w:w="616"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2,03%</w:t>
            </w:r>
          </w:p>
        </w:tc>
        <w:tc>
          <w:tcPr>
            <w:tcW w:w="861"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0,44%</w:t>
            </w:r>
          </w:p>
        </w:tc>
        <w:tc>
          <w:tcPr>
            <w:tcW w:w="725"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1,28%</w:t>
            </w:r>
          </w:p>
        </w:tc>
        <w:tc>
          <w:tcPr>
            <w:tcW w:w="725"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-67,03%</w:t>
            </w:r>
          </w:p>
        </w:tc>
      </w:tr>
      <w:tr w:rsidR="00CE5EB2" w:rsidRPr="002B75ED" w:rsidTr="00816E2D">
        <w:trPr>
          <w:trHeight w:val="305"/>
          <w:jc w:val="center"/>
        </w:trPr>
        <w:tc>
          <w:tcPr>
            <w:tcW w:w="1330" w:type="pct"/>
            <w:tcBorders>
              <w:top w:val="nil"/>
              <w:left w:val="single" w:sz="4" w:space="0" w:color="auto"/>
              <w:bottom w:val="single" w:sz="4" w:space="0" w:color="auto"/>
              <w:right w:val="single" w:sz="4" w:space="0" w:color="auto"/>
            </w:tcBorders>
            <w:shd w:val="clear" w:color="auto" w:fill="auto"/>
            <w:noWrap/>
            <w:vAlign w:val="bottom"/>
            <w:hideMark/>
          </w:tcPr>
          <w:p w:rsidR="00CE5EB2" w:rsidRPr="002B75ED" w:rsidRDefault="00CE5EB2" w:rsidP="00CE5EB2">
            <w:pPr>
              <w:rPr>
                <w:color w:val="000000"/>
              </w:rPr>
            </w:pPr>
            <w:r w:rsidRPr="002B75ED">
              <w:rPr>
                <w:color w:val="000000"/>
              </w:rPr>
              <w:t>Chapecoense</w:t>
            </w:r>
          </w:p>
        </w:tc>
        <w:tc>
          <w:tcPr>
            <w:tcW w:w="743"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p>
        </w:tc>
        <w:tc>
          <w:tcPr>
            <w:tcW w:w="616"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p>
        </w:tc>
        <w:tc>
          <w:tcPr>
            <w:tcW w:w="861"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20,01%</w:t>
            </w:r>
          </w:p>
        </w:tc>
        <w:tc>
          <w:tcPr>
            <w:tcW w:w="725"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33,91%</w:t>
            </w:r>
          </w:p>
        </w:tc>
        <w:tc>
          <w:tcPr>
            <w:tcW w:w="725"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9,56%</w:t>
            </w:r>
          </w:p>
        </w:tc>
      </w:tr>
      <w:tr w:rsidR="00CE5EB2" w:rsidRPr="002B75ED" w:rsidTr="00816E2D">
        <w:trPr>
          <w:trHeight w:val="305"/>
          <w:jc w:val="center"/>
        </w:trPr>
        <w:tc>
          <w:tcPr>
            <w:tcW w:w="1330" w:type="pct"/>
            <w:tcBorders>
              <w:top w:val="nil"/>
              <w:left w:val="single" w:sz="4" w:space="0" w:color="auto"/>
              <w:bottom w:val="single" w:sz="4" w:space="0" w:color="auto"/>
              <w:right w:val="single" w:sz="4" w:space="0" w:color="auto"/>
            </w:tcBorders>
            <w:shd w:val="clear" w:color="auto" w:fill="auto"/>
            <w:noWrap/>
            <w:vAlign w:val="bottom"/>
            <w:hideMark/>
          </w:tcPr>
          <w:p w:rsidR="00CE5EB2" w:rsidRPr="002B75ED" w:rsidRDefault="00CE5EB2" w:rsidP="00CE5EB2">
            <w:pPr>
              <w:rPr>
                <w:color w:val="000000"/>
              </w:rPr>
            </w:pPr>
            <w:r w:rsidRPr="002B75ED">
              <w:rPr>
                <w:color w:val="000000"/>
              </w:rPr>
              <w:t>Criciúma</w:t>
            </w:r>
          </w:p>
        </w:tc>
        <w:tc>
          <w:tcPr>
            <w:tcW w:w="743"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-3,60%</w:t>
            </w:r>
          </w:p>
        </w:tc>
        <w:tc>
          <w:tcPr>
            <w:tcW w:w="616"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10,18%</w:t>
            </w:r>
          </w:p>
        </w:tc>
        <w:tc>
          <w:tcPr>
            <w:tcW w:w="861"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0,01%</w:t>
            </w:r>
          </w:p>
        </w:tc>
        <w:tc>
          <w:tcPr>
            <w:tcW w:w="725"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-16,59%</w:t>
            </w:r>
          </w:p>
        </w:tc>
        <w:tc>
          <w:tcPr>
            <w:tcW w:w="725"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0,06%</w:t>
            </w:r>
          </w:p>
        </w:tc>
      </w:tr>
      <w:tr w:rsidR="00CE5EB2" w:rsidRPr="002B75ED" w:rsidTr="00816E2D">
        <w:trPr>
          <w:trHeight w:val="305"/>
          <w:jc w:val="center"/>
        </w:trPr>
        <w:tc>
          <w:tcPr>
            <w:tcW w:w="1330" w:type="pct"/>
            <w:tcBorders>
              <w:top w:val="nil"/>
              <w:left w:val="single" w:sz="4" w:space="0" w:color="auto"/>
              <w:bottom w:val="single" w:sz="4" w:space="0" w:color="auto"/>
              <w:right w:val="single" w:sz="4" w:space="0" w:color="auto"/>
            </w:tcBorders>
            <w:shd w:val="clear" w:color="auto" w:fill="auto"/>
            <w:noWrap/>
            <w:vAlign w:val="bottom"/>
            <w:hideMark/>
          </w:tcPr>
          <w:p w:rsidR="00CE5EB2" w:rsidRPr="002B75ED" w:rsidRDefault="00CE5EB2" w:rsidP="00CE5EB2">
            <w:pPr>
              <w:rPr>
                <w:color w:val="000000"/>
              </w:rPr>
            </w:pPr>
            <w:r w:rsidRPr="002B75ED">
              <w:rPr>
                <w:color w:val="000000"/>
              </w:rPr>
              <w:t>Figueirense</w:t>
            </w:r>
          </w:p>
        </w:tc>
        <w:tc>
          <w:tcPr>
            <w:tcW w:w="743"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-22,75%</w:t>
            </w:r>
          </w:p>
        </w:tc>
        <w:tc>
          <w:tcPr>
            <w:tcW w:w="616"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-49,70%</w:t>
            </w:r>
          </w:p>
        </w:tc>
        <w:tc>
          <w:tcPr>
            <w:tcW w:w="861"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-22,41%</w:t>
            </w:r>
          </w:p>
        </w:tc>
        <w:tc>
          <w:tcPr>
            <w:tcW w:w="725"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2,49%</w:t>
            </w:r>
          </w:p>
        </w:tc>
        <w:tc>
          <w:tcPr>
            <w:tcW w:w="725"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5,92%</w:t>
            </w:r>
          </w:p>
        </w:tc>
      </w:tr>
      <w:tr w:rsidR="00CE5EB2" w:rsidRPr="002B75ED" w:rsidTr="00816E2D">
        <w:trPr>
          <w:trHeight w:val="305"/>
          <w:jc w:val="center"/>
        </w:trPr>
        <w:tc>
          <w:tcPr>
            <w:tcW w:w="1330" w:type="pct"/>
            <w:tcBorders>
              <w:top w:val="nil"/>
              <w:left w:val="single" w:sz="4" w:space="0" w:color="auto"/>
              <w:bottom w:val="single" w:sz="4" w:space="0" w:color="auto"/>
              <w:right w:val="single" w:sz="4" w:space="0" w:color="auto"/>
            </w:tcBorders>
            <w:shd w:val="clear" w:color="auto" w:fill="auto"/>
            <w:noWrap/>
            <w:vAlign w:val="bottom"/>
            <w:hideMark/>
          </w:tcPr>
          <w:p w:rsidR="00CE5EB2" w:rsidRPr="002B75ED" w:rsidRDefault="00CE5EB2" w:rsidP="00CE5EB2">
            <w:pPr>
              <w:rPr>
                <w:color w:val="000000"/>
              </w:rPr>
            </w:pPr>
            <w:r w:rsidRPr="002B75ED">
              <w:rPr>
                <w:color w:val="000000"/>
              </w:rPr>
              <w:t>Inter de Lages</w:t>
            </w:r>
          </w:p>
        </w:tc>
        <w:tc>
          <w:tcPr>
            <w:tcW w:w="743"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p>
        </w:tc>
        <w:tc>
          <w:tcPr>
            <w:tcW w:w="616"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p>
        </w:tc>
        <w:tc>
          <w:tcPr>
            <w:tcW w:w="861"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-10315,89%</w:t>
            </w:r>
          </w:p>
        </w:tc>
        <w:tc>
          <w:tcPr>
            <w:tcW w:w="725"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4,35%</w:t>
            </w:r>
          </w:p>
        </w:tc>
        <w:tc>
          <w:tcPr>
            <w:tcW w:w="725"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p>
        </w:tc>
      </w:tr>
      <w:tr w:rsidR="00CE5EB2" w:rsidRPr="002B75ED" w:rsidTr="00816E2D">
        <w:trPr>
          <w:trHeight w:val="321"/>
          <w:jc w:val="center"/>
        </w:trPr>
        <w:tc>
          <w:tcPr>
            <w:tcW w:w="1330" w:type="pct"/>
            <w:tcBorders>
              <w:top w:val="nil"/>
              <w:left w:val="single" w:sz="4" w:space="0" w:color="auto"/>
              <w:bottom w:val="single" w:sz="4" w:space="0" w:color="auto"/>
              <w:right w:val="single" w:sz="4" w:space="0" w:color="auto"/>
            </w:tcBorders>
            <w:shd w:val="clear" w:color="auto" w:fill="auto"/>
            <w:noWrap/>
            <w:vAlign w:val="bottom"/>
            <w:hideMark/>
          </w:tcPr>
          <w:p w:rsidR="00CE5EB2" w:rsidRPr="002B75ED" w:rsidRDefault="00CE5EB2" w:rsidP="00CE5EB2">
            <w:pPr>
              <w:rPr>
                <w:color w:val="000000"/>
              </w:rPr>
            </w:pPr>
            <w:r w:rsidRPr="002B75ED">
              <w:rPr>
                <w:color w:val="000000"/>
              </w:rPr>
              <w:t>Joinville</w:t>
            </w:r>
          </w:p>
        </w:tc>
        <w:tc>
          <w:tcPr>
            <w:tcW w:w="743"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-47,76%</w:t>
            </w:r>
          </w:p>
        </w:tc>
        <w:tc>
          <w:tcPr>
            <w:tcW w:w="616"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-15,58%</w:t>
            </w:r>
          </w:p>
        </w:tc>
        <w:tc>
          <w:tcPr>
            <w:tcW w:w="861"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3,30%</w:t>
            </w:r>
          </w:p>
        </w:tc>
        <w:tc>
          <w:tcPr>
            <w:tcW w:w="725"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-3,38%</w:t>
            </w:r>
          </w:p>
        </w:tc>
        <w:tc>
          <w:tcPr>
            <w:tcW w:w="725"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-37,40%</w:t>
            </w:r>
          </w:p>
        </w:tc>
      </w:tr>
      <w:tr w:rsidR="00CE5EB2" w:rsidRPr="002B75ED" w:rsidTr="00816E2D">
        <w:trPr>
          <w:trHeight w:val="305"/>
          <w:jc w:val="center"/>
        </w:trPr>
        <w:tc>
          <w:tcPr>
            <w:tcW w:w="1330" w:type="pct"/>
            <w:tcBorders>
              <w:top w:val="nil"/>
              <w:left w:val="single" w:sz="4" w:space="0" w:color="auto"/>
              <w:bottom w:val="single" w:sz="4" w:space="0" w:color="auto"/>
              <w:right w:val="single" w:sz="4" w:space="0" w:color="auto"/>
            </w:tcBorders>
            <w:shd w:val="clear" w:color="auto" w:fill="auto"/>
            <w:noWrap/>
            <w:vAlign w:val="bottom"/>
            <w:hideMark/>
          </w:tcPr>
          <w:p w:rsidR="00CE5EB2" w:rsidRPr="002B75ED" w:rsidRDefault="00CE5EB2" w:rsidP="00CE5EB2">
            <w:pPr>
              <w:rPr>
                <w:color w:val="000000"/>
              </w:rPr>
            </w:pPr>
            <w:r w:rsidRPr="002B75ED">
              <w:rPr>
                <w:color w:val="000000"/>
              </w:rPr>
              <w:t>Metropolitano</w:t>
            </w:r>
          </w:p>
        </w:tc>
        <w:tc>
          <w:tcPr>
            <w:tcW w:w="743"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39,44%</w:t>
            </w:r>
          </w:p>
        </w:tc>
        <w:tc>
          <w:tcPr>
            <w:tcW w:w="616"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-43,36%</w:t>
            </w:r>
          </w:p>
        </w:tc>
        <w:tc>
          <w:tcPr>
            <w:tcW w:w="861"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-46,49%</w:t>
            </w:r>
          </w:p>
        </w:tc>
        <w:tc>
          <w:tcPr>
            <w:tcW w:w="725"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-41,40%</w:t>
            </w:r>
          </w:p>
        </w:tc>
        <w:tc>
          <w:tcPr>
            <w:tcW w:w="725" w:type="pct"/>
            <w:tcBorders>
              <w:top w:val="nil"/>
              <w:left w:val="nil"/>
              <w:bottom w:val="single" w:sz="4" w:space="0" w:color="auto"/>
              <w:right w:val="single" w:sz="4" w:space="0" w:color="auto"/>
            </w:tcBorders>
            <w:shd w:val="clear" w:color="auto" w:fill="auto"/>
            <w:noWrap/>
            <w:vAlign w:val="bottom"/>
            <w:hideMark/>
          </w:tcPr>
          <w:p w:rsidR="00CE5EB2" w:rsidRPr="002B75ED" w:rsidRDefault="00CE5EB2" w:rsidP="00CE5EB2">
            <w:pPr>
              <w:jc w:val="center"/>
              <w:rPr>
                <w:color w:val="000000"/>
              </w:rPr>
            </w:pPr>
            <w:r w:rsidRPr="002B75ED">
              <w:rPr>
                <w:color w:val="000000"/>
              </w:rPr>
              <w:t>7,90%</w:t>
            </w:r>
          </w:p>
        </w:tc>
      </w:tr>
    </w:tbl>
    <w:p w:rsidR="00CE5EB2" w:rsidRPr="002B75ED" w:rsidRDefault="00CE5EB2" w:rsidP="00CE5EB2">
      <w:pPr>
        <w:jc w:val="both"/>
      </w:pPr>
      <w:r w:rsidRPr="002B75ED">
        <w:t>Fonte: Elaborado pelo autor a partir das demonstrações contábeis.</w:t>
      </w:r>
    </w:p>
    <w:p w:rsidR="00CE5EB2" w:rsidRPr="002E411D" w:rsidRDefault="00CE5EB2" w:rsidP="00CE5EB2">
      <w:pPr>
        <w:spacing w:before="240"/>
        <w:ind w:firstLine="708"/>
        <w:jc w:val="both"/>
        <w:rPr>
          <w:sz w:val="24"/>
          <w:szCs w:val="24"/>
        </w:rPr>
      </w:pPr>
      <w:r w:rsidRPr="002E411D">
        <w:rPr>
          <w:sz w:val="24"/>
          <w:szCs w:val="24"/>
        </w:rPr>
        <w:t>De modo geral, os clubes catarinenses apresentaram, na maioria dos anos, índices negativos, em virtude dos déficits apresentados nas Demonstrações dos Resultados dos Exercícios. A exceção foi a Chapecoense, que nos três anos que demonstrou seu resultado, apresentou superávit, tendo a rentabilidade mais alta em 2014, 2015 e 2016 entre os clubes da pesquisa. Em 2016, o clube do oeste catarinense cresceu seu superávit em relação ao ano anterior, muito por conta das receitas advindas do bom desempenho do time na Copa Sul-Americana, mas como o aumento do Ativo Total foi proporcionalmente maior, o índice de rentabilidade teve redução.</w:t>
      </w:r>
    </w:p>
    <w:p w:rsidR="00CE5EB2" w:rsidRPr="002E411D" w:rsidRDefault="00CE5EB2" w:rsidP="00CE5EB2">
      <w:pPr>
        <w:spacing w:before="240"/>
        <w:ind w:firstLine="708"/>
        <w:jc w:val="both"/>
        <w:rPr>
          <w:sz w:val="24"/>
          <w:szCs w:val="24"/>
        </w:rPr>
      </w:pPr>
      <w:r w:rsidRPr="002E411D">
        <w:rPr>
          <w:sz w:val="24"/>
          <w:szCs w:val="24"/>
        </w:rPr>
        <w:t>O Metropolitano, que em 2012 apresentou uma rentabilidade de 39,44%, nos três anos seguintes teve déficit nos exercícios. O clube voltou a apresentar superávit em 2016. Essa volta do superávit pode ser explicada principalmente pela redução em mais de 50% das despesas com pessoal em relação a 2015.</w:t>
      </w:r>
    </w:p>
    <w:p w:rsidR="00CE5EB2" w:rsidRPr="002E411D" w:rsidRDefault="00CE5EB2" w:rsidP="00CE5EB2">
      <w:pPr>
        <w:spacing w:before="240"/>
        <w:ind w:firstLine="708"/>
        <w:jc w:val="both"/>
        <w:rPr>
          <w:sz w:val="24"/>
          <w:szCs w:val="24"/>
        </w:rPr>
      </w:pPr>
      <w:r w:rsidRPr="002E411D">
        <w:rPr>
          <w:sz w:val="24"/>
          <w:szCs w:val="24"/>
        </w:rPr>
        <w:t>O Figueirense apresentou consecutivos déficits nos três primeiros anos analisados, mas conseguiu se recuperar nos dois últimos anos. O Criciúma apresentou um equilíbrio entre receitas e despesas na maioria dos anos. Já o Avaí e o Joinville apresentaram superávits apenas em 2014, tendo déficits em todos os demais anos.</w:t>
      </w:r>
    </w:p>
    <w:p w:rsidR="00CE5EB2" w:rsidRDefault="00CE5EB2" w:rsidP="00CE5EB2">
      <w:pPr>
        <w:spacing w:before="240"/>
        <w:ind w:firstLine="708"/>
        <w:jc w:val="both"/>
        <w:rPr>
          <w:sz w:val="24"/>
          <w:szCs w:val="24"/>
        </w:rPr>
      </w:pPr>
      <w:proofErr w:type="gramStart"/>
      <w:r w:rsidRPr="002E411D">
        <w:rPr>
          <w:sz w:val="24"/>
          <w:szCs w:val="24"/>
        </w:rPr>
        <w:t>O Brusque</w:t>
      </w:r>
      <w:proofErr w:type="gramEnd"/>
      <w:r w:rsidRPr="002E411D">
        <w:rPr>
          <w:sz w:val="24"/>
          <w:szCs w:val="24"/>
        </w:rPr>
        <w:t>, que havia tido um equilíbrio no resultado na maioria dos exercícios, chamou a atenção por finalizar 2016 com um déficit alto para os padrões do clube. Por fim, o Inter de Lages, depois de ter um índice negativo preocupante em 2014, conseguiu no ano seguinte se recuperar e fechar com superávit.</w:t>
      </w:r>
    </w:p>
    <w:p w:rsidR="00CE5EB2" w:rsidRPr="003F2F15" w:rsidRDefault="00CE5EB2" w:rsidP="00CE5EB2">
      <w:pPr>
        <w:spacing w:before="240"/>
        <w:ind w:firstLine="708"/>
        <w:jc w:val="both"/>
        <w:rPr>
          <w:sz w:val="24"/>
          <w:szCs w:val="24"/>
        </w:rPr>
      </w:pPr>
      <w:r>
        <w:rPr>
          <w:sz w:val="24"/>
          <w:szCs w:val="24"/>
        </w:rPr>
        <w:t>Após a análise da rentabilidade do Ativo, a tabela 02 apresenta os índices de rentabilidade do Patrimônio Líquido.</w:t>
      </w:r>
    </w:p>
    <w:p w:rsidR="00CE5EB2" w:rsidRPr="002117D5" w:rsidRDefault="00CE5EB2" w:rsidP="00CE5EB2">
      <w:pPr>
        <w:spacing w:before="240"/>
      </w:pPr>
      <w:proofErr w:type="gramStart"/>
      <w:r>
        <w:t>Tabela</w:t>
      </w:r>
      <w:r w:rsidRPr="002117D5">
        <w:t xml:space="preserve"> 0</w:t>
      </w:r>
      <w:r>
        <w:t>2</w:t>
      </w:r>
      <w:r w:rsidRPr="002117D5">
        <w:t xml:space="preserve"> – </w:t>
      </w:r>
      <w:r>
        <w:t xml:space="preserve">Índices da </w:t>
      </w:r>
      <w:r w:rsidRPr="002117D5">
        <w:t xml:space="preserve">Rentabilidade do </w:t>
      </w:r>
      <w:r>
        <w:t>Patrimônio Líquido</w:t>
      </w:r>
      <w:proofErr w:type="gramEnd"/>
    </w:p>
    <w:tbl>
      <w:tblPr>
        <w:tblW w:w="5000" w:type="pct"/>
        <w:jc w:val="center"/>
        <w:tblCellMar>
          <w:left w:w="70" w:type="dxa"/>
          <w:right w:w="70" w:type="dxa"/>
        </w:tblCellMar>
        <w:tblLook w:val="04A0"/>
      </w:tblPr>
      <w:tblGrid>
        <w:gridCol w:w="2436"/>
        <w:gridCol w:w="1210"/>
        <w:gridCol w:w="1327"/>
        <w:gridCol w:w="1578"/>
        <w:gridCol w:w="1327"/>
        <w:gridCol w:w="1327"/>
      </w:tblGrid>
      <w:tr w:rsidR="00CE5EB2" w:rsidRPr="002117D5" w:rsidTr="00816E2D">
        <w:trPr>
          <w:trHeight w:val="300"/>
          <w:jc w:val="center"/>
        </w:trPr>
        <w:tc>
          <w:tcPr>
            <w:tcW w:w="132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EB2" w:rsidRPr="002117D5" w:rsidRDefault="00CE5EB2" w:rsidP="00CE5EB2">
            <w:pPr>
              <w:rPr>
                <w:b/>
                <w:bCs/>
                <w:color w:val="000000"/>
              </w:rPr>
            </w:pPr>
            <w:r w:rsidRPr="002117D5">
              <w:rPr>
                <w:b/>
                <w:bCs/>
                <w:color w:val="000000"/>
              </w:rPr>
              <w:t>Clube</w:t>
            </w:r>
          </w:p>
        </w:tc>
        <w:tc>
          <w:tcPr>
            <w:tcW w:w="657" w:type="pct"/>
            <w:tcBorders>
              <w:top w:val="single" w:sz="4" w:space="0" w:color="auto"/>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
                <w:bCs/>
                <w:color w:val="000000"/>
              </w:rPr>
            </w:pPr>
            <w:r w:rsidRPr="002117D5">
              <w:rPr>
                <w:b/>
                <w:bCs/>
                <w:color w:val="000000"/>
              </w:rPr>
              <w:t>2012</w:t>
            </w:r>
          </w:p>
        </w:tc>
        <w:tc>
          <w:tcPr>
            <w:tcW w:w="721" w:type="pct"/>
            <w:tcBorders>
              <w:top w:val="single" w:sz="4" w:space="0" w:color="auto"/>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
                <w:bCs/>
                <w:color w:val="000000"/>
              </w:rPr>
            </w:pPr>
            <w:r w:rsidRPr="002117D5">
              <w:rPr>
                <w:b/>
                <w:bCs/>
                <w:color w:val="000000"/>
              </w:rPr>
              <w:t>2013</w:t>
            </w:r>
          </w:p>
        </w:tc>
        <w:tc>
          <w:tcPr>
            <w:tcW w:w="857" w:type="pct"/>
            <w:tcBorders>
              <w:top w:val="single" w:sz="4" w:space="0" w:color="auto"/>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
                <w:bCs/>
                <w:color w:val="000000"/>
              </w:rPr>
            </w:pPr>
            <w:r w:rsidRPr="002117D5">
              <w:rPr>
                <w:b/>
                <w:bCs/>
                <w:color w:val="000000"/>
              </w:rPr>
              <w:t>2014</w:t>
            </w:r>
          </w:p>
        </w:tc>
        <w:tc>
          <w:tcPr>
            <w:tcW w:w="721" w:type="pct"/>
            <w:tcBorders>
              <w:top w:val="single" w:sz="4" w:space="0" w:color="auto"/>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
                <w:bCs/>
                <w:color w:val="000000"/>
              </w:rPr>
            </w:pPr>
            <w:r w:rsidRPr="002117D5">
              <w:rPr>
                <w:b/>
                <w:bCs/>
                <w:color w:val="000000"/>
              </w:rPr>
              <w:t>2015</w:t>
            </w:r>
          </w:p>
        </w:tc>
        <w:tc>
          <w:tcPr>
            <w:tcW w:w="721" w:type="pct"/>
            <w:tcBorders>
              <w:top w:val="single" w:sz="4" w:space="0" w:color="auto"/>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
                <w:bCs/>
                <w:color w:val="000000"/>
              </w:rPr>
            </w:pPr>
            <w:r w:rsidRPr="002117D5">
              <w:rPr>
                <w:b/>
                <w:bCs/>
                <w:color w:val="000000"/>
              </w:rPr>
              <w:t>2016</w:t>
            </w:r>
          </w:p>
        </w:tc>
      </w:tr>
      <w:tr w:rsidR="00CE5EB2" w:rsidRPr="002117D5" w:rsidTr="00816E2D">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rsidR="00CE5EB2" w:rsidRPr="002117D5" w:rsidRDefault="00CE5EB2" w:rsidP="00CE5EB2">
            <w:pPr>
              <w:rPr>
                <w:color w:val="000000"/>
              </w:rPr>
            </w:pPr>
            <w:r w:rsidRPr="002117D5">
              <w:rPr>
                <w:color w:val="000000"/>
              </w:rPr>
              <w:t>Avaí</w:t>
            </w:r>
          </w:p>
        </w:tc>
        <w:tc>
          <w:tcPr>
            <w:tcW w:w="657"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-34,46%</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-87,56%</w:t>
            </w:r>
          </w:p>
        </w:tc>
        <w:tc>
          <w:tcPr>
            <w:tcW w:w="857"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11,57%</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r>
      <w:tr w:rsidR="00CE5EB2" w:rsidRPr="002117D5" w:rsidTr="00816E2D">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rsidR="00CE5EB2" w:rsidRPr="002117D5" w:rsidRDefault="00CE5EB2" w:rsidP="00CE5EB2">
            <w:pPr>
              <w:rPr>
                <w:color w:val="000000"/>
              </w:rPr>
            </w:pPr>
            <w:r w:rsidRPr="002117D5">
              <w:rPr>
                <w:color w:val="000000"/>
              </w:rPr>
              <w:t>Brusque</w:t>
            </w:r>
          </w:p>
        </w:tc>
        <w:tc>
          <w:tcPr>
            <w:tcW w:w="657"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59,16%</w:t>
            </w:r>
          </w:p>
        </w:tc>
        <w:tc>
          <w:tcPr>
            <w:tcW w:w="857"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1,88%</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13,24%</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r>
      <w:tr w:rsidR="00CE5EB2" w:rsidRPr="002117D5" w:rsidTr="00816E2D">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rsidR="00CE5EB2" w:rsidRPr="002117D5" w:rsidRDefault="00CE5EB2" w:rsidP="00CE5EB2">
            <w:pPr>
              <w:rPr>
                <w:color w:val="000000"/>
              </w:rPr>
            </w:pPr>
            <w:r w:rsidRPr="002117D5">
              <w:rPr>
                <w:color w:val="000000"/>
              </w:rPr>
              <w:t>Chapecoense</w:t>
            </w:r>
          </w:p>
        </w:tc>
        <w:tc>
          <w:tcPr>
            <w:tcW w:w="657"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c>
          <w:tcPr>
            <w:tcW w:w="857"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96,29%</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66,57%</w:t>
            </w:r>
          </w:p>
        </w:tc>
      </w:tr>
      <w:tr w:rsidR="00CE5EB2" w:rsidRPr="002117D5" w:rsidTr="00816E2D">
        <w:trPr>
          <w:trHeight w:val="315"/>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rsidR="00CE5EB2" w:rsidRPr="002117D5" w:rsidRDefault="00CE5EB2" w:rsidP="00CE5EB2">
            <w:pPr>
              <w:rPr>
                <w:color w:val="000000"/>
              </w:rPr>
            </w:pPr>
            <w:r w:rsidRPr="002117D5">
              <w:rPr>
                <w:color w:val="000000"/>
              </w:rPr>
              <w:lastRenderedPageBreak/>
              <w:t>Criciúma</w:t>
            </w:r>
          </w:p>
        </w:tc>
        <w:tc>
          <w:tcPr>
            <w:tcW w:w="657"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-5,72%</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14,70%</w:t>
            </w:r>
          </w:p>
        </w:tc>
        <w:tc>
          <w:tcPr>
            <w:tcW w:w="857"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0,01%</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-32,17%</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0,11%</w:t>
            </w:r>
          </w:p>
        </w:tc>
      </w:tr>
      <w:tr w:rsidR="00CE5EB2" w:rsidRPr="002117D5" w:rsidTr="00816E2D">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rsidR="00CE5EB2" w:rsidRPr="002117D5" w:rsidRDefault="00CE5EB2" w:rsidP="00CE5EB2">
            <w:pPr>
              <w:rPr>
                <w:color w:val="000000"/>
              </w:rPr>
            </w:pPr>
            <w:r w:rsidRPr="002117D5">
              <w:rPr>
                <w:color w:val="000000"/>
              </w:rPr>
              <w:t>Figueirense</w:t>
            </w:r>
          </w:p>
        </w:tc>
        <w:tc>
          <w:tcPr>
            <w:tcW w:w="657"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857"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r>
      <w:tr w:rsidR="00CE5EB2" w:rsidRPr="002117D5" w:rsidTr="00816E2D">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rsidR="00CE5EB2" w:rsidRPr="002117D5" w:rsidRDefault="00CE5EB2" w:rsidP="00CE5EB2">
            <w:pPr>
              <w:rPr>
                <w:color w:val="000000"/>
              </w:rPr>
            </w:pPr>
            <w:r w:rsidRPr="002117D5">
              <w:rPr>
                <w:color w:val="000000"/>
              </w:rPr>
              <w:t>Inter de Lages</w:t>
            </w:r>
          </w:p>
        </w:tc>
        <w:tc>
          <w:tcPr>
            <w:tcW w:w="657"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c>
          <w:tcPr>
            <w:tcW w:w="857"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r>
      <w:tr w:rsidR="00CE5EB2" w:rsidRPr="002117D5" w:rsidTr="00816E2D">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rsidR="00CE5EB2" w:rsidRPr="002117D5" w:rsidRDefault="00CE5EB2" w:rsidP="00CE5EB2">
            <w:pPr>
              <w:rPr>
                <w:color w:val="000000"/>
              </w:rPr>
            </w:pPr>
            <w:r w:rsidRPr="002117D5">
              <w:rPr>
                <w:color w:val="000000"/>
              </w:rPr>
              <w:t>Joinville</w:t>
            </w:r>
          </w:p>
        </w:tc>
        <w:tc>
          <w:tcPr>
            <w:tcW w:w="657"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857"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r>
      <w:tr w:rsidR="00CE5EB2" w:rsidRPr="002117D5" w:rsidTr="00816E2D">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rsidR="00CE5EB2" w:rsidRPr="002117D5" w:rsidRDefault="00CE5EB2" w:rsidP="00CE5EB2">
            <w:pPr>
              <w:rPr>
                <w:color w:val="000000"/>
              </w:rPr>
            </w:pPr>
            <w:r w:rsidRPr="002117D5">
              <w:rPr>
                <w:color w:val="000000"/>
              </w:rPr>
              <w:t>Metropolitano</w:t>
            </w:r>
          </w:p>
        </w:tc>
        <w:tc>
          <w:tcPr>
            <w:tcW w:w="657"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857"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2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r>
    </w:tbl>
    <w:p w:rsidR="00CE5EB2" w:rsidRPr="002117D5" w:rsidRDefault="00CE5EB2" w:rsidP="00CE5EB2">
      <w:pPr>
        <w:jc w:val="both"/>
      </w:pPr>
      <w:r w:rsidRPr="0057775A">
        <w:t xml:space="preserve">Fonte: </w:t>
      </w:r>
      <w:r>
        <w:t>Elaborado pelo autor a partir das demonstrações contábeis</w:t>
      </w:r>
      <w:r w:rsidRPr="0057775A">
        <w:t>.</w:t>
      </w:r>
    </w:p>
    <w:p w:rsidR="00CE5EB2" w:rsidRPr="002B61D7" w:rsidRDefault="00CE5EB2" w:rsidP="00CE5EB2">
      <w:pPr>
        <w:spacing w:before="240"/>
        <w:ind w:firstLine="708"/>
        <w:jc w:val="both"/>
        <w:rPr>
          <w:sz w:val="24"/>
          <w:szCs w:val="24"/>
        </w:rPr>
      </w:pPr>
      <w:r w:rsidRPr="002B61D7">
        <w:rPr>
          <w:sz w:val="24"/>
          <w:szCs w:val="24"/>
        </w:rPr>
        <w:t xml:space="preserve">A análise dos índices de rentabilidade do Patrimônio Líquido dos clubes catarinenses foi prejudicada pela ocorrência de Passivo </w:t>
      </w:r>
      <w:proofErr w:type="gramStart"/>
      <w:r w:rsidRPr="002B61D7">
        <w:rPr>
          <w:sz w:val="24"/>
          <w:szCs w:val="24"/>
        </w:rPr>
        <w:t>a descoberto</w:t>
      </w:r>
      <w:proofErr w:type="gramEnd"/>
      <w:r w:rsidRPr="002B61D7">
        <w:rPr>
          <w:sz w:val="24"/>
          <w:szCs w:val="24"/>
        </w:rPr>
        <w:t xml:space="preserve"> em sete dos oito times analisados. Com os capitais de terceiros superando o Ativo Total, o Patrimônio Líquido fica negativo, o que acaba distorcendo o resultado do cálculo do índice. Figueirense, Inter de Lages, Joinville e Metropolitano apresentaram Passivo a descoberto em todos os anos analisados. </w:t>
      </w:r>
    </w:p>
    <w:p w:rsidR="00CE5EB2" w:rsidRPr="003F2F15" w:rsidRDefault="00CE5EB2" w:rsidP="00CE5EB2">
      <w:pPr>
        <w:spacing w:before="240"/>
        <w:ind w:firstLine="708"/>
        <w:jc w:val="both"/>
        <w:rPr>
          <w:sz w:val="24"/>
          <w:szCs w:val="24"/>
        </w:rPr>
      </w:pPr>
      <w:r w:rsidRPr="002B61D7">
        <w:rPr>
          <w:sz w:val="24"/>
          <w:szCs w:val="24"/>
        </w:rPr>
        <w:t>O Criciúma se destaca como único clube da pesquisa com Patrimônio Líquido positivo em todos os anos da análise. A Chapecoense passou a ter valor positivo de PL em 2015, apresentando uma alta rentabilidade do capital próprio naquele ano, assim como em 2016. Já o Avaí apresentou um Patrimônio Líquido positivo até 2014, tendo neste ano uma rentabilidade do PL de 11,57%.</w:t>
      </w:r>
    </w:p>
    <w:p w:rsidR="00CE5EB2" w:rsidRPr="003F2F15" w:rsidRDefault="00CE5EB2" w:rsidP="00CE5EB2">
      <w:pPr>
        <w:spacing w:before="240"/>
        <w:jc w:val="both"/>
        <w:rPr>
          <w:b/>
          <w:sz w:val="24"/>
          <w:szCs w:val="24"/>
        </w:rPr>
      </w:pPr>
      <w:r w:rsidRPr="003F2F15">
        <w:rPr>
          <w:b/>
          <w:sz w:val="24"/>
          <w:szCs w:val="24"/>
        </w:rPr>
        <w:t>4.2 Índices de Liquidez</w:t>
      </w:r>
    </w:p>
    <w:p w:rsidR="00CE5EB2" w:rsidRPr="003F2F15" w:rsidRDefault="00CE5EB2" w:rsidP="00CE5EB2">
      <w:pPr>
        <w:spacing w:before="240"/>
        <w:jc w:val="both"/>
        <w:rPr>
          <w:sz w:val="24"/>
          <w:szCs w:val="24"/>
        </w:rPr>
      </w:pPr>
      <w:r w:rsidRPr="003F2F15">
        <w:rPr>
          <w:sz w:val="24"/>
          <w:szCs w:val="24"/>
        </w:rPr>
        <w:tab/>
        <w:t>A análise financeira dos clubes participantes da pesquisa se inicia com o cálculo de seus índices de liquidez, verificando assim a capacidade de pagamento das dívidas no curto e longo prazo.</w:t>
      </w:r>
      <w:r>
        <w:rPr>
          <w:sz w:val="24"/>
          <w:szCs w:val="24"/>
        </w:rPr>
        <w:t xml:space="preserve"> Na sequência, a tabela 03 apresenta os índices de liquidez corrente dos clubes.</w:t>
      </w:r>
    </w:p>
    <w:p w:rsidR="00CE5EB2" w:rsidRPr="0057775A" w:rsidRDefault="00CE5EB2" w:rsidP="00CE5EB2">
      <w:pPr>
        <w:spacing w:before="240"/>
        <w:jc w:val="both"/>
      </w:pPr>
      <w:proofErr w:type="gramStart"/>
      <w:r>
        <w:rPr>
          <w:bCs/>
          <w:color w:val="000000"/>
        </w:rPr>
        <w:t>Tabela</w:t>
      </w:r>
      <w:r w:rsidRPr="0057775A">
        <w:rPr>
          <w:bCs/>
          <w:color w:val="000000"/>
        </w:rPr>
        <w:t xml:space="preserve"> 0</w:t>
      </w:r>
      <w:r>
        <w:rPr>
          <w:bCs/>
          <w:color w:val="000000"/>
        </w:rPr>
        <w:t>3</w:t>
      </w:r>
      <w:r w:rsidRPr="0057775A">
        <w:rPr>
          <w:bCs/>
          <w:color w:val="000000"/>
        </w:rPr>
        <w:t xml:space="preserve"> </w:t>
      </w:r>
      <w:r>
        <w:rPr>
          <w:bCs/>
          <w:color w:val="000000"/>
        </w:rPr>
        <w:t>–</w:t>
      </w:r>
      <w:r w:rsidRPr="0057775A">
        <w:rPr>
          <w:bCs/>
          <w:color w:val="000000"/>
        </w:rPr>
        <w:t xml:space="preserve"> </w:t>
      </w:r>
      <w:r>
        <w:t xml:space="preserve">Índices </w:t>
      </w:r>
      <w:r>
        <w:rPr>
          <w:bCs/>
          <w:color w:val="000000"/>
        </w:rPr>
        <w:t xml:space="preserve">da </w:t>
      </w:r>
      <w:r w:rsidRPr="0057775A">
        <w:rPr>
          <w:bCs/>
          <w:color w:val="000000"/>
        </w:rPr>
        <w:t xml:space="preserve">Liquidez </w:t>
      </w:r>
      <w:r>
        <w:rPr>
          <w:bCs/>
          <w:color w:val="000000"/>
        </w:rPr>
        <w:t>C</w:t>
      </w:r>
      <w:r w:rsidRPr="0057775A">
        <w:rPr>
          <w:bCs/>
          <w:color w:val="000000"/>
        </w:rPr>
        <w:t>orrente</w:t>
      </w:r>
      <w:proofErr w:type="gramEnd"/>
    </w:p>
    <w:tbl>
      <w:tblPr>
        <w:tblW w:w="5000" w:type="pct"/>
        <w:jc w:val="center"/>
        <w:tblCellMar>
          <w:left w:w="70" w:type="dxa"/>
          <w:right w:w="70" w:type="dxa"/>
        </w:tblCellMar>
        <w:tblLook w:val="04A0"/>
      </w:tblPr>
      <w:tblGrid>
        <w:gridCol w:w="2281"/>
        <w:gridCol w:w="1237"/>
        <w:gridCol w:w="1539"/>
        <w:gridCol w:w="1456"/>
        <w:gridCol w:w="1346"/>
        <w:gridCol w:w="1346"/>
      </w:tblGrid>
      <w:tr w:rsidR="00CE5EB2" w:rsidRPr="0057775A" w:rsidTr="00816E2D">
        <w:trPr>
          <w:trHeight w:val="300"/>
          <w:jc w:val="center"/>
        </w:trPr>
        <w:tc>
          <w:tcPr>
            <w:tcW w:w="123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jc w:val="both"/>
              <w:rPr>
                <w:b/>
                <w:bCs/>
                <w:color w:val="000000"/>
              </w:rPr>
            </w:pPr>
            <w:r w:rsidRPr="0057775A">
              <w:rPr>
                <w:b/>
                <w:bCs/>
                <w:color w:val="000000"/>
              </w:rPr>
              <w:t>Clube</w:t>
            </w:r>
          </w:p>
        </w:tc>
        <w:tc>
          <w:tcPr>
            <w:tcW w:w="672"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2012</w:t>
            </w:r>
          </w:p>
        </w:tc>
        <w:tc>
          <w:tcPr>
            <w:tcW w:w="836"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2013</w:t>
            </w:r>
          </w:p>
        </w:tc>
        <w:tc>
          <w:tcPr>
            <w:tcW w:w="791"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2014</w:t>
            </w:r>
          </w:p>
        </w:tc>
        <w:tc>
          <w:tcPr>
            <w:tcW w:w="731"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2015</w:t>
            </w:r>
          </w:p>
        </w:tc>
        <w:tc>
          <w:tcPr>
            <w:tcW w:w="731"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2016</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2117D5" w:rsidRDefault="00CE5EB2" w:rsidP="00CE5EB2">
            <w:pPr>
              <w:jc w:val="both"/>
              <w:rPr>
                <w:color w:val="000000"/>
              </w:rPr>
            </w:pPr>
            <w:r w:rsidRPr="002117D5">
              <w:rPr>
                <w:color w:val="000000"/>
              </w:rPr>
              <w:t>Avaí</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0,28</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0,38</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0,33</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0,26</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0,22</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2117D5" w:rsidRDefault="00CE5EB2" w:rsidP="00CE5EB2">
            <w:pPr>
              <w:jc w:val="both"/>
              <w:rPr>
                <w:color w:val="000000"/>
              </w:rPr>
            </w:pPr>
            <w:r w:rsidRPr="002117D5">
              <w:rPr>
                <w:color w:val="000000"/>
              </w:rPr>
              <w:t>Brusque</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0,89</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0,19</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0,81</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0,39</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2117D5" w:rsidRDefault="00CE5EB2" w:rsidP="00CE5EB2">
            <w:pPr>
              <w:jc w:val="both"/>
              <w:rPr>
                <w:color w:val="000000"/>
              </w:rPr>
            </w:pPr>
            <w:r w:rsidRPr="002117D5">
              <w:rPr>
                <w:color w:val="000000"/>
              </w:rPr>
              <w:t>Chapecoense</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0,51</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0,89</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0,72</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1,34</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2117D5" w:rsidRDefault="00CE5EB2" w:rsidP="00CE5EB2">
            <w:pPr>
              <w:jc w:val="both"/>
              <w:rPr>
                <w:color w:val="000000"/>
              </w:rPr>
            </w:pPr>
            <w:r w:rsidRPr="002117D5">
              <w:rPr>
                <w:color w:val="000000"/>
              </w:rPr>
              <w:t>Criciúma</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1,07</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1,20</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0,64</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1,67</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0,63</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2117D5" w:rsidRDefault="00CE5EB2" w:rsidP="00CE5EB2">
            <w:pPr>
              <w:jc w:val="both"/>
              <w:rPr>
                <w:color w:val="000000"/>
              </w:rPr>
            </w:pPr>
            <w:r w:rsidRPr="002117D5">
              <w:rPr>
                <w:color w:val="000000"/>
              </w:rPr>
              <w:t>Figueirense</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0,16</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0,21</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0,16</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0,24</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0,29</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2117D5" w:rsidRDefault="00CE5EB2" w:rsidP="00CE5EB2">
            <w:pPr>
              <w:jc w:val="both"/>
              <w:rPr>
                <w:color w:val="000000"/>
              </w:rPr>
            </w:pPr>
            <w:r w:rsidRPr="002117D5">
              <w:rPr>
                <w:color w:val="000000"/>
              </w:rPr>
              <w:t>Inter de Lages</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0,00</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0,29</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r>
      <w:tr w:rsidR="00CE5EB2" w:rsidRPr="0057775A" w:rsidTr="00816E2D">
        <w:trPr>
          <w:trHeight w:val="315"/>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2117D5" w:rsidRDefault="00CE5EB2" w:rsidP="00CE5EB2">
            <w:pPr>
              <w:jc w:val="both"/>
              <w:rPr>
                <w:color w:val="000000"/>
              </w:rPr>
            </w:pPr>
            <w:r w:rsidRPr="002117D5">
              <w:rPr>
                <w:color w:val="000000"/>
              </w:rPr>
              <w:t>Joinville</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0,16</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0,24</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0,30</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0,20</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0,16</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2117D5" w:rsidRDefault="00CE5EB2" w:rsidP="00CE5EB2">
            <w:pPr>
              <w:jc w:val="both"/>
              <w:rPr>
                <w:color w:val="000000"/>
              </w:rPr>
            </w:pPr>
            <w:r w:rsidRPr="002117D5">
              <w:rPr>
                <w:color w:val="000000"/>
              </w:rPr>
              <w:t>Metropolitano</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0,15</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0,11</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0,67</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0,74</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0,50</w:t>
            </w:r>
          </w:p>
        </w:tc>
      </w:tr>
    </w:tbl>
    <w:p w:rsidR="00CE5EB2" w:rsidRPr="0057775A" w:rsidRDefault="00CE5EB2" w:rsidP="00CE5EB2">
      <w:pPr>
        <w:jc w:val="both"/>
      </w:pPr>
      <w:r w:rsidRPr="0057775A">
        <w:t xml:space="preserve">Fonte: </w:t>
      </w:r>
      <w:r>
        <w:t>Elaborado pelo autor a partir das demonstrações contábeis</w:t>
      </w:r>
      <w:r w:rsidRPr="0057775A">
        <w:t>.</w:t>
      </w:r>
    </w:p>
    <w:p w:rsidR="00CE5EB2" w:rsidRPr="003F2F15" w:rsidRDefault="00CE5EB2" w:rsidP="00CE5EB2">
      <w:pPr>
        <w:spacing w:before="240"/>
        <w:ind w:firstLine="708"/>
        <w:jc w:val="both"/>
        <w:rPr>
          <w:sz w:val="24"/>
          <w:szCs w:val="24"/>
        </w:rPr>
      </w:pPr>
      <w:r w:rsidRPr="003F2F15">
        <w:rPr>
          <w:sz w:val="24"/>
          <w:szCs w:val="24"/>
        </w:rPr>
        <w:t xml:space="preserve">Os índices de liquidez corrente apurados apontam risco alto de inadimplência na maioria dos clubes. </w:t>
      </w:r>
      <w:r w:rsidRPr="002B61D7">
        <w:rPr>
          <w:sz w:val="24"/>
          <w:szCs w:val="24"/>
        </w:rPr>
        <w:t>O Avaí vem apresentando redução no seu quociente desde 2013, tendo seu pior indicador em 2016, quando para cada R$ 100,00 em dívidas de curto prazo, possuía R$ 22,00 em ativos circulantes para liquidação destes passivos no exercício seguinte. Já o Figueirense, que terminou os anos de 2012 e 2014 com uma capacidade de pagamento de apenas 16% das suas dívidas de curto prazo, vêm aumentando seu índice desde 2014, mas ainda segue apresentando uma baixa capacidade de pagamento.</w:t>
      </w:r>
      <w:r w:rsidRPr="003F2F15">
        <w:rPr>
          <w:sz w:val="24"/>
          <w:szCs w:val="24"/>
        </w:rPr>
        <w:t xml:space="preserve"> </w:t>
      </w:r>
    </w:p>
    <w:p w:rsidR="00CE5EB2" w:rsidRPr="003F2F15" w:rsidRDefault="00CE5EB2" w:rsidP="00CE5EB2">
      <w:pPr>
        <w:spacing w:before="240"/>
        <w:ind w:firstLine="708"/>
        <w:jc w:val="both"/>
        <w:rPr>
          <w:sz w:val="24"/>
          <w:szCs w:val="24"/>
        </w:rPr>
      </w:pPr>
      <w:r w:rsidRPr="003F2F15">
        <w:rPr>
          <w:sz w:val="24"/>
          <w:szCs w:val="24"/>
        </w:rPr>
        <w:t>Os clubes de Florianópolis, porém, em nenhum dos anos analisados tiveram o risco mais alto em relação ao total dos clubes. Nos anos de 2012 e 2013, o Metropolitano apresentou o maior risco de inadimplência, conseguindo aumentar seu índice nos anos subsequentes.</w:t>
      </w:r>
    </w:p>
    <w:p w:rsidR="00CE5EB2" w:rsidRPr="003F2F15" w:rsidRDefault="00CE5EB2" w:rsidP="00CE5EB2">
      <w:pPr>
        <w:spacing w:before="240"/>
        <w:ind w:firstLine="708"/>
        <w:jc w:val="both"/>
        <w:rPr>
          <w:sz w:val="24"/>
          <w:szCs w:val="24"/>
        </w:rPr>
      </w:pPr>
      <w:r w:rsidRPr="003F2F15">
        <w:rPr>
          <w:sz w:val="24"/>
          <w:szCs w:val="24"/>
        </w:rPr>
        <w:lastRenderedPageBreak/>
        <w:t>Em 2014, o Inter de Lages apresentou o menor índice de todos os clubes em todos os anos (</w:t>
      </w:r>
      <w:proofErr w:type="gramStart"/>
      <w:r w:rsidRPr="003F2F15">
        <w:rPr>
          <w:sz w:val="24"/>
          <w:szCs w:val="24"/>
        </w:rPr>
        <w:t>0,</w:t>
      </w:r>
      <w:proofErr w:type="gramEnd"/>
      <w:r w:rsidRPr="003F2F15">
        <w:rPr>
          <w:sz w:val="24"/>
          <w:szCs w:val="24"/>
        </w:rPr>
        <w:t xml:space="preserve">0001), pois tinha apenas R$ 361 em ativos circulantes diante de um Passivo </w:t>
      </w:r>
      <w:r>
        <w:rPr>
          <w:sz w:val="24"/>
          <w:szCs w:val="24"/>
        </w:rPr>
        <w:t>C</w:t>
      </w:r>
      <w:r w:rsidRPr="003F2F15">
        <w:rPr>
          <w:sz w:val="24"/>
          <w:szCs w:val="24"/>
        </w:rPr>
        <w:t>irculante de R$ 3.477.714. No ano seguinte, com o acesso a primeira divisão do Campeonato Catarinense, o clube obteve um aumento nas suas receitas e também recebeu R$ 779.076 em empréstimos de pessoas ligadas para conseguir honrar parte de seus compromissos, aumentando seu índice para 0,29, número que continua representando um risco alto.</w:t>
      </w:r>
    </w:p>
    <w:p w:rsidR="00CE5EB2" w:rsidRPr="003F2F15" w:rsidRDefault="00CE5EB2" w:rsidP="00CE5EB2">
      <w:pPr>
        <w:spacing w:before="240"/>
        <w:ind w:firstLine="708"/>
        <w:jc w:val="both"/>
        <w:rPr>
          <w:sz w:val="24"/>
          <w:szCs w:val="24"/>
        </w:rPr>
      </w:pPr>
      <w:r w:rsidRPr="003F2F15">
        <w:rPr>
          <w:sz w:val="24"/>
          <w:szCs w:val="24"/>
        </w:rPr>
        <w:t>Nos anos de 2015 e 2016, o Joinville foi quem fechou seu balanço com o menor índice de liquidez corrente entre os clubes catarinenses, tendo, no último ano, para cada R$ 100,00 de dívidas de curto prazo, apenas R$ 16,00 em ativos circulantes para cumprir com as obrigações.</w:t>
      </w:r>
    </w:p>
    <w:p w:rsidR="00CE5EB2" w:rsidRPr="003F2F15" w:rsidRDefault="00CE5EB2" w:rsidP="00CE5EB2">
      <w:pPr>
        <w:spacing w:before="240"/>
        <w:ind w:firstLine="708"/>
        <w:jc w:val="both"/>
        <w:rPr>
          <w:sz w:val="24"/>
          <w:szCs w:val="24"/>
        </w:rPr>
      </w:pPr>
      <w:r w:rsidRPr="003F2F15">
        <w:rPr>
          <w:sz w:val="24"/>
          <w:szCs w:val="24"/>
        </w:rPr>
        <w:t>Na média dos cinco anos analisados, quem apresentou um risco mais baixo foi o Criciúma. A Chapecoense foi o clube que apresentou o melhor índice no ano mais recente da análise (2016), tendo para cada R$ 100,00 de dívidas de curto prazo, R$ 134,00 disponíveis no A</w:t>
      </w:r>
      <w:r>
        <w:rPr>
          <w:sz w:val="24"/>
          <w:szCs w:val="24"/>
        </w:rPr>
        <w:t>tivo C</w:t>
      </w:r>
      <w:r w:rsidRPr="003F2F15">
        <w:rPr>
          <w:sz w:val="24"/>
          <w:szCs w:val="24"/>
        </w:rPr>
        <w:t>irculante.</w:t>
      </w:r>
    </w:p>
    <w:p w:rsidR="00CE5EB2" w:rsidRPr="003F2F15" w:rsidRDefault="00CE5EB2" w:rsidP="00CE5EB2">
      <w:pPr>
        <w:spacing w:before="240"/>
        <w:ind w:firstLine="708"/>
        <w:jc w:val="both"/>
        <w:rPr>
          <w:sz w:val="24"/>
          <w:szCs w:val="24"/>
        </w:rPr>
      </w:pPr>
      <w:r w:rsidRPr="003F2F15">
        <w:rPr>
          <w:sz w:val="24"/>
          <w:szCs w:val="24"/>
        </w:rPr>
        <w:t xml:space="preserve">Após a verificação da capacidade de pagamento dos clubes no curto prazo, </w:t>
      </w:r>
      <w:r>
        <w:rPr>
          <w:sz w:val="24"/>
          <w:szCs w:val="24"/>
        </w:rPr>
        <w:t xml:space="preserve">a tabela 04 apresenta o índice de liquidez geral, </w:t>
      </w:r>
      <w:r w:rsidRPr="003F2F15">
        <w:rPr>
          <w:sz w:val="24"/>
          <w:szCs w:val="24"/>
        </w:rPr>
        <w:t>que considera também o longo prazo, comparando tudo que os clubes converterão em dinheiro em relação a todas as obrigações assumidas.</w:t>
      </w:r>
      <w:r>
        <w:rPr>
          <w:sz w:val="24"/>
          <w:szCs w:val="24"/>
        </w:rPr>
        <w:t xml:space="preserve"> </w:t>
      </w:r>
    </w:p>
    <w:p w:rsidR="00CE5EB2" w:rsidRPr="0057775A" w:rsidRDefault="00CE5EB2" w:rsidP="00CE5EB2">
      <w:pPr>
        <w:spacing w:before="240"/>
        <w:jc w:val="both"/>
      </w:pPr>
      <w:proofErr w:type="gramStart"/>
      <w:r>
        <w:t>Tabela 04</w:t>
      </w:r>
      <w:r w:rsidRPr="0057775A">
        <w:t xml:space="preserve"> </w:t>
      </w:r>
      <w:r>
        <w:t>–</w:t>
      </w:r>
      <w:r w:rsidRPr="0057775A">
        <w:t xml:space="preserve"> </w:t>
      </w:r>
      <w:r>
        <w:t xml:space="preserve">Índices da </w:t>
      </w:r>
      <w:r w:rsidRPr="0057775A">
        <w:t>Liquidez Geral</w:t>
      </w:r>
      <w:proofErr w:type="gramEnd"/>
    </w:p>
    <w:tbl>
      <w:tblPr>
        <w:tblW w:w="5000" w:type="pct"/>
        <w:jc w:val="center"/>
        <w:tblCellMar>
          <w:left w:w="70" w:type="dxa"/>
          <w:right w:w="70" w:type="dxa"/>
        </w:tblCellMar>
        <w:tblLook w:val="04A0"/>
      </w:tblPr>
      <w:tblGrid>
        <w:gridCol w:w="2281"/>
        <w:gridCol w:w="1237"/>
        <w:gridCol w:w="1539"/>
        <w:gridCol w:w="1456"/>
        <w:gridCol w:w="1346"/>
        <w:gridCol w:w="1346"/>
      </w:tblGrid>
      <w:tr w:rsidR="00CE5EB2" w:rsidRPr="0086768C" w:rsidTr="00816E2D">
        <w:trPr>
          <w:trHeight w:val="300"/>
          <w:jc w:val="center"/>
        </w:trPr>
        <w:tc>
          <w:tcPr>
            <w:tcW w:w="123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EB2" w:rsidRPr="0086768C" w:rsidRDefault="00CE5EB2" w:rsidP="00CE5EB2">
            <w:pPr>
              <w:rPr>
                <w:b/>
                <w:bCs/>
                <w:color w:val="000000"/>
              </w:rPr>
            </w:pPr>
            <w:r w:rsidRPr="0086768C">
              <w:rPr>
                <w:b/>
                <w:bCs/>
                <w:color w:val="000000"/>
              </w:rPr>
              <w:t>Clube</w:t>
            </w:r>
          </w:p>
        </w:tc>
        <w:tc>
          <w:tcPr>
            <w:tcW w:w="672" w:type="pct"/>
            <w:tcBorders>
              <w:top w:val="single" w:sz="4" w:space="0" w:color="auto"/>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b/>
                <w:bCs/>
                <w:color w:val="000000"/>
              </w:rPr>
            </w:pPr>
            <w:r w:rsidRPr="0086768C">
              <w:rPr>
                <w:b/>
                <w:bCs/>
                <w:color w:val="000000"/>
              </w:rPr>
              <w:t>2012</w:t>
            </w:r>
          </w:p>
        </w:tc>
        <w:tc>
          <w:tcPr>
            <w:tcW w:w="836" w:type="pct"/>
            <w:tcBorders>
              <w:top w:val="single" w:sz="4" w:space="0" w:color="auto"/>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b/>
                <w:bCs/>
                <w:color w:val="000000"/>
              </w:rPr>
            </w:pPr>
            <w:r w:rsidRPr="0086768C">
              <w:rPr>
                <w:b/>
                <w:bCs/>
                <w:color w:val="000000"/>
              </w:rPr>
              <w:t>2013</w:t>
            </w:r>
          </w:p>
        </w:tc>
        <w:tc>
          <w:tcPr>
            <w:tcW w:w="791" w:type="pct"/>
            <w:tcBorders>
              <w:top w:val="single" w:sz="4" w:space="0" w:color="auto"/>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b/>
                <w:bCs/>
                <w:color w:val="000000"/>
              </w:rPr>
            </w:pPr>
            <w:r w:rsidRPr="0086768C">
              <w:rPr>
                <w:b/>
                <w:bCs/>
                <w:color w:val="000000"/>
              </w:rPr>
              <w:t>2014</w:t>
            </w:r>
          </w:p>
        </w:tc>
        <w:tc>
          <w:tcPr>
            <w:tcW w:w="731" w:type="pct"/>
            <w:tcBorders>
              <w:top w:val="single" w:sz="4" w:space="0" w:color="auto"/>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b/>
                <w:bCs/>
                <w:color w:val="000000"/>
              </w:rPr>
            </w:pPr>
            <w:r w:rsidRPr="0086768C">
              <w:rPr>
                <w:b/>
                <w:bCs/>
                <w:color w:val="000000"/>
              </w:rPr>
              <w:t>2015</w:t>
            </w:r>
          </w:p>
        </w:tc>
        <w:tc>
          <w:tcPr>
            <w:tcW w:w="731" w:type="pct"/>
            <w:tcBorders>
              <w:top w:val="single" w:sz="4" w:space="0" w:color="auto"/>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b/>
                <w:bCs/>
                <w:color w:val="000000"/>
              </w:rPr>
            </w:pPr>
            <w:r w:rsidRPr="0086768C">
              <w:rPr>
                <w:b/>
                <w:bCs/>
                <w:color w:val="000000"/>
              </w:rPr>
              <w:t>2016</w:t>
            </w:r>
          </w:p>
        </w:tc>
      </w:tr>
      <w:tr w:rsidR="00CE5EB2" w:rsidRPr="0086768C" w:rsidTr="00816E2D">
        <w:trPr>
          <w:trHeight w:val="315"/>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86768C" w:rsidRDefault="00CE5EB2" w:rsidP="00CE5EB2">
            <w:pPr>
              <w:rPr>
                <w:color w:val="000000"/>
              </w:rPr>
            </w:pPr>
            <w:r w:rsidRPr="0086768C">
              <w:rPr>
                <w:color w:val="000000"/>
              </w:rPr>
              <w:t>Avaí</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0,12</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0,11</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0,08</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bCs/>
                <w:color w:val="000000"/>
              </w:rPr>
            </w:pPr>
            <w:r w:rsidRPr="0086768C">
              <w:rPr>
                <w:bCs/>
                <w:color w:val="000000"/>
              </w:rPr>
              <w:t>0,07</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0,08</w:t>
            </w:r>
          </w:p>
        </w:tc>
      </w:tr>
      <w:tr w:rsidR="00CE5EB2" w:rsidRPr="0086768C"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86768C" w:rsidRDefault="00CE5EB2" w:rsidP="00CE5EB2">
            <w:pPr>
              <w:rPr>
                <w:color w:val="000000"/>
              </w:rPr>
            </w:pPr>
            <w:r w:rsidRPr="0086768C">
              <w:rPr>
                <w:color w:val="000000"/>
              </w:rPr>
              <w:t>Brusque</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bCs/>
                <w:color w:val="000000"/>
              </w:rPr>
            </w:pPr>
            <w:r w:rsidRPr="0086768C">
              <w:rPr>
                <w:bCs/>
                <w:color w:val="000000"/>
              </w:rPr>
              <w:t>0,89</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0,19</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bCs/>
                <w:color w:val="000000"/>
              </w:rPr>
            </w:pPr>
            <w:r w:rsidRPr="0086768C">
              <w:rPr>
                <w:bCs/>
                <w:color w:val="000000"/>
              </w:rPr>
              <w:t>0,81</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0,39</w:t>
            </w:r>
          </w:p>
        </w:tc>
      </w:tr>
      <w:tr w:rsidR="00CE5EB2" w:rsidRPr="0086768C"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86768C" w:rsidRDefault="00CE5EB2" w:rsidP="00CE5EB2">
            <w:pPr>
              <w:rPr>
                <w:color w:val="000000"/>
              </w:rPr>
            </w:pPr>
            <w:r w:rsidRPr="0086768C">
              <w:rPr>
                <w:color w:val="000000"/>
              </w:rPr>
              <w:t>Chapecoense</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0,21</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bCs/>
                <w:color w:val="000000"/>
              </w:rPr>
            </w:pPr>
            <w:r w:rsidRPr="0086768C">
              <w:rPr>
                <w:bCs/>
                <w:color w:val="000000"/>
              </w:rPr>
              <w:t>0,73</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0,59</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bCs/>
                <w:color w:val="000000"/>
              </w:rPr>
            </w:pPr>
            <w:r w:rsidRPr="0086768C">
              <w:rPr>
                <w:bCs/>
                <w:color w:val="000000"/>
              </w:rPr>
              <w:t>1,02</w:t>
            </w:r>
          </w:p>
        </w:tc>
      </w:tr>
      <w:tr w:rsidR="00CE5EB2" w:rsidRPr="0086768C"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86768C" w:rsidRDefault="00CE5EB2" w:rsidP="00CE5EB2">
            <w:pPr>
              <w:rPr>
                <w:color w:val="000000"/>
              </w:rPr>
            </w:pPr>
            <w:r w:rsidRPr="0086768C">
              <w:rPr>
                <w:color w:val="000000"/>
              </w:rPr>
              <w:t>Criciúma</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bCs/>
                <w:color w:val="000000"/>
              </w:rPr>
            </w:pPr>
            <w:r w:rsidRPr="0086768C">
              <w:rPr>
                <w:bCs/>
                <w:color w:val="000000"/>
              </w:rPr>
              <w:t>0,52</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0,63</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0,36</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0,16</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0,11</w:t>
            </w:r>
          </w:p>
        </w:tc>
      </w:tr>
      <w:tr w:rsidR="00CE5EB2" w:rsidRPr="0086768C"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86768C" w:rsidRDefault="00CE5EB2" w:rsidP="00CE5EB2">
            <w:pPr>
              <w:rPr>
                <w:color w:val="000000"/>
              </w:rPr>
            </w:pPr>
            <w:r w:rsidRPr="0086768C">
              <w:rPr>
                <w:color w:val="000000"/>
              </w:rPr>
              <w:t>Figueirense</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0,10</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0,15</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0,08</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0,13</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0,15</w:t>
            </w:r>
          </w:p>
        </w:tc>
      </w:tr>
      <w:tr w:rsidR="00CE5EB2" w:rsidRPr="0086768C"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86768C" w:rsidRDefault="00CE5EB2" w:rsidP="00CE5EB2">
            <w:pPr>
              <w:rPr>
                <w:color w:val="000000"/>
              </w:rPr>
            </w:pPr>
            <w:r w:rsidRPr="0086768C">
              <w:rPr>
                <w:color w:val="000000"/>
              </w:rPr>
              <w:t>Inter de Lages</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bCs/>
                <w:color w:val="000000"/>
              </w:rPr>
            </w:pPr>
            <w:r w:rsidRPr="0086768C">
              <w:rPr>
                <w:bCs/>
                <w:color w:val="000000"/>
              </w:rPr>
              <w:t>0,00</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0,20</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p>
        </w:tc>
      </w:tr>
      <w:tr w:rsidR="00CE5EB2" w:rsidRPr="0086768C"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86768C" w:rsidRDefault="00CE5EB2" w:rsidP="00CE5EB2">
            <w:pPr>
              <w:rPr>
                <w:color w:val="000000"/>
              </w:rPr>
            </w:pPr>
            <w:r w:rsidRPr="0086768C">
              <w:rPr>
                <w:color w:val="000000"/>
              </w:rPr>
              <w:t>Joinville</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bCs/>
                <w:color w:val="000000"/>
              </w:rPr>
            </w:pPr>
            <w:r w:rsidRPr="0086768C">
              <w:rPr>
                <w:bCs/>
                <w:color w:val="000000"/>
              </w:rPr>
              <w:t>0,08</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0,15</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0,23</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0,13</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0,09</w:t>
            </w:r>
          </w:p>
        </w:tc>
      </w:tr>
      <w:tr w:rsidR="00CE5EB2" w:rsidRPr="0086768C"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86768C" w:rsidRDefault="00CE5EB2" w:rsidP="00CE5EB2">
            <w:pPr>
              <w:rPr>
                <w:color w:val="000000"/>
              </w:rPr>
            </w:pPr>
            <w:r w:rsidRPr="0086768C">
              <w:rPr>
                <w:color w:val="000000"/>
              </w:rPr>
              <w:t>Metropolitano</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0,16</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bCs/>
                <w:color w:val="000000"/>
              </w:rPr>
            </w:pPr>
            <w:r w:rsidRPr="0086768C">
              <w:rPr>
                <w:bCs/>
                <w:color w:val="000000"/>
              </w:rPr>
              <w:t>0,09</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0,05</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color w:val="000000"/>
              </w:rPr>
            </w:pPr>
            <w:r w:rsidRPr="0086768C">
              <w:rPr>
                <w:color w:val="000000"/>
              </w:rPr>
              <w:t>0,08</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86768C" w:rsidRDefault="00CE5EB2" w:rsidP="00CE5EB2">
            <w:pPr>
              <w:jc w:val="center"/>
              <w:rPr>
                <w:bCs/>
                <w:color w:val="000000"/>
              </w:rPr>
            </w:pPr>
            <w:r w:rsidRPr="0086768C">
              <w:rPr>
                <w:bCs/>
                <w:color w:val="000000"/>
              </w:rPr>
              <w:t>0,04</w:t>
            </w:r>
          </w:p>
        </w:tc>
      </w:tr>
    </w:tbl>
    <w:p w:rsidR="00CE5EB2" w:rsidRPr="0057775A" w:rsidRDefault="00CE5EB2" w:rsidP="00CE5EB2">
      <w:pPr>
        <w:jc w:val="both"/>
      </w:pPr>
      <w:r w:rsidRPr="0057775A">
        <w:t xml:space="preserve">Fonte: </w:t>
      </w:r>
      <w:r>
        <w:t>Elaborado pelo autor a partir das demonstrações contábeis</w:t>
      </w:r>
      <w:r w:rsidRPr="0057775A">
        <w:t>.</w:t>
      </w:r>
    </w:p>
    <w:p w:rsidR="00CE5EB2" w:rsidRPr="003F2F15" w:rsidRDefault="00CE5EB2" w:rsidP="00CE5EB2">
      <w:pPr>
        <w:spacing w:before="240"/>
        <w:ind w:firstLine="708"/>
        <w:jc w:val="both"/>
        <w:rPr>
          <w:sz w:val="24"/>
          <w:szCs w:val="24"/>
        </w:rPr>
      </w:pPr>
      <w:r w:rsidRPr="003F2F15">
        <w:rPr>
          <w:sz w:val="24"/>
          <w:szCs w:val="24"/>
        </w:rPr>
        <w:t xml:space="preserve">Assim como índice trabalhado anteriormente, a Chapecoense novamente apresentou o melhor índice de 2016: 1,02, o que significa que o clube tem ativos circulantes e realizáveis </w:t>
      </w:r>
      <w:proofErr w:type="gramStart"/>
      <w:r w:rsidRPr="003F2F15">
        <w:rPr>
          <w:sz w:val="24"/>
          <w:szCs w:val="24"/>
        </w:rPr>
        <w:t>a longo prazo</w:t>
      </w:r>
      <w:proofErr w:type="gramEnd"/>
      <w:r w:rsidRPr="003F2F15">
        <w:rPr>
          <w:sz w:val="24"/>
          <w:szCs w:val="24"/>
        </w:rPr>
        <w:t xml:space="preserve"> superiores as suas dívidas totais. Este foi o único caso em que houve o registro de índice acima de 1,0.</w:t>
      </w:r>
    </w:p>
    <w:p w:rsidR="00CE5EB2" w:rsidRPr="003F2F15" w:rsidRDefault="00CE5EB2" w:rsidP="00CE5EB2">
      <w:pPr>
        <w:spacing w:before="240"/>
        <w:ind w:firstLine="708"/>
        <w:jc w:val="both"/>
        <w:rPr>
          <w:sz w:val="24"/>
          <w:szCs w:val="24"/>
        </w:rPr>
      </w:pPr>
      <w:r w:rsidRPr="003F2F15">
        <w:rPr>
          <w:sz w:val="24"/>
          <w:szCs w:val="24"/>
        </w:rPr>
        <w:t>Nos anos anteriores, Criciúma (0,52 em 2012 e 0,63 em 2013) e Brusque (0,89 em 2013 e 0,81 em 2015), além da própria Chapecoense (0,73 em 2014 e 0,59 em 2015), conseguiram obter índices acima da média dos clubes da pesquisa.</w:t>
      </w:r>
    </w:p>
    <w:p w:rsidR="00CE5EB2" w:rsidRPr="003F2F15" w:rsidRDefault="00CE5EB2" w:rsidP="00CE5EB2">
      <w:pPr>
        <w:spacing w:before="240"/>
        <w:ind w:firstLine="708"/>
        <w:jc w:val="both"/>
        <w:rPr>
          <w:sz w:val="24"/>
          <w:szCs w:val="24"/>
        </w:rPr>
      </w:pPr>
      <w:r w:rsidRPr="003F2F15">
        <w:rPr>
          <w:sz w:val="24"/>
          <w:szCs w:val="24"/>
        </w:rPr>
        <w:t xml:space="preserve">Com índices que representam um alto risco de inadimplência </w:t>
      </w:r>
      <w:proofErr w:type="gramStart"/>
      <w:r w:rsidRPr="003F2F15">
        <w:rPr>
          <w:sz w:val="24"/>
          <w:szCs w:val="24"/>
        </w:rPr>
        <w:t>a longo prazo</w:t>
      </w:r>
      <w:proofErr w:type="gramEnd"/>
      <w:r w:rsidRPr="003F2F15">
        <w:rPr>
          <w:sz w:val="24"/>
          <w:szCs w:val="24"/>
        </w:rPr>
        <w:t>, novamente tem-se a presença de Avaí e Figueirense. O Joinville também voltou a apresentar índices baixos, ficando acima de 0,15 apenas em 2014.</w:t>
      </w:r>
    </w:p>
    <w:p w:rsidR="00CE5EB2" w:rsidRPr="003F2F15" w:rsidRDefault="00CE5EB2" w:rsidP="00CE5EB2">
      <w:pPr>
        <w:spacing w:before="240"/>
        <w:ind w:firstLine="708"/>
        <w:jc w:val="both"/>
        <w:rPr>
          <w:sz w:val="24"/>
          <w:szCs w:val="24"/>
        </w:rPr>
      </w:pPr>
      <w:r w:rsidRPr="003F2F15">
        <w:rPr>
          <w:sz w:val="24"/>
          <w:szCs w:val="24"/>
        </w:rPr>
        <w:t xml:space="preserve">O Metropolitano, que nos três últimos anos analisados </w:t>
      </w:r>
      <w:proofErr w:type="gramStart"/>
      <w:r w:rsidRPr="003F2F15">
        <w:rPr>
          <w:sz w:val="24"/>
          <w:szCs w:val="24"/>
        </w:rPr>
        <w:t>obteve índices</w:t>
      </w:r>
      <w:proofErr w:type="gramEnd"/>
      <w:r w:rsidRPr="003F2F15">
        <w:rPr>
          <w:sz w:val="24"/>
          <w:szCs w:val="24"/>
        </w:rPr>
        <w:t xml:space="preserve"> acima da média de liquidez corrente entre os clubes da pesquisa, no indicador de liquidez geral apresentou um alto risco durante este período, tendo inclusive o pior índice de 2016 (0,04). Isto é explicado </w:t>
      </w:r>
      <w:r w:rsidRPr="003F2F15">
        <w:rPr>
          <w:sz w:val="24"/>
          <w:szCs w:val="24"/>
        </w:rPr>
        <w:lastRenderedPageBreak/>
        <w:t xml:space="preserve">pela classificação da maior parte das dívidas do clube no Passivo </w:t>
      </w:r>
      <w:r>
        <w:rPr>
          <w:sz w:val="24"/>
          <w:szCs w:val="24"/>
        </w:rPr>
        <w:t>N</w:t>
      </w:r>
      <w:r w:rsidRPr="003F2F15">
        <w:rPr>
          <w:sz w:val="24"/>
          <w:szCs w:val="24"/>
        </w:rPr>
        <w:t xml:space="preserve">ão </w:t>
      </w:r>
      <w:r>
        <w:rPr>
          <w:sz w:val="24"/>
          <w:szCs w:val="24"/>
        </w:rPr>
        <w:t>C</w:t>
      </w:r>
      <w:r w:rsidRPr="003F2F15">
        <w:rPr>
          <w:sz w:val="24"/>
          <w:szCs w:val="24"/>
        </w:rPr>
        <w:t xml:space="preserve">irculante (93% em 2014, 89% em 2015 e 92% em 2016). Esta dívida presente no Passivo </w:t>
      </w:r>
      <w:r>
        <w:rPr>
          <w:sz w:val="24"/>
          <w:szCs w:val="24"/>
        </w:rPr>
        <w:t>N</w:t>
      </w:r>
      <w:r w:rsidRPr="003F2F15">
        <w:rPr>
          <w:sz w:val="24"/>
          <w:szCs w:val="24"/>
        </w:rPr>
        <w:t xml:space="preserve">ão </w:t>
      </w:r>
      <w:r>
        <w:rPr>
          <w:sz w:val="24"/>
          <w:szCs w:val="24"/>
        </w:rPr>
        <w:t>C</w:t>
      </w:r>
      <w:r w:rsidRPr="003F2F15">
        <w:rPr>
          <w:sz w:val="24"/>
          <w:szCs w:val="24"/>
        </w:rPr>
        <w:t xml:space="preserve">irculante é composta substancialmente de empréstimos e financiamentos </w:t>
      </w:r>
      <w:proofErr w:type="gramStart"/>
      <w:r w:rsidRPr="003F2F15">
        <w:rPr>
          <w:sz w:val="24"/>
          <w:szCs w:val="24"/>
        </w:rPr>
        <w:t>a longo prazo</w:t>
      </w:r>
      <w:proofErr w:type="gramEnd"/>
      <w:r w:rsidRPr="003F2F15">
        <w:rPr>
          <w:sz w:val="24"/>
          <w:szCs w:val="24"/>
        </w:rPr>
        <w:t>.</w:t>
      </w:r>
    </w:p>
    <w:p w:rsidR="00CE5EB2" w:rsidRPr="003F2F15" w:rsidRDefault="00CE5EB2" w:rsidP="00CE5EB2">
      <w:pPr>
        <w:spacing w:before="240"/>
        <w:jc w:val="both"/>
        <w:rPr>
          <w:b/>
          <w:sz w:val="24"/>
          <w:szCs w:val="24"/>
        </w:rPr>
      </w:pPr>
      <w:r w:rsidRPr="003F2F15">
        <w:rPr>
          <w:b/>
          <w:sz w:val="24"/>
          <w:szCs w:val="24"/>
        </w:rPr>
        <w:t>4.3 Índices de Endividamento</w:t>
      </w:r>
    </w:p>
    <w:p w:rsidR="00CE5EB2" w:rsidRPr="003F2F15" w:rsidRDefault="00CE5EB2" w:rsidP="00CE5EB2">
      <w:pPr>
        <w:spacing w:before="240"/>
        <w:ind w:firstLine="708"/>
        <w:jc w:val="both"/>
        <w:rPr>
          <w:sz w:val="24"/>
          <w:szCs w:val="24"/>
        </w:rPr>
      </w:pPr>
      <w:r w:rsidRPr="003F2F15">
        <w:rPr>
          <w:sz w:val="24"/>
          <w:szCs w:val="24"/>
        </w:rPr>
        <w:t xml:space="preserve">Continuando a análise financeira das equipes, calcula-se os índices de endividamento, analisando o montante das dívidas dos clubes comparado aos seus ativos e recursos próprios, além de verificar o quanto da dívida está no Passivo </w:t>
      </w:r>
      <w:r>
        <w:rPr>
          <w:sz w:val="24"/>
          <w:szCs w:val="24"/>
        </w:rPr>
        <w:t>C</w:t>
      </w:r>
      <w:r w:rsidRPr="003F2F15">
        <w:rPr>
          <w:sz w:val="24"/>
          <w:szCs w:val="24"/>
        </w:rPr>
        <w:t>irculante.</w:t>
      </w:r>
      <w:r>
        <w:rPr>
          <w:sz w:val="24"/>
          <w:szCs w:val="24"/>
        </w:rPr>
        <w:t xml:space="preserve"> A tabela 05 apresenta os índices do Grau de Endividamento Global dos clubes.</w:t>
      </w:r>
    </w:p>
    <w:p w:rsidR="00CE5EB2" w:rsidRPr="0057775A" w:rsidRDefault="00CE5EB2" w:rsidP="00CE5EB2">
      <w:pPr>
        <w:spacing w:before="240"/>
        <w:jc w:val="both"/>
      </w:pPr>
      <w:proofErr w:type="gramStart"/>
      <w:r>
        <w:t>Tabela 05</w:t>
      </w:r>
      <w:r w:rsidRPr="0057775A">
        <w:t xml:space="preserve"> – </w:t>
      </w:r>
      <w:r>
        <w:t xml:space="preserve">Índices do </w:t>
      </w:r>
      <w:r w:rsidRPr="0057775A">
        <w:t xml:space="preserve">Grau de </w:t>
      </w:r>
      <w:r>
        <w:t>E</w:t>
      </w:r>
      <w:r w:rsidRPr="0057775A">
        <w:t xml:space="preserve">ndividamento </w:t>
      </w:r>
      <w:r>
        <w:t>G</w:t>
      </w:r>
      <w:r w:rsidRPr="0057775A">
        <w:t>lobal</w:t>
      </w:r>
      <w:proofErr w:type="gramEnd"/>
    </w:p>
    <w:tbl>
      <w:tblPr>
        <w:tblW w:w="5000" w:type="pct"/>
        <w:jc w:val="center"/>
        <w:tblCellMar>
          <w:left w:w="70" w:type="dxa"/>
          <w:right w:w="70" w:type="dxa"/>
        </w:tblCellMar>
        <w:tblLook w:val="04A0"/>
      </w:tblPr>
      <w:tblGrid>
        <w:gridCol w:w="2281"/>
        <w:gridCol w:w="1237"/>
        <w:gridCol w:w="1539"/>
        <w:gridCol w:w="1456"/>
        <w:gridCol w:w="1346"/>
        <w:gridCol w:w="1346"/>
      </w:tblGrid>
      <w:tr w:rsidR="00CE5EB2" w:rsidRPr="0057775A" w:rsidTr="00816E2D">
        <w:trPr>
          <w:trHeight w:val="300"/>
          <w:jc w:val="center"/>
        </w:trPr>
        <w:tc>
          <w:tcPr>
            <w:tcW w:w="123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b/>
                <w:bCs/>
                <w:color w:val="000000"/>
              </w:rPr>
            </w:pPr>
            <w:r w:rsidRPr="0057775A">
              <w:rPr>
                <w:b/>
                <w:bCs/>
                <w:color w:val="000000"/>
              </w:rPr>
              <w:t>Clube</w:t>
            </w:r>
          </w:p>
        </w:tc>
        <w:tc>
          <w:tcPr>
            <w:tcW w:w="672"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2012</w:t>
            </w:r>
          </w:p>
        </w:tc>
        <w:tc>
          <w:tcPr>
            <w:tcW w:w="836"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2013</w:t>
            </w:r>
          </w:p>
        </w:tc>
        <w:tc>
          <w:tcPr>
            <w:tcW w:w="791"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2014</w:t>
            </w:r>
          </w:p>
        </w:tc>
        <w:tc>
          <w:tcPr>
            <w:tcW w:w="731"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2015</w:t>
            </w:r>
          </w:p>
        </w:tc>
        <w:tc>
          <w:tcPr>
            <w:tcW w:w="731"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2016</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Avaí</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65,25%</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81,35%</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96,29%</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117,56%</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129,67%</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Brusque</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96,56%</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76,40%</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90,33%</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150,32%</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Chapecoense</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296,68%</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110,69%</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64,79%</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85,64%</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Criciúma</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37,08%</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30,74%</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37,73%</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48,42%</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48,10%</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Figueirense</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119,43%</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167,18%</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192,35%</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178,65%</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169,27%</w:t>
            </w:r>
          </w:p>
        </w:tc>
      </w:tr>
      <w:tr w:rsidR="00CE5EB2" w:rsidRPr="0057775A" w:rsidTr="00816E2D">
        <w:trPr>
          <w:trHeight w:val="315"/>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Inter de Lages</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91378,79%</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496,49%</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Joinville</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261,30%</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232,34%</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187,01%</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213,69%</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166,27%</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Metropolitano</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382,35%</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381,10%</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345,29%</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411,13%</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473,44%</w:t>
            </w:r>
          </w:p>
        </w:tc>
      </w:tr>
    </w:tbl>
    <w:p w:rsidR="00CE5EB2" w:rsidRPr="0057775A" w:rsidRDefault="00CE5EB2" w:rsidP="00CE5EB2">
      <w:pPr>
        <w:jc w:val="both"/>
      </w:pPr>
      <w:r w:rsidRPr="0057775A">
        <w:t xml:space="preserve">Fonte: </w:t>
      </w:r>
      <w:r>
        <w:t>Elaborado pelo autor a partir das demonstrações contábeis</w:t>
      </w:r>
      <w:r w:rsidRPr="0057775A">
        <w:t>.</w:t>
      </w:r>
    </w:p>
    <w:p w:rsidR="00CE5EB2" w:rsidRPr="003F2F15" w:rsidRDefault="00CE5EB2" w:rsidP="00CE5EB2">
      <w:pPr>
        <w:spacing w:before="240"/>
        <w:ind w:firstLine="708"/>
        <w:jc w:val="both"/>
        <w:rPr>
          <w:sz w:val="24"/>
          <w:szCs w:val="24"/>
        </w:rPr>
      </w:pPr>
      <w:r w:rsidRPr="003F2F15">
        <w:rPr>
          <w:sz w:val="24"/>
          <w:szCs w:val="24"/>
        </w:rPr>
        <w:t xml:space="preserve">Ao analisar o montante das obrigações dos clubes em relação ao total de seus ativos, o Criciúma aparece com a situação mais tranquila entre os clubes catarinenses. Em todos os anos analisados, a equipe do </w:t>
      </w:r>
      <w:r>
        <w:rPr>
          <w:sz w:val="24"/>
          <w:szCs w:val="24"/>
        </w:rPr>
        <w:t>S</w:t>
      </w:r>
      <w:r w:rsidRPr="003F2F15">
        <w:rPr>
          <w:sz w:val="24"/>
          <w:szCs w:val="24"/>
        </w:rPr>
        <w:t xml:space="preserve">ul do </w:t>
      </w:r>
      <w:r>
        <w:rPr>
          <w:sz w:val="24"/>
          <w:szCs w:val="24"/>
        </w:rPr>
        <w:t>Es</w:t>
      </w:r>
      <w:r w:rsidRPr="003F2F15">
        <w:rPr>
          <w:sz w:val="24"/>
          <w:szCs w:val="24"/>
        </w:rPr>
        <w:t>tado teve o índice mais baixo, que neste caso, ao contrário dos índices de liquidez, indica um baixo risco financeiro. Em nenhum dos anos da análise o Criciúma teve um endividamento que superasse a metade dos seus ativos.</w:t>
      </w:r>
    </w:p>
    <w:p w:rsidR="00CE5EB2" w:rsidRPr="003F2F15" w:rsidRDefault="00CE5EB2" w:rsidP="00CE5EB2">
      <w:pPr>
        <w:spacing w:before="240"/>
        <w:ind w:firstLine="708"/>
        <w:jc w:val="both"/>
        <w:rPr>
          <w:sz w:val="24"/>
          <w:szCs w:val="24"/>
        </w:rPr>
      </w:pPr>
      <w:r w:rsidRPr="003F2F15">
        <w:rPr>
          <w:sz w:val="24"/>
          <w:szCs w:val="24"/>
        </w:rPr>
        <w:t>Nos demais clubes, em todos eles, ao menos em um dos anos analisados, houve a ocorrência de Patrimônio Líquido negativo, com o total das dívidas tendo valores superiores ao total do ativo. Neste sentido, destacam-se negativamente Figueirense, Inter de Lages, Joinville e Metropolitano, que em todos os anos tiveram índices superiores a 100%.</w:t>
      </w:r>
    </w:p>
    <w:p w:rsidR="00CE5EB2" w:rsidRPr="003F2F15" w:rsidRDefault="00CE5EB2" w:rsidP="00CE5EB2">
      <w:pPr>
        <w:spacing w:before="240"/>
        <w:ind w:firstLine="708"/>
        <w:jc w:val="both"/>
        <w:rPr>
          <w:sz w:val="24"/>
          <w:szCs w:val="24"/>
        </w:rPr>
      </w:pPr>
      <w:r w:rsidRPr="003F2F15">
        <w:rPr>
          <w:sz w:val="24"/>
          <w:szCs w:val="24"/>
        </w:rPr>
        <w:t>O Metropolitano, nos cinco anos analisados, sempre apresentou uma dívida no mínimo três vezes superior ao seu ativo, tendo em 201</w:t>
      </w:r>
      <w:r>
        <w:rPr>
          <w:sz w:val="24"/>
          <w:szCs w:val="24"/>
        </w:rPr>
        <w:t>2, 2013 e 2016 o pior índice entre os clubes pesquisados</w:t>
      </w:r>
      <w:r w:rsidRPr="003F2F15">
        <w:rPr>
          <w:sz w:val="24"/>
          <w:szCs w:val="24"/>
        </w:rPr>
        <w:t>. Já nos outros anos, o índice mais alto foi do Inter de Lages, que em 2014 apresentou um indicador assustador, tendo apenas R$ 4.861</w:t>
      </w:r>
      <w:r>
        <w:rPr>
          <w:sz w:val="24"/>
          <w:szCs w:val="24"/>
        </w:rPr>
        <w:t>,00</w:t>
      </w:r>
      <w:r w:rsidRPr="003F2F15">
        <w:rPr>
          <w:sz w:val="24"/>
          <w:szCs w:val="24"/>
        </w:rPr>
        <w:t xml:space="preserve"> de ativos diante de uma dívida total de R$ 4.441.914</w:t>
      </w:r>
      <w:r>
        <w:rPr>
          <w:sz w:val="24"/>
          <w:szCs w:val="24"/>
        </w:rPr>
        <w:t>,00</w:t>
      </w:r>
      <w:r w:rsidRPr="003F2F15">
        <w:rPr>
          <w:sz w:val="24"/>
          <w:szCs w:val="24"/>
        </w:rPr>
        <w:t>.</w:t>
      </w:r>
    </w:p>
    <w:p w:rsidR="00CE5EB2" w:rsidRDefault="00CE5EB2" w:rsidP="00CE5EB2">
      <w:pPr>
        <w:spacing w:before="240"/>
        <w:ind w:firstLine="708"/>
        <w:jc w:val="both"/>
        <w:rPr>
          <w:sz w:val="24"/>
          <w:szCs w:val="24"/>
        </w:rPr>
      </w:pPr>
      <w:r w:rsidRPr="003F2F15">
        <w:rPr>
          <w:sz w:val="24"/>
          <w:szCs w:val="24"/>
        </w:rPr>
        <w:t>Ao final de 2016, apenas Criciúma e Chapecoense apresentam em suas demonstrações um Ativo Total superior às obrigações. Avaí e Brusque, que nos primeiros anos da análise também tinham um indicador positivo, viram seu grau de endividamento global subir, enquanto a Chapecoense apresentou uma situação inversa, diminuindo sua dívida em relação ao seu Ativo.</w:t>
      </w:r>
    </w:p>
    <w:p w:rsidR="00CE5EB2" w:rsidRPr="003F2F15" w:rsidRDefault="00CE5EB2" w:rsidP="00CE5EB2">
      <w:pPr>
        <w:spacing w:before="240"/>
        <w:ind w:firstLine="708"/>
        <w:jc w:val="both"/>
        <w:rPr>
          <w:sz w:val="24"/>
          <w:szCs w:val="24"/>
        </w:rPr>
      </w:pPr>
      <w:r>
        <w:rPr>
          <w:sz w:val="24"/>
          <w:szCs w:val="24"/>
        </w:rPr>
        <w:t xml:space="preserve">Ao analisar os índices da Participação do </w:t>
      </w:r>
      <w:r w:rsidRPr="003F2F15">
        <w:rPr>
          <w:sz w:val="24"/>
          <w:szCs w:val="24"/>
        </w:rPr>
        <w:t xml:space="preserve">Capital de Terceiros em relação aos Capitais Próprios dos clubes catarinenses, a situação descrita anteriormente, sobre Patrimônio Líquido negativo, fica ainda mais exposta. </w:t>
      </w:r>
      <w:r>
        <w:rPr>
          <w:sz w:val="24"/>
          <w:szCs w:val="24"/>
        </w:rPr>
        <w:t>Na sequência, a tabela 06 destaca o percentual do Passivo Exigível em relação ao Patrimônio Líquido dos clubes.</w:t>
      </w:r>
    </w:p>
    <w:p w:rsidR="00CE5EB2" w:rsidRPr="0057775A" w:rsidRDefault="00CE5EB2" w:rsidP="00CE5EB2">
      <w:pPr>
        <w:spacing w:before="240"/>
        <w:jc w:val="both"/>
      </w:pPr>
      <w:proofErr w:type="gramStart"/>
      <w:r>
        <w:lastRenderedPageBreak/>
        <w:t>Tabela 06</w:t>
      </w:r>
      <w:r w:rsidRPr="0057775A">
        <w:t xml:space="preserve"> </w:t>
      </w:r>
      <w:r>
        <w:t>– Índices da</w:t>
      </w:r>
      <w:r w:rsidRPr="0057775A">
        <w:t xml:space="preserve"> Participação do Capital</w:t>
      </w:r>
      <w:proofErr w:type="gramEnd"/>
      <w:r w:rsidRPr="0057775A">
        <w:t xml:space="preserve"> de Terceiros</w:t>
      </w:r>
    </w:p>
    <w:tbl>
      <w:tblPr>
        <w:tblW w:w="5000" w:type="pct"/>
        <w:jc w:val="center"/>
        <w:tblCellMar>
          <w:left w:w="70" w:type="dxa"/>
          <w:right w:w="70" w:type="dxa"/>
        </w:tblCellMar>
        <w:tblLook w:val="04A0"/>
      </w:tblPr>
      <w:tblGrid>
        <w:gridCol w:w="2281"/>
        <w:gridCol w:w="1351"/>
        <w:gridCol w:w="1425"/>
        <w:gridCol w:w="1456"/>
        <w:gridCol w:w="1346"/>
        <w:gridCol w:w="1346"/>
      </w:tblGrid>
      <w:tr w:rsidR="00CE5EB2" w:rsidRPr="0057775A" w:rsidTr="00816E2D">
        <w:trPr>
          <w:trHeight w:val="300"/>
          <w:jc w:val="center"/>
        </w:trPr>
        <w:tc>
          <w:tcPr>
            <w:tcW w:w="123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b/>
                <w:bCs/>
                <w:color w:val="000000"/>
              </w:rPr>
            </w:pPr>
            <w:r w:rsidRPr="0057775A">
              <w:rPr>
                <w:b/>
                <w:bCs/>
                <w:color w:val="000000"/>
              </w:rPr>
              <w:t>Clube</w:t>
            </w:r>
          </w:p>
        </w:tc>
        <w:tc>
          <w:tcPr>
            <w:tcW w:w="734"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2012</w:t>
            </w:r>
          </w:p>
        </w:tc>
        <w:tc>
          <w:tcPr>
            <w:tcW w:w="774"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2013</w:t>
            </w:r>
          </w:p>
        </w:tc>
        <w:tc>
          <w:tcPr>
            <w:tcW w:w="791"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2014</w:t>
            </w:r>
          </w:p>
        </w:tc>
        <w:tc>
          <w:tcPr>
            <w:tcW w:w="731"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2015</w:t>
            </w:r>
          </w:p>
        </w:tc>
        <w:tc>
          <w:tcPr>
            <w:tcW w:w="731"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2016</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Avaí</w:t>
            </w:r>
          </w:p>
        </w:tc>
        <w:tc>
          <w:tcPr>
            <w:tcW w:w="734" w:type="pct"/>
            <w:tcBorders>
              <w:top w:val="nil"/>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color w:val="000000"/>
              </w:rPr>
            </w:pPr>
            <w:r w:rsidRPr="0057775A">
              <w:rPr>
                <w:color w:val="000000"/>
              </w:rPr>
              <w:t>187,81%</w:t>
            </w:r>
          </w:p>
        </w:tc>
        <w:tc>
          <w:tcPr>
            <w:tcW w:w="774" w:type="pct"/>
            <w:tcBorders>
              <w:top w:val="nil"/>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color w:val="000000"/>
              </w:rPr>
            </w:pPr>
            <w:r w:rsidRPr="0057775A">
              <w:rPr>
                <w:color w:val="000000"/>
              </w:rPr>
              <w:t>436,10%</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color w:val="000000"/>
              </w:rPr>
            </w:pPr>
            <w:r w:rsidRPr="0057775A">
              <w:rPr>
                <w:color w:val="000000"/>
              </w:rPr>
              <w:t>2597,06%</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Brusque</w:t>
            </w:r>
          </w:p>
        </w:tc>
        <w:tc>
          <w:tcPr>
            <w:tcW w:w="734" w:type="pct"/>
            <w:tcBorders>
              <w:top w:val="nil"/>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color w:val="000000"/>
              </w:rPr>
            </w:pPr>
          </w:p>
        </w:tc>
        <w:tc>
          <w:tcPr>
            <w:tcW w:w="774" w:type="pct"/>
            <w:tcBorders>
              <w:top w:val="nil"/>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color w:val="000000"/>
              </w:rPr>
            </w:pPr>
            <w:r w:rsidRPr="0057775A">
              <w:rPr>
                <w:color w:val="000000"/>
              </w:rPr>
              <w:t>2810,65%</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color w:val="000000"/>
              </w:rPr>
            </w:pPr>
            <w:r w:rsidRPr="0057775A">
              <w:rPr>
                <w:color w:val="000000"/>
              </w:rPr>
              <w:t>323,64%</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color w:val="000000"/>
              </w:rPr>
            </w:pPr>
            <w:r w:rsidRPr="0057775A">
              <w:rPr>
                <w:color w:val="000000"/>
              </w:rPr>
              <w:t>934,13%</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i/>
                <w:color w:val="000000"/>
              </w:rPr>
            </w:pPr>
            <w:r w:rsidRPr="00B41D9E">
              <w:rPr>
                <w:color w:val="000000"/>
              </w:rPr>
              <w:t>PL Negativo</w:t>
            </w:r>
          </w:p>
        </w:tc>
      </w:tr>
      <w:tr w:rsidR="00CE5EB2" w:rsidRPr="0057775A" w:rsidTr="00816E2D">
        <w:trPr>
          <w:trHeight w:val="315"/>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Chapecoense</w:t>
            </w:r>
          </w:p>
        </w:tc>
        <w:tc>
          <w:tcPr>
            <w:tcW w:w="734" w:type="pct"/>
            <w:tcBorders>
              <w:top w:val="nil"/>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color w:val="000000"/>
              </w:rPr>
            </w:pPr>
          </w:p>
        </w:tc>
        <w:tc>
          <w:tcPr>
            <w:tcW w:w="774"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color w:val="000000"/>
              </w:rPr>
            </w:pPr>
            <w:r w:rsidRPr="0057775A">
              <w:rPr>
                <w:color w:val="000000"/>
              </w:rPr>
              <w:t>183,98%</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color w:val="000000"/>
              </w:rPr>
            </w:pPr>
            <w:r w:rsidRPr="0057775A">
              <w:rPr>
                <w:color w:val="000000"/>
              </w:rPr>
              <w:t>596,17%</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Criciúma</w:t>
            </w:r>
          </w:p>
        </w:tc>
        <w:tc>
          <w:tcPr>
            <w:tcW w:w="734"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58,93%</w:t>
            </w:r>
          </w:p>
        </w:tc>
        <w:tc>
          <w:tcPr>
            <w:tcW w:w="774"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44,38%</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60,60%</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93,89%</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92,69%</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Figueirense</w:t>
            </w:r>
          </w:p>
        </w:tc>
        <w:tc>
          <w:tcPr>
            <w:tcW w:w="734"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74"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Inter de Lages</w:t>
            </w:r>
          </w:p>
        </w:tc>
        <w:tc>
          <w:tcPr>
            <w:tcW w:w="734"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i/>
                <w:color w:val="000000"/>
              </w:rPr>
            </w:pPr>
          </w:p>
        </w:tc>
        <w:tc>
          <w:tcPr>
            <w:tcW w:w="774"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i/>
                <w:color w:val="000000"/>
              </w:rPr>
            </w:pP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i/>
                <w:color w:val="000000"/>
              </w:rPr>
            </w:pP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Joinville</w:t>
            </w:r>
          </w:p>
        </w:tc>
        <w:tc>
          <w:tcPr>
            <w:tcW w:w="734"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74"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Metropolitano</w:t>
            </w:r>
          </w:p>
        </w:tc>
        <w:tc>
          <w:tcPr>
            <w:tcW w:w="734"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74"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B41D9E" w:rsidRDefault="00CE5EB2" w:rsidP="00CE5EB2">
            <w:pPr>
              <w:jc w:val="center"/>
              <w:rPr>
                <w:color w:val="000000"/>
              </w:rPr>
            </w:pPr>
            <w:r w:rsidRPr="00B41D9E">
              <w:rPr>
                <w:color w:val="000000"/>
              </w:rPr>
              <w:t>PL Negativo</w:t>
            </w:r>
          </w:p>
        </w:tc>
      </w:tr>
    </w:tbl>
    <w:p w:rsidR="00CE5EB2" w:rsidRPr="0057775A" w:rsidRDefault="00CE5EB2" w:rsidP="00CE5EB2">
      <w:pPr>
        <w:jc w:val="both"/>
      </w:pPr>
      <w:r w:rsidRPr="0057775A">
        <w:t xml:space="preserve">Fonte: </w:t>
      </w:r>
      <w:r>
        <w:t>Elaborado pelo autor a partir das demonstrações contábeis</w:t>
      </w:r>
      <w:r w:rsidRPr="0057775A">
        <w:t>.</w:t>
      </w:r>
    </w:p>
    <w:p w:rsidR="00CE5EB2" w:rsidRPr="003F2F15" w:rsidRDefault="00CE5EB2" w:rsidP="00CE5EB2">
      <w:pPr>
        <w:spacing w:before="240"/>
        <w:ind w:firstLine="708"/>
        <w:jc w:val="both"/>
        <w:rPr>
          <w:sz w:val="24"/>
          <w:szCs w:val="24"/>
        </w:rPr>
      </w:pPr>
      <w:r w:rsidRPr="003F2F15">
        <w:rPr>
          <w:sz w:val="24"/>
          <w:szCs w:val="24"/>
        </w:rPr>
        <w:t xml:space="preserve">Com o Passivo </w:t>
      </w:r>
      <w:proofErr w:type="gramStart"/>
      <w:r w:rsidRPr="003F2F15">
        <w:rPr>
          <w:sz w:val="24"/>
          <w:szCs w:val="24"/>
        </w:rPr>
        <w:t>a descoberto</w:t>
      </w:r>
      <w:proofErr w:type="gramEnd"/>
      <w:r w:rsidRPr="003F2F15">
        <w:rPr>
          <w:sz w:val="24"/>
          <w:szCs w:val="24"/>
        </w:rPr>
        <w:t xml:space="preserve"> em todos os anos, Figueirense, Inter de Lages, Joinville e Metropolitano apresentaram índices negativos, o que inviabiliza a análise, já que as variáveis de cálculo possuem sinais diferentes. Nestes clubes, todo o Ativo é financiado por capitais de terceiros.</w:t>
      </w:r>
    </w:p>
    <w:p w:rsidR="00CE5EB2" w:rsidRPr="003F2F15" w:rsidRDefault="00CE5EB2" w:rsidP="00CE5EB2">
      <w:pPr>
        <w:spacing w:before="240"/>
        <w:ind w:firstLine="708"/>
        <w:jc w:val="both"/>
        <w:rPr>
          <w:sz w:val="24"/>
          <w:szCs w:val="24"/>
        </w:rPr>
      </w:pPr>
      <w:r w:rsidRPr="003F2F15">
        <w:rPr>
          <w:sz w:val="24"/>
          <w:szCs w:val="24"/>
        </w:rPr>
        <w:t>Entre os clubes que apresentaram índices positivos, outra vez destaca-se o Criciúma. O clube apresentou, em todos os anos analisados, capitais de terceiros menores que o montante de seus capitais próprios.</w:t>
      </w:r>
    </w:p>
    <w:p w:rsidR="00CE5EB2" w:rsidRDefault="00CE5EB2" w:rsidP="00CE5EB2">
      <w:pPr>
        <w:spacing w:before="240"/>
        <w:ind w:firstLine="708"/>
        <w:jc w:val="both"/>
        <w:rPr>
          <w:sz w:val="24"/>
          <w:szCs w:val="24"/>
        </w:rPr>
      </w:pPr>
      <w:r w:rsidRPr="003F2F15">
        <w:rPr>
          <w:sz w:val="24"/>
          <w:szCs w:val="24"/>
        </w:rPr>
        <w:t xml:space="preserve">A Chapecoense, por sua vez, apresentou em 2015 </w:t>
      </w:r>
      <w:r>
        <w:rPr>
          <w:sz w:val="24"/>
          <w:szCs w:val="24"/>
        </w:rPr>
        <w:t>um índice de</w:t>
      </w:r>
      <w:r w:rsidRPr="003F2F15">
        <w:rPr>
          <w:sz w:val="24"/>
          <w:szCs w:val="24"/>
        </w:rPr>
        <w:t>, enquanto em 2016 este número cresceu para R$ 596,00 de capitais de terceiros para cada R$ 100,00 de Patrimônio Líquido. Este crescimento explica-se pelo aumento do valor de receitas antecipadas registradas no Passivo. Tais receitas, que decorrem substancialmente de contratos de transmissão dos jogos, foram contabilizadas no Balanço Patrimonial para não ferir o princípio da competência, já que a vigência destes contratos se dará em exercícios futuros.</w:t>
      </w:r>
    </w:p>
    <w:p w:rsidR="00CE5EB2" w:rsidRPr="003F2F15" w:rsidRDefault="00CE5EB2" w:rsidP="00CE5EB2">
      <w:pPr>
        <w:spacing w:before="240"/>
        <w:ind w:firstLine="708"/>
        <w:jc w:val="both"/>
        <w:rPr>
          <w:sz w:val="24"/>
          <w:szCs w:val="24"/>
        </w:rPr>
      </w:pPr>
      <w:r>
        <w:rPr>
          <w:sz w:val="24"/>
          <w:szCs w:val="24"/>
        </w:rPr>
        <w:t>Para finalizar a análise financeira dos clubes, tem-se o cálculo do quanto do Passivo Exigível está presente no Passivo Circulante dos clubes, conforme a tabela 07 apresenta na sequência.</w:t>
      </w:r>
    </w:p>
    <w:p w:rsidR="00CE5EB2" w:rsidRPr="0057775A" w:rsidRDefault="00CE5EB2" w:rsidP="00CE5EB2">
      <w:pPr>
        <w:spacing w:before="240"/>
        <w:jc w:val="both"/>
      </w:pPr>
      <w:proofErr w:type="gramStart"/>
      <w:r>
        <w:t>Tabela 07</w:t>
      </w:r>
      <w:r w:rsidRPr="0057775A">
        <w:t xml:space="preserve"> </w:t>
      </w:r>
      <w:r>
        <w:t>– Índices da</w:t>
      </w:r>
      <w:r w:rsidRPr="0057775A">
        <w:t xml:space="preserve"> Composição do Endividamento</w:t>
      </w:r>
      <w:proofErr w:type="gramEnd"/>
    </w:p>
    <w:tbl>
      <w:tblPr>
        <w:tblW w:w="5000" w:type="pct"/>
        <w:jc w:val="center"/>
        <w:tblCellMar>
          <w:left w:w="70" w:type="dxa"/>
          <w:right w:w="70" w:type="dxa"/>
        </w:tblCellMar>
        <w:tblLook w:val="04A0"/>
      </w:tblPr>
      <w:tblGrid>
        <w:gridCol w:w="2281"/>
        <w:gridCol w:w="1237"/>
        <w:gridCol w:w="1539"/>
        <w:gridCol w:w="1456"/>
        <w:gridCol w:w="1346"/>
        <w:gridCol w:w="1346"/>
      </w:tblGrid>
      <w:tr w:rsidR="00CE5EB2" w:rsidRPr="0057775A" w:rsidTr="00816E2D">
        <w:trPr>
          <w:trHeight w:val="315"/>
          <w:jc w:val="center"/>
        </w:trPr>
        <w:tc>
          <w:tcPr>
            <w:tcW w:w="123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b/>
                <w:bCs/>
                <w:color w:val="000000"/>
              </w:rPr>
            </w:pPr>
            <w:r w:rsidRPr="0057775A">
              <w:rPr>
                <w:b/>
                <w:bCs/>
                <w:color w:val="000000"/>
              </w:rPr>
              <w:t>Clube</w:t>
            </w:r>
          </w:p>
        </w:tc>
        <w:tc>
          <w:tcPr>
            <w:tcW w:w="672"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2012</w:t>
            </w:r>
          </w:p>
        </w:tc>
        <w:tc>
          <w:tcPr>
            <w:tcW w:w="836"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2013</w:t>
            </w:r>
          </w:p>
        </w:tc>
        <w:tc>
          <w:tcPr>
            <w:tcW w:w="791"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2014</w:t>
            </w:r>
          </w:p>
        </w:tc>
        <w:tc>
          <w:tcPr>
            <w:tcW w:w="731"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2015</w:t>
            </w:r>
          </w:p>
        </w:tc>
        <w:tc>
          <w:tcPr>
            <w:tcW w:w="731" w:type="pct"/>
            <w:tcBorders>
              <w:top w:val="single" w:sz="4" w:space="0" w:color="auto"/>
              <w:left w:val="nil"/>
              <w:bottom w:val="single" w:sz="4" w:space="0" w:color="auto"/>
              <w:right w:val="single" w:sz="4" w:space="0" w:color="auto"/>
            </w:tcBorders>
            <w:shd w:val="clear" w:color="auto" w:fill="auto"/>
            <w:noWrap/>
            <w:vAlign w:val="bottom"/>
            <w:hideMark/>
          </w:tcPr>
          <w:p w:rsidR="00CE5EB2" w:rsidRPr="0057775A" w:rsidRDefault="00CE5EB2" w:rsidP="00CE5EB2">
            <w:pPr>
              <w:jc w:val="center"/>
              <w:rPr>
                <w:b/>
                <w:bCs/>
                <w:color w:val="000000"/>
              </w:rPr>
            </w:pPr>
            <w:r w:rsidRPr="0057775A">
              <w:rPr>
                <w:b/>
                <w:bCs/>
                <w:color w:val="000000"/>
              </w:rPr>
              <w:t>2016</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Avaí</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41,64%</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29,72%</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23,86%</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28,94%</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36,06%</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Brusque</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100,00%</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100,00%</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100,00%</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100,00%</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Chapecoense</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41,93%</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81,94%</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81,95%</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76,06%</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Criciúma</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47,45%</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51,98%</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54,76%</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9,03%</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16,18%</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Figueirense</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58,28%</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66,23%</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54,39%</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52,23%</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48,98%</w:t>
            </w: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Inter de Lages</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78,29%</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68,28%</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p>
        </w:tc>
      </w:tr>
      <w:tr w:rsidR="00CE5EB2" w:rsidRPr="0057775A" w:rsidTr="00816E2D">
        <w:trPr>
          <w:trHeight w:val="300"/>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Joinville</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50,13%</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63,70%</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74,63%</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67,37%</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58,61%</w:t>
            </w:r>
          </w:p>
        </w:tc>
      </w:tr>
      <w:tr w:rsidR="00CE5EB2" w:rsidRPr="0057775A" w:rsidTr="00816E2D">
        <w:trPr>
          <w:trHeight w:val="315"/>
          <w:jc w:val="center"/>
        </w:trPr>
        <w:tc>
          <w:tcPr>
            <w:tcW w:w="1239" w:type="pct"/>
            <w:tcBorders>
              <w:top w:val="nil"/>
              <w:left w:val="single" w:sz="4" w:space="0" w:color="auto"/>
              <w:bottom w:val="single" w:sz="4" w:space="0" w:color="auto"/>
              <w:right w:val="single" w:sz="4" w:space="0" w:color="auto"/>
            </w:tcBorders>
            <w:shd w:val="clear" w:color="auto" w:fill="auto"/>
            <w:noWrap/>
            <w:vAlign w:val="bottom"/>
            <w:hideMark/>
          </w:tcPr>
          <w:p w:rsidR="00CE5EB2" w:rsidRPr="0057775A" w:rsidRDefault="00CE5EB2" w:rsidP="00CE5EB2">
            <w:pPr>
              <w:rPr>
                <w:color w:val="000000"/>
              </w:rPr>
            </w:pPr>
            <w:r w:rsidRPr="0057775A">
              <w:rPr>
                <w:color w:val="000000"/>
              </w:rPr>
              <w:t>Metropolitano</w:t>
            </w:r>
          </w:p>
        </w:tc>
        <w:tc>
          <w:tcPr>
            <w:tcW w:w="672"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96,46%</w:t>
            </w:r>
          </w:p>
        </w:tc>
        <w:tc>
          <w:tcPr>
            <w:tcW w:w="836"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80,44%</w:t>
            </w:r>
          </w:p>
        </w:tc>
        <w:tc>
          <w:tcPr>
            <w:tcW w:w="79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7,09%</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color w:val="000000"/>
              </w:rPr>
            </w:pPr>
            <w:r w:rsidRPr="002117D5">
              <w:rPr>
                <w:color w:val="000000"/>
              </w:rPr>
              <w:t>11,25%</w:t>
            </w:r>
          </w:p>
        </w:tc>
        <w:tc>
          <w:tcPr>
            <w:tcW w:w="731" w:type="pct"/>
            <w:tcBorders>
              <w:top w:val="nil"/>
              <w:left w:val="nil"/>
              <w:bottom w:val="single" w:sz="4" w:space="0" w:color="auto"/>
              <w:right w:val="single" w:sz="4" w:space="0" w:color="auto"/>
            </w:tcBorders>
            <w:shd w:val="clear" w:color="auto" w:fill="auto"/>
            <w:noWrap/>
            <w:vAlign w:val="bottom"/>
            <w:hideMark/>
          </w:tcPr>
          <w:p w:rsidR="00CE5EB2" w:rsidRPr="002117D5" w:rsidRDefault="00CE5EB2" w:rsidP="00CE5EB2">
            <w:pPr>
              <w:jc w:val="center"/>
              <w:rPr>
                <w:bCs/>
                <w:color w:val="000000"/>
              </w:rPr>
            </w:pPr>
            <w:r w:rsidRPr="002117D5">
              <w:rPr>
                <w:bCs/>
                <w:color w:val="000000"/>
              </w:rPr>
              <w:t>8,31%</w:t>
            </w:r>
          </w:p>
        </w:tc>
      </w:tr>
    </w:tbl>
    <w:p w:rsidR="00CE5EB2" w:rsidRPr="0057775A" w:rsidRDefault="00CE5EB2" w:rsidP="00CE5EB2">
      <w:pPr>
        <w:jc w:val="both"/>
      </w:pPr>
      <w:r w:rsidRPr="0057775A">
        <w:t xml:space="preserve">Fonte: </w:t>
      </w:r>
      <w:r>
        <w:t>Elaborado pelo autor a partir das demonstrações contábeis</w:t>
      </w:r>
      <w:r w:rsidRPr="0057775A">
        <w:t>.</w:t>
      </w:r>
    </w:p>
    <w:p w:rsidR="00CE5EB2" w:rsidRPr="003F2F15" w:rsidRDefault="00CE5EB2" w:rsidP="00CE5EB2">
      <w:pPr>
        <w:spacing w:before="240"/>
        <w:ind w:firstLine="708"/>
        <w:jc w:val="both"/>
        <w:rPr>
          <w:sz w:val="24"/>
          <w:szCs w:val="24"/>
        </w:rPr>
      </w:pPr>
      <w:r w:rsidRPr="003F2F15">
        <w:rPr>
          <w:sz w:val="24"/>
          <w:szCs w:val="24"/>
        </w:rPr>
        <w:t xml:space="preserve">A Composição do Endividamento dos clubes de Santa Catarina apresenta </w:t>
      </w:r>
      <w:proofErr w:type="gramStart"/>
      <w:r w:rsidRPr="003F2F15">
        <w:rPr>
          <w:sz w:val="24"/>
          <w:szCs w:val="24"/>
        </w:rPr>
        <w:t>bastante</w:t>
      </w:r>
      <w:proofErr w:type="gramEnd"/>
      <w:r w:rsidRPr="003F2F15">
        <w:rPr>
          <w:sz w:val="24"/>
          <w:szCs w:val="24"/>
        </w:rPr>
        <w:t xml:space="preserve"> diferenças entre os clubes quanto ao percentual das dívidas de curto prazo em relação ao passivo exigível total, com clubes tendo um alto índice e outros com indicadores mais baixos.</w:t>
      </w:r>
    </w:p>
    <w:p w:rsidR="00CE5EB2" w:rsidRPr="003F2F15" w:rsidRDefault="00CE5EB2" w:rsidP="00CE5EB2">
      <w:pPr>
        <w:spacing w:before="240"/>
        <w:ind w:firstLine="708"/>
        <w:jc w:val="both"/>
        <w:rPr>
          <w:sz w:val="24"/>
          <w:szCs w:val="24"/>
        </w:rPr>
      </w:pPr>
      <w:r w:rsidRPr="003F2F15">
        <w:rPr>
          <w:sz w:val="24"/>
          <w:szCs w:val="24"/>
        </w:rPr>
        <w:lastRenderedPageBreak/>
        <w:t xml:space="preserve">No caso do Metropolitano, as duas situações ocorreram ao longo dos anos analisados. Se em 2012 e 2013, </w:t>
      </w:r>
      <w:proofErr w:type="gramStart"/>
      <w:r w:rsidRPr="003F2F15">
        <w:rPr>
          <w:sz w:val="24"/>
          <w:szCs w:val="24"/>
        </w:rPr>
        <w:t>96,46% e 80,44%, respectivamente, da dívida do clube</w:t>
      </w:r>
      <w:proofErr w:type="gramEnd"/>
      <w:r w:rsidRPr="003F2F15">
        <w:rPr>
          <w:sz w:val="24"/>
          <w:szCs w:val="24"/>
        </w:rPr>
        <w:t xml:space="preserve"> estava presente no P</w:t>
      </w:r>
      <w:r>
        <w:rPr>
          <w:sz w:val="24"/>
          <w:szCs w:val="24"/>
        </w:rPr>
        <w:t>assivo C</w:t>
      </w:r>
      <w:r w:rsidRPr="003F2F15">
        <w:rPr>
          <w:sz w:val="24"/>
          <w:szCs w:val="24"/>
        </w:rPr>
        <w:t xml:space="preserve">irculante, em 2014 este número caiu para apenas 7,09%, se mantendo um índice baixo nos anos seguintes. Tal mudança ocorreu essencialmente pelo valor da conta Empréstimos e Financiamentos, que antes estava com um valor muito alto no Passivo </w:t>
      </w:r>
      <w:r>
        <w:rPr>
          <w:sz w:val="24"/>
          <w:szCs w:val="24"/>
        </w:rPr>
        <w:t>C</w:t>
      </w:r>
      <w:r w:rsidRPr="003F2F15">
        <w:rPr>
          <w:sz w:val="24"/>
          <w:szCs w:val="24"/>
        </w:rPr>
        <w:t>irculante e posteriormente a maior parte do valor constava no P</w:t>
      </w:r>
      <w:r>
        <w:rPr>
          <w:sz w:val="24"/>
          <w:szCs w:val="24"/>
        </w:rPr>
        <w:t>assivo Não C</w:t>
      </w:r>
      <w:r w:rsidRPr="003F2F15">
        <w:rPr>
          <w:sz w:val="24"/>
          <w:szCs w:val="24"/>
        </w:rPr>
        <w:t>irculante. Em virtude da ausência de notas explicativas nas demonstrações contábeis da equipe</w:t>
      </w:r>
      <w:r>
        <w:rPr>
          <w:sz w:val="24"/>
          <w:szCs w:val="24"/>
        </w:rPr>
        <w:t xml:space="preserve"> naquele ano</w:t>
      </w:r>
      <w:r w:rsidRPr="003F2F15">
        <w:rPr>
          <w:sz w:val="24"/>
          <w:szCs w:val="24"/>
        </w:rPr>
        <w:t xml:space="preserve">, não foi possível verificar com maiores detalhes </w:t>
      </w:r>
      <w:r>
        <w:rPr>
          <w:sz w:val="24"/>
          <w:szCs w:val="24"/>
        </w:rPr>
        <w:t>o motivo d</w:t>
      </w:r>
      <w:r w:rsidRPr="003F2F15">
        <w:rPr>
          <w:sz w:val="24"/>
          <w:szCs w:val="24"/>
        </w:rPr>
        <w:t>essa mudança.</w:t>
      </w:r>
    </w:p>
    <w:p w:rsidR="00CE5EB2" w:rsidRPr="003F2F15" w:rsidRDefault="00CE5EB2" w:rsidP="00CE5EB2">
      <w:pPr>
        <w:spacing w:before="240"/>
        <w:ind w:firstLine="708"/>
        <w:jc w:val="both"/>
        <w:rPr>
          <w:sz w:val="24"/>
          <w:szCs w:val="24"/>
        </w:rPr>
      </w:pPr>
      <w:r>
        <w:rPr>
          <w:sz w:val="24"/>
          <w:szCs w:val="24"/>
        </w:rPr>
        <w:t xml:space="preserve">Já </w:t>
      </w:r>
      <w:proofErr w:type="gramStart"/>
      <w:r>
        <w:rPr>
          <w:sz w:val="24"/>
          <w:szCs w:val="24"/>
        </w:rPr>
        <w:t>o Brusque</w:t>
      </w:r>
      <w:proofErr w:type="gramEnd"/>
      <w:r>
        <w:rPr>
          <w:sz w:val="24"/>
          <w:szCs w:val="24"/>
        </w:rPr>
        <w:t xml:space="preserve"> </w:t>
      </w:r>
      <w:r w:rsidRPr="003F2F15">
        <w:rPr>
          <w:sz w:val="24"/>
          <w:szCs w:val="24"/>
        </w:rPr>
        <w:t xml:space="preserve">apresentou em todos os anos um índice de 100%, ou seja, o clube nunca registrou dívidas de longo prazo. Em suas demonstrações, </w:t>
      </w:r>
      <w:proofErr w:type="gramStart"/>
      <w:r w:rsidRPr="003F2F15">
        <w:rPr>
          <w:sz w:val="24"/>
          <w:szCs w:val="24"/>
        </w:rPr>
        <w:t>verifica-se</w:t>
      </w:r>
      <w:proofErr w:type="gramEnd"/>
      <w:r w:rsidRPr="003F2F15">
        <w:rPr>
          <w:sz w:val="24"/>
          <w:szCs w:val="24"/>
        </w:rPr>
        <w:t xml:space="preserve"> que as obrigações do Brusque são basicamente de Obrigações Trabalhistas e Obrigações Sociais e Previdenciárias, todas com previsão de liquidação no ano seguinte.</w:t>
      </w:r>
    </w:p>
    <w:p w:rsidR="00CE5EB2" w:rsidRPr="003F2F15" w:rsidRDefault="00CE5EB2" w:rsidP="00CE5EB2">
      <w:pPr>
        <w:spacing w:before="240"/>
        <w:ind w:firstLine="708"/>
        <w:jc w:val="both"/>
        <w:rPr>
          <w:sz w:val="24"/>
          <w:szCs w:val="24"/>
        </w:rPr>
      </w:pPr>
      <w:r w:rsidRPr="003F2F15">
        <w:rPr>
          <w:sz w:val="24"/>
          <w:szCs w:val="24"/>
        </w:rPr>
        <w:t xml:space="preserve">O Criciúma apresentou nos primeiros anos analisados um equilíbrio entre a classificação de seus passíveis exigíveis, mas em 2015 notou-se que o percentual do Passivo </w:t>
      </w:r>
      <w:r>
        <w:rPr>
          <w:sz w:val="24"/>
          <w:szCs w:val="24"/>
        </w:rPr>
        <w:t>C</w:t>
      </w:r>
      <w:r w:rsidRPr="003F2F15">
        <w:rPr>
          <w:sz w:val="24"/>
          <w:szCs w:val="24"/>
        </w:rPr>
        <w:t xml:space="preserve">irculante caiu consideravelmente na comparação. Esta mudança, pelo que se observa nos </w:t>
      </w:r>
      <w:r>
        <w:rPr>
          <w:sz w:val="24"/>
          <w:szCs w:val="24"/>
        </w:rPr>
        <w:t>B</w:t>
      </w:r>
      <w:r w:rsidRPr="003F2F15">
        <w:rPr>
          <w:sz w:val="24"/>
          <w:szCs w:val="24"/>
        </w:rPr>
        <w:t xml:space="preserve">alanços </w:t>
      </w:r>
      <w:r>
        <w:rPr>
          <w:sz w:val="24"/>
          <w:szCs w:val="24"/>
        </w:rPr>
        <w:t>P</w:t>
      </w:r>
      <w:r w:rsidRPr="003F2F15">
        <w:rPr>
          <w:sz w:val="24"/>
          <w:szCs w:val="24"/>
        </w:rPr>
        <w:t>atrimoniais do clube, ocorreu em virtude da reclassificação da conta Receitas de Subvenções a Realizar, que até 2014 constava nas obrigações de curto prazo.</w:t>
      </w:r>
    </w:p>
    <w:p w:rsidR="00CE5EB2" w:rsidRPr="003F2F15" w:rsidRDefault="00CE5EB2" w:rsidP="00CE5EB2">
      <w:pPr>
        <w:spacing w:before="240"/>
        <w:ind w:firstLine="708"/>
        <w:jc w:val="both"/>
        <w:rPr>
          <w:sz w:val="24"/>
          <w:szCs w:val="24"/>
        </w:rPr>
      </w:pPr>
      <w:r w:rsidRPr="003F2F15">
        <w:rPr>
          <w:sz w:val="24"/>
          <w:szCs w:val="24"/>
        </w:rPr>
        <w:t>A Chapecoense apresenta a maior parte das suas dívidas no Passivo Circulante, porém, como visto anteriormente, apresenta um bom índice de liquidez e assim possui capacidade para liquidação das obrigações no curto prazo.</w:t>
      </w:r>
    </w:p>
    <w:p w:rsidR="00CE5EB2" w:rsidRPr="002E411D" w:rsidRDefault="00CE5EB2" w:rsidP="00CE5EB2">
      <w:pPr>
        <w:spacing w:before="240"/>
        <w:jc w:val="both"/>
        <w:rPr>
          <w:b/>
          <w:sz w:val="24"/>
          <w:szCs w:val="24"/>
        </w:rPr>
      </w:pPr>
      <w:proofErr w:type="gramStart"/>
      <w:r w:rsidRPr="002E411D">
        <w:rPr>
          <w:b/>
          <w:sz w:val="24"/>
          <w:szCs w:val="24"/>
        </w:rPr>
        <w:t>4.4 Análise</w:t>
      </w:r>
      <w:proofErr w:type="gramEnd"/>
      <w:r w:rsidRPr="002E411D">
        <w:rPr>
          <w:b/>
          <w:sz w:val="24"/>
          <w:szCs w:val="24"/>
        </w:rPr>
        <w:t xml:space="preserve"> conjunta dos índices</w:t>
      </w:r>
    </w:p>
    <w:p w:rsidR="00CE5EB2" w:rsidRPr="003F2F15" w:rsidRDefault="00CE5EB2" w:rsidP="00CE5EB2">
      <w:pPr>
        <w:spacing w:before="240"/>
        <w:ind w:firstLine="708"/>
        <w:jc w:val="both"/>
        <w:rPr>
          <w:sz w:val="24"/>
          <w:szCs w:val="24"/>
        </w:rPr>
      </w:pPr>
      <w:r w:rsidRPr="002E411D">
        <w:rPr>
          <w:sz w:val="24"/>
          <w:szCs w:val="24"/>
        </w:rPr>
        <w:t>Ao avaliar o estado econômico-financeiro de uma entidade, busca-se após a apuração e análise de cada índice verificar a relação destes diferentes indicadores. Neste sentido, buscou-se analisar por clube a relação entre si dos nove índices abordados neste estudo.</w:t>
      </w:r>
      <w:r>
        <w:rPr>
          <w:sz w:val="24"/>
          <w:szCs w:val="24"/>
        </w:rPr>
        <w:t xml:space="preserve"> A seguir, a tabela 08 apresenta todos os índices do Avaí.</w:t>
      </w:r>
    </w:p>
    <w:p w:rsidR="00CE5EB2" w:rsidRPr="00C37A04" w:rsidRDefault="00CE5EB2" w:rsidP="00CE5EB2">
      <w:pPr>
        <w:spacing w:before="240"/>
        <w:jc w:val="both"/>
      </w:pPr>
      <w:proofErr w:type="gramStart"/>
      <w:r>
        <w:t>Tabela 08</w:t>
      </w:r>
      <w:r w:rsidRPr="0057775A">
        <w:t xml:space="preserve"> </w:t>
      </w:r>
      <w:r>
        <w:t>– Índices do Avaí</w:t>
      </w:r>
      <w:proofErr w:type="gramEnd"/>
    </w:p>
    <w:tbl>
      <w:tblPr>
        <w:tblW w:w="5000" w:type="pct"/>
        <w:jc w:val="center"/>
        <w:tblCellMar>
          <w:left w:w="70" w:type="dxa"/>
          <w:right w:w="70" w:type="dxa"/>
        </w:tblCellMar>
        <w:tblLook w:val="04A0"/>
      </w:tblPr>
      <w:tblGrid>
        <w:gridCol w:w="3061"/>
        <w:gridCol w:w="1022"/>
        <w:gridCol w:w="1145"/>
        <w:gridCol w:w="1145"/>
        <w:gridCol w:w="1403"/>
        <w:gridCol w:w="1429"/>
      </w:tblGrid>
      <w:tr w:rsidR="00CE5EB2" w:rsidRPr="00F944A2" w:rsidTr="00816E2D">
        <w:trPr>
          <w:trHeight w:val="300"/>
          <w:jc w:val="center"/>
        </w:trPr>
        <w:tc>
          <w:tcPr>
            <w:tcW w:w="16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EB2" w:rsidRPr="00F944A2" w:rsidRDefault="00CE5EB2" w:rsidP="00CE5EB2">
            <w:pPr>
              <w:rPr>
                <w:b/>
                <w:bCs/>
                <w:color w:val="000000"/>
              </w:rPr>
            </w:pPr>
            <w:r w:rsidRPr="00F944A2">
              <w:rPr>
                <w:b/>
                <w:bCs/>
                <w:color w:val="000000"/>
              </w:rPr>
              <w:t>Índice</w:t>
            </w:r>
          </w:p>
        </w:tc>
        <w:tc>
          <w:tcPr>
            <w:tcW w:w="555" w:type="pct"/>
            <w:tcBorders>
              <w:top w:val="single" w:sz="4" w:space="0" w:color="auto"/>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b/>
                <w:bCs/>
                <w:color w:val="000000"/>
              </w:rPr>
            </w:pPr>
            <w:r w:rsidRPr="00F944A2">
              <w:rPr>
                <w:b/>
                <w:bCs/>
                <w:color w:val="000000"/>
              </w:rPr>
              <w:t>2012</w:t>
            </w:r>
          </w:p>
        </w:tc>
        <w:tc>
          <w:tcPr>
            <w:tcW w:w="622" w:type="pct"/>
            <w:tcBorders>
              <w:top w:val="single" w:sz="4" w:space="0" w:color="auto"/>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b/>
                <w:bCs/>
                <w:color w:val="000000"/>
              </w:rPr>
            </w:pPr>
            <w:r w:rsidRPr="00F944A2">
              <w:rPr>
                <w:b/>
                <w:bCs/>
                <w:color w:val="000000"/>
              </w:rPr>
              <w:t>2013</w:t>
            </w:r>
          </w:p>
        </w:tc>
        <w:tc>
          <w:tcPr>
            <w:tcW w:w="622" w:type="pct"/>
            <w:tcBorders>
              <w:top w:val="single" w:sz="4" w:space="0" w:color="auto"/>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b/>
                <w:bCs/>
                <w:color w:val="000000"/>
              </w:rPr>
            </w:pPr>
            <w:r w:rsidRPr="00F944A2">
              <w:rPr>
                <w:b/>
                <w:bCs/>
                <w:color w:val="000000"/>
              </w:rPr>
              <w:t>2014</w:t>
            </w:r>
          </w:p>
        </w:tc>
        <w:tc>
          <w:tcPr>
            <w:tcW w:w="762" w:type="pct"/>
            <w:tcBorders>
              <w:top w:val="single" w:sz="4" w:space="0" w:color="auto"/>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b/>
                <w:bCs/>
                <w:color w:val="000000"/>
              </w:rPr>
            </w:pPr>
            <w:r w:rsidRPr="00F944A2">
              <w:rPr>
                <w:b/>
                <w:bCs/>
                <w:color w:val="000000"/>
              </w:rPr>
              <w:t>2015</w:t>
            </w:r>
          </w:p>
        </w:tc>
        <w:tc>
          <w:tcPr>
            <w:tcW w:w="776" w:type="pct"/>
            <w:tcBorders>
              <w:top w:val="single" w:sz="4" w:space="0" w:color="auto"/>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b/>
                <w:bCs/>
                <w:color w:val="000000"/>
              </w:rPr>
            </w:pPr>
            <w:r w:rsidRPr="00F944A2">
              <w:rPr>
                <w:b/>
                <w:bCs/>
                <w:color w:val="000000"/>
              </w:rPr>
              <w:t>2016</w:t>
            </w:r>
          </w:p>
        </w:tc>
      </w:tr>
      <w:tr w:rsidR="00CE5EB2" w:rsidRPr="00F944A2" w:rsidTr="00816E2D">
        <w:trPr>
          <w:trHeight w:val="300"/>
          <w:jc w:val="center"/>
        </w:trPr>
        <w:tc>
          <w:tcPr>
            <w:tcW w:w="1663" w:type="pct"/>
            <w:tcBorders>
              <w:top w:val="nil"/>
              <w:left w:val="single" w:sz="4" w:space="0" w:color="auto"/>
              <w:bottom w:val="single" w:sz="4" w:space="0" w:color="auto"/>
              <w:right w:val="single" w:sz="4" w:space="0" w:color="auto"/>
            </w:tcBorders>
            <w:shd w:val="clear" w:color="auto" w:fill="auto"/>
            <w:noWrap/>
            <w:vAlign w:val="bottom"/>
            <w:hideMark/>
          </w:tcPr>
          <w:p w:rsidR="00CE5EB2" w:rsidRPr="00F944A2" w:rsidRDefault="00CE5EB2" w:rsidP="00CE5EB2">
            <w:pPr>
              <w:rPr>
                <w:color w:val="000000"/>
              </w:rPr>
            </w:pPr>
            <w:r w:rsidRPr="00F944A2">
              <w:rPr>
                <w:color w:val="000000"/>
              </w:rPr>
              <w:t>Rentabilidade do Ativo</w:t>
            </w:r>
          </w:p>
        </w:tc>
        <w:tc>
          <w:tcPr>
            <w:tcW w:w="555"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-11,97%</w:t>
            </w:r>
          </w:p>
        </w:tc>
        <w:tc>
          <w:tcPr>
            <w:tcW w:w="62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-16,33%</w:t>
            </w:r>
          </w:p>
        </w:tc>
        <w:tc>
          <w:tcPr>
            <w:tcW w:w="62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0,43%</w:t>
            </w:r>
          </w:p>
        </w:tc>
        <w:tc>
          <w:tcPr>
            <w:tcW w:w="76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-21,14%</w:t>
            </w:r>
          </w:p>
        </w:tc>
        <w:tc>
          <w:tcPr>
            <w:tcW w:w="776"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-12,67%</w:t>
            </w:r>
          </w:p>
        </w:tc>
      </w:tr>
      <w:tr w:rsidR="00CE5EB2" w:rsidRPr="00F944A2" w:rsidTr="00816E2D">
        <w:trPr>
          <w:trHeight w:val="359"/>
          <w:jc w:val="center"/>
        </w:trPr>
        <w:tc>
          <w:tcPr>
            <w:tcW w:w="1663" w:type="pct"/>
            <w:tcBorders>
              <w:top w:val="nil"/>
              <w:left w:val="single" w:sz="4" w:space="0" w:color="auto"/>
              <w:bottom w:val="single" w:sz="4" w:space="0" w:color="auto"/>
              <w:right w:val="single" w:sz="4" w:space="0" w:color="auto"/>
            </w:tcBorders>
            <w:shd w:val="clear" w:color="auto" w:fill="auto"/>
            <w:noWrap/>
            <w:vAlign w:val="bottom"/>
            <w:hideMark/>
          </w:tcPr>
          <w:p w:rsidR="00CE5EB2" w:rsidRPr="00F944A2" w:rsidRDefault="00CE5EB2" w:rsidP="00CE5EB2">
            <w:pPr>
              <w:rPr>
                <w:color w:val="000000"/>
              </w:rPr>
            </w:pPr>
            <w:r>
              <w:rPr>
                <w:color w:val="000000"/>
              </w:rPr>
              <w:t>Rentabilidade do PL</w:t>
            </w:r>
          </w:p>
        </w:tc>
        <w:tc>
          <w:tcPr>
            <w:tcW w:w="555"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-34,46%</w:t>
            </w:r>
          </w:p>
        </w:tc>
        <w:tc>
          <w:tcPr>
            <w:tcW w:w="62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-87,56%</w:t>
            </w:r>
          </w:p>
        </w:tc>
        <w:tc>
          <w:tcPr>
            <w:tcW w:w="62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11,57%</w:t>
            </w:r>
          </w:p>
        </w:tc>
        <w:tc>
          <w:tcPr>
            <w:tcW w:w="76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Pr>
                <w:color w:val="000000"/>
              </w:rPr>
              <w:t>PL Negativo</w:t>
            </w:r>
          </w:p>
        </w:tc>
        <w:tc>
          <w:tcPr>
            <w:tcW w:w="776"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Pr>
                <w:color w:val="000000"/>
              </w:rPr>
              <w:t>PL Negativo</w:t>
            </w:r>
          </w:p>
        </w:tc>
      </w:tr>
      <w:tr w:rsidR="00CE5EB2" w:rsidRPr="00F944A2" w:rsidTr="00816E2D">
        <w:trPr>
          <w:trHeight w:val="300"/>
          <w:jc w:val="center"/>
        </w:trPr>
        <w:tc>
          <w:tcPr>
            <w:tcW w:w="1663" w:type="pct"/>
            <w:tcBorders>
              <w:top w:val="nil"/>
              <w:left w:val="single" w:sz="4" w:space="0" w:color="auto"/>
              <w:bottom w:val="single" w:sz="4" w:space="0" w:color="auto"/>
              <w:right w:val="single" w:sz="4" w:space="0" w:color="auto"/>
            </w:tcBorders>
            <w:shd w:val="clear" w:color="auto" w:fill="auto"/>
            <w:noWrap/>
            <w:vAlign w:val="bottom"/>
            <w:hideMark/>
          </w:tcPr>
          <w:p w:rsidR="00CE5EB2" w:rsidRPr="00F944A2" w:rsidRDefault="00CE5EB2" w:rsidP="00CE5EB2">
            <w:pPr>
              <w:rPr>
                <w:color w:val="000000"/>
              </w:rPr>
            </w:pPr>
            <w:r w:rsidRPr="00F944A2">
              <w:rPr>
                <w:color w:val="000000"/>
              </w:rPr>
              <w:t>Liquidez Corrente</w:t>
            </w:r>
          </w:p>
        </w:tc>
        <w:tc>
          <w:tcPr>
            <w:tcW w:w="555"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0,28</w:t>
            </w:r>
          </w:p>
        </w:tc>
        <w:tc>
          <w:tcPr>
            <w:tcW w:w="62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0,38</w:t>
            </w:r>
          </w:p>
        </w:tc>
        <w:tc>
          <w:tcPr>
            <w:tcW w:w="62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0,33</w:t>
            </w:r>
          </w:p>
        </w:tc>
        <w:tc>
          <w:tcPr>
            <w:tcW w:w="76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0,26</w:t>
            </w:r>
          </w:p>
        </w:tc>
        <w:tc>
          <w:tcPr>
            <w:tcW w:w="776"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0,22</w:t>
            </w:r>
          </w:p>
        </w:tc>
      </w:tr>
      <w:tr w:rsidR="00CE5EB2" w:rsidRPr="00F944A2" w:rsidTr="00816E2D">
        <w:trPr>
          <w:trHeight w:val="300"/>
          <w:jc w:val="center"/>
        </w:trPr>
        <w:tc>
          <w:tcPr>
            <w:tcW w:w="1663" w:type="pct"/>
            <w:tcBorders>
              <w:top w:val="nil"/>
              <w:left w:val="single" w:sz="4" w:space="0" w:color="auto"/>
              <w:bottom w:val="single" w:sz="4" w:space="0" w:color="auto"/>
              <w:right w:val="single" w:sz="4" w:space="0" w:color="auto"/>
            </w:tcBorders>
            <w:shd w:val="clear" w:color="auto" w:fill="auto"/>
            <w:noWrap/>
            <w:vAlign w:val="bottom"/>
            <w:hideMark/>
          </w:tcPr>
          <w:p w:rsidR="00CE5EB2" w:rsidRPr="00F944A2" w:rsidRDefault="00CE5EB2" w:rsidP="00CE5EB2">
            <w:pPr>
              <w:rPr>
                <w:color w:val="000000"/>
              </w:rPr>
            </w:pPr>
            <w:r w:rsidRPr="00F944A2">
              <w:rPr>
                <w:color w:val="000000"/>
              </w:rPr>
              <w:t>Liquidez Geral</w:t>
            </w:r>
          </w:p>
        </w:tc>
        <w:tc>
          <w:tcPr>
            <w:tcW w:w="555"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0,12</w:t>
            </w:r>
          </w:p>
        </w:tc>
        <w:tc>
          <w:tcPr>
            <w:tcW w:w="62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0,11</w:t>
            </w:r>
          </w:p>
        </w:tc>
        <w:tc>
          <w:tcPr>
            <w:tcW w:w="62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0,08</w:t>
            </w:r>
          </w:p>
        </w:tc>
        <w:tc>
          <w:tcPr>
            <w:tcW w:w="76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0,07</w:t>
            </w:r>
          </w:p>
        </w:tc>
        <w:tc>
          <w:tcPr>
            <w:tcW w:w="776"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0,08</w:t>
            </w:r>
          </w:p>
        </w:tc>
      </w:tr>
      <w:tr w:rsidR="00CE5EB2" w:rsidRPr="00F944A2" w:rsidTr="00816E2D">
        <w:trPr>
          <w:trHeight w:val="300"/>
          <w:jc w:val="center"/>
        </w:trPr>
        <w:tc>
          <w:tcPr>
            <w:tcW w:w="1663" w:type="pct"/>
            <w:tcBorders>
              <w:top w:val="nil"/>
              <w:left w:val="single" w:sz="4" w:space="0" w:color="auto"/>
              <w:bottom w:val="single" w:sz="4" w:space="0" w:color="auto"/>
              <w:right w:val="single" w:sz="4" w:space="0" w:color="auto"/>
            </w:tcBorders>
            <w:shd w:val="clear" w:color="auto" w:fill="auto"/>
            <w:noWrap/>
            <w:vAlign w:val="bottom"/>
            <w:hideMark/>
          </w:tcPr>
          <w:p w:rsidR="00CE5EB2" w:rsidRPr="00F944A2" w:rsidRDefault="00CE5EB2" w:rsidP="00CE5EB2">
            <w:pPr>
              <w:rPr>
                <w:color w:val="000000"/>
              </w:rPr>
            </w:pPr>
            <w:r>
              <w:rPr>
                <w:color w:val="000000"/>
              </w:rPr>
              <w:t>Grau Endividamento</w:t>
            </w:r>
            <w:r w:rsidRPr="00F944A2">
              <w:rPr>
                <w:color w:val="000000"/>
              </w:rPr>
              <w:t xml:space="preserve"> Global</w:t>
            </w:r>
          </w:p>
        </w:tc>
        <w:tc>
          <w:tcPr>
            <w:tcW w:w="555"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65,25%</w:t>
            </w:r>
          </w:p>
        </w:tc>
        <w:tc>
          <w:tcPr>
            <w:tcW w:w="62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81,35%</w:t>
            </w:r>
          </w:p>
        </w:tc>
        <w:tc>
          <w:tcPr>
            <w:tcW w:w="62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96,29%</w:t>
            </w:r>
          </w:p>
        </w:tc>
        <w:tc>
          <w:tcPr>
            <w:tcW w:w="76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117,56%</w:t>
            </w:r>
          </w:p>
        </w:tc>
        <w:tc>
          <w:tcPr>
            <w:tcW w:w="776"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129,67%</w:t>
            </w:r>
          </w:p>
        </w:tc>
      </w:tr>
      <w:tr w:rsidR="00CE5EB2" w:rsidRPr="00F944A2" w:rsidTr="00816E2D">
        <w:trPr>
          <w:trHeight w:val="300"/>
          <w:jc w:val="center"/>
        </w:trPr>
        <w:tc>
          <w:tcPr>
            <w:tcW w:w="1663" w:type="pct"/>
            <w:tcBorders>
              <w:top w:val="nil"/>
              <w:left w:val="single" w:sz="4" w:space="0" w:color="auto"/>
              <w:bottom w:val="single" w:sz="4" w:space="0" w:color="auto"/>
              <w:right w:val="single" w:sz="4" w:space="0" w:color="auto"/>
            </w:tcBorders>
            <w:shd w:val="clear" w:color="auto" w:fill="auto"/>
            <w:noWrap/>
            <w:vAlign w:val="bottom"/>
            <w:hideMark/>
          </w:tcPr>
          <w:p w:rsidR="00CE5EB2" w:rsidRPr="00F944A2" w:rsidRDefault="00CE5EB2" w:rsidP="00CE5EB2">
            <w:pPr>
              <w:rPr>
                <w:color w:val="000000"/>
              </w:rPr>
            </w:pPr>
            <w:r w:rsidRPr="00F944A2">
              <w:rPr>
                <w:color w:val="000000"/>
              </w:rPr>
              <w:t>Part</w:t>
            </w:r>
            <w:r>
              <w:rPr>
                <w:color w:val="000000"/>
              </w:rPr>
              <w:t>icipação</w:t>
            </w:r>
            <w:r w:rsidRPr="00F944A2">
              <w:rPr>
                <w:color w:val="000000"/>
              </w:rPr>
              <w:t xml:space="preserve"> Capital Terceiros</w:t>
            </w:r>
          </w:p>
        </w:tc>
        <w:tc>
          <w:tcPr>
            <w:tcW w:w="555"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187,81%</w:t>
            </w:r>
          </w:p>
        </w:tc>
        <w:tc>
          <w:tcPr>
            <w:tcW w:w="62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436,10%</w:t>
            </w:r>
          </w:p>
        </w:tc>
        <w:tc>
          <w:tcPr>
            <w:tcW w:w="62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2597,06%</w:t>
            </w:r>
          </w:p>
        </w:tc>
        <w:tc>
          <w:tcPr>
            <w:tcW w:w="76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Pr>
                <w:color w:val="000000"/>
              </w:rPr>
              <w:t>PL Negativo</w:t>
            </w:r>
          </w:p>
        </w:tc>
        <w:tc>
          <w:tcPr>
            <w:tcW w:w="776"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Pr>
                <w:color w:val="000000"/>
              </w:rPr>
              <w:t>PL Negativo</w:t>
            </w:r>
          </w:p>
        </w:tc>
      </w:tr>
      <w:tr w:rsidR="00CE5EB2" w:rsidRPr="00F944A2" w:rsidTr="00816E2D">
        <w:trPr>
          <w:trHeight w:val="300"/>
          <w:jc w:val="center"/>
        </w:trPr>
        <w:tc>
          <w:tcPr>
            <w:tcW w:w="1663" w:type="pct"/>
            <w:tcBorders>
              <w:top w:val="nil"/>
              <w:left w:val="single" w:sz="4" w:space="0" w:color="auto"/>
              <w:bottom w:val="single" w:sz="4" w:space="0" w:color="auto"/>
              <w:right w:val="single" w:sz="4" w:space="0" w:color="auto"/>
            </w:tcBorders>
            <w:shd w:val="clear" w:color="auto" w:fill="auto"/>
            <w:noWrap/>
            <w:vAlign w:val="bottom"/>
            <w:hideMark/>
          </w:tcPr>
          <w:p w:rsidR="00CE5EB2" w:rsidRPr="00F944A2" w:rsidRDefault="00CE5EB2" w:rsidP="00CE5EB2">
            <w:pPr>
              <w:rPr>
                <w:color w:val="000000"/>
              </w:rPr>
            </w:pPr>
            <w:r>
              <w:rPr>
                <w:color w:val="000000"/>
              </w:rPr>
              <w:t>Composição Endividamento</w:t>
            </w:r>
          </w:p>
        </w:tc>
        <w:tc>
          <w:tcPr>
            <w:tcW w:w="555"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41,64%</w:t>
            </w:r>
          </w:p>
        </w:tc>
        <w:tc>
          <w:tcPr>
            <w:tcW w:w="62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29,72%</w:t>
            </w:r>
          </w:p>
        </w:tc>
        <w:tc>
          <w:tcPr>
            <w:tcW w:w="62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23,86%</w:t>
            </w:r>
          </w:p>
        </w:tc>
        <w:tc>
          <w:tcPr>
            <w:tcW w:w="762"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28,94%</w:t>
            </w:r>
          </w:p>
        </w:tc>
        <w:tc>
          <w:tcPr>
            <w:tcW w:w="776"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sidRPr="00F944A2">
              <w:rPr>
                <w:color w:val="000000"/>
              </w:rPr>
              <w:t>36,06%</w:t>
            </w:r>
          </w:p>
        </w:tc>
      </w:tr>
    </w:tbl>
    <w:p w:rsidR="00CE5EB2" w:rsidRPr="00D12EA9" w:rsidRDefault="00CE5EB2" w:rsidP="00CE5EB2">
      <w:pPr>
        <w:jc w:val="both"/>
      </w:pPr>
      <w:r w:rsidRPr="00D12EA9">
        <w:t xml:space="preserve">Fonte: </w:t>
      </w:r>
      <w:r>
        <w:t>Elaborado pelo autor a partir das demonstrações contábeis</w:t>
      </w:r>
      <w:r w:rsidRPr="00D12EA9">
        <w:t>.</w:t>
      </w:r>
    </w:p>
    <w:p w:rsidR="00CE5EB2" w:rsidRDefault="00CE5EB2" w:rsidP="00CE5EB2">
      <w:pPr>
        <w:spacing w:before="240"/>
        <w:ind w:firstLine="708"/>
        <w:jc w:val="both"/>
        <w:rPr>
          <w:sz w:val="24"/>
          <w:szCs w:val="24"/>
        </w:rPr>
      </w:pPr>
      <w:r w:rsidRPr="002B61D7">
        <w:rPr>
          <w:sz w:val="24"/>
          <w:szCs w:val="24"/>
        </w:rPr>
        <w:t xml:space="preserve">Observa-se nos indicadores do Avaí um forte crescimento, ano após o ano, da dependência do capital de terceiros em relação ao seu Ativo, com o Patrimônio Líquido ficando com saldo negativo a partir de 2015. Apesar da maior parte da dívida constar no Passivo Não Circulante, verifica-se uma dificuldade do clube em relação </w:t>
      </w:r>
      <w:proofErr w:type="gramStart"/>
      <w:r w:rsidRPr="002B61D7">
        <w:rPr>
          <w:sz w:val="24"/>
          <w:szCs w:val="24"/>
        </w:rPr>
        <w:t>a</w:t>
      </w:r>
      <w:proofErr w:type="gramEnd"/>
      <w:r w:rsidRPr="002B61D7">
        <w:rPr>
          <w:sz w:val="24"/>
          <w:szCs w:val="24"/>
        </w:rPr>
        <w:t xml:space="preserve"> capacidade de liquidação das obrigações de curto prazo, pois seu índice de liquidez corrente reduz a cada ano desde 2013. Em relação ao seu cenário econômico, o clube apresentou déficit em quatro dos cinco exercícios analisados, o que demonstra que a entidade, além de não conseguir </w:t>
      </w:r>
      <w:r w:rsidRPr="002B61D7">
        <w:rPr>
          <w:sz w:val="24"/>
          <w:szCs w:val="24"/>
        </w:rPr>
        <w:lastRenderedPageBreak/>
        <w:t>reduzir seu endividamento, também possui custos e despesas normalmente superiores ao seu faturamento.</w:t>
      </w:r>
    </w:p>
    <w:p w:rsidR="00CE5EB2" w:rsidRPr="003F2F15" w:rsidRDefault="00CE5EB2" w:rsidP="00CE5EB2">
      <w:pPr>
        <w:spacing w:before="240"/>
        <w:ind w:firstLine="708"/>
        <w:jc w:val="both"/>
        <w:rPr>
          <w:sz w:val="24"/>
          <w:szCs w:val="24"/>
        </w:rPr>
      </w:pPr>
      <w:r>
        <w:rPr>
          <w:sz w:val="24"/>
          <w:szCs w:val="24"/>
        </w:rPr>
        <w:t xml:space="preserve">Na sequência, a tabela 09 apresenta todos os índices do Brusque, não contemplando o ano de 2012 por falta de divulgação das demonstrações contábeis deste ano. </w:t>
      </w:r>
    </w:p>
    <w:p w:rsidR="00CE5EB2" w:rsidRPr="00C37A04" w:rsidRDefault="00CE5EB2" w:rsidP="00CE5EB2">
      <w:pPr>
        <w:spacing w:before="240"/>
        <w:jc w:val="both"/>
      </w:pPr>
      <w:proofErr w:type="gramStart"/>
      <w:r>
        <w:t>Tabela 09</w:t>
      </w:r>
      <w:r w:rsidRPr="0057775A">
        <w:t xml:space="preserve"> </w:t>
      </w:r>
      <w:r>
        <w:t>– Índices do Brusque</w:t>
      </w:r>
      <w:proofErr w:type="gramEnd"/>
    </w:p>
    <w:tbl>
      <w:tblPr>
        <w:tblW w:w="5000" w:type="pct"/>
        <w:jc w:val="center"/>
        <w:tblCellMar>
          <w:left w:w="70" w:type="dxa"/>
          <w:right w:w="70" w:type="dxa"/>
        </w:tblCellMar>
        <w:tblLook w:val="04A0"/>
      </w:tblPr>
      <w:tblGrid>
        <w:gridCol w:w="3216"/>
        <w:gridCol w:w="908"/>
        <w:gridCol w:w="1193"/>
        <w:gridCol w:w="1193"/>
        <w:gridCol w:w="1193"/>
        <w:gridCol w:w="1502"/>
      </w:tblGrid>
      <w:tr w:rsidR="00CE5EB2" w:rsidRPr="00F9423A" w:rsidTr="00816E2D">
        <w:trPr>
          <w:trHeight w:val="300"/>
          <w:jc w:val="center"/>
        </w:trPr>
        <w:tc>
          <w:tcPr>
            <w:tcW w:w="174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EB2" w:rsidRPr="00F9423A" w:rsidRDefault="00CE5EB2" w:rsidP="00CE5EB2">
            <w:pPr>
              <w:rPr>
                <w:b/>
                <w:bCs/>
                <w:color w:val="000000"/>
              </w:rPr>
            </w:pPr>
            <w:r w:rsidRPr="00F9423A">
              <w:rPr>
                <w:b/>
                <w:bCs/>
                <w:color w:val="000000"/>
              </w:rPr>
              <w:t>Índice</w:t>
            </w:r>
          </w:p>
        </w:tc>
        <w:tc>
          <w:tcPr>
            <w:tcW w:w="493" w:type="pct"/>
            <w:tcBorders>
              <w:top w:val="single" w:sz="4" w:space="0" w:color="auto"/>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b/>
                <w:bCs/>
                <w:color w:val="000000"/>
              </w:rPr>
            </w:pPr>
            <w:r w:rsidRPr="00F9423A">
              <w:rPr>
                <w:b/>
                <w:bCs/>
                <w:color w:val="000000"/>
              </w:rPr>
              <w:t>2012</w:t>
            </w:r>
          </w:p>
        </w:tc>
        <w:tc>
          <w:tcPr>
            <w:tcW w:w="648" w:type="pct"/>
            <w:tcBorders>
              <w:top w:val="single" w:sz="4" w:space="0" w:color="auto"/>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b/>
                <w:bCs/>
                <w:color w:val="000000"/>
              </w:rPr>
            </w:pPr>
            <w:r w:rsidRPr="00F9423A">
              <w:rPr>
                <w:b/>
                <w:bCs/>
                <w:color w:val="000000"/>
              </w:rPr>
              <w:t>2013</w:t>
            </w:r>
          </w:p>
        </w:tc>
        <w:tc>
          <w:tcPr>
            <w:tcW w:w="648" w:type="pct"/>
            <w:tcBorders>
              <w:top w:val="single" w:sz="4" w:space="0" w:color="auto"/>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b/>
                <w:bCs/>
                <w:color w:val="000000"/>
              </w:rPr>
            </w:pPr>
            <w:r w:rsidRPr="00F9423A">
              <w:rPr>
                <w:b/>
                <w:bCs/>
                <w:color w:val="000000"/>
              </w:rPr>
              <w:t>2014</w:t>
            </w:r>
          </w:p>
        </w:tc>
        <w:tc>
          <w:tcPr>
            <w:tcW w:w="648" w:type="pct"/>
            <w:tcBorders>
              <w:top w:val="single" w:sz="4" w:space="0" w:color="auto"/>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b/>
                <w:bCs/>
                <w:color w:val="000000"/>
              </w:rPr>
            </w:pPr>
            <w:r w:rsidRPr="00F9423A">
              <w:rPr>
                <w:b/>
                <w:bCs/>
                <w:color w:val="000000"/>
              </w:rPr>
              <w:t>2015</w:t>
            </w:r>
          </w:p>
        </w:tc>
        <w:tc>
          <w:tcPr>
            <w:tcW w:w="816" w:type="pct"/>
            <w:tcBorders>
              <w:top w:val="single" w:sz="4" w:space="0" w:color="auto"/>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b/>
                <w:bCs/>
                <w:color w:val="000000"/>
              </w:rPr>
            </w:pPr>
            <w:r w:rsidRPr="00F9423A">
              <w:rPr>
                <w:b/>
                <w:bCs/>
                <w:color w:val="000000"/>
              </w:rPr>
              <w:t>2016</w:t>
            </w:r>
          </w:p>
        </w:tc>
      </w:tr>
      <w:tr w:rsidR="00CE5EB2" w:rsidRPr="00F9423A" w:rsidTr="00816E2D">
        <w:trPr>
          <w:trHeight w:val="300"/>
          <w:jc w:val="center"/>
        </w:trPr>
        <w:tc>
          <w:tcPr>
            <w:tcW w:w="1747" w:type="pct"/>
            <w:tcBorders>
              <w:top w:val="nil"/>
              <w:left w:val="single" w:sz="4" w:space="0" w:color="auto"/>
              <w:bottom w:val="single" w:sz="4" w:space="0" w:color="auto"/>
              <w:right w:val="single" w:sz="4" w:space="0" w:color="auto"/>
            </w:tcBorders>
            <w:shd w:val="clear" w:color="auto" w:fill="auto"/>
            <w:noWrap/>
            <w:vAlign w:val="bottom"/>
            <w:hideMark/>
          </w:tcPr>
          <w:p w:rsidR="00CE5EB2" w:rsidRPr="00F9423A" w:rsidRDefault="00CE5EB2" w:rsidP="00CE5EB2">
            <w:pPr>
              <w:rPr>
                <w:color w:val="000000"/>
              </w:rPr>
            </w:pPr>
            <w:r w:rsidRPr="00F9423A">
              <w:rPr>
                <w:color w:val="000000"/>
              </w:rPr>
              <w:t>Rentabilidade do Ativo</w:t>
            </w:r>
          </w:p>
        </w:tc>
        <w:tc>
          <w:tcPr>
            <w:tcW w:w="493"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2,03%</w:t>
            </w: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0,44%</w:t>
            </w: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1,28%</w:t>
            </w:r>
          </w:p>
        </w:tc>
        <w:tc>
          <w:tcPr>
            <w:tcW w:w="816"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-67,03%</w:t>
            </w:r>
          </w:p>
        </w:tc>
      </w:tr>
      <w:tr w:rsidR="00CE5EB2" w:rsidRPr="00F9423A" w:rsidTr="00816E2D">
        <w:trPr>
          <w:trHeight w:val="300"/>
          <w:jc w:val="center"/>
        </w:trPr>
        <w:tc>
          <w:tcPr>
            <w:tcW w:w="1747" w:type="pct"/>
            <w:tcBorders>
              <w:top w:val="nil"/>
              <w:left w:val="single" w:sz="4" w:space="0" w:color="auto"/>
              <w:bottom w:val="single" w:sz="4" w:space="0" w:color="auto"/>
              <w:right w:val="single" w:sz="4" w:space="0" w:color="auto"/>
            </w:tcBorders>
            <w:shd w:val="clear" w:color="auto" w:fill="auto"/>
            <w:noWrap/>
            <w:vAlign w:val="bottom"/>
            <w:hideMark/>
          </w:tcPr>
          <w:p w:rsidR="00CE5EB2" w:rsidRPr="00F9423A" w:rsidRDefault="00CE5EB2" w:rsidP="00CE5EB2">
            <w:pPr>
              <w:rPr>
                <w:color w:val="000000"/>
              </w:rPr>
            </w:pPr>
            <w:r w:rsidRPr="00F9423A">
              <w:rPr>
                <w:color w:val="000000"/>
              </w:rPr>
              <w:t>Rentabilidade do PL</w:t>
            </w:r>
          </w:p>
        </w:tc>
        <w:tc>
          <w:tcPr>
            <w:tcW w:w="493"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59,16%</w:t>
            </w: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1,88%</w:t>
            </w: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13,24%</w:t>
            </w:r>
          </w:p>
        </w:tc>
        <w:tc>
          <w:tcPr>
            <w:tcW w:w="816"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Pr>
                <w:color w:val="000000"/>
              </w:rPr>
              <w:t>PL Negativo</w:t>
            </w:r>
          </w:p>
        </w:tc>
      </w:tr>
      <w:tr w:rsidR="00CE5EB2" w:rsidRPr="00F9423A" w:rsidTr="00816E2D">
        <w:trPr>
          <w:trHeight w:val="300"/>
          <w:jc w:val="center"/>
        </w:trPr>
        <w:tc>
          <w:tcPr>
            <w:tcW w:w="1747" w:type="pct"/>
            <w:tcBorders>
              <w:top w:val="nil"/>
              <w:left w:val="single" w:sz="4" w:space="0" w:color="auto"/>
              <w:bottom w:val="single" w:sz="4" w:space="0" w:color="auto"/>
              <w:right w:val="single" w:sz="4" w:space="0" w:color="auto"/>
            </w:tcBorders>
            <w:shd w:val="clear" w:color="auto" w:fill="auto"/>
            <w:noWrap/>
            <w:vAlign w:val="bottom"/>
            <w:hideMark/>
          </w:tcPr>
          <w:p w:rsidR="00CE5EB2" w:rsidRPr="00F9423A" w:rsidRDefault="00CE5EB2" w:rsidP="00CE5EB2">
            <w:pPr>
              <w:rPr>
                <w:color w:val="000000"/>
              </w:rPr>
            </w:pPr>
            <w:r w:rsidRPr="00F9423A">
              <w:rPr>
                <w:color w:val="000000"/>
              </w:rPr>
              <w:t>Liquidez Corrente</w:t>
            </w:r>
          </w:p>
        </w:tc>
        <w:tc>
          <w:tcPr>
            <w:tcW w:w="493"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0,89</w:t>
            </w: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0,19</w:t>
            </w: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0,81</w:t>
            </w:r>
          </w:p>
        </w:tc>
        <w:tc>
          <w:tcPr>
            <w:tcW w:w="816"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0,39</w:t>
            </w:r>
          </w:p>
        </w:tc>
      </w:tr>
      <w:tr w:rsidR="00CE5EB2" w:rsidRPr="00F9423A" w:rsidTr="00816E2D">
        <w:trPr>
          <w:trHeight w:val="300"/>
          <w:jc w:val="center"/>
        </w:trPr>
        <w:tc>
          <w:tcPr>
            <w:tcW w:w="1747" w:type="pct"/>
            <w:tcBorders>
              <w:top w:val="nil"/>
              <w:left w:val="single" w:sz="4" w:space="0" w:color="auto"/>
              <w:bottom w:val="single" w:sz="4" w:space="0" w:color="auto"/>
              <w:right w:val="single" w:sz="4" w:space="0" w:color="auto"/>
            </w:tcBorders>
            <w:shd w:val="clear" w:color="auto" w:fill="auto"/>
            <w:noWrap/>
            <w:vAlign w:val="bottom"/>
            <w:hideMark/>
          </w:tcPr>
          <w:p w:rsidR="00CE5EB2" w:rsidRPr="00F9423A" w:rsidRDefault="00CE5EB2" w:rsidP="00CE5EB2">
            <w:pPr>
              <w:rPr>
                <w:color w:val="000000"/>
              </w:rPr>
            </w:pPr>
            <w:r w:rsidRPr="00F9423A">
              <w:rPr>
                <w:color w:val="000000"/>
              </w:rPr>
              <w:t>Liquidez Geral</w:t>
            </w:r>
          </w:p>
        </w:tc>
        <w:tc>
          <w:tcPr>
            <w:tcW w:w="493"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0,89</w:t>
            </w: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0,19</w:t>
            </w: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0,81</w:t>
            </w:r>
          </w:p>
        </w:tc>
        <w:tc>
          <w:tcPr>
            <w:tcW w:w="816"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0,39</w:t>
            </w:r>
          </w:p>
        </w:tc>
      </w:tr>
      <w:tr w:rsidR="00CE5EB2" w:rsidRPr="00F9423A" w:rsidTr="00816E2D">
        <w:trPr>
          <w:trHeight w:val="300"/>
          <w:jc w:val="center"/>
        </w:trPr>
        <w:tc>
          <w:tcPr>
            <w:tcW w:w="1747" w:type="pct"/>
            <w:tcBorders>
              <w:top w:val="nil"/>
              <w:left w:val="single" w:sz="4" w:space="0" w:color="auto"/>
              <w:bottom w:val="single" w:sz="4" w:space="0" w:color="auto"/>
              <w:right w:val="single" w:sz="4" w:space="0" w:color="auto"/>
            </w:tcBorders>
            <w:shd w:val="clear" w:color="auto" w:fill="auto"/>
            <w:noWrap/>
            <w:vAlign w:val="bottom"/>
            <w:hideMark/>
          </w:tcPr>
          <w:p w:rsidR="00CE5EB2" w:rsidRPr="00F9423A" w:rsidRDefault="00CE5EB2" w:rsidP="00CE5EB2">
            <w:pPr>
              <w:rPr>
                <w:color w:val="000000"/>
              </w:rPr>
            </w:pPr>
            <w:r>
              <w:rPr>
                <w:color w:val="000000"/>
              </w:rPr>
              <w:t>Grau Endividamento</w:t>
            </w:r>
            <w:r w:rsidRPr="00F9423A">
              <w:rPr>
                <w:color w:val="000000"/>
              </w:rPr>
              <w:t xml:space="preserve"> Global</w:t>
            </w:r>
          </w:p>
        </w:tc>
        <w:tc>
          <w:tcPr>
            <w:tcW w:w="493"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96,56%</w:t>
            </w: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76,40%</w:t>
            </w: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90,33%</w:t>
            </w:r>
          </w:p>
        </w:tc>
        <w:tc>
          <w:tcPr>
            <w:tcW w:w="816"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150,32%</w:t>
            </w:r>
          </w:p>
        </w:tc>
      </w:tr>
      <w:tr w:rsidR="00CE5EB2" w:rsidRPr="00F9423A" w:rsidTr="00816E2D">
        <w:trPr>
          <w:trHeight w:val="300"/>
          <w:jc w:val="center"/>
        </w:trPr>
        <w:tc>
          <w:tcPr>
            <w:tcW w:w="1747" w:type="pct"/>
            <w:tcBorders>
              <w:top w:val="nil"/>
              <w:left w:val="single" w:sz="4" w:space="0" w:color="auto"/>
              <w:bottom w:val="single" w:sz="4" w:space="0" w:color="auto"/>
              <w:right w:val="single" w:sz="4" w:space="0" w:color="auto"/>
            </w:tcBorders>
            <w:shd w:val="clear" w:color="auto" w:fill="auto"/>
            <w:noWrap/>
            <w:vAlign w:val="bottom"/>
            <w:hideMark/>
          </w:tcPr>
          <w:p w:rsidR="00CE5EB2" w:rsidRPr="00F9423A" w:rsidRDefault="00CE5EB2" w:rsidP="00CE5EB2">
            <w:pPr>
              <w:rPr>
                <w:color w:val="000000"/>
              </w:rPr>
            </w:pPr>
            <w:r w:rsidRPr="00F9423A">
              <w:rPr>
                <w:color w:val="000000"/>
              </w:rPr>
              <w:t>Part</w:t>
            </w:r>
            <w:r>
              <w:rPr>
                <w:color w:val="000000"/>
              </w:rPr>
              <w:t>icipação</w:t>
            </w:r>
            <w:r w:rsidRPr="00F9423A">
              <w:rPr>
                <w:color w:val="000000"/>
              </w:rPr>
              <w:t xml:space="preserve"> Capital Terceiros</w:t>
            </w:r>
          </w:p>
        </w:tc>
        <w:tc>
          <w:tcPr>
            <w:tcW w:w="493"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2810,65%</w:t>
            </w: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323,64%</w:t>
            </w: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934,13%</w:t>
            </w:r>
          </w:p>
        </w:tc>
        <w:tc>
          <w:tcPr>
            <w:tcW w:w="816" w:type="pct"/>
            <w:tcBorders>
              <w:top w:val="nil"/>
              <w:left w:val="nil"/>
              <w:bottom w:val="single" w:sz="4" w:space="0" w:color="auto"/>
              <w:right w:val="single" w:sz="4" w:space="0" w:color="auto"/>
            </w:tcBorders>
            <w:shd w:val="clear" w:color="auto" w:fill="auto"/>
            <w:noWrap/>
            <w:vAlign w:val="bottom"/>
            <w:hideMark/>
          </w:tcPr>
          <w:p w:rsidR="00CE5EB2" w:rsidRPr="00F944A2" w:rsidRDefault="00CE5EB2" w:rsidP="00CE5EB2">
            <w:pPr>
              <w:jc w:val="center"/>
              <w:rPr>
                <w:color w:val="000000"/>
              </w:rPr>
            </w:pPr>
            <w:r>
              <w:rPr>
                <w:color w:val="000000"/>
              </w:rPr>
              <w:t>PL Negativo</w:t>
            </w:r>
          </w:p>
        </w:tc>
      </w:tr>
      <w:tr w:rsidR="00CE5EB2" w:rsidRPr="00F9423A" w:rsidTr="00816E2D">
        <w:trPr>
          <w:trHeight w:val="300"/>
          <w:jc w:val="center"/>
        </w:trPr>
        <w:tc>
          <w:tcPr>
            <w:tcW w:w="1747" w:type="pct"/>
            <w:tcBorders>
              <w:top w:val="nil"/>
              <w:left w:val="single" w:sz="4" w:space="0" w:color="auto"/>
              <w:bottom w:val="single" w:sz="4" w:space="0" w:color="auto"/>
              <w:right w:val="single" w:sz="4" w:space="0" w:color="auto"/>
            </w:tcBorders>
            <w:shd w:val="clear" w:color="auto" w:fill="auto"/>
            <w:noWrap/>
            <w:vAlign w:val="bottom"/>
            <w:hideMark/>
          </w:tcPr>
          <w:p w:rsidR="00CE5EB2" w:rsidRPr="00F9423A" w:rsidRDefault="00CE5EB2" w:rsidP="00CE5EB2">
            <w:pPr>
              <w:rPr>
                <w:color w:val="000000"/>
              </w:rPr>
            </w:pPr>
            <w:r>
              <w:rPr>
                <w:color w:val="000000"/>
              </w:rPr>
              <w:t>Composição Endividamento</w:t>
            </w:r>
          </w:p>
        </w:tc>
        <w:tc>
          <w:tcPr>
            <w:tcW w:w="493"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100,00%</w:t>
            </w: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100,00%</w:t>
            </w:r>
          </w:p>
        </w:tc>
        <w:tc>
          <w:tcPr>
            <w:tcW w:w="648"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100,00%</w:t>
            </w:r>
          </w:p>
        </w:tc>
        <w:tc>
          <w:tcPr>
            <w:tcW w:w="816" w:type="pct"/>
            <w:tcBorders>
              <w:top w:val="nil"/>
              <w:left w:val="nil"/>
              <w:bottom w:val="single" w:sz="4" w:space="0" w:color="auto"/>
              <w:right w:val="single" w:sz="4" w:space="0" w:color="auto"/>
            </w:tcBorders>
            <w:shd w:val="clear" w:color="auto" w:fill="auto"/>
            <w:noWrap/>
            <w:vAlign w:val="bottom"/>
            <w:hideMark/>
          </w:tcPr>
          <w:p w:rsidR="00CE5EB2" w:rsidRPr="00F9423A" w:rsidRDefault="00CE5EB2" w:rsidP="00CE5EB2">
            <w:pPr>
              <w:jc w:val="center"/>
              <w:rPr>
                <w:color w:val="000000"/>
              </w:rPr>
            </w:pPr>
            <w:r w:rsidRPr="00F9423A">
              <w:rPr>
                <w:color w:val="000000"/>
              </w:rPr>
              <w:t>100,00%</w:t>
            </w:r>
          </w:p>
        </w:tc>
      </w:tr>
    </w:tbl>
    <w:p w:rsidR="00CE5EB2" w:rsidRPr="00C37A04" w:rsidRDefault="00CE5EB2" w:rsidP="00CE5EB2">
      <w:pPr>
        <w:jc w:val="both"/>
      </w:pPr>
      <w:r w:rsidRPr="0057775A">
        <w:t xml:space="preserve">Fonte: </w:t>
      </w:r>
      <w:r>
        <w:t>Elaborado pelo autor a partir das demonstrações contábeis</w:t>
      </w:r>
      <w:r w:rsidRPr="0057775A">
        <w:t>.</w:t>
      </w:r>
    </w:p>
    <w:p w:rsidR="00CE5EB2" w:rsidRDefault="00CE5EB2" w:rsidP="00CE5EB2">
      <w:pPr>
        <w:spacing w:before="240"/>
        <w:ind w:firstLine="708"/>
        <w:jc w:val="both"/>
        <w:rPr>
          <w:sz w:val="24"/>
          <w:szCs w:val="24"/>
        </w:rPr>
      </w:pPr>
      <w:r w:rsidRPr="002B61D7">
        <w:rPr>
          <w:sz w:val="24"/>
          <w:szCs w:val="24"/>
        </w:rPr>
        <w:t>Nos índices do Brusque, destaca-se negativamente o ano de 2016. Após apresentar resultados econômicos equilibrados, o clube terminou este ano com déficit. Financeiramente, o clube viu seu grau de endividamento global subir, ficando com um Passivo a descoberto. Em termos de liquidez, o clube sempre apresentou uma capacidade de pagamento acima da média em relação aos demais clubes do estudo, mesmo tendo sua dívida concentrada exclusivamente no curto prazo.</w:t>
      </w:r>
    </w:p>
    <w:p w:rsidR="00CE5EB2" w:rsidRPr="003F2F15" w:rsidRDefault="00CE5EB2" w:rsidP="00CE5EB2">
      <w:pPr>
        <w:spacing w:before="240"/>
        <w:ind w:firstLine="708"/>
        <w:jc w:val="both"/>
        <w:rPr>
          <w:sz w:val="24"/>
          <w:szCs w:val="24"/>
        </w:rPr>
      </w:pPr>
      <w:r>
        <w:rPr>
          <w:sz w:val="24"/>
          <w:szCs w:val="24"/>
        </w:rPr>
        <w:t>A tabela 10 apresenta todos os índices da Chapecoense. Como o clube não divulgou suas demonstrações contábeis em 2012 e 2013, índices destes anos acabaram não sendo calculados.</w:t>
      </w:r>
    </w:p>
    <w:p w:rsidR="00CE5EB2" w:rsidRPr="00C37A04" w:rsidRDefault="00CE5EB2" w:rsidP="00CE5EB2">
      <w:pPr>
        <w:spacing w:before="240"/>
        <w:jc w:val="both"/>
      </w:pPr>
      <w:proofErr w:type="gramStart"/>
      <w:r>
        <w:t>Tabela 10</w:t>
      </w:r>
      <w:r w:rsidRPr="0057775A">
        <w:t xml:space="preserve"> </w:t>
      </w:r>
      <w:r>
        <w:t>– Índices da Chapecoense</w:t>
      </w:r>
      <w:proofErr w:type="gramEnd"/>
    </w:p>
    <w:tbl>
      <w:tblPr>
        <w:tblW w:w="5000" w:type="pct"/>
        <w:jc w:val="center"/>
        <w:tblCellMar>
          <w:left w:w="70" w:type="dxa"/>
          <w:right w:w="70" w:type="dxa"/>
        </w:tblCellMar>
        <w:tblLook w:val="04A0"/>
      </w:tblPr>
      <w:tblGrid>
        <w:gridCol w:w="2761"/>
        <w:gridCol w:w="1169"/>
        <w:gridCol w:w="1513"/>
        <w:gridCol w:w="1482"/>
        <w:gridCol w:w="1140"/>
        <w:gridCol w:w="1140"/>
      </w:tblGrid>
      <w:tr w:rsidR="00CE5EB2" w:rsidRPr="00AC332C" w:rsidTr="00816E2D">
        <w:trPr>
          <w:trHeight w:val="300"/>
          <w:jc w:val="center"/>
        </w:trPr>
        <w:tc>
          <w:tcPr>
            <w:tcW w:w="150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EB2" w:rsidRPr="00AC332C" w:rsidRDefault="00CE5EB2" w:rsidP="00CE5EB2">
            <w:pPr>
              <w:rPr>
                <w:b/>
                <w:bCs/>
                <w:color w:val="000000"/>
              </w:rPr>
            </w:pPr>
            <w:r w:rsidRPr="00AC332C">
              <w:rPr>
                <w:b/>
                <w:bCs/>
                <w:color w:val="000000"/>
              </w:rPr>
              <w:t>Índice</w:t>
            </w:r>
          </w:p>
        </w:tc>
        <w:tc>
          <w:tcPr>
            <w:tcW w:w="635" w:type="pct"/>
            <w:tcBorders>
              <w:top w:val="single" w:sz="4" w:space="0" w:color="auto"/>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b/>
                <w:bCs/>
                <w:color w:val="000000"/>
              </w:rPr>
            </w:pPr>
            <w:r w:rsidRPr="00AC332C">
              <w:rPr>
                <w:b/>
                <w:bCs/>
                <w:color w:val="000000"/>
              </w:rPr>
              <w:t>2012</w:t>
            </w:r>
          </w:p>
        </w:tc>
        <w:tc>
          <w:tcPr>
            <w:tcW w:w="822" w:type="pct"/>
            <w:tcBorders>
              <w:top w:val="single" w:sz="4" w:space="0" w:color="auto"/>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b/>
                <w:bCs/>
                <w:color w:val="000000"/>
              </w:rPr>
            </w:pPr>
            <w:r w:rsidRPr="00AC332C">
              <w:rPr>
                <w:b/>
                <w:bCs/>
                <w:color w:val="000000"/>
              </w:rPr>
              <w:t>2013</w:t>
            </w:r>
          </w:p>
        </w:tc>
        <w:tc>
          <w:tcPr>
            <w:tcW w:w="805" w:type="pct"/>
            <w:tcBorders>
              <w:top w:val="single" w:sz="4" w:space="0" w:color="auto"/>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b/>
                <w:bCs/>
                <w:color w:val="000000"/>
              </w:rPr>
            </w:pPr>
            <w:r w:rsidRPr="00AC332C">
              <w:rPr>
                <w:b/>
                <w:bCs/>
                <w:color w:val="000000"/>
              </w:rPr>
              <w:t>2014</w:t>
            </w:r>
          </w:p>
        </w:tc>
        <w:tc>
          <w:tcPr>
            <w:tcW w:w="619" w:type="pct"/>
            <w:tcBorders>
              <w:top w:val="single" w:sz="4" w:space="0" w:color="auto"/>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b/>
                <w:bCs/>
                <w:color w:val="000000"/>
              </w:rPr>
            </w:pPr>
            <w:r w:rsidRPr="00AC332C">
              <w:rPr>
                <w:b/>
                <w:bCs/>
                <w:color w:val="000000"/>
              </w:rPr>
              <w:t>2015</w:t>
            </w:r>
          </w:p>
        </w:tc>
        <w:tc>
          <w:tcPr>
            <w:tcW w:w="619" w:type="pct"/>
            <w:tcBorders>
              <w:top w:val="single" w:sz="4" w:space="0" w:color="auto"/>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b/>
                <w:bCs/>
                <w:color w:val="000000"/>
              </w:rPr>
            </w:pPr>
            <w:r w:rsidRPr="00AC332C">
              <w:rPr>
                <w:b/>
                <w:bCs/>
                <w:color w:val="000000"/>
              </w:rPr>
              <w:t>2016</w:t>
            </w:r>
          </w:p>
        </w:tc>
      </w:tr>
      <w:tr w:rsidR="00CE5EB2" w:rsidRPr="00AC332C" w:rsidTr="00816E2D">
        <w:trPr>
          <w:trHeight w:val="300"/>
          <w:jc w:val="center"/>
        </w:trPr>
        <w:tc>
          <w:tcPr>
            <w:tcW w:w="1500" w:type="pct"/>
            <w:tcBorders>
              <w:top w:val="nil"/>
              <w:left w:val="single" w:sz="4" w:space="0" w:color="auto"/>
              <w:bottom w:val="single" w:sz="4" w:space="0" w:color="auto"/>
              <w:right w:val="single" w:sz="4" w:space="0" w:color="auto"/>
            </w:tcBorders>
            <w:shd w:val="clear" w:color="auto" w:fill="auto"/>
            <w:noWrap/>
            <w:vAlign w:val="bottom"/>
            <w:hideMark/>
          </w:tcPr>
          <w:p w:rsidR="00CE5EB2" w:rsidRPr="00AC332C" w:rsidRDefault="00CE5EB2" w:rsidP="00CE5EB2">
            <w:pPr>
              <w:rPr>
                <w:color w:val="000000"/>
              </w:rPr>
            </w:pPr>
            <w:r w:rsidRPr="00AC332C">
              <w:rPr>
                <w:color w:val="000000"/>
              </w:rPr>
              <w:t>Rentabilidade do Ativo</w:t>
            </w:r>
          </w:p>
        </w:tc>
        <w:tc>
          <w:tcPr>
            <w:tcW w:w="635"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p>
        </w:tc>
        <w:tc>
          <w:tcPr>
            <w:tcW w:w="822"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p>
        </w:tc>
        <w:tc>
          <w:tcPr>
            <w:tcW w:w="805"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bCs/>
                <w:color w:val="000000"/>
              </w:rPr>
            </w:pPr>
            <w:r w:rsidRPr="00AC332C">
              <w:rPr>
                <w:bCs/>
                <w:color w:val="000000"/>
              </w:rPr>
              <w:t>20,01%</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bCs/>
                <w:color w:val="000000"/>
              </w:rPr>
            </w:pPr>
            <w:r w:rsidRPr="00AC332C">
              <w:rPr>
                <w:bCs/>
                <w:color w:val="000000"/>
              </w:rPr>
              <w:t>33,91%</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bCs/>
                <w:color w:val="000000"/>
              </w:rPr>
            </w:pPr>
            <w:r w:rsidRPr="00AC332C">
              <w:rPr>
                <w:bCs/>
                <w:color w:val="000000"/>
              </w:rPr>
              <w:t>9,56%</w:t>
            </w:r>
          </w:p>
        </w:tc>
      </w:tr>
      <w:tr w:rsidR="00CE5EB2" w:rsidRPr="00AC332C" w:rsidTr="00816E2D">
        <w:trPr>
          <w:trHeight w:val="300"/>
          <w:jc w:val="center"/>
        </w:trPr>
        <w:tc>
          <w:tcPr>
            <w:tcW w:w="1500" w:type="pct"/>
            <w:tcBorders>
              <w:top w:val="nil"/>
              <w:left w:val="single" w:sz="4" w:space="0" w:color="auto"/>
              <w:bottom w:val="single" w:sz="4" w:space="0" w:color="auto"/>
              <w:right w:val="single" w:sz="4" w:space="0" w:color="auto"/>
            </w:tcBorders>
            <w:shd w:val="clear" w:color="auto" w:fill="auto"/>
            <w:noWrap/>
            <w:vAlign w:val="bottom"/>
            <w:hideMark/>
          </w:tcPr>
          <w:p w:rsidR="00CE5EB2" w:rsidRPr="00AC332C" w:rsidRDefault="00CE5EB2" w:rsidP="00CE5EB2">
            <w:pPr>
              <w:rPr>
                <w:color w:val="000000"/>
              </w:rPr>
            </w:pPr>
            <w:r w:rsidRPr="00AC332C">
              <w:rPr>
                <w:color w:val="000000"/>
              </w:rPr>
              <w:t>Rentabilidade do PL</w:t>
            </w:r>
          </w:p>
        </w:tc>
        <w:tc>
          <w:tcPr>
            <w:tcW w:w="635"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p>
        </w:tc>
        <w:tc>
          <w:tcPr>
            <w:tcW w:w="822"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p>
        </w:tc>
        <w:tc>
          <w:tcPr>
            <w:tcW w:w="805"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r>
              <w:rPr>
                <w:color w:val="000000"/>
              </w:rPr>
              <w:t>PL Negativo</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r w:rsidRPr="00AC332C">
              <w:rPr>
                <w:color w:val="000000"/>
              </w:rPr>
              <w:t>96,29%</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r w:rsidRPr="00AC332C">
              <w:rPr>
                <w:color w:val="000000"/>
              </w:rPr>
              <w:t>66,57%</w:t>
            </w:r>
          </w:p>
        </w:tc>
      </w:tr>
      <w:tr w:rsidR="00CE5EB2" w:rsidRPr="00AC332C" w:rsidTr="00816E2D">
        <w:trPr>
          <w:trHeight w:val="300"/>
          <w:jc w:val="center"/>
        </w:trPr>
        <w:tc>
          <w:tcPr>
            <w:tcW w:w="1500" w:type="pct"/>
            <w:tcBorders>
              <w:top w:val="nil"/>
              <w:left w:val="single" w:sz="4" w:space="0" w:color="auto"/>
              <w:bottom w:val="single" w:sz="4" w:space="0" w:color="auto"/>
              <w:right w:val="single" w:sz="4" w:space="0" w:color="auto"/>
            </w:tcBorders>
            <w:shd w:val="clear" w:color="auto" w:fill="auto"/>
            <w:noWrap/>
            <w:vAlign w:val="bottom"/>
            <w:hideMark/>
          </w:tcPr>
          <w:p w:rsidR="00CE5EB2" w:rsidRPr="00AC332C" w:rsidRDefault="00CE5EB2" w:rsidP="00CE5EB2">
            <w:pPr>
              <w:rPr>
                <w:color w:val="000000"/>
              </w:rPr>
            </w:pPr>
            <w:r w:rsidRPr="00AC332C">
              <w:rPr>
                <w:color w:val="000000"/>
              </w:rPr>
              <w:t>Liquidez Corrente</w:t>
            </w:r>
          </w:p>
        </w:tc>
        <w:tc>
          <w:tcPr>
            <w:tcW w:w="635"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p>
        </w:tc>
        <w:tc>
          <w:tcPr>
            <w:tcW w:w="822"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r w:rsidRPr="00AC332C">
              <w:rPr>
                <w:color w:val="000000"/>
              </w:rPr>
              <w:t>0,51</w:t>
            </w:r>
          </w:p>
        </w:tc>
        <w:tc>
          <w:tcPr>
            <w:tcW w:w="805"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bCs/>
                <w:color w:val="000000"/>
              </w:rPr>
            </w:pPr>
            <w:r w:rsidRPr="00AC332C">
              <w:rPr>
                <w:bCs/>
                <w:color w:val="000000"/>
              </w:rPr>
              <w:t>0,89</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r w:rsidRPr="00AC332C">
              <w:rPr>
                <w:color w:val="000000"/>
              </w:rPr>
              <w:t>0,72</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bCs/>
                <w:color w:val="000000"/>
              </w:rPr>
            </w:pPr>
            <w:r w:rsidRPr="00AC332C">
              <w:rPr>
                <w:bCs/>
                <w:color w:val="000000"/>
              </w:rPr>
              <w:t>1,34</w:t>
            </w:r>
          </w:p>
        </w:tc>
      </w:tr>
      <w:tr w:rsidR="00CE5EB2" w:rsidRPr="00AC332C" w:rsidTr="00816E2D">
        <w:trPr>
          <w:trHeight w:val="300"/>
          <w:jc w:val="center"/>
        </w:trPr>
        <w:tc>
          <w:tcPr>
            <w:tcW w:w="1500" w:type="pct"/>
            <w:tcBorders>
              <w:top w:val="nil"/>
              <w:left w:val="single" w:sz="4" w:space="0" w:color="auto"/>
              <w:bottom w:val="single" w:sz="4" w:space="0" w:color="auto"/>
              <w:right w:val="single" w:sz="4" w:space="0" w:color="auto"/>
            </w:tcBorders>
            <w:shd w:val="clear" w:color="auto" w:fill="auto"/>
            <w:noWrap/>
            <w:vAlign w:val="bottom"/>
            <w:hideMark/>
          </w:tcPr>
          <w:p w:rsidR="00CE5EB2" w:rsidRPr="00AC332C" w:rsidRDefault="00CE5EB2" w:rsidP="00CE5EB2">
            <w:pPr>
              <w:rPr>
                <w:color w:val="000000"/>
              </w:rPr>
            </w:pPr>
            <w:r w:rsidRPr="00AC332C">
              <w:rPr>
                <w:color w:val="000000"/>
              </w:rPr>
              <w:t>Liquidez Geral</w:t>
            </w:r>
          </w:p>
        </w:tc>
        <w:tc>
          <w:tcPr>
            <w:tcW w:w="635"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p>
        </w:tc>
        <w:tc>
          <w:tcPr>
            <w:tcW w:w="822"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r w:rsidRPr="00AC332C">
              <w:rPr>
                <w:color w:val="000000"/>
              </w:rPr>
              <w:t>0,21</w:t>
            </w:r>
          </w:p>
        </w:tc>
        <w:tc>
          <w:tcPr>
            <w:tcW w:w="805"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bCs/>
                <w:color w:val="000000"/>
              </w:rPr>
            </w:pPr>
            <w:r w:rsidRPr="00AC332C">
              <w:rPr>
                <w:bCs/>
                <w:color w:val="000000"/>
              </w:rPr>
              <w:t>0,73</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r w:rsidRPr="00AC332C">
              <w:rPr>
                <w:color w:val="000000"/>
              </w:rPr>
              <w:t>0,59</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bCs/>
                <w:color w:val="000000"/>
              </w:rPr>
            </w:pPr>
            <w:r w:rsidRPr="00AC332C">
              <w:rPr>
                <w:bCs/>
                <w:color w:val="000000"/>
              </w:rPr>
              <w:t>1,02</w:t>
            </w:r>
          </w:p>
        </w:tc>
      </w:tr>
      <w:tr w:rsidR="00CE5EB2" w:rsidRPr="00AC332C" w:rsidTr="00816E2D">
        <w:trPr>
          <w:trHeight w:val="300"/>
          <w:jc w:val="center"/>
        </w:trPr>
        <w:tc>
          <w:tcPr>
            <w:tcW w:w="1500" w:type="pct"/>
            <w:tcBorders>
              <w:top w:val="nil"/>
              <w:left w:val="single" w:sz="4" w:space="0" w:color="auto"/>
              <w:bottom w:val="single" w:sz="4" w:space="0" w:color="auto"/>
              <w:right w:val="single" w:sz="4" w:space="0" w:color="auto"/>
            </w:tcBorders>
            <w:shd w:val="clear" w:color="auto" w:fill="auto"/>
            <w:noWrap/>
            <w:vAlign w:val="bottom"/>
            <w:hideMark/>
          </w:tcPr>
          <w:p w:rsidR="00CE5EB2" w:rsidRPr="00AC332C" w:rsidRDefault="00CE5EB2" w:rsidP="00CE5EB2">
            <w:pPr>
              <w:rPr>
                <w:color w:val="000000"/>
              </w:rPr>
            </w:pPr>
            <w:r w:rsidRPr="00AC332C">
              <w:rPr>
                <w:color w:val="000000"/>
              </w:rPr>
              <w:t>Grau Endividamento Global</w:t>
            </w:r>
          </w:p>
        </w:tc>
        <w:tc>
          <w:tcPr>
            <w:tcW w:w="635"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p>
        </w:tc>
        <w:tc>
          <w:tcPr>
            <w:tcW w:w="822"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r w:rsidRPr="00AC332C">
              <w:rPr>
                <w:color w:val="000000"/>
              </w:rPr>
              <w:t>296,68%</w:t>
            </w:r>
          </w:p>
        </w:tc>
        <w:tc>
          <w:tcPr>
            <w:tcW w:w="805"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r w:rsidRPr="00AC332C">
              <w:rPr>
                <w:color w:val="000000"/>
              </w:rPr>
              <w:t>110,69%</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r w:rsidRPr="00AC332C">
              <w:rPr>
                <w:color w:val="000000"/>
              </w:rPr>
              <w:t>64,79%</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r w:rsidRPr="00AC332C">
              <w:rPr>
                <w:color w:val="000000"/>
              </w:rPr>
              <w:t>85,64%</w:t>
            </w:r>
          </w:p>
        </w:tc>
      </w:tr>
      <w:tr w:rsidR="00CE5EB2" w:rsidRPr="00AC332C" w:rsidTr="00816E2D">
        <w:trPr>
          <w:trHeight w:val="300"/>
          <w:jc w:val="center"/>
        </w:trPr>
        <w:tc>
          <w:tcPr>
            <w:tcW w:w="1500" w:type="pct"/>
            <w:tcBorders>
              <w:top w:val="nil"/>
              <w:left w:val="single" w:sz="4" w:space="0" w:color="auto"/>
              <w:bottom w:val="single" w:sz="4" w:space="0" w:color="auto"/>
              <w:right w:val="single" w:sz="4" w:space="0" w:color="auto"/>
            </w:tcBorders>
            <w:shd w:val="clear" w:color="auto" w:fill="auto"/>
            <w:noWrap/>
            <w:vAlign w:val="bottom"/>
            <w:hideMark/>
          </w:tcPr>
          <w:p w:rsidR="00CE5EB2" w:rsidRPr="00AC332C" w:rsidRDefault="00CE5EB2" w:rsidP="00CE5EB2">
            <w:pPr>
              <w:rPr>
                <w:color w:val="000000"/>
              </w:rPr>
            </w:pPr>
            <w:r w:rsidRPr="00AC332C">
              <w:rPr>
                <w:color w:val="000000"/>
              </w:rPr>
              <w:t>Participação Capital Terceiros</w:t>
            </w:r>
          </w:p>
        </w:tc>
        <w:tc>
          <w:tcPr>
            <w:tcW w:w="635"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p>
        </w:tc>
        <w:tc>
          <w:tcPr>
            <w:tcW w:w="822"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r>
              <w:rPr>
                <w:color w:val="000000"/>
              </w:rPr>
              <w:t>PL Negativo</w:t>
            </w:r>
          </w:p>
        </w:tc>
        <w:tc>
          <w:tcPr>
            <w:tcW w:w="805"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r>
              <w:rPr>
                <w:color w:val="000000"/>
              </w:rPr>
              <w:t>PL Negativo</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r w:rsidRPr="00AC332C">
              <w:rPr>
                <w:color w:val="000000"/>
              </w:rPr>
              <w:t>183,98%</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r w:rsidRPr="00AC332C">
              <w:rPr>
                <w:color w:val="000000"/>
              </w:rPr>
              <w:t>596,17%</w:t>
            </w:r>
          </w:p>
        </w:tc>
      </w:tr>
      <w:tr w:rsidR="00CE5EB2" w:rsidRPr="00AC332C" w:rsidTr="00816E2D">
        <w:trPr>
          <w:trHeight w:val="300"/>
          <w:jc w:val="center"/>
        </w:trPr>
        <w:tc>
          <w:tcPr>
            <w:tcW w:w="1500" w:type="pct"/>
            <w:tcBorders>
              <w:top w:val="nil"/>
              <w:left w:val="single" w:sz="4" w:space="0" w:color="auto"/>
              <w:bottom w:val="single" w:sz="4" w:space="0" w:color="auto"/>
              <w:right w:val="single" w:sz="4" w:space="0" w:color="auto"/>
            </w:tcBorders>
            <w:shd w:val="clear" w:color="auto" w:fill="auto"/>
            <w:noWrap/>
            <w:vAlign w:val="bottom"/>
            <w:hideMark/>
          </w:tcPr>
          <w:p w:rsidR="00CE5EB2" w:rsidRPr="00AC332C" w:rsidRDefault="00CE5EB2" w:rsidP="00CE5EB2">
            <w:pPr>
              <w:rPr>
                <w:color w:val="000000"/>
              </w:rPr>
            </w:pPr>
            <w:r w:rsidRPr="00AC332C">
              <w:rPr>
                <w:color w:val="000000"/>
              </w:rPr>
              <w:t>Composição Endividamento</w:t>
            </w:r>
          </w:p>
        </w:tc>
        <w:tc>
          <w:tcPr>
            <w:tcW w:w="635"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p>
        </w:tc>
        <w:tc>
          <w:tcPr>
            <w:tcW w:w="822"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r w:rsidRPr="00AC332C">
              <w:rPr>
                <w:color w:val="000000"/>
              </w:rPr>
              <w:t>41,93%</w:t>
            </w:r>
          </w:p>
        </w:tc>
        <w:tc>
          <w:tcPr>
            <w:tcW w:w="805"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r w:rsidRPr="00AC332C">
              <w:rPr>
                <w:color w:val="000000"/>
              </w:rPr>
              <w:t>81,94%</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r w:rsidRPr="00AC332C">
              <w:rPr>
                <w:color w:val="000000"/>
              </w:rPr>
              <w:t>81,95%</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AC332C" w:rsidRDefault="00CE5EB2" w:rsidP="00CE5EB2">
            <w:pPr>
              <w:jc w:val="center"/>
              <w:rPr>
                <w:color w:val="000000"/>
              </w:rPr>
            </w:pPr>
            <w:r w:rsidRPr="00AC332C">
              <w:rPr>
                <w:color w:val="000000"/>
              </w:rPr>
              <w:t>76,06%</w:t>
            </w:r>
          </w:p>
        </w:tc>
      </w:tr>
    </w:tbl>
    <w:p w:rsidR="00CE5EB2" w:rsidRPr="00C37A04" w:rsidRDefault="00CE5EB2" w:rsidP="00CE5EB2">
      <w:pPr>
        <w:jc w:val="both"/>
      </w:pPr>
      <w:r w:rsidRPr="0057775A">
        <w:t xml:space="preserve">Fonte: </w:t>
      </w:r>
      <w:r>
        <w:t>Elaborado pelo autor a partir das demonstrações contábeis</w:t>
      </w:r>
      <w:r w:rsidRPr="0057775A">
        <w:t>.</w:t>
      </w:r>
    </w:p>
    <w:p w:rsidR="00CE5EB2" w:rsidRDefault="00CE5EB2" w:rsidP="00CE5EB2">
      <w:pPr>
        <w:spacing w:before="240"/>
        <w:ind w:firstLine="708"/>
        <w:jc w:val="both"/>
        <w:rPr>
          <w:sz w:val="24"/>
          <w:szCs w:val="24"/>
        </w:rPr>
      </w:pPr>
      <w:r w:rsidRPr="002B61D7">
        <w:rPr>
          <w:sz w:val="24"/>
          <w:szCs w:val="24"/>
        </w:rPr>
        <w:t xml:space="preserve">A Chapecoense, que esportivamente foi </w:t>
      </w:r>
      <w:proofErr w:type="gramStart"/>
      <w:r w:rsidRPr="002B61D7">
        <w:rPr>
          <w:sz w:val="24"/>
          <w:szCs w:val="24"/>
        </w:rPr>
        <w:t>a</w:t>
      </w:r>
      <w:proofErr w:type="gramEnd"/>
      <w:r w:rsidRPr="002B61D7">
        <w:rPr>
          <w:sz w:val="24"/>
          <w:szCs w:val="24"/>
        </w:rPr>
        <w:t xml:space="preserve"> equipe catarinense com melhor desempenho nos cinco anos da análise, também vai evoluindo em relação a sua situação financeira. O clube saiu de uma situação de Passivo </w:t>
      </w:r>
      <w:proofErr w:type="gramStart"/>
      <w:r w:rsidRPr="002B61D7">
        <w:rPr>
          <w:sz w:val="24"/>
          <w:szCs w:val="24"/>
        </w:rPr>
        <w:t>a descoberto</w:t>
      </w:r>
      <w:proofErr w:type="gramEnd"/>
      <w:r w:rsidRPr="002B61D7">
        <w:rPr>
          <w:sz w:val="24"/>
          <w:szCs w:val="24"/>
        </w:rPr>
        <w:t xml:space="preserve"> para em 2016 apresentar o segundo menor grau de endividamento global entre os clubes pesquisados, com boa parte desta dívida sendo composta por receitas que foram antecipadas de exercícios futuros e por isso registradas no Passivo. Além disso, também em 2016, o clube apresentou índices de liquidez que indicam uma boa capacidade de pagamento das dívidas, sejam elas de curto ou longo prazo. Com superávits consecutivos desde 2014, o clube também vem apresentando uma boa gestão das suas receitas, o que auxilia o clube a ter uma dívida controlável.</w:t>
      </w:r>
    </w:p>
    <w:p w:rsidR="00CE5EB2" w:rsidRPr="003F2F15" w:rsidRDefault="00CE5EB2" w:rsidP="00CE5EB2">
      <w:pPr>
        <w:spacing w:before="240"/>
        <w:ind w:firstLine="708"/>
        <w:jc w:val="both"/>
        <w:rPr>
          <w:sz w:val="24"/>
          <w:szCs w:val="24"/>
        </w:rPr>
      </w:pPr>
      <w:r>
        <w:rPr>
          <w:sz w:val="24"/>
          <w:szCs w:val="24"/>
        </w:rPr>
        <w:lastRenderedPageBreak/>
        <w:t>A seguir, a tabela 11 apresenta os índices do Criciúma.</w:t>
      </w:r>
    </w:p>
    <w:p w:rsidR="00CE5EB2" w:rsidRPr="00C37A04" w:rsidRDefault="00CE5EB2" w:rsidP="00CE5EB2">
      <w:pPr>
        <w:spacing w:before="240"/>
        <w:jc w:val="both"/>
      </w:pPr>
      <w:proofErr w:type="gramStart"/>
      <w:r>
        <w:t>Tabela 11</w:t>
      </w:r>
      <w:r w:rsidRPr="0057775A">
        <w:t xml:space="preserve"> </w:t>
      </w:r>
      <w:r>
        <w:t>– Índices do Criciúma</w:t>
      </w:r>
      <w:proofErr w:type="gramEnd"/>
    </w:p>
    <w:tbl>
      <w:tblPr>
        <w:tblW w:w="5000" w:type="pct"/>
        <w:jc w:val="center"/>
        <w:tblCellMar>
          <w:left w:w="70" w:type="dxa"/>
          <w:right w:w="70" w:type="dxa"/>
        </w:tblCellMar>
        <w:tblLook w:val="04A0"/>
      </w:tblPr>
      <w:tblGrid>
        <w:gridCol w:w="3416"/>
        <w:gridCol w:w="1140"/>
        <w:gridCol w:w="1140"/>
        <w:gridCol w:w="1233"/>
        <w:gridCol w:w="1140"/>
        <w:gridCol w:w="1136"/>
      </w:tblGrid>
      <w:tr w:rsidR="00CE5EB2" w:rsidRPr="00B177F6" w:rsidTr="00816E2D">
        <w:trPr>
          <w:trHeight w:val="300"/>
          <w:jc w:val="center"/>
        </w:trPr>
        <w:tc>
          <w:tcPr>
            <w:tcW w:w="18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EB2" w:rsidRPr="00B177F6" w:rsidRDefault="00CE5EB2" w:rsidP="00CE5EB2">
            <w:pPr>
              <w:rPr>
                <w:b/>
                <w:bCs/>
                <w:color w:val="000000"/>
              </w:rPr>
            </w:pPr>
            <w:r w:rsidRPr="00B177F6">
              <w:rPr>
                <w:b/>
                <w:bCs/>
                <w:color w:val="000000"/>
              </w:rPr>
              <w:t>Índice</w:t>
            </w:r>
          </w:p>
        </w:tc>
        <w:tc>
          <w:tcPr>
            <w:tcW w:w="619" w:type="pct"/>
            <w:tcBorders>
              <w:top w:val="single" w:sz="4" w:space="0" w:color="auto"/>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b/>
                <w:bCs/>
                <w:color w:val="000000"/>
              </w:rPr>
            </w:pPr>
            <w:r w:rsidRPr="00B177F6">
              <w:rPr>
                <w:b/>
                <w:bCs/>
                <w:color w:val="000000"/>
              </w:rPr>
              <w:t>2012</w:t>
            </w:r>
          </w:p>
        </w:tc>
        <w:tc>
          <w:tcPr>
            <w:tcW w:w="619" w:type="pct"/>
            <w:tcBorders>
              <w:top w:val="single" w:sz="4" w:space="0" w:color="auto"/>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b/>
                <w:bCs/>
                <w:color w:val="000000"/>
              </w:rPr>
            </w:pPr>
            <w:r w:rsidRPr="00B177F6">
              <w:rPr>
                <w:b/>
                <w:bCs/>
                <w:color w:val="000000"/>
              </w:rPr>
              <w:t>2013</w:t>
            </w:r>
          </w:p>
        </w:tc>
        <w:tc>
          <w:tcPr>
            <w:tcW w:w="670" w:type="pct"/>
            <w:tcBorders>
              <w:top w:val="single" w:sz="4" w:space="0" w:color="auto"/>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b/>
                <w:bCs/>
                <w:color w:val="000000"/>
              </w:rPr>
            </w:pPr>
            <w:r w:rsidRPr="00B177F6">
              <w:rPr>
                <w:b/>
                <w:bCs/>
                <w:color w:val="000000"/>
              </w:rPr>
              <w:t>2014</w:t>
            </w:r>
          </w:p>
        </w:tc>
        <w:tc>
          <w:tcPr>
            <w:tcW w:w="619" w:type="pct"/>
            <w:tcBorders>
              <w:top w:val="single" w:sz="4" w:space="0" w:color="auto"/>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b/>
                <w:bCs/>
                <w:color w:val="000000"/>
              </w:rPr>
            </w:pPr>
            <w:r w:rsidRPr="00B177F6">
              <w:rPr>
                <w:b/>
                <w:bCs/>
                <w:color w:val="000000"/>
              </w:rPr>
              <w:t>2015</w:t>
            </w:r>
          </w:p>
        </w:tc>
        <w:tc>
          <w:tcPr>
            <w:tcW w:w="617" w:type="pct"/>
            <w:tcBorders>
              <w:top w:val="single" w:sz="4" w:space="0" w:color="auto"/>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b/>
                <w:bCs/>
                <w:color w:val="000000"/>
              </w:rPr>
            </w:pPr>
            <w:r w:rsidRPr="00B177F6">
              <w:rPr>
                <w:b/>
                <w:bCs/>
                <w:color w:val="000000"/>
              </w:rPr>
              <w:t>2016</w:t>
            </w:r>
          </w:p>
        </w:tc>
      </w:tr>
      <w:tr w:rsidR="00CE5EB2" w:rsidRPr="00B177F6" w:rsidTr="00816E2D">
        <w:trPr>
          <w:trHeight w:val="300"/>
          <w:jc w:val="center"/>
        </w:trPr>
        <w:tc>
          <w:tcPr>
            <w:tcW w:w="1856" w:type="pct"/>
            <w:tcBorders>
              <w:top w:val="nil"/>
              <w:left w:val="single" w:sz="4" w:space="0" w:color="auto"/>
              <w:bottom w:val="single" w:sz="4" w:space="0" w:color="auto"/>
              <w:right w:val="single" w:sz="4" w:space="0" w:color="auto"/>
            </w:tcBorders>
            <w:shd w:val="clear" w:color="auto" w:fill="auto"/>
            <w:noWrap/>
            <w:vAlign w:val="bottom"/>
            <w:hideMark/>
          </w:tcPr>
          <w:p w:rsidR="00CE5EB2" w:rsidRPr="00B177F6" w:rsidRDefault="00CE5EB2" w:rsidP="00CE5EB2">
            <w:pPr>
              <w:rPr>
                <w:color w:val="000000"/>
              </w:rPr>
            </w:pPr>
            <w:r w:rsidRPr="00B177F6">
              <w:rPr>
                <w:color w:val="000000"/>
              </w:rPr>
              <w:t>Rentabilidade do Ativo</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-3,60%</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10,18%</w:t>
            </w:r>
          </w:p>
        </w:tc>
        <w:tc>
          <w:tcPr>
            <w:tcW w:w="670"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0,01%</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-16,59%</w:t>
            </w:r>
          </w:p>
        </w:tc>
        <w:tc>
          <w:tcPr>
            <w:tcW w:w="617"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0,06%</w:t>
            </w:r>
          </w:p>
        </w:tc>
      </w:tr>
      <w:tr w:rsidR="00CE5EB2" w:rsidRPr="00B177F6" w:rsidTr="00816E2D">
        <w:trPr>
          <w:trHeight w:val="300"/>
          <w:jc w:val="center"/>
        </w:trPr>
        <w:tc>
          <w:tcPr>
            <w:tcW w:w="1856" w:type="pct"/>
            <w:tcBorders>
              <w:top w:val="nil"/>
              <w:left w:val="single" w:sz="4" w:space="0" w:color="auto"/>
              <w:bottom w:val="single" w:sz="4" w:space="0" w:color="auto"/>
              <w:right w:val="single" w:sz="4" w:space="0" w:color="auto"/>
            </w:tcBorders>
            <w:shd w:val="clear" w:color="auto" w:fill="auto"/>
            <w:noWrap/>
            <w:vAlign w:val="bottom"/>
            <w:hideMark/>
          </w:tcPr>
          <w:p w:rsidR="00CE5EB2" w:rsidRPr="00B177F6" w:rsidRDefault="00CE5EB2" w:rsidP="00CE5EB2">
            <w:pPr>
              <w:rPr>
                <w:color w:val="000000"/>
              </w:rPr>
            </w:pPr>
            <w:r w:rsidRPr="00B177F6">
              <w:rPr>
                <w:color w:val="000000"/>
              </w:rPr>
              <w:t>Rentabilidade do PL</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-5,72%</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14,70%</w:t>
            </w:r>
          </w:p>
        </w:tc>
        <w:tc>
          <w:tcPr>
            <w:tcW w:w="670"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0,01%</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-32,17%</w:t>
            </w:r>
          </w:p>
        </w:tc>
        <w:tc>
          <w:tcPr>
            <w:tcW w:w="617"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0,11%</w:t>
            </w:r>
          </w:p>
        </w:tc>
      </w:tr>
      <w:tr w:rsidR="00CE5EB2" w:rsidRPr="00B177F6" w:rsidTr="00816E2D">
        <w:trPr>
          <w:trHeight w:val="300"/>
          <w:jc w:val="center"/>
        </w:trPr>
        <w:tc>
          <w:tcPr>
            <w:tcW w:w="1856" w:type="pct"/>
            <w:tcBorders>
              <w:top w:val="nil"/>
              <w:left w:val="single" w:sz="4" w:space="0" w:color="auto"/>
              <w:bottom w:val="single" w:sz="4" w:space="0" w:color="auto"/>
              <w:right w:val="single" w:sz="4" w:space="0" w:color="auto"/>
            </w:tcBorders>
            <w:shd w:val="clear" w:color="auto" w:fill="auto"/>
            <w:noWrap/>
            <w:vAlign w:val="bottom"/>
            <w:hideMark/>
          </w:tcPr>
          <w:p w:rsidR="00CE5EB2" w:rsidRPr="00B177F6" w:rsidRDefault="00CE5EB2" w:rsidP="00CE5EB2">
            <w:pPr>
              <w:rPr>
                <w:color w:val="000000"/>
              </w:rPr>
            </w:pPr>
            <w:r w:rsidRPr="00B177F6">
              <w:rPr>
                <w:color w:val="000000"/>
              </w:rPr>
              <w:t>Liquidez Corrente</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1,07</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1,20</w:t>
            </w:r>
          </w:p>
        </w:tc>
        <w:tc>
          <w:tcPr>
            <w:tcW w:w="670"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0,64</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1,67</w:t>
            </w:r>
          </w:p>
        </w:tc>
        <w:tc>
          <w:tcPr>
            <w:tcW w:w="617"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0,63</w:t>
            </w:r>
          </w:p>
        </w:tc>
      </w:tr>
      <w:tr w:rsidR="00CE5EB2" w:rsidRPr="00B177F6" w:rsidTr="00816E2D">
        <w:trPr>
          <w:trHeight w:val="300"/>
          <w:jc w:val="center"/>
        </w:trPr>
        <w:tc>
          <w:tcPr>
            <w:tcW w:w="1856" w:type="pct"/>
            <w:tcBorders>
              <w:top w:val="nil"/>
              <w:left w:val="single" w:sz="4" w:space="0" w:color="auto"/>
              <w:bottom w:val="single" w:sz="4" w:space="0" w:color="auto"/>
              <w:right w:val="single" w:sz="4" w:space="0" w:color="auto"/>
            </w:tcBorders>
            <w:shd w:val="clear" w:color="auto" w:fill="auto"/>
            <w:noWrap/>
            <w:vAlign w:val="bottom"/>
            <w:hideMark/>
          </w:tcPr>
          <w:p w:rsidR="00CE5EB2" w:rsidRPr="00B177F6" w:rsidRDefault="00CE5EB2" w:rsidP="00CE5EB2">
            <w:pPr>
              <w:rPr>
                <w:color w:val="000000"/>
              </w:rPr>
            </w:pPr>
            <w:r w:rsidRPr="00B177F6">
              <w:rPr>
                <w:color w:val="000000"/>
              </w:rPr>
              <w:t>Liquidez Geral</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0,52</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0,63</w:t>
            </w:r>
          </w:p>
        </w:tc>
        <w:tc>
          <w:tcPr>
            <w:tcW w:w="670"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0,36</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0,16</w:t>
            </w:r>
          </w:p>
        </w:tc>
        <w:tc>
          <w:tcPr>
            <w:tcW w:w="617"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0,11</w:t>
            </w:r>
          </w:p>
        </w:tc>
      </w:tr>
      <w:tr w:rsidR="00CE5EB2" w:rsidRPr="00B177F6" w:rsidTr="00816E2D">
        <w:trPr>
          <w:trHeight w:val="300"/>
          <w:jc w:val="center"/>
        </w:trPr>
        <w:tc>
          <w:tcPr>
            <w:tcW w:w="1856" w:type="pct"/>
            <w:tcBorders>
              <w:top w:val="nil"/>
              <w:left w:val="single" w:sz="4" w:space="0" w:color="auto"/>
              <w:bottom w:val="single" w:sz="4" w:space="0" w:color="auto"/>
              <w:right w:val="single" w:sz="4" w:space="0" w:color="auto"/>
            </w:tcBorders>
            <w:shd w:val="clear" w:color="auto" w:fill="auto"/>
            <w:noWrap/>
            <w:vAlign w:val="bottom"/>
            <w:hideMark/>
          </w:tcPr>
          <w:p w:rsidR="00CE5EB2" w:rsidRPr="00B177F6" w:rsidRDefault="00CE5EB2" w:rsidP="00CE5EB2">
            <w:pPr>
              <w:rPr>
                <w:color w:val="000000"/>
              </w:rPr>
            </w:pPr>
            <w:r w:rsidRPr="00B177F6">
              <w:rPr>
                <w:color w:val="000000"/>
              </w:rPr>
              <w:t>Grau Endividamento Global</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37,08%</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30,74%</w:t>
            </w:r>
          </w:p>
        </w:tc>
        <w:tc>
          <w:tcPr>
            <w:tcW w:w="670"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37,73%</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48,42%</w:t>
            </w:r>
          </w:p>
        </w:tc>
        <w:tc>
          <w:tcPr>
            <w:tcW w:w="617"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48,10%</w:t>
            </w:r>
          </w:p>
        </w:tc>
      </w:tr>
      <w:tr w:rsidR="00CE5EB2" w:rsidRPr="00B177F6" w:rsidTr="00816E2D">
        <w:trPr>
          <w:trHeight w:val="300"/>
          <w:jc w:val="center"/>
        </w:trPr>
        <w:tc>
          <w:tcPr>
            <w:tcW w:w="1856" w:type="pct"/>
            <w:tcBorders>
              <w:top w:val="nil"/>
              <w:left w:val="single" w:sz="4" w:space="0" w:color="auto"/>
              <w:bottom w:val="single" w:sz="4" w:space="0" w:color="auto"/>
              <w:right w:val="single" w:sz="4" w:space="0" w:color="auto"/>
            </w:tcBorders>
            <w:shd w:val="clear" w:color="auto" w:fill="auto"/>
            <w:noWrap/>
            <w:vAlign w:val="bottom"/>
            <w:hideMark/>
          </w:tcPr>
          <w:p w:rsidR="00CE5EB2" w:rsidRPr="00B177F6" w:rsidRDefault="00CE5EB2" w:rsidP="00CE5EB2">
            <w:pPr>
              <w:rPr>
                <w:color w:val="000000"/>
              </w:rPr>
            </w:pPr>
            <w:r w:rsidRPr="00B177F6">
              <w:rPr>
                <w:color w:val="000000"/>
              </w:rPr>
              <w:t>Participação Capital Terceiros</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58,93%</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44,38%</w:t>
            </w:r>
          </w:p>
        </w:tc>
        <w:tc>
          <w:tcPr>
            <w:tcW w:w="670"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60,60%</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93,89%</w:t>
            </w:r>
          </w:p>
        </w:tc>
        <w:tc>
          <w:tcPr>
            <w:tcW w:w="617"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92,69%</w:t>
            </w:r>
          </w:p>
        </w:tc>
      </w:tr>
      <w:tr w:rsidR="00CE5EB2" w:rsidRPr="00B177F6" w:rsidTr="00816E2D">
        <w:trPr>
          <w:trHeight w:val="300"/>
          <w:jc w:val="center"/>
        </w:trPr>
        <w:tc>
          <w:tcPr>
            <w:tcW w:w="1856" w:type="pct"/>
            <w:tcBorders>
              <w:top w:val="nil"/>
              <w:left w:val="single" w:sz="4" w:space="0" w:color="auto"/>
              <w:bottom w:val="single" w:sz="4" w:space="0" w:color="auto"/>
              <w:right w:val="single" w:sz="4" w:space="0" w:color="auto"/>
            </w:tcBorders>
            <w:shd w:val="clear" w:color="auto" w:fill="auto"/>
            <w:noWrap/>
            <w:vAlign w:val="bottom"/>
            <w:hideMark/>
          </w:tcPr>
          <w:p w:rsidR="00CE5EB2" w:rsidRPr="00B177F6" w:rsidRDefault="00CE5EB2" w:rsidP="00CE5EB2">
            <w:pPr>
              <w:rPr>
                <w:color w:val="000000"/>
              </w:rPr>
            </w:pPr>
            <w:r w:rsidRPr="00B177F6">
              <w:rPr>
                <w:color w:val="000000"/>
              </w:rPr>
              <w:t>Composição Endividamento</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47,45%</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51,98%</w:t>
            </w:r>
          </w:p>
        </w:tc>
        <w:tc>
          <w:tcPr>
            <w:tcW w:w="670"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54,76%</w:t>
            </w:r>
          </w:p>
        </w:tc>
        <w:tc>
          <w:tcPr>
            <w:tcW w:w="619"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9,03%</w:t>
            </w:r>
          </w:p>
        </w:tc>
        <w:tc>
          <w:tcPr>
            <w:tcW w:w="617" w:type="pct"/>
            <w:tcBorders>
              <w:top w:val="nil"/>
              <w:left w:val="nil"/>
              <w:bottom w:val="single" w:sz="4" w:space="0" w:color="auto"/>
              <w:right w:val="single" w:sz="4" w:space="0" w:color="auto"/>
            </w:tcBorders>
            <w:shd w:val="clear" w:color="auto" w:fill="auto"/>
            <w:noWrap/>
            <w:vAlign w:val="bottom"/>
            <w:hideMark/>
          </w:tcPr>
          <w:p w:rsidR="00CE5EB2" w:rsidRPr="00B177F6" w:rsidRDefault="00CE5EB2" w:rsidP="00CE5EB2">
            <w:pPr>
              <w:jc w:val="center"/>
              <w:rPr>
                <w:color w:val="000000"/>
              </w:rPr>
            </w:pPr>
            <w:r w:rsidRPr="00B177F6">
              <w:rPr>
                <w:color w:val="000000"/>
              </w:rPr>
              <w:t>16,18%</w:t>
            </w:r>
          </w:p>
        </w:tc>
      </w:tr>
    </w:tbl>
    <w:p w:rsidR="00CE5EB2" w:rsidRPr="00C37A04" w:rsidRDefault="00CE5EB2" w:rsidP="00CE5EB2">
      <w:pPr>
        <w:jc w:val="both"/>
      </w:pPr>
      <w:r w:rsidRPr="0057775A">
        <w:t xml:space="preserve">Fonte: </w:t>
      </w:r>
      <w:r>
        <w:t>Elaborado pelo autor a partir das demonstrações contábeis</w:t>
      </w:r>
      <w:r w:rsidRPr="0057775A">
        <w:t>.</w:t>
      </w:r>
    </w:p>
    <w:p w:rsidR="00CE5EB2" w:rsidRDefault="00CE5EB2" w:rsidP="00CE5EB2">
      <w:pPr>
        <w:spacing w:before="240"/>
        <w:ind w:firstLine="708"/>
        <w:jc w:val="both"/>
        <w:rPr>
          <w:sz w:val="24"/>
          <w:szCs w:val="24"/>
        </w:rPr>
      </w:pPr>
      <w:r w:rsidRPr="002B61D7">
        <w:rPr>
          <w:sz w:val="24"/>
          <w:szCs w:val="24"/>
        </w:rPr>
        <w:t xml:space="preserve">O Criciúma, como já destacado anteriormente, foi o único clube a apresentar, em todos os anos analisados, um Patrimônio Líquido positivo. Além disso, sua dívida nunca ultrapassou a metade do seu Ativo. Isto ocorre devido ao alto valor de imobilização do Ativo do clube, principalmente pela propriedade do estádio </w:t>
      </w:r>
      <w:proofErr w:type="spellStart"/>
      <w:r w:rsidRPr="002B61D7">
        <w:rPr>
          <w:sz w:val="24"/>
          <w:szCs w:val="24"/>
        </w:rPr>
        <w:t>Heriberto</w:t>
      </w:r>
      <w:proofErr w:type="spellEnd"/>
      <w:r w:rsidRPr="002B61D7">
        <w:rPr>
          <w:sz w:val="24"/>
          <w:szCs w:val="24"/>
        </w:rPr>
        <w:t xml:space="preserve"> </w:t>
      </w:r>
      <w:proofErr w:type="spellStart"/>
      <w:r w:rsidRPr="002B61D7">
        <w:rPr>
          <w:sz w:val="24"/>
          <w:szCs w:val="24"/>
        </w:rPr>
        <w:t>Hülse</w:t>
      </w:r>
      <w:proofErr w:type="spellEnd"/>
      <w:r w:rsidRPr="002B61D7">
        <w:rPr>
          <w:sz w:val="24"/>
          <w:szCs w:val="24"/>
        </w:rPr>
        <w:t>. Comparado ao total do seu Ativo, a dívida do clube acaba sendo baixa, ao contrário dos casos de Avaí e Figueirense, que também possuem um alto valor registrado no Imobilizado, mas que possuem dívidas muito maiores. Com uma imobilização maior do Ativo, porém, a liquidez geral do clube acaba sendo afetada, verificando-se uma redução deste indicador desde 2013. Na situação econômica, se observa que o clube normalmente apresenta equilíbrio entre suas receitas e despesas, impedindo assim um crescimento acentuado do seu Passivo Exigível.</w:t>
      </w:r>
    </w:p>
    <w:p w:rsidR="00CE5EB2" w:rsidRPr="003F2F15" w:rsidRDefault="00CE5EB2" w:rsidP="00CE5EB2">
      <w:pPr>
        <w:spacing w:before="240"/>
        <w:ind w:firstLine="708"/>
        <w:jc w:val="both"/>
        <w:rPr>
          <w:sz w:val="24"/>
          <w:szCs w:val="24"/>
        </w:rPr>
      </w:pPr>
      <w:r>
        <w:rPr>
          <w:sz w:val="24"/>
          <w:szCs w:val="24"/>
        </w:rPr>
        <w:t>Na sequência, a tabela 12 apresenta todos os sete índices calculados do Figueirense.</w:t>
      </w:r>
    </w:p>
    <w:p w:rsidR="00CE5EB2" w:rsidRPr="00C37A04" w:rsidRDefault="00CE5EB2" w:rsidP="00CE5EB2">
      <w:pPr>
        <w:spacing w:before="240"/>
        <w:jc w:val="both"/>
      </w:pPr>
      <w:proofErr w:type="gramStart"/>
      <w:r>
        <w:t>Tabela 12</w:t>
      </w:r>
      <w:r w:rsidRPr="0057775A">
        <w:t xml:space="preserve"> </w:t>
      </w:r>
      <w:r>
        <w:t>– Índices do Figueirense</w:t>
      </w:r>
      <w:proofErr w:type="gramEnd"/>
    </w:p>
    <w:tbl>
      <w:tblPr>
        <w:tblW w:w="5000" w:type="pct"/>
        <w:jc w:val="center"/>
        <w:tblCellMar>
          <w:left w:w="70" w:type="dxa"/>
          <w:right w:w="70" w:type="dxa"/>
        </w:tblCellMar>
        <w:tblLook w:val="04A0"/>
      </w:tblPr>
      <w:tblGrid>
        <w:gridCol w:w="2825"/>
        <w:gridCol w:w="1276"/>
        <w:gridCol w:w="1276"/>
        <w:gridCol w:w="1276"/>
        <w:gridCol w:w="1276"/>
        <w:gridCol w:w="1276"/>
      </w:tblGrid>
      <w:tr w:rsidR="00CE5EB2" w:rsidRPr="00DC41CA" w:rsidTr="00816E2D">
        <w:trPr>
          <w:trHeight w:val="300"/>
          <w:jc w:val="center"/>
        </w:trPr>
        <w:tc>
          <w:tcPr>
            <w:tcW w:w="15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EB2" w:rsidRPr="00DC41CA" w:rsidRDefault="00CE5EB2" w:rsidP="00CE5EB2">
            <w:pPr>
              <w:rPr>
                <w:b/>
                <w:bCs/>
                <w:color w:val="000000"/>
              </w:rPr>
            </w:pPr>
            <w:r w:rsidRPr="00DC41CA">
              <w:rPr>
                <w:b/>
                <w:bCs/>
                <w:color w:val="000000"/>
              </w:rPr>
              <w:t>Índice</w:t>
            </w:r>
          </w:p>
        </w:tc>
        <w:tc>
          <w:tcPr>
            <w:tcW w:w="693" w:type="pct"/>
            <w:tcBorders>
              <w:top w:val="single" w:sz="4" w:space="0" w:color="auto"/>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b/>
                <w:bCs/>
                <w:color w:val="000000"/>
              </w:rPr>
            </w:pPr>
            <w:r w:rsidRPr="00DC41CA">
              <w:rPr>
                <w:b/>
                <w:bCs/>
                <w:color w:val="000000"/>
              </w:rPr>
              <w:t>2012</w:t>
            </w:r>
          </w:p>
        </w:tc>
        <w:tc>
          <w:tcPr>
            <w:tcW w:w="693" w:type="pct"/>
            <w:tcBorders>
              <w:top w:val="single" w:sz="4" w:space="0" w:color="auto"/>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b/>
                <w:bCs/>
                <w:color w:val="000000"/>
              </w:rPr>
            </w:pPr>
            <w:r w:rsidRPr="00DC41CA">
              <w:rPr>
                <w:b/>
                <w:bCs/>
                <w:color w:val="000000"/>
              </w:rPr>
              <w:t>2013</w:t>
            </w:r>
          </w:p>
        </w:tc>
        <w:tc>
          <w:tcPr>
            <w:tcW w:w="693" w:type="pct"/>
            <w:tcBorders>
              <w:top w:val="single" w:sz="4" w:space="0" w:color="auto"/>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b/>
                <w:bCs/>
                <w:color w:val="000000"/>
              </w:rPr>
            </w:pPr>
            <w:r w:rsidRPr="00DC41CA">
              <w:rPr>
                <w:b/>
                <w:bCs/>
                <w:color w:val="000000"/>
              </w:rPr>
              <w:t>2014</w:t>
            </w:r>
          </w:p>
        </w:tc>
        <w:tc>
          <w:tcPr>
            <w:tcW w:w="693" w:type="pct"/>
            <w:tcBorders>
              <w:top w:val="single" w:sz="4" w:space="0" w:color="auto"/>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b/>
                <w:bCs/>
                <w:color w:val="000000"/>
              </w:rPr>
            </w:pPr>
            <w:r w:rsidRPr="00DC41CA">
              <w:rPr>
                <w:b/>
                <w:bCs/>
                <w:color w:val="000000"/>
              </w:rPr>
              <w:t>2015</w:t>
            </w:r>
          </w:p>
        </w:tc>
        <w:tc>
          <w:tcPr>
            <w:tcW w:w="693" w:type="pct"/>
            <w:tcBorders>
              <w:top w:val="single" w:sz="4" w:space="0" w:color="auto"/>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b/>
                <w:bCs/>
                <w:color w:val="000000"/>
              </w:rPr>
            </w:pPr>
            <w:r w:rsidRPr="00DC41CA">
              <w:rPr>
                <w:b/>
                <w:bCs/>
                <w:color w:val="000000"/>
              </w:rPr>
              <w:t>2016</w:t>
            </w:r>
          </w:p>
        </w:tc>
      </w:tr>
      <w:tr w:rsidR="00CE5EB2" w:rsidRPr="00DC41CA" w:rsidTr="00816E2D">
        <w:trPr>
          <w:trHeight w:val="300"/>
          <w:jc w:val="center"/>
        </w:trPr>
        <w:tc>
          <w:tcPr>
            <w:tcW w:w="1535" w:type="pct"/>
            <w:tcBorders>
              <w:top w:val="nil"/>
              <w:left w:val="single" w:sz="4" w:space="0" w:color="auto"/>
              <w:bottom w:val="single" w:sz="4" w:space="0" w:color="auto"/>
              <w:right w:val="single" w:sz="4" w:space="0" w:color="auto"/>
            </w:tcBorders>
            <w:shd w:val="clear" w:color="auto" w:fill="auto"/>
            <w:noWrap/>
            <w:vAlign w:val="bottom"/>
            <w:hideMark/>
          </w:tcPr>
          <w:p w:rsidR="00CE5EB2" w:rsidRPr="00DC41CA" w:rsidRDefault="00CE5EB2" w:rsidP="00CE5EB2">
            <w:pPr>
              <w:rPr>
                <w:color w:val="000000"/>
              </w:rPr>
            </w:pPr>
            <w:r w:rsidRPr="00DC41CA">
              <w:rPr>
                <w:color w:val="000000"/>
              </w:rPr>
              <w:t>Rentabilidade do Ativo</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-22,75%</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-49,70%</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-22,41%</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2,49%</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5,92%</w:t>
            </w:r>
          </w:p>
        </w:tc>
      </w:tr>
      <w:tr w:rsidR="00CE5EB2" w:rsidRPr="00DC41CA" w:rsidTr="00816E2D">
        <w:trPr>
          <w:trHeight w:val="300"/>
          <w:jc w:val="center"/>
        </w:trPr>
        <w:tc>
          <w:tcPr>
            <w:tcW w:w="1535" w:type="pct"/>
            <w:tcBorders>
              <w:top w:val="nil"/>
              <w:left w:val="single" w:sz="4" w:space="0" w:color="auto"/>
              <w:bottom w:val="single" w:sz="4" w:space="0" w:color="auto"/>
              <w:right w:val="single" w:sz="4" w:space="0" w:color="auto"/>
            </w:tcBorders>
            <w:shd w:val="clear" w:color="auto" w:fill="auto"/>
            <w:noWrap/>
            <w:vAlign w:val="bottom"/>
            <w:hideMark/>
          </w:tcPr>
          <w:p w:rsidR="00CE5EB2" w:rsidRPr="00DC41CA" w:rsidRDefault="00CE5EB2" w:rsidP="00CE5EB2">
            <w:pPr>
              <w:rPr>
                <w:color w:val="000000"/>
              </w:rPr>
            </w:pPr>
            <w:r w:rsidRPr="00DC41CA">
              <w:rPr>
                <w:color w:val="000000"/>
              </w:rPr>
              <w:t>Rentabilidade do PL</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PL Negativo</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PL Negativo</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PL Negativo</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PL Negativo</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PL Negativo</w:t>
            </w:r>
          </w:p>
        </w:tc>
      </w:tr>
      <w:tr w:rsidR="00CE5EB2" w:rsidRPr="00DC41CA" w:rsidTr="00816E2D">
        <w:trPr>
          <w:trHeight w:val="300"/>
          <w:jc w:val="center"/>
        </w:trPr>
        <w:tc>
          <w:tcPr>
            <w:tcW w:w="1535" w:type="pct"/>
            <w:tcBorders>
              <w:top w:val="nil"/>
              <w:left w:val="single" w:sz="4" w:space="0" w:color="auto"/>
              <w:bottom w:val="single" w:sz="4" w:space="0" w:color="auto"/>
              <w:right w:val="single" w:sz="4" w:space="0" w:color="auto"/>
            </w:tcBorders>
            <w:shd w:val="clear" w:color="auto" w:fill="auto"/>
            <w:noWrap/>
            <w:vAlign w:val="bottom"/>
            <w:hideMark/>
          </w:tcPr>
          <w:p w:rsidR="00CE5EB2" w:rsidRPr="00DC41CA" w:rsidRDefault="00CE5EB2" w:rsidP="00CE5EB2">
            <w:pPr>
              <w:rPr>
                <w:color w:val="000000"/>
              </w:rPr>
            </w:pPr>
            <w:r w:rsidRPr="00DC41CA">
              <w:rPr>
                <w:color w:val="000000"/>
              </w:rPr>
              <w:t>Liquidez Corrente</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0,16</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0,21</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0,16</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0,24</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0,29</w:t>
            </w:r>
          </w:p>
        </w:tc>
      </w:tr>
      <w:tr w:rsidR="00CE5EB2" w:rsidRPr="00DC41CA" w:rsidTr="00816E2D">
        <w:trPr>
          <w:trHeight w:val="300"/>
          <w:jc w:val="center"/>
        </w:trPr>
        <w:tc>
          <w:tcPr>
            <w:tcW w:w="1535" w:type="pct"/>
            <w:tcBorders>
              <w:top w:val="nil"/>
              <w:left w:val="single" w:sz="4" w:space="0" w:color="auto"/>
              <w:bottom w:val="single" w:sz="4" w:space="0" w:color="auto"/>
              <w:right w:val="single" w:sz="4" w:space="0" w:color="auto"/>
            </w:tcBorders>
            <w:shd w:val="clear" w:color="auto" w:fill="auto"/>
            <w:noWrap/>
            <w:vAlign w:val="bottom"/>
            <w:hideMark/>
          </w:tcPr>
          <w:p w:rsidR="00CE5EB2" w:rsidRPr="00DC41CA" w:rsidRDefault="00CE5EB2" w:rsidP="00CE5EB2">
            <w:pPr>
              <w:rPr>
                <w:color w:val="000000"/>
              </w:rPr>
            </w:pPr>
            <w:r w:rsidRPr="00DC41CA">
              <w:rPr>
                <w:color w:val="000000"/>
              </w:rPr>
              <w:t>Liquidez Geral</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0,10</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0,15</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0,08</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0,13</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0,15</w:t>
            </w:r>
          </w:p>
        </w:tc>
      </w:tr>
      <w:tr w:rsidR="00CE5EB2" w:rsidRPr="00DC41CA" w:rsidTr="00816E2D">
        <w:trPr>
          <w:trHeight w:val="300"/>
          <w:jc w:val="center"/>
        </w:trPr>
        <w:tc>
          <w:tcPr>
            <w:tcW w:w="1535" w:type="pct"/>
            <w:tcBorders>
              <w:top w:val="nil"/>
              <w:left w:val="single" w:sz="4" w:space="0" w:color="auto"/>
              <w:bottom w:val="single" w:sz="4" w:space="0" w:color="auto"/>
              <w:right w:val="single" w:sz="4" w:space="0" w:color="auto"/>
            </w:tcBorders>
            <w:shd w:val="clear" w:color="auto" w:fill="auto"/>
            <w:noWrap/>
            <w:vAlign w:val="bottom"/>
            <w:hideMark/>
          </w:tcPr>
          <w:p w:rsidR="00CE5EB2" w:rsidRPr="00DC41CA" w:rsidRDefault="00CE5EB2" w:rsidP="00CE5EB2">
            <w:pPr>
              <w:rPr>
                <w:color w:val="000000"/>
              </w:rPr>
            </w:pPr>
            <w:r w:rsidRPr="00DC41CA">
              <w:rPr>
                <w:color w:val="000000"/>
              </w:rPr>
              <w:t>Grau Endividamento Global</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119,43%</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167,18%</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192,35%</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178,65%</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169,27%</w:t>
            </w:r>
          </w:p>
        </w:tc>
      </w:tr>
      <w:tr w:rsidR="00CE5EB2" w:rsidRPr="00DC41CA" w:rsidTr="00816E2D">
        <w:trPr>
          <w:trHeight w:val="300"/>
          <w:jc w:val="center"/>
        </w:trPr>
        <w:tc>
          <w:tcPr>
            <w:tcW w:w="1535" w:type="pct"/>
            <w:tcBorders>
              <w:top w:val="nil"/>
              <w:left w:val="single" w:sz="4" w:space="0" w:color="auto"/>
              <w:bottom w:val="single" w:sz="4" w:space="0" w:color="auto"/>
              <w:right w:val="single" w:sz="4" w:space="0" w:color="auto"/>
            </w:tcBorders>
            <w:shd w:val="clear" w:color="auto" w:fill="auto"/>
            <w:noWrap/>
            <w:vAlign w:val="bottom"/>
            <w:hideMark/>
          </w:tcPr>
          <w:p w:rsidR="00CE5EB2" w:rsidRPr="00DC41CA" w:rsidRDefault="00CE5EB2" w:rsidP="00CE5EB2">
            <w:pPr>
              <w:rPr>
                <w:color w:val="000000"/>
              </w:rPr>
            </w:pPr>
            <w:r w:rsidRPr="00DC41CA">
              <w:rPr>
                <w:color w:val="000000"/>
              </w:rPr>
              <w:t>Participação Capital Terceiros</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PL Negativo</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PL Negativo</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PL Negativo</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PL Negativo</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PL Negativo</w:t>
            </w:r>
          </w:p>
        </w:tc>
      </w:tr>
      <w:tr w:rsidR="00CE5EB2" w:rsidRPr="00DC41CA" w:rsidTr="00816E2D">
        <w:trPr>
          <w:trHeight w:val="300"/>
          <w:jc w:val="center"/>
        </w:trPr>
        <w:tc>
          <w:tcPr>
            <w:tcW w:w="1535" w:type="pct"/>
            <w:tcBorders>
              <w:top w:val="nil"/>
              <w:left w:val="single" w:sz="4" w:space="0" w:color="auto"/>
              <w:bottom w:val="single" w:sz="4" w:space="0" w:color="auto"/>
              <w:right w:val="single" w:sz="4" w:space="0" w:color="auto"/>
            </w:tcBorders>
            <w:shd w:val="clear" w:color="auto" w:fill="auto"/>
            <w:noWrap/>
            <w:vAlign w:val="bottom"/>
            <w:hideMark/>
          </w:tcPr>
          <w:p w:rsidR="00CE5EB2" w:rsidRPr="00DC41CA" w:rsidRDefault="00CE5EB2" w:rsidP="00CE5EB2">
            <w:pPr>
              <w:rPr>
                <w:color w:val="000000"/>
              </w:rPr>
            </w:pPr>
            <w:r w:rsidRPr="00DC41CA">
              <w:rPr>
                <w:color w:val="000000"/>
              </w:rPr>
              <w:t>Composição Endividamento</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58,28%</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66,23%</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54,39%</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52,23%</w:t>
            </w:r>
          </w:p>
        </w:tc>
        <w:tc>
          <w:tcPr>
            <w:tcW w:w="693" w:type="pct"/>
            <w:tcBorders>
              <w:top w:val="nil"/>
              <w:left w:val="nil"/>
              <w:bottom w:val="single" w:sz="4" w:space="0" w:color="auto"/>
              <w:right w:val="single" w:sz="4" w:space="0" w:color="auto"/>
            </w:tcBorders>
            <w:shd w:val="clear" w:color="auto" w:fill="auto"/>
            <w:noWrap/>
            <w:vAlign w:val="bottom"/>
            <w:hideMark/>
          </w:tcPr>
          <w:p w:rsidR="00CE5EB2" w:rsidRPr="00DC41CA" w:rsidRDefault="00CE5EB2" w:rsidP="00CE5EB2">
            <w:pPr>
              <w:jc w:val="center"/>
              <w:rPr>
                <w:color w:val="000000"/>
              </w:rPr>
            </w:pPr>
            <w:r w:rsidRPr="00DC41CA">
              <w:rPr>
                <w:color w:val="000000"/>
              </w:rPr>
              <w:t>48,98%</w:t>
            </w:r>
          </w:p>
        </w:tc>
      </w:tr>
    </w:tbl>
    <w:p w:rsidR="00CE5EB2" w:rsidRPr="00C37A04" w:rsidRDefault="00CE5EB2" w:rsidP="00CE5EB2">
      <w:pPr>
        <w:jc w:val="both"/>
      </w:pPr>
      <w:r w:rsidRPr="0057775A">
        <w:t xml:space="preserve">Fonte: </w:t>
      </w:r>
      <w:r>
        <w:t>Elaborado pelo autor a partir das demonstrações contábeis</w:t>
      </w:r>
      <w:r w:rsidRPr="0057775A">
        <w:t>.</w:t>
      </w:r>
    </w:p>
    <w:p w:rsidR="00CE5EB2" w:rsidRDefault="00CE5EB2" w:rsidP="00CE5EB2">
      <w:pPr>
        <w:spacing w:before="240"/>
        <w:ind w:firstLine="708"/>
        <w:jc w:val="both"/>
        <w:rPr>
          <w:sz w:val="24"/>
          <w:szCs w:val="24"/>
        </w:rPr>
      </w:pPr>
      <w:r w:rsidRPr="002B61D7">
        <w:rPr>
          <w:sz w:val="24"/>
          <w:szCs w:val="24"/>
        </w:rPr>
        <w:t xml:space="preserve">Os </w:t>
      </w:r>
      <w:r>
        <w:rPr>
          <w:sz w:val="24"/>
          <w:szCs w:val="24"/>
        </w:rPr>
        <w:t>índices</w:t>
      </w:r>
      <w:r w:rsidRPr="002B61D7">
        <w:rPr>
          <w:sz w:val="24"/>
          <w:szCs w:val="24"/>
        </w:rPr>
        <w:t xml:space="preserve"> do Figueirense indicam que o clube, em todos os anos analisados, apresentou um Patrimônio Líquido negativo, tendo um alto crescimento do percentual do grau de endividamento global em 2013 e 2014 e redução em 2015 e 2016. Nestes dois últimos anos, o clube conseguiu ter superávit no resultado dos exercícios. O superávit de 2016 decorreu principalmente pelo aumento nas receitas de transmissão em 57% e da venda de atletas em 36%, comparado a 2015. Em termos de capacidade de pagamento das dívidas, os índices de liquidez apresentaram aumento desta capacidade em 2015 e 2016, mas o risco de inadimplência dos passivos exigíveis permanece alto.</w:t>
      </w:r>
    </w:p>
    <w:p w:rsidR="00CE5EB2" w:rsidRPr="003F2F15" w:rsidRDefault="00CE5EB2" w:rsidP="00CE5EB2">
      <w:pPr>
        <w:spacing w:before="240"/>
        <w:ind w:firstLine="708"/>
        <w:jc w:val="both"/>
        <w:rPr>
          <w:sz w:val="24"/>
          <w:szCs w:val="24"/>
        </w:rPr>
      </w:pPr>
      <w:r>
        <w:rPr>
          <w:sz w:val="24"/>
          <w:szCs w:val="24"/>
        </w:rPr>
        <w:t>A tabela 13 apresenta os índices do Inter de Lages nos anos de 2014 e 2015, já que nos demais anos da pesquisa o clube não divulgou seus dados contábeis.</w:t>
      </w:r>
    </w:p>
    <w:p w:rsidR="00CE5EB2" w:rsidRPr="00C37A04" w:rsidRDefault="00CE5EB2" w:rsidP="00CE5EB2">
      <w:pPr>
        <w:spacing w:before="240"/>
        <w:jc w:val="both"/>
      </w:pPr>
      <w:proofErr w:type="gramStart"/>
      <w:r>
        <w:lastRenderedPageBreak/>
        <w:t>Tabela 13</w:t>
      </w:r>
      <w:r w:rsidRPr="0057775A">
        <w:t xml:space="preserve"> </w:t>
      </w:r>
      <w:r>
        <w:t>– Índices do Inter de Lages</w:t>
      </w:r>
      <w:proofErr w:type="gramEnd"/>
    </w:p>
    <w:tbl>
      <w:tblPr>
        <w:tblW w:w="5000" w:type="pct"/>
        <w:jc w:val="center"/>
        <w:tblCellMar>
          <w:left w:w="70" w:type="dxa"/>
          <w:right w:w="70" w:type="dxa"/>
        </w:tblCellMar>
        <w:tblLook w:val="04A0"/>
      </w:tblPr>
      <w:tblGrid>
        <w:gridCol w:w="3342"/>
        <w:gridCol w:w="1106"/>
        <w:gridCol w:w="1106"/>
        <w:gridCol w:w="1386"/>
        <w:gridCol w:w="1157"/>
        <w:gridCol w:w="1108"/>
      </w:tblGrid>
      <w:tr w:rsidR="00CE5EB2" w:rsidRPr="00712BD2" w:rsidTr="00816E2D">
        <w:trPr>
          <w:trHeight w:val="300"/>
          <w:jc w:val="center"/>
        </w:trPr>
        <w:tc>
          <w:tcPr>
            <w:tcW w:w="181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EB2" w:rsidRPr="00712BD2" w:rsidRDefault="00CE5EB2" w:rsidP="00CE5EB2">
            <w:pPr>
              <w:rPr>
                <w:b/>
                <w:bCs/>
                <w:color w:val="000000"/>
              </w:rPr>
            </w:pPr>
            <w:r w:rsidRPr="00712BD2">
              <w:rPr>
                <w:b/>
                <w:bCs/>
                <w:color w:val="000000"/>
              </w:rPr>
              <w:t>Índice</w:t>
            </w:r>
          </w:p>
        </w:tc>
        <w:tc>
          <w:tcPr>
            <w:tcW w:w="601" w:type="pct"/>
            <w:tcBorders>
              <w:top w:val="single" w:sz="4" w:space="0" w:color="auto"/>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b/>
                <w:bCs/>
                <w:color w:val="000000"/>
              </w:rPr>
            </w:pPr>
            <w:r w:rsidRPr="00712BD2">
              <w:rPr>
                <w:b/>
                <w:bCs/>
                <w:color w:val="000000"/>
              </w:rPr>
              <w:t>2012</w:t>
            </w:r>
          </w:p>
        </w:tc>
        <w:tc>
          <w:tcPr>
            <w:tcW w:w="601" w:type="pct"/>
            <w:tcBorders>
              <w:top w:val="single" w:sz="4" w:space="0" w:color="auto"/>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b/>
                <w:bCs/>
                <w:color w:val="000000"/>
              </w:rPr>
            </w:pPr>
            <w:r w:rsidRPr="00712BD2">
              <w:rPr>
                <w:b/>
                <w:bCs/>
                <w:color w:val="000000"/>
              </w:rPr>
              <w:t>2013</w:t>
            </w:r>
          </w:p>
        </w:tc>
        <w:tc>
          <w:tcPr>
            <w:tcW w:w="753" w:type="pct"/>
            <w:tcBorders>
              <w:top w:val="single" w:sz="4" w:space="0" w:color="auto"/>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b/>
                <w:bCs/>
                <w:color w:val="000000"/>
              </w:rPr>
            </w:pPr>
            <w:r w:rsidRPr="00712BD2">
              <w:rPr>
                <w:b/>
                <w:bCs/>
                <w:color w:val="000000"/>
              </w:rPr>
              <w:t>2014</w:t>
            </w:r>
          </w:p>
        </w:tc>
        <w:tc>
          <w:tcPr>
            <w:tcW w:w="628" w:type="pct"/>
            <w:tcBorders>
              <w:top w:val="single" w:sz="4" w:space="0" w:color="auto"/>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b/>
                <w:bCs/>
                <w:color w:val="000000"/>
              </w:rPr>
            </w:pPr>
            <w:r w:rsidRPr="00712BD2">
              <w:rPr>
                <w:b/>
                <w:bCs/>
                <w:color w:val="000000"/>
              </w:rPr>
              <w:t>2015</w:t>
            </w:r>
          </w:p>
        </w:tc>
        <w:tc>
          <w:tcPr>
            <w:tcW w:w="602" w:type="pct"/>
            <w:tcBorders>
              <w:top w:val="single" w:sz="4" w:space="0" w:color="auto"/>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b/>
                <w:bCs/>
                <w:color w:val="000000"/>
              </w:rPr>
            </w:pPr>
            <w:r w:rsidRPr="00712BD2">
              <w:rPr>
                <w:b/>
                <w:bCs/>
                <w:color w:val="000000"/>
              </w:rPr>
              <w:t>2016</w:t>
            </w:r>
          </w:p>
        </w:tc>
      </w:tr>
      <w:tr w:rsidR="00CE5EB2" w:rsidRPr="00712BD2" w:rsidTr="00816E2D">
        <w:trPr>
          <w:trHeight w:val="300"/>
          <w:jc w:val="center"/>
        </w:trPr>
        <w:tc>
          <w:tcPr>
            <w:tcW w:w="1815" w:type="pct"/>
            <w:tcBorders>
              <w:top w:val="nil"/>
              <w:left w:val="single" w:sz="4" w:space="0" w:color="auto"/>
              <w:bottom w:val="single" w:sz="4" w:space="0" w:color="auto"/>
              <w:right w:val="single" w:sz="4" w:space="0" w:color="auto"/>
            </w:tcBorders>
            <w:shd w:val="clear" w:color="auto" w:fill="auto"/>
            <w:noWrap/>
            <w:vAlign w:val="bottom"/>
            <w:hideMark/>
          </w:tcPr>
          <w:p w:rsidR="00CE5EB2" w:rsidRPr="00712BD2" w:rsidRDefault="00CE5EB2" w:rsidP="00CE5EB2">
            <w:pPr>
              <w:rPr>
                <w:color w:val="000000"/>
              </w:rPr>
            </w:pPr>
            <w:r w:rsidRPr="00712BD2">
              <w:rPr>
                <w:color w:val="000000"/>
              </w:rPr>
              <w:t>Rentabilidade do Ativo</w:t>
            </w:r>
          </w:p>
        </w:tc>
        <w:tc>
          <w:tcPr>
            <w:tcW w:w="601"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c>
          <w:tcPr>
            <w:tcW w:w="601"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c>
          <w:tcPr>
            <w:tcW w:w="753"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r w:rsidRPr="00712BD2">
              <w:rPr>
                <w:color w:val="000000"/>
              </w:rPr>
              <w:t>-10315,89%</w:t>
            </w:r>
          </w:p>
        </w:tc>
        <w:tc>
          <w:tcPr>
            <w:tcW w:w="628"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r w:rsidRPr="00712BD2">
              <w:rPr>
                <w:color w:val="000000"/>
              </w:rPr>
              <w:t>4,35%</w:t>
            </w:r>
          </w:p>
        </w:tc>
        <w:tc>
          <w:tcPr>
            <w:tcW w:w="602"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r>
      <w:tr w:rsidR="00CE5EB2" w:rsidRPr="00712BD2" w:rsidTr="00816E2D">
        <w:trPr>
          <w:trHeight w:val="300"/>
          <w:jc w:val="center"/>
        </w:trPr>
        <w:tc>
          <w:tcPr>
            <w:tcW w:w="1815" w:type="pct"/>
            <w:tcBorders>
              <w:top w:val="nil"/>
              <w:left w:val="single" w:sz="4" w:space="0" w:color="auto"/>
              <w:bottom w:val="single" w:sz="4" w:space="0" w:color="auto"/>
              <w:right w:val="single" w:sz="4" w:space="0" w:color="auto"/>
            </w:tcBorders>
            <w:shd w:val="clear" w:color="auto" w:fill="auto"/>
            <w:noWrap/>
            <w:vAlign w:val="bottom"/>
            <w:hideMark/>
          </w:tcPr>
          <w:p w:rsidR="00CE5EB2" w:rsidRPr="00712BD2" w:rsidRDefault="00CE5EB2" w:rsidP="00CE5EB2">
            <w:pPr>
              <w:rPr>
                <w:color w:val="000000"/>
              </w:rPr>
            </w:pPr>
            <w:r w:rsidRPr="00712BD2">
              <w:rPr>
                <w:color w:val="000000"/>
              </w:rPr>
              <w:t>Rentabilidade do PL</w:t>
            </w:r>
          </w:p>
        </w:tc>
        <w:tc>
          <w:tcPr>
            <w:tcW w:w="601"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c>
          <w:tcPr>
            <w:tcW w:w="601"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c>
          <w:tcPr>
            <w:tcW w:w="753"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r>
              <w:rPr>
                <w:color w:val="000000"/>
              </w:rPr>
              <w:t>PL Negativo</w:t>
            </w:r>
          </w:p>
        </w:tc>
        <w:tc>
          <w:tcPr>
            <w:tcW w:w="628"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r>
              <w:rPr>
                <w:color w:val="000000"/>
              </w:rPr>
              <w:t>PL Negativo</w:t>
            </w:r>
          </w:p>
        </w:tc>
        <w:tc>
          <w:tcPr>
            <w:tcW w:w="602"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r>
      <w:tr w:rsidR="00CE5EB2" w:rsidRPr="00712BD2" w:rsidTr="00816E2D">
        <w:trPr>
          <w:trHeight w:val="300"/>
          <w:jc w:val="center"/>
        </w:trPr>
        <w:tc>
          <w:tcPr>
            <w:tcW w:w="1815" w:type="pct"/>
            <w:tcBorders>
              <w:top w:val="nil"/>
              <w:left w:val="single" w:sz="4" w:space="0" w:color="auto"/>
              <w:bottom w:val="single" w:sz="4" w:space="0" w:color="auto"/>
              <w:right w:val="single" w:sz="4" w:space="0" w:color="auto"/>
            </w:tcBorders>
            <w:shd w:val="clear" w:color="auto" w:fill="auto"/>
            <w:noWrap/>
            <w:vAlign w:val="bottom"/>
            <w:hideMark/>
          </w:tcPr>
          <w:p w:rsidR="00CE5EB2" w:rsidRPr="00712BD2" w:rsidRDefault="00CE5EB2" w:rsidP="00CE5EB2">
            <w:pPr>
              <w:rPr>
                <w:color w:val="000000"/>
              </w:rPr>
            </w:pPr>
            <w:r w:rsidRPr="00712BD2">
              <w:rPr>
                <w:color w:val="000000"/>
              </w:rPr>
              <w:t>Liquidez Corrente</w:t>
            </w:r>
          </w:p>
        </w:tc>
        <w:tc>
          <w:tcPr>
            <w:tcW w:w="601"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c>
          <w:tcPr>
            <w:tcW w:w="601"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c>
          <w:tcPr>
            <w:tcW w:w="753"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r w:rsidRPr="00712BD2">
              <w:rPr>
                <w:color w:val="000000"/>
              </w:rPr>
              <w:t>0,00</w:t>
            </w:r>
          </w:p>
        </w:tc>
        <w:tc>
          <w:tcPr>
            <w:tcW w:w="628"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r w:rsidRPr="00712BD2">
              <w:rPr>
                <w:color w:val="000000"/>
              </w:rPr>
              <w:t>0,29</w:t>
            </w:r>
          </w:p>
        </w:tc>
        <w:tc>
          <w:tcPr>
            <w:tcW w:w="602"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r>
      <w:tr w:rsidR="00CE5EB2" w:rsidRPr="00712BD2" w:rsidTr="00816E2D">
        <w:trPr>
          <w:trHeight w:val="300"/>
          <w:jc w:val="center"/>
        </w:trPr>
        <w:tc>
          <w:tcPr>
            <w:tcW w:w="1815" w:type="pct"/>
            <w:tcBorders>
              <w:top w:val="nil"/>
              <w:left w:val="single" w:sz="4" w:space="0" w:color="auto"/>
              <w:bottom w:val="single" w:sz="4" w:space="0" w:color="auto"/>
              <w:right w:val="single" w:sz="4" w:space="0" w:color="auto"/>
            </w:tcBorders>
            <w:shd w:val="clear" w:color="auto" w:fill="auto"/>
            <w:noWrap/>
            <w:vAlign w:val="bottom"/>
            <w:hideMark/>
          </w:tcPr>
          <w:p w:rsidR="00CE5EB2" w:rsidRPr="00712BD2" w:rsidRDefault="00CE5EB2" w:rsidP="00CE5EB2">
            <w:pPr>
              <w:rPr>
                <w:color w:val="000000"/>
              </w:rPr>
            </w:pPr>
            <w:r w:rsidRPr="00712BD2">
              <w:rPr>
                <w:color w:val="000000"/>
              </w:rPr>
              <w:t>Liquidez Geral</w:t>
            </w:r>
          </w:p>
        </w:tc>
        <w:tc>
          <w:tcPr>
            <w:tcW w:w="601"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c>
          <w:tcPr>
            <w:tcW w:w="601"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c>
          <w:tcPr>
            <w:tcW w:w="753"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r w:rsidRPr="00712BD2">
              <w:rPr>
                <w:color w:val="000000"/>
              </w:rPr>
              <w:t>0,00</w:t>
            </w:r>
          </w:p>
        </w:tc>
        <w:tc>
          <w:tcPr>
            <w:tcW w:w="628"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r w:rsidRPr="00712BD2">
              <w:rPr>
                <w:color w:val="000000"/>
              </w:rPr>
              <w:t>0,20</w:t>
            </w:r>
          </w:p>
        </w:tc>
        <w:tc>
          <w:tcPr>
            <w:tcW w:w="602"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r>
      <w:tr w:rsidR="00CE5EB2" w:rsidRPr="00712BD2" w:rsidTr="00816E2D">
        <w:trPr>
          <w:trHeight w:val="300"/>
          <w:jc w:val="center"/>
        </w:trPr>
        <w:tc>
          <w:tcPr>
            <w:tcW w:w="1815" w:type="pct"/>
            <w:tcBorders>
              <w:top w:val="nil"/>
              <w:left w:val="single" w:sz="4" w:space="0" w:color="auto"/>
              <w:bottom w:val="single" w:sz="4" w:space="0" w:color="auto"/>
              <w:right w:val="single" w:sz="4" w:space="0" w:color="auto"/>
            </w:tcBorders>
            <w:shd w:val="clear" w:color="auto" w:fill="auto"/>
            <w:noWrap/>
            <w:vAlign w:val="bottom"/>
            <w:hideMark/>
          </w:tcPr>
          <w:p w:rsidR="00CE5EB2" w:rsidRPr="00712BD2" w:rsidRDefault="00CE5EB2" w:rsidP="00CE5EB2">
            <w:pPr>
              <w:rPr>
                <w:color w:val="000000"/>
              </w:rPr>
            </w:pPr>
            <w:r w:rsidRPr="00712BD2">
              <w:rPr>
                <w:color w:val="000000"/>
              </w:rPr>
              <w:t>Grau Endividamento Global</w:t>
            </w:r>
          </w:p>
        </w:tc>
        <w:tc>
          <w:tcPr>
            <w:tcW w:w="601"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c>
          <w:tcPr>
            <w:tcW w:w="601"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c>
          <w:tcPr>
            <w:tcW w:w="753"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r w:rsidRPr="00712BD2">
              <w:rPr>
                <w:color w:val="000000"/>
              </w:rPr>
              <w:t>91378,79%</w:t>
            </w:r>
          </w:p>
        </w:tc>
        <w:tc>
          <w:tcPr>
            <w:tcW w:w="628"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r w:rsidRPr="00712BD2">
              <w:rPr>
                <w:color w:val="000000"/>
              </w:rPr>
              <w:t>496,49%</w:t>
            </w:r>
          </w:p>
        </w:tc>
        <w:tc>
          <w:tcPr>
            <w:tcW w:w="602"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r>
      <w:tr w:rsidR="00CE5EB2" w:rsidRPr="00712BD2" w:rsidTr="00816E2D">
        <w:trPr>
          <w:trHeight w:val="300"/>
          <w:jc w:val="center"/>
        </w:trPr>
        <w:tc>
          <w:tcPr>
            <w:tcW w:w="1815" w:type="pct"/>
            <w:tcBorders>
              <w:top w:val="nil"/>
              <w:left w:val="single" w:sz="4" w:space="0" w:color="auto"/>
              <w:bottom w:val="single" w:sz="4" w:space="0" w:color="auto"/>
              <w:right w:val="single" w:sz="4" w:space="0" w:color="auto"/>
            </w:tcBorders>
            <w:shd w:val="clear" w:color="auto" w:fill="auto"/>
            <w:noWrap/>
            <w:vAlign w:val="bottom"/>
            <w:hideMark/>
          </w:tcPr>
          <w:p w:rsidR="00CE5EB2" w:rsidRPr="00712BD2" w:rsidRDefault="00CE5EB2" w:rsidP="00CE5EB2">
            <w:pPr>
              <w:rPr>
                <w:color w:val="000000"/>
              </w:rPr>
            </w:pPr>
            <w:r w:rsidRPr="00712BD2">
              <w:rPr>
                <w:color w:val="000000"/>
              </w:rPr>
              <w:t>Participação Capital Terceiros</w:t>
            </w:r>
          </w:p>
        </w:tc>
        <w:tc>
          <w:tcPr>
            <w:tcW w:w="601"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c>
          <w:tcPr>
            <w:tcW w:w="601"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c>
          <w:tcPr>
            <w:tcW w:w="753"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r>
              <w:rPr>
                <w:color w:val="000000"/>
              </w:rPr>
              <w:t>PL Negativo</w:t>
            </w:r>
          </w:p>
        </w:tc>
        <w:tc>
          <w:tcPr>
            <w:tcW w:w="628"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r>
              <w:rPr>
                <w:color w:val="000000"/>
              </w:rPr>
              <w:t>PL Negativo</w:t>
            </w:r>
          </w:p>
        </w:tc>
        <w:tc>
          <w:tcPr>
            <w:tcW w:w="602"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r>
      <w:tr w:rsidR="00CE5EB2" w:rsidRPr="00712BD2" w:rsidTr="00816E2D">
        <w:trPr>
          <w:trHeight w:val="300"/>
          <w:jc w:val="center"/>
        </w:trPr>
        <w:tc>
          <w:tcPr>
            <w:tcW w:w="1815" w:type="pct"/>
            <w:tcBorders>
              <w:top w:val="nil"/>
              <w:left w:val="single" w:sz="4" w:space="0" w:color="auto"/>
              <w:bottom w:val="single" w:sz="4" w:space="0" w:color="auto"/>
              <w:right w:val="single" w:sz="4" w:space="0" w:color="auto"/>
            </w:tcBorders>
            <w:shd w:val="clear" w:color="auto" w:fill="auto"/>
            <w:noWrap/>
            <w:vAlign w:val="bottom"/>
            <w:hideMark/>
          </w:tcPr>
          <w:p w:rsidR="00CE5EB2" w:rsidRPr="00712BD2" w:rsidRDefault="00CE5EB2" w:rsidP="00CE5EB2">
            <w:pPr>
              <w:rPr>
                <w:color w:val="000000"/>
              </w:rPr>
            </w:pPr>
            <w:r w:rsidRPr="00712BD2">
              <w:rPr>
                <w:color w:val="000000"/>
              </w:rPr>
              <w:t>Composição Endividamento</w:t>
            </w:r>
          </w:p>
        </w:tc>
        <w:tc>
          <w:tcPr>
            <w:tcW w:w="601"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c>
          <w:tcPr>
            <w:tcW w:w="601"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c>
          <w:tcPr>
            <w:tcW w:w="753"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r w:rsidRPr="00712BD2">
              <w:rPr>
                <w:color w:val="000000"/>
              </w:rPr>
              <w:t>78,29%</w:t>
            </w:r>
          </w:p>
        </w:tc>
        <w:tc>
          <w:tcPr>
            <w:tcW w:w="628"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r w:rsidRPr="00712BD2">
              <w:rPr>
                <w:color w:val="000000"/>
              </w:rPr>
              <w:t>68,28%</w:t>
            </w:r>
          </w:p>
        </w:tc>
        <w:tc>
          <w:tcPr>
            <w:tcW w:w="602" w:type="pct"/>
            <w:tcBorders>
              <w:top w:val="nil"/>
              <w:left w:val="nil"/>
              <w:bottom w:val="single" w:sz="4" w:space="0" w:color="auto"/>
              <w:right w:val="single" w:sz="4" w:space="0" w:color="auto"/>
            </w:tcBorders>
            <w:shd w:val="clear" w:color="auto" w:fill="auto"/>
            <w:noWrap/>
            <w:vAlign w:val="bottom"/>
            <w:hideMark/>
          </w:tcPr>
          <w:p w:rsidR="00CE5EB2" w:rsidRPr="00712BD2" w:rsidRDefault="00CE5EB2" w:rsidP="00CE5EB2">
            <w:pPr>
              <w:jc w:val="center"/>
              <w:rPr>
                <w:color w:val="000000"/>
              </w:rPr>
            </w:pPr>
          </w:p>
        </w:tc>
      </w:tr>
    </w:tbl>
    <w:p w:rsidR="00CE5EB2" w:rsidRPr="00C37A04" w:rsidRDefault="00CE5EB2" w:rsidP="00CE5EB2">
      <w:pPr>
        <w:jc w:val="both"/>
      </w:pPr>
      <w:r w:rsidRPr="0057775A">
        <w:t xml:space="preserve">Fonte: </w:t>
      </w:r>
      <w:r>
        <w:t>Elaborado pelo autor a partir das demonstrações contábeis</w:t>
      </w:r>
      <w:r w:rsidRPr="0057775A">
        <w:t>.</w:t>
      </w:r>
    </w:p>
    <w:p w:rsidR="00CE5EB2" w:rsidRDefault="00CE5EB2" w:rsidP="00CE5EB2">
      <w:pPr>
        <w:spacing w:before="240"/>
        <w:ind w:firstLine="708"/>
        <w:jc w:val="both"/>
        <w:rPr>
          <w:sz w:val="24"/>
          <w:szCs w:val="24"/>
        </w:rPr>
      </w:pPr>
      <w:r w:rsidRPr="002B61D7">
        <w:rPr>
          <w:sz w:val="24"/>
          <w:szCs w:val="24"/>
        </w:rPr>
        <w:t>O Inter de Lages divulgou seus demonstrativos em apenas dois anos do estudo, o que prejudica uma melhor análise da sua situação. Nos anos em que foi possível apurar índices, constatou-se uma redução no grau de endividamento global do clube em 2015, mas com um indicador ainda bastante alto. Em 2015, o clube fechou o exercício com superávit e contraiu um empréstimo de pessoas ligadas, o que auxiliou a liquidar parte das obrigações deste ano, já que a liquidez ao fim de 2014 era próxima de zero.</w:t>
      </w:r>
    </w:p>
    <w:p w:rsidR="00CE5EB2" w:rsidRPr="003F2F15" w:rsidRDefault="00CE5EB2" w:rsidP="00CE5EB2">
      <w:pPr>
        <w:spacing w:before="240"/>
        <w:ind w:firstLine="708"/>
        <w:jc w:val="both"/>
        <w:rPr>
          <w:sz w:val="24"/>
          <w:szCs w:val="24"/>
        </w:rPr>
      </w:pPr>
      <w:r>
        <w:rPr>
          <w:sz w:val="24"/>
          <w:szCs w:val="24"/>
        </w:rPr>
        <w:t xml:space="preserve">Na sequência, a tabela 14 apresenta os índices calculados do Joinville. </w:t>
      </w:r>
    </w:p>
    <w:p w:rsidR="00CE5EB2" w:rsidRPr="00C37A04" w:rsidRDefault="00CE5EB2" w:rsidP="00CE5EB2">
      <w:pPr>
        <w:spacing w:before="240"/>
        <w:jc w:val="both"/>
      </w:pPr>
      <w:proofErr w:type="gramStart"/>
      <w:r>
        <w:t>Tabela 14</w:t>
      </w:r>
      <w:r w:rsidRPr="0057775A">
        <w:t xml:space="preserve"> </w:t>
      </w:r>
      <w:r>
        <w:t>– Índices do Joinville</w:t>
      </w:r>
      <w:proofErr w:type="gramEnd"/>
    </w:p>
    <w:tbl>
      <w:tblPr>
        <w:tblW w:w="5000" w:type="pct"/>
        <w:jc w:val="center"/>
        <w:tblCellMar>
          <w:left w:w="70" w:type="dxa"/>
          <w:right w:w="70" w:type="dxa"/>
        </w:tblCellMar>
        <w:tblLook w:val="04A0"/>
      </w:tblPr>
      <w:tblGrid>
        <w:gridCol w:w="3147"/>
        <w:gridCol w:w="1187"/>
        <w:gridCol w:w="1187"/>
        <w:gridCol w:w="1311"/>
        <w:gridCol w:w="1187"/>
        <w:gridCol w:w="1186"/>
      </w:tblGrid>
      <w:tr w:rsidR="00CE5EB2" w:rsidRPr="00BB2BA8" w:rsidTr="00816E2D">
        <w:trPr>
          <w:trHeight w:val="300"/>
          <w:jc w:val="center"/>
        </w:trPr>
        <w:tc>
          <w:tcPr>
            <w:tcW w:w="170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EB2" w:rsidRPr="00BB2BA8" w:rsidRDefault="00CE5EB2" w:rsidP="00CE5EB2">
            <w:pPr>
              <w:rPr>
                <w:b/>
                <w:bCs/>
                <w:color w:val="000000"/>
              </w:rPr>
            </w:pPr>
            <w:r w:rsidRPr="00BB2BA8">
              <w:rPr>
                <w:b/>
                <w:bCs/>
                <w:color w:val="000000"/>
              </w:rPr>
              <w:t>Índice</w:t>
            </w:r>
          </w:p>
        </w:tc>
        <w:tc>
          <w:tcPr>
            <w:tcW w:w="645" w:type="pct"/>
            <w:tcBorders>
              <w:top w:val="single" w:sz="4" w:space="0" w:color="auto"/>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b/>
                <w:bCs/>
                <w:color w:val="000000"/>
              </w:rPr>
            </w:pPr>
            <w:r w:rsidRPr="00BB2BA8">
              <w:rPr>
                <w:b/>
                <w:bCs/>
                <w:color w:val="000000"/>
              </w:rPr>
              <w:t>2012</w:t>
            </w:r>
          </w:p>
        </w:tc>
        <w:tc>
          <w:tcPr>
            <w:tcW w:w="645" w:type="pct"/>
            <w:tcBorders>
              <w:top w:val="single" w:sz="4" w:space="0" w:color="auto"/>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b/>
                <w:bCs/>
                <w:color w:val="000000"/>
              </w:rPr>
            </w:pPr>
            <w:r w:rsidRPr="00BB2BA8">
              <w:rPr>
                <w:b/>
                <w:bCs/>
                <w:color w:val="000000"/>
              </w:rPr>
              <w:t>2013</w:t>
            </w:r>
          </w:p>
        </w:tc>
        <w:tc>
          <w:tcPr>
            <w:tcW w:w="712" w:type="pct"/>
            <w:tcBorders>
              <w:top w:val="single" w:sz="4" w:space="0" w:color="auto"/>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b/>
                <w:bCs/>
                <w:color w:val="000000"/>
              </w:rPr>
            </w:pPr>
            <w:r w:rsidRPr="00BB2BA8">
              <w:rPr>
                <w:b/>
                <w:bCs/>
                <w:color w:val="000000"/>
              </w:rPr>
              <w:t>2014</w:t>
            </w:r>
          </w:p>
        </w:tc>
        <w:tc>
          <w:tcPr>
            <w:tcW w:w="645" w:type="pct"/>
            <w:tcBorders>
              <w:top w:val="single" w:sz="4" w:space="0" w:color="auto"/>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b/>
                <w:bCs/>
                <w:color w:val="000000"/>
              </w:rPr>
            </w:pPr>
            <w:r w:rsidRPr="00BB2BA8">
              <w:rPr>
                <w:b/>
                <w:bCs/>
                <w:color w:val="000000"/>
              </w:rPr>
              <w:t>2015</w:t>
            </w:r>
          </w:p>
        </w:tc>
        <w:tc>
          <w:tcPr>
            <w:tcW w:w="644" w:type="pct"/>
            <w:tcBorders>
              <w:top w:val="single" w:sz="4" w:space="0" w:color="auto"/>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b/>
                <w:bCs/>
                <w:color w:val="000000"/>
              </w:rPr>
            </w:pPr>
            <w:r w:rsidRPr="00BB2BA8">
              <w:rPr>
                <w:b/>
                <w:bCs/>
                <w:color w:val="000000"/>
              </w:rPr>
              <w:t>2016</w:t>
            </w:r>
          </w:p>
        </w:tc>
      </w:tr>
      <w:tr w:rsidR="00CE5EB2" w:rsidRPr="00BB2BA8" w:rsidTr="00816E2D">
        <w:trPr>
          <w:trHeight w:val="300"/>
          <w:jc w:val="center"/>
        </w:trPr>
        <w:tc>
          <w:tcPr>
            <w:tcW w:w="1709" w:type="pct"/>
            <w:tcBorders>
              <w:top w:val="nil"/>
              <w:left w:val="single" w:sz="4" w:space="0" w:color="auto"/>
              <w:bottom w:val="single" w:sz="4" w:space="0" w:color="auto"/>
              <w:right w:val="single" w:sz="4" w:space="0" w:color="auto"/>
            </w:tcBorders>
            <w:shd w:val="clear" w:color="auto" w:fill="auto"/>
            <w:noWrap/>
            <w:vAlign w:val="bottom"/>
            <w:hideMark/>
          </w:tcPr>
          <w:p w:rsidR="00CE5EB2" w:rsidRPr="00BB2BA8" w:rsidRDefault="00CE5EB2" w:rsidP="00CE5EB2">
            <w:pPr>
              <w:rPr>
                <w:color w:val="000000"/>
              </w:rPr>
            </w:pPr>
            <w:r w:rsidRPr="00BB2BA8">
              <w:rPr>
                <w:color w:val="000000"/>
              </w:rPr>
              <w:t>Rentabilidade do Ativo</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-47,76%</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-15,58%</w:t>
            </w:r>
          </w:p>
        </w:tc>
        <w:tc>
          <w:tcPr>
            <w:tcW w:w="712"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3,30%</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-3,38%</w:t>
            </w:r>
          </w:p>
        </w:tc>
        <w:tc>
          <w:tcPr>
            <w:tcW w:w="644"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-37,40%</w:t>
            </w:r>
          </w:p>
        </w:tc>
      </w:tr>
      <w:tr w:rsidR="00CE5EB2" w:rsidRPr="00BB2BA8" w:rsidTr="00816E2D">
        <w:trPr>
          <w:trHeight w:val="300"/>
          <w:jc w:val="center"/>
        </w:trPr>
        <w:tc>
          <w:tcPr>
            <w:tcW w:w="1709" w:type="pct"/>
            <w:tcBorders>
              <w:top w:val="nil"/>
              <w:left w:val="single" w:sz="4" w:space="0" w:color="auto"/>
              <w:bottom w:val="single" w:sz="4" w:space="0" w:color="auto"/>
              <w:right w:val="single" w:sz="4" w:space="0" w:color="auto"/>
            </w:tcBorders>
            <w:shd w:val="clear" w:color="auto" w:fill="auto"/>
            <w:noWrap/>
            <w:vAlign w:val="bottom"/>
            <w:hideMark/>
          </w:tcPr>
          <w:p w:rsidR="00CE5EB2" w:rsidRPr="00BB2BA8" w:rsidRDefault="00CE5EB2" w:rsidP="00CE5EB2">
            <w:pPr>
              <w:rPr>
                <w:color w:val="000000"/>
              </w:rPr>
            </w:pPr>
            <w:r w:rsidRPr="00BB2BA8">
              <w:rPr>
                <w:color w:val="000000"/>
              </w:rPr>
              <w:t>Rentabilidade do PL</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PL Negativo</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PL Negativo</w:t>
            </w:r>
          </w:p>
        </w:tc>
        <w:tc>
          <w:tcPr>
            <w:tcW w:w="712"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PL Negativo</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PL Negativo</w:t>
            </w:r>
          </w:p>
        </w:tc>
        <w:tc>
          <w:tcPr>
            <w:tcW w:w="644"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PL Negativo</w:t>
            </w:r>
          </w:p>
        </w:tc>
      </w:tr>
      <w:tr w:rsidR="00CE5EB2" w:rsidRPr="00BB2BA8" w:rsidTr="00816E2D">
        <w:trPr>
          <w:trHeight w:val="300"/>
          <w:jc w:val="center"/>
        </w:trPr>
        <w:tc>
          <w:tcPr>
            <w:tcW w:w="1709" w:type="pct"/>
            <w:tcBorders>
              <w:top w:val="nil"/>
              <w:left w:val="single" w:sz="4" w:space="0" w:color="auto"/>
              <w:bottom w:val="single" w:sz="4" w:space="0" w:color="auto"/>
              <w:right w:val="single" w:sz="4" w:space="0" w:color="auto"/>
            </w:tcBorders>
            <w:shd w:val="clear" w:color="auto" w:fill="auto"/>
            <w:noWrap/>
            <w:vAlign w:val="bottom"/>
            <w:hideMark/>
          </w:tcPr>
          <w:p w:rsidR="00CE5EB2" w:rsidRPr="00BB2BA8" w:rsidRDefault="00CE5EB2" w:rsidP="00CE5EB2">
            <w:pPr>
              <w:rPr>
                <w:color w:val="000000"/>
              </w:rPr>
            </w:pPr>
            <w:r w:rsidRPr="00BB2BA8">
              <w:rPr>
                <w:color w:val="000000"/>
              </w:rPr>
              <w:t>Liquidez Corrente</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0,16</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0,24</w:t>
            </w:r>
          </w:p>
        </w:tc>
        <w:tc>
          <w:tcPr>
            <w:tcW w:w="712"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0,30</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0,20</w:t>
            </w:r>
          </w:p>
        </w:tc>
        <w:tc>
          <w:tcPr>
            <w:tcW w:w="644"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0,16</w:t>
            </w:r>
          </w:p>
        </w:tc>
      </w:tr>
      <w:tr w:rsidR="00CE5EB2" w:rsidRPr="00BB2BA8" w:rsidTr="00816E2D">
        <w:trPr>
          <w:trHeight w:val="300"/>
          <w:jc w:val="center"/>
        </w:trPr>
        <w:tc>
          <w:tcPr>
            <w:tcW w:w="1709" w:type="pct"/>
            <w:tcBorders>
              <w:top w:val="nil"/>
              <w:left w:val="single" w:sz="4" w:space="0" w:color="auto"/>
              <w:bottom w:val="single" w:sz="4" w:space="0" w:color="auto"/>
              <w:right w:val="single" w:sz="4" w:space="0" w:color="auto"/>
            </w:tcBorders>
            <w:shd w:val="clear" w:color="auto" w:fill="auto"/>
            <w:noWrap/>
            <w:vAlign w:val="bottom"/>
            <w:hideMark/>
          </w:tcPr>
          <w:p w:rsidR="00CE5EB2" w:rsidRPr="00BB2BA8" w:rsidRDefault="00CE5EB2" w:rsidP="00CE5EB2">
            <w:pPr>
              <w:rPr>
                <w:color w:val="000000"/>
              </w:rPr>
            </w:pPr>
            <w:r w:rsidRPr="00BB2BA8">
              <w:rPr>
                <w:color w:val="000000"/>
              </w:rPr>
              <w:t>Liquidez Geral</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0,08</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0,15</w:t>
            </w:r>
          </w:p>
        </w:tc>
        <w:tc>
          <w:tcPr>
            <w:tcW w:w="712"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0,23</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0,13</w:t>
            </w:r>
          </w:p>
        </w:tc>
        <w:tc>
          <w:tcPr>
            <w:tcW w:w="644"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0,09</w:t>
            </w:r>
          </w:p>
        </w:tc>
      </w:tr>
      <w:tr w:rsidR="00CE5EB2" w:rsidRPr="00BB2BA8" w:rsidTr="00816E2D">
        <w:trPr>
          <w:trHeight w:val="300"/>
          <w:jc w:val="center"/>
        </w:trPr>
        <w:tc>
          <w:tcPr>
            <w:tcW w:w="1709" w:type="pct"/>
            <w:tcBorders>
              <w:top w:val="nil"/>
              <w:left w:val="single" w:sz="4" w:space="0" w:color="auto"/>
              <w:bottom w:val="single" w:sz="4" w:space="0" w:color="auto"/>
              <w:right w:val="single" w:sz="4" w:space="0" w:color="auto"/>
            </w:tcBorders>
            <w:shd w:val="clear" w:color="auto" w:fill="auto"/>
            <w:noWrap/>
            <w:vAlign w:val="bottom"/>
            <w:hideMark/>
          </w:tcPr>
          <w:p w:rsidR="00CE5EB2" w:rsidRPr="00BB2BA8" w:rsidRDefault="00CE5EB2" w:rsidP="00CE5EB2">
            <w:pPr>
              <w:rPr>
                <w:color w:val="000000"/>
              </w:rPr>
            </w:pPr>
            <w:r w:rsidRPr="00BB2BA8">
              <w:rPr>
                <w:color w:val="000000"/>
              </w:rPr>
              <w:t>Grau Endividamento Global</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261,30%</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232,34%</w:t>
            </w:r>
          </w:p>
        </w:tc>
        <w:tc>
          <w:tcPr>
            <w:tcW w:w="712"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187,01%</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213,69%</w:t>
            </w:r>
          </w:p>
        </w:tc>
        <w:tc>
          <w:tcPr>
            <w:tcW w:w="644"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166,27%</w:t>
            </w:r>
          </w:p>
        </w:tc>
      </w:tr>
      <w:tr w:rsidR="00CE5EB2" w:rsidRPr="00BB2BA8" w:rsidTr="00816E2D">
        <w:trPr>
          <w:trHeight w:val="300"/>
          <w:jc w:val="center"/>
        </w:trPr>
        <w:tc>
          <w:tcPr>
            <w:tcW w:w="1709" w:type="pct"/>
            <w:tcBorders>
              <w:top w:val="nil"/>
              <w:left w:val="single" w:sz="4" w:space="0" w:color="auto"/>
              <w:bottom w:val="single" w:sz="4" w:space="0" w:color="auto"/>
              <w:right w:val="single" w:sz="4" w:space="0" w:color="auto"/>
            </w:tcBorders>
            <w:shd w:val="clear" w:color="auto" w:fill="auto"/>
            <w:noWrap/>
            <w:vAlign w:val="bottom"/>
            <w:hideMark/>
          </w:tcPr>
          <w:p w:rsidR="00CE5EB2" w:rsidRPr="00BB2BA8" w:rsidRDefault="00CE5EB2" w:rsidP="00CE5EB2">
            <w:pPr>
              <w:rPr>
                <w:color w:val="000000"/>
              </w:rPr>
            </w:pPr>
            <w:r w:rsidRPr="00BB2BA8">
              <w:rPr>
                <w:color w:val="000000"/>
              </w:rPr>
              <w:t>Participação Capital Terceiros</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PL Negativo</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PL Negativo</w:t>
            </w:r>
          </w:p>
        </w:tc>
        <w:tc>
          <w:tcPr>
            <w:tcW w:w="712"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PL Negativo</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PL Negativo</w:t>
            </w:r>
          </w:p>
        </w:tc>
        <w:tc>
          <w:tcPr>
            <w:tcW w:w="644"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PL Negativo</w:t>
            </w:r>
          </w:p>
        </w:tc>
      </w:tr>
      <w:tr w:rsidR="00CE5EB2" w:rsidRPr="00BB2BA8" w:rsidTr="00816E2D">
        <w:trPr>
          <w:trHeight w:val="300"/>
          <w:jc w:val="center"/>
        </w:trPr>
        <w:tc>
          <w:tcPr>
            <w:tcW w:w="1709" w:type="pct"/>
            <w:tcBorders>
              <w:top w:val="nil"/>
              <w:left w:val="single" w:sz="4" w:space="0" w:color="auto"/>
              <w:bottom w:val="single" w:sz="4" w:space="0" w:color="auto"/>
              <w:right w:val="single" w:sz="4" w:space="0" w:color="auto"/>
            </w:tcBorders>
            <w:shd w:val="clear" w:color="auto" w:fill="auto"/>
            <w:noWrap/>
            <w:vAlign w:val="bottom"/>
            <w:hideMark/>
          </w:tcPr>
          <w:p w:rsidR="00CE5EB2" w:rsidRPr="00BB2BA8" w:rsidRDefault="00CE5EB2" w:rsidP="00CE5EB2">
            <w:pPr>
              <w:rPr>
                <w:color w:val="000000"/>
              </w:rPr>
            </w:pPr>
            <w:r w:rsidRPr="00BB2BA8">
              <w:rPr>
                <w:color w:val="000000"/>
              </w:rPr>
              <w:t>Composição Endividamento</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50,13%</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63,70%</w:t>
            </w:r>
          </w:p>
        </w:tc>
        <w:tc>
          <w:tcPr>
            <w:tcW w:w="712"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74,63%</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67,37%</w:t>
            </w:r>
          </w:p>
        </w:tc>
        <w:tc>
          <w:tcPr>
            <w:tcW w:w="644" w:type="pct"/>
            <w:tcBorders>
              <w:top w:val="nil"/>
              <w:left w:val="nil"/>
              <w:bottom w:val="single" w:sz="4" w:space="0" w:color="auto"/>
              <w:right w:val="single" w:sz="4" w:space="0" w:color="auto"/>
            </w:tcBorders>
            <w:shd w:val="clear" w:color="auto" w:fill="auto"/>
            <w:noWrap/>
            <w:vAlign w:val="bottom"/>
            <w:hideMark/>
          </w:tcPr>
          <w:p w:rsidR="00CE5EB2" w:rsidRPr="00BB2BA8" w:rsidRDefault="00CE5EB2" w:rsidP="00CE5EB2">
            <w:pPr>
              <w:jc w:val="center"/>
              <w:rPr>
                <w:color w:val="000000"/>
              </w:rPr>
            </w:pPr>
            <w:r w:rsidRPr="00BB2BA8">
              <w:rPr>
                <w:color w:val="000000"/>
              </w:rPr>
              <w:t>58,61%</w:t>
            </w:r>
          </w:p>
        </w:tc>
      </w:tr>
    </w:tbl>
    <w:p w:rsidR="00CE5EB2" w:rsidRPr="00C37A04" w:rsidRDefault="00CE5EB2" w:rsidP="00CE5EB2">
      <w:pPr>
        <w:jc w:val="both"/>
      </w:pPr>
      <w:r w:rsidRPr="0057775A">
        <w:t xml:space="preserve">Fonte: </w:t>
      </w:r>
      <w:r>
        <w:t>Elaborado pelo autor a partir das demonstrações contábeis</w:t>
      </w:r>
      <w:r w:rsidRPr="0057775A">
        <w:t>.</w:t>
      </w:r>
    </w:p>
    <w:p w:rsidR="00CE5EB2" w:rsidRDefault="00CE5EB2" w:rsidP="00CE5EB2">
      <w:pPr>
        <w:spacing w:before="240"/>
        <w:ind w:firstLine="708"/>
        <w:jc w:val="both"/>
        <w:rPr>
          <w:sz w:val="24"/>
          <w:szCs w:val="24"/>
        </w:rPr>
      </w:pPr>
      <w:r w:rsidRPr="002E411D">
        <w:rPr>
          <w:sz w:val="24"/>
          <w:szCs w:val="24"/>
        </w:rPr>
        <w:t xml:space="preserve">O Joinville foi outro clube a apresentar um Passivo </w:t>
      </w:r>
      <w:proofErr w:type="gramStart"/>
      <w:r w:rsidRPr="002E411D">
        <w:rPr>
          <w:sz w:val="24"/>
          <w:szCs w:val="24"/>
        </w:rPr>
        <w:t>a descoberto</w:t>
      </w:r>
      <w:proofErr w:type="gramEnd"/>
      <w:r w:rsidRPr="002E411D">
        <w:rPr>
          <w:sz w:val="24"/>
          <w:szCs w:val="24"/>
        </w:rPr>
        <w:t xml:space="preserve"> em todos os anos da análise. O grau de endividamento do clube foi maior que 200% em três anos analisados, sofrendo uma redução maior em 2016. Esta redução, porém, não foi causada por uma redução do Passivo Exigível, que continuou crescendo, mas por um aumento de mais de 100% do valor total do Ativo, causado substancialmente pelo ajuste de avaliação patrimonial no Imobilizado do clube. Com isso, os índices de liquidez do clube seguem apresentando queda, indicando uma dificuldade do clube em ter uma boa capacidade de pagamento das suas obrigações. Em relação a sua rentabilidade, o Joinville apresentou superávit apenas em 2014. Verifica-se nas demonstrações de resultado do clube um forte impacto das despesas financeiras para o déficit nos demais anos. Com liquidez baixa, o clube acaba precisando contrair empréstimos para o pagamento das suas dívidas e com isso sofre com os juros inerentes a este tipo de operação.</w:t>
      </w:r>
    </w:p>
    <w:p w:rsidR="00CE5EB2" w:rsidRPr="003F2F15" w:rsidRDefault="00CE5EB2" w:rsidP="00CE5EB2">
      <w:pPr>
        <w:spacing w:before="240"/>
        <w:ind w:firstLine="708"/>
        <w:jc w:val="both"/>
        <w:rPr>
          <w:sz w:val="24"/>
          <w:szCs w:val="24"/>
        </w:rPr>
      </w:pPr>
      <w:r>
        <w:rPr>
          <w:sz w:val="24"/>
          <w:szCs w:val="24"/>
        </w:rPr>
        <w:t>Por fim, a tabela 15 apresenta todos os índices apurados do Metropolitano.</w:t>
      </w:r>
    </w:p>
    <w:p w:rsidR="00CE5EB2" w:rsidRPr="00C37A04" w:rsidRDefault="00CE5EB2" w:rsidP="00CE5EB2">
      <w:pPr>
        <w:spacing w:before="240"/>
        <w:jc w:val="both"/>
      </w:pPr>
      <w:proofErr w:type="gramStart"/>
      <w:r>
        <w:t>Tabela 15</w:t>
      </w:r>
      <w:r w:rsidRPr="0057775A">
        <w:t xml:space="preserve"> </w:t>
      </w:r>
      <w:r>
        <w:t>– Índices do Metropolitano</w:t>
      </w:r>
      <w:proofErr w:type="gramEnd"/>
    </w:p>
    <w:tbl>
      <w:tblPr>
        <w:tblW w:w="5000" w:type="pct"/>
        <w:jc w:val="center"/>
        <w:tblCellMar>
          <w:left w:w="70" w:type="dxa"/>
          <w:right w:w="70" w:type="dxa"/>
        </w:tblCellMar>
        <w:tblLook w:val="04A0"/>
      </w:tblPr>
      <w:tblGrid>
        <w:gridCol w:w="3147"/>
        <w:gridCol w:w="1187"/>
        <w:gridCol w:w="1187"/>
        <w:gridCol w:w="1311"/>
        <w:gridCol w:w="1187"/>
        <w:gridCol w:w="1186"/>
      </w:tblGrid>
      <w:tr w:rsidR="00CE5EB2" w:rsidRPr="007B6846" w:rsidTr="00816E2D">
        <w:trPr>
          <w:trHeight w:val="300"/>
          <w:jc w:val="center"/>
        </w:trPr>
        <w:tc>
          <w:tcPr>
            <w:tcW w:w="170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EB2" w:rsidRPr="007B6846" w:rsidRDefault="00CE5EB2" w:rsidP="00CE5EB2">
            <w:pPr>
              <w:rPr>
                <w:b/>
                <w:bCs/>
                <w:color w:val="000000"/>
              </w:rPr>
            </w:pPr>
            <w:r w:rsidRPr="007B6846">
              <w:rPr>
                <w:b/>
                <w:bCs/>
                <w:color w:val="000000"/>
              </w:rPr>
              <w:t>Índice</w:t>
            </w:r>
          </w:p>
        </w:tc>
        <w:tc>
          <w:tcPr>
            <w:tcW w:w="645" w:type="pct"/>
            <w:tcBorders>
              <w:top w:val="single" w:sz="4" w:space="0" w:color="auto"/>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b/>
                <w:bCs/>
                <w:color w:val="000000"/>
              </w:rPr>
            </w:pPr>
            <w:r w:rsidRPr="007B6846">
              <w:rPr>
                <w:b/>
                <w:bCs/>
                <w:color w:val="000000"/>
              </w:rPr>
              <w:t>2012</w:t>
            </w:r>
          </w:p>
        </w:tc>
        <w:tc>
          <w:tcPr>
            <w:tcW w:w="645" w:type="pct"/>
            <w:tcBorders>
              <w:top w:val="single" w:sz="4" w:space="0" w:color="auto"/>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b/>
                <w:bCs/>
                <w:color w:val="000000"/>
              </w:rPr>
            </w:pPr>
            <w:r w:rsidRPr="007B6846">
              <w:rPr>
                <w:b/>
                <w:bCs/>
                <w:color w:val="000000"/>
              </w:rPr>
              <w:t>2013</w:t>
            </w:r>
          </w:p>
        </w:tc>
        <w:tc>
          <w:tcPr>
            <w:tcW w:w="712" w:type="pct"/>
            <w:tcBorders>
              <w:top w:val="single" w:sz="4" w:space="0" w:color="auto"/>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b/>
                <w:bCs/>
                <w:color w:val="000000"/>
              </w:rPr>
            </w:pPr>
            <w:r w:rsidRPr="007B6846">
              <w:rPr>
                <w:b/>
                <w:bCs/>
                <w:color w:val="000000"/>
              </w:rPr>
              <w:t>2014</w:t>
            </w:r>
          </w:p>
        </w:tc>
        <w:tc>
          <w:tcPr>
            <w:tcW w:w="645" w:type="pct"/>
            <w:tcBorders>
              <w:top w:val="single" w:sz="4" w:space="0" w:color="auto"/>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b/>
                <w:bCs/>
                <w:color w:val="000000"/>
              </w:rPr>
            </w:pPr>
            <w:r w:rsidRPr="007B6846">
              <w:rPr>
                <w:b/>
                <w:bCs/>
                <w:color w:val="000000"/>
              </w:rPr>
              <w:t>2015</w:t>
            </w:r>
          </w:p>
        </w:tc>
        <w:tc>
          <w:tcPr>
            <w:tcW w:w="644" w:type="pct"/>
            <w:tcBorders>
              <w:top w:val="single" w:sz="4" w:space="0" w:color="auto"/>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b/>
                <w:bCs/>
                <w:color w:val="000000"/>
              </w:rPr>
            </w:pPr>
            <w:r w:rsidRPr="007B6846">
              <w:rPr>
                <w:b/>
                <w:bCs/>
                <w:color w:val="000000"/>
              </w:rPr>
              <w:t>2016</w:t>
            </w:r>
          </w:p>
        </w:tc>
      </w:tr>
      <w:tr w:rsidR="00CE5EB2" w:rsidRPr="007B6846" w:rsidTr="00816E2D">
        <w:trPr>
          <w:trHeight w:val="300"/>
          <w:jc w:val="center"/>
        </w:trPr>
        <w:tc>
          <w:tcPr>
            <w:tcW w:w="1709" w:type="pct"/>
            <w:tcBorders>
              <w:top w:val="nil"/>
              <w:left w:val="single" w:sz="4" w:space="0" w:color="auto"/>
              <w:bottom w:val="single" w:sz="4" w:space="0" w:color="auto"/>
              <w:right w:val="single" w:sz="4" w:space="0" w:color="auto"/>
            </w:tcBorders>
            <w:shd w:val="clear" w:color="auto" w:fill="auto"/>
            <w:noWrap/>
            <w:vAlign w:val="bottom"/>
            <w:hideMark/>
          </w:tcPr>
          <w:p w:rsidR="00CE5EB2" w:rsidRPr="007B6846" w:rsidRDefault="00CE5EB2" w:rsidP="00CE5EB2">
            <w:pPr>
              <w:rPr>
                <w:color w:val="000000"/>
              </w:rPr>
            </w:pPr>
            <w:r w:rsidRPr="007B6846">
              <w:rPr>
                <w:color w:val="000000"/>
              </w:rPr>
              <w:t>Rentabilidade do Ativo</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39,44%</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-43,36%</w:t>
            </w:r>
          </w:p>
        </w:tc>
        <w:tc>
          <w:tcPr>
            <w:tcW w:w="712"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-46,49%</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-41,40%</w:t>
            </w:r>
          </w:p>
        </w:tc>
        <w:tc>
          <w:tcPr>
            <w:tcW w:w="644"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7,90%</w:t>
            </w:r>
          </w:p>
        </w:tc>
      </w:tr>
      <w:tr w:rsidR="00CE5EB2" w:rsidRPr="007B6846" w:rsidTr="00816E2D">
        <w:trPr>
          <w:trHeight w:val="300"/>
          <w:jc w:val="center"/>
        </w:trPr>
        <w:tc>
          <w:tcPr>
            <w:tcW w:w="1709" w:type="pct"/>
            <w:tcBorders>
              <w:top w:val="nil"/>
              <w:left w:val="single" w:sz="4" w:space="0" w:color="auto"/>
              <w:bottom w:val="single" w:sz="4" w:space="0" w:color="auto"/>
              <w:right w:val="single" w:sz="4" w:space="0" w:color="auto"/>
            </w:tcBorders>
            <w:shd w:val="clear" w:color="auto" w:fill="auto"/>
            <w:noWrap/>
            <w:vAlign w:val="bottom"/>
            <w:hideMark/>
          </w:tcPr>
          <w:p w:rsidR="00CE5EB2" w:rsidRPr="007B6846" w:rsidRDefault="00CE5EB2" w:rsidP="00CE5EB2">
            <w:pPr>
              <w:rPr>
                <w:color w:val="000000"/>
              </w:rPr>
            </w:pPr>
            <w:r w:rsidRPr="007B6846">
              <w:rPr>
                <w:color w:val="000000"/>
              </w:rPr>
              <w:lastRenderedPageBreak/>
              <w:t>Rentabilidade do PL</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PL Negativo</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PL Negativo</w:t>
            </w:r>
          </w:p>
        </w:tc>
        <w:tc>
          <w:tcPr>
            <w:tcW w:w="712"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PL Negativo</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PL Negativo</w:t>
            </w:r>
          </w:p>
        </w:tc>
        <w:tc>
          <w:tcPr>
            <w:tcW w:w="644"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PL Negativo</w:t>
            </w:r>
          </w:p>
        </w:tc>
      </w:tr>
      <w:tr w:rsidR="00CE5EB2" w:rsidRPr="007B6846" w:rsidTr="00816E2D">
        <w:trPr>
          <w:trHeight w:val="300"/>
          <w:jc w:val="center"/>
        </w:trPr>
        <w:tc>
          <w:tcPr>
            <w:tcW w:w="1709" w:type="pct"/>
            <w:tcBorders>
              <w:top w:val="nil"/>
              <w:left w:val="single" w:sz="4" w:space="0" w:color="auto"/>
              <w:bottom w:val="single" w:sz="4" w:space="0" w:color="auto"/>
              <w:right w:val="single" w:sz="4" w:space="0" w:color="auto"/>
            </w:tcBorders>
            <w:shd w:val="clear" w:color="auto" w:fill="auto"/>
            <w:noWrap/>
            <w:vAlign w:val="bottom"/>
            <w:hideMark/>
          </w:tcPr>
          <w:p w:rsidR="00CE5EB2" w:rsidRPr="007B6846" w:rsidRDefault="00CE5EB2" w:rsidP="00CE5EB2">
            <w:pPr>
              <w:rPr>
                <w:color w:val="000000"/>
              </w:rPr>
            </w:pPr>
            <w:r w:rsidRPr="007B6846">
              <w:rPr>
                <w:color w:val="000000"/>
              </w:rPr>
              <w:t>Liquidez Corrente</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0,15</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0,11</w:t>
            </w:r>
          </w:p>
        </w:tc>
        <w:tc>
          <w:tcPr>
            <w:tcW w:w="712"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0,67</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0,74</w:t>
            </w:r>
          </w:p>
        </w:tc>
        <w:tc>
          <w:tcPr>
            <w:tcW w:w="644"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0,50</w:t>
            </w:r>
          </w:p>
        </w:tc>
      </w:tr>
      <w:tr w:rsidR="00CE5EB2" w:rsidRPr="007B6846" w:rsidTr="00816E2D">
        <w:trPr>
          <w:trHeight w:val="300"/>
          <w:jc w:val="center"/>
        </w:trPr>
        <w:tc>
          <w:tcPr>
            <w:tcW w:w="1709" w:type="pct"/>
            <w:tcBorders>
              <w:top w:val="nil"/>
              <w:left w:val="single" w:sz="4" w:space="0" w:color="auto"/>
              <w:bottom w:val="single" w:sz="4" w:space="0" w:color="auto"/>
              <w:right w:val="single" w:sz="4" w:space="0" w:color="auto"/>
            </w:tcBorders>
            <w:shd w:val="clear" w:color="auto" w:fill="auto"/>
            <w:noWrap/>
            <w:vAlign w:val="bottom"/>
            <w:hideMark/>
          </w:tcPr>
          <w:p w:rsidR="00CE5EB2" w:rsidRPr="007B6846" w:rsidRDefault="00CE5EB2" w:rsidP="00CE5EB2">
            <w:pPr>
              <w:rPr>
                <w:color w:val="000000"/>
              </w:rPr>
            </w:pPr>
            <w:r w:rsidRPr="007B6846">
              <w:rPr>
                <w:color w:val="000000"/>
              </w:rPr>
              <w:t>Liquidez Geral</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0,16</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0,09</w:t>
            </w:r>
          </w:p>
        </w:tc>
        <w:tc>
          <w:tcPr>
            <w:tcW w:w="712"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0,05</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0,08</w:t>
            </w:r>
          </w:p>
        </w:tc>
        <w:tc>
          <w:tcPr>
            <w:tcW w:w="644"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0,04</w:t>
            </w:r>
          </w:p>
        </w:tc>
      </w:tr>
      <w:tr w:rsidR="00CE5EB2" w:rsidRPr="007B6846" w:rsidTr="00816E2D">
        <w:trPr>
          <w:trHeight w:val="300"/>
          <w:jc w:val="center"/>
        </w:trPr>
        <w:tc>
          <w:tcPr>
            <w:tcW w:w="1709" w:type="pct"/>
            <w:tcBorders>
              <w:top w:val="nil"/>
              <w:left w:val="single" w:sz="4" w:space="0" w:color="auto"/>
              <w:bottom w:val="single" w:sz="4" w:space="0" w:color="auto"/>
              <w:right w:val="single" w:sz="4" w:space="0" w:color="auto"/>
            </w:tcBorders>
            <w:shd w:val="clear" w:color="auto" w:fill="auto"/>
            <w:noWrap/>
            <w:vAlign w:val="bottom"/>
            <w:hideMark/>
          </w:tcPr>
          <w:p w:rsidR="00CE5EB2" w:rsidRPr="007B6846" w:rsidRDefault="00CE5EB2" w:rsidP="00CE5EB2">
            <w:pPr>
              <w:rPr>
                <w:color w:val="000000"/>
              </w:rPr>
            </w:pPr>
            <w:r w:rsidRPr="007B6846">
              <w:rPr>
                <w:color w:val="000000"/>
              </w:rPr>
              <w:t>Grau Endividamento Global</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382,35%</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381,10%</w:t>
            </w:r>
          </w:p>
        </w:tc>
        <w:tc>
          <w:tcPr>
            <w:tcW w:w="712"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345,29%</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411,13%</w:t>
            </w:r>
          </w:p>
        </w:tc>
        <w:tc>
          <w:tcPr>
            <w:tcW w:w="644"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473,44%</w:t>
            </w:r>
          </w:p>
        </w:tc>
      </w:tr>
      <w:tr w:rsidR="00CE5EB2" w:rsidRPr="007B6846" w:rsidTr="00816E2D">
        <w:trPr>
          <w:trHeight w:val="300"/>
          <w:jc w:val="center"/>
        </w:trPr>
        <w:tc>
          <w:tcPr>
            <w:tcW w:w="1709" w:type="pct"/>
            <w:tcBorders>
              <w:top w:val="nil"/>
              <w:left w:val="single" w:sz="4" w:space="0" w:color="auto"/>
              <w:bottom w:val="single" w:sz="4" w:space="0" w:color="auto"/>
              <w:right w:val="single" w:sz="4" w:space="0" w:color="auto"/>
            </w:tcBorders>
            <w:shd w:val="clear" w:color="auto" w:fill="auto"/>
            <w:noWrap/>
            <w:vAlign w:val="bottom"/>
            <w:hideMark/>
          </w:tcPr>
          <w:p w:rsidR="00CE5EB2" w:rsidRPr="007B6846" w:rsidRDefault="00CE5EB2" w:rsidP="00CE5EB2">
            <w:pPr>
              <w:rPr>
                <w:color w:val="000000"/>
              </w:rPr>
            </w:pPr>
            <w:r w:rsidRPr="007B6846">
              <w:rPr>
                <w:color w:val="000000"/>
              </w:rPr>
              <w:t>Participação Capital Terceiros</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PL Negativo</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PL Negativo</w:t>
            </w:r>
          </w:p>
        </w:tc>
        <w:tc>
          <w:tcPr>
            <w:tcW w:w="712"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PL Negativo</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PL Negativo</w:t>
            </w:r>
          </w:p>
        </w:tc>
        <w:tc>
          <w:tcPr>
            <w:tcW w:w="644"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PL Negativo</w:t>
            </w:r>
          </w:p>
        </w:tc>
      </w:tr>
      <w:tr w:rsidR="00CE5EB2" w:rsidRPr="007B6846" w:rsidTr="00816E2D">
        <w:trPr>
          <w:trHeight w:val="300"/>
          <w:jc w:val="center"/>
        </w:trPr>
        <w:tc>
          <w:tcPr>
            <w:tcW w:w="1709" w:type="pct"/>
            <w:tcBorders>
              <w:top w:val="nil"/>
              <w:left w:val="single" w:sz="4" w:space="0" w:color="auto"/>
              <w:bottom w:val="single" w:sz="4" w:space="0" w:color="auto"/>
              <w:right w:val="single" w:sz="4" w:space="0" w:color="auto"/>
            </w:tcBorders>
            <w:shd w:val="clear" w:color="auto" w:fill="auto"/>
            <w:noWrap/>
            <w:vAlign w:val="bottom"/>
            <w:hideMark/>
          </w:tcPr>
          <w:p w:rsidR="00CE5EB2" w:rsidRPr="007B6846" w:rsidRDefault="00CE5EB2" w:rsidP="00CE5EB2">
            <w:pPr>
              <w:rPr>
                <w:color w:val="000000"/>
              </w:rPr>
            </w:pPr>
            <w:r w:rsidRPr="007B6846">
              <w:rPr>
                <w:color w:val="000000"/>
              </w:rPr>
              <w:t>Composição Endividamento</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96,46%</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80,44%</w:t>
            </w:r>
          </w:p>
        </w:tc>
        <w:tc>
          <w:tcPr>
            <w:tcW w:w="712"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7,09%</w:t>
            </w:r>
          </w:p>
        </w:tc>
        <w:tc>
          <w:tcPr>
            <w:tcW w:w="645"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11,25%</w:t>
            </w:r>
          </w:p>
        </w:tc>
        <w:tc>
          <w:tcPr>
            <w:tcW w:w="644" w:type="pct"/>
            <w:tcBorders>
              <w:top w:val="nil"/>
              <w:left w:val="nil"/>
              <w:bottom w:val="single" w:sz="4" w:space="0" w:color="auto"/>
              <w:right w:val="single" w:sz="4" w:space="0" w:color="auto"/>
            </w:tcBorders>
            <w:shd w:val="clear" w:color="auto" w:fill="auto"/>
            <w:noWrap/>
            <w:vAlign w:val="bottom"/>
            <w:hideMark/>
          </w:tcPr>
          <w:p w:rsidR="00CE5EB2" w:rsidRPr="007B6846" w:rsidRDefault="00CE5EB2" w:rsidP="00CE5EB2">
            <w:pPr>
              <w:jc w:val="center"/>
              <w:rPr>
                <w:color w:val="000000"/>
              </w:rPr>
            </w:pPr>
            <w:r w:rsidRPr="007B6846">
              <w:rPr>
                <w:color w:val="000000"/>
              </w:rPr>
              <w:t>8,31%</w:t>
            </w:r>
          </w:p>
        </w:tc>
      </w:tr>
    </w:tbl>
    <w:p w:rsidR="00CE5EB2" w:rsidRPr="00C37A04" w:rsidRDefault="00CE5EB2" w:rsidP="00CE5EB2">
      <w:pPr>
        <w:jc w:val="both"/>
      </w:pPr>
      <w:r w:rsidRPr="0057775A">
        <w:t xml:space="preserve">Fonte: </w:t>
      </w:r>
      <w:r>
        <w:t>Elaborado pelo autor a partir das demonstrações contábeis</w:t>
      </w:r>
      <w:r w:rsidRPr="0057775A">
        <w:t>.</w:t>
      </w:r>
    </w:p>
    <w:p w:rsidR="00CE5EB2" w:rsidRPr="003F2F15" w:rsidRDefault="00CE5EB2" w:rsidP="00CE5EB2">
      <w:pPr>
        <w:spacing w:before="240"/>
        <w:ind w:firstLine="708"/>
        <w:jc w:val="both"/>
        <w:rPr>
          <w:sz w:val="24"/>
          <w:szCs w:val="24"/>
        </w:rPr>
      </w:pPr>
      <w:r w:rsidRPr="002E411D">
        <w:rPr>
          <w:sz w:val="24"/>
          <w:szCs w:val="24"/>
        </w:rPr>
        <w:t xml:space="preserve">Os índices do Metropolitano indicam uma total dependência do capital de terceiros para a manutenção das atividades do clube. Analisando os demonstrativos e as notas explicativas da entidade, observa-se a existência de um alto valor de Empréstimos e Financiamentos no Passivo </w:t>
      </w:r>
      <w:r>
        <w:rPr>
          <w:sz w:val="24"/>
          <w:szCs w:val="24"/>
        </w:rPr>
        <w:t>N</w:t>
      </w:r>
      <w:r w:rsidRPr="002E411D">
        <w:rPr>
          <w:sz w:val="24"/>
          <w:szCs w:val="24"/>
        </w:rPr>
        <w:t>ão Circulante. Segundo o clube, tal financiamento refere-se a contratos mútuos firmados entre a entidade com pessoas ligadas ao clube, não havendo neste contrato o acarretamento de juros. Com esta alta participação do capital de terceiros e um alto déficit acumulado, o grau de endividamento do clube superou os 400% nos dois últimos anos. Como a maior parte do Passivo Exigível está no longo prazo, o clube apresenta uma liquidez corrente acima da média dos clubes da análise, porém o seu índice de liquidez geral acaba sendo um dos menores. Em relação a sua rentabilidade, após três anos seguidos de déficit, em 2016 o clube voltou a ter um exercício superavitário, muito por conta da redução das despesas com pessoal, conforme já destacado no item 4.1 deste artigo.</w:t>
      </w:r>
    </w:p>
    <w:p w:rsidR="00CE5EB2" w:rsidRPr="002E411D" w:rsidRDefault="00CE5EB2" w:rsidP="00CE5EB2">
      <w:pPr>
        <w:spacing w:before="240"/>
        <w:jc w:val="both"/>
        <w:rPr>
          <w:b/>
          <w:sz w:val="24"/>
          <w:szCs w:val="24"/>
        </w:rPr>
      </w:pPr>
      <w:proofErr w:type="gramStart"/>
      <w:r w:rsidRPr="002E411D">
        <w:rPr>
          <w:b/>
          <w:sz w:val="24"/>
          <w:szCs w:val="24"/>
        </w:rPr>
        <w:t>5</w:t>
      </w:r>
      <w:proofErr w:type="gramEnd"/>
      <w:r w:rsidRPr="002E411D">
        <w:rPr>
          <w:b/>
          <w:sz w:val="24"/>
          <w:szCs w:val="24"/>
        </w:rPr>
        <w:t xml:space="preserve"> CONSIDERAÇÕES FINAIS</w:t>
      </w:r>
    </w:p>
    <w:p w:rsidR="00CE5EB2" w:rsidRPr="002E411D" w:rsidRDefault="00CE5EB2" w:rsidP="00CE5EB2">
      <w:pPr>
        <w:spacing w:before="240"/>
        <w:ind w:firstLine="708"/>
        <w:jc w:val="both"/>
        <w:rPr>
          <w:sz w:val="24"/>
          <w:szCs w:val="24"/>
        </w:rPr>
      </w:pPr>
      <w:r w:rsidRPr="002E411D">
        <w:rPr>
          <w:sz w:val="24"/>
          <w:szCs w:val="24"/>
        </w:rPr>
        <w:t>O resultado da análise apontou que a maioria dos clubes principais clubes catarinenses costuma encerrar seus exercícios sociais com déficits, possuem risco alto de inadimplência das suas dívidas e tem seu Passivo Exigível superando o total do seu Ativo, ficando assim com um Passivo a descoberto.</w:t>
      </w:r>
    </w:p>
    <w:p w:rsidR="00CE5EB2" w:rsidRPr="002E411D" w:rsidRDefault="00CE5EB2" w:rsidP="00CE5EB2">
      <w:pPr>
        <w:spacing w:before="240"/>
        <w:ind w:firstLine="708"/>
        <w:jc w:val="both"/>
        <w:rPr>
          <w:sz w:val="24"/>
          <w:szCs w:val="24"/>
        </w:rPr>
      </w:pPr>
      <w:r w:rsidRPr="002E411D">
        <w:rPr>
          <w:sz w:val="24"/>
          <w:szCs w:val="24"/>
        </w:rPr>
        <w:t xml:space="preserve">Ao analisar a rentabilidade do Ativo dos clubes, verificou-se que em 18 dos 34 índices apurados ocorreu déficit no resultado do exercício. A análise da rentabilidade do Patrimônio Líquido foi prejudicada pela ocorrência de Passivo </w:t>
      </w:r>
      <w:proofErr w:type="gramStart"/>
      <w:r w:rsidRPr="002E411D">
        <w:rPr>
          <w:sz w:val="24"/>
          <w:szCs w:val="24"/>
        </w:rPr>
        <w:t>a descoberto</w:t>
      </w:r>
      <w:proofErr w:type="gramEnd"/>
      <w:r w:rsidRPr="002E411D">
        <w:rPr>
          <w:sz w:val="24"/>
          <w:szCs w:val="24"/>
        </w:rPr>
        <w:t xml:space="preserve"> em sete dos oito clubes analisados.</w:t>
      </w:r>
    </w:p>
    <w:p w:rsidR="00CE5EB2" w:rsidRPr="002E411D" w:rsidRDefault="00CE5EB2" w:rsidP="00CE5EB2">
      <w:pPr>
        <w:spacing w:before="240"/>
        <w:ind w:firstLine="708"/>
        <w:jc w:val="both"/>
        <w:rPr>
          <w:sz w:val="24"/>
          <w:szCs w:val="24"/>
        </w:rPr>
      </w:pPr>
      <w:r w:rsidRPr="002E411D">
        <w:rPr>
          <w:sz w:val="24"/>
          <w:szCs w:val="24"/>
        </w:rPr>
        <w:t>Em relação aos índices de liquidez, tanto na liquidez corrente, quanto na liquidez geral, Criciúma e Chapecoense obtiveram os menores riscos de inadimplência, enquanto Avaí, Figueirense, Inter de Lages e Joinville apresentaram os maiores riscos. O Metropolitano apresentou risco baixo na liquidez corrente na maior parte dos anos analisados, mas na liquidez geral seu índice costumou ser um dos mais baixos da pesquisa.</w:t>
      </w:r>
    </w:p>
    <w:p w:rsidR="00CE5EB2" w:rsidRPr="002E411D" w:rsidRDefault="00CE5EB2" w:rsidP="00CE5EB2">
      <w:pPr>
        <w:spacing w:before="240"/>
        <w:ind w:firstLine="709"/>
        <w:jc w:val="both"/>
        <w:rPr>
          <w:sz w:val="24"/>
          <w:szCs w:val="24"/>
        </w:rPr>
      </w:pPr>
      <w:r w:rsidRPr="002E411D">
        <w:rPr>
          <w:sz w:val="24"/>
          <w:szCs w:val="24"/>
        </w:rPr>
        <w:t>Na análise da estrutura de capital dos clubes, o Criciúma se destacou positivamente ao ter suas dívidas representando sempre menos da metade do seu Ativo total. Além dele, apenas a Chapecoense apresentou um Passivo Exigível menor que o Ativo total no último ano da pesquisa (2016). Todos os demais clubes apresentaram, em 2016, um Patrimônio Líquido negativo, o que significa uma forte dependência de capital de terceiros para a manutenção destas equipes. O Metropolitano teve o grau de endividamento global mais alto na maioria dos anos analisados.</w:t>
      </w:r>
    </w:p>
    <w:p w:rsidR="00CE5EB2" w:rsidRPr="002E411D" w:rsidRDefault="00CE5EB2" w:rsidP="00CE5EB2">
      <w:pPr>
        <w:spacing w:before="240"/>
        <w:ind w:firstLine="709"/>
        <w:jc w:val="both"/>
        <w:rPr>
          <w:sz w:val="24"/>
          <w:szCs w:val="24"/>
        </w:rPr>
      </w:pPr>
      <w:r w:rsidRPr="002E411D">
        <w:rPr>
          <w:sz w:val="24"/>
          <w:szCs w:val="24"/>
        </w:rPr>
        <w:t xml:space="preserve">A análise conjunta dos índices buscou avaliar a situação econômico-financeira de cada clube, através da evidenciação de todos os índices </w:t>
      </w:r>
      <w:proofErr w:type="gramStart"/>
      <w:r w:rsidRPr="002E411D">
        <w:rPr>
          <w:sz w:val="24"/>
          <w:szCs w:val="24"/>
        </w:rPr>
        <w:t>num únic</w:t>
      </w:r>
      <w:r>
        <w:rPr>
          <w:sz w:val="24"/>
          <w:szCs w:val="24"/>
        </w:rPr>
        <w:t>a</w:t>
      </w:r>
      <w:proofErr w:type="gramEnd"/>
      <w:r>
        <w:rPr>
          <w:sz w:val="24"/>
          <w:szCs w:val="24"/>
        </w:rPr>
        <w:t xml:space="preserve"> tabela</w:t>
      </w:r>
      <w:r w:rsidRPr="002E411D">
        <w:rPr>
          <w:sz w:val="24"/>
          <w:szCs w:val="24"/>
        </w:rPr>
        <w:t xml:space="preserve"> por entidade. </w:t>
      </w:r>
      <w:proofErr w:type="gramStart"/>
      <w:r w:rsidRPr="002E411D">
        <w:rPr>
          <w:sz w:val="24"/>
          <w:szCs w:val="24"/>
        </w:rPr>
        <w:t>Destacou-se</w:t>
      </w:r>
      <w:proofErr w:type="gramEnd"/>
      <w:r w:rsidRPr="002E411D">
        <w:rPr>
          <w:sz w:val="24"/>
          <w:szCs w:val="24"/>
        </w:rPr>
        <w:t xml:space="preserve"> mais uma vez a baixa rentabilidade e a alta necessidade de capital de terceiros para financiar </w:t>
      </w:r>
      <w:r w:rsidRPr="002E411D">
        <w:rPr>
          <w:sz w:val="24"/>
          <w:szCs w:val="24"/>
        </w:rPr>
        <w:lastRenderedPageBreak/>
        <w:t>os ativos da maioria dos clubes, o que acaba afetando na liquidez destas equipes. Através de informações obtidas nos demonstrativos e nas notas explicativas dos clubes, foi possível aprofundar o entendimento em relação aos indicadores apurados.</w:t>
      </w:r>
    </w:p>
    <w:p w:rsidR="00CE5EB2" w:rsidRPr="002E411D" w:rsidRDefault="00CE5EB2" w:rsidP="00CE5EB2">
      <w:pPr>
        <w:spacing w:before="240"/>
        <w:ind w:firstLine="709"/>
        <w:jc w:val="both"/>
        <w:rPr>
          <w:sz w:val="24"/>
          <w:szCs w:val="24"/>
        </w:rPr>
      </w:pPr>
      <w:r w:rsidRPr="002E411D">
        <w:rPr>
          <w:sz w:val="24"/>
          <w:szCs w:val="24"/>
        </w:rPr>
        <w:t xml:space="preserve">Os resultados encontrados nesta pesquisa se diferenciam quanto à estrutura de capital verificada no estudo de Santos e Silva (2015), que analisaram as finanças dos principais clubes a nível nacional e verificaram Patrimônio Líquido negativo em apenas quatro dos nove clubes pesquisados nos seis anos analisados. Em relação aos índices de liquidez, a maioria dos clubes desta pesquisa também apresentou dificuldades em relação à </w:t>
      </w:r>
      <w:r>
        <w:rPr>
          <w:sz w:val="24"/>
          <w:szCs w:val="24"/>
        </w:rPr>
        <w:t xml:space="preserve">rentabilidade e </w:t>
      </w:r>
      <w:r w:rsidRPr="002E411D">
        <w:rPr>
          <w:sz w:val="24"/>
          <w:szCs w:val="24"/>
        </w:rPr>
        <w:t xml:space="preserve">capacidade de pagamento das </w:t>
      </w:r>
      <w:r>
        <w:rPr>
          <w:sz w:val="24"/>
          <w:szCs w:val="24"/>
        </w:rPr>
        <w:t xml:space="preserve">obrigações, indo de encontro aos achados de </w:t>
      </w:r>
      <w:r w:rsidRPr="002D1BE6">
        <w:rPr>
          <w:sz w:val="24"/>
          <w:szCs w:val="24"/>
        </w:rPr>
        <w:t xml:space="preserve">Pacheco </w:t>
      </w:r>
      <w:proofErr w:type="spellStart"/>
      <w:proofErr w:type="gramStart"/>
      <w:r w:rsidRPr="002D1BE6">
        <w:rPr>
          <w:sz w:val="24"/>
          <w:szCs w:val="24"/>
        </w:rPr>
        <w:t>et</w:t>
      </w:r>
      <w:proofErr w:type="spellEnd"/>
      <w:proofErr w:type="gramEnd"/>
      <w:r w:rsidRPr="002D1BE6">
        <w:rPr>
          <w:sz w:val="24"/>
          <w:szCs w:val="24"/>
        </w:rPr>
        <w:t xml:space="preserve"> al. (2016), Barros e Martins (2010) e </w:t>
      </w:r>
      <w:r>
        <w:rPr>
          <w:sz w:val="24"/>
          <w:szCs w:val="24"/>
        </w:rPr>
        <w:t xml:space="preserve">Avelar </w:t>
      </w:r>
      <w:proofErr w:type="spellStart"/>
      <w:r>
        <w:rPr>
          <w:sz w:val="24"/>
          <w:szCs w:val="24"/>
        </w:rPr>
        <w:t>et</w:t>
      </w:r>
      <w:proofErr w:type="spellEnd"/>
      <w:r>
        <w:rPr>
          <w:sz w:val="24"/>
          <w:szCs w:val="24"/>
        </w:rPr>
        <w:t xml:space="preserve"> al. (2014)</w:t>
      </w:r>
      <w:r w:rsidRPr="002E411D">
        <w:rPr>
          <w:sz w:val="24"/>
          <w:szCs w:val="24"/>
        </w:rPr>
        <w:t>.</w:t>
      </w:r>
    </w:p>
    <w:p w:rsidR="00CE5EB2" w:rsidRPr="002E411D" w:rsidRDefault="00CE5EB2" w:rsidP="00CE5EB2">
      <w:pPr>
        <w:spacing w:before="240"/>
        <w:ind w:firstLine="708"/>
        <w:jc w:val="both"/>
        <w:rPr>
          <w:sz w:val="24"/>
          <w:szCs w:val="24"/>
        </w:rPr>
      </w:pPr>
      <w:r w:rsidRPr="002E411D">
        <w:rPr>
          <w:sz w:val="24"/>
          <w:szCs w:val="24"/>
        </w:rPr>
        <w:t xml:space="preserve">As limitações deste estudo foram </w:t>
      </w:r>
      <w:proofErr w:type="gramStart"/>
      <w:r w:rsidRPr="002E411D">
        <w:rPr>
          <w:sz w:val="24"/>
          <w:szCs w:val="24"/>
        </w:rPr>
        <w:t>a</w:t>
      </w:r>
      <w:proofErr w:type="gramEnd"/>
      <w:r w:rsidRPr="002E411D">
        <w:rPr>
          <w:sz w:val="24"/>
          <w:szCs w:val="24"/>
        </w:rPr>
        <w:t xml:space="preserve"> ausência da divulgação das demonstrações contábeis de Brusque (em 2012), Chapecoense (em 2012 e 2013) e Inter de Lages (em 2012, 2013 e 2016), e também a ausência de Notas Explicativas nas contas de Brusque e Inter de Lages. Além disso, </w:t>
      </w:r>
      <w:proofErr w:type="gramStart"/>
      <w:r w:rsidRPr="002E411D">
        <w:rPr>
          <w:sz w:val="24"/>
          <w:szCs w:val="24"/>
        </w:rPr>
        <w:t>a falta de parecer de auditoria externa nas contas de Brusque, Inter de Lages e Metropolitano comprometeu</w:t>
      </w:r>
      <w:proofErr w:type="gramEnd"/>
      <w:r w:rsidRPr="002E411D">
        <w:rPr>
          <w:sz w:val="24"/>
          <w:szCs w:val="24"/>
        </w:rPr>
        <w:t xml:space="preserve"> a confiabilidade dos dados contábeis destes clubes.</w:t>
      </w:r>
    </w:p>
    <w:p w:rsidR="00CE5EB2" w:rsidRPr="003F2F15" w:rsidRDefault="00CE5EB2" w:rsidP="00CE5EB2">
      <w:pPr>
        <w:spacing w:before="240"/>
        <w:ind w:firstLine="708"/>
        <w:jc w:val="both"/>
        <w:rPr>
          <w:sz w:val="24"/>
          <w:szCs w:val="24"/>
        </w:rPr>
      </w:pPr>
      <w:r w:rsidRPr="002E411D">
        <w:rPr>
          <w:sz w:val="24"/>
          <w:szCs w:val="24"/>
        </w:rPr>
        <w:t>Sugere-se para estudos futuros um aprofundamento na análise das dívidas dos clubes, pesquisas sobre a situação econômico-financeira das equipes dos outros estados brasileiros, além de comparativos entre o desempenho esportivo em relação à gestão econômico-financeira.</w:t>
      </w:r>
    </w:p>
    <w:p w:rsidR="00CE5EB2" w:rsidRPr="003F2F15" w:rsidRDefault="00CE5EB2" w:rsidP="00CE5EB2">
      <w:pPr>
        <w:spacing w:before="240"/>
        <w:jc w:val="both"/>
        <w:rPr>
          <w:b/>
          <w:sz w:val="24"/>
          <w:szCs w:val="24"/>
        </w:rPr>
      </w:pPr>
      <w:r w:rsidRPr="003F2F15">
        <w:rPr>
          <w:b/>
          <w:sz w:val="24"/>
          <w:szCs w:val="24"/>
        </w:rPr>
        <w:t>REFERÊNCIAS</w:t>
      </w:r>
    </w:p>
    <w:p w:rsidR="00CE5EB2" w:rsidRDefault="00CE5EB2" w:rsidP="00CE5EB2">
      <w:pPr>
        <w:spacing w:before="240"/>
        <w:jc w:val="both"/>
        <w:rPr>
          <w:sz w:val="24"/>
          <w:szCs w:val="24"/>
        </w:rPr>
      </w:pPr>
      <w:r>
        <w:rPr>
          <w:sz w:val="24"/>
          <w:szCs w:val="24"/>
        </w:rPr>
        <w:t>Assaf Neto</w:t>
      </w:r>
      <w:r w:rsidRPr="00596930">
        <w:rPr>
          <w:sz w:val="24"/>
          <w:szCs w:val="24"/>
        </w:rPr>
        <w:t>, A</w:t>
      </w:r>
      <w:r>
        <w:rPr>
          <w:sz w:val="24"/>
          <w:szCs w:val="24"/>
        </w:rPr>
        <w:t>. (2010)</w:t>
      </w:r>
      <w:r w:rsidRPr="00596930">
        <w:rPr>
          <w:sz w:val="24"/>
          <w:szCs w:val="24"/>
        </w:rPr>
        <w:t xml:space="preserve">. </w:t>
      </w:r>
      <w:r w:rsidRPr="00E62316">
        <w:rPr>
          <w:i/>
          <w:sz w:val="24"/>
          <w:szCs w:val="24"/>
        </w:rPr>
        <w:t>Estrutura e análise de balanços: um enfoque econômico-financeiro</w:t>
      </w:r>
      <w:r>
        <w:rPr>
          <w:sz w:val="24"/>
          <w:szCs w:val="24"/>
        </w:rPr>
        <w:t xml:space="preserve"> (9a</w:t>
      </w:r>
      <w:r w:rsidRPr="00596930">
        <w:rPr>
          <w:sz w:val="24"/>
          <w:szCs w:val="24"/>
        </w:rPr>
        <w:t xml:space="preserve"> ed.</w:t>
      </w:r>
      <w:r>
        <w:rPr>
          <w:sz w:val="24"/>
          <w:szCs w:val="24"/>
        </w:rPr>
        <w:t>).</w:t>
      </w:r>
      <w:r w:rsidRPr="00596930">
        <w:rPr>
          <w:sz w:val="24"/>
          <w:szCs w:val="24"/>
        </w:rPr>
        <w:t xml:space="preserve"> São Paulo: Atlas.</w:t>
      </w:r>
    </w:p>
    <w:p w:rsidR="00CE5EB2" w:rsidRPr="00E62316" w:rsidRDefault="00CE5EB2" w:rsidP="00CE5EB2">
      <w:pPr>
        <w:spacing w:before="240"/>
        <w:jc w:val="both"/>
        <w:rPr>
          <w:sz w:val="24"/>
          <w:szCs w:val="24"/>
        </w:rPr>
      </w:pPr>
      <w:r w:rsidRPr="00E62316">
        <w:rPr>
          <w:sz w:val="24"/>
          <w:szCs w:val="24"/>
        </w:rPr>
        <w:t xml:space="preserve">Avelar, E. A., Santos, T. </w:t>
      </w:r>
      <w:proofErr w:type="gramStart"/>
      <w:r w:rsidRPr="00E62316">
        <w:rPr>
          <w:sz w:val="24"/>
          <w:szCs w:val="24"/>
        </w:rPr>
        <w:t>D.</w:t>
      </w:r>
      <w:proofErr w:type="gramEnd"/>
      <w:r w:rsidRPr="00E62316">
        <w:rPr>
          <w:sz w:val="24"/>
          <w:szCs w:val="24"/>
        </w:rPr>
        <w:t xml:space="preserve">, &amp; Ribeiro, L. M. D. P. (2014, novembro). Análise do desempenho econômico-financeiro de clubes brasileiros de futebol. </w:t>
      </w:r>
      <w:r w:rsidRPr="00E62316">
        <w:rPr>
          <w:i/>
          <w:sz w:val="24"/>
          <w:szCs w:val="24"/>
        </w:rPr>
        <w:t>Anais do Simpósio de Engenharia de Produção</w:t>
      </w:r>
      <w:r w:rsidRPr="00E62316">
        <w:rPr>
          <w:sz w:val="24"/>
          <w:szCs w:val="24"/>
        </w:rPr>
        <w:t xml:space="preserve">, Bauru, SP, Brasil, 21. Recuperado </w:t>
      </w:r>
      <w:r w:rsidRPr="00CE5EB2">
        <w:rPr>
          <w:sz w:val="24"/>
          <w:szCs w:val="24"/>
        </w:rPr>
        <w:t xml:space="preserve">em </w:t>
      </w:r>
      <w:proofErr w:type="gramStart"/>
      <w:r w:rsidRPr="00CE5EB2">
        <w:rPr>
          <w:sz w:val="24"/>
          <w:szCs w:val="24"/>
        </w:rPr>
        <w:t>05 outubro</w:t>
      </w:r>
      <w:proofErr w:type="gramEnd"/>
      <w:r w:rsidRPr="00CE5EB2">
        <w:rPr>
          <w:sz w:val="24"/>
          <w:szCs w:val="24"/>
        </w:rPr>
        <w:t>, 2016, de</w:t>
      </w:r>
      <w:r w:rsidRPr="00E62316">
        <w:rPr>
          <w:sz w:val="24"/>
          <w:szCs w:val="24"/>
        </w:rPr>
        <w:t xml:space="preserve"> http://www.files.scire.net.br/atrio/cefet-mg-ppga_upl//PRODUCTION/218/lvia__xxi_simpep_art_1139.pdf.</w:t>
      </w:r>
    </w:p>
    <w:p w:rsidR="00CE5EB2" w:rsidRPr="00E62316" w:rsidRDefault="00CE5EB2" w:rsidP="00CE5EB2">
      <w:pPr>
        <w:spacing w:before="240"/>
        <w:jc w:val="both"/>
        <w:rPr>
          <w:sz w:val="24"/>
          <w:szCs w:val="24"/>
        </w:rPr>
      </w:pPr>
      <w:r w:rsidRPr="00E62316">
        <w:rPr>
          <w:sz w:val="24"/>
          <w:szCs w:val="24"/>
        </w:rPr>
        <w:t>Barros, J. T., &amp; Martins, V. A. (</w:t>
      </w:r>
      <w:proofErr w:type="gramStart"/>
      <w:r w:rsidRPr="00E62316">
        <w:rPr>
          <w:sz w:val="24"/>
          <w:szCs w:val="24"/>
        </w:rPr>
        <w:t>2010, setembro</w:t>
      </w:r>
      <w:proofErr w:type="gramEnd"/>
      <w:r w:rsidRPr="00E62316">
        <w:rPr>
          <w:sz w:val="24"/>
          <w:szCs w:val="24"/>
        </w:rPr>
        <w:t xml:space="preserve">). Em busca do entrosamento entre equilíbrio financeiro e eficiência desportiva: estudo comparativo de clubes brasileiros de futebol. </w:t>
      </w:r>
      <w:r w:rsidRPr="00E62316">
        <w:rPr>
          <w:i/>
          <w:sz w:val="24"/>
          <w:szCs w:val="24"/>
        </w:rPr>
        <w:t>Anais do Encontro da ANPAD</w:t>
      </w:r>
      <w:r w:rsidRPr="00E62316">
        <w:rPr>
          <w:sz w:val="24"/>
          <w:szCs w:val="24"/>
        </w:rPr>
        <w:t>, Rio de Janeiro, RJ</w:t>
      </w:r>
      <w:r>
        <w:rPr>
          <w:sz w:val="24"/>
          <w:szCs w:val="24"/>
        </w:rPr>
        <w:t>,</w:t>
      </w:r>
      <w:r w:rsidRPr="00E62316">
        <w:rPr>
          <w:sz w:val="24"/>
          <w:szCs w:val="24"/>
        </w:rPr>
        <w:t xml:space="preserve"> Brasil, </w:t>
      </w:r>
      <w:r>
        <w:rPr>
          <w:sz w:val="24"/>
          <w:szCs w:val="24"/>
        </w:rPr>
        <w:t xml:space="preserve">34. </w:t>
      </w:r>
      <w:r w:rsidRPr="00E62316">
        <w:rPr>
          <w:sz w:val="24"/>
          <w:szCs w:val="24"/>
        </w:rPr>
        <w:t xml:space="preserve">Recuperado </w:t>
      </w:r>
      <w:r w:rsidRPr="00CE5EB2">
        <w:rPr>
          <w:sz w:val="24"/>
          <w:szCs w:val="24"/>
        </w:rPr>
        <w:t xml:space="preserve">em </w:t>
      </w:r>
      <w:proofErr w:type="gramStart"/>
      <w:r w:rsidRPr="00CE5EB2">
        <w:rPr>
          <w:sz w:val="24"/>
          <w:szCs w:val="24"/>
        </w:rPr>
        <w:t>05 outubro</w:t>
      </w:r>
      <w:proofErr w:type="gramEnd"/>
      <w:r w:rsidRPr="00CE5EB2">
        <w:rPr>
          <w:sz w:val="24"/>
          <w:szCs w:val="24"/>
        </w:rPr>
        <w:t>, 2016, de</w:t>
      </w:r>
      <w:r w:rsidRPr="00E62316">
        <w:rPr>
          <w:sz w:val="24"/>
          <w:szCs w:val="24"/>
        </w:rPr>
        <w:t xml:space="preserve"> http://www.anpad.org.br/admin/pdf/con822.pdf.</w:t>
      </w:r>
    </w:p>
    <w:p w:rsidR="00CE5EB2" w:rsidRPr="00596930" w:rsidRDefault="00CE5EB2" w:rsidP="00CE5EB2">
      <w:pPr>
        <w:spacing w:before="240"/>
        <w:jc w:val="both"/>
        <w:rPr>
          <w:sz w:val="24"/>
          <w:szCs w:val="24"/>
        </w:rPr>
      </w:pPr>
      <w:r w:rsidRPr="00E62316">
        <w:rPr>
          <w:sz w:val="24"/>
          <w:szCs w:val="24"/>
        </w:rPr>
        <w:t xml:space="preserve">Dantas, M. G. S., &amp; </w:t>
      </w:r>
      <w:proofErr w:type="spellStart"/>
      <w:r w:rsidRPr="00E62316">
        <w:rPr>
          <w:sz w:val="24"/>
          <w:szCs w:val="24"/>
        </w:rPr>
        <w:t>Boente</w:t>
      </w:r>
      <w:proofErr w:type="spellEnd"/>
      <w:r w:rsidRPr="00E62316">
        <w:rPr>
          <w:sz w:val="24"/>
          <w:szCs w:val="24"/>
        </w:rPr>
        <w:t xml:space="preserve">, D. R. (2011). A eficiência financeira e esportiva dos maiores clubes de futebol europeus utilizando a análise envoltória de dados. </w:t>
      </w:r>
      <w:r w:rsidRPr="00E62316">
        <w:rPr>
          <w:i/>
          <w:sz w:val="24"/>
          <w:szCs w:val="24"/>
        </w:rPr>
        <w:t>Revista de Contabilidade e Organizações, 5</w:t>
      </w:r>
      <w:r w:rsidRPr="00E62316">
        <w:rPr>
          <w:sz w:val="24"/>
          <w:szCs w:val="24"/>
        </w:rPr>
        <w:t>(13), 75-90.</w:t>
      </w:r>
    </w:p>
    <w:p w:rsidR="00CE5EB2" w:rsidRPr="00596930" w:rsidRDefault="00CE5EB2" w:rsidP="00CE5EB2">
      <w:pPr>
        <w:spacing w:before="240"/>
        <w:jc w:val="both"/>
        <w:rPr>
          <w:sz w:val="24"/>
          <w:szCs w:val="24"/>
        </w:rPr>
      </w:pPr>
      <w:proofErr w:type="spellStart"/>
      <w:r>
        <w:rPr>
          <w:sz w:val="24"/>
          <w:szCs w:val="24"/>
        </w:rPr>
        <w:t>Foer</w:t>
      </w:r>
      <w:proofErr w:type="spellEnd"/>
      <w:r>
        <w:rPr>
          <w:sz w:val="24"/>
          <w:szCs w:val="24"/>
        </w:rPr>
        <w:t>, F. (2005)</w:t>
      </w:r>
      <w:r w:rsidRPr="00596930">
        <w:rPr>
          <w:sz w:val="24"/>
          <w:szCs w:val="24"/>
        </w:rPr>
        <w:t xml:space="preserve">. </w:t>
      </w:r>
      <w:r w:rsidRPr="00E62316">
        <w:rPr>
          <w:i/>
          <w:sz w:val="24"/>
          <w:szCs w:val="24"/>
        </w:rPr>
        <w:t>Como o futebol explica o mundo.</w:t>
      </w:r>
      <w:r>
        <w:rPr>
          <w:sz w:val="24"/>
          <w:szCs w:val="24"/>
        </w:rPr>
        <w:t xml:space="preserve"> Rio de Janeiro:</w:t>
      </w:r>
      <w:r w:rsidRPr="00596930">
        <w:rPr>
          <w:sz w:val="24"/>
          <w:szCs w:val="24"/>
        </w:rPr>
        <w:t xml:space="preserve"> </w:t>
      </w:r>
      <w:proofErr w:type="spellStart"/>
      <w:r>
        <w:rPr>
          <w:sz w:val="24"/>
          <w:szCs w:val="24"/>
        </w:rPr>
        <w:t>Zahar</w:t>
      </w:r>
      <w:proofErr w:type="spellEnd"/>
      <w:r w:rsidRPr="00596930">
        <w:rPr>
          <w:sz w:val="24"/>
          <w:szCs w:val="24"/>
        </w:rPr>
        <w:t>.</w:t>
      </w:r>
    </w:p>
    <w:p w:rsidR="00CE5EB2" w:rsidRPr="00E62316" w:rsidRDefault="00CE5EB2" w:rsidP="00CE5EB2">
      <w:pPr>
        <w:spacing w:before="240"/>
        <w:jc w:val="both"/>
        <w:rPr>
          <w:sz w:val="24"/>
          <w:szCs w:val="24"/>
        </w:rPr>
      </w:pPr>
      <w:r w:rsidRPr="00E62316">
        <w:rPr>
          <w:sz w:val="24"/>
          <w:szCs w:val="24"/>
        </w:rPr>
        <w:t>Fonseca, J. J. S</w:t>
      </w:r>
      <w:r>
        <w:rPr>
          <w:sz w:val="24"/>
          <w:szCs w:val="24"/>
        </w:rPr>
        <w:t>. (2002)</w:t>
      </w:r>
      <w:r w:rsidRPr="00E62316">
        <w:rPr>
          <w:sz w:val="24"/>
          <w:szCs w:val="24"/>
        </w:rPr>
        <w:t xml:space="preserve">. </w:t>
      </w:r>
      <w:r w:rsidRPr="00E62316">
        <w:rPr>
          <w:i/>
          <w:sz w:val="24"/>
          <w:szCs w:val="24"/>
        </w:rPr>
        <w:t>Metodologia da pesquisa científica</w:t>
      </w:r>
      <w:r w:rsidRPr="00E62316">
        <w:rPr>
          <w:sz w:val="24"/>
          <w:szCs w:val="24"/>
        </w:rPr>
        <w:t xml:space="preserve"> [Apostila]. Fortaleza: UEC.</w:t>
      </w:r>
    </w:p>
    <w:p w:rsidR="00CE5EB2" w:rsidRPr="00596930" w:rsidRDefault="00CE5EB2" w:rsidP="00CE5EB2">
      <w:pPr>
        <w:spacing w:before="240"/>
        <w:jc w:val="both"/>
        <w:rPr>
          <w:sz w:val="24"/>
          <w:szCs w:val="24"/>
        </w:rPr>
      </w:pPr>
      <w:proofErr w:type="spellStart"/>
      <w:r w:rsidRPr="00E62316">
        <w:rPr>
          <w:sz w:val="24"/>
          <w:szCs w:val="24"/>
        </w:rPr>
        <w:t>Gerhardt</w:t>
      </w:r>
      <w:proofErr w:type="spellEnd"/>
      <w:r w:rsidRPr="00E62316">
        <w:rPr>
          <w:sz w:val="24"/>
          <w:szCs w:val="24"/>
        </w:rPr>
        <w:t xml:space="preserve">, T. E, &amp; Silveira, D. T. (2009). </w:t>
      </w:r>
      <w:r w:rsidRPr="00E62316">
        <w:rPr>
          <w:i/>
          <w:sz w:val="24"/>
          <w:szCs w:val="24"/>
        </w:rPr>
        <w:t>Métodos de pesquisa</w:t>
      </w:r>
      <w:r w:rsidRPr="00E62316">
        <w:rPr>
          <w:sz w:val="24"/>
          <w:szCs w:val="24"/>
        </w:rPr>
        <w:t>. Porto Alegre: Editora da UFRGS.</w:t>
      </w:r>
    </w:p>
    <w:p w:rsidR="00CE5EB2" w:rsidRPr="00596930" w:rsidRDefault="00CE5EB2" w:rsidP="00CE5EB2">
      <w:pPr>
        <w:spacing w:before="240"/>
        <w:jc w:val="both"/>
        <w:rPr>
          <w:sz w:val="24"/>
          <w:szCs w:val="24"/>
        </w:rPr>
      </w:pPr>
      <w:proofErr w:type="spellStart"/>
      <w:r>
        <w:rPr>
          <w:sz w:val="24"/>
          <w:szCs w:val="24"/>
        </w:rPr>
        <w:t>Iudícibus</w:t>
      </w:r>
      <w:proofErr w:type="spellEnd"/>
      <w:r w:rsidRPr="00596930">
        <w:rPr>
          <w:sz w:val="24"/>
          <w:szCs w:val="24"/>
        </w:rPr>
        <w:t xml:space="preserve">, </w:t>
      </w:r>
      <w:r>
        <w:rPr>
          <w:sz w:val="24"/>
          <w:szCs w:val="24"/>
        </w:rPr>
        <w:t xml:space="preserve">S. </w:t>
      </w:r>
      <w:proofErr w:type="gramStart"/>
      <w:r>
        <w:rPr>
          <w:sz w:val="24"/>
          <w:szCs w:val="24"/>
        </w:rPr>
        <w:t>D.</w:t>
      </w:r>
      <w:proofErr w:type="gramEnd"/>
      <w:r>
        <w:rPr>
          <w:sz w:val="24"/>
          <w:szCs w:val="24"/>
        </w:rPr>
        <w:t xml:space="preserve"> (2010)</w:t>
      </w:r>
      <w:r w:rsidRPr="00596930">
        <w:rPr>
          <w:sz w:val="24"/>
          <w:szCs w:val="24"/>
        </w:rPr>
        <w:t xml:space="preserve">. </w:t>
      </w:r>
      <w:r w:rsidRPr="00E62316">
        <w:rPr>
          <w:i/>
          <w:sz w:val="24"/>
          <w:szCs w:val="24"/>
        </w:rPr>
        <w:t>Análise de balanços.</w:t>
      </w:r>
      <w:r w:rsidRPr="00596930">
        <w:rPr>
          <w:sz w:val="24"/>
          <w:szCs w:val="24"/>
        </w:rPr>
        <w:t xml:space="preserve"> São Paulo: Atlas.</w:t>
      </w:r>
    </w:p>
    <w:p w:rsidR="00CE5EB2" w:rsidRPr="00596930" w:rsidRDefault="00CE5EB2" w:rsidP="00CE5EB2">
      <w:pPr>
        <w:spacing w:before="240"/>
        <w:jc w:val="both"/>
        <w:rPr>
          <w:sz w:val="24"/>
          <w:szCs w:val="24"/>
        </w:rPr>
      </w:pPr>
      <w:r w:rsidRPr="00596930">
        <w:rPr>
          <w:sz w:val="24"/>
          <w:szCs w:val="24"/>
        </w:rPr>
        <w:lastRenderedPageBreak/>
        <w:t>M</w:t>
      </w:r>
      <w:r>
        <w:rPr>
          <w:sz w:val="24"/>
          <w:szCs w:val="24"/>
        </w:rPr>
        <w:t>arion</w:t>
      </w:r>
      <w:r w:rsidRPr="00596930">
        <w:rPr>
          <w:sz w:val="24"/>
          <w:szCs w:val="24"/>
        </w:rPr>
        <w:t xml:space="preserve">, </w:t>
      </w:r>
      <w:r>
        <w:rPr>
          <w:sz w:val="24"/>
          <w:szCs w:val="24"/>
        </w:rPr>
        <w:t>J. C. (2009)</w:t>
      </w:r>
      <w:r w:rsidRPr="00596930">
        <w:rPr>
          <w:sz w:val="24"/>
          <w:szCs w:val="24"/>
        </w:rPr>
        <w:t xml:space="preserve">. </w:t>
      </w:r>
      <w:r w:rsidRPr="00E62316">
        <w:rPr>
          <w:i/>
          <w:sz w:val="24"/>
          <w:szCs w:val="24"/>
        </w:rPr>
        <w:t>Análise das demonstrações contábeis: contabilidade empresarial</w:t>
      </w:r>
      <w:r w:rsidRPr="00596930">
        <w:rPr>
          <w:sz w:val="24"/>
          <w:szCs w:val="24"/>
        </w:rPr>
        <w:t xml:space="preserve"> </w:t>
      </w:r>
      <w:r>
        <w:rPr>
          <w:sz w:val="24"/>
          <w:szCs w:val="24"/>
        </w:rPr>
        <w:t>(5a</w:t>
      </w:r>
      <w:r w:rsidRPr="00596930">
        <w:rPr>
          <w:sz w:val="24"/>
          <w:szCs w:val="24"/>
        </w:rPr>
        <w:t xml:space="preserve"> ed.</w:t>
      </w:r>
      <w:r>
        <w:rPr>
          <w:sz w:val="24"/>
          <w:szCs w:val="24"/>
        </w:rPr>
        <w:t>).</w:t>
      </w:r>
      <w:r w:rsidRPr="00596930">
        <w:rPr>
          <w:sz w:val="24"/>
          <w:szCs w:val="24"/>
        </w:rPr>
        <w:t xml:space="preserve"> São Paulo: Atlas.</w:t>
      </w:r>
    </w:p>
    <w:p w:rsidR="00CE5EB2" w:rsidRDefault="00CE5EB2" w:rsidP="00CE5EB2">
      <w:pPr>
        <w:spacing w:before="240"/>
        <w:jc w:val="both"/>
        <w:rPr>
          <w:sz w:val="24"/>
          <w:szCs w:val="24"/>
        </w:rPr>
      </w:pPr>
      <w:r w:rsidRPr="00596930">
        <w:rPr>
          <w:sz w:val="24"/>
          <w:szCs w:val="24"/>
        </w:rPr>
        <w:t>M</w:t>
      </w:r>
      <w:r>
        <w:rPr>
          <w:sz w:val="24"/>
          <w:szCs w:val="24"/>
        </w:rPr>
        <w:t>atarazzo</w:t>
      </w:r>
      <w:r w:rsidRPr="00596930">
        <w:rPr>
          <w:sz w:val="24"/>
          <w:szCs w:val="24"/>
        </w:rPr>
        <w:t xml:space="preserve">, </w:t>
      </w:r>
      <w:r>
        <w:rPr>
          <w:sz w:val="24"/>
          <w:szCs w:val="24"/>
        </w:rPr>
        <w:t>D. C. (2003)</w:t>
      </w:r>
      <w:r w:rsidRPr="00596930">
        <w:rPr>
          <w:sz w:val="24"/>
          <w:szCs w:val="24"/>
        </w:rPr>
        <w:t xml:space="preserve">. </w:t>
      </w:r>
      <w:r w:rsidRPr="00E62316">
        <w:rPr>
          <w:i/>
          <w:sz w:val="24"/>
          <w:szCs w:val="24"/>
        </w:rPr>
        <w:t>Análise financeira de balanços: abordagem básica e gerencial</w:t>
      </w:r>
      <w:r w:rsidRPr="00596930">
        <w:rPr>
          <w:sz w:val="24"/>
          <w:szCs w:val="24"/>
        </w:rPr>
        <w:t xml:space="preserve"> </w:t>
      </w:r>
      <w:r>
        <w:rPr>
          <w:sz w:val="24"/>
          <w:szCs w:val="24"/>
        </w:rPr>
        <w:t>(</w:t>
      </w:r>
      <w:r w:rsidRPr="00596930">
        <w:rPr>
          <w:sz w:val="24"/>
          <w:szCs w:val="24"/>
        </w:rPr>
        <w:t>6</w:t>
      </w:r>
      <w:r>
        <w:rPr>
          <w:sz w:val="24"/>
          <w:szCs w:val="24"/>
        </w:rPr>
        <w:t>a</w:t>
      </w:r>
      <w:r w:rsidRPr="00596930">
        <w:rPr>
          <w:sz w:val="24"/>
          <w:szCs w:val="24"/>
        </w:rPr>
        <w:t xml:space="preserve"> ed.</w:t>
      </w:r>
      <w:r>
        <w:rPr>
          <w:sz w:val="24"/>
          <w:szCs w:val="24"/>
        </w:rPr>
        <w:t>).</w:t>
      </w:r>
      <w:r w:rsidRPr="00596930">
        <w:rPr>
          <w:sz w:val="24"/>
          <w:szCs w:val="24"/>
        </w:rPr>
        <w:t xml:space="preserve"> São Paulo: Atlas.</w:t>
      </w:r>
    </w:p>
    <w:p w:rsidR="00CE5EB2" w:rsidRPr="00596930" w:rsidRDefault="00CE5EB2" w:rsidP="00CE5EB2">
      <w:pPr>
        <w:spacing w:before="240"/>
        <w:jc w:val="both"/>
        <w:rPr>
          <w:sz w:val="24"/>
          <w:szCs w:val="24"/>
        </w:rPr>
      </w:pPr>
      <w:r w:rsidRPr="00E62316">
        <w:rPr>
          <w:sz w:val="24"/>
          <w:szCs w:val="24"/>
        </w:rPr>
        <w:t xml:space="preserve">Pacheco, M. T. M., </w:t>
      </w:r>
      <w:proofErr w:type="spellStart"/>
      <w:r w:rsidRPr="00E62316">
        <w:rPr>
          <w:sz w:val="24"/>
          <w:szCs w:val="24"/>
        </w:rPr>
        <w:t>Pegorini</w:t>
      </w:r>
      <w:proofErr w:type="spellEnd"/>
      <w:r w:rsidRPr="00E62316">
        <w:rPr>
          <w:sz w:val="24"/>
          <w:szCs w:val="24"/>
        </w:rPr>
        <w:t xml:space="preserve">, M., </w:t>
      </w:r>
      <w:proofErr w:type="spellStart"/>
      <w:r w:rsidRPr="00E62316">
        <w:rPr>
          <w:sz w:val="24"/>
          <w:szCs w:val="24"/>
        </w:rPr>
        <w:t>Zelbrasikowoki</w:t>
      </w:r>
      <w:proofErr w:type="spellEnd"/>
      <w:r w:rsidRPr="00E62316">
        <w:rPr>
          <w:sz w:val="24"/>
          <w:szCs w:val="24"/>
        </w:rPr>
        <w:t xml:space="preserve">, S., &amp; </w:t>
      </w:r>
      <w:proofErr w:type="spellStart"/>
      <w:r w:rsidRPr="00E62316">
        <w:rPr>
          <w:sz w:val="24"/>
          <w:szCs w:val="24"/>
        </w:rPr>
        <w:t>Panosso</w:t>
      </w:r>
      <w:proofErr w:type="spellEnd"/>
      <w:r w:rsidRPr="00E62316">
        <w:rPr>
          <w:sz w:val="24"/>
          <w:szCs w:val="24"/>
        </w:rPr>
        <w:t xml:space="preserve">, O. (2016, setembro). Análise </w:t>
      </w:r>
      <w:proofErr w:type="gramStart"/>
      <w:r w:rsidRPr="00E62316">
        <w:rPr>
          <w:sz w:val="24"/>
          <w:szCs w:val="24"/>
        </w:rPr>
        <w:t>econômico-financeira das demonstrações contábeis dos primeiros noves clubes brasileiros de futebol do Ranking da CBF de 2015</w:t>
      </w:r>
      <w:proofErr w:type="gramEnd"/>
      <w:r w:rsidRPr="00E62316">
        <w:rPr>
          <w:sz w:val="24"/>
          <w:szCs w:val="24"/>
        </w:rPr>
        <w:t xml:space="preserve">. </w:t>
      </w:r>
      <w:r w:rsidRPr="00E62316">
        <w:rPr>
          <w:i/>
          <w:sz w:val="24"/>
          <w:szCs w:val="24"/>
        </w:rPr>
        <w:t>Anais do Congresso Nacional de Excelência em Gestão</w:t>
      </w:r>
      <w:r w:rsidRPr="00E62316">
        <w:rPr>
          <w:sz w:val="24"/>
          <w:szCs w:val="24"/>
        </w:rPr>
        <w:t xml:space="preserve">, Rio de Janeiro, RJ, Brasil, 12. Recuperado </w:t>
      </w:r>
      <w:r w:rsidRPr="00CE5EB2">
        <w:rPr>
          <w:sz w:val="24"/>
          <w:szCs w:val="24"/>
        </w:rPr>
        <w:t xml:space="preserve">em </w:t>
      </w:r>
      <w:proofErr w:type="gramStart"/>
      <w:r w:rsidRPr="00CE5EB2">
        <w:rPr>
          <w:sz w:val="24"/>
          <w:szCs w:val="24"/>
        </w:rPr>
        <w:t>05 outubro</w:t>
      </w:r>
      <w:proofErr w:type="gramEnd"/>
      <w:r w:rsidRPr="00CE5EB2">
        <w:rPr>
          <w:sz w:val="24"/>
          <w:szCs w:val="24"/>
        </w:rPr>
        <w:t>, 2016, de</w:t>
      </w:r>
      <w:r w:rsidRPr="00E62316">
        <w:rPr>
          <w:sz w:val="24"/>
          <w:szCs w:val="24"/>
        </w:rPr>
        <w:t xml:space="preserve"> http://www.inovarse.org/sites/default/files/T16_261.pdf.</w:t>
      </w:r>
    </w:p>
    <w:p w:rsidR="00CE5EB2" w:rsidRPr="00E62316" w:rsidRDefault="00CE5EB2" w:rsidP="00CE5EB2">
      <w:pPr>
        <w:spacing w:before="240"/>
        <w:jc w:val="both"/>
        <w:rPr>
          <w:sz w:val="24"/>
          <w:szCs w:val="24"/>
        </w:rPr>
      </w:pPr>
      <w:proofErr w:type="spellStart"/>
      <w:r w:rsidRPr="00E62316">
        <w:rPr>
          <w:sz w:val="24"/>
          <w:szCs w:val="24"/>
        </w:rPr>
        <w:t>Platt</w:t>
      </w:r>
      <w:proofErr w:type="spellEnd"/>
      <w:r w:rsidRPr="00E62316">
        <w:rPr>
          <w:sz w:val="24"/>
          <w:szCs w:val="24"/>
        </w:rPr>
        <w:t xml:space="preserve"> Neto, O. A. (2016). </w:t>
      </w:r>
      <w:r w:rsidRPr="00E62316">
        <w:rPr>
          <w:i/>
          <w:sz w:val="24"/>
          <w:szCs w:val="24"/>
        </w:rPr>
        <w:t>Análise dos índices de endividamento</w:t>
      </w:r>
      <w:r w:rsidRPr="00E62316">
        <w:rPr>
          <w:sz w:val="24"/>
          <w:szCs w:val="24"/>
        </w:rPr>
        <w:t xml:space="preserve"> [Material didático (slides) da Disciplina Análise das Demonstrações Contábeis. Curso de Graduação em Ciências Contábeis. Universidade Federal de Santa Catarina (UFSC). 11. ed.]. Florianópolis: Edição do autor.</w:t>
      </w:r>
    </w:p>
    <w:p w:rsidR="00CE5EB2" w:rsidRPr="00596930" w:rsidRDefault="00CE5EB2" w:rsidP="00CE5EB2">
      <w:pPr>
        <w:spacing w:before="240"/>
        <w:jc w:val="both"/>
        <w:rPr>
          <w:sz w:val="24"/>
          <w:szCs w:val="24"/>
        </w:rPr>
      </w:pPr>
      <w:proofErr w:type="spellStart"/>
      <w:r w:rsidRPr="00E62316">
        <w:rPr>
          <w:sz w:val="24"/>
          <w:szCs w:val="24"/>
        </w:rPr>
        <w:t>Platt</w:t>
      </w:r>
      <w:proofErr w:type="spellEnd"/>
      <w:r w:rsidRPr="00E62316">
        <w:rPr>
          <w:sz w:val="24"/>
          <w:szCs w:val="24"/>
        </w:rPr>
        <w:t xml:space="preserve"> Neto, O. A. (2016). </w:t>
      </w:r>
      <w:r w:rsidRPr="00E62316">
        <w:rPr>
          <w:i/>
          <w:sz w:val="24"/>
          <w:szCs w:val="24"/>
        </w:rPr>
        <w:t>Análise dos índices de rentabilidade</w:t>
      </w:r>
      <w:r w:rsidRPr="00E62316">
        <w:rPr>
          <w:sz w:val="24"/>
          <w:szCs w:val="24"/>
        </w:rPr>
        <w:t xml:space="preserve"> [Material didático (slides) da Disciplina Análise das Demonstrações Contábeis. Curso de Graduação em Ciências Contábeis. Universidade Federal de Santa Catarina (UFSC). 10. ed.]. Florianópolis: Edição do autor.</w:t>
      </w:r>
    </w:p>
    <w:p w:rsidR="00CE5EB2" w:rsidRPr="00596930" w:rsidRDefault="00CE5EB2" w:rsidP="00CE5EB2">
      <w:pPr>
        <w:spacing w:before="240"/>
        <w:jc w:val="both"/>
        <w:rPr>
          <w:sz w:val="24"/>
          <w:szCs w:val="24"/>
        </w:rPr>
      </w:pPr>
      <w:r>
        <w:rPr>
          <w:sz w:val="24"/>
          <w:szCs w:val="24"/>
        </w:rPr>
        <w:t>Sá</w:t>
      </w:r>
      <w:r w:rsidRPr="00596930">
        <w:rPr>
          <w:sz w:val="24"/>
          <w:szCs w:val="24"/>
        </w:rPr>
        <w:t xml:space="preserve">, </w:t>
      </w:r>
      <w:r>
        <w:rPr>
          <w:sz w:val="24"/>
          <w:szCs w:val="24"/>
        </w:rPr>
        <w:t xml:space="preserve">A. L. </w:t>
      </w:r>
      <w:proofErr w:type="gramStart"/>
      <w:r>
        <w:rPr>
          <w:sz w:val="24"/>
          <w:szCs w:val="24"/>
        </w:rPr>
        <w:t>D.</w:t>
      </w:r>
      <w:proofErr w:type="gramEnd"/>
      <w:r>
        <w:rPr>
          <w:sz w:val="24"/>
          <w:szCs w:val="24"/>
        </w:rPr>
        <w:t xml:space="preserve"> (2010)</w:t>
      </w:r>
      <w:r w:rsidRPr="00596930">
        <w:rPr>
          <w:sz w:val="24"/>
          <w:szCs w:val="24"/>
        </w:rPr>
        <w:t xml:space="preserve">. </w:t>
      </w:r>
      <w:r w:rsidRPr="00E62316">
        <w:rPr>
          <w:i/>
          <w:sz w:val="24"/>
          <w:szCs w:val="24"/>
        </w:rPr>
        <w:t>Moderna análise de balanços ao alcance de todos</w:t>
      </w:r>
      <w:r w:rsidRPr="00596930">
        <w:rPr>
          <w:sz w:val="24"/>
          <w:szCs w:val="24"/>
        </w:rPr>
        <w:t xml:space="preserve"> </w:t>
      </w:r>
      <w:r>
        <w:rPr>
          <w:sz w:val="24"/>
          <w:szCs w:val="24"/>
        </w:rPr>
        <w:t>(2a</w:t>
      </w:r>
      <w:r w:rsidRPr="00596930">
        <w:rPr>
          <w:sz w:val="24"/>
          <w:szCs w:val="24"/>
        </w:rPr>
        <w:t xml:space="preserve"> ed</w:t>
      </w:r>
      <w:r>
        <w:rPr>
          <w:sz w:val="24"/>
          <w:szCs w:val="24"/>
        </w:rPr>
        <w:t>.). Curitiba: Juruá</w:t>
      </w:r>
      <w:r w:rsidRPr="00596930">
        <w:rPr>
          <w:sz w:val="24"/>
          <w:szCs w:val="24"/>
        </w:rPr>
        <w:t>.</w:t>
      </w:r>
    </w:p>
    <w:p w:rsidR="00CE5EB2" w:rsidRPr="00596930" w:rsidRDefault="00CE5EB2" w:rsidP="00CE5EB2">
      <w:pPr>
        <w:spacing w:before="240"/>
        <w:jc w:val="both"/>
        <w:rPr>
          <w:sz w:val="24"/>
          <w:szCs w:val="24"/>
        </w:rPr>
      </w:pPr>
      <w:r w:rsidRPr="00E62316">
        <w:rPr>
          <w:sz w:val="24"/>
          <w:szCs w:val="24"/>
        </w:rPr>
        <w:t xml:space="preserve">Santos, G. C. </w:t>
      </w:r>
      <w:proofErr w:type="gramStart"/>
      <w:r w:rsidRPr="00E62316">
        <w:rPr>
          <w:sz w:val="24"/>
          <w:szCs w:val="24"/>
        </w:rPr>
        <w:t>D.</w:t>
      </w:r>
      <w:proofErr w:type="gramEnd"/>
      <w:r w:rsidRPr="00E62316">
        <w:rPr>
          <w:sz w:val="24"/>
          <w:szCs w:val="24"/>
        </w:rPr>
        <w:t xml:space="preserve">, &amp; Silva, L. T. (2015, outubro). Liquidez e </w:t>
      </w:r>
      <w:r>
        <w:rPr>
          <w:sz w:val="24"/>
          <w:szCs w:val="24"/>
        </w:rPr>
        <w:t>e</w:t>
      </w:r>
      <w:r w:rsidRPr="00E62316">
        <w:rPr>
          <w:sz w:val="24"/>
          <w:szCs w:val="24"/>
        </w:rPr>
        <w:t xml:space="preserve">ndividamento dos </w:t>
      </w:r>
      <w:r>
        <w:rPr>
          <w:sz w:val="24"/>
          <w:szCs w:val="24"/>
        </w:rPr>
        <w:t>c</w:t>
      </w:r>
      <w:r w:rsidRPr="00E62316">
        <w:rPr>
          <w:sz w:val="24"/>
          <w:szCs w:val="24"/>
        </w:rPr>
        <w:t xml:space="preserve">lubes de </w:t>
      </w:r>
      <w:r>
        <w:rPr>
          <w:sz w:val="24"/>
          <w:szCs w:val="24"/>
        </w:rPr>
        <w:t>f</w:t>
      </w:r>
      <w:r w:rsidRPr="00E62316">
        <w:rPr>
          <w:sz w:val="24"/>
          <w:szCs w:val="24"/>
        </w:rPr>
        <w:t xml:space="preserve">utebol do Campeonato Brasileiro – </w:t>
      </w:r>
      <w:r>
        <w:rPr>
          <w:sz w:val="24"/>
          <w:szCs w:val="24"/>
        </w:rPr>
        <w:t>u</w:t>
      </w:r>
      <w:r w:rsidRPr="00E62316">
        <w:rPr>
          <w:sz w:val="24"/>
          <w:szCs w:val="24"/>
        </w:rPr>
        <w:t xml:space="preserve">m fator preocupante a continuidade do futebol? </w:t>
      </w:r>
      <w:r w:rsidRPr="00E62316">
        <w:rPr>
          <w:i/>
          <w:sz w:val="24"/>
          <w:szCs w:val="24"/>
        </w:rPr>
        <w:t xml:space="preserve">Anais do Congresso </w:t>
      </w:r>
      <w:proofErr w:type="spellStart"/>
      <w:r w:rsidRPr="00E62316">
        <w:rPr>
          <w:i/>
          <w:sz w:val="24"/>
          <w:szCs w:val="24"/>
        </w:rPr>
        <w:t>Iberoamericano</w:t>
      </w:r>
      <w:proofErr w:type="spellEnd"/>
      <w:r w:rsidRPr="00E62316">
        <w:rPr>
          <w:i/>
          <w:sz w:val="24"/>
          <w:szCs w:val="24"/>
        </w:rPr>
        <w:t xml:space="preserve"> de </w:t>
      </w:r>
      <w:proofErr w:type="spellStart"/>
      <w:r w:rsidRPr="00E62316">
        <w:rPr>
          <w:i/>
          <w:sz w:val="24"/>
          <w:szCs w:val="24"/>
        </w:rPr>
        <w:t>Contabilidad</w:t>
      </w:r>
      <w:proofErr w:type="spellEnd"/>
      <w:r w:rsidRPr="00E62316">
        <w:rPr>
          <w:i/>
          <w:sz w:val="24"/>
          <w:szCs w:val="24"/>
        </w:rPr>
        <w:t xml:space="preserve"> e </w:t>
      </w:r>
      <w:proofErr w:type="spellStart"/>
      <w:r w:rsidRPr="00E62316">
        <w:rPr>
          <w:i/>
          <w:sz w:val="24"/>
          <w:szCs w:val="24"/>
        </w:rPr>
        <w:t>Gestión</w:t>
      </w:r>
      <w:proofErr w:type="spellEnd"/>
      <w:r w:rsidRPr="00E62316">
        <w:rPr>
          <w:sz w:val="24"/>
          <w:szCs w:val="24"/>
        </w:rPr>
        <w:t xml:space="preserve">, Florianópolis, SC, Brasil, </w:t>
      </w:r>
      <w:proofErr w:type="gramStart"/>
      <w:r w:rsidRPr="00E62316">
        <w:rPr>
          <w:sz w:val="24"/>
          <w:szCs w:val="24"/>
        </w:rPr>
        <w:t>9</w:t>
      </w:r>
      <w:proofErr w:type="gramEnd"/>
      <w:r w:rsidRPr="00E62316">
        <w:rPr>
          <w:sz w:val="24"/>
          <w:szCs w:val="24"/>
        </w:rPr>
        <w:t xml:space="preserve">. Recuperado </w:t>
      </w:r>
      <w:r w:rsidRPr="00CE5EB2">
        <w:rPr>
          <w:sz w:val="24"/>
          <w:szCs w:val="24"/>
        </w:rPr>
        <w:t xml:space="preserve">em </w:t>
      </w:r>
      <w:proofErr w:type="gramStart"/>
      <w:r w:rsidRPr="00CE5EB2">
        <w:rPr>
          <w:sz w:val="24"/>
          <w:szCs w:val="24"/>
        </w:rPr>
        <w:t>05 outubro</w:t>
      </w:r>
      <w:proofErr w:type="gramEnd"/>
      <w:r w:rsidRPr="00CE5EB2">
        <w:rPr>
          <w:sz w:val="24"/>
          <w:szCs w:val="24"/>
        </w:rPr>
        <w:t>, 2016, de</w:t>
      </w:r>
      <w:r w:rsidRPr="00E62316">
        <w:rPr>
          <w:sz w:val="24"/>
          <w:szCs w:val="24"/>
        </w:rPr>
        <w:t xml:space="preserve"> http://dvl.ccn.ufsc.br/congresso_internacional/anais/6CCF/74_15.pdf.</w:t>
      </w:r>
    </w:p>
    <w:p w:rsidR="00CE5EB2" w:rsidRPr="00596930" w:rsidRDefault="00CE5EB2" w:rsidP="00CE5EB2">
      <w:pPr>
        <w:spacing w:before="240"/>
        <w:jc w:val="both"/>
        <w:rPr>
          <w:sz w:val="24"/>
          <w:szCs w:val="24"/>
        </w:rPr>
      </w:pPr>
      <w:proofErr w:type="spellStart"/>
      <w:r w:rsidRPr="00596930">
        <w:rPr>
          <w:sz w:val="24"/>
          <w:szCs w:val="24"/>
        </w:rPr>
        <w:t>S</w:t>
      </w:r>
      <w:r>
        <w:rPr>
          <w:sz w:val="24"/>
          <w:szCs w:val="24"/>
        </w:rPr>
        <w:t>avytzky</w:t>
      </w:r>
      <w:proofErr w:type="spellEnd"/>
      <w:r>
        <w:rPr>
          <w:sz w:val="24"/>
          <w:szCs w:val="24"/>
        </w:rPr>
        <w:t>, T. (2010)</w:t>
      </w:r>
      <w:r w:rsidRPr="00596930">
        <w:rPr>
          <w:sz w:val="24"/>
          <w:szCs w:val="24"/>
        </w:rPr>
        <w:t xml:space="preserve">. </w:t>
      </w:r>
      <w:r w:rsidRPr="00E62316">
        <w:rPr>
          <w:i/>
          <w:sz w:val="24"/>
          <w:szCs w:val="24"/>
        </w:rPr>
        <w:t xml:space="preserve">Análise de balanços </w:t>
      </w:r>
      <w:r>
        <w:rPr>
          <w:sz w:val="24"/>
          <w:szCs w:val="24"/>
        </w:rPr>
        <w:t>(5a</w:t>
      </w:r>
      <w:r w:rsidRPr="00596930">
        <w:rPr>
          <w:sz w:val="24"/>
          <w:szCs w:val="24"/>
        </w:rPr>
        <w:t xml:space="preserve"> </w:t>
      </w:r>
      <w:r>
        <w:rPr>
          <w:sz w:val="24"/>
          <w:szCs w:val="24"/>
        </w:rPr>
        <w:t>ed.)</w:t>
      </w:r>
      <w:r w:rsidRPr="00596930">
        <w:rPr>
          <w:sz w:val="24"/>
          <w:szCs w:val="24"/>
        </w:rPr>
        <w:t>. Curitiba: Juruá.</w:t>
      </w:r>
    </w:p>
    <w:p w:rsidR="00E6136F" w:rsidRPr="00CE5EB2" w:rsidRDefault="00CE5EB2" w:rsidP="00CE5EB2">
      <w:pPr>
        <w:spacing w:before="240"/>
        <w:jc w:val="both"/>
        <w:rPr>
          <w:sz w:val="24"/>
          <w:szCs w:val="24"/>
        </w:rPr>
      </w:pPr>
      <w:proofErr w:type="spellStart"/>
      <w:r w:rsidRPr="00596930">
        <w:rPr>
          <w:sz w:val="24"/>
          <w:szCs w:val="24"/>
        </w:rPr>
        <w:t>T</w:t>
      </w:r>
      <w:r>
        <w:rPr>
          <w:sz w:val="24"/>
          <w:szCs w:val="24"/>
        </w:rPr>
        <w:t>riviños</w:t>
      </w:r>
      <w:proofErr w:type="spellEnd"/>
      <w:r w:rsidRPr="00596930">
        <w:rPr>
          <w:sz w:val="24"/>
          <w:szCs w:val="24"/>
        </w:rPr>
        <w:t>, A. N. S.</w:t>
      </w:r>
      <w:r>
        <w:rPr>
          <w:sz w:val="24"/>
          <w:szCs w:val="24"/>
        </w:rPr>
        <w:t xml:space="preserve"> (1987).</w:t>
      </w:r>
      <w:r w:rsidRPr="00596930">
        <w:rPr>
          <w:sz w:val="24"/>
          <w:szCs w:val="24"/>
        </w:rPr>
        <w:t xml:space="preserve"> </w:t>
      </w:r>
      <w:r w:rsidRPr="00E62316">
        <w:rPr>
          <w:i/>
          <w:sz w:val="24"/>
          <w:szCs w:val="24"/>
        </w:rPr>
        <w:t>Introdução à pesquisa em ciências sociais: a pesquisa qualitativa em educação.</w:t>
      </w:r>
      <w:r w:rsidRPr="00596930">
        <w:rPr>
          <w:sz w:val="24"/>
          <w:szCs w:val="24"/>
        </w:rPr>
        <w:t xml:space="preserve"> São Paulo: Atlas.</w:t>
      </w:r>
    </w:p>
    <w:sectPr w:rsidR="00E6136F" w:rsidRPr="00CE5EB2" w:rsidSect="0036377D">
      <w:headerReference w:type="default" r:id="rId8"/>
      <w:footerReference w:type="default" r:id="rId9"/>
      <w:pgSz w:w="11900" w:h="16840"/>
      <w:pgMar w:top="1701" w:right="1134" w:bottom="1134" w:left="1701" w:header="372"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7774" w:rsidRDefault="006B7774" w:rsidP="008A5824">
      <w:r>
        <w:separator/>
      </w:r>
    </w:p>
  </w:endnote>
  <w:endnote w:type="continuationSeparator" w:id="0">
    <w:p w:rsidR="006B7774" w:rsidRDefault="006B7774" w:rsidP="008A582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ante MT Std">
    <w:altName w:val="Dante MT Std"/>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43710"/>
      <w:docPartObj>
        <w:docPartGallery w:val="Page Numbers (Bottom of Page)"/>
        <w:docPartUnique/>
      </w:docPartObj>
    </w:sdtPr>
    <w:sdtContent>
      <w:p w:rsidR="00CE5EB2" w:rsidRDefault="00CE5EB2">
        <w:pPr>
          <w:pStyle w:val="Rodap"/>
          <w:jc w:val="right"/>
        </w:pPr>
        <w:fldSimple w:instr=" PAGE   \* MERGEFORMAT ">
          <w:r>
            <w:rPr>
              <w:noProof/>
            </w:rPr>
            <w:t>1</w:t>
          </w:r>
        </w:fldSimple>
      </w:p>
    </w:sdtContent>
  </w:sdt>
  <w:p w:rsidR="00CE5EB2" w:rsidRDefault="00CE5EB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7774" w:rsidRDefault="006B7774" w:rsidP="008A5824">
      <w:r>
        <w:separator/>
      </w:r>
    </w:p>
  </w:footnote>
  <w:footnote w:type="continuationSeparator" w:id="0">
    <w:p w:rsidR="006B7774" w:rsidRDefault="006B7774" w:rsidP="008A58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5824" w:rsidRPr="00B32719" w:rsidRDefault="00B32719" w:rsidP="0036377D">
    <w:pPr>
      <w:pStyle w:val="Cabealho"/>
      <w:tabs>
        <w:tab w:val="clear" w:pos="4419"/>
        <w:tab w:val="center" w:pos="4395"/>
      </w:tabs>
      <w:rPr>
        <w:rFonts w:ascii="Arial Narrow" w:hAnsi="Arial Narrow"/>
        <w:b/>
        <w:bCs/>
        <w:color w:val="2F5496" w:themeColor="accent1" w:themeShade="BF"/>
        <w:sz w:val="32"/>
      </w:rPr>
    </w:pPr>
    <w:r w:rsidRPr="00B32719">
      <w:rPr>
        <w:rFonts w:ascii="Arial Narrow" w:hAnsi="Arial Narrow"/>
        <w:b/>
        <w:bCs/>
        <w:noProof/>
        <w:sz w:val="28"/>
        <w:lang w:eastAsia="pt-BR"/>
      </w:rPr>
      <w:drawing>
        <wp:anchor distT="0" distB="0" distL="114300" distR="114300" simplePos="0" relativeHeight="251658240" behindDoc="1" locked="0" layoutInCell="1" allowOverlap="1">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037041" cy="901657"/>
                  </a:xfrm>
                  <a:prstGeom prst="rect">
                    <a:avLst/>
                  </a:prstGeom>
                </pic:spPr>
              </pic:pic>
            </a:graphicData>
          </a:graphic>
        </wp:anchor>
      </w:drawing>
    </w:r>
    <w:r w:rsidRPr="00B32719">
      <w:rPr>
        <w:rFonts w:ascii="Arial Narrow" w:hAnsi="Arial Narrow"/>
        <w:b/>
        <w:bCs/>
        <w:noProof/>
        <w:color w:val="5B9BD5" w:themeColor="accent5"/>
        <w:lang w:eastAsia="pt-BR"/>
      </w:rPr>
      <w:drawing>
        <wp:anchor distT="0" distB="0" distL="114300" distR="114300" simplePos="0" relativeHeight="251657215" behindDoc="1" locked="0" layoutInCell="1" allowOverlap="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anchor>
      </w:drawing>
    </w:r>
    <w:r w:rsidR="0036377D">
      <w:rPr>
        <w:rFonts w:ascii="Arial Narrow" w:hAnsi="Arial Narrow"/>
        <w:b/>
        <w:bCs/>
        <w:color w:val="2F5496" w:themeColor="accent1" w:themeShade="BF"/>
        <w:sz w:val="28"/>
      </w:rPr>
      <w:tab/>
      <w:t>7</w:t>
    </w:r>
    <w:r w:rsidR="008A5824" w:rsidRPr="00B32719">
      <w:rPr>
        <w:rFonts w:ascii="Arial Narrow" w:hAnsi="Arial Narrow"/>
        <w:b/>
        <w:bCs/>
        <w:color w:val="2F5496" w:themeColor="accent1" w:themeShade="BF"/>
        <w:sz w:val="28"/>
      </w:rPr>
      <w:t>º CONGRESSO UFSC DE CONTROLADORIA E FINANÇAS</w:t>
    </w:r>
  </w:p>
  <w:p w:rsidR="00CA25AA" w:rsidRPr="00B32719" w:rsidRDefault="0036377D" w:rsidP="0036377D">
    <w:pPr>
      <w:pStyle w:val="Cabealho"/>
      <w:rPr>
        <w:rFonts w:ascii="Arial Narrow" w:hAnsi="Arial Narrow"/>
        <w:b/>
        <w:bCs/>
        <w:sz w:val="20"/>
      </w:rPr>
    </w:pPr>
    <w:r>
      <w:rPr>
        <w:rFonts w:ascii="Arial Narrow" w:hAnsi="Arial Narrow"/>
        <w:b/>
        <w:bCs/>
        <w:color w:val="2F5496" w:themeColor="accent1" w:themeShade="BF"/>
        <w:sz w:val="22"/>
      </w:rPr>
      <w:tab/>
    </w:r>
    <w:r w:rsidR="00CA25AA" w:rsidRPr="00B32719">
      <w:rPr>
        <w:rFonts w:ascii="Arial Narrow" w:hAnsi="Arial Narrow"/>
        <w:b/>
        <w:bCs/>
        <w:color w:val="2F5496" w:themeColor="accent1" w:themeShade="BF"/>
        <w:sz w:val="22"/>
      </w:rPr>
      <w:t>7º CONGRESSO UFSC DE INICIAÇÃO CIENTÍFICA EM CONTABILIDADE</w:t>
    </w:r>
  </w:p>
  <w:p w:rsidR="008D4F05" w:rsidRPr="00B32719" w:rsidRDefault="0036377D" w:rsidP="0036377D">
    <w:pPr>
      <w:pStyle w:val="Cabealho"/>
      <w:spacing w:after="120"/>
      <w:rPr>
        <w:rFonts w:ascii="Arial Narrow" w:hAnsi="Arial Narrow"/>
        <w:b/>
        <w:color w:val="2F5496" w:themeColor="accent1" w:themeShade="BF"/>
        <w:sz w:val="32"/>
      </w:rPr>
    </w:pPr>
    <w:r>
      <w:rPr>
        <w:rFonts w:ascii="Arial Narrow" w:hAnsi="Arial Narrow"/>
        <w:b/>
        <w:bCs/>
        <w:color w:val="2F5496" w:themeColor="accent1" w:themeShade="BF"/>
        <w:sz w:val="36"/>
      </w:rPr>
      <w:tab/>
    </w:r>
    <w:r w:rsidR="00B41CAF" w:rsidRPr="00B32719">
      <w:rPr>
        <w:rFonts w:ascii="Arial Narrow" w:hAnsi="Arial Narrow"/>
        <w:b/>
        <w:bCs/>
        <w:color w:val="2F5496" w:themeColor="accent1" w:themeShade="BF"/>
        <w:sz w:val="36"/>
      </w:rPr>
      <w:t>TRANSPARÊNCIA, CORRUPÇÃO E FRAUDES</w:t>
    </w:r>
  </w:p>
  <w:p w:rsidR="00194BA9" w:rsidRPr="00B32719" w:rsidRDefault="00CA25AA" w:rsidP="00CA25AA">
    <w:pPr>
      <w:pStyle w:val="Cabealho"/>
      <w:ind w:right="-1000"/>
      <w:jc w:val="center"/>
      <w:rPr>
        <w:rFonts w:ascii="Arial Narrow" w:hAnsi="Arial Narrow"/>
        <w:color w:val="000000" w:themeColor="text1"/>
        <w:sz w:val="20"/>
      </w:rPr>
    </w:pPr>
    <w:r>
      <w:rPr>
        <w:color w:val="000000" w:themeColor="text1"/>
        <w:sz w:val="20"/>
      </w:rPr>
      <w:t xml:space="preserve">                   </w:t>
    </w:r>
    <w:r w:rsidR="0036377D">
      <w:rPr>
        <w:color w:val="000000" w:themeColor="text1"/>
        <w:sz w:val="20"/>
      </w:rPr>
      <w:t xml:space="preserve">                          </w:t>
    </w:r>
    <w:r w:rsidR="0038579D" w:rsidRPr="00B32719">
      <w:rPr>
        <w:rFonts w:ascii="Arial Narrow" w:hAnsi="Arial Narrow"/>
        <w:color w:val="000000" w:themeColor="text1"/>
        <w:sz w:val="20"/>
      </w:rPr>
      <w:t>Florianópolis, 10 a 12 de Setembro de 2017</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1C5995"/>
    <w:multiLevelType w:val="hybridMultilevel"/>
    <w:tmpl w:val="F0C09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BB1081E"/>
    <w:multiLevelType w:val="hybridMultilevel"/>
    <w:tmpl w:val="47CE236C"/>
    <w:lvl w:ilvl="0" w:tplc="722207E0">
      <w:start w:val="1"/>
      <w:numFmt w:val="bullet"/>
      <w:lvlText w:val=""/>
      <w:lvlJc w:val="left"/>
      <w:pPr>
        <w:tabs>
          <w:tab w:val="num" w:pos="720"/>
        </w:tabs>
        <w:ind w:left="720" w:hanging="360"/>
      </w:pPr>
      <w:rPr>
        <w:rFonts w:ascii="Wingdings" w:hAnsi="Wingdings" w:hint="default"/>
      </w:rPr>
    </w:lvl>
    <w:lvl w:ilvl="1" w:tplc="57E45D8E" w:tentative="1">
      <w:start w:val="1"/>
      <w:numFmt w:val="bullet"/>
      <w:lvlText w:val=""/>
      <w:lvlJc w:val="left"/>
      <w:pPr>
        <w:tabs>
          <w:tab w:val="num" w:pos="1440"/>
        </w:tabs>
        <w:ind w:left="1440" w:hanging="360"/>
      </w:pPr>
      <w:rPr>
        <w:rFonts w:ascii="Wingdings" w:hAnsi="Wingdings" w:hint="default"/>
      </w:rPr>
    </w:lvl>
    <w:lvl w:ilvl="2" w:tplc="A0F8F6AC" w:tentative="1">
      <w:start w:val="1"/>
      <w:numFmt w:val="bullet"/>
      <w:lvlText w:val=""/>
      <w:lvlJc w:val="left"/>
      <w:pPr>
        <w:tabs>
          <w:tab w:val="num" w:pos="2160"/>
        </w:tabs>
        <w:ind w:left="2160" w:hanging="360"/>
      </w:pPr>
      <w:rPr>
        <w:rFonts w:ascii="Wingdings" w:hAnsi="Wingdings" w:hint="default"/>
      </w:rPr>
    </w:lvl>
    <w:lvl w:ilvl="3" w:tplc="A50E8A7E" w:tentative="1">
      <w:start w:val="1"/>
      <w:numFmt w:val="bullet"/>
      <w:lvlText w:val=""/>
      <w:lvlJc w:val="left"/>
      <w:pPr>
        <w:tabs>
          <w:tab w:val="num" w:pos="2880"/>
        </w:tabs>
        <w:ind w:left="2880" w:hanging="360"/>
      </w:pPr>
      <w:rPr>
        <w:rFonts w:ascii="Wingdings" w:hAnsi="Wingdings" w:hint="default"/>
      </w:rPr>
    </w:lvl>
    <w:lvl w:ilvl="4" w:tplc="907A2C42" w:tentative="1">
      <w:start w:val="1"/>
      <w:numFmt w:val="bullet"/>
      <w:lvlText w:val=""/>
      <w:lvlJc w:val="left"/>
      <w:pPr>
        <w:tabs>
          <w:tab w:val="num" w:pos="3600"/>
        </w:tabs>
        <w:ind w:left="3600" w:hanging="360"/>
      </w:pPr>
      <w:rPr>
        <w:rFonts w:ascii="Wingdings" w:hAnsi="Wingdings" w:hint="default"/>
      </w:rPr>
    </w:lvl>
    <w:lvl w:ilvl="5" w:tplc="6066BFE8" w:tentative="1">
      <w:start w:val="1"/>
      <w:numFmt w:val="bullet"/>
      <w:lvlText w:val=""/>
      <w:lvlJc w:val="left"/>
      <w:pPr>
        <w:tabs>
          <w:tab w:val="num" w:pos="4320"/>
        </w:tabs>
        <w:ind w:left="4320" w:hanging="360"/>
      </w:pPr>
      <w:rPr>
        <w:rFonts w:ascii="Wingdings" w:hAnsi="Wingdings" w:hint="default"/>
      </w:rPr>
    </w:lvl>
    <w:lvl w:ilvl="6" w:tplc="A3CC6328" w:tentative="1">
      <w:start w:val="1"/>
      <w:numFmt w:val="bullet"/>
      <w:lvlText w:val=""/>
      <w:lvlJc w:val="left"/>
      <w:pPr>
        <w:tabs>
          <w:tab w:val="num" w:pos="5040"/>
        </w:tabs>
        <w:ind w:left="5040" w:hanging="360"/>
      </w:pPr>
      <w:rPr>
        <w:rFonts w:ascii="Wingdings" w:hAnsi="Wingdings" w:hint="default"/>
      </w:rPr>
    </w:lvl>
    <w:lvl w:ilvl="7" w:tplc="592EA3FC" w:tentative="1">
      <w:start w:val="1"/>
      <w:numFmt w:val="bullet"/>
      <w:lvlText w:val=""/>
      <w:lvlJc w:val="left"/>
      <w:pPr>
        <w:tabs>
          <w:tab w:val="num" w:pos="5760"/>
        </w:tabs>
        <w:ind w:left="5760" w:hanging="360"/>
      </w:pPr>
      <w:rPr>
        <w:rFonts w:ascii="Wingdings" w:hAnsi="Wingdings" w:hint="default"/>
      </w:rPr>
    </w:lvl>
    <w:lvl w:ilvl="8" w:tplc="916C4B0A" w:tentative="1">
      <w:start w:val="1"/>
      <w:numFmt w:val="bullet"/>
      <w:lvlText w:val=""/>
      <w:lvlJc w:val="left"/>
      <w:pPr>
        <w:tabs>
          <w:tab w:val="num" w:pos="6480"/>
        </w:tabs>
        <w:ind w:left="6480" w:hanging="360"/>
      </w:pPr>
      <w:rPr>
        <w:rFonts w:ascii="Wingdings" w:hAnsi="Wingdings" w:hint="default"/>
      </w:rPr>
    </w:lvl>
  </w:abstractNum>
  <w:abstractNum w:abstractNumId="2">
    <w:nsid w:val="23233409"/>
    <w:multiLevelType w:val="hybridMultilevel"/>
    <w:tmpl w:val="5A3870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7F02784"/>
    <w:multiLevelType w:val="hybridMultilevel"/>
    <w:tmpl w:val="439E837A"/>
    <w:lvl w:ilvl="0" w:tplc="52ACF8FE">
      <w:start w:val="1"/>
      <w:numFmt w:val="bullet"/>
      <w:lvlText w:val=""/>
      <w:lvlJc w:val="left"/>
      <w:pPr>
        <w:ind w:left="720" w:hanging="360"/>
      </w:pPr>
      <w:rPr>
        <w:rFonts w:ascii="Symbol" w:hAnsi="Symbol" w:hint="default"/>
        <w:u w:color="FF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882177C"/>
    <w:multiLevelType w:val="hybridMultilevel"/>
    <w:tmpl w:val="25742F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A0E7026"/>
    <w:multiLevelType w:val="hybridMultilevel"/>
    <w:tmpl w:val="54FEF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A434BD3"/>
    <w:multiLevelType w:val="hybridMultilevel"/>
    <w:tmpl w:val="3A6A5D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AC3553C"/>
    <w:multiLevelType w:val="hybridMultilevel"/>
    <w:tmpl w:val="4AA86372"/>
    <w:lvl w:ilvl="0" w:tplc="04160001">
      <w:start w:val="1"/>
      <w:numFmt w:val="bullet"/>
      <w:lvlText w:val=""/>
      <w:lvlJc w:val="left"/>
      <w:pPr>
        <w:ind w:left="1434" w:hanging="360"/>
      </w:pPr>
      <w:rPr>
        <w:rFonts w:ascii="Symbol" w:hAnsi="Symbol" w:hint="default"/>
      </w:rPr>
    </w:lvl>
    <w:lvl w:ilvl="1" w:tplc="04160003" w:tentative="1">
      <w:start w:val="1"/>
      <w:numFmt w:val="bullet"/>
      <w:lvlText w:val="o"/>
      <w:lvlJc w:val="left"/>
      <w:pPr>
        <w:ind w:left="2154" w:hanging="360"/>
      </w:pPr>
      <w:rPr>
        <w:rFonts w:ascii="Courier New" w:hAnsi="Courier New" w:cs="Courier New" w:hint="default"/>
      </w:rPr>
    </w:lvl>
    <w:lvl w:ilvl="2" w:tplc="04160005" w:tentative="1">
      <w:start w:val="1"/>
      <w:numFmt w:val="bullet"/>
      <w:lvlText w:val=""/>
      <w:lvlJc w:val="left"/>
      <w:pPr>
        <w:ind w:left="2874" w:hanging="360"/>
      </w:pPr>
      <w:rPr>
        <w:rFonts w:ascii="Wingdings" w:hAnsi="Wingdings" w:hint="default"/>
      </w:rPr>
    </w:lvl>
    <w:lvl w:ilvl="3" w:tplc="04160001" w:tentative="1">
      <w:start w:val="1"/>
      <w:numFmt w:val="bullet"/>
      <w:lvlText w:val=""/>
      <w:lvlJc w:val="left"/>
      <w:pPr>
        <w:ind w:left="3594" w:hanging="360"/>
      </w:pPr>
      <w:rPr>
        <w:rFonts w:ascii="Symbol" w:hAnsi="Symbol" w:hint="default"/>
      </w:rPr>
    </w:lvl>
    <w:lvl w:ilvl="4" w:tplc="04160003" w:tentative="1">
      <w:start w:val="1"/>
      <w:numFmt w:val="bullet"/>
      <w:lvlText w:val="o"/>
      <w:lvlJc w:val="left"/>
      <w:pPr>
        <w:ind w:left="4314" w:hanging="360"/>
      </w:pPr>
      <w:rPr>
        <w:rFonts w:ascii="Courier New" w:hAnsi="Courier New" w:cs="Courier New" w:hint="default"/>
      </w:rPr>
    </w:lvl>
    <w:lvl w:ilvl="5" w:tplc="04160005" w:tentative="1">
      <w:start w:val="1"/>
      <w:numFmt w:val="bullet"/>
      <w:lvlText w:val=""/>
      <w:lvlJc w:val="left"/>
      <w:pPr>
        <w:ind w:left="5034" w:hanging="360"/>
      </w:pPr>
      <w:rPr>
        <w:rFonts w:ascii="Wingdings" w:hAnsi="Wingdings" w:hint="default"/>
      </w:rPr>
    </w:lvl>
    <w:lvl w:ilvl="6" w:tplc="04160001" w:tentative="1">
      <w:start w:val="1"/>
      <w:numFmt w:val="bullet"/>
      <w:lvlText w:val=""/>
      <w:lvlJc w:val="left"/>
      <w:pPr>
        <w:ind w:left="5754" w:hanging="360"/>
      </w:pPr>
      <w:rPr>
        <w:rFonts w:ascii="Symbol" w:hAnsi="Symbol" w:hint="default"/>
      </w:rPr>
    </w:lvl>
    <w:lvl w:ilvl="7" w:tplc="04160003" w:tentative="1">
      <w:start w:val="1"/>
      <w:numFmt w:val="bullet"/>
      <w:lvlText w:val="o"/>
      <w:lvlJc w:val="left"/>
      <w:pPr>
        <w:ind w:left="6474" w:hanging="360"/>
      </w:pPr>
      <w:rPr>
        <w:rFonts w:ascii="Courier New" w:hAnsi="Courier New" w:cs="Courier New" w:hint="default"/>
      </w:rPr>
    </w:lvl>
    <w:lvl w:ilvl="8" w:tplc="04160005" w:tentative="1">
      <w:start w:val="1"/>
      <w:numFmt w:val="bullet"/>
      <w:lvlText w:val=""/>
      <w:lvlJc w:val="left"/>
      <w:pPr>
        <w:ind w:left="7194" w:hanging="360"/>
      </w:pPr>
      <w:rPr>
        <w:rFonts w:ascii="Wingdings" w:hAnsi="Wingdings" w:hint="default"/>
      </w:rPr>
    </w:lvl>
  </w:abstractNum>
  <w:abstractNum w:abstractNumId="9">
    <w:nsid w:val="4F7053AE"/>
    <w:multiLevelType w:val="hybridMultilevel"/>
    <w:tmpl w:val="95824A5E"/>
    <w:lvl w:ilvl="0" w:tplc="5ED68E38">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56AD7789"/>
    <w:multiLevelType w:val="hybridMultilevel"/>
    <w:tmpl w:val="1AB2980C"/>
    <w:lvl w:ilvl="0" w:tplc="6D720698">
      <w:start w:val="1"/>
      <w:numFmt w:val="bullet"/>
      <w:lvlText w:val=""/>
      <w:lvlJc w:val="left"/>
      <w:pPr>
        <w:tabs>
          <w:tab w:val="num" w:pos="720"/>
        </w:tabs>
        <w:ind w:left="720" w:hanging="360"/>
      </w:pPr>
      <w:rPr>
        <w:rFonts w:ascii="Wingdings" w:hAnsi="Wingdings" w:hint="default"/>
      </w:rPr>
    </w:lvl>
    <w:lvl w:ilvl="1" w:tplc="6E80BF18" w:tentative="1">
      <w:start w:val="1"/>
      <w:numFmt w:val="bullet"/>
      <w:lvlText w:val=""/>
      <w:lvlJc w:val="left"/>
      <w:pPr>
        <w:tabs>
          <w:tab w:val="num" w:pos="1440"/>
        </w:tabs>
        <w:ind w:left="1440" w:hanging="360"/>
      </w:pPr>
      <w:rPr>
        <w:rFonts w:ascii="Wingdings" w:hAnsi="Wingdings" w:hint="default"/>
      </w:rPr>
    </w:lvl>
    <w:lvl w:ilvl="2" w:tplc="898AF612" w:tentative="1">
      <w:start w:val="1"/>
      <w:numFmt w:val="bullet"/>
      <w:lvlText w:val=""/>
      <w:lvlJc w:val="left"/>
      <w:pPr>
        <w:tabs>
          <w:tab w:val="num" w:pos="2160"/>
        </w:tabs>
        <w:ind w:left="2160" w:hanging="360"/>
      </w:pPr>
      <w:rPr>
        <w:rFonts w:ascii="Wingdings" w:hAnsi="Wingdings" w:hint="default"/>
      </w:rPr>
    </w:lvl>
    <w:lvl w:ilvl="3" w:tplc="B2B8F0F4" w:tentative="1">
      <w:start w:val="1"/>
      <w:numFmt w:val="bullet"/>
      <w:lvlText w:val=""/>
      <w:lvlJc w:val="left"/>
      <w:pPr>
        <w:tabs>
          <w:tab w:val="num" w:pos="2880"/>
        </w:tabs>
        <w:ind w:left="2880" w:hanging="360"/>
      </w:pPr>
      <w:rPr>
        <w:rFonts w:ascii="Wingdings" w:hAnsi="Wingdings" w:hint="default"/>
      </w:rPr>
    </w:lvl>
    <w:lvl w:ilvl="4" w:tplc="4BD8EFF2" w:tentative="1">
      <w:start w:val="1"/>
      <w:numFmt w:val="bullet"/>
      <w:lvlText w:val=""/>
      <w:lvlJc w:val="left"/>
      <w:pPr>
        <w:tabs>
          <w:tab w:val="num" w:pos="3600"/>
        </w:tabs>
        <w:ind w:left="3600" w:hanging="360"/>
      </w:pPr>
      <w:rPr>
        <w:rFonts w:ascii="Wingdings" w:hAnsi="Wingdings" w:hint="default"/>
      </w:rPr>
    </w:lvl>
    <w:lvl w:ilvl="5" w:tplc="C66A5874" w:tentative="1">
      <w:start w:val="1"/>
      <w:numFmt w:val="bullet"/>
      <w:lvlText w:val=""/>
      <w:lvlJc w:val="left"/>
      <w:pPr>
        <w:tabs>
          <w:tab w:val="num" w:pos="4320"/>
        </w:tabs>
        <w:ind w:left="4320" w:hanging="360"/>
      </w:pPr>
      <w:rPr>
        <w:rFonts w:ascii="Wingdings" w:hAnsi="Wingdings" w:hint="default"/>
      </w:rPr>
    </w:lvl>
    <w:lvl w:ilvl="6" w:tplc="E8EC55E2" w:tentative="1">
      <w:start w:val="1"/>
      <w:numFmt w:val="bullet"/>
      <w:lvlText w:val=""/>
      <w:lvlJc w:val="left"/>
      <w:pPr>
        <w:tabs>
          <w:tab w:val="num" w:pos="5040"/>
        </w:tabs>
        <w:ind w:left="5040" w:hanging="360"/>
      </w:pPr>
      <w:rPr>
        <w:rFonts w:ascii="Wingdings" w:hAnsi="Wingdings" w:hint="default"/>
      </w:rPr>
    </w:lvl>
    <w:lvl w:ilvl="7" w:tplc="52C02680" w:tentative="1">
      <w:start w:val="1"/>
      <w:numFmt w:val="bullet"/>
      <w:lvlText w:val=""/>
      <w:lvlJc w:val="left"/>
      <w:pPr>
        <w:tabs>
          <w:tab w:val="num" w:pos="5760"/>
        </w:tabs>
        <w:ind w:left="5760" w:hanging="360"/>
      </w:pPr>
      <w:rPr>
        <w:rFonts w:ascii="Wingdings" w:hAnsi="Wingdings" w:hint="default"/>
      </w:rPr>
    </w:lvl>
    <w:lvl w:ilvl="8" w:tplc="8894069C" w:tentative="1">
      <w:start w:val="1"/>
      <w:numFmt w:val="bullet"/>
      <w:lvlText w:val=""/>
      <w:lvlJc w:val="left"/>
      <w:pPr>
        <w:tabs>
          <w:tab w:val="num" w:pos="6480"/>
        </w:tabs>
        <w:ind w:left="6480" w:hanging="360"/>
      </w:pPr>
      <w:rPr>
        <w:rFonts w:ascii="Wingdings" w:hAnsi="Wingdings" w:hint="default"/>
      </w:rPr>
    </w:lvl>
  </w:abstractNum>
  <w:abstractNum w:abstractNumId="11">
    <w:nsid w:val="66406E05"/>
    <w:multiLevelType w:val="hybridMultilevel"/>
    <w:tmpl w:val="46F0D5CA"/>
    <w:lvl w:ilvl="0" w:tplc="52ACF8FE">
      <w:start w:val="1"/>
      <w:numFmt w:val="bullet"/>
      <w:lvlText w:val=""/>
      <w:lvlJc w:val="left"/>
      <w:pPr>
        <w:ind w:left="720" w:hanging="360"/>
      </w:pPr>
      <w:rPr>
        <w:rFonts w:ascii="Symbol" w:hAnsi="Symbol" w:hint="default"/>
        <w:u w:color="FF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6EB44918"/>
    <w:multiLevelType w:val="hybridMultilevel"/>
    <w:tmpl w:val="D6FC2BF6"/>
    <w:lvl w:ilvl="0" w:tplc="52ACF8FE">
      <w:start w:val="1"/>
      <w:numFmt w:val="bullet"/>
      <w:lvlText w:val=""/>
      <w:lvlJc w:val="left"/>
      <w:pPr>
        <w:ind w:left="720" w:hanging="360"/>
      </w:pPr>
      <w:rPr>
        <w:rFonts w:ascii="Symbol" w:hAnsi="Symbol" w:hint="default"/>
        <w:u w:color="FF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73863687"/>
    <w:multiLevelType w:val="hybridMultilevel"/>
    <w:tmpl w:val="1B9A65D6"/>
    <w:lvl w:ilvl="0" w:tplc="4E044CFA">
      <w:start w:val="1"/>
      <w:numFmt w:val="bullet"/>
      <w:lvlText w:val=""/>
      <w:lvlJc w:val="left"/>
      <w:pPr>
        <w:tabs>
          <w:tab w:val="num" w:pos="720"/>
        </w:tabs>
        <w:ind w:left="720" w:hanging="360"/>
      </w:pPr>
      <w:rPr>
        <w:rFonts w:ascii="Wingdings" w:hAnsi="Wingdings" w:hint="default"/>
      </w:rPr>
    </w:lvl>
    <w:lvl w:ilvl="1" w:tplc="7CB4AAC6" w:tentative="1">
      <w:start w:val="1"/>
      <w:numFmt w:val="bullet"/>
      <w:lvlText w:val=""/>
      <w:lvlJc w:val="left"/>
      <w:pPr>
        <w:tabs>
          <w:tab w:val="num" w:pos="1440"/>
        </w:tabs>
        <w:ind w:left="1440" w:hanging="360"/>
      </w:pPr>
      <w:rPr>
        <w:rFonts w:ascii="Wingdings" w:hAnsi="Wingdings" w:hint="default"/>
      </w:rPr>
    </w:lvl>
    <w:lvl w:ilvl="2" w:tplc="DAB035D2" w:tentative="1">
      <w:start w:val="1"/>
      <w:numFmt w:val="bullet"/>
      <w:lvlText w:val=""/>
      <w:lvlJc w:val="left"/>
      <w:pPr>
        <w:tabs>
          <w:tab w:val="num" w:pos="2160"/>
        </w:tabs>
        <w:ind w:left="2160" w:hanging="360"/>
      </w:pPr>
      <w:rPr>
        <w:rFonts w:ascii="Wingdings" w:hAnsi="Wingdings" w:hint="default"/>
      </w:rPr>
    </w:lvl>
    <w:lvl w:ilvl="3" w:tplc="08B67604" w:tentative="1">
      <w:start w:val="1"/>
      <w:numFmt w:val="bullet"/>
      <w:lvlText w:val=""/>
      <w:lvlJc w:val="left"/>
      <w:pPr>
        <w:tabs>
          <w:tab w:val="num" w:pos="2880"/>
        </w:tabs>
        <w:ind w:left="2880" w:hanging="360"/>
      </w:pPr>
      <w:rPr>
        <w:rFonts w:ascii="Wingdings" w:hAnsi="Wingdings" w:hint="default"/>
      </w:rPr>
    </w:lvl>
    <w:lvl w:ilvl="4" w:tplc="0E588EBA" w:tentative="1">
      <w:start w:val="1"/>
      <w:numFmt w:val="bullet"/>
      <w:lvlText w:val=""/>
      <w:lvlJc w:val="left"/>
      <w:pPr>
        <w:tabs>
          <w:tab w:val="num" w:pos="3600"/>
        </w:tabs>
        <w:ind w:left="3600" w:hanging="360"/>
      </w:pPr>
      <w:rPr>
        <w:rFonts w:ascii="Wingdings" w:hAnsi="Wingdings" w:hint="default"/>
      </w:rPr>
    </w:lvl>
    <w:lvl w:ilvl="5" w:tplc="D8B657C8" w:tentative="1">
      <w:start w:val="1"/>
      <w:numFmt w:val="bullet"/>
      <w:lvlText w:val=""/>
      <w:lvlJc w:val="left"/>
      <w:pPr>
        <w:tabs>
          <w:tab w:val="num" w:pos="4320"/>
        </w:tabs>
        <w:ind w:left="4320" w:hanging="360"/>
      </w:pPr>
      <w:rPr>
        <w:rFonts w:ascii="Wingdings" w:hAnsi="Wingdings" w:hint="default"/>
      </w:rPr>
    </w:lvl>
    <w:lvl w:ilvl="6" w:tplc="F0E2CC48" w:tentative="1">
      <w:start w:val="1"/>
      <w:numFmt w:val="bullet"/>
      <w:lvlText w:val=""/>
      <w:lvlJc w:val="left"/>
      <w:pPr>
        <w:tabs>
          <w:tab w:val="num" w:pos="5040"/>
        </w:tabs>
        <w:ind w:left="5040" w:hanging="360"/>
      </w:pPr>
      <w:rPr>
        <w:rFonts w:ascii="Wingdings" w:hAnsi="Wingdings" w:hint="default"/>
      </w:rPr>
    </w:lvl>
    <w:lvl w:ilvl="7" w:tplc="A3D222F4" w:tentative="1">
      <w:start w:val="1"/>
      <w:numFmt w:val="bullet"/>
      <w:lvlText w:val=""/>
      <w:lvlJc w:val="left"/>
      <w:pPr>
        <w:tabs>
          <w:tab w:val="num" w:pos="5760"/>
        </w:tabs>
        <w:ind w:left="5760" w:hanging="360"/>
      </w:pPr>
      <w:rPr>
        <w:rFonts w:ascii="Wingdings" w:hAnsi="Wingdings" w:hint="default"/>
      </w:rPr>
    </w:lvl>
    <w:lvl w:ilvl="8" w:tplc="347A8500" w:tentative="1">
      <w:start w:val="1"/>
      <w:numFmt w:val="bullet"/>
      <w:lvlText w:val=""/>
      <w:lvlJc w:val="left"/>
      <w:pPr>
        <w:tabs>
          <w:tab w:val="num" w:pos="6480"/>
        </w:tabs>
        <w:ind w:left="6480" w:hanging="360"/>
      </w:pPr>
      <w:rPr>
        <w:rFonts w:ascii="Wingdings" w:hAnsi="Wingdings" w:hint="default"/>
      </w:rPr>
    </w:lvl>
  </w:abstractNum>
  <w:abstractNum w:abstractNumId="14">
    <w:nsid w:val="7C8D7696"/>
    <w:multiLevelType w:val="hybridMultilevel"/>
    <w:tmpl w:val="76C26832"/>
    <w:lvl w:ilvl="0" w:tplc="0416000D">
      <w:start w:val="1"/>
      <w:numFmt w:val="bullet"/>
      <w:lvlText w:val=""/>
      <w:lvlJc w:val="left"/>
      <w:pPr>
        <w:ind w:left="3196" w:hanging="360"/>
      </w:pPr>
      <w:rPr>
        <w:rFonts w:ascii="Wingdings" w:hAnsi="Wingdings" w:hint="default"/>
      </w:rPr>
    </w:lvl>
    <w:lvl w:ilvl="1" w:tplc="04160003" w:tentative="1">
      <w:start w:val="1"/>
      <w:numFmt w:val="bullet"/>
      <w:lvlText w:val="o"/>
      <w:lvlJc w:val="left"/>
      <w:pPr>
        <w:ind w:left="2154" w:hanging="360"/>
      </w:pPr>
      <w:rPr>
        <w:rFonts w:ascii="Courier New" w:hAnsi="Courier New" w:cs="Courier New" w:hint="default"/>
      </w:rPr>
    </w:lvl>
    <w:lvl w:ilvl="2" w:tplc="04160005" w:tentative="1">
      <w:start w:val="1"/>
      <w:numFmt w:val="bullet"/>
      <w:lvlText w:val=""/>
      <w:lvlJc w:val="left"/>
      <w:pPr>
        <w:ind w:left="2874" w:hanging="360"/>
      </w:pPr>
      <w:rPr>
        <w:rFonts w:ascii="Wingdings" w:hAnsi="Wingdings" w:hint="default"/>
      </w:rPr>
    </w:lvl>
    <w:lvl w:ilvl="3" w:tplc="04160001" w:tentative="1">
      <w:start w:val="1"/>
      <w:numFmt w:val="bullet"/>
      <w:lvlText w:val=""/>
      <w:lvlJc w:val="left"/>
      <w:pPr>
        <w:ind w:left="3594" w:hanging="360"/>
      </w:pPr>
      <w:rPr>
        <w:rFonts w:ascii="Symbol" w:hAnsi="Symbol" w:hint="default"/>
      </w:rPr>
    </w:lvl>
    <w:lvl w:ilvl="4" w:tplc="04160003" w:tentative="1">
      <w:start w:val="1"/>
      <w:numFmt w:val="bullet"/>
      <w:lvlText w:val="o"/>
      <w:lvlJc w:val="left"/>
      <w:pPr>
        <w:ind w:left="4314" w:hanging="360"/>
      </w:pPr>
      <w:rPr>
        <w:rFonts w:ascii="Courier New" w:hAnsi="Courier New" w:cs="Courier New" w:hint="default"/>
      </w:rPr>
    </w:lvl>
    <w:lvl w:ilvl="5" w:tplc="04160005" w:tentative="1">
      <w:start w:val="1"/>
      <w:numFmt w:val="bullet"/>
      <w:lvlText w:val=""/>
      <w:lvlJc w:val="left"/>
      <w:pPr>
        <w:ind w:left="5034" w:hanging="360"/>
      </w:pPr>
      <w:rPr>
        <w:rFonts w:ascii="Wingdings" w:hAnsi="Wingdings" w:hint="default"/>
      </w:rPr>
    </w:lvl>
    <w:lvl w:ilvl="6" w:tplc="04160001" w:tentative="1">
      <w:start w:val="1"/>
      <w:numFmt w:val="bullet"/>
      <w:lvlText w:val=""/>
      <w:lvlJc w:val="left"/>
      <w:pPr>
        <w:ind w:left="5754" w:hanging="360"/>
      </w:pPr>
      <w:rPr>
        <w:rFonts w:ascii="Symbol" w:hAnsi="Symbol" w:hint="default"/>
      </w:rPr>
    </w:lvl>
    <w:lvl w:ilvl="7" w:tplc="04160003" w:tentative="1">
      <w:start w:val="1"/>
      <w:numFmt w:val="bullet"/>
      <w:lvlText w:val="o"/>
      <w:lvlJc w:val="left"/>
      <w:pPr>
        <w:ind w:left="6474" w:hanging="360"/>
      </w:pPr>
      <w:rPr>
        <w:rFonts w:ascii="Courier New" w:hAnsi="Courier New" w:cs="Courier New" w:hint="default"/>
      </w:rPr>
    </w:lvl>
    <w:lvl w:ilvl="8" w:tplc="04160005" w:tentative="1">
      <w:start w:val="1"/>
      <w:numFmt w:val="bullet"/>
      <w:lvlText w:val=""/>
      <w:lvlJc w:val="left"/>
      <w:pPr>
        <w:ind w:left="7194" w:hanging="360"/>
      </w:pPr>
      <w:rPr>
        <w:rFonts w:ascii="Wingdings" w:hAnsi="Wingdings" w:hint="default"/>
      </w:rPr>
    </w:lvl>
  </w:abstractNum>
  <w:num w:numId="1">
    <w:abstractNumId w:val="3"/>
  </w:num>
  <w:num w:numId="2">
    <w:abstractNumId w:val="7"/>
  </w:num>
  <w:num w:numId="3">
    <w:abstractNumId w:val="2"/>
  </w:num>
  <w:num w:numId="4">
    <w:abstractNumId w:val="0"/>
  </w:num>
  <w:num w:numId="5">
    <w:abstractNumId w:val="12"/>
  </w:num>
  <w:num w:numId="6">
    <w:abstractNumId w:val="4"/>
  </w:num>
  <w:num w:numId="7">
    <w:abstractNumId w:val="6"/>
  </w:num>
  <w:num w:numId="8">
    <w:abstractNumId w:val="11"/>
  </w:num>
  <w:num w:numId="9">
    <w:abstractNumId w:val="8"/>
  </w:num>
  <w:num w:numId="10">
    <w:abstractNumId w:val="14"/>
  </w:num>
  <w:num w:numId="11">
    <w:abstractNumId w:val="5"/>
  </w:num>
  <w:num w:numId="12">
    <w:abstractNumId w:val="9"/>
  </w:num>
  <w:num w:numId="13">
    <w:abstractNumId w:val="13"/>
  </w:num>
  <w:num w:numId="14">
    <w:abstractNumId w:val="10"/>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5122"/>
  </w:hdrShapeDefaults>
  <w:footnotePr>
    <w:footnote w:id="-1"/>
    <w:footnote w:id="0"/>
  </w:footnotePr>
  <w:endnotePr>
    <w:endnote w:id="-1"/>
    <w:endnote w:id="0"/>
  </w:endnotePr>
  <w:compat/>
  <w:rsids>
    <w:rsidRoot w:val="008A5824"/>
    <w:rsid w:val="0016220D"/>
    <w:rsid w:val="001638FA"/>
    <w:rsid w:val="00194BA9"/>
    <w:rsid w:val="001A4423"/>
    <w:rsid w:val="001C328B"/>
    <w:rsid w:val="001F6A6D"/>
    <w:rsid w:val="002B0015"/>
    <w:rsid w:val="002B2B78"/>
    <w:rsid w:val="0036377D"/>
    <w:rsid w:val="0038579D"/>
    <w:rsid w:val="004020EB"/>
    <w:rsid w:val="00473887"/>
    <w:rsid w:val="00491708"/>
    <w:rsid w:val="00631DCF"/>
    <w:rsid w:val="00686527"/>
    <w:rsid w:val="006B7774"/>
    <w:rsid w:val="0072578D"/>
    <w:rsid w:val="00860B20"/>
    <w:rsid w:val="008A5824"/>
    <w:rsid w:val="008D4F05"/>
    <w:rsid w:val="009833D5"/>
    <w:rsid w:val="00B32719"/>
    <w:rsid w:val="00B41CAF"/>
    <w:rsid w:val="00BD0F13"/>
    <w:rsid w:val="00C30374"/>
    <w:rsid w:val="00CA2367"/>
    <w:rsid w:val="00CA25AA"/>
    <w:rsid w:val="00CE5296"/>
    <w:rsid w:val="00CE5EB2"/>
    <w:rsid w:val="00E6136F"/>
    <w:rsid w:val="00F61759"/>
    <w:rsid w:val="00FE1CF2"/>
    <w:rsid w:val="00FF07B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paragraph" w:customStyle="1" w:styleId="Default">
    <w:name w:val="Default"/>
    <w:rsid w:val="00CE5EB2"/>
    <w:pPr>
      <w:autoSpaceDE w:val="0"/>
      <w:autoSpaceDN w:val="0"/>
      <w:adjustRightInd w:val="0"/>
    </w:pPr>
    <w:rPr>
      <w:rFonts w:ascii="Dante MT Std" w:eastAsia="Calibri" w:hAnsi="Dante MT Std" w:cs="Dante MT Std"/>
      <w:color w:val="000000"/>
      <w:lang w:eastAsia="pt-BR"/>
    </w:rPr>
  </w:style>
  <w:style w:type="character" w:styleId="Refdecomentrio">
    <w:name w:val="annotation reference"/>
    <w:basedOn w:val="Fontepargpadro"/>
    <w:uiPriority w:val="99"/>
    <w:semiHidden/>
    <w:unhideWhenUsed/>
    <w:rsid w:val="00CE5EB2"/>
    <w:rPr>
      <w:sz w:val="16"/>
      <w:szCs w:val="16"/>
    </w:rPr>
  </w:style>
  <w:style w:type="paragraph" w:styleId="Textodecomentrio">
    <w:name w:val="annotation text"/>
    <w:basedOn w:val="Normal"/>
    <w:link w:val="TextodecomentrioChar"/>
    <w:uiPriority w:val="99"/>
    <w:semiHidden/>
    <w:unhideWhenUsed/>
    <w:rsid w:val="00CE5EB2"/>
    <w:pPr>
      <w:suppressAutoHyphens w:val="0"/>
      <w:spacing w:after="200" w:line="276" w:lineRule="auto"/>
    </w:pPr>
    <w:rPr>
      <w:rFonts w:ascii="Calibri" w:eastAsia="Calibri" w:hAnsi="Calibri"/>
      <w:lang w:eastAsia="en-US"/>
    </w:rPr>
  </w:style>
  <w:style w:type="character" w:customStyle="1" w:styleId="TextodecomentrioChar">
    <w:name w:val="Texto de comentário Char"/>
    <w:basedOn w:val="Fontepargpadro"/>
    <w:link w:val="Textodecomentrio"/>
    <w:uiPriority w:val="99"/>
    <w:semiHidden/>
    <w:rsid w:val="00CE5EB2"/>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E5EB2"/>
    <w:rPr>
      <w:b/>
      <w:bCs/>
    </w:rPr>
  </w:style>
  <w:style w:type="character" w:customStyle="1" w:styleId="AssuntodocomentrioChar">
    <w:name w:val="Assunto do comentário Char"/>
    <w:basedOn w:val="TextodecomentrioChar"/>
    <w:link w:val="Assuntodocomentrio"/>
    <w:uiPriority w:val="99"/>
    <w:semiHidden/>
    <w:rsid w:val="00CE5EB2"/>
    <w:rPr>
      <w:b/>
      <w:bCs/>
    </w:rPr>
  </w:style>
  <w:style w:type="paragraph" w:styleId="Textodebalo">
    <w:name w:val="Balloon Text"/>
    <w:basedOn w:val="Normal"/>
    <w:link w:val="TextodebaloChar"/>
    <w:uiPriority w:val="99"/>
    <w:semiHidden/>
    <w:unhideWhenUsed/>
    <w:rsid w:val="00CE5EB2"/>
    <w:pPr>
      <w:suppressAutoHyphens w:val="0"/>
    </w:pPr>
    <w:rPr>
      <w:rFonts w:ascii="Tahoma" w:eastAsia="Calibri" w:hAnsi="Tahoma" w:cs="Tahoma"/>
      <w:sz w:val="16"/>
      <w:szCs w:val="16"/>
      <w:lang w:eastAsia="en-US"/>
    </w:rPr>
  </w:style>
  <w:style w:type="character" w:customStyle="1" w:styleId="TextodebaloChar">
    <w:name w:val="Texto de balão Char"/>
    <w:basedOn w:val="Fontepargpadro"/>
    <w:link w:val="Textodebalo"/>
    <w:uiPriority w:val="99"/>
    <w:semiHidden/>
    <w:rsid w:val="00CE5EB2"/>
    <w:rPr>
      <w:rFonts w:ascii="Tahoma" w:eastAsia="Calibri" w:hAnsi="Tahoma" w:cs="Tahoma"/>
      <w:sz w:val="16"/>
      <w:szCs w:val="16"/>
    </w:rPr>
  </w:style>
  <w:style w:type="character" w:styleId="Hyperlink">
    <w:name w:val="Hyperlink"/>
    <w:basedOn w:val="Fontepargpadro"/>
    <w:uiPriority w:val="99"/>
    <w:unhideWhenUsed/>
    <w:rsid w:val="00CE5EB2"/>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1426C-98B5-4836-B3DE-DE581F255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7970</Words>
  <Characters>43041</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TCSC</Company>
  <LinksUpToDate>false</LinksUpToDate>
  <CharactersWithSpaces>50910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Usuário do Microsoft Office</dc:creator>
  <cp:lastModifiedBy>TCSC</cp:lastModifiedBy>
  <cp:revision>2</cp:revision>
  <dcterms:created xsi:type="dcterms:W3CDTF">2017-06-30T19:33:00Z</dcterms:created>
  <dcterms:modified xsi:type="dcterms:W3CDTF">2017-06-30T19:33:00Z</dcterms:modified>
</cp:coreProperties>
</file>